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BD5E79" w14:textId="77777777" w:rsidR="00754C9A" w:rsidRDefault="00754C9A" w:rsidP="00441B6F">
      <w:pPr>
        <w:pStyle w:val="Title"/>
        <w:spacing w:after="0"/>
        <w:jc w:val="both"/>
        <w:rPr>
          <w:rFonts w:ascii="Arial" w:hAnsi="Arial" w:cs="Arial"/>
        </w:rPr>
      </w:pPr>
    </w:p>
    <w:p w14:paraId="64DE539F" w14:textId="77777777" w:rsidR="00143D46" w:rsidRDefault="00143D46" w:rsidP="00143D46">
      <w:pPr>
        <w:pStyle w:val="Author"/>
        <w:rPr>
          <w:rFonts w:ascii="Arial" w:hAnsi="Arial" w:cs="Arial"/>
          <w:bCs/>
          <w:i/>
          <w:iCs/>
          <w:kern w:val="28"/>
          <w:sz w:val="36"/>
          <w:u w:val="single"/>
        </w:rPr>
      </w:pPr>
      <w:r w:rsidRPr="00143D46">
        <w:rPr>
          <w:rFonts w:ascii="Arial" w:hAnsi="Arial" w:cs="Arial"/>
          <w:bCs/>
          <w:i/>
          <w:iCs/>
          <w:kern w:val="28"/>
          <w:sz w:val="36"/>
          <w:u w:val="single"/>
        </w:rPr>
        <w:t>Original Research Article</w:t>
      </w:r>
    </w:p>
    <w:p w14:paraId="403AEAC8" w14:textId="77777777" w:rsidR="00143D46" w:rsidRPr="00143D46" w:rsidRDefault="00143D46" w:rsidP="00143D46">
      <w:pPr>
        <w:pStyle w:val="Author"/>
        <w:rPr>
          <w:rFonts w:ascii="Arial" w:hAnsi="Arial" w:cs="Arial"/>
          <w:bCs/>
          <w:i/>
          <w:iCs/>
          <w:kern w:val="28"/>
          <w:sz w:val="36"/>
          <w:u w:val="single"/>
        </w:rPr>
      </w:pPr>
    </w:p>
    <w:p w14:paraId="2F4DC357" w14:textId="77777777" w:rsidR="00163BC4" w:rsidRPr="00163BC4" w:rsidRDefault="00435195" w:rsidP="00441B6F">
      <w:pPr>
        <w:pStyle w:val="Author"/>
        <w:spacing w:line="240" w:lineRule="auto"/>
        <w:rPr>
          <w:rFonts w:ascii="Arial" w:hAnsi="Arial" w:cs="Arial"/>
          <w:bCs/>
          <w:iCs/>
          <w:kern w:val="28"/>
          <w:sz w:val="36"/>
        </w:rPr>
      </w:pPr>
      <w:r>
        <w:rPr>
          <w:rFonts w:ascii="Arial" w:hAnsi="Arial" w:cs="Arial"/>
          <w:bCs/>
          <w:iCs/>
          <w:kern w:val="28"/>
          <w:sz w:val="36"/>
        </w:rPr>
        <w:t>Impact of Trade on Economic Growth in India: An Empirical Analysis</w:t>
      </w:r>
    </w:p>
    <w:p w14:paraId="554B9B6C" w14:textId="77777777" w:rsidR="00A258C3" w:rsidRPr="00790ADA" w:rsidRDefault="00A258C3" w:rsidP="00441B6F">
      <w:pPr>
        <w:pStyle w:val="Author"/>
        <w:spacing w:line="240" w:lineRule="auto"/>
        <w:jc w:val="both"/>
        <w:rPr>
          <w:rFonts w:ascii="Arial" w:hAnsi="Arial" w:cs="Arial"/>
          <w:sz w:val="36"/>
        </w:rPr>
      </w:pPr>
    </w:p>
    <w:p w14:paraId="50966EA0" w14:textId="77777777" w:rsidR="008A6EC0" w:rsidRDefault="008A6EC0" w:rsidP="00435195">
      <w:pPr>
        <w:pStyle w:val="Affiliation"/>
        <w:spacing w:after="0" w:line="240" w:lineRule="auto"/>
        <w:rPr>
          <w:rFonts w:ascii="Arial" w:hAnsi="Arial" w:cs="Arial"/>
        </w:rPr>
      </w:pPr>
    </w:p>
    <w:p w14:paraId="361EDBA6" w14:textId="77777777" w:rsidR="002C57D2" w:rsidRPr="00FB3A86" w:rsidRDefault="002C57D2" w:rsidP="00441B6F">
      <w:pPr>
        <w:pStyle w:val="Affiliation"/>
        <w:spacing w:after="0" w:line="240" w:lineRule="auto"/>
        <w:jc w:val="both"/>
        <w:rPr>
          <w:rFonts w:ascii="Arial" w:hAnsi="Arial" w:cs="Arial"/>
        </w:rPr>
      </w:pPr>
    </w:p>
    <w:p w14:paraId="58DD3BE1" w14:textId="77777777" w:rsidR="00B01FCD" w:rsidRPr="00FB3A86" w:rsidRDefault="00000000" w:rsidP="00441B6F">
      <w:pPr>
        <w:pStyle w:val="Copyright"/>
        <w:spacing w:after="0" w:line="240" w:lineRule="auto"/>
        <w:jc w:val="both"/>
        <w:rPr>
          <w:rFonts w:ascii="Arial" w:hAnsi="Arial" w:cs="Arial"/>
        </w:rPr>
        <w:sectPr w:rsidR="00B01FCD" w:rsidRPr="00FB3A86" w:rsidSect="00945BCC">
          <w:headerReference w:type="even" r:id="rId8"/>
          <w:headerReference w:type="default" r:id="rId9"/>
          <w:footerReference w:type="even" r:id="rId10"/>
          <w:footerReference w:type="default" r:id="rId11"/>
          <w:headerReference w:type="first" r:id="rId12"/>
          <w:footerReference w:type="first" r:id="rId13"/>
          <w:pgSz w:w="12240" w:h="15840" w:code="1"/>
          <w:pgMar w:top="1440" w:right="2016" w:bottom="2016" w:left="2016" w:header="720" w:footer="1296" w:gutter="0"/>
          <w:cols w:space="720"/>
          <w:docGrid w:linePitch="272"/>
        </w:sectPr>
      </w:pPr>
      <w:r>
        <w:rPr>
          <w:rFonts w:ascii="Arial" w:hAnsi="Arial" w:cs="Arial"/>
        </w:rPr>
      </w:r>
      <w:r>
        <w:rPr>
          <w:rFonts w:ascii="Arial" w:hAnsi="Arial" w:cs="Arial"/>
        </w:rPr>
        <w:pict w14:anchorId="0546167E">
          <v:shapetype id="_x0000_t32" coordsize="21600,21600" o:spt="32" o:oned="t" path="m,l21600,21600e" filled="f">
            <v:path arrowok="t" fillok="f" o:connecttype="none"/>
            <o:lock v:ext="edit" shapetype="t"/>
          </v:shapetype>
          <v:shape id="_x0000_s2050" type="#_x0000_t32" style="width:417.6pt;height:0;mso-left-percent:-10001;mso-top-percent:-10001;mso-position-horizontal:absolute;mso-position-horizontal-relative:char;mso-position-vertical:absolute;mso-position-vertical-relative:line;mso-left-percent:-10001;mso-top-percent:-10001" o:connectortype="straight" strokeweight="1.5pt">
            <w10:anchorlock/>
          </v:shape>
        </w:pict>
      </w:r>
      <w:r w:rsidR="00FB3A86">
        <w:rPr>
          <w:rFonts w:ascii="Arial" w:hAnsi="Arial" w:cs="Arial"/>
        </w:rPr>
        <w:t>.</w:t>
      </w:r>
    </w:p>
    <w:p w14:paraId="3A4F1901" w14:textId="77777777" w:rsidR="00B01FCD" w:rsidRDefault="00B01FCD" w:rsidP="00441B6F">
      <w:pPr>
        <w:pStyle w:val="AbstHead"/>
        <w:spacing w:after="0"/>
        <w:jc w:val="both"/>
        <w:rPr>
          <w:rFonts w:ascii="Arial" w:hAnsi="Arial" w:cs="Arial"/>
        </w:rPr>
      </w:pPr>
      <w:r w:rsidRPr="00FB3A86">
        <w:rPr>
          <w:rFonts w:ascii="Arial" w:hAnsi="Arial" w:cs="Arial"/>
        </w:rPr>
        <w:t>ABSTRACT</w:t>
      </w:r>
    </w:p>
    <w:p w14:paraId="077F1548" w14:textId="77777777" w:rsidR="00790ADA" w:rsidRPr="00FB3A86" w:rsidRDefault="00790ADA" w:rsidP="00441B6F">
      <w:pPr>
        <w:pStyle w:val="AbstHead"/>
        <w:spacing w:after="0"/>
        <w:jc w:val="both"/>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firstRow="1" w:lastRow="0" w:firstColumn="1" w:lastColumn="0" w:noHBand="0" w:noVBand="1"/>
      </w:tblPr>
      <w:tblGrid>
        <w:gridCol w:w="9576"/>
      </w:tblGrid>
      <w:tr w:rsidR="00296529" w:rsidRPr="001E44FE" w14:paraId="67F7A398" w14:textId="77777777" w:rsidTr="001E44FE">
        <w:tc>
          <w:tcPr>
            <w:tcW w:w="9576" w:type="dxa"/>
            <w:shd w:val="clear" w:color="auto" w:fill="F2F2F2"/>
          </w:tcPr>
          <w:p w14:paraId="31601D6F" w14:textId="77777777" w:rsidR="00BA1B01" w:rsidRDefault="00BA1B01" w:rsidP="00441B6F">
            <w:pPr>
              <w:pStyle w:val="Body"/>
              <w:spacing w:after="0"/>
              <w:rPr>
                <w:rFonts w:ascii="Arial" w:hAnsi="Arial" w:cs="Arial"/>
                <w:bCs/>
              </w:rPr>
            </w:pPr>
            <w:r>
              <w:rPr>
                <w:rFonts w:ascii="Arial" w:eastAsia="Calibri" w:hAnsi="Arial" w:cs="Arial"/>
                <w:b/>
                <w:szCs w:val="22"/>
              </w:rPr>
              <w:t xml:space="preserve">Aims: </w:t>
            </w:r>
            <w:r>
              <w:rPr>
                <w:rFonts w:ascii="Arial" w:eastAsia="Calibri" w:hAnsi="Arial" w:cs="Arial"/>
                <w:bCs/>
                <w:szCs w:val="22"/>
              </w:rPr>
              <w:t xml:space="preserve">The study aims </w:t>
            </w:r>
            <w:r>
              <w:rPr>
                <w:rFonts w:ascii="Arial" w:hAnsi="Arial" w:cs="Arial"/>
                <w:bCs/>
              </w:rPr>
              <w:t>to empirically analy</w:t>
            </w:r>
            <w:r>
              <w:rPr>
                <w:rFonts w:ascii="Arial" w:hAnsi="Arial" w:cs="Arial"/>
                <w:bCs/>
                <w:highlight w:val="yellow"/>
              </w:rPr>
              <w:t>s</w:t>
            </w:r>
            <w:r>
              <w:rPr>
                <w:rFonts w:ascii="Arial" w:hAnsi="Arial" w:cs="Arial"/>
                <w:bCs/>
              </w:rPr>
              <w:t>e the impact of trade on economic growth in India during the period 1997–2025. Specifically, the study aims to (i) examine the trend and growth pattern of India’s trade and GDP, and (ii) assess the statistical relationship between trade and economic growth.</w:t>
            </w:r>
          </w:p>
          <w:p w14:paraId="4F560098" w14:textId="77777777" w:rsidR="00157B05" w:rsidRPr="00BA1B01" w:rsidRDefault="00157B05" w:rsidP="00441B6F">
            <w:pPr>
              <w:pStyle w:val="Body"/>
              <w:spacing w:after="0"/>
              <w:rPr>
                <w:rFonts w:ascii="Arial" w:eastAsia="Calibri" w:hAnsi="Arial" w:cs="Arial"/>
                <w:szCs w:val="22"/>
              </w:rPr>
            </w:pPr>
            <w:r w:rsidRPr="00157B05">
              <w:rPr>
                <w:rFonts w:ascii="Arial" w:eastAsia="Calibri" w:hAnsi="Arial" w:cs="Arial"/>
                <w:b/>
                <w:bCs/>
                <w:szCs w:val="22"/>
              </w:rPr>
              <w:t>Study design</w:t>
            </w:r>
            <w:r w:rsidRPr="00157B05">
              <w:rPr>
                <w:rFonts w:ascii="Arial" w:eastAsia="Calibri" w:hAnsi="Arial" w:cs="Arial"/>
                <w:szCs w:val="22"/>
              </w:rPr>
              <w:t>: Quantitative analysis</w:t>
            </w:r>
          </w:p>
          <w:p w14:paraId="316195D2" w14:textId="77777777" w:rsidR="00BA1B01" w:rsidRPr="00BA1B01" w:rsidRDefault="00BA1B01" w:rsidP="00441B6F">
            <w:pPr>
              <w:pStyle w:val="Body"/>
              <w:spacing w:after="0"/>
              <w:rPr>
                <w:rFonts w:ascii="Arial" w:eastAsia="Calibri" w:hAnsi="Arial" w:cs="Arial"/>
                <w:szCs w:val="22"/>
              </w:rPr>
            </w:pPr>
            <w:r>
              <w:rPr>
                <w:rFonts w:ascii="Arial" w:eastAsia="Calibri" w:hAnsi="Arial" w:cs="Arial"/>
                <w:b/>
                <w:bCs/>
                <w:szCs w:val="22"/>
              </w:rPr>
              <w:t>Methodology:</w:t>
            </w:r>
            <w:r>
              <w:rPr>
                <w:rFonts w:ascii="Arial" w:eastAsia="Calibri" w:hAnsi="Arial" w:cs="Arial"/>
                <w:szCs w:val="22"/>
              </w:rPr>
              <w:t xml:space="preserve"> </w:t>
            </w:r>
            <w:r>
              <w:rPr>
                <w:rFonts w:ascii="Arial" w:hAnsi="Arial" w:cs="Arial"/>
              </w:rPr>
              <w:t xml:space="preserve">The study relies on annual time-series data sourced from secondary databases such as the World Bank and </w:t>
            </w:r>
            <w:r>
              <w:rPr>
                <w:rFonts w:ascii="Arial" w:hAnsi="Arial" w:cs="Arial"/>
                <w:highlight w:val="yellow"/>
              </w:rPr>
              <w:t xml:space="preserve">the </w:t>
            </w:r>
            <w:r>
              <w:rPr>
                <w:rFonts w:ascii="Arial" w:hAnsi="Arial" w:cs="Arial"/>
              </w:rPr>
              <w:t>Ministry of Commerce and Industry of India. Descriptive statistical techniques are employed to analy</w:t>
            </w:r>
            <w:r>
              <w:rPr>
                <w:rFonts w:ascii="Arial" w:hAnsi="Arial" w:cs="Arial"/>
                <w:highlight w:val="yellow"/>
              </w:rPr>
              <w:t>s</w:t>
            </w:r>
            <w:r>
              <w:rPr>
                <w:rFonts w:ascii="Arial" w:hAnsi="Arial" w:cs="Arial"/>
              </w:rPr>
              <w:t>e trends and growth rates of GDP and trade. Pearson correlation analysis is used to examine the strength of the association between trade and economic growth. To empirically estimate the impact of trade on growth, a log-linear regression model is applied, with real GDP as the dependent variable and total trade (exports plus imports) as the key explanatory variable.</w:t>
            </w:r>
          </w:p>
          <w:p w14:paraId="07BD6186" w14:textId="77777777" w:rsidR="00BA1B01" w:rsidRPr="00BA1B01" w:rsidRDefault="00BA1B01" w:rsidP="00441B6F">
            <w:pPr>
              <w:pStyle w:val="Body"/>
              <w:spacing w:after="0"/>
              <w:rPr>
                <w:rFonts w:ascii="Arial" w:eastAsia="Calibri" w:hAnsi="Arial" w:cs="Arial"/>
                <w:b/>
                <w:bCs/>
                <w:szCs w:val="22"/>
              </w:rPr>
            </w:pPr>
            <w:r w:rsidRPr="00BA1B01">
              <w:rPr>
                <w:rFonts w:ascii="Arial" w:eastAsia="Calibri" w:hAnsi="Arial" w:cs="Arial"/>
                <w:b/>
                <w:bCs/>
                <w:szCs w:val="22"/>
              </w:rPr>
              <w:t>Results:</w:t>
            </w:r>
            <w:r w:rsidRPr="00BA1B01">
              <w:rPr>
                <w:rFonts w:ascii="Arial" w:eastAsia="Calibri" w:hAnsi="Arial" w:cs="Arial"/>
                <w:szCs w:val="22"/>
              </w:rPr>
              <w:t xml:space="preserve"> </w:t>
            </w:r>
            <w:r w:rsidR="00340D8A" w:rsidRPr="00435195">
              <w:rPr>
                <w:rFonts w:ascii="Arial" w:hAnsi="Arial" w:cs="Arial"/>
              </w:rPr>
              <w:t>The empirical findings reveal a strong and positive relationship between trade and economic growth in India. Total trade significantly enhances GDP, with a trade elasticity of 0.667. Exports are found to have a significant positive impact on growth, while imports do not exhibit a statistically significant effect. The extended model confirms the robustness of trade’s contribution even after controlling for gross capital formation. Overall, the results strongly support the trade-led growth hypothesis in the Indian context.</w:t>
            </w:r>
          </w:p>
          <w:p w14:paraId="0753090E" w14:textId="77777777" w:rsidR="00505F06" w:rsidRDefault="00BA1B01" w:rsidP="00340D8A">
            <w:pPr>
              <w:pStyle w:val="Body"/>
              <w:spacing w:after="0"/>
              <w:rPr>
                <w:rFonts w:ascii="Arial" w:hAnsi="Arial" w:cs="Arial"/>
              </w:rPr>
            </w:pPr>
            <w:r w:rsidRPr="00340D8A">
              <w:rPr>
                <w:rFonts w:ascii="Arial" w:eastAsia="Calibri" w:hAnsi="Arial" w:cs="Arial"/>
                <w:b/>
                <w:bCs/>
              </w:rPr>
              <w:t>Conclusion:</w:t>
            </w:r>
            <w:r w:rsidRPr="00340D8A">
              <w:rPr>
                <w:rFonts w:ascii="Arial" w:eastAsia="Calibri" w:hAnsi="Arial" w:cs="Arial"/>
              </w:rPr>
              <w:t xml:space="preserve"> </w:t>
            </w:r>
            <w:r w:rsidR="00340D8A" w:rsidRPr="00340D8A">
              <w:rPr>
                <w:rFonts w:ascii="Arial" w:hAnsi="Arial" w:cs="Arial"/>
              </w:rPr>
              <w:t>Overall, the results suggest that policies aimed at strengthening export capacity, improving trade infrastructure, and enhancing global competitiveness can further stimulate economic growth in India. Future research may explore sector-specific trade effects and long-run cointegration dynamics to deepen understanding of the trade–growth nexus.</w:t>
            </w:r>
          </w:p>
          <w:p w14:paraId="178F1A7B" w14:textId="77777777" w:rsidR="00340D8A" w:rsidRPr="00340D8A" w:rsidRDefault="00340D8A" w:rsidP="00340D8A">
            <w:pPr>
              <w:pStyle w:val="Body"/>
              <w:spacing w:after="0"/>
              <w:rPr>
                <w:rFonts w:ascii="Arial" w:eastAsia="Calibri" w:hAnsi="Arial" w:cs="Arial"/>
              </w:rPr>
            </w:pPr>
          </w:p>
        </w:tc>
      </w:tr>
    </w:tbl>
    <w:p w14:paraId="224BDFED" w14:textId="77777777" w:rsidR="00636EB2" w:rsidRDefault="00636EB2" w:rsidP="00441B6F">
      <w:pPr>
        <w:pStyle w:val="Body"/>
        <w:spacing w:after="0"/>
        <w:rPr>
          <w:rFonts w:ascii="Arial" w:hAnsi="Arial" w:cs="Arial"/>
          <w:i/>
        </w:rPr>
      </w:pPr>
    </w:p>
    <w:p w14:paraId="53DA5B8A" w14:textId="77777777" w:rsidR="0024282C" w:rsidRPr="00340D8A" w:rsidRDefault="00A24E7E" w:rsidP="00340D8A">
      <w:pPr>
        <w:spacing w:line="360" w:lineRule="auto"/>
        <w:jc w:val="both"/>
        <w:rPr>
          <w:rFonts w:ascii="Times New Roman" w:hAnsi="Times New Roman"/>
          <w:i/>
          <w:iCs/>
          <w:sz w:val="24"/>
          <w:szCs w:val="24"/>
        </w:rPr>
      </w:pPr>
      <w:r>
        <w:rPr>
          <w:rFonts w:ascii="Arial" w:hAnsi="Arial" w:cs="Arial"/>
          <w:i/>
        </w:rPr>
        <w:t>Keywords:</w:t>
      </w:r>
      <w:r w:rsidRPr="00435195">
        <w:rPr>
          <w:rFonts w:ascii="Arial" w:hAnsi="Arial" w:cs="Arial"/>
          <w:i/>
        </w:rPr>
        <w:t xml:space="preserve"> </w:t>
      </w:r>
      <w:r w:rsidR="00435195" w:rsidRPr="00435195">
        <w:rPr>
          <w:rFonts w:ascii="Times New Roman" w:hAnsi="Times New Roman"/>
          <w:i/>
          <w:iCs/>
        </w:rPr>
        <w:t>Trade, Economic Growth, Exports and Imports, India, Time Series Analysis</w:t>
      </w:r>
    </w:p>
    <w:p w14:paraId="7AF6B22B" w14:textId="77777777" w:rsidR="00505F06" w:rsidRPr="00A24E7E" w:rsidRDefault="00505F06" w:rsidP="00441B6F">
      <w:pPr>
        <w:pStyle w:val="Body"/>
        <w:spacing w:after="0"/>
        <w:rPr>
          <w:rFonts w:ascii="Arial" w:hAnsi="Arial" w:cs="Arial"/>
          <w:i/>
        </w:rPr>
      </w:pPr>
    </w:p>
    <w:p w14:paraId="651E112F" w14:textId="77777777" w:rsidR="007F7B32" w:rsidRDefault="00902823" w:rsidP="00441B6F">
      <w:pPr>
        <w:pStyle w:val="AbstHead"/>
        <w:spacing w:after="0"/>
        <w:jc w:val="both"/>
        <w:rPr>
          <w:rFonts w:ascii="Arial" w:hAnsi="Arial" w:cs="Arial"/>
        </w:rPr>
      </w:pPr>
      <w:r>
        <w:rPr>
          <w:rFonts w:ascii="Arial" w:hAnsi="Arial" w:cs="Arial"/>
        </w:rPr>
        <w:t xml:space="preserve">1. </w:t>
      </w:r>
      <w:r w:rsidR="00B01FCD" w:rsidRPr="00FB3A86">
        <w:rPr>
          <w:rFonts w:ascii="Arial" w:hAnsi="Arial" w:cs="Arial"/>
        </w:rPr>
        <w:t>INTRODUCTION</w:t>
      </w:r>
    </w:p>
    <w:p w14:paraId="4D8611C3" w14:textId="77777777" w:rsidR="003A14B2" w:rsidRDefault="003A14B2" w:rsidP="003A14B2">
      <w:pPr>
        <w:ind w:firstLine="720"/>
        <w:jc w:val="both"/>
        <w:rPr>
          <w:rFonts w:ascii="Arial" w:hAnsi="Arial" w:cs="Arial"/>
        </w:rPr>
      </w:pPr>
      <w:r>
        <w:rPr>
          <w:rFonts w:ascii="Arial" w:hAnsi="Arial" w:cs="Arial"/>
        </w:rPr>
        <w:t>International trade has long been recogni</w:t>
      </w:r>
      <w:r>
        <w:rPr>
          <w:rFonts w:ascii="Arial" w:hAnsi="Arial" w:cs="Arial"/>
          <w:highlight w:val="yellow"/>
        </w:rPr>
        <w:t>s</w:t>
      </w:r>
      <w:r>
        <w:rPr>
          <w:rFonts w:ascii="Arial" w:hAnsi="Arial" w:cs="Arial"/>
        </w:rPr>
        <w:t>ed as a key driver of economic growth, particularly in developing economies. The theoretical foundation of trade-led growth suggests that exports generate foreign exchange earnings, enhance productivity through speciali</w:t>
      </w:r>
      <w:r>
        <w:rPr>
          <w:rFonts w:ascii="Arial" w:hAnsi="Arial" w:cs="Arial"/>
          <w:highlight w:val="yellow"/>
        </w:rPr>
        <w:t>s</w:t>
      </w:r>
      <w:r>
        <w:rPr>
          <w:rFonts w:ascii="Arial" w:hAnsi="Arial" w:cs="Arial"/>
        </w:rPr>
        <w:t>ation, and promote technological advancement, while imports facilitate access to capital goods and advanced technologies. Since the economic liberali</w:t>
      </w:r>
      <w:r>
        <w:rPr>
          <w:rFonts w:ascii="Arial" w:hAnsi="Arial" w:cs="Arial"/>
          <w:highlight w:val="yellow"/>
        </w:rPr>
        <w:t>s</w:t>
      </w:r>
      <w:r>
        <w:rPr>
          <w:rFonts w:ascii="Arial" w:hAnsi="Arial" w:cs="Arial"/>
        </w:rPr>
        <w:t>ation reforms initiated in 1991, India has experienced significant integration into the global economy, marked by substantial increases in exports, imports, and total trade. Over the past three decades, trade expansion has coincided with sustained growth in GDP per capita, raising important questions about the nature and strength of the trade–growth relationship in India.</w:t>
      </w:r>
    </w:p>
    <w:p w14:paraId="2B644FF1" w14:textId="77777777" w:rsidR="003A14B2" w:rsidRPr="008A24EF" w:rsidRDefault="003A14B2" w:rsidP="003A14B2">
      <w:pPr>
        <w:ind w:firstLine="720"/>
        <w:jc w:val="both"/>
        <w:rPr>
          <w:rFonts w:ascii="Arial" w:hAnsi="Arial" w:cs="Arial"/>
        </w:rPr>
      </w:pPr>
      <w:r w:rsidRPr="008A24EF">
        <w:rPr>
          <w:rFonts w:ascii="Arial" w:hAnsi="Arial" w:cs="Arial"/>
        </w:rPr>
        <w:t>Although numerous studies have examined export-led growth, relatively fewer have focused on the combined impact of total trade (exports and imports) on economic growth in India using updated data. Moreover, understanding whether exports and imports exert distinct effects on growth is crucial for designing effective trade policies. Against this background, the present study empirically examines the impact of trade on economic growth in India for the period 1997–2025. Using descriptive statistics, correlation analysis, unit root testing, and log-linear regression models, the study evaluates whether trade significantly contributes to economic growth.</w:t>
      </w:r>
    </w:p>
    <w:p w14:paraId="425B8BD2" w14:textId="77777777" w:rsidR="00790ADA" w:rsidRDefault="00790ADA" w:rsidP="00441B6F">
      <w:pPr>
        <w:pStyle w:val="Body"/>
        <w:spacing w:after="0"/>
        <w:rPr>
          <w:rFonts w:ascii="Arial" w:hAnsi="Arial" w:cs="Arial"/>
        </w:rPr>
      </w:pPr>
    </w:p>
    <w:p w14:paraId="4D0FC4C4" w14:textId="77777777" w:rsidR="003A14B2" w:rsidRDefault="00157B05" w:rsidP="003A14B2">
      <w:pPr>
        <w:pStyle w:val="AbstHead"/>
        <w:spacing w:after="0"/>
        <w:jc w:val="both"/>
        <w:rPr>
          <w:rFonts w:ascii="Arial" w:hAnsi="Arial" w:cs="Arial"/>
        </w:rPr>
      </w:pPr>
      <w:r>
        <w:rPr>
          <w:rFonts w:ascii="Arial" w:hAnsi="Arial" w:cs="Arial"/>
        </w:rPr>
        <w:lastRenderedPageBreak/>
        <w:t>1.1</w:t>
      </w:r>
      <w:r w:rsidR="003A14B2">
        <w:rPr>
          <w:rFonts w:ascii="Arial" w:hAnsi="Arial" w:cs="Arial"/>
        </w:rPr>
        <w:t xml:space="preserve"> REVIEW OF LITERATURE</w:t>
      </w:r>
    </w:p>
    <w:p w14:paraId="70FC65FF" w14:textId="32F98B67" w:rsidR="003A14B2" w:rsidRPr="008A24EF" w:rsidRDefault="003A14B2" w:rsidP="003A14B2">
      <w:pPr>
        <w:ind w:firstLine="720"/>
        <w:jc w:val="both"/>
        <w:rPr>
          <w:rFonts w:ascii="Arial" w:hAnsi="Arial" w:cs="Arial"/>
          <w:b/>
          <w:bCs/>
        </w:rPr>
      </w:pPr>
      <w:r>
        <w:rPr>
          <w:rFonts w:ascii="Arial" w:hAnsi="Arial" w:cs="Arial"/>
        </w:rPr>
        <w:t>The relationship between trade and economic growth has remained a central theme in international economics and development studies. Theoretical foundations such as export-led growth (ELG), import-led growth (ILG), and trade openness hypotheses suggest that international trade enhances economic performance through resource allocation efficiency, technology transfer, and capital accumulation. In the Indian context, trade reforms initiated in the early 1990s significantly transformed the economy from an inward-looking regime to a globally integrated system (</w:t>
      </w:r>
      <w:r w:rsidR="008D1CC4" w:rsidRPr="008D1CC4">
        <w:rPr>
          <w:rFonts w:ascii="Arial" w:hAnsi="Arial" w:cs="Arial"/>
        </w:rPr>
        <w:t>Hooda &amp; A</w:t>
      </w:r>
      <w:r>
        <w:rPr>
          <w:rFonts w:ascii="Arial" w:hAnsi="Arial" w:cs="Arial"/>
        </w:rPr>
        <w:t>, 20</w:t>
      </w:r>
      <w:r w:rsidR="008D1CC4">
        <w:rPr>
          <w:rFonts w:ascii="Arial" w:hAnsi="Arial" w:cs="Arial"/>
        </w:rPr>
        <w:t>25</w:t>
      </w:r>
      <w:r>
        <w:rPr>
          <w:rFonts w:ascii="Arial" w:hAnsi="Arial" w:cs="Arial"/>
        </w:rPr>
        <w:t>; Reshi &amp; Sudha, 2023). Early empirical studies emphasi</w:t>
      </w:r>
      <w:r>
        <w:rPr>
          <w:rFonts w:ascii="Arial" w:hAnsi="Arial" w:cs="Arial"/>
          <w:highlight w:val="yellow"/>
        </w:rPr>
        <w:t>s</w:t>
      </w:r>
      <w:r>
        <w:rPr>
          <w:rFonts w:ascii="Arial" w:hAnsi="Arial" w:cs="Arial"/>
        </w:rPr>
        <w:t>e the positive role of trade openness in economic growth. Keho (2017) found that trade liberali</w:t>
      </w:r>
      <w:r>
        <w:rPr>
          <w:rFonts w:ascii="Arial" w:hAnsi="Arial" w:cs="Arial"/>
          <w:highlight w:val="yellow"/>
        </w:rPr>
        <w:t>s</w:t>
      </w:r>
      <w:r>
        <w:rPr>
          <w:rFonts w:ascii="Arial" w:hAnsi="Arial" w:cs="Arial"/>
        </w:rPr>
        <w:t>ation promotes productivity and capital formation in the long run. Similarly, Zahonogo (2016) identified a non-linear relationship between trade openness and growth, suggesting threshold effects in developing economies. In the BRICS context, Raghutla and Chittedi (2020) showed that both export-led and import-led growth hypotheses hold differently across member countries, highlighting structural heterogeneity. Akhter et al. (2022) further stressed that trade-led growth requires diversification and institutional reforms to sustain long-term benefits.</w:t>
      </w:r>
    </w:p>
    <w:p w14:paraId="1DE1DCD4" w14:textId="77777777" w:rsidR="003A14B2" w:rsidRPr="00CB44FA" w:rsidRDefault="003A14B2" w:rsidP="003A14B2">
      <w:pPr>
        <w:ind w:firstLine="720"/>
        <w:jc w:val="both"/>
        <w:rPr>
          <w:rFonts w:ascii="Arial" w:hAnsi="Arial" w:cs="Arial"/>
        </w:rPr>
      </w:pPr>
      <w:r>
        <w:rPr>
          <w:rFonts w:ascii="Arial" w:hAnsi="Arial" w:cs="Arial"/>
        </w:rPr>
        <w:t>For India, several studies have examined trade-growth linkages using time-series econometric techniques. Mallick and Behera (2020) used non-linear econometric models and found asymmetric growth responses to trade shocks. Sarania (2021) demonstrated that infrastructure development enhances the growth effects of trade and FDI, emphasi</w:t>
      </w:r>
      <w:r>
        <w:rPr>
          <w:rFonts w:ascii="Arial" w:hAnsi="Arial" w:cs="Arial"/>
          <w:highlight w:val="yellow"/>
        </w:rPr>
        <w:t>s</w:t>
      </w:r>
      <w:r>
        <w:rPr>
          <w:rFonts w:ascii="Arial" w:hAnsi="Arial" w:cs="Arial"/>
        </w:rPr>
        <w:t>ing complementarities between trade and domestic factors. Exchange rate and trade dynamics have also received attention. Sahoo and Sethi (2018) found long-run equilibrium relationships between exchange rate movements and trade flows. More recently, Arya et al. (2025) analy</w:t>
      </w:r>
      <w:r>
        <w:rPr>
          <w:rFonts w:ascii="Arial" w:hAnsi="Arial" w:cs="Arial"/>
          <w:highlight w:val="yellow"/>
        </w:rPr>
        <w:t>s</w:t>
      </w:r>
      <w:r>
        <w:rPr>
          <w:rFonts w:ascii="Arial" w:hAnsi="Arial" w:cs="Arial"/>
        </w:rPr>
        <w:t xml:space="preserve">ed </w:t>
      </w:r>
      <w:r w:rsidRPr="00CB44FA">
        <w:rPr>
          <w:rFonts w:ascii="Arial" w:hAnsi="Arial" w:cs="Arial"/>
        </w:rPr>
        <w:t>monthly data from 2007–2024 using vector autoregression (VAR) and observed that exchange rate volatility does not directly affect export and import performance; instead, past trade structures remain significant predictors. This underscores structural persistence in India’s trade dynamics.</w:t>
      </w:r>
    </w:p>
    <w:p w14:paraId="7CE167C9" w14:textId="77777777" w:rsidR="00CA69A2" w:rsidRPr="00CB44FA" w:rsidRDefault="00000000">
      <w:pPr>
        <w:ind w:firstLine="720"/>
        <w:jc w:val="both"/>
        <w:rPr>
          <w:rFonts w:ascii="Arial" w:hAnsi="Arial" w:cs="Arial"/>
        </w:rPr>
      </w:pPr>
      <w:r w:rsidRPr="00CB44FA">
        <w:rPr>
          <w:highlight w:val="yellow"/>
        </w:rPr>
        <w:t>Recent India-focused evidence provides a more nuanced view. Singaram et al. (2025) report a long-run relationship between trade components and economic growth, while the individual effects of exports and imports are not uniformly significant. Duvvuri et al. (2026) similarly find that India’s trade-growth relationship is conditional on structural and macroeconomic factors rather than uniformly strong across specifications. Gawas and Chandran (2026) further identify stable long-run relationships involving trade openness and economic growth in India when structural breaks are incorporated into ARDL models.</w:t>
      </w:r>
    </w:p>
    <w:p w14:paraId="6E5781C1" w14:textId="77777777" w:rsidR="00CA69A2" w:rsidRPr="00CB44FA" w:rsidRDefault="00000000">
      <w:pPr>
        <w:ind w:firstLine="720"/>
        <w:jc w:val="both"/>
        <w:rPr>
          <w:rFonts w:ascii="Arial" w:hAnsi="Arial" w:cs="Arial"/>
        </w:rPr>
      </w:pPr>
      <w:r w:rsidRPr="00CB44FA">
        <w:rPr>
          <w:highlight w:val="yellow"/>
        </w:rPr>
        <w:t>Recent cross-country evidence from Asia also supports the relevance of trade to growth. Sein and Sah (2025) identify a robust long-run relationship between exports and GDP across five emerging Asia-Pacific economies, including India, while Chhabra et al. (2025) report a positive association between trade openness and economic growth across developing Asian economies.</w:t>
      </w:r>
    </w:p>
    <w:p w14:paraId="2E19AD25" w14:textId="77777777" w:rsidR="003A14B2" w:rsidRPr="008A24EF" w:rsidRDefault="003A14B2" w:rsidP="003A14B2">
      <w:pPr>
        <w:ind w:firstLine="720"/>
        <w:jc w:val="both"/>
        <w:rPr>
          <w:rFonts w:ascii="Arial" w:hAnsi="Arial" w:cs="Arial"/>
          <w:b/>
          <w:bCs/>
        </w:rPr>
      </w:pPr>
      <w:r w:rsidRPr="00CB44FA">
        <w:rPr>
          <w:rFonts w:ascii="Arial" w:hAnsi="Arial" w:cs="Arial"/>
        </w:rPr>
        <w:t>Regional trade integration has been widely studied. Rai et al. (2021) and Htun and Vishwanatha (2025) applied gravity models to India–BIMSTEC trade and found</w:t>
      </w:r>
      <w:r>
        <w:rPr>
          <w:rFonts w:ascii="Arial" w:hAnsi="Arial" w:cs="Arial"/>
        </w:rPr>
        <w:t xml:space="preserve"> that GDP, trade openness, common borders, and bloc membership significantly promote trade, while distance and taxes hinder it. Chandran (2019) emphasi</w:t>
      </w:r>
      <w:r>
        <w:rPr>
          <w:rFonts w:ascii="Arial" w:hAnsi="Arial" w:cs="Arial"/>
          <w:highlight w:val="yellow"/>
        </w:rPr>
        <w:t>s</w:t>
      </w:r>
      <w:r>
        <w:rPr>
          <w:rFonts w:ascii="Arial" w:hAnsi="Arial" w:cs="Arial"/>
        </w:rPr>
        <w:t>ed BIMSTEC’s growing strategic importance, while Bhardwaj et al. (2023) highlighted underutili</w:t>
      </w:r>
      <w:r>
        <w:rPr>
          <w:rFonts w:ascii="Arial" w:hAnsi="Arial" w:cs="Arial"/>
          <w:highlight w:val="yellow"/>
        </w:rPr>
        <w:t>s</w:t>
      </w:r>
      <w:r>
        <w:rPr>
          <w:rFonts w:ascii="Arial" w:hAnsi="Arial" w:cs="Arial"/>
        </w:rPr>
        <w:t>ed agricultural trade potential within the bloc. Lohani (2024) examined India–BRICS trade and confirmed gravity model validity, noting trade creation of about 21% above normal levels. Similarly, Bhat et al. (2022) and Iqbal et al. (2023) discussed India’s evolving trade integration within BRICS, stressing structural reforms for deeper engagement. India–ASEAN trade has gained prominence under the Act East Policy. Banik and Kim (2024) analy</w:t>
      </w:r>
      <w:r>
        <w:rPr>
          <w:rFonts w:ascii="Arial" w:hAnsi="Arial" w:cs="Arial"/>
          <w:highlight w:val="yellow"/>
        </w:rPr>
        <w:t>s</w:t>
      </w:r>
      <w:r>
        <w:rPr>
          <w:rFonts w:ascii="Arial" w:hAnsi="Arial" w:cs="Arial"/>
        </w:rPr>
        <w:t>ed comparative advantage patterns and revealed that many Indian exports lack competitiveness despite potential in chemicals and pharmaceuticals. Mahlawat (2018) also observed fluctuating trade intensity within BRICS, particularly trade imbalances with China. Ganesh</w:t>
      </w:r>
      <w:r>
        <w:rPr>
          <w:rFonts w:ascii="Arial" w:hAnsi="Arial" w:cs="Arial"/>
          <w:highlight w:val="yellow"/>
        </w:rPr>
        <w:t>-Kumar</w:t>
      </w:r>
      <w:r>
        <w:rPr>
          <w:rFonts w:ascii="Arial" w:hAnsi="Arial" w:cs="Arial"/>
        </w:rPr>
        <w:t xml:space="preserve"> and Chatterjee (2016) argued that multilateral liberali</w:t>
      </w:r>
      <w:r>
        <w:rPr>
          <w:rFonts w:ascii="Arial" w:hAnsi="Arial" w:cs="Arial"/>
          <w:highlight w:val="yellow"/>
        </w:rPr>
        <w:t>s</w:t>
      </w:r>
      <w:r>
        <w:rPr>
          <w:rFonts w:ascii="Arial" w:hAnsi="Arial" w:cs="Arial"/>
        </w:rPr>
        <w:t xml:space="preserve">ation yields broader welfare gains compared </w:t>
      </w:r>
      <w:r>
        <w:rPr>
          <w:rFonts w:ascii="Arial" w:hAnsi="Arial" w:cs="Arial"/>
          <w:highlight w:val="yellow"/>
        </w:rPr>
        <w:t>wi</w:t>
      </w:r>
      <w:r>
        <w:rPr>
          <w:rFonts w:ascii="Arial" w:hAnsi="Arial" w:cs="Arial"/>
        </w:rPr>
        <w:t>t</w:t>
      </w:r>
      <w:r>
        <w:rPr>
          <w:rFonts w:ascii="Arial" w:hAnsi="Arial" w:cs="Arial"/>
          <w:highlight w:val="yellow"/>
        </w:rPr>
        <w:t>h</w:t>
      </w:r>
      <w:r>
        <w:rPr>
          <w:rFonts w:ascii="Arial" w:hAnsi="Arial" w:cs="Arial"/>
        </w:rPr>
        <w:t xml:space="preserve"> preferential agreements.</w:t>
      </w:r>
    </w:p>
    <w:p w14:paraId="2A142ACD" w14:textId="77777777" w:rsidR="003A14B2" w:rsidRDefault="003A14B2" w:rsidP="003A14B2">
      <w:pPr>
        <w:pStyle w:val="Body"/>
        <w:spacing w:after="0"/>
        <w:rPr>
          <w:rFonts w:ascii="Arial" w:hAnsi="Arial" w:cs="Arial"/>
        </w:rPr>
      </w:pPr>
      <w:r>
        <w:rPr>
          <w:rFonts w:ascii="Arial" w:hAnsi="Arial" w:cs="Arial"/>
        </w:rPr>
        <w:t>Sectoral studies further illustrate trade’s role. Mahajan et al. (2022) found that FDI and imported intermediates positively influence India’s high-tech exports. Paul and Kumar (2021) highlighted that increased import intensity does not automatically enhance export performance, pointing to industry heterogeneity. Dalei et al. (2017) examined crude oil imports and confirmed macroeconomic determinants such as GDP and consumption patterns. Singh et al. (2021) emphasi</w:t>
      </w:r>
      <w:r>
        <w:rPr>
          <w:rFonts w:ascii="Arial" w:hAnsi="Arial" w:cs="Arial"/>
          <w:highlight w:val="yellow"/>
        </w:rPr>
        <w:t>s</w:t>
      </w:r>
      <w:r>
        <w:rPr>
          <w:rFonts w:ascii="Arial" w:hAnsi="Arial" w:cs="Arial"/>
        </w:rPr>
        <w:t>ed export diversification and value addition in agricultural trade, while De (2020) identified structural weaknesses in orchid trade. Khurana and Nauriyal (2017) documented India’s strong comparative advantage in modern services exports, and Thomas (2019) found that services exports significantly contribute to growth and current account sustainability. Environmental dimensions have also emerged in trade-growth literature. Fan et al. (2019) and Huilan et al. (2024) examined trade, growth, and environmental sustainability, revealing complex interactions between openness and ecological outcomes. The COVID-19 pandemic further exposed vulnerabilities in trade-dependent sectors, as shown by Sahoo and Ashwani (2020). Singh (2023) analy</w:t>
      </w:r>
      <w:r>
        <w:rPr>
          <w:rFonts w:ascii="Arial" w:hAnsi="Arial" w:cs="Arial"/>
          <w:highlight w:val="yellow"/>
        </w:rPr>
        <w:t>s</w:t>
      </w:r>
      <w:r>
        <w:rPr>
          <w:rFonts w:ascii="Arial" w:hAnsi="Arial" w:cs="Arial"/>
        </w:rPr>
        <w:t>ed the terms of trade (TOT) and found that favo</w:t>
      </w:r>
      <w:r>
        <w:rPr>
          <w:rFonts w:ascii="Arial" w:hAnsi="Arial" w:cs="Arial"/>
          <w:highlight w:val="yellow"/>
        </w:rPr>
        <w:t>u</w:t>
      </w:r>
      <w:r>
        <w:rPr>
          <w:rFonts w:ascii="Arial" w:hAnsi="Arial" w:cs="Arial"/>
        </w:rPr>
        <w:t>rable TOT movements positively affect long-run growth. Reshi and Sudha (2023) reaffirmed that trade liberali</w:t>
      </w:r>
      <w:r>
        <w:rPr>
          <w:rFonts w:ascii="Arial" w:hAnsi="Arial" w:cs="Arial"/>
          <w:highlight w:val="yellow"/>
        </w:rPr>
        <w:t>s</w:t>
      </w:r>
      <w:r>
        <w:rPr>
          <w:rFonts w:ascii="Arial" w:hAnsi="Arial" w:cs="Arial"/>
        </w:rPr>
        <w:t>ation has contributed substantially to India’s economic expansion since the 1990s.</w:t>
      </w:r>
    </w:p>
    <w:p w14:paraId="62BAC373" w14:textId="77777777" w:rsidR="003A14B2" w:rsidRDefault="003A14B2" w:rsidP="003A14B2">
      <w:pPr>
        <w:pStyle w:val="Body"/>
        <w:spacing w:after="0"/>
        <w:rPr>
          <w:rFonts w:ascii="Arial" w:hAnsi="Arial" w:cs="Arial"/>
        </w:rPr>
      </w:pPr>
    </w:p>
    <w:p w14:paraId="31E90FD5" w14:textId="77777777" w:rsidR="003A14B2" w:rsidRDefault="00157B05" w:rsidP="003A14B2">
      <w:pPr>
        <w:pStyle w:val="AbstHead"/>
        <w:spacing w:after="0"/>
        <w:jc w:val="both"/>
        <w:rPr>
          <w:rFonts w:ascii="Arial" w:hAnsi="Arial" w:cs="Arial"/>
        </w:rPr>
      </w:pPr>
      <w:proofErr w:type="gramStart"/>
      <w:r>
        <w:rPr>
          <w:rFonts w:ascii="Arial" w:hAnsi="Arial" w:cs="Arial"/>
        </w:rPr>
        <w:t>1.2</w:t>
      </w:r>
      <w:r w:rsidR="003A14B2">
        <w:rPr>
          <w:rFonts w:ascii="Arial" w:hAnsi="Arial" w:cs="Arial"/>
        </w:rPr>
        <w:t xml:space="preserve">  RESEARCH</w:t>
      </w:r>
      <w:proofErr w:type="gramEnd"/>
      <w:r w:rsidR="003A14B2">
        <w:rPr>
          <w:rFonts w:ascii="Arial" w:hAnsi="Arial" w:cs="Arial"/>
        </w:rPr>
        <w:t xml:space="preserve"> GAP</w:t>
      </w:r>
    </w:p>
    <w:p w14:paraId="55113E49" w14:textId="77777777" w:rsidR="003A14B2" w:rsidRPr="008A24EF" w:rsidRDefault="003A14B2" w:rsidP="003A14B2">
      <w:pPr>
        <w:ind w:firstLine="360"/>
        <w:jc w:val="both"/>
        <w:rPr>
          <w:rFonts w:ascii="Arial" w:hAnsi="Arial" w:cs="Arial"/>
          <w:b/>
          <w:bCs/>
        </w:rPr>
      </w:pPr>
      <w:r>
        <w:rPr>
          <w:rFonts w:ascii="Arial" w:hAnsi="Arial" w:cs="Arial"/>
        </w:rPr>
        <w:t>Despit</w:t>
      </w:r>
      <w:r>
        <w:rPr>
          <w:rFonts w:ascii="Arial" w:hAnsi="Arial" w:cs="Arial"/>
          <w:highlight w:val="yellow"/>
        </w:rPr>
        <w:t>e th</w:t>
      </w:r>
      <w:r>
        <w:rPr>
          <w:rFonts w:ascii="Arial" w:hAnsi="Arial" w:cs="Arial"/>
        </w:rPr>
        <w:t>e rich literature on trade openness, regional trade blocs, exchange rate effects, and sectoral trade performance, three key gaps remain:</w:t>
      </w:r>
    </w:p>
    <w:p w14:paraId="118F638B" w14:textId="77777777" w:rsidR="003A14B2" w:rsidRPr="008A24EF" w:rsidRDefault="003A14B2" w:rsidP="003A14B2">
      <w:pPr>
        <w:numPr>
          <w:ilvl w:val="0"/>
          <w:numId w:val="32"/>
        </w:numPr>
        <w:jc w:val="both"/>
        <w:rPr>
          <w:rFonts w:ascii="Arial" w:hAnsi="Arial" w:cs="Arial"/>
        </w:rPr>
      </w:pPr>
      <w:r w:rsidRPr="008A24EF">
        <w:rPr>
          <w:rFonts w:ascii="Arial" w:hAnsi="Arial" w:cs="Arial"/>
        </w:rPr>
        <w:t>Most studies focus either on exports alone or on specific trade blocs rather than total trade (exports + imports).</w:t>
      </w:r>
    </w:p>
    <w:p w14:paraId="44EA89FC" w14:textId="77777777" w:rsidR="003A14B2" w:rsidRPr="008A24EF" w:rsidRDefault="003A14B2" w:rsidP="003A14B2">
      <w:pPr>
        <w:numPr>
          <w:ilvl w:val="0"/>
          <w:numId w:val="32"/>
        </w:numPr>
        <w:jc w:val="both"/>
        <w:rPr>
          <w:rFonts w:ascii="Arial" w:hAnsi="Arial" w:cs="Arial"/>
        </w:rPr>
      </w:pPr>
      <w:r w:rsidRPr="008A24EF">
        <w:rPr>
          <w:rFonts w:ascii="Arial" w:hAnsi="Arial" w:cs="Arial"/>
        </w:rPr>
        <w:lastRenderedPageBreak/>
        <w:t>Many analyses employ advanced econometric techniques (VAR, PPML, threshold models), limiting accessibility and policy interpretability.</w:t>
      </w:r>
    </w:p>
    <w:p w14:paraId="74BC751D" w14:textId="77777777" w:rsidR="003A14B2" w:rsidRPr="008A24EF" w:rsidRDefault="003A14B2" w:rsidP="003A14B2">
      <w:pPr>
        <w:numPr>
          <w:ilvl w:val="0"/>
          <w:numId w:val="32"/>
        </w:numPr>
        <w:jc w:val="both"/>
        <w:rPr>
          <w:rFonts w:ascii="Arial" w:hAnsi="Arial" w:cs="Arial"/>
        </w:rPr>
      </w:pPr>
      <w:r>
        <w:rPr>
          <w:rFonts w:ascii="Arial" w:hAnsi="Arial" w:cs="Arial"/>
        </w:rPr>
        <w:t>There is limited up</w:t>
      </w:r>
      <w:r>
        <w:rPr>
          <w:rFonts w:ascii="Arial" w:hAnsi="Arial" w:cs="Arial"/>
          <w:highlight w:val="yellow"/>
        </w:rPr>
        <w:t>-to-</w:t>
      </w:r>
      <w:r>
        <w:rPr>
          <w:rFonts w:ascii="Arial" w:hAnsi="Arial" w:cs="Arial"/>
        </w:rPr>
        <w:t>date evidence covering a longer p</w:t>
      </w:r>
      <w:r>
        <w:rPr>
          <w:rFonts w:ascii="Arial" w:hAnsi="Arial" w:cs="Arial"/>
          <w:highlight w:val="yellow"/>
        </w:rPr>
        <w:t>eriod</w:t>
      </w:r>
      <w:r>
        <w:rPr>
          <w:rFonts w:ascii="Arial" w:hAnsi="Arial" w:cs="Arial"/>
        </w:rPr>
        <w:t xml:space="preserve"> t</w:t>
      </w:r>
      <w:r>
        <w:rPr>
          <w:rFonts w:ascii="Arial" w:hAnsi="Arial" w:cs="Arial"/>
          <w:highlight w:val="yellow"/>
        </w:rPr>
        <w:t>hr</w:t>
      </w:r>
      <w:r>
        <w:rPr>
          <w:rFonts w:ascii="Arial" w:hAnsi="Arial" w:cs="Arial"/>
        </w:rPr>
        <w:t>o</w:t>
      </w:r>
      <w:r>
        <w:rPr>
          <w:rFonts w:ascii="Arial" w:hAnsi="Arial" w:cs="Arial"/>
          <w:highlight w:val="yellow"/>
        </w:rPr>
        <w:t>ugh</w:t>
      </w:r>
      <w:r>
        <w:rPr>
          <w:rFonts w:ascii="Arial" w:hAnsi="Arial" w:cs="Arial"/>
        </w:rPr>
        <w:t xml:space="preserve"> 2025 </w:t>
      </w:r>
      <w:r>
        <w:rPr>
          <w:rFonts w:ascii="Arial" w:hAnsi="Arial" w:cs="Arial"/>
          <w:highlight w:val="yellow"/>
        </w:rPr>
        <w:t>and en</w:t>
      </w:r>
      <w:r>
        <w:rPr>
          <w:rFonts w:ascii="Arial" w:hAnsi="Arial" w:cs="Arial"/>
        </w:rPr>
        <w:t>com</w:t>
      </w:r>
      <w:r>
        <w:rPr>
          <w:rFonts w:ascii="Arial" w:hAnsi="Arial" w:cs="Arial"/>
          <w:highlight w:val="yellow"/>
        </w:rPr>
        <w:t>pass</w:t>
      </w:r>
      <w:r>
        <w:rPr>
          <w:rFonts w:ascii="Arial" w:hAnsi="Arial" w:cs="Arial"/>
        </w:rPr>
        <w:t>ing</w:t>
      </w:r>
      <w:r>
        <w:rPr>
          <w:rFonts w:ascii="Arial" w:hAnsi="Arial" w:cs="Arial"/>
          <w:highlight w:val="yellow"/>
        </w:rPr>
        <w:t xml:space="preserve"> the</w:t>
      </w:r>
      <w:r>
        <w:rPr>
          <w:rFonts w:ascii="Arial" w:hAnsi="Arial" w:cs="Arial"/>
        </w:rPr>
        <w:t xml:space="preserve"> post-liberali</w:t>
      </w:r>
      <w:r>
        <w:rPr>
          <w:rFonts w:ascii="Arial" w:hAnsi="Arial" w:cs="Arial"/>
          <w:highlight w:val="yellow"/>
        </w:rPr>
        <w:t>s</w:t>
      </w:r>
      <w:r>
        <w:rPr>
          <w:rFonts w:ascii="Arial" w:hAnsi="Arial" w:cs="Arial"/>
        </w:rPr>
        <w:t>ation, post-global financial crisis, and post-COVID periods.</w:t>
      </w:r>
    </w:p>
    <w:p w14:paraId="7CE5E14D" w14:textId="77777777" w:rsidR="003A14B2" w:rsidRPr="008A24EF" w:rsidRDefault="003A14B2" w:rsidP="003A14B2">
      <w:pPr>
        <w:jc w:val="both"/>
        <w:rPr>
          <w:rFonts w:ascii="Arial" w:hAnsi="Arial" w:cs="Arial"/>
        </w:rPr>
      </w:pPr>
      <w:r w:rsidRPr="008A24EF">
        <w:rPr>
          <w:rFonts w:ascii="Arial" w:hAnsi="Arial" w:cs="Arial"/>
        </w:rPr>
        <w:t>Therefore, a comprehensive yet simple empirical assessment of the impact of total trade on India’s GDP remains relevant and necessary.</w:t>
      </w:r>
    </w:p>
    <w:p w14:paraId="1A014C46" w14:textId="77777777" w:rsidR="003A14B2" w:rsidRDefault="003A14B2" w:rsidP="003A14B2">
      <w:pPr>
        <w:rPr>
          <w:rFonts w:ascii="Arial" w:hAnsi="Arial" w:cs="Arial"/>
        </w:rPr>
      </w:pPr>
    </w:p>
    <w:p w14:paraId="3ED7D24D" w14:textId="77777777" w:rsidR="003A14B2" w:rsidRDefault="00157B05" w:rsidP="003A14B2">
      <w:pPr>
        <w:pStyle w:val="AbstHead"/>
        <w:spacing w:after="0"/>
        <w:jc w:val="both"/>
        <w:rPr>
          <w:rFonts w:ascii="Arial" w:hAnsi="Arial" w:cs="Arial"/>
        </w:rPr>
      </w:pPr>
      <w:proofErr w:type="gramStart"/>
      <w:r>
        <w:rPr>
          <w:rFonts w:ascii="Arial" w:hAnsi="Arial" w:cs="Arial"/>
          <w:highlight w:val="yellow"/>
        </w:rPr>
        <w:t>1.3</w:t>
      </w:r>
      <w:r w:rsidR="003A14B2">
        <w:rPr>
          <w:rFonts w:ascii="Arial" w:hAnsi="Arial" w:cs="Arial"/>
        </w:rPr>
        <w:t xml:space="preserve">  HYPOTHESES</w:t>
      </w:r>
      <w:proofErr w:type="gramEnd"/>
      <w:r w:rsidR="003A14B2">
        <w:rPr>
          <w:rFonts w:ascii="Arial" w:hAnsi="Arial" w:cs="Arial"/>
        </w:rPr>
        <w:t xml:space="preserve"> OF THE STUDY</w:t>
      </w:r>
    </w:p>
    <w:p w14:paraId="78ABA8A3" w14:textId="77777777" w:rsidR="003A14B2" w:rsidRPr="008A24EF" w:rsidRDefault="003A14B2" w:rsidP="003A14B2">
      <w:pPr>
        <w:rPr>
          <w:rFonts w:ascii="Arial" w:hAnsi="Arial" w:cs="Arial"/>
        </w:rPr>
      </w:pPr>
      <w:r w:rsidRPr="008A24EF">
        <w:rPr>
          <w:rFonts w:ascii="Arial" w:hAnsi="Arial" w:cs="Arial"/>
          <w:b/>
          <w:bCs/>
        </w:rPr>
        <w:t>H</w:t>
      </w:r>
      <w:r w:rsidRPr="008A24EF">
        <w:rPr>
          <w:rFonts w:ascii="Cambria Math" w:hAnsi="Cambria Math" w:cs="Cambria Math"/>
          <w:b/>
          <w:bCs/>
        </w:rPr>
        <w:t>₀</w:t>
      </w:r>
      <w:r w:rsidRPr="008A24EF">
        <w:rPr>
          <w:rFonts w:ascii="Arial" w:hAnsi="Arial" w:cs="Arial"/>
          <w:b/>
          <w:bCs/>
        </w:rPr>
        <w:t>:</w:t>
      </w:r>
      <w:r w:rsidRPr="008A24EF">
        <w:rPr>
          <w:rFonts w:ascii="Arial" w:hAnsi="Arial" w:cs="Arial"/>
        </w:rPr>
        <w:t xml:space="preserve"> Trade has no significant impact on economic growth in India</w:t>
      </w:r>
    </w:p>
    <w:p w14:paraId="6C717F28" w14:textId="77777777" w:rsidR="003A14B2" w:rsidRPr="008A24EF" w:rsidRDefault="003A14B2" w:rsidP="003A14B2">
      <w:pPr>
        <w:rPr>
          <w:rFonts w:ascii="Arial" w:hAnsi="Arial" w:cs="Arial"/>
        </w:rPr>
      </w:pPr>
      <w:r w:rsidRPr="008A24EF">
        <w:rPr>
          <w:rFonts w:ascii="Arial" w:hAnsi="Arial" w:cs="Arial"/>
          <w:b/>
          <w:bCs/>
        </w:rPr>
        <w:t>H</w:t>
      </w:r>
      <w:r w:rsidRPr="008A24EF">
        <w:rPr>
          <w:rFonts w:ascii="Cambria Math" w:hAnsi="Cambria Math" w:cs="Cambria Math"/>
          <w:b/>
          <w:bCs/>
        </w:rPr>
        <w:t>₁</w:t>
      </w:r>
      <w:r w:rsidRPr="008A24EF">
        <w:rPr>
          <w:rFonts w:ascii="Arial" w:hAnsi="Arial" w:cs="Arial"/>
          <w:b/>
          <w:bCs/>
        </w:rPr>
        <w:t>:</w:t>
      </w:r>
      <w:r w:rsidRPr="008A24EF">
        <w:rPr>
          <w:rFonts w:ascii="Arial" w:hAnsi="Arial" w:cs="Arial"/>
        </w:rPr>
        <w:t xml:space="preserve"> Trade has a significant positive impact on economic growth in India</w:t>
      </w:r>
    </w:p>
    <w:p w14:paraId="59280ACE" w14:textId="77777777" w:rsidR="003A14B2" w:rsidRPr="00FB3A86" w:rsidRDefault="003A14B2" w:rsidP="003A14B2">
      <w:pPr>
        <w:pStyle w:val="Body"/>
        <w:spacing w:after="0"/>
        <w:rPr>
          <w:rFonts w:ascii="Arial" w:hAnsi="Arial" w:cs="Arial"/>
        </w:rPr>
      </w:pPr>
    </w:p>
    <w:p w14:paraId="7033629D" w14:textId="77777777" w:rsidR="003A14B2" w:rsidRDefault="00157B05" w:rsidP="003A14B2">
      <w:pPr>
        <w:pStyle w:val="AbstHead"/>
        <w:spacing w:after="0"/>
        <w:jc w:val="both"/>
        <w:rPr>
          <w:rFonts w:ascii="Arial" w:hAnsi="Arial" w:cs="Arial"/>
        </w:rPr>
      </w:pPr>
      <w:proofErr w:type="gramStart"/>
      <w:r>
        <w:rPr>
          <w:rFonts w:ascii="Arial" w:hAnsi="Arial" w:cs="Arial"/>
        </w:rPr>
        <w:t>1</w:t>
      </w:r>
      <w:r w:rsidR="003A14B2">
        <w:rPr>
          <w:rFonts w:ascii="Arial" w:hAnsi="Arial" w:cs="Arial"/>
        </w:rPr>
        <w:t>.</w:t>
      </w:r>
      <w:r>
        <w:rPr>
          <w:rFonts w:ascii="Arial" w:hAnsi="Arial" w:cs="Arial"/>
          <w:highlight w:val="yellow"/>
        </w:rPr>
        <w:t>4</w:t>
      </w:r>
      <w:r w:rsidR="003A14B2">
        <w:rPr>
          <w:rFonts w:ascii="Arial" w:hAnsi="Arial" w:cs="Arial"/>
        </w:rPr>
        <w:t xml:space="preserve">  RESEARCH</w:t>
      </w:r>
      <w:proofErr w:type="gramEnd"/>
      <w:r w:rsidR="003A14B2">
        <w:rPr>
          <w:rFonts w:ascii="Arial" w:hAnsi="Arial" w:cs="Arial"/>
        </w:rPr>
        <w:t xml:space="preserve"> OBJECTIVES</w:t>
      </w:r>
    </w:p>
    <w:p w14:paraId="7E5B22CF" w14:textId="77777777" w:rsidR="003A14B2" w:rsidRPr="008A24EF" w:rsidRDefault="003A14B2" w:rsidP="003A14B2">
      <w:pPr>
        <w:ind w:firstLine="360"/>
        <w:rPr>
          <w:rFonts w:ascii="Arial" w:hAnsi="Arial" w:cs="Arial"/>
        </w:rPr>
      </w:pPr>
      <w:r>
        <w:rPr>
          <w:rFonts w:ascii="Arial" w:hAnsi="Arial" w:cs="Arial"/>
        </w:rPr>
        <w:t>The objectives of the study are</w:t>
      </w:r>
      <w:r>
        <w:rPr>
          <w:rFonts w:ascii="Arial" w:hAnsi="Arial" w:cs="Arial"/>
          <w:highlight w:val="yellow"/>
        </w:rPr>
        <w:t>:</w:t>
      </w:r>
    </w:p>
    <w:p w14:paraId="0953501F" w14:textId="77777777" w:rsidR="003A14B2" w:rsidRPr="008A24EF" w:rsidRDefault="003A14B2" w:rsidP="003A14B2">
      <w:pPr>
        <w:pStyle w:val="ListParagraph"/>
        <w:numPr>
          <w:ilvl w:val="0"/>
          <w:numId w:val="31"/>
        </w:numPr>
        <w:spacing w:after="0" w:line="240" w:lineRule="auto"/>
        <w:ind w:left="360"/>
        <w:rPr>
          <w:rFonts w:ascii="Arial" w:hAnsi="Arial" w:cs="Arial"/>
          <w:sz w:val="20"/>
          <w:szCs w:val="20"/>
        </w:rPr>
      </w:pPr>
      <w:r>
        <w:rPr>
          <w:rFonts w:ascii="Arial" w:hAnsi="Arial" w:cs="Arial"/>
          <w:sz w:val="20"/>
          <w:szCs w:val="20"/>
        </w:rPr>
        <w:t>To analy</w:t>
      </w:r>
      <w:r>
        <w:rPr>
          <w:rFonts w:ascii="Arial" w:hAnsi="Arial" w:cs="Arial"/>
          <w:sz w:val="20"/>
          <w:szCs w:val="20"/>
          <w:highlight w:val="yellow"/>
        </w:rPr>
        <w:t>s</w:t>
      </w:r>
      <w:r>
        <w:rPr>
          <w:rFonts w:ascii="Arial" w:hAnsi="Arial" w:cs="Arial"/>
          <w:sz w:val="20"/>
          <w:szCs w:val="20"/>
        </w:rPr>
        <w:t>e trends in exports, imports, and total trade in India</w:t>
      </w:r>
    </w:p>
    <w:p w14:paraId="5C355E8C" w14:textId="77777777" w:rsidR="003A14B2" w:rsidRPr="008A24EF" w:rsidRDefault="003A14B2" w:rsidP="003A14B2">
      <w:pPr>
        <w:pStyle w:val="ListParagraph"/>
        <w:numPr>
          <w:ilvl w:val="0"/>
          <w:numId w:val="31"/>
        </w:numPr>
        <w:spacing w:after="0" w:line="240" w:lineRule="auto"/>
        <w:ind w:left="360"/>
        <w:rPr>
          <w:rFonts w:ascii="Arial" w:hAnsi="Arial" w:cs="Arial"/>
          <w:sz w:val="20"/>
          <w:szCs w:val="20"/>
        </w:rPr>
      </w:pPr>
      <w:r w:rsidRPr="008A24EF">
        <w:rPr>
          <w:rFonts w:ascii="Arial" w:hAnsi="Arial" w:cs="Arial"/>
          <w:sz w:val="20"/>
          <w:szCs w:val="20"/>
        </w:rPr>
        <w:t>To examine the statistical relationship between total trade and economic growth</w:t>
      </w:r>
    </w:p>
    <w:p w14:paraId="0678FDED" w14:textId="77777777" w:rsidR="003A14B2" w:rsidRPr="008A24EF" w:rsidRDefault="003A14B2" w:rsidP="003A14B2">
      <w:pPr>
        <w:pStyle w:val="ListParagraph"/>
        <w:numPr>
          <w:ilvl w:val="0"/>
          <w:numId w:val="31"/>
        </w:numPr>
        <w:spacing w:after="0" w:line="240" w:lineRule="auto"/>
        <w:ind w:left="360"/>
        <w:rPr>
          <w:rFonts w:ascii="Arial" w:hAnsi="Arial" w:cs="Arial"/>
          <w:sz w:val="20"/>
          <w:szCs w:val="20"/>
        </w:rPr>
      </w:pPr>
      <w:r w:rsidRPr="008A24EF">
        <w:rPr>
          <w:rFonts w:ascii="Arial" w:hAnsi="Arial" w:cs="Arial"/>
          <w:sz w:val="20"/>
          <w:szCs w:val="20"/>
        </w:rPr>
        <w:t>To empirically assess the impact of trade on India’s GDP using a simple econometric model</w:t>
      </w:r>
    </w:p>
    <w:p w14:paraId="6AB21123" w14:textId="77777777" w:rsidR="003A14B2" w:rsidRDefault="003A14B2" w:rsidP="003A14B2">
      <w:pPr>
        <w:rPr>
          <w:rFonts w:ascii="Arial" w:hAnsi="Arial" w:cs="Arial"/>
        </w:rPr>
      </w:pPr>
    </w:p>
    <w:p w14:paraId="4C4853B7" w14:textId="77777777" w:rsidR="00790ADA" w:rsidRPr="00FB3A86" w:rsidRDefault="00157B05" w:rsidP="00441B6F">
      <w:pPr>
        <w:pStyle w:val="AbstHead"/>
        <w:spacing w:after="0"/>
        <w:jc w:val="both"/>
        <w:rPr>
          <w:rFonts w:ascii="Arial" w:hAnsi="Arial" w:cs="Arial"/>
        </w:rPr>
      </w:pPr>
      <w:r>
        <w:rPr>
          <w:rFonts w:ascii="Arial" w:hAnsi="Arial" w:cs="Arial"/>
        </w:rPr>
        <w:t>2</w:t>
      </w:r>
      <w:r w:rsidR="00902823">
        <w:rPr>
          <w:rFonts w:ascii="Arial" w:hAnsi="Arial" w:cs="Arial"/>
        </w:rPr>
        <w:t xml:space="preserve">. </w:t>
      </w:r>
      <w:r w:rsidR="006B57D0">
        <w:rPr>
          <w:rFonts w:ascii="Arial" w:hAnsi="Arial" w:cs="Arial"/>
        </w:rPr>
        <w:t>methodology</w:t>
      </w:r>
    </w:p>
    <w:p w14:paraId="0DC071D2" w14:textId="77777777" w:rsidR="00A11DE5" w:rsidRDefault="003A14B2" w:rsidP="003A14B2">
      <w:pPr>
        <w:ind w:firstLine="720"/>
        <w:jc w:val="both"/>
        <w:rPr>
          <w:rFonts w:ascii="Arial" w:hAnsi="Arial" w:cs="Arial"/>
        </w:rPr>
      </w:pPr>
      <w:r>
        <w:rPr>
          <w:rFonts w:ascii="Arial" w:hAnsi="Arial" w:cs="Arial"/>
        </w:rPr>
        <w:t>This study adopts a quantitative research design to empirically examine the impact of trade on economic growth in India over the period 1997–2025. The analysis is based on annual time-series data and employs descriptive statistics, correlation analysis, and simple econometric techniques to evaluate the relationship between trade and GDP. The study use</w:t>
      </w:r>
      <w:r>
        <w:rPr>
          <w:rFonts w:ascii="Arial" w:hAnsi="Arial" w:cs="Arial"/>
          <w:highlight w:val="yellow"/>
        </w:rPr>
        <w:t>s</w:t>
      </w:r>
      <w:r>
        <w:rPr>
          <w:rFonts w:ascii="Arial" w:hAnsi="Arial" w:cs="Arial"/>
        </w:rPr>
        <w:t xml:space="preserve"> secondary data o</w:t>
      </w:r>
      <w:r>
        <w:rPr>
          <w:rFonts w:ascii="Arial" w:hAnsi="Arial" w:cs="Arial"/>
          <w:highlight w:val="yellow"/>
        </w:rPr>
        <w:t>b</w:t>
      </w:r>
      <w:r>
        <w:rPr>
          <w:rFonts w:ascii="Arial" w:hAnsi="Arial" w:cs="Arial"/>
        </w:rPr>
        <w:t>t</w:t>
      </w:r>
      <w:r>
        <w:rPr>
          <w:rFonts w:ascii="Arial" w:hAnsi="Arial" w:cs="Arial"/>
          <w:highlight w:val="yellow"/>
        </w:rPr>
        <w:t>ain</w:t>
      </w:r>
      <w:r>
        <w:rPr>
          <w:rFonts w:ascii="Arial" w:hAnsi="Arial" w:cs="Arial"/>
        </w:rPr>
        <w:t>ed from</w:t>
      </w:r>
      <w:r>
        <w:rPr>
          <w:rFonts w:ascii="Arial" w:hAnsi="Arial" w:cs="Arial"/>
          <w:highlight w:val="yellow"/>
        </w:rPr>
        <w:t xml:space="preserve"> the</w:t>
      </w:r>
      <w:r>
        <w:rPr>
          <w:rFonts w:ascii="Arial" w:hAnsi="Arial" w:cs="Arial"/>
        </w:rPr>
        <w:t xml:space="preserve"> Ministry of Commerce and Industry</w:t>
      </w:r>
      <w:r>
        <w:rPr>
          <w:rFonts w:ascii="Arial" w:hAnsi="Arial" w:cs="Arial"/>
          <w:highlight w:val="yellow"/>
        </w:rPr>
        <w:t>, Government</w:t>
      </w:r>
      <w:r>
        <w:rPr>
          <w:rFonts w:ascii="Arial" w:hAnsi="Arial" w:cs="Arial"/>
        </w:rPr>
        <w:t xml:space="preserve"> of India</w:t>
      </w:r>
      <w:r>
        <w:rPr>
          <w:rFonts w:ascii="Arial" w:hAnsi="Arial" w:cs="Arial"/>
          <w:highlight w:val="yellow"/>
        </w:rPr>
        <w:t>,</w:t>
      </w:r>
      <w:r>
        <w:rPr>
          <w:rFonts w:ascii="Arial" w:hAnsi="Arial" w:cs="Arial"/>
        </w:rPr>
        <w:t xml:space="preserve"> and</w:t>
      </w:r>
      <w:r>
        <w:rPr>
          <w:rFonts w:ascii="Arial" w:hAnsi="Arial" w:cs="Arial"/>
          <w:highlight w:val="yellow"/>
        </w:rPr>
        <w:t xml:space="preserve"> the</w:t>
      </w:r>
      <w:r>
        <w:rPr>
          <w:rFonts w:ascii="Arial" w:hAnsi="Arial" w:cs="Arial"/>
        </w:rPr>
        <w:t xml:space="preserve"> World Bank</w:t>
      </w:r>
      <w:r>
        <w:rPr>
          <w:rFonts w:ascii="Arial" w:hAnsi="Arial" w:cs="Arial"/>
          <w:highlight w:val="yellow"/>
        </w:rPr>
        <w:t xml:space="preserve"> (Ministry of Commerce and Industry, Government of India, 2026; World Bank, 2026)</w:t>
      </w:r>
      <w:r>
        <w:rPr>
          <w:rFonts w:ascii="Arial" w:hAnsi="Arial" w:cs="Arial"/>
        </w:rPr>
        <w:t>.</w:t>
      </w:r>
    </w:p>
    <w:p w14:paraId="2ADB2CB4" w14:textId="77777777" w:rsidR="003A14B2" w:rsidRPr="008A24EF" w:rsidRDefault="00A11DE5" w:rsidP="003A14B2">
      <w:pPr>
        <w:ind w:firstLine="720"/>
        <w:jc w:val="both"/>
        <w:rPr>
          <w:rFonts w:ascii="Arial" w:hAnsi="Arial" w:cs="Arial"/>
        </w:rPr>
      </w:pPr>
      <w:r>
        <w:rPr>
          <w:rFonts w:ascii="Arial" w:hAnsi="Arial" w:cs="Arial"/>
        </w:rPr>
        <w:t xml:space="preserve">List </w:t>
      </w:r>
      <w:proofErr w:type="gramStart"/>
      <w:r>
        <w:rPr>
          <w:rFonts w:ascii="Arial" w:hAnsi="Arial" w:cs="Arial"/>
        </w:rPr>
        <w:t>1 :</w:t>
      </w:r>
      <w:proofErr w:type="gramEnd"/>
      <w:r>
        <w:rPr>
          <w:rFonts w:ascii="Arial" w:hAnsi="Arial" w:cs="Arial"/>
        </w:rPr>
        <w:t xml:space="preserve"> </w:t>
      </w:r>
      <w:r w:rsidR="003A14B2" w:rsidRPr="008A24EF">
        <w:rPr>
          <w:rFonts w:ascii="Arial" w:hAnsi="Arial" w:cs="Arial"/>
        </w:rPr>
        <w:t>The study includes the following variables</w:t>
      </w:r>
    </w:p>
    <w:tbl>
      <w:tblPr>
        <w:tblStyle w:val="TableGrid"/>
        <w:tblW w:w="0" w:type="auto"/>
        <w:tblInd w:w="468" w:type="dxa"/>
        <w:tblLook w:val="04A0" w:firstRow="1" w:lastRow="0" w:firstColumn="1" w:lastColumn="0" w:noHBand="0" w:noVBand="1"/>
      </w:tblPr>
      <w:tblGrid>
        <w:gridCol w:w="2241"/>
        <w:gridCol w:w="5715"/>
      </w:tblGrid>
      <w:tr w:rsidR="003A14B2" w:rsidRPr="008A24EF" w14:paraId="575C06C8" w14:textId="77777777" w:rsidTr="003A14B2">
        <w:tc>
          <w:tcPr>
            <w:tcW w:w="2241" w:type="dxa"/>
            <w:vAlign w:val="center"/>
          </w:tcPr>
          <w:p w14:paraId="354EBDB3" w14:textId="77777777" w:rsidR="003A14B2" w:rsidRPr="008A24EF" w:rsidRDefault="003A14B2" w:rsidP="003A14B2">
            <w:pPr>
              <w:spacing w:line="480" w:lineRule="auto"/>
              <w:jc w:val="center"/>
              <w:rPr>
                <w:rFonts w:ascii="Arial" w:hAnsi="Arial" w:cs="Arial"/>
                <w:b/>
                <w:bCs/>
                <w:sz w:val="20"/>
                <w:szCs w:val="20"/>
              </w:rPr>
            </w:pPr>
            <w:r w:rsidRPr="008A24EF">
              <w:rPr>
                <w:rFonts w:ascii="Arial" w:hAnsi="Arial" w:cs="Arial"/>
                <w:b/>
                <w:bCs/>
                <w:sz w:val="20"/>
                <w:szCs w:val="20"/>
              </w:rPr>
              <w:t>Variable</w:t>
            </w:r>
          </w:p>
        </w:tc>
        <w:tc>
          <w:tcPr>
            <w:tcW w:w="5715" w:type="dxa"/>
            <w:vAlign w:val="center"/>
          </w:tcPr>
          <w:p w14:paraId="28D03A5F" w14:textId="77777777" w:rsidR="003A14B2" w:rsidRPr="008A24EF" w:rsidRDefault="003A14B2" w:rsidP="003A14B2">
            <w:pPr>
              <w:spacing w:line="480" w:lineRule="auto"/>
              <w:jc w:val="center"/>
              <w:rPr>
                <w:rFonts w:ascii="Arial" w:hAnsi="Arial" w:cs="Arial"/>
                <w:b/>
                <w:bCs/>
                <w:sz w:val="20"/>
                <w:szCs w:val="20"/>
              </w:rPr>
            </w:pPr>
            <w:r w:rsidRPr="008A24EF">
              <w:rPr>
                <w:rFonts w:ascii="Arial" w:hAnsi="Arial" w:cs="Arial"/>
                <w:b/>
                <w:bCs/>
                <w:sz w:val="20"/>
                <w:szCs w:val="20"/>
              </w:rPr>
              <w:t>Description</w:t>
            </w:r>
          </w:p>
        </w:tc>
      </w:tr>
      <w:tr w:rsidR="003A14B2" w:rsidRPr="008A24EF" w14:paraId="3F21FA85" w14:textId="77777777" w:rsidTr="003A14B2">
        <w:tc>
          <w:tcPr>
            <w:tcW w:w="2241" w:type="dxa"/>
            <w:vAlign w:val="center"/>
          </w:tcPr>
          <w:p w14:paraId="007D104F" w14:textId="77777777" w:rsidR="003A14B2" w:rsidRPr="008A24EF" w:rsidRDefault="003A14B2" w:rsidP="003A14B2">
            <w:pPr>
              <w:spacing w:line="480" w:lineRule="auto"/>
              <w:jc w:val="center"/>
              <w:rPr>
                <w:rFonts w:ascii="Arial" w:hAnsi="Arial" w:cs="Arial"/>
                <w:sz w:val="20"/>
                <w:szCs w:val="20"/>
              </w:rPr>
            </w:pPr>
            <w:r w:rsidRPr="008A24EF">
              <w:rPr>
                <w:rFonts w:ascii="Arial" w:hAnsi="Arial" w:cs="Arial"/>
                <w:sz w:val="20"/>
                <w:szCs w:val="20"/>
              </w:rPr>
              <w:t>GDP</w:t>
            </w:r>
          </w:p>
        </w:tc>
        <w:tc>
          <w:tcPr>
            <w:tcW w:w="5715" w:type="dxa"/>
            <w:vAlign w:val="center"/>
          </w:tcPr>
          <w:p w14:paraId="58E75E85" w14:textId="77777777" w:rsidR="003A14B2" w:rsidRPr="008A24EF" w:rsidRDefault="003A14B2" w:rsidP="003A14B2">
            <w:pPr>
              <w:spacing w:line="480" w:lineRule="auto"/>
              <w:rPr>
                <w:rFonts w:ascii="Arial" w:hAnsi="Arial" w:cs="Arial"/>
                <w:sz w:val="20"/>
                <w:szCs w:val="20"/>
              </w:rPr>
            </w:pPr>
            <w:r w:rsidRPr="008A24EF">
              <w:rPr>
                <w:rFonts w:ascii="Arial" w:hAnsi="Arial" w:cs="Arial"/>
                <w:sz w:val="20"/>
                <w:szCs w:val="20"/>
              </w:rPr>
              <w:t>Real Gross Domestic Product (constant prices)</w:t>
            </w:r>
          </w:p>
        </w:tc>
      </w:tr>
      <w:tr w:rsidR="003A14B2" w:rsidRPr="008A24EF" w14:paraId="47231D1C" w14:textId="77777777" w:rsidTr="003A14B2">
        <w:tc>
          <w:tcPr>
            <w:tcW w:w="2241" w:type="dxa"/>
            <w:vAlign w:val="center"/>
          </w:tcPr>
          <w:p w14:paraId="15949C55" w14:textId="77777777" w:rsidR="003A14B2" w:rsidRPr="008A24EF" w:rsidRDefault="003A14B2" w:rsidP="003A14B2">
            <w:pPr>
              <w:spacing w:line="480" w:lineRule="auto"/>
              <w:jc w:val="center"/>
              <w:rPr>
                <w:rFonts w:ascii="Arial" w:hAnsi="Arial" w:cs="Arial"/>
                <w:sz w:val="20"/>
                <w:szCs w:val="20"/>
              </w:rPr>
            </w:pPr>
            <w:r w:rsidRPr="008A24EF">
              <w:rPr>
                <w:rFonts w:ascii="Arial" w:hAnsi="Arial" w:cs="Arial"/>
                <w:sz w:val="20"/>
                <w:szCs w:val="20"/>
              </w:rPr>
              <w:t>EXP</w:t>
            </w:r>
          </w:p>
        </w:tc>
        <w:tc>
          <w:tcPr>
            <w:tcW w:w="5715" w:type="dxa"/>
            <w:vAlign w:val="center"/>
          </w:tcPr>
          <w:p w14:paraId="013E1E75" w14:textId="77777777" w:rsidR="003A14B2" w:rsidRPr="008A24EF" w:rsidRDefault="003A14B2" w:rsidP="003A14B2">
            <w:pPr>
              <w:spacing w:line="480" w:lineRule="auto"/>
              <w:rPr>
                <w:rFonts w:ascii="Arial" w:hAnsi="Arial" w:cs="Arial"/>
                <w:sz w:val="20"/>
                <w:szCs w:val="20"/>
              </w:rPr>
            </w:pPr>
            <w:r w:rsidRPr="008A24EF">
              <w:rPr>
                <w:rFonts w:ascii="Arial" w:hAnsi="Arial" w:cs="Arial"/>
                <w:sz w:val="20"/>
                <w:szCs w:val="20"/>
              </w:rPr>
              <w:t>Total exports of goods and services</w:t>
            </w:r>
          </w:p>
        </w:tc>
      </w:tr>
      <w:tr w:rsidR="003A14B2" w:rsidRPr="008A24EF" w14:paraId="1DA16C8A" w14:textId="77777777" w:rsidTr="003A14B2">
        <w:tc>
          <w:tcPr>
            <w:tcW w:w="2241" w:type="dxa"/>
            <w:vAlign w:val="center"/>
          </w:tcPr>
          <w:p w14:paraId="29209444" w14:textId="77777777" w:rsidR="003A14B2" w:rsidRPr="008A24EF" w:rsidRDefault="003A14B2" w:rsidP="003A14B2">
            <w:pPr>
              <w:spacing w:line="480" w:lineRule="auto"/>
              <w:jc w:val="center"/>
              <w:rPr>
                <w:rFonts w:ascii="Arial" w:hAnsi="Arial" w:cs="Arial"/>
                <w:sz w:val="20"/>
                <w:szCs w:val="20"/>
              </w:rPr>
            </w:pPr>
            <w:r w:rsidRPr="008A24EF">
              <w:rPr>
                <w:rFonts w:ascii="Arial" w:hAnsi="Arial" w:cs="Arial"/>
                <w:sz w:val="20"/>
                <w:szCs w:val="20"/>
              </w:rPr>
              <w:t>IMP</w:t>
            </w:r>
          </w:p>
        </w:tc>
        <w:tc>
          <w:tcPr>
            <w:tcW w:w="5715" w:type="dxa"/>
            <w:vAlign w:val="center"/>
          </w:tcPr>
          <w:p w14:paraId="61E4B284" w14:textId="77777777" w:rsidR="003A14B2" w:rsidRPr="008A24EF" w:rsidRDefault="003A14B2" w:rsidP="003A14B2">
            <w:pPr>
              <w:spacing w:line="480" w:lineRule="auto"/>
              <w:rPr>
                <w:rFonts w:ascii="Arial" w:hAnsi="Arial" w:cs="Arial"/>
                <w:sz w:val="20"/>
                <w:szCs w:val="20"/>
              </w:rPr>
            </w:pPr>
            <w:r w:rsidRPr="008A24EF">
              <w:rPr>
                <w:rFonts w:ascii="Arial" w:hAnsi="Arial" w:cs="Arial"/>
                <w:sz w:val="20"/>
                <w:szCs w:val="20"/>
              </w:rPr>
              <w:t>Total imports of goods and services</w:t>
            </w:r>
          </w:p>
        </w:tc>
      </w:tr>
      <w:tr w:rsidR="003A14B2" w:rsidRPr="008A24EF" w14:paraId="0B20372D" w14:textId="77777777" w:rsidTr="003A14B2">
        <w:tc>
          <w:tcPr>
            <w:tcW w:w="2241" w:type="dxa"/>
            <w:vAlign w:val="center"/>
          </w:tcPr>
          <w:p w14:paraId="54CDA3E7" w14:textId="77777777" w:rsidR="003A14B2" w:rsidRPr="008A24EF" w:rsidRDefault="003A14B2" w:rsidP="003A14B2">
            <w:pPr>
              <w:spacing w:line="480" w:lineRule="auto"/>
              <w:jc w:val="center"/>
              <w:rPr>
                <w:rFonts w:ascii="Arial" w:hAnsi="Arial" w:cs="Arial"/>
                <w:sz w:val="20"/>
                <w:szCs w:val="20"/>
              </w:rPr>
            </w:pPr>
            <w:r w:rsidRPr="008A24EF">
              <w:rPr>
                <w:rFonts w:ascii="Arial" w:hAnsi="Arial" w:cs="Arial"/>
                <w:sz w:val="20"/>
                <w:szCs w:val="20"/>
              </w:rPr>
              <w:t>TRADE</w:t>
            </w:r>
          </w:p>
        </w:tc>
        <w:tc>
          <w:tcPr>
            <w:tcW w:w="5715" w:type="dxa"/>
            <w:vAlign w:val="center"/>
          </w:tcPr>
          <w:p w14:paraId="7015B07A" w14:textId="77777777" w:rsidR="003A14B2" w:rsidRPr="008A24EF" w:rsidRDefault="003A14B2" w:rsidP="003A14B2">
            <w:pPr>
              <w:spacing w:line="480" w:lineRule="auto"/>
              <w:rPr>
                <w:rFonts w:ascii="Arial" w:hAnsi="Arial" w:cs="Arial"/>
                <w:sz w:val="20"/>
                <w:szCs w:val="20"/>
              </w:rPr>
            </w:pPr>
            <w:r w:rsidRPr="008A24EF">
              <w:rPr>
                <w:rFonts w:ascii="Arial" w:hAnsi="Arial" w:cs="Arial"/>
                <w:sz w:val="20"/>
                <w:szCs w:val="20"/>
              </w:rPr>
              <w:t>Total trade (Exports + Imports)</w:t>
            </w:r>
          </w:p>
        </w:tc>
      </w:tr>
      <w:tr w:rsidR="003A14B2" w:rsidRPr="008A24EF" w14:paraId="4B51CC75" w14:textId="77777777" w:rsidTr="003A14B2">
        <w:tc>
          <w:tcPr>
            <w:tcW w:w="2241" w:type="dxa"/>
            <w:vAlign w:val="center"/>
          </w:tcPr>
          <w:p w14:paraId="6DF180C0" w14:textId="77777777" w:rsidR="003A14B2" w:rsidRPr="008A24EF" w:rsidRDefault="003A14B2" w:rsidP="003A14B2">
            <w:pPr>
              <w:spacing w:line="480" w:lineRule="auto"/>
              <w:jc w:val="center"/>
              <w:rPr>
                <w:rFonts w:ascii="Arial" w:hAnsi="Arial" w:cs="Arial"/>
                <w:sz w:val="20"/>
                <w:szCs w:val="20"/>
              </w:rPr>
            </w:pPr>
            <w:r w:rsidRPr="008A24EF">
              <w:rPr>
                <w:rFonts w:ascii="Arial" w:hAnsi="Arial" w:cs="Arial"/>
                <w:sz w:val="20"/>
                <w:szCs w:val="20"/>
              </w:rPr>
              <w:t>GCF</w:t>
            </w:r>
          </w:p>
        </w:tc>
        <w:tc>
          <w:tcPr>
            <w:tcW w:w="5715" w:type="dxa"/>
            <w:vAlign w:val="center"/>
          </w:tcPr>
          <w:p w14:paraId="64E549EC" w14:textId="77777777" w:rsidR="003A14B2" w:rsidRPr="008A24EF" w:rsidRDefault="003A14B2" w:rsidP="003A14B2">
            <w:pPr>
              <w:spacing w:line="480" w:lineRule="auto"/>
              <w:rPr>
                <w:rFonts w:ascii="Arial" w:hAnsi="Arial" w:cs="Arial"/>
                <w:sz w:val="20"/>
                <w:szCs w:val="20"/>
              </w:rPr>
            </w:pPr>
            <w:r w:rsidRPr="008A24EF">
              <w:rPr>
                <w:rFonts w:ascii="Arial" w:hAnsi="Arial" w:cs="Arial"/>
                <w:sz w:val="20"/>
                <w:szCs w:val="20"/>
              </w:rPr>
              <w:t>Gross Capital Formation (control variable)</w:t>
            </w:r>
          </w:p>
        </w:tc>
      </w:tr>
    </w:tbl>
    <w:p w14:paraId="1C1D89A9" w14:textId="77777777" w:rsidR="003A14B2" w:rsidRPr="008A24EF" w:rsidRDefault="003A14B2" w:rsidP="003A14B2">
      <w:pPr>
        <w:jc w:val="both"/>
        <w:rPr>
          <w:rFonts w:ascii="Arial" w:hAnsi="Arial" w:cs="Arial"/>
        </w:rPr>
      </w:pPr>
      <w:r>
        <w:rPr>
          <w:rFonts w:ascii="Arial" w:hAnsi="Arial" w:cs="Arial"/>
        </w:rPr>
        <w:t>All variables are transformed into natural logarithmic form (ln) to reduce heteroskedasticity, interpret coefficients as elasticities</w:t>
      </w:r>
      <w:r>
        <w:rPr>
          <w:rFonts w:ascii="Arial" w:hAnsi="Arial" w:cs="Arial"/>
          <w:highlight w:val="yellow"/>
        </w:rPr>
        <w:t>,</w:t>
      </w:r>
      <w:r>
        <w:rPr>
          <w:rFonts w:ascii="Arial" w:hAnsi="Arial" w:cs="Arial"/>
        </w:rPr>
        <w:t xml:space="preserve"> and improve normality of the data distribution. </w:t>
      </w:r>
    </w:p>
    <w:p w14:paraId="3436D41D" w14:textId="77777777" w:rsidR="003A14B2" w:rsidRDefault="003A14B2" w:rsidP="003A14B2">
      <w:pPr>
        <w:ind w:firstLine="720"/>
        <w:jc w:val="both"/>
        <w:rPr>
          <w:rFonts w:ascii="Arial" w:hAnsi="Arial" w:cs="Arial"/>
        </w:rPr>
      </w:pPr>
      <w:r>
        <w:rPr>
          <w:rFonts w:ascii="Arial" w:hAnsi="Arial" w:cs="Arial"/>
          <w:highlight w:val="yellow"/>
        </w:rPr>
        <w:t>D</w:t>
      </w:r>
      <w:r>
        <w:rPr>
          <w:rFonts w:ascii="Arial" w:hAnsi="Arial" w:cs="Arial"/>
        </w:rPr>
        <w:t>escriptive statistical tools are used to analy</w:t>
      </w:r>
      <w:r>
        <w:rPr>
          <w:rFonts w:ascii="Arial" w:hAnsi="Arial" w:cs="Arial"/>
          <w:highlight w:val="yellow"/>
        </w:rPr>
        <w:t>s</w:t>
      </w:r>
      <w:r>
        <w:rPr>
          <w:rFonts w:ascii="Arial" w:hAnsi="Arial" w:cs="Arial"/>
        </w:rPr>
        <w:t>e the basic characteristics of the variables</w:t>
      </w:r>
      <w:r>
        <w:rPr>
          <w:rFonts w:ascii="Arial" w:hAnsi="Arial" w:cs="Arial"/>
          <w:highlight w:val="yellow"/>
        </w:rPr>
        <w:t>,</w:t>
      </w:r>
      <w:r>
        <w:rPr>
          <w:rFonts w:ascii="Arial" w:hAnsi="Arial" w:cs="Arial"/>
        </w:rPr>
        <w:t xml:space="preserve"> includ</w:t>
      </w:r>
      <w:r>
        <w:rPr>
          <w:rFonts w:ascii="Arial" w:hAnsi="Arial" w:cs="Arial"/>
          <w:highlight w:val="yellow"/>
        </w:rPr>
        <w:t>ing th</w:t>
      </w:r>
      <w:r>
        <w:rPr>
          <w:rFonts w:ascii="Arial" w:hAnsi="Arial" w:cs="Arial"/>
        </w:rPr>
        <w:t xml:space="preserve">e </w:t>
      </w:r>
      <w:r>
        <w:rPr>
          <w:rFonts w:ascii="Arial" w:hAnsi="Arial" w:cs="Arial"/>
          <w:highlight w:val="yellow"/>
        </w:rPr>
        <w:t>m</w:t>
      </w:r>
      <w:r>
        <w:rPr>
          <w:rFonts w:ascii="Arial" w:hAnsi="Arial" w:cs="Arial"/>
        </w:rPr>
        <w:t xml:space="preserve">ean, </w:t>
      </w:r>
      <w:r>
        <w:rPr>
          <w:rFonts w:ascii="Arial" w:hAnsi="Arial" w:cs="Arial"/>
          <w:highlight w:val="yellow"/>
        </w:rPr>
        <w:t>s</w:t>
      </w:r>
      <w:r>
        <w:rPr>
          <w:rFonts w:ascii="Arial" w:hAnsi="Arial" w:cs="Arial"/>
        </w:rPr>
        <w:t xml:space="preserve">tandard deviation, </w:t>
      </w:r>
      <w:r>
        <w:rPr>
          <w:rFonts w:ascii="Arial" w:hAnsi="Arial" w:cs="Arial"/>
          <w:highlight w:val="yellow"/>
        </w:rPr>
        <w:t>m</w:t>
      </w:r>
      <w:r>
        <w:rPr>
          <w:rFonts w:ascii="Arial" w:hAnsi="Arial" w:cs="Arial"/>
        </w:rPr>
        <w:t xml:space="preserve">inimum and maximum values, </w:t>
      </w:r>
      <w:r>
        <w:rPr>
          <w:rFonts w:ascii="Arial" w:hAnsi="Arial" w:cs="Arial"/>
          <w:highlight w:val="yellow"/>
        </w:rPr>
        <w:t>and t</w:t>
      </w:r>
      <w:r>
        <w:rPr>
          <w:rFonts w:ascii="Arial" w:hAnsi="Arial" w:cs="Arial"/>
        </w:rPr>
        <w:t xml:space="preserve">rends </w:t>
      </w:r>
      <w:r>
        <w:rPr>
          <w:rFonts w:ascii="Arial" w:hAnsi="Arial" w:cs="Arial"/>
          <w:highlight w:val="yellow"/>
        </w:rPr>
        <w:t>in</w:t>
      </w:r>
      <w:r>
        <w:rPr>
          <w:rFonts w:ascii="Arial" w:hAnsi="Arial" w:cs="Arial"/>
        </w:rPr>
        <w:t xml:space="preserve"> GDP and trade. Pearson correlation coefficients are calculated to examine the strength and direction of the relationship</w:t>
      </w:r>
      <w:r>
        <w:rPr>
          <w:rFonts w:ascii="Arial" w:hAnsi="Arial" w:cs="Arial"/>
          <w:highlight w:val="yellow"/>
        </w:rPr>
        <w:t>s</w:t>
      </w:r>
      <w:r>
        <w:rPr>
          <w:rFonts w:ascii="Arial" w:hAnsi="Arial" w:cs="Arial"/>
        </w:rPr>
        <w:t xml:space="preserve"> between GDP and </w:t>
      </w:r>
      <w:r>
        <w:rPr>
          <w:rFonts w:ascii="Arial" w:hAnsi="Arial" w:cs="Arial"/>
          <w:highlight w:val="yellow"/>
        </w:rPr>
        <w:t>e</w:t>
      </w:r>
      <w:r>
        <w:rPr>
          <w:rFonts w:ascii="Arial" w:hAnsi="Arial" w:cs="Arial"/>
        </w:rPr>
        <w:t xml:space="preserve">xports, GDP and </w:t>
      </w:r>
      <w:r>
        <w:rPr>
          <w:rFonts w:ascii="Arial" w:hAnsi="Arial" w:cs="Arial"/>
          <w:highlight w:val="yellow"/>
        </w:rPr>
        <w:t>i</w:t>
      </w:r>
      <w:r>
        <w:rPr>
          <w:rFonts w:ascii="Arial" w:hAnsi="Arial" w:cs="Arial"/>
        </w:rPr>
        <w:t>mports</w:t>
      </w:r>
      <w:r>
        <w:rPr>
          <w:rFonts w:ascii="Arial" w:hAnsi="Arial" w:cs="Arial"/>
          <w:highlight w:val="yellow"/>
        </w:rPr>
        <w:t>,</w:t>
      </w:r>
      <w:r>
        <w:rPr>
          <w:rFonts w:ascii="Arial" w:hAnsi="Arial" w:cs="Arial"/>
        </w:rPr>
        <w:t xml:space="preserve"> and GDP and </w:t>
      </w:r>
      <w:r>
        <w:rPr>
          <w:rFonts w:ascii="Arial" w:hAnsi="Arial" w:cs="Arial"/>
          <w:highlight w:val="yellow"/>
        </w:rPr>
        <w:t>t</w:t>
      </w:r>
      <w:r>
        <w:rPr>
          <w:rFonts w:ascii="Arial" w:hAnsi="Arial" w:cs="Arial"/>
        </w:rPr>
        <w:t xml:space="preserve">otal </w:t>
      </w:r>
      <w:r>
        <w:rPr>
          <w:rFonts w:ascii="Arial" w:hAnsi="Arial" w:cs="Arial"/>
          <w:highlight w:val="yellow"/>
        </w:rPr>
        <w:t>t</w:t>
      </w:r>
      <w:r>
        <w:rPr>
          <w:rFonts w:ascii="Arial" w:hAnsi="Arial" w:cs="Arial"/>
        </w:rPr>
        <w:t xml:space="preserve">rade. Since time-series data often contain trends, the Augmented Dickey-Fuller (ADF) test is employed to </w:t>
      </w:r>
      <w:r>
        <w:rPr>
          <w:rFonts w:ascii="Arial" w:hAnsi="Arial" w:cs="Arial"/>
          <w:highlight w:val="yellow"/>
        </w:rPr>
        <w:t>ass</w:t>
      </w:r>
      <w:r>
        <w:rPr>
          <w:rFonts w:ascii="Arial" w:hAnsi="Arial" w:cs="Arial"/>
        </w:rPr>
        <w:t>e</w:t>
      </w:r>
      <w:r>
        <w:rPr>
          <w:rFonts w:ascii="Arial" w:hAnsi="Arial" w:cs="Arial"/>
          <w:highlight w:val="yellow"/>
        </w:rPr>
        <w:t>ss</w:t>
      </w:r>
      <w:r>
        <w:rPr>
          <w:rFonts w:ascii="Arial" w:hAnsi="Arial" w:cs="Arial"/>
        </w:rPr>
        <w:t xml:space="preserve"> whether the variables are stationary. </w:t>
      </w:r>
      <w:r>
        <w:rPr>
          <w:rFonts w:ascii="Arial" w:hAnsi="Arial" w:cs="Arial"/>
          <w:highlight w:val="yellow"/>
        </w:rPr>
        <w:t>S</w:t>
      </w:r>
      <w:r>
        <w:rPr>
          <w:rFonts w:ascii="Arial" w:hAnsi="Arial" w:cs="Arial"/>
        </w:rPr>
        <w:t>tatistical analys</w:t>
      </w:r>
      <w:r>
        <w:rPr>
          <w:rFonts w:ascii="Arial" w:hAnsi="Arial" w:cs="Arial"/>
          <w:highlight w:val="yellow"/>
        </w:rPr>
        <w:t>e</w:t>
      </w:r>
      <w:r>
        <w:rPr>
          <w:rFonts w:ascii="Arial" w:hAnsi="Arial" w:cs="Arial"/>
        </w:rPr>
        <w:t xml:space="preserve">s </w:t>
      </w:r>
      <w:r>
        <w:rPr>
          <w:rFonts w:ascii="Arial" w:hAnsi="Arial" w:cs="Arial"/>
          <w:highlight w:val="yellow"/>
        </w:rPr>
        <w:t>are cond</w:t>
      </w:r>
      <w:r>
        <w:rPr>
          <w:rFonts w:ascii="Arial" w:hAnsi="Arial" w:cs="Arial"/>
        </w:rPr>
        <w:t>uc</w:t>
      </w:r>
      <w:r>
        <w:rPr>
          <w:rFonts w:ascii="Arial" w:hAnsi="Arial" w:cs="Arial"/>
          <w:highlight w:val="yellow"/>
        </w:rPr>
        <w:t>ted</w:t>
      </w:r>
      <w:r>
        <w:rPr>
          <w:rFonts w:ascii="Arial" w:hAnsi="Arial" w:cs="Arial"/>
        </w:rPr>
        <w:t xml:space="preserve"> </w:t>
      </w:r>
      <w:r>
        <w:rPr>
          <w:rFonts w:ascii="Arial" w:hAnsi="Arial" w:cs="Arial"/>
          <w:highlight w:val="yellow"/>
        </w:rPr>
        <w:t>u</w:t>
      </w:r>
      <w:r>
        <w:rPr>
          <w:rFonts w:ascii="Arial" w:hAnsi="Arial" w:cs="Arial"/>
        </w:rPr>
        <w:t>s</w:t>
      </w:r>
      <w:r>
        <w:rPr>
          <w:rFonts w:ascii="Arial" w:hAnsi="Arial" w:cs="Arial"/>
          <w:highlight w:val="yellow"/>
        </w:rPr>
        <w:t>ing</w:t>
      </w:r>
      <w:r>
        <w:rPr>
          <w:rFonts w:ascii="Arial" w:hAnsi="Arial" w:cs="Arial"/>
        </w:rPr>
        <w:t xml:space="preserve"> Excel and EViews software.</w:t>
      </w:r>
    </w:p>
    <w:p w14:paraId="36742D75" w14:textId="77777777" w:rsidR="003A14B2" w:rsidRDefault="003A14B2" w:rsidP="003A14B2">
      <w:pPr>
        <w:jc w:val="both"/>
        <w:rPr>
          <w:rFonts w:ascii="Arial" w:hAnsi="Arial" w:cs="Arial"/>
        </w:rPr>
      </w:pPr>
    </w:p>
    <w:p w14:paraId="2200C1F0" w14:textId="77777777" w:rsidR="003A14B2" w:rsidRPr="003A14B2" w:rsidRDefault="00157B05" w:rsidP="003A14B2">
      <w:pPr>
        <w:jc w:val="both"/>
        <w:rPr>
          <w:rFonts w:ascii="Arial" w:hAnsi="Arial" w:cs="Arial"/>
          <w:b/>
          <w:bCs/>
          <w:sz w:val="22"/>
          <w:szCs w:val="22"/>
        </w:rPr>
      </w:pPr>
      <w:r>
        <w:rPr>
          <w:rFonts w:ascii="Arial" w:hAnsi="Arial" w:cs="Arial"/>
          <w:b/>
          <w:caps/>
          <w:sz w:val="22"/>
          <w:szCs w:val="22"/>
        </w:rPr>
        <w:t>2</w:t>
      </w:r>
      <w:r w:rsidR="003A14B2" w:rsidRPr="003A14B2">
        <w:rPr>
          <w:rFonts w:ascii="Arial" w:hAnsi="Arial" w:cs="Arial"/>
          <w:b/>
          <w:caps/>
          <w:sz w:val="22"/>
          <w:szCs w:val="22"/>
        </w:rPr>
        <w:t xml:space="preserve">.1 </w:t>
      </w:r>
      <w:r w:rsidR="003A14B2" w:rsidRPr="003A14B2">
        <w:rPr>
          <w:rFonts w:ascii="Arial" w:hAnsi="Arial" w:cs="Arial"/>
          <w:b/>
          <w:bCs/>
          <w:sz w:val="22"/>
          <w:szCs w:val="22"/>
        </w:rPr>
        <w:t>Econometric Model Specification</w:t>
      </w:r>
    </w:p>
    <w:p w14:paraId="121CE543" w14:textId="77777777" w:rsidR="003A14B2" w:rsidRPr="00383488" w:rsidRDefault="003A14B2" w:rsidP="003A14B2">
      <w:pPr>
        <w:ind w:firstLine="720"/>
        <w:jc w:val="both"/>
        <w:rPr>
          <w:rFonts w:ascii="Arial" w:hAnsi="Arial" w:cs="Arial"/>
        </w:rPr>
      </w:pPr>
      <w:r w:rsidRPr="00383488">
        <w:rPr>
          <w:rFonts w:ascii="Arial" w:hAnsi="Arial" w:cs="Arial"/>
        </w:rPr>
        <w:t>To empirically assess the impact of trade on economic growth, two log-linear regression models are estimated.</w:t>
      </w:r>
    </w:p>
    <w:p w14:paraId="79940358" w14:textId="77777777" w:rsidR="003A14B2" w:rsidRPr="00B17D18" w:rsidRDefault="00157B05" w:rsidP="003A14B2">
      <w:pPr>
        <w:jc w:val="both"/>
        <w:rPr>
          <w:rFonts w:ascii="Arial" w:hAnsi="Arial" w:cs="Arial"/>
          <w:b/>
          <w:bCs/>
          <w:u w:val="single"/>
        </w:rPr>
      </w:pPr>
      <w:r>
        <w:rPr>
          <w:rFonts w:ascii="Arial" w:hAnsi="Arial" w:cs="Arial"/>
          <w:b/>
          <w:bCs/>
          <w:u w:val="single"/>
        </w:rPr>
        <w:t>2</w:t>
      </w:r>
      <w:r w:rsidR="00B17D18" w:rsidRPr="00B17D18">
        <w:rPr>
          <w:rFonts w:ascii="Arial" w:hAnsi="Arial" w:cs="Arial"/>
          <w:b/>
          <w:bCs/>
          <w:u w:val="single"/>
        </w:rPr>
        <w:t xml:space="preserve">.1.1 </w:t>
      </w:r>
      <w:r w:rsidR="003A14B2" w:rsidRPr="00B17D18">
        <w:rPr>
          <w:rFonts w:ascii="Arial" w:hAnsi="Arial" w:cs="Arial"/>
          <w:b/>
          <w:bCs/>
          <w:u w:val="single"/>
        </w:rPr>
        <w:t>Model 1: Trade-Based Growth Model</w:t>
      </w:r>
    </w:p>
    <w:p w14:paraId="3E51362A" w14:textId="77777777" w:rsidR="003A14B2" w:rsidRPr="00383488" w:rsidRDefault="003A14B2" w:rsidP="003A14B2">
      <w:pPr>
        <w:ind w:firstLine="720"/>
        <w:jc w:val="both"/>
        <w:rPr>
          <w:rFonts w:ascii="Arial" w:hAnsi="Arial" w:cs="Arial"/>
        </w:rPr>
      </w:pPr>
      <m:oMathPara>
        <m:oMath>
          <m:r>
            <m:rPr>
              <m:sty m:val="p"/>
            </m:rPr>
            <w:rPr>
              <w:rFonts w:ascii="Cambria Math" w:hAnsi="Cambria Math" w:cs="Arial"/>
            </w:rPr>
            <m:t>ln</m:t>
          </m:r>
          <m:r>
            <w:rPr>
              <w:rFonts w:ascii="Cambria Math" w:hAnsi="Cambria Math" w:cs="Arial"/>
            </w:rPr>
            <m:t>⁡(GD</m:t>
          </m:r>
          <m:sSub>
            <m:sSubPr>
              <m:ctrlPr>
                <w:rPr>
                  <w:rFonts w:ascii="Cambria Math" w:hAnsi="Cambria Math" w:cs="Arial"/>
                </w:rPr>
              </m:ctrlPr>
            </m:sSubPr>
            <m:e>
              <m:r>
                <w:rPr>
                  <w:rFonts w:ascii="Cambria Math" w:hAnsi="Cambria Math" w:cs="Arial"/>
                </w:rPr>
                <m:t>P</m:t>
              </m:r>
            </m:e>
            <m:sub>
              <m:r>
                <w:rPr>
                  <w:rFonts w:ascii="Cambria Math" w:hAnsi="Cambria Math" w:cs="Arial"/>
                </w:rPr>
                <m:t>t</m:t>
              </m:r>
            </m:sub>
          </m:sSub>
          <m:r>
            <w:rPr>
              <w:rFonts w:ascii="Cambria Math" w:hAnsi="Cambria Math" w:cs="Arial"/>
            </w:rPr>
            <m:t>)=</m:t>
          </m:r>
          <m:sSub>
            <m:sSubPr>
              <m:ctrlPr>
                <w:rPr>
                  <w:rFonts w:ascii="Cambria Math" w:hAnsi="Cambria Math" w:cs="Arial"/>
                </w:rPr>
              </m:ctrlPr>
            </m:sSubPr>
            <m:e>
              <m:r>
                <w:rPr>
                  <w:rFonts w:ascii="Cambria Math" w:hAnsi="Cambria Math" w:cs="Arial"/>
                </w:rPr>
                <m:t>β</m:t>
              </m:r>
            </m:e>
            <m:sub>
              <m:r>
                <w:rPr>
                  <w:rFonts w:ascii="Cambria Math" w:hAnsi="Cambria Math" w:cs="Arial"/>
                </w:rPr>
                <m:t>0</m:t>
              </m:r>
            </m:sub>
          </m:sSub>
          <m:r>
            <w:rPr>
              <w:rFonts w:ascii="Cambria Math" w:hAnsi="Cambria Math" w:cs="Arial"/>
            </w:rPr>
            <m:t>+</m:t>
          </m:r>
          <m:sSub>
            <m:sSubPr>
              <m:ctrlPr>
                <w:rPr>
                  <w:rFonts w:ascii="Cambria Math" w:hAnsi="Cambria Math" w:cs="Arial"/>
                </w:rPr>
              </m:ctrlPr>
            </m:sSubPr>
            <m:e>
              <m:r>
                <w:rPr>
                  <w:rFonts w:ascii="Cambria Math" w:hAnsi="Cambria Math" w:cs="Arial"/>
                </w:rPr>
                <m:t>β</m:t>
              </m:r>
            </m:e>
            <m:sub>
              <m:r>
                <w:rPr>
                  <w:rFonts w:ascii="Cambria Math" w:hAnsi="Cambria Math" w:cs="Arial"/>
                </w:rPr>
                <m:t>1</m:t>
              </m:r>
            </m:sub>
          </m:sSub>
          <m:r>
            <m:rPr>
              <m:sty m:val="p"/>
            </m:rPr>
            <w:rPr>
              <w:rFonts w:ascii="Cambria Math" w:hAnsi="Cambria Math" w:cs="Arial"/>
            </w:rPr>
            <m:t>ln</m:t>
          </m:r>
          <m:r>
            <w:rPr>
              <w:rFonts w:ascii="Cambria Math" w:hAnsi="Cambria Math" w:cs="Arial"/>
            </w:rPr>
            <m:t>⁡(TRAD</m:t>
          </m:r>
          <m:sSub>
            <m:sSubPr>
              <m:ctrlPr>
                <w:rPr>
                  <w:rFonts w:ascii="Cambria Math" w:hAnsi="Cambria Math" w:cs="Arial"/>
                </w:rPr>
              </m:ctrlPr>
            </m:sSubPr>
            <m:e>
              <m:r>
                <w:rPr>
                  <w:rFonts w:ascii="Cambria Math" w:hAnsi="Cambria Math" w:cs="Arial"/>
                </w:rPr>
                <m:t>E</m:t>
              </m:r>
            </m:e>
            <m:sub>
              <m:r>
                <w:rPr>
                  <w:rFonts w:ascii="Cambria Math" w:hAnsi="Cambria Math" w:cs="Arial"/>
                </w:rPr>
                <m:t>t</m:t>
              </m:r>
            </m:sub>
          </m:sSub>
          <m:r>
            <w:rPr>
              <w:rFonts w:ascii="Cambria Math" w:hAnsi="Cambria Math" w:cs="Arial"/>
            </w:rPr>
            <m:t>)+</m:t>
          </m:r>
          <m:sSub>
            <m:sSubPr>
              <m:ctrlPr>
                <w:rPr>
                  <w:rFonts w:ascii="Cambria Math" w:hAnsi="Cambria Math" w:cs="Arial"/>
                </w:rPr>
              </m:ctrlPr>
            </m:sSubPr>
            <m:e>
              <m:r>
                <w:rPr>
                  <w:rFonts w:ascii="Cambria Math" w:hAnsi="Cambria Math" w:cs="Arial"/>
                </w:rPr>
                <m:t>ε</m:t>
              </m:r>
            </m:e>
            <m:sub>
              <m:r>
                <w:rPr>
                  <w:rFonts w:ascii="Cambria Math" w:hAnsi="Cambria Math" w:cs="Arial"/>
                </w:rPr>
                <m:t>t</m:t>
              </m:r>
            </m:sub>
          </m:sSub>
          <m:r>
            <m:rPr>
              <m:sty m:val="p"/>
            </m:rPr>
            <w:rPr>
              <w:rFonts w:ascii="Cambria Math" w:hAnsi="Cambria Math" w:cs="Arial"/>
            </w:rPr>
            <w:br/>
          </m:r>
        </m:oMath>
      </m:oMathPara>
      <w:r w:rsidRPr="00383488">
        <w:rPr>
          <w:rFonts w:ascii="Arial" w:hAnsi="Arial" w:cs="Arial"/>
        </w:rPr>
        <w:t>Where:</w:t>
      </w:r>
    </w:p>
    <w:p w14:paraId="4C97B203" w14:textId="77777777" w:rsidR="003A14B2" w:rsidRPr="00383488" w:rsidRDefault="003A14B2" w:rsidP="003A14B2">
      <w:pPr>
        <w:numPr>
          <w:ilvl w:val="0"/>
          <w:numId w:val="33"/>
        </w:numPr>
        <w:jc w:val="both"/>
        <w:rPr>
          <w:rFonts w:ascii="Arial" w:hAnsi="Arial" w:cs="Arial"/>
        </w:rPr>
      </w:pPr>
      <m:oMath>
        <m:r>
          <w:rPr>
            <w:rFonts w:ascii="Cambria Math" w:hAnsi="Cambria Math" w:cs="Arial"/>
          </w:rPr>
          <m:t>GD</m:t>
        </m:r>
        <m:sSub>
          <m:sSubPr>
            <m:ctrlPr>
              <w:rPr>
                <w:rFonts w:ascii="Cambria Math" w:hAnsi="Cambria Math" w:cs="Arial"/>
              </w:rPr>
            </m:ctrlPr>
          </m:sSubPr>
          <m:e>
            <m:r>
              <w:rPr>
                <w:rFonts w:ascii="Cambria Math" w:hAnsi="Cambria Math" w:cs="Arial"/>
              </w:rPr>
              <m:t>P</m:t>
            </m:r>
          </m:e>
          <m:sub>
            <m:r>
              <w:rPr>
                <w:rFonts w:ascii="Cambria Math" w:hAnsi="Cambria Math" w:cs="Arial"/>
              </w:rPr>
              <m:t>t</m:t>
            </m:r>
          </m:sub>
        </m:sSub>
      </m:oMath>
      <w:r w:rsidRPr="00383488">
        <w:rPr>
          <w:rFonts w:ascii="Arial" w:hAnsi="Arial" w:cs="Arial"/>
        </w:rPr>
        <w:t>= Real GDP</w:t>
      </w:r>
    </w:p>
    <w:p w14:paraId="7295053D" w14:textId="77777777" w:rsidR="003A14B2" w:rsidRPr="00383488" w:rsidRDefault="003A14B2" w:rsidP="003A14B2">
      <w:pPr>
        <w:numPr>
          <w:ilvl w:val="0"/>
          <w:numId w:val="33"/>
        </w:numPr>
        <w:jc w:val="both"/>
        <w:rPr>
          <w:rFonts w:ascii="Arial" w:hAnsi="Arial" w:cs="Arial"/>
        </w:rPr>
      </w:pPr>
      <m:oMath>
        <m:r>
          <w:rPr>
            <w:rFonts w:ascii="Cambria Math" w:hAnsi="Cambria Math" w:cs="Arial"/>
          </w:rPr>
          <m:t>TRAD</m:t>
        </m:r>
        <m:sSub>
          <m:sSubPr>
            <m:ctrlPr>
              <w:rPr>
                <w:rFonts w:ascii="Cambria Math" w:hAnsi="Cambria Math" w:cs="Arial"/>
              </w:rPr>
            </m:ctrlPr>
          </m:sSubPr>
          <m:e>
            <m:r>
              <w:rPr>
                <w:rFonts w:ascii="Cambria Math" w:hAnsi="Cambria Math" w:cs="Arial"/>
              </w:rPr>
              <m:t>E</m:t>
            </m:r>
          </m:e>
          <m:sub>
            <m:r>
              <w:rPr>
                <w:rFonts w:ascii="Cambria Math" w:hAnsi="Cambria Math" w:cs="Arial"/>
              </w:rPr>
              <m:t>t</m:t>
            </m:r>
          </m:sub>
        </m:sSub>
      </m:oMath>
      <w:r w:rsidRPr="00383488">
        <w:rPr>
          <w:rFonts w:ascii="Arial" w:hAnsi="Arial" w:cs="Arial"/>
        </w:rPr>
        <w:t>= Exports + Imports</w:t>
      </w:r>
    </w:p>
    <w:p w14:paraId="59F6E16E" w14:textId="77777777" w:rsidR="003A14B2" w:rsidRPr="00383488" w:rsidRDefault="00000000" w:rsidP="003A14B2">
      <w:pPr>
        <w:numPr>
          <w:ilvl w:val="0"/>
          <w:numId w:val="33"/>
        </w:numPr>
        <w:jc w:val="both"/>
        <w:rPr>
          <w:rFonts w:ascii="Arial" w:hAnsi="Arial" w:cs="Arial"/>
        </w:rPr>
      </w:pPr>
      <m:oMath>
        <m:sSub>
          <m:sSubPr>
            <m:ctrlPr>
              <w:rPr>
                <w:rFonts w:ascii="Cambria Math" w:hAnsi="Cambria Math" w:cs="Arial"/>
              </w:rPr>
            </m:ctrlPr>
          </m:sSubPr>
          <m:e>
            <m:r>
              <w:rPr>
                <w:rFonts w:ascii="Cambria Math" w:hAnsi="Cambria Math" w:cs="Arial"/>
              </w:rPr>
              <m:t>β</m:t>
            </m:r>
          </m:e>
          <m:sub>
            <m:r>
              <w:rPr>
                <w:rFonts w:ascii="Cambria Math" w:hAnsi="Cambria Math" w:cs="Arial"/>
              </w:rPr>
              <m:t>1</m:t>
            </m:r>
          </m:sub>
        </m:sSub>
      </m:oMath>
      <w:r w:rsidR="003A14B2" w:rsidRPr="00383488">
        <w:rPr>
          <w:rFonts w:ascii="Arial" w:hAnsi="Arial" w:cs="Arial"/>
        </w:rPr>
        <w:t>= Trade elasticity of GDP</w:t>
      </w:r>
    </w:p>
    <w:p w14:paraId="6F3324EE" w14:textId="77777777" w:rsidR="003A14B2" w:rsidRPr="00383488" w:rsidRDefault="00000000" w:rsidP="003A14B2">
      <w:pPr>
        <w:numPr>
          <w:ilvl w:val="0"/>
          <w:numId w:val="33"/>
        </w:numPr>
        <w:jc w:val="both"/>
        <w:rPr>
          <w:rFonts w:ascii="Arial" w:hAnsi="Arial" w:cs="Arial"/>
        </w:rPr>
      </w:pPr>
      <m:oMath>
        <m:sSub>
          <m:sSubPr>
            <m:ctrlPr>
              <w:rPr>
                <w:rFonts w:ascii="Cambria Math" w:hAnsi="Cambria Math" w:cs="Arial"/>
              </w:rPr>
            </m:ctrlPr>
          </m:sSubPr>
          <m:e>
            <m:r>
              <w:rPr>
                <w:rFonts w:ascii="Cambria Math" w:hAnsi="Cambria Math" w:cs="Arial"/>
              </w:rPr>
              <m:t>ε</m:t>
            </m:r>
          </m:e>
          <m:sub>
            <m:r>
              <w:rPr>
                <w:rFonts w:ascii="Cambria Math" w:hAnsi="Cambria Math" w:cs="Arial"/>
              </w:rPr>
              <m:t>t</m:t>
            </m:r>
          </m:sub>
        </m:sSub>
      </m:oMath>
      <w:r w:rsidR="003A14B2" w:rsidRPr="00383488">
        <w:rPr>
          <w:rFonts w:ascii="Arial" w:hAnsi="Arial" w:cs="Arial"/>
        </w:rPr>
        <w:t>= Error term</w:t>
      </w:r>
    </w:p>
    <w:p w14:paraId="181CB4DA" w14:textId="77777777" w:rsidR="003A14B2" w:rsidRPr="00383488" w:rsidRDefault="003A14B2" w:rsidP="003A14B2">
      <w:pPr>
        <w:ind w:firstLine="720"/>
        <w:jc w:val="both"/>
        <w:rPr>
          <w:rFonts w:ascii="Arial" w:hAnsi="Arial" w:cs="Arial"/>
        </w:rPr>
      </w:pPr>
    </w:p>
    <w:p w14:paraId="2052C260" w14:textId="77777777" w:rsidR="003A14B2" w:rsidRPr="00B17D18" w:rsidRDefault="00157B05" w:rsidP="003A14B2">
      <w:pPr>
        <w:jc w:val="both"/>
        <w:rPr>
          <w:rFonts w:ascii="Arial" w:hAnsi="Arial" w:cs="Arial"/>
          <w:b/>
          <w:bCs/>
          <w:u w:val="single"/>
        </w:rPr>
      </w:pPr>
      <w:r>
        <w:rPr>
          <w:rFonts w:ascii="Arial" w:hAnsi="Arial" w:cs="Arial"/>
          <w:b/>
          <w:bCs/>
          <w:u w:val="single"/>
        </w:rPr>
        <w:t>2</w:t>
      </w:r>
      <w:r w:rsidR="00B17D18" w:rsidRPr="00B17D18">
        <w:rPr>
          <w:rFonts w:ascii="Arial" w:hAnsi="Arial" w:cs="Arial"/>
          <w:b/>
          <w:bCs/>
          <w:u w:val="single"/>
        </w:rPr>
        <w:t xml:space="preserve">.1.2 </w:t>
      </w:r>
      <w:r w:rsidR="003A14B2" w:rsidRPr="00B17D18">
        <w:rPr>
          <w:rFonts w:ascii="Arial" w:hAnsi="Arial" w:cs="Arial"/>
          <w:b/>
          <w:bCs/>
          <w:u w:val="single"/>
        </w:rPr>
        <w:t>Model 2: Disaggregated Trade Model</w:t>
      </w:r>
    </w:p>
    <w:p w14:paraId="21F792AD" w14:textId="77777777" w:rsidR="003A14B2" w:rsidRPr="00383488" w:rsidRDefault="003A14B2" w:rsidP="003A14B2">
      <w:pPr>
        <w:ind w:firstLine="720"/>
        <w:jc w:val="both"/>
        <w:rPr>
          <w:rFonts w:ascii="Arial" w:hAnsi="Arial" w:cs="Arial"/>
        </w:rPr>
      </w:pPr>
      <m:oMathPara>
        <m:oMath>
          <m:r>
            <m:rPr>
              <m:sty m:val="p"/>
            </m:rPr>
            <w:rPr>
              <w:rFonts w:ascii="Cambria Math" w:hAnsi="Cambria Math" w:cs="Arial"/>
            </w:rPr>
            <m:t>ln</m:t>
          </m:r>
          <m:r>
            <w:rPr>
              <w:rFonts w:ascii="Cambria Math" w:hAnsi="Cambria Math" w:cs="Arial"/>
            </w:rPr>
            <m:t>⁡(GD</m:t>
          </m:r>
          <m:sSub>
            <m:sSubPr>
              <m:ctrlPr>
                <w:rPr>
                  <w:rFonts w:ascii="Cambria Math" w:hAnsi="Cambria Math" w:cs="Arial"/>
                </w:rPr>
              </m:ctrlPr>
            </m:sSubPr>
            <m:e>
              <m:r>
                <w:rPr>
                  <w:rFonts w:ascii="Cambria Math" w:hAnsi="Cambria Math" w:cs="Arial"/>
                </w:rPr>
                <m:t>P</m:t>
              </m:r>
            </m:e>
            <m:sub>
              <m:r>
                <w:rPr>
                  <w:rFonts w:ascii="Cambria Math" w:hAnsi="Cambria Math" w:cs="Arial"/>
                </w:rPr>
                <m:t>t</m:t>
              </m:r>
            </m:sub>
          </m:sSub>
          <m:r>
            <w:rPr>
              <w:rFonts w:ascii="Cambria Math" w:hAnsi="Cambria Math" w:cs="Arial"/>
            </w:rPr>
            <m:t>)=</m:t>
          </m:r>
          <m:sSub>
            <m:sSubPr>
              <m:ctrlPr>
                <w:rPr>
                  <w:rFonts w:ascii="Cambria Math" w:hAnsi="Cambria Math" w:cs="Arial"/>
                </w:rPr>
              </m:ctrlPr>
            </m:sSubPr>
            <m:e>
              <m:r>
                <w:rPr>
                  <w:rFonts w:ascii="Cambria Math" w:hAnsi="Cambria Math" w:cs="Arial"/>
                </w:rPr>
                <m:t>β</m:t>
              </m:r>
            </m:e>
            <m:sub>
              <m:r>
                <w:rPr>
                  <w:rFonts w:ascii="Cambria Math" w:hAnsi="Cambria Math" w:cs="Arial"/>
                </w:rPr>
                <m:t>0</m:t>
              </m:r>
            </m:sub>
          </m:sSub>
          <m:r>
            <w:rPr>
              <w:rFonts w:ascii="Cambria Math" w:hAnsi="Cambria Math" w:cs="Arial"/>
            </w:rPr>
            <m:t>+</m:t>
          </m:r>
          <m:sSub>
            <m:sSubPr>
              <m:ctrlPr>
                <w:rPr>
                  <w:rFonts w:ascii="Cambria Math" w:hAnsi="Cambria Math" w:cs="Arial"/>
                </w:rPr>
              </m:ctrlPr>
            </m:sSubPr>
            <m:e>
              <m:r>
                <w:rPr>
                  <w:rFonts w:ascii="Cambria Math" w:hAnsi="Cambria Math" w:cs="Arial"/>
                </w:rPr>
                <m:t>β</m:t>
              </m:r>
            </m:e>
            <m:sub>
              <m:r>
                <w:rPr>
                  <w:rFonts w:ascii="Cambria Math" w:hAnsi="Cambria Math" w:cs="Arial"/>
                </w:rPr>
                <m:t>1</m:t>
              </m:r>
            </m:sub>
          </m:sSub>
          <m:r>
            <m:rPr>
              <m:sty m:val="p"/>
            </m:rPr>
            <w:rPr>
              <w:rFonts w:ascii="Cambria Math" w:hAnsi="Cambria Math" w:cs="Arial"/>
            </w:rPr>
            <m:t>ln</m:t>
          </m:r>
          <m:r>
            <w:rPr>
              <w:rFonts w:ascii="Cambria Math" w:hAnsi="Cambria Math" w:cs="Arial"/>
            </w:rPr>
            <m:t>⁡(EX</m:t>
          </m:r>
          <m:sSub>
            <m:sSubPr>
              <m:ctrlPr>
                <w:rPr>
                  <w:rFonts w:ascii="Cambria Math" w:hAnsi="Cambria Math" w:cs="Arial"/>
                </w:rPr>
              </m:ctrlPr>
            </m:sSubPr>
            <m:e>
              <m:r>
                <w:rPr>
                  <w:rFonts w:ascii="Cambria Math" w:hAnsi="Cambria Math" w:cs="Arial"/>
                </w:rPr>
                <m:t>P</m:t>
              </m:r>
            </m:e>
            <m:sub>
              <m:r>
                <w:rPr>
                  <w:rFonts w:ascii="Cambria Math" w:hAnsi="Cambria Math" w:cs="Arial"/>
                </w:rPr>
                <m:t>t</m:t>
              </m:r>
            </m:sub>
          </m:sSub>
          <m:r>
            <w:rPr>
              <w:rFonts w:ascii="Cambria Math" w:hAnsi="Cambria Math" w:cs="Arial"/>
            </w:rPr>
            <m:t>)+</m:t>
          </m:r>
          <m:sSub>
            <m:sSubPr>
              <m:ctrlPr>
                <w:rPr>
                  <w:rFonts w:ascii="Cambria Math" w:hAnsi="Cambria Math" w:cs="Arial"/>
                </w:rPr>
              </m:ctrlPr>
            </m:sSubPr>
            <m:e>
              <m:r>
                <w:rPr>
                  <w:rFonts w:ascii="Cambria Math" w:hAnsi="Cambria Math" w:cs="Arial"/>
                </w:rPr>
                <m:t>β</m:t>
              </m:r>
            </m:e>
            <m:sub>
              <m:r>
                <w:rPr>
                  <w:rFonts w:ascii="Cambria Math" w:hAnsi="Cambria Math" w:cs="Arial"/>
                </w:rPr>
                <m:t>2</m:t>
              </m:r>
            </m:sub>
          </m:sSub>
          <m:r>
            <m:rPr>
              <m:sty m:val="p"/>
            </m:rPr>
            <w:rPr>
              <w:rFonts w:ascii="Cambria Math" w:hAnsi="Cambria Math" w:cs="Arial"/>
            </w:rPr>
            <m:t>ln</m:t>
          </m:r>
          <m:r>
            <w:rPr>
              <w:rFonts w:ascii="Cambria Math" w:hAnsi="Cambria Math" w:cs="Arial"/>
            </w:rPr>
            <m:t>⁡(IM</m:t>
          </m:r>
          <m:sSub>
            <m:sSubPr>
              <m:ctrlPr>
                <w:rPr>
                  <w:rFonts w:ascii="Cambria Math" w:hAnsi="Cambria Math" w:cs="Arial"/>
                </w:rPr>
              </m:ctrlPr>
            </m:sSubPr>
            <m:e>
              <m:r>
                <w:rPr>
                  <w:rFonts w:ascii="Cambria Math" w:hAnsi="Cambria Math" w:cs="Arial"/>
                </w:rPr>
                <m:t>P</m:t>
              </m:r>
            </m:e>
            <m:sub>
              <m:r>
                <w:rPr>
                  <w:rFonts w:ascii="Cambria Math" w:hAnsi="Cambria Math" w:cs="Arial"/>
                </w:rPr>
                <m:t>t</m:t>
              </m:r>
            </m:sub>
          </m:sSub>
          <m:r>
            <w:rPr>
              <w:rFonts w:ascii="Cambria Math" w:hAnsi="Cambria Math" w:cs="Arial"/>
            </w:rPr>
            <m:t>)+</m:t>
          </m:r>
          <m:sSub>
            <m:sSubPr>
              <m:ctrlPr>
                <w:rPr>
                  <w:rFonts w:ascii="Cambria Math" w:hAnsi="Cambria Math" w:cs="Arial"/>
                </w:rPr>
              </m:ctrlPr>
            </m:sSubPr>
            <m:e>
              <m:r>
                <w:rPr>
                  <w:rFonts w:ascii="Cambria Math" w:hAnsi="Cambria Math" w:cs="Arial"/>
                </w:rPr>
                <m:t>ε</m:t>
              </m:r>
            </m:e>
            <m:sub>
              <m:r>
                <w:rPr>
                  <w:rFonts w:ascii="Cambria Math" w:hAnsi="Cambria Math" w:cs="Arial"/>
                </w:rPr>
                <m:t>t</m:t>
              </m:r>
            </m:sub>
          </m:sSub>
          <m:r>
            <m:rPr>
              <m:sty m:val="p"/>
            </m:rPr>
            <w:rPr>
              <w:rFonts w:ascii="Cambria Math" w:hAnsi="Cambria Math" w:cs="Arial"/>
            </w:rPr>
            <w:br/>
          </m:r>
        </m:oMath>
      </m:oMathPara>
      <w:r w:rsidRPr="00383488">
        <w:rPr>
          <w:rFonts w:ascii="Arial" w:hAnsi="Arial" w:cs="Arial"/>
        </w:rPr>
        <w:t>Where:</w:t>
      </w:r>
    </w:p>
    <w:p w14:paraId="31C2BA5C" w14:textId="77777777" w:rsidR="003A14B2" w:rsidRPr="00383488" w:rsidRDefault="003A14B2" w:rsidP="003A14B2">
      <w:pPr>
        <w:numPr>
          <w:ilvl w:val="0"/>
          <w:numId w:val="34"/>
        </w:numPr>
        <w:jc w:val="both"/>
        <w:rPr>
          <w:rFonts w:ascii="Arial" w:hAnsi="Arial" w:cs="Arial"/>
        </w:rPr>
      </w:pPr>
      <m:oMath>
        <m:r>
          <w:rPr>
            <w:rFonts w:ascii="Cambria Math" w:hAnsi="Cambria Math" w:cs="Arial"/>
          </w:rPr>
          <m:t>EX</m:t>
        </m:r>
        <m:sSub>
          <m:sSubPr>
            <m:ctrlPr>
              <w:rPr>
                <w:rFonts w:ascii="Cambria Math" w:hAnsi="Cambria Math" w:cs="Arial"/>
              </w:rPr>
            </m:ctrlPr>
          </m:sSubPr>
          <m:e>
            <m:r>
              <w:rPr>
                <w:rFonts w:ascii="Cambria Math" w:hAnsi="Cambria Math" w:cs="Arial"/>
              </w:rPr>
              <m:t>P</m:t>
            </m:r>
          </m:e>
          <m:sub>
            <m:r>
              <w:rPr>
                <w:rFonts w:ascii="Cambria Math" w:hAnsi="Cambria Math" w:cs="Arial"/>
              </w:rPr>
              <m:t>t</m:t>
            </m:r>
          </m:sub>
        </m:sSub>
      </m:oMath>
      <w:r w:rsidRPr="00383488">
        <w:rPr>
          <w:rFonts w:ascii="Arial" w:hAnsi="Arial" w:cs="Arial"/>
        </w:rPr>
        <w:t>= Exports</w:t>
      </w:r>
    </w:p>
    <w:p w14:paraId="16742827" w14:textId="77777777" w:rsidR="003A14B2" w:rsidRPr="00383488" w:rsidRDefault="003A14B2" w:rsidP="003A14B2">
      <w:pPr>
        <w:numPr>
          <w:ilvl w:val="0"/>
          <w:numId w:val="34"/>
        </w:numPr>
        <w:jc w:val="both"/>
        <w:rPr>
          <w:rFonts w:ascii="Arial" w:hAnsi="Arial" w:cs="Arial"/>
        </w:rPr>
      </w:pPr>
      <m:oMath>
        <m:r>
          <w:rPr>
            <w:rFonts w:ascii="Cambria Math" w:hAnsi="Cambria Math" w:cs="Arial"/>
          </w:rPr>
          <m:t>IM</m:t>
        </m:r>
        <m:sSub>
          <m:sSubPr>
            <m:ctrlPr>
              <w:rPr>
                <w:rFonts w:ascii="Cambria Math" w:hAnsi="Cambria Math" w:cs="Arial"/>
              </w:rPr>
            </m:ctrlPr>
          </m:sSubPr>
          <m:e>
            <m:r>
              <w:rPr>
                <w:rFonts w:ascii="Cambria Math" w:hAnsi="Cambria Math" w:cs="Arial"/>
              </w:rPr>
              <m:t>P</m:t>
            </m:r>
          </m:e>
          <m:sub>
            <m:r>
              <w:rPr>
                <w:rFonts w:ascii="Cambria Math" w:hAnsi="Cambria Math" w:cs="Arial"/>
              </w:rPr>
              <m:t>t</m:t>
            </m:r>
          </m:sub>
        </m:sSub>
      </m:oMath>
      <w:r w:rsidRPr="00383488">
        <w:rPr>
          <w:rFonts w:ascii="Arial" w:hAnsi="Arial" w:cs="Arial"/>
        </w:rPr>
        <w:t>= Imports</w:t>
      </w:r>
    </w:p>
    <w:p w14:paraId="013513A6" w14:textId="77777777" w:rsidR="003A14B2" w:rsidRPr="00383488" w:rsidRDefault="00000000" w:rsidP="003A14B2">
      <w:pPr>
        <w:numPr>
          <w:ilvl w:val="0"/>
          <w:numId w:val="34"/>
        </w:numPr>
        <w:jc w:val="both"/>
        <w:rPr>
          <w:rFonts w:ascii="Arial" w:hAnsi="Arial" w:cs="Arial"/>
        </w:rPr>
      </w:pPr>
      <m:oMath>
        <m:sSub>
          <m:sSubPr>
            <m:ctrlPr>
              <w:rPr>
                <w:rFonts w:ascii="Cambria Math" w:hAnsi="Cambria Math" w:cs="Arial"/>
              </w:rPr>
            </m:ctrlPr>
          </m:sSubPr>
          <m:e>
            <m:r>
              <w:rPr>
                <w:rFonts w:ascii="Cambria Math" w:hAnsi="Cambria Math" w:cs="Arial"/>
              </w:rPr>
              <m:t>β</m:t>
            </m:r>
          </m:e>
          <m:sub>
            <m:r>
              <w:rPr>
                <w:rFonts w:ascii="Cambria Math" w:hAnsi="Cambria Math" w:cs="Arial"/>
              </w:rPr>
              <m:t>1</m:t>
            </m:r>
          </m:sub>
        </m:sSub>
      </m:oMath>
      <w:r w:rsidR="003A14B2" w:rsidRPr="00383488">
        <w:rPr>
          <w:rFonts w:ascii="Arial" w:hAnsi="Arial" w:cs="Arial"/>
        </w:rPr>
        <w:t xml:space="preserve">and </w:t>
      </w:r>
      <m:oMath>
        <m:sSub>
          <m:sSubPr>
            <m:ctrlPr>
              <w:rPr>
                <w:rFonts w:ascii="Cambria Math" w:hAnsi="Cambria Math" w:cs="Arial"/>
              </w:rPr>
            </m:ctrlPr>
          </m:sSubPr>
          <m:e>
            <m:r>
              <w:rPr>
                <w:rFonts w:ascii="Cambria Math" w:hAnsi="Cambria Math" w:cs="Arial"/>
              </w:rPr>
              <m:t>β</m:t>
            </m:r>
          </m:e>
          <m:sub>
            <m:r>
              <w:rPr>
                <w:rFonts w:ascii="Cambria Math" w:hAnsi="Cambria Math" w:cs="Arial"/>
              </w:rPr>
              <m:t>2</m:t>
            </m:r>
          </m:sub>
        </m:sSub>
      </m:oMath>
      <w:r w:rsidR="003A14B2" w:rsidRPr="00383488">
        <w:rPr>
          <w:rFonts w:ascii="Arial" w:hAnsi="Arial" w:cs="Arial"/>
        </w:rPr>
        <w:t>measure the individual impact of exports and imports respectively.</w:t>
      </w:r>
    </w:p>
    <w:p w14:paraId="6C3F729C" w14:textId="77777777" w:rsidR="003A14B2" w:rsidRPr="00383488" w:rsidRDefault="003A14B2" w:rsidP="003A14B2">
      <w:pPr>
        <w:rPr>
          <w:rFonts w:ascii="Arial" w:hAnsi="Arial" w:cs="Arial"/>
        </w:rPr>
      </w:pPr>
    </w:p>
    <w:p w14:paraId="591CCA6D" w14:textId="77777777" w:rsidR="003A14B2" w:rsidRPr="00B17D18" w:rsidRDefault="00157B05" w:rsidP="003A14B2">
      <w:pPr>
        <w:jc w:val="both"/>
        <w:rPr>
          <w:rFonts w:ascii="Arial" w:hAnsi="Arial" w:cs="Arial"/>
          <w:b/>
          <w:bCs/>
          <w:u w:val="single"/>
        </w:rPr>
      </w:pPr>
      <w:r>
        <w:rPr>
          <w:rFonts w:ascii="Arial" w:hAnsi="Arial" w:cs="Arial"/>
          <w:b/>
          <w:bCs/>
          <w:u w:val="single"/>
        </w:rPr>
        <w:t>2</w:t>
      </w:r>
      <w:r w:rsidR="00B17D18" w:rsidRPr="00B17D18">
        <w:rPr>
          <w:rFonts w:ascii="Arial" w:hAnsi="Arial" w:cs="Arial"/>
          <w:b/>
          <w:bCs/>
          <w:u w:val="single"/>
        </w:rPr>
        <w:t xml:space="preserve">.1.3 </w:t>
      </w:r>
      <w:r w:rsidR="003A14B2" w:rsidRPr="00B17D18">
        <w:rPr>
          <w:rFonts w:ascii="Arial" w:hAnsi="Arial" w:cs="Arial"/>
          <w:b/>
          <w:bCs/>
          <w:u w:val="single"/>
        </w:rPr>
        <w:t>Extended Model</w:t>
      </w:r>
    </w:p>
    <w:p w14:paraId="408E9170" w14:textId="77777777" w:rsidR="003A14B2" w:rsidRPr="00383488" w:rsidRDefault="003A14B2" w:rsidP="003A14B2">
      <w:pPr>
        <w:ind w:firstLine="720"/>
        <w:jc w:val="both"/>
        <w:rPr>
          <w:rFonts w:ascii="Arial" w:eastAsiaTheme="minorEastAsia" w:hAnsi="Arial" w:cs="Arial"/>
        </w:rPr>
      </w:pPr>
      <m:oMathPara>
        <m:oMath>
          <m:r>
            <m:rPr>
              <m:sty m:val="p"/>
            </m:rPr>
            <w:rPr>
              <w:rFonts w:ascii="Cambria Math" w:hAnsi="Cambria Math" w:cs="Arial"/>
            </w:rPr>
            <m:t>ln</m:t>
          </m:r>
          <m:r>
            <w:rPr>
              <w:rFonts w:ascii="Cambria Math" w:hAnsi="Cambria Math" w:cs="Arial"/>
            </w:rPr>
            <m:t>⁡(GD</m:t>
          </m:r>
          <m:sSub>
            <m:sSubPr>
              <m:ctrlPr>
                <w:rPr>
                  <w:rFonts w:ascii="Cambria Math" w:hAnsi="Cambria Math" w:cs="Arial"/>
                </w:rPr>
              </m:ctrlPr>
            </m:sSubPr>
            <m:e>
              <m:r>
                <w:rPr>
                  <w:rFonts w:ascii="Cambria Math" w:hAnsi="Cambria Math" w:cs="Arial"/>
                </w:rPr>
                <m:t>P</m:t>
              </m:r>
            </m:e>
            <m:sub>
              <m:r>
                <w:rPr>
                  <w:rFonts w:ascii="Cambria Math" w:hAnsi="Cambria Math" w:cs="Arial"/>
                </w:rPr>
                <m:t>t</m:t>
              </m:r>
            </m:sub>
          </m:sSub>
          <m:r>
            <w:rPr>
              <w:rFonts w:ascii="Cambria Math" w:hAnsi="Cambria Math" w:cs="Arial"/>
            </w:rPr>
            <m:t>)=</m:t>
          </m:r>
          <m:sSub>
            <m:sSubPr>
              <m:ctrlPr>
                <w:rPr>
                  <w:rFonts w:ascii="Cambria Math" w:hAnsi="Cambria Math" w:cs="Arial"/>
                </w:rPr>
              </m:ctrlPr>
            </m:sSubPr>
            <m:e>
              <m:r>
                <w:rPr>
                  <w:rFonts w:ascii="Cambria Math" w:hAnsi="Cambria Math" w:cs="Arial"/>
                </w:rPr>
                <m:t>β</m:t>
              </m:r>
            </m:e>
            <m:sub>
              <m:r>
                <w:rPr>
                  <w:rFonts w:ascii="Cambria Math" w:hAnsi="Cambria Math" w:cs="Arial"/>
                </w:rPr>
                <m:t>0</m:t>
              </m:r>
            </m:sub>
          </m:sSub>
          <m:r>
            <w:rPr>
              <w:rFonts w:ascii="Cambria Math" w:hAnsi="Cambria Math" w:cs="Arial"/>
            </w:rPr>
            <m:t>+</m:t>
          </m:r>
          <m:sSub>
            <m:sSubPr>
              <m:ctrlPr>
                <w:rPr>
                  <w:rFonts w:ascii="Cambria Math" w:hAnsi="Cambria Math" w:cs="Arial"/>
                </w:rPr>
              </m:ctrlPr>
            </m:sSubPr>
            <m:e>
              <m:r>
                <w:rPr>
                  <w:rFonts w:ascii="Cambria Math" w:hAnsi="Cambria Math" w:cs="Arial"/>
                </w:rPr>
                <m:t>β</m:t>
              </m:r>
            </m:e>
            <m:sub>
              <m:r>
                <w:rPr>
                  <w:rFonts w:ascii="Cambria Math" w:hAnsi="Cambria Math" w:cs="Arial"/>
                </w:rPr>
                <m:t>1</m:t>
              </m:r>
            </m:sub>
          </m:sSub>
          <m:r>
            <m:rPr>
              <m:sty m:val="p"/>
            </m:rPr>
            <w:rPr>
              <w:rFonts w:ascii="Cambria Math" w:hAnsi="Cambria Math" w:cs="Arial"/>
            </w:rPr>
            <m:t>ln</m:t>
          </m:r>
          <m:r>
            <w:rPr>
              <w:rFonts w:ascii="Cambria Math" w:hAnsi="Cambria Math" w:cs="Arial"/>
            </w:rPr>
            <m:t>⁡(TRAD</m:t>
          </m:r>
          <m:sSub>
            <m:sSubPr>
              <m:ctrlPr>
                <w:rPr>
                  <w:rFonts w:ascii="Cambria Math" w:hAnsi="Cambria Math" w:cs="Arial"/>
                </w:rPr>
              </m:ctrlPr>
            </m:sSubPr>
            <m:e>
              <m:r>
                <w:rPr>
                  <w:rFonts w:ascii="Cambria Math" w:hAnsi="Cambria Math" w:cs="Arial"/>
                </w:rPr>
                <m:t>E</m:t>
              </m:r>
            </m:e>
            <m:sub>
              <m:r>
                <w:rPr>
                  <w:rFonts w:ascii="Cambria Math" w:hAnsi="Cambria Math" w:cs="Arial"/>
                </w:rPr>
                <m:t>t</m:t>
              </m:r>
            </m:sub>
          </m:sSub>
          <m:r>
            <w:rPr>
              <w:rFonts w:ascii="Cambria Math" w:hAnsi="Cambria Math" w:cs="Arial"/>
            </w:rPr>
            <m:t>)+</m:t>
          </m:r>
          <m:sSub>
            <m:sSubPr>
              <m:ctrlPr>
                <w:rPr>
                  <w:rFonts w:ascii="Cambria Math" w:hAnsi="Cambria Math" w:cs="Arial"/>
                </w:rPr>
              </m:ctrlPr>
            </m:sSubPr>
            <m:e>
              <m:r>
                <w:rPr>
                  <w:rFonts w:ascii="Cambria Math" w:hAnsi="Cambria Math" w:cs="Arial"/>
                </w:rPr>
                <m:t>β</m:t>
              </m:r>
            </m:e>
            <m:sub>
              <m:r>
                <w:rPr>
                  <w:rFonts w:ascii="Cambria Math" w:hAnsi="Cambria Math" w:cs="Arial"/>
                </w:rPr>
                <m:t>2</m:t>
              </m:r>
            </m:sub>
          </m:sSub>
          <m:r>
            <m:rPr>
              <m:sty m:val="p"/>
            </m:rPr>
            <w:rPr>
              <w:rFonts w:ascii="Cambria Math" w:hAnsi="Cambria Math" w:cs="Arial"/>
            </w:rPr>
            <m:t>ln</m:t>
          </m:r>
          <m:r>
            <w:rPr>
              <w:rFonts w:ascii="Cambria Math" w:hAnsi="Cambria Math" w:cs="Arial"/>
            </w:rPr>
            <m:t>⁡(GC</m:t>
          </m:r>
          <m:sSub>
            <m:sSubPr>
              <m:ctrlPr>
                <w:rPr>
                  <w:rFonts w:ascii="Cambria Math" w:hAnsi="Cambria Math" w:cs="Arial"/>
                </w:rPr>
              </m:ctrlPr>
            </m:sSubPr>
            <m:e>
              <m:r>
                <w:rPr>
                  <w:rFonts w:ascii="Cambria Math" w:hAnsi="Cambria Math" w:cs="Arial"/>
                </w:rPr>
                <m:t>F</m:t>
              </m:r>
            </m:e>
            <m:sub>
              <m:r>
                <w:rPr>
                  <w:rFonts w:ascii="Cambria Math" w:hAnsi="Cambria Math" w:cs="Arial"/>
                </w:rPr>
                <m:t>t</m:t>
              </m:r>
            </m:sub>
          </m:sSub>
          <m:r>
            <w:rPr>
              <w:rFonts w:ascii="Cambria Math" w:hAnsi="Cambria Math" w:cs="Arial"/>
            </w:rPr>
            <m:t>)+</m:t>
          </m:r>
          <m:sSub>
            <m:sSubPr>
              <m:ctrlPr>
                <w:rPr>
                  <w:rFonts w:ascii="Cambria Math" w:hAnsi="Cambria Math" w:cs="Arial"/>
                </w:rPr>
              </m:ctrlPr>
            </m:sSubPr>
            <m:e>
              <m:r>
                <w:rPr>
                  <w:rFonts w:ascii="Cambria Math" w:hAnsi="Cambria Math" w:cs="Arial"/>
                </w:rPr>
                <m:t>ε</m:t>
              </m:r>
            </m:e>
            <m:sub>
              <m:r>
                <w:rPr>
                  <w:rFonts w:ascii="Cambria Math" w:hAnsi="Cambria Math" w:cs="Arial"/>
                </w:rPr>
                <m:t>t</m:t>
              </m:r>
            </m:sub>
          </m:sSub>
        </m:oMath>
      </m:oMathPara>
    </w:p>
    <w:p w14:paraId="386E475C" w14:textId="77777777" w:rsidR="003A14B2" w:rsidRPr="00383488" w:rsidRDefault="003A14B2" w:rsidP="003A14B2">
      <w:pPr>
        <w:ind w:firstLine="720"/>
        <w:jc w:val="both"/>
        <w:rPr>
          <w:rFonts w:ascii="Arial" w:hAnsi="Arial" w:cs="Arial"/>
        </w:rPr>
      </w:pPr>
      <w:r>
        <w:rPr>
          <w:rFonts w:ascii="Arial" w:hAnsi="Arial" w:cs="Arial"/>
        </w:rPr>
        <w:t xml:space="preserve">Including Gross Capital Formation (GCF) improves model robustness by accounting for domestic investment. The models are estimated using </w:t>
      </w:r>
      <w:r>
        <w:rPr>
          <w:rFonts w:ascii="Arial" w:hAnsi="Arial" w:cs="Arial"/>
          <w:highlight w:val="yellow"/>
        </w:rPr>
        <w:t xml:space="preserve">the </w:t>
      </w:r>
      <w:r>
        <w:rPr>
          <w:rFonts w:ascii="Arial" w:hAnsi="Arial" w:cs="Arial"/>
        </w:rPr>
        <w:t xml:space="preserve">Ordinary Least Squares (OLS) method </w:t>
      </w:r>
      <w:r>
        <w:rPr>
          <w:rFonts w:ascii="Arial" w:hAnsi="Arial" w:cs="Arial"/>
          <w:highlight w:val="yellow"/>
        </w:rPr>
        <w:t>for th</w:t>
      </w:r>
      <w:r>
        <w:rPr>
          <w:rFonts w:ascii="Arial" w:hAnsi="Arial" w:cs="Arial"/>
        </w:rPr>
        <w:t>e</w:t>
      </w:r>
      <w:r>
        <w:rPr>
          <w:rFonts w:ascii="Arial" w:hAnsi="Arial" w:cs="Arial"/>
          <w:highlight w:val="yellow"/>
        </w:rPr>
        <w:t xml:space="preserve"> following re</w:t>
      </w:r>
      <w:r>
        <w:rPr>
          <w:rFonts w:ascii="Arial" w:hAnsi="Arial" w:cs="Arial"/>
        </w:rPr>
        <w:t>as</w:t>
      </w:r>
      <w:r>
        <w:rPr>
          <w:rFonts w:ascii="Arial" w:hAnsi="Arial" w:cs="Arial"/>
          <w:highlight w:val="yellow"/>
        </w:rPr>
        <w:t>ons</w:t>
      </w:r>
      <w:r>
        <w:rPr>
          <w:rFonts w:ascii="Arial" w:hAnsi="Arial" w:cs="Arial"/>
        </w:rPr>
        <w:t>:</w:t>
      </w:r>
    </w:p>
    <w:p w14:paraId="79B46DCF" w14:textId="77777777" w:rsidR="003A14B2" w:rsidRPr="00383488" w:rsidRDefault="003A14B2" w:rsidP="003A14B2">
      <w:pPr>
        <w:pStyle w:val="ListParagraph"/>
        <w:numPr>
          <w:ilvl w:val="0"/>
          <w:numId w:val="31"/>
        </w:numPr>
        <w:spacing w:after="0" w:line="240" w:lineRule="auto"/>
        <w:rPr>
          <w:rFonts w:ascii="Arial" w:hAnsi="Arial" w:cs="Arial"/>
          <w:sz w:val="20"/>
          <w:szCs w:val="20"/>
        </w:rPr>
      </w:pPr>
      <w:r w:rsidRPr="00383488">
        <w:rPr>
          <w:rFonts w:ascii="Arial" w:hAnsi="Arial" w:cs="Arial"/>
          <w:sz w:val="20"/>
          <w:szCs w:val="20"/>
        </w:rPr>
        <w:t>It provides unbiased and efficient parameter estimates under classical assumptions.</w:t>
      </w:r>
    </w:p>
    <w:p w14:paraId="19E592CA" w14:textId="77777777" w:rsidR="003A14B2" w:rsidRPr="00383488" w:rsidRDefault="003A14B2" w:rsidP="003A14B2">
      <w:pPr>
        <w:pStyle w:val="ListParagraph"/>
        <w:numPr>
          <w:ilvl w:val="0"/>
          <w:numId w:val="31"/>
        </w:numPr>
        <w:spacing w:after="0" w:line="240" w:lineRule="auto"/>
        <w:rPr>
          <w:rFonts w:ascii="Arial" w:hAnsi="Arial" w:cs="Arial"/>
          <w:sz w:val="20"/>
          <w:szCs w:val="20"/>
        </w:rPr>
      </w:pPr>
      <w:r w:rsidRPr="00383488">
        <w:rPr>
          <w:rFonts w:ascii="Arial" w:hAnsi="Arial" w:cs="Arial"/>
          <w:sz w:val="20"/>
          <w:szCs w:val="20"/>
        </w:rPr>
        <w:t>It is simple, transparent, and suitable for conference-level empirical analysis.</w:t>
      </w:r>
    </w:p>
    <w:p w14:paraId="173D1B23" w14:textId="77777777" w:rsidR="003A14B2" w:rsidRPr="00383488" w:rsidRDefault="003A14B2" w:rsidP="003A14B2">
      <w:pPr>
        <w:pStyle w:val="ListParagraph"/>
        <w:numPr>
          <w:ilvl w:val="0"/>
          <w:numId w:val="31"/>
        </w:numPr>
        <w:spacing w:after="0" w:line="240" w:lineRule="auto"/>
        <w:rPr>
          <w:rFonts w:ascii="Arial" w:hAnsi="Arial" w:cs="Arial"/>
          <w:sz w:val="20"/>
          <w:szCs w:val="20"/>
        </w:rPr>
      </w:pPr>
      <w:r w:rsidRPr="00383488">
        <w:rPr>
          <w:rFonts w:ascii="Arial" w:hAnsi="Arial" w:cs="Arial"/>
          <w:sz w:val="20"/>
          <w:szCs w:val="20"/>
        </w:rPr>
        <w:t>It allows easy interpretation of elasticity coefficients.</w:t>
      </w:r>
    </w:p>
    <w:p w14:paraId="1E46D9B2" w14:textId="77777777" w:rsidR="00790ADA" w:rsidRPr="00FB3A86" w:rsidRDefault="00AA74E0" w:rsidP="00441B6F">
      <w:pPr>
        <w:pStyle w:val="Body"/>
        <w:spacing w:after="0"/>
        <w:rPr>
          <w:rFonts w:ascii="Arial" w:hAnsi="Arial" w:cs="Arial"/>
        </w:rPr>
      </w:pPr>
      <w:r w:rsidRPr="00FB3A86">
        <w:rPr>
          <w:rFonts w:ascii="Arial" w:hAnsi="Arial" w:cs="Arial"/>
        </w:rPr>
        <w:t xml:space="preserve"> </w:t>
      </w:r>
    </w:p>
    <w:p w14:paraId="1F1A3C2F" w14:textId="77777777" w:rsidR="00902823" w:rsidRDefault="00157B05" w:rsidP="00441B6F">
      <w:pPr>
        <w:pStyle w:val="Head1"/>
        <w:spacing w:after="0"/>
        <w:jc w:val="both"/>
        <w:rPr>
          <w:rFonts w:ascii="Arial" w:hAnsi="Arial" w:cs="Arial"/>
        </w:rPr>
      </w:pPr>
      <w:r>
        <w:rPr>
          <w:rFonts w:ascii="Arial" w:hAnsi="Arial" w:cs="Arial"/>
        </w:rPr>
        <w:t>3</w:t>
      </w:r>
      <w:r w:rsidR="00902823">
        <w:rPr>
          <w:rFonts w:ascii="Arial" w:hAnsi="Arial" w:cs="Arial"/>
        </w:rPr>
        <w:t xml:space="preserve">. </w:t>
      </w:r>
      <w:r w:rsidR="00000F8F">
        <w:rPr>
          <w:rFonts w:ascii="Arial" w:hAnsi="Arial" w:cs="Arial"/>
        </w:rPr>
        <w:t>results and discussion</w:t>
      </w:r>
    </w:p>
    <w:p w14:paraId="4C83AB98" w14:textId="77777777" w:rsidR="00790ADA" w:rsidRPr="00C2371E" w:rsidRDefault="00157B05" w:rsidP="00C2371E">
      <w:pPr>
        <w:jc w:val="both"/>
        <w:rPr>
          <w:rFonts w:ascii="Arial" w:hAnsi="Arial" w:cs="Arial"/>
          <w:b/>
          <w:bCs/>
        </w:rPr>
      </w:pPr>
      <w:r>
        <w:rPr>
          <w:rFonts w:ascii="Arial" w:hAnsi="Arial" w:cs="Arial"/>
          <w:b/>
          <w:caps/>
          <w:sz w:val="22"/>
          <w:szCs w:val="22"/>
        </w:rPr>
        <w:t>3</w:t>
      </w:r>
      <w:r w:rsidR="00C2371E" w:rsidRPr="003A14B2">
        <w:rPr>
          <w:rFonts w:ascii="Arial" w:hAnsi="Arial" w:cs="Arial"/>
          <w:b/>
          <w:caps/>
          <w:sz w:val="22"/>
          <w:szCs w:val="22"/>
        </w:rPr>
        <w:t xml:space="preserve">.1 </w:t>
      </w:r>
      <w:r w:rsidR="00C2371E">
        <w:rPr>
          <w:rFonts w:ascii="Arial" w:hAnsi="Arial" w:cs="Arial"/>
          <w:b/>
          <w:bCs/>
          <w:sz w:val="22"/>
          <w:szCs w:val="22"/>
        </w:rPr>
        <w:t>Descriptive Analysis</w:t>
      </w:r>
    </w:p>
    <w:p w14:paraId="725ABBDC" w14:textId="77777777" w:rsidR="00C2371E" w:rsidRPr="00C2371E" w:rsidRDefault="00C2371E" w:rsidP="00C2371E">
      <w:pPr>
        <w:ind w:firstLine="720"/>
        <w:jc w:val="both"/>
        <w:rPr>
          <w:rFonts w:ascii="Arial" w:eastAsia="Calibri" w:hAnsi="Arial" w:cs="Arial"/>
          <w:kern w:val="2"/>
          <w:lang w:val="en-IN"/>
        </w:rPr>
      </w:pPr>
      <w:r>
        <w:rPr>
          <w:rFonts w:ascii="Arial" w:eastAsia="Calibri" w:hAnsi="Arial" w:cs="Arial"/>
          <w:kern w:val="2"/>
          <w:lang w:val="en-IN"/>
        </w:rPr>
        <w:t xml:space="preserve">The descriptive statistics of the variables are shown in </w:t>
      </w:r>
      <w:r>
        <w:rPr>
          <w:rFonts w:ascii="Arial" w:eastAsia="Calibri" w:hAnsi="Arial" w:cs="Arial"/>
          <w:kern w:val="2"/>
          <w:highlight w:val="yellow"/>
          <w:lang w:val="en-IN"/>
        </w:rPr>
        <w:t>T</w:t>
      </w:r>
      <w:r>
        <w:rPr>
          <w:rFonts w:ascii="Arial" w:eastAsia="Calibri" w:hAnsi="Arial" w:cs="Arial"/>
          <w:kern w:val="2"/>
          <w:lang w:val="en-IN"/>
        </w:rPr>
        <w:t>able 1. The descriptive statistics indicate a steady upward trend in GDP per capita, exports, imports, and total trade during 1997–2025. Imports consistently exceed exports, reflecting India's structural trade deficit. Gross Capital Formation shows moderate fluctuation</w:t>
      </w:r>
      <w:r>
        <w:rPr>
          <w:rFonts w:ascii="Arial" w:eastAsia="Calibri" w:hAnsi="Arial" w:cs="Arial"/>
          <w:kern w:val="2"/>
          <w:highlight w:val="yellow"/>
          <w:lang w:val="en-IN"/>
        </w:rPr>
        <w:t>s,</w:t>
      </w:r>
      <w:r>
        <w:rPr>
          <w:rFonts w:ascii="Arial" w:eastAsia="Calibri" w:hAnsi="Arial" w:cs="Arial"/>
          <w:kern w:val="2"/>
          <w:lang w:val="en-IN"/>
        </w:rPr>
        <w:t xml:space="preserve"> with an increasing trend </w:t>
      </w:r>
      <w:r>
        <w:rPr>
          <w:rFonts w:ascii="Arial" w:eastAsia="Calibri" w:hAnsi="Arial" w:cs="Arial"/>
          <w:kern w:val="2"/>
          <w:highlight w:val="yellow"/>
          <w:lang w:val="en-IN"/>
        </w:rPr>
        <w:t>in</w:t>
      </w:r>
      <w:r>
        <w:rPr>
          <w:rFonts w:ascii="Arial" w:eastAsia="Calibri" w:hAnsi="Arial" w:cs="Arial"/>
          <w:kern w:val="2"/>
          <w:lang w:val="en-IN"/>
        </w:rPr>
        <w:t xml:space="preserve"> recent years, reaching an estimated 34.59% in 2025.</w:t>
      </w:r>
    </w:p>
    <w:tbl>
      <w:tblPr>
        <w:tblW w:w="9210" w:type="dxa"/>
        <w:tblLook w:val="04A0" w:firstRow="1" w:lastRow="0" w:firstColumn="1" w:lastColumn="0" w:noHBand="0" w:noVBand="1"/>
      </w:tblPr>
      <w:tblGrid>
        <w:gridCol w:w="828"/>
        <w:gridCol w:w="1710"/>
        <w:gridCol w:w="1273"/>
        <w:gridCol w:w="1427"/>
        <w:gridCol w:w="1384"/>
        <w:gridCol w:w="2588"/>
      </w:tblGrid>
      <w:tr w:rsidR="00C2371E" w:rsidRPr="00C2371E" w14:paraId="15AA41ED" w14:textId="77777777" w:rsidTr="00C2371E">
        <w:trPr>
          <w:trHeight w:val="432"/>
        </w:trPr>
        <w:tc>
          <w:tcPr>
            <w:tcW w:w="9210" w:type="dxa"/>
            <w:gridSpan w:val="6"/>
            <w:tcBorders>
              <w:top w:val="nil"/>
              <w:left w:val="nil"/>
              <w:bottom w:val="nil"/>
            </w:tcBorders>
            <w:noWrap/>
            <w:vAlign w:val="center"/>
          </w:tcPr>
          <w:p w14:paraId="1DE5D85E" w14:textId="77777777" w:rsidR="00C2371E" w:rsidRPr="00C2371E" w:rsidRDefault="00C2371E" w:rsidP="00B17D18">
            <w:pPr>
              <w:rPr>
                <w:rFonts w:ascii="Arial" w:hAnsi="Arial" w:cs="Arial"/>
                <w:b/>
                <w:bCs/>
                <w:lang w:val="en-IN" w:eastAsia="en-IN" w:bidi="my-MM"/>
              </w:rPr>
            </w:pPr>
            <w:r w:rsidRPr="00C2371E">
              <w:rPr>
                <w:rFonts w:ascii="Arial" w:hAnsi="Arial" w:cs="Arial"/>
                <w:b/>
                <w:bCs/>
                <w:lang w:val="en-IN" w:eastAsia="en-IN" w:bidi="my-MM"/>
              </w:rPr>
              <w:t>Table 1. Descriptive Statistics</w:t>
            </w:r>
          </w:p>
        </w:tc>
      </w:tr>
      <w:tr w:rsidR="00C2371E" w:rsidRPr="00C2371E" w14:paraId="476C62F7" w14:textId="77777777" w:rsidTr="00C2371E">
        <w:trPr>
          <w:trHeight w:val="432"/>
        </w:trPr>
        <w:tc>
          <w:tcPr>
            <w:tcW w:w="828" w:type="dxa"/>
            <w:tcBorders>
              <w:top w:val="nil"/>
              <w:left w:val="nil"/>
              <w:bottom w:val="nil"/>
              <w:right w:val="nil"/>
            </w:tcBorders>
            <w:noWrap/>
            <w:vAlign w:val="bottom"/>
            <w:hideMark/>
          </w:tcPr>
          <w:p w14:paraId="3FAFE848" w14:textId="77777777" w:rsidR="00C2371E" w:rsidRPr="00C2371E" w:rsidRDefault="00C2371E" w:rsidP="00B17D18">
            <w:pPr>
              <w:rPr>
                <w:rFonts w:ascii="Arial" w:hAnsi="Arial" w:cs="Arial"/>
                <w:lang w:val="en-IN" w:eastAsia="en-IN" w:bidi="my-MM"/>
              </w:rPr>
            </w:pPr>
          </w:p>
        </w:tc>
        <w:tc>
          <w:tcPr>
            <w:tcW w:w="1710" w:type="dxa"/>
            <w:tcBorders>
              <w:top w:val="single" w:sz="4" w:space="0" w:color="auto"/>
              <w:left w:val="single" w:sz="4" w:space="0" w:color="auto"/>
              <w:bottom w:val="nil"/>
              <w:right w:val="single" w:sz="4" w:space="0" w:color="auto"/>
            </w:tcBorders>
            <w:noWrap/>
            <w:vAlign w:val="center"/>
            <w:hideMark/>
          </w:tcPr>
          <w:p w14:paraId="5A6EDB0F" w14:textId="77777777" w:rsidR="00C2371E" w:rsidRPr="00C2371E" w:rsidRDefault="00C2371E" w:rsidP="00B17D18">
            <w:pPr>
              <w:jc w:val="center"/>
              <w:rPr>
                <w:rFonts w:ascii="Arial" w:hAnsi="Arial" w:cs="Arial"/>
                <w:b/>
                <w:bCs/>
                <w:lang w:val="en-IN" w:eastAsia="en-IN" w:bidi="my-MM"/>
              </w:rPr>
            </w:pPr>
            <w:r w:rsidRPr="00C2371E">
              <w:rPr>
                <w:rFonts w:ascii="Arial" w:hAnsi="Arial" w:cs="Arial"/>
                <w:b/>
                <w:bCs/>
                <w:lang w:val="en-IN" w:eastAsia="en-IN" w:bidi="my-MM"/>
              </w:rPr>
              <w:t>GDP per capita</w:t>
            </w:r>
          </w:p>
        </w:tc>
        <w:tc>
          <w:tcPr>
            <w:tcW w:w="1273" w:type="dxa"/>
            <w:tcBorders>
              <w:top w:val="single" w:sz="4" w:space="0" w:color="auto"/>
              <w:left w:val="nil"/>
              <w:bottom w:val="nil"/>
              <w:right w:val="single" w:sz="4" w:space="0" w:color="auto"/>
            </w:tcBorders>
            <w:noWrap/>
            <w:vAlign w:val="center"/>
            <w:hideMark/>
          </w:tcPr>
          <w:p w14:paraId="69D6C489" w14:textId="77777777" w:rsidR="00C2371E" w:rsidRPr="00C2371E" w:rsidRDefault="00C2371E" w:rsidP="00B17D18">
            <w:pPr>
              <w:jc w:val="center"/>
              <w:rPr>
                <w:rFonts w:ascii="Arial" w:hAnsi="Arial" w:cs="Arial"/>
                <w:b/>
                <w:bCs/>
                <w:lang w:val="en-IN" w:eastAsia="en-IN" w:bidi="my-MM"/>
              </w:rPr>
            </w:pPr>
            <w:r w:rsidRPr="00C2371E">
              <w:rPr>
                <w:rFonts w:ascii="Arial" w:hAnsi="Arial" w:cs="Arial"/>
                <w:b/>
                <w:bCs/>
                <w:lang w:val="en-IN" w:eastAsia="en-IN" w:bidi="my-MM"/>
              </w:rPr>
              <w:t>Exports</w:t>
            </w:r>
          </w:p>
        </w:tc>
        <w:tc>
          <w:tcPr>
            <w:tcW w:w="1427" w:type="dxa"/>
            <w:tcBorders>
              <w:top w:val="single" w:sz="4" w:space="0" w:color="auto"/>
              <w:left w:val="nil"/>
              <w:bottom w:val="nil"/>
              <w:right w:val="single" w:sz="4" w:space="0" w:color="auto"/>
            </w:tcBorders>
            <w:noWrap/>
            <w:vAlign w:val="center"/>
            <w:hideMark/>
          </w:tcPr>
          <w:p w14:paraId="6F3E9FCC" w14:textId="77777777" w:rsidR="00C2371E" w:rsidRPr="00C2371E" w:rsidRDefault="00C2371E" w:rsidP="00B17D18">
            <w:pPr>
              <w:jc w:val="center"/>
              <w:rPr>
                <w:rFonts w:ascii="Arial" w:hAnsi="Arial" w:cs="Arial"/>
                <w:b/>
                <w:bCs/>
                <w:lang w:val="en-IN" w:eastAsia="en-IN" w:bidi="my-MM"/>
              </w:rPr>
            </w:pPr>
            <w:r w:rsidRPr="00C2371E">
              <w:rPr>
                <w:rFonts w:ascii="Arial" w:hAnsi="Arial" w:cs="Arial"/>
                <w:b/>
                <w:bCs/>
                <w:lang w:val="en-IN" w:eastAsia="en-IN" w:bidi="my-MM"/>
              </w:rPr>
              <w:t>Imports</w:t>
            </w:r>
          </w:p>
        </w:tc>
        <w:tc>
          <w:tcPr>
            <w:tcW w:w="1384" w:type="dxa"/>
            <w:tcBorders>
              <w:top w:val="single" w:sz="4" w:space="0" w:color="auto"/>
              <w:left w:val="nil"/>
              <w:bottom w:val="nil"/>
              <w:right w:val="single" w:sz="4" w:space="0" w:color="auto"/>
            </w:tcBorders>
            <w:noWrap/>
            <w:vAlign w:val="center"/>
            <w:hideMark/>
          </w:tcPr>
          <w:p w14:paraId="508541C1" w14:textId="77777777" w:rsidR="00C2371E" w:rsidRPr="00C2371E" w:rsidRDefault="00C2371E" w:rsidP="00B17D18">
            <w:pPr>
              <w:jc w:val="center"/>
              <w:rPr>
                <w:rFonts w:ascii="Arial" w:hAnsi="Arial" w:cs="Arial"/>
                <w:b/>
                <w:bCs/>
                <w:lang w:val="en-IN" w:eastAsia="en-IN" w:bidi="my-MM"/>
              </w:rPr>
            </w:pPr>
            <w:r w:rsidRPr="00C2371E">
              <w:rPr>
                <w:rFonts w:ascii="Arial" w:hAnsi="Arial" w:cs="Arial"/>
                <w:b/>
                <w:bCs/>
                <w:lang w:val="en-IN" w:eastAsia="en-IN" w:bidi="my-MM"/>
              </w:rPr>
              <w:t>Total Trade</w:t>
            </w:r>
          </w:p>
        </w:tc>
        <w:tc>
          <w:tcPr>
            <w:tcW w:w="2588" w:type="dxa"/>
            <w:tcBorders>
              <w:top w:val="single" w:sz="4" w:space="0" w:color="auto"/>
              <w:left w:val="nil"/>
              <w:bottom w:val="nil"/>
              <w:right w:val="single" w:sz="4" w:space="0" w:color="auto"/>
            </w:tcBorders>
            <w:noWrap/>
            <w:vAlign w:val="center"/>
            <w:hideMark/>
          </w:tcPr>
          <w:p w14:paraId="233871A4" w14:textId="77777777" w:rsidR="00C2371E" w:rsidRPr="00C2371E" w:rsidRDefault="00C2371E" w:rsidP="00B17D18">
            <w:pPr>
              <w:jc w:val="center"/>
              <w:rPr>
                <w:rFonts w:ascii="Arial" w:hAnsi="Arial" w:cs="Arial"/>
                <w:b/>
                <w:bCs/>
                <w:lang w:val="en-IN" w:eastAsia="en-IN" w:bidi="my-MM"/>
              </w:rPr>
            </w:pPr>
            <w:r w:rsidRPr="00C2371E">
              <w:rPr>
                <w:rFonts w:ascii="Arial" w:hAnsi="Arial" w:cs="Arial"/>
                <w:b/>
                <w:bCs/>
                <w:lang w:val="en-IN" w:eastAsia="en-IN" w:bidi="my-MM"/>
              </w:rPr>
              <w:t>Gross Capital Formation</w:t>
            </w:r>
          </w:p>
        </w:tc>
      </w:tr>
      <w:tr w:rsidR="00C2371E" w:rsidRPr="00C2371E" w14:paraId="41F2D041" w14:textId="77777777" w:rsidTr="00C2371E">
        <w:trPr>
          <w:trHeight w:val="432"/>
        </w:trPr>
        <w:tc>
          <w:tcPr>
            <w:tcW w:w="828" w:type="dxa"/>
            <w:tcBorders>
              <w:top w:val="single" w:sz="4" w:space="0" w:color="auto"/>
              <w:left w:val="single" w:sz="4" w:space="0" w:color="auto"/>
              <w:bottom w:val="single" w:sz="4" w:space="0" w:color="auto"/>
              <w:right w:val="single" w:sz="4" w:space="0" w:color="auto"/>
            </w:tcBorders>
            <w:noWrap/>
            <w:vAlign w:val="center"/>
            <w:hideMark/>
          </w:tcPr>
          <w:p w14:paraId="241D7506" w14:textId="77777777" w:rsidR="00C2371E" w:rsidRPr="00C2371E" w:rsidRDefault="00C2371E" w:rsidP="00B17D18">
            <w:pPr>
              <w:rPr>
                <w:rFonts w:ascii="Arial" w:hAnsi="Arial" w:cs="Arial"/>
                <w:b/>
                <w:bCs/>
                <w:color w:val="000000"/>
                <w:lang w:val="en-IN" w:eastAsia="en-IN" w:bidi="my-MM"/>
              </w:rPr>
            </w:pPr>
            <w:r w:rsidRPr="00C2371E">
              <w:rPr>
                <w:rFonts w:ascii="Arial" w:hAnsi="Arial" w:cs="Arial"/>
                <w:b/>
                <w:bCs/>
                <w:color w:val="000000"/>
                <w:lang w:val="en-IN" w:eastAsia="en-IN" w:bidi="my-MM"/>
              </w:rPr>
              <w:t>Count</w:t>
            </w:r>
          </w:p>
        </w:tc>
        <w:tc>
          <w:tcPr>
            <w:tcW w:w="1710" w:type="dxa"/>
            <w:tcBorders>
              <w:top w:val="single" w:sz="4" w:space="0" w:color="auto"/>
              <w:left w:val="nil"/>
              <w:bottom w:val="single" w:sz="4" w:space="0" w:color="auto"/>
              <w:right w:val="single" w:sz="4" w:space="0" w:color="auto"/>
            </w:tcBorders>
            <w:noWrap/>
            <w:vAlign w:val="center"/>
            <w:hideMark/>
          </w:tcPr>
          <w:p w14:paraId="191F321C" w14:textId="77777777" w:rsidR="00C2371E" w:rsidRPr="00C2371E" w:rsidRDefault="00C2371E" w:rsidP="00B17D18">
            <w:pPr>
              <w:jc w:val="right"/>
              <w:rPr>
                <w:rFonts w:ascii="Arial" w:hAnsi="Arial" w:cs="Arial"/>
                <w:color w:val="000000"/>
                <w:lang w:val="en-IN" w:eastAsia="en-IN" w:bidi="my-MM"/>
              </w:rPr>
            </w:pPr>
            <w:r w:rsidRPr="00C2371E">
              <w:rPr>
                <w:rFonts w:ascii="Arial" w:hAnsi="Arial" w:cs="Arial"/>
                <w:color w:val="000000"/>
                <w:lang w:val="en-IN" w:eastAsia="en-IN" w:bidi="my-MM"/>
              </w:rPr>
              <w:t>29</w:t>
            </w:r>
          </w:p>
        </w:tc>
        <w:tc>
          <w:tcPr>
            <w:tcW w:w="1273" w:type="dxa"/>
            <w:tcBorders>
              <w:top w:val="single" w:sz="4" w:space="0" w:color="auto"/>
              <w:left w:val="nil"/>
              <w:bottom w:val="single" w:sz="4" w:space="0" w:color="auto"/>
              <w:right w:val="single" w:sz="4" w:space="0" w:color="auto"/>
            </w:tcBorders>
            <w:noWrap/>
            <w:vAlign w:val="center"/>
            <w:hideMark/>
          </w:tcPr>
          <w:p w14:paraId="5CD22839" w14:textId="77777777" w:rsidR="00C2371E" w:rsidRPr="00C2371E" w:rsidRDefault="00C2371E" w:rsidP="00B17D18">
            <w:pPr>
              <w:jc w:val="right"/>
              <w:rPr>
                <w:rFonts w:ascii="Arial" w:hAnsi="Arial" w:cs="Arial"/>
                <w:color w:val="000000"/>
                <w:lang w:val="en-IN" w:eastAsia="en-IN" w:bidi="my-MM"/>
              </w:rPr>
            </w:pPr>
            <w:r w:rsidRPr="00C2371E">
              <w:rPr>
                <w:rFonts w:ascii="Arial" w:hAnsi="Arial" w:cs="Arial"/>
                <w:color w:val="000000"/>
                <w:lang w:val="en-IN" w:eastAsia="en-IN" w:bidi="my-MM"/>
              </w:rPr>
              <w:t>29</w:t>
            </w:r>
          </w:p>
        </w:tc>
        <w:tc>
          <w:tcPr>
            <w:tcW w:w="1427" w:type="dxa"/>
            <w:tcBorders>
              <w:top w:val="single" w:sz="4" w:space="0" w:color="auto"/>
              <w:left w:val="nil"/>
              <w:bottom w:val="single" w:sz="4" w:space="0" w:color="auto"/>
              <w:right w:val="single" w:sz="4" w:space="0" w:color="auto"/>
            </w:tcBorders>
            <w:noWrap/>
            <w:vAlign w:val="center"/>
            <w:hideMark/>
          </w:tcPr>
          <w:p w14:paraId="055DFA90" w14:textId="77777777" w:rsidR="00C2371E" w:rsidRPr="00C2371E" w:rsidRDefault="00C2371E" w:rsidP="00B17D18">
            <w:pPr>
              <w:jc w:val="right"/>
              <w:rPr>
                <w:rFonts w:ascii="Arial" w:hAnsi="Arial" w:cs="Arial"/>
                <w:color w:val="000000"/>
                <w:lang w:val="en-IN" w:eastAsia="en-IN" w:bidi="my-MM"/>
              </w:rPr>
            </w:pPr>
            <w:r w:rsidRPr="00C2371E">
              <w:rPr>
                <w:rFonts w:ascii="Arial" w:hAnsi="Arial" w:cs="Arial"/>
                <w:color w:val="000000"/>
                <w:lang w:val="en-IN" w:eastAsia="en-IN" w:bidi="my-MM"/>
              </w:rPr>
              <w:t>29</w:t>
            </w:r>
          </w:p>
        </w:tc>
        <w:tc>
          <w:tcPr>
            <w:tcW w:w="1384" w:type="dxa"/>
            <w:tcBorders>
              <w:top w:val="single" w:sz="4" w:space="0" w:color="auto"/>
              <w:left w:val="nil"/>
              <w:bottom w:val="single" w:sz="4" w:space="0" w:color="auto"/>
              <w:right w:val="single" w:sz="4" w:space="0" w:color="auto"/>
            </w:tcBorders>
            <w:noWrap/>
            <w:vAlign w:val="center"/>
            <w:hideMark/>
          </w:tcPr>
          <w:p w14:paraId="0162105A" w14:textId="77777777" w:rsidR="00C2371E" w:rsidRPr="00C2371E" w:rsidRDefault="00C2371E" w:rsidP="00B17D18">
            <w:pPr>
              <w:jc w:val="right"/>
              <w:rPr>
                <w:rFonts w:ascii="Arial" w:hAnsi="Arial" w:cs="Arial"/>
                <w:color w:val="000000"/>
                <w:lang w:val="en-IN" w:eastAsia="en-IN" w:bidi="my-MM"/>
              </w:rPr>
            </w:pPr>
            <w:r w:rsidRPr="00C2371E">
              <w:rPr>
                <w:rFonts w:ascii="Arial" w:hAnsi="Arial" w:cs="Arial"/>
                <w:color w:val="000000"/>
                <w:lang w:val="en-IN" w:eastAsia="en-IN" w:bidi="my-MM"/>
              </w:rPr>
              <w:t>29</w:t>
            </w:r>
          </w:p>
        </w:tc>
        <w:tc>
          <w:tcPr>
            <w:tcW w:w="2588" w:type="dxa"/>
            <w:tcBorders>
              <w:top w:val="single" w:sz="4" w:space="0" w:color="auto"/>
              <w:left w:val="nil"/>
              <w:bottom w:val="single" w:sz="4" w:space="0" w:color="auto"/>
              <w:right w:val="single" w:sz="4" w:space="0" w:color="auto"/>
            </w:tcBorders>
            <w:noWrap/>
            <w:vAlign w:val="center"/>
            <w:hideMark/>
          </w:tcPr>
          <w:p w14:paraId="2A19FC5A" w14:textId="77777777" w:rsidR="00C2371E" w:rsidRPr="00C2371E" w:rsidRDefault="00C2371E" w:rsidP="00B17D18">
            <w:pPr>
              <w:jc w:val="right"/>
              <w:rPr>
                <w:rFonts w:ascii="Arial" w:hAnsi="Arial" w:cs="Arial"/>
                <w:color w:val="000000"/>
                <w:lang w:val="en-IN" w:eastAsia="en-IN" w:bidi="my-MM"/>
              </w:rPr>
            </w:pPr>
            <w:r w:rsidRPr="00C2371E">
              <w:rPr>
                <w:rFonts w:ascii="Arial" w:hAnsi="Arial" w:cs="Arial"/>
                <w:color w:val="000000"/>
                <w:lang w:val="en-IN" w:eastAsia="en-IN" w:bidi="my-MM"/>
              </w:rPr>
              <w:t>29</w:t>
            </w:r>
          </w:p>
        </w:tc>
      </w:tr>
      <w:tr w:rsidR="00C2371E" w:rsidRPr="00C2371E" w14:paraId="669F2271" w14:textId="77777777" w:rsidTr="00C2371E">
        <w:trPr>
          <w:trHeight w:val="432"/>
        </w:trPr>
        <w:tc>
          <w:tcPr>
            <w:tcW w:w="828" w:type="dxa"/>
            <w:tcBorders>
              <w:top w:val="nil"/>
              <w:left w:val="single" w:sz="4" w:space="0" w:color="auto"/>
              <w:bottom w:val="single" w:sz="4" w:space="0" w:color="auto"/>
              <w:right w:val="single" w:sz="4" w:space="0" w:color="auto"/>
            </w:tcBorders>
            <w:noWrap/>
            <w:vAlign w:val="center"/>
            <w:hideMark/>
          </w:tcPr>
          <w:p w14:paraId="1B2C1E80" w14:textId="77777777" w:rsidR="00C2371E" w:rsidRPr="00C2371E" w:rsidRDefault="00C2371E" w:rsidP="00B17D18">
            <w:pPr>
              <w:rPr>
                <w:rFonts w:ascii="Arial" w:hAnsi="Arial" w:cs="Arial"/>
                <w:b/>
                <w:bCs/>
                <w:lang w:val="en-IN" w:eastAsia="en-IN" w:bidi="my-MM"/>
              </w:rPr>
            </w:pPr>
            <w:r w:rsidRPr="00C2371E">
              <w:rPr>
                <w:rFonts w:ascii="Arial" w:hAnsi="Arial" w:cs="Arial"/>
                <w:b/>
                <w:bCs/>
                <w:lang w:val="en-IN" w:eastAsia="en-IN" w:bidi="my-MM"/>
              </w:rPr>
              <w:t>Mean</w:t>
            </w:r>
          </w:p>
        </w:tc>
        <w:tc>
          <w:tcPr>
            <w:tcW w:w="1710" w:type="dxa"/>
            <w:tcBorders>
              <w:top w:val="nil"/>
              <w:left w:val="nil"/>
              <w:bottom w:val="single" w:sz="4" w:space="0" w:color="auto"/>
              <w:right w:val="single" w:sz="4" w:space="0" w:color="auto"/>
            </w:tcBorders>
            <w:noWrap/>
            <w:vAlign w:val="center"/>
            <w:hideMark/>
          </w:tcPr>
          <w:p w14:paraId="069ADE3C" w14:textId="77777777" w:rsidR="00C2371E" w:rsidRPr="00C2371E" w:rsidRDefault="00C2371E" w:rsidP="00B17D18">
            <w:pPr>
              <w:jc w:val="right"/>
              <w:rPr>
                <w:rFonts w:ascii="Arial" w:hAnsi="Arial" w:cs="Arial"/>
                <w:color w:val="000000"/>
                <w:lang w:val="en-IN" w:eastAsia="en-IN" w:bidi="my-MM"/>
              </w:rPr>
            </w:pPr>
            <w:r w:rsidRPr="00C2371E">
              <w:rPr>
                <w:rFonts w:ascii="Arial" w:hAnsi="Arial" w:cs="Arial"/>
                <w:color w:val="000000"/>
                <w:lang w:val="en-IN" w:eastAsia="en-IN" w:bidi="my-MM"/>
              </w:rPr>
              <w:t>1357.815</w:t>
            </w:r>
          </w:p>
        </w:tc>
        <w:tc>
          <w:tcPr>
            <w:tcW w:w="1273" w:type="dxa"/>
            <w:tcBorders>
              <w:top w:val="nil"/>
              <w:left w:val="nil"/>
              <w:bottom w:val="single" w:sz="4" w:space="0" w:color="auto"/>
              <w:right w:val="single" w:sz="4" w:space="0" w:color="auto"/>
            </w:tcBorders>
            <w:noWrap/>
            <w:vAlign w:val="center"/>
            <w:hideMark/>
          </w:tcPr>
          <w:p w14:paraId="7E4C4D14" w14:textId="77777777" w:rsidR="00C2371E" w:rsidRPr="00C2371E" w:rsidRDefault="00C2371E" w:rsidP="00B17D18">
            <w:pPr>
              <w:jc w:val="right"/>
              <w:rPr>
                <w:rFonts w:ascii="Arial" w:hAnsi="Arial" w:cs="Arial"/>
                <w:color w:val="000000"/>
                <w:lang w:val="en-IN" w:eastAsia="en-IN" w:bidi="my-MM"/>
              </w:rPr>
            </w:pPr>
            <w:r w:rsidRPr="00C2371E">
              <w:rPr>
                <w:rFonts w:ascii="Arial" w:hAnsi="Arial" w:cs="Arial"/>
                <w:color w:val="000000"/>
                <w:lang w:val="en-IN" w:eastAsia="en-IN" w:bidi="my-MM"/>
              </w:rPr>
              <w:t>227358.314</w:t>
            </w:r>
          </w:p>
        </w:tc>
        <w:tc>
          <w:tcPr>
            <w:tcW w:w="1427" w:type="dxa"/>
            <w:tcBorders>
              <w:top w:val="nil"/>
              <w:left w:val="nil"/>
              <w:bottom w:val="single" w:sz="4" w:space="0" w:color="auto"/>
              <w:right w:val="single" w:sz="4" w:space="0" w:color="auto"/>
            </w:tcBorders>
            <w:noWrap/>
            <w:vAlign w:val="center"/>
            <w:hideMark/>
          </w:tcPr>
          <w:p w14:paraId="5035FBB0" w14:textId="77777777" w:rsidR="00C2371E" w:rsidRPr="00C2371E" w:rsidRDefault="00C2371E" w:rsidP="00B17D18">
            <w:pPr>
              <w:jc w:val="right"/>
              <w:rPr>
                <w:rFonts w:ascii="Arial" w:hAnsi="Arial" w:cs="Arial"/>
                <w:color w:val="000000"/>
                <w:lang w:val="en-IN" w:eastAsia="en-IN" w:bidi="my-MM"/>
              </w:rPr>
            </w:pPr>
            <w:r w:rsidRPr="00C2371E">
              <w:rPr>
                <w:rFonts w:ascii="Arial" w:hAnsi="Arial" w:cs="Arial"/>
                <w:color w:val="000000"/>
                <w:lang w:val="en-IN" w:eastAsia="en-IN" w:bidi="my-MM"/>
              </w:rPr>
              <w:t>343213.697</w:t>
            </w:r>
          </w:p>
        </w:tc>
        <w:tc>
          <w:tcPr>
            <w:tcW w:w="1384" w:type="dxa"/>
            <w:tcBorders>
              <w:top w:val="nil"/>
              <w:left w:val="nil"/>
              <w:bottom w:val="single" w:sz="4" w:space="0" w:color="auto"/>
              <w:right w:val="single" w:sz="4" w:space="0" w:color="auto"/>
            </w:tcBorders>
            <w:noWrap/>
            <w:vAlign w:val="center"/>
            <w:hideMark/>
          </w:tcPr>
          <w:p w14:paraId="42057FDB" w14:textId="77777777" w:rsidR="00C2371E" w:rsidRPr="00C2371E" w:rsidRDefault="00C2371E" w:rsidP="00B17D18">
            <w:pPr>
              <w:jc w:val="right"/>
              <w:rPr>
                <w:rFonts w:ascii="Arial" w:hAnsi="Arial" w:cs="Arial"/>
                <w:color w:val="000000"/>
                <w:lang w:val="en-IN" w:eastAsia="en-IN" w:bidi="my-MM"/>
              </w:rPr>
            </w:pPr>
            <w:r w:rsidRPr="00C2371E">
              <w:rPr>
                <w:rFonts w:ascii="Arial" w:hAnsi="Arial" w:cs="Arial"/>
                <w:color w:val="000000"/>
                <w:lang w:val="en-IN" w:eastAsia="en-IN" w:bidi="my-MM"/>
              </w:rPr>
              <w:t>570539.202</w:t>
            </w:r>
          </w:p>
        </w:tc>
        <w:tc>
          <w:tcPr>
            <w:tcW w:w="2588" w:type="dxa"/>
            <w:tcBorders>
              <w:top w:val="nil"/>
              <w:left w:val="nil"/>
              <w:bottom w:val="single" w:sz="4" w:space="0" w:color="auto"/>
              <w:right w:val="single" w:sz="4" w:space="0" w:color="auto"/>
            </w:tcBorders>
            <w:noWrap/>
            <w:vAlign w:val="center"/>
            <w:hideMark/>
          </w:tcPr>
          <w:p w14:paraId="6806C421" w14:textId="77777777" w:rsidR="00C2371E" w:rsidRPr="00C2371E" w:rsidRDefault="00C2371E" w:rsidP="00B17D18">
            <w:pPr>
              <w:jc w:val="right"/>
              <w:rPr>
                <w:rFonts w:ascii="Arial" w:hAnsi="Arial" w:cs="Arial"/>
                <w:color w:val="000000"/>
                <w:lang w:val="en-IN" w:eastAsia="en-IN" w:bidi="my-MM"/>
              </w:rPr>
            </w:pPr>
            <w:r w:rsidRPr="00C2371E">
              <w:rPr>
                <w:rFonts w:ascii="Arial" w:hAnsi="Arial" w:cs="Arial"/>
                <w:color w:val="000000"/>
                <w:lang w:val="en-IN" w:eastAsia="en-IN" w:bidi="my-MM"/>
              </w:rPr>
              <w:t>33.335</w:t>
            </w:r>
          </w:p>
        </w:tc>
      </w:tr>
      <w:tr w:rsidR="00C2371E" w:rsidRPr="00C2371E" w14:paraId="1EBBD686" w14:textId="77777777" w:rsidTr="00C2371E">
        <w:trPr>
          <w:trHeight w:val="432"/>
        </w:trPr>
        <w:tc>
          <w:tcPr>
            <w:tcW w:w="828" w:type="dxa"/>
            <w:tcBorders>
              <w:top w:val="nil"/>
              <w:left w:val="single" w:sz="4" w:space="0" w:color="auto"/>
              <w:bottom w:val="single" w:sz="4" w:space="0" w:color="auto"/>
              <w:right w:val="single" w:sz="4" w:space="0" w:color="auto"/>
            </w:tcBorders>
            <w:noWrap/>
            <w:vAlign w:val="center"/>
            <w:hideMark/>
          </w:tcPr>
          <w:p w14:paraId="01F93DF1" w14:textId="77777777" w:rsidR="00C2371E" w:rsidRPr="00C2371E" w:rsidRDefault="00C2371E" w:rsidP="00B17D18">
            <w:pPr>
              <w:rPr>
                <w:rFonts w:ascii="Arial" w:hAnsi="Arial" w:cs="Arial"/>
                <w:b/>
                <w:bCs/>
                <w:lang w:val="en-IN" w:eastAsia="en-IN" w:bidi="my-MM"/>
              </w:rPr>
            </w:pPr>
            <w:proofErr w:type="spellStart"/>
            <w:proofErr w:type="gramStart"/>
            <w:r w:rsidRPr="00C2371E">
              <w:rPr>
                <w:rFonts w:ascii="Arial" w:hAnsi="Arial" w:cs="Arial"/>
                <w:b/>
                <w:bCs/>
                <w:lang w:val="en-IN" w:eastAsia="en-IN" w:bidi="my-MM"/>
              </w:rPr>
              <w:t>St.D</w:t>
            </w:r>
            <w:proofErr w:type="spellEnd"/>
            <w:proofErr w:type="gramEnd"/>
          </w:p>
        </w:tc>
        <w:tc>
          <w:tcPr>
            <w:tcW w:w="1710" w:type="dxa"/>
            <w:tcBorders>
              <w:top w:val="nil"/>
              <w:left w:val="nil"/>
              <w:bottom w:val="single" w:sz="4" w:space="0" w:color="auto"/>
              <w:right w:val="single" w:sz="4" w:space="0" w:color="auto"/>
            </w:tcBorders>
            <w:noWrap/>
            <w:vAlign w:val="center"/>
            <w:hideMark/>
          </w:tcPr>
          <w:p w14:paraId="51CA07D0" w14:textId="77777777" w:rsidR="00C2371E" w:rsidRPr="00C2371E" w:rsidRDefault="00C2371E" w:rsidP="00B17D18">
            <w:pPr>
              <w:jc w:val="right"/>
              <w:rPr>
                <w:rFonts w:ascii="Arial" w:hAnsi="Arial" w:cs="Arial"/>
                <w:color w:val="000000"/>
                <w:lang w:val="en-IN" w:eastAsia="en-IN" w:bidi="my-MM"/>
              </w:rPr>
            </w:pPr>
            <w:r w:rsidRPr="00C2371E">
              <w:rPr>
                <w:rFonts w:ascii="Arial" w:hAnsi="Arial" w:cs="Arial"/>
                <w:color w:val="000000"/>
                <w:lang w:val="en-IN" w:eastAsia="en-IN" w:bidi="my-MM"/>
              </w:rPr>
              <w:t>751.870</w:t>
            </w:r>
          </w:p>
        </w:tc>
        <w:tc>
          <w:tcPr>
            <w:tcW w:w="1273" w:type="dxa"/>
            <w:tcBorders>
              <w:top w:val="nil"/>
              <w:left w:val="nil"/>
              <w:bottom w:val="single" w:sz="4" w:space="0" w:color="auto"/>
              <w:right w:val="single" w:sz="4" w:space="0" w:color="auto"/>
            </w:tcBorders>
            <w:noWrap/>
            <w:vAlign w:val="center"/>
            <w:hideMark/>
          </w:tcPr>
          <w:p w14:paraId="4E9A986C" w14:textId="77777777" w:rsidR="00C2371E" w:rsidRPr="00C2371E" w:rsidRDefault="00C2371E" w:rsidP="00B17D18">
            <w:pPr>
              <w:jc w:val="right"/>
              <w:rPr>
                <w:rFonts w:ascii="Arial" w:hAnsi="Arial" w:cs="Arial"/>
                <w:color w:val="000000"/>
                <w:lang w:val="en-IN" w:eastAsia="en-IN" w:bidi="my-MM"/>
              </w:rPr>
            </w:pPr>
            <w:r w:rsidRPr="00C2371E">
              <w:rPr>
                <w:rFonts w:ascii="Arial" w:hAnsi="Arial" w:cs="Arial"/>
                <w:color w:val="000000"/>
                <w:lang w:val="en-IN" w:eastAsia="en-IN" w:bidi="my-MM"/>
              </w:rPr>
              <w:t>142471.685</w:t>
            </w:r>
          </w:p>
        </w:tc>
        <w:tc>
          <w:tcPr>
            <w:tcW w:w="1427" w:type="dxa"/>
            <w:tcBorders>
              <w:top w:val="nil"/>
              <w:left w:val="nil"/>
              <w:bottom w:val="single" w:sz="4" w:space="0" w:color="auto"/>
              <w:right w:val="single" w:sz="4" w:space="0" w:color="auto"/>
            </w:tcBorders>
            <w:noWrap/>
            <w:vAlign w:val="center"/>
            <w:hideMark/>
          </w:tcPr>
          <w:p w14:paraId="1BD63A42" w14:textId="77777777" w:rsidR="00C2371E" w:rsidRPr="00C2371E" w:rsidRDefault="00C2371E" w:rsidP="00B17D18">
            <w:pPr>
              <w:jc w:val="right"/>
              <w:rPr>
                <w:rFonts w:ascii="Arial" w:hAnsi="Arial" w:cs="Arial"/>
                <w:color w:val="000000"/>
                <w:lang w:val="en-IN" w:eastAsia="en-IN" w:bidi="my-MM"/>
              </w:rPr>
            </w:pPr>
            <w:r w:rsidRPr="00C2371E">
              <w:rPr>
                <w:rFonts w:ascii="Arial" w:hAnsi="Arial" w:cs="Arial"/>
                <w:color w:val="000000"/>
                <w:lang w:val="en-IN" w:eastAsia="en-IN" w:bidi="my-MM"/>
              </w:rPr>
              <w:t>229159.147</w:t>
            </w:r>
          </w:p>
        </w:tc>
        <w:tc>
          <w:tcPr>
            <w:tcW w:w="1384" w:type="dxa"/>
            <w:tcBorders>
              <w:top w:val="nil"/>
              <w:left w:val="nil"/>
              <w:bottom w:val="single" w:sz="4" w:space="0" w:color="auto"/>
              <w:right w:val="single" w:sz="4" w:space="0" w:color="auto"/>
            </w:tcBorders>
            <w:noWrap/>
            <w:vAlign w:val="center"/>
            <w:hideMark/>
          </w:tcPr>
          <w:p w14:paraId="0485B359" w14:textId="77777777" w:rsidR="00C2371E" w:rsidRPr="00C2371E" w:rsidRDefault="00C2371E" w:rsidP="00B17D18">
            <w:pPr>
              <w:jc w:val="right"/>
              <w:rPr>
                <w:rFonts w:ascii="Arial" w:hAnsi="Arial" w:cs="Arial"/>
                <w:color w:val="000000"/>
                <w:lang w:val="en-IN" w:eastAsia="en-IN" w:bidi="my-MM"/>
              </w:rPr>
            </w:pPr>
            <w:r w:rsidRPr="00C2371E">
              <w:rPr>
                <w:rFonts w:ascii="Arial" w:hAnsi="Arial" w:cs="Arial"/>
                <w:color w:val="000000"/>
                <w:lang w:val="en-IN" w:eastAsia="en-IN" w:bidi="my-MM"/>
              </w:rPr>
              <w:t>371212.510</w:t>
            </w:r>
          </w:p>
        </w:tc>
        <w:tc>
          <w:tcPr>
            <w:tcW w:w="2588" w:type="dxa"/>
            <w:tcBorders>
              <w:top w:val="nil"/>
              <w:left w:val="nil"/>
              <w:bottom w:val="single" w:sz="4" w:space="0" w:color="auto"/>
              <w:right w:val="single" w:sz="4" w:space="0" w:color="auto"/>
            </w:tcBorders>
            <w:noWrap/>
            <w:vAlign w:val="center"/>
            <w:hideMark/>
          </w:tcPr>
          <w:p w14:paraId="183E07BF" w14:textId="77777777" w:rsidR="00C2371E" w:rsidRPr="00C2371E" w:rsidRDefault="00C2371E" w:rsidP="00B17D18">
            <w:pPr>
              <w:jc w:val="right"/>
              <w:rPr>
                <w:rFonts w:ascii="Arial" w:hAnsi="Arial" w:cs="Arial"/>
                <w:color w:val="000000"/>
                <w:lang w:val="en-IN" w:eastAsia="en-IN" w:bidi="my-MM"/>
              </w:rPr>
            </w:pPr>
            <w:r w:rsidRPr="00C2371E">
              <w:rPr>
                <w:rFonts w:ascii="Arial" w:hAnsi="Arial" w:cs="Arial"/>
                <w:color w:val="000000"/>
                <w:lang w:val="en-IN" w:eastAsia="en-IN" w:bidi="my-MM"/>
              </w:rPr>
              <w:t>4.495</w:t>
            </w:r>
          </w:p>
        </w:tc>
      </w:tr>
      <w:tr w:rsidR="00C2371E" w:rsidRPr="00C2371E" w14:paraId="70506125" w14:textId="77777777" w:rsidTr="00C2371E">
        <w:trPr>
          <w:trHeight w:val="432"/>
        </w:trPr>
        <w:tc>
          <w:tcPr>
            <w:tcW w:w="828" w:type="dxa"/>
            <w:tcBorders>
              <w:top w:val="nil"/>
              <w:left w:val="single" w:sz="4" w:space="0" w:color="auto"/>
              <w:bottom w:val="single" w:sz="4" w:space="0" w:color="auto"/>
              <w:right w:val="single" w:sz="4" w:space="0" w:color="auto"/>
            </w:tcBorders>
            <w:noWrap/>
            <w:vAlign w:val="center"/>
            <w:hideMark/>
          </w:tcPr>
          <w:p w14:paraId="272185A2" w14:textId="77777777" w:rsidR="00C2371E" w:rsidRPr="00C2371E" w:rsidRDefault="00C2371E" w:rsidP="00B17D18">
            <w:pPr>
              <w:rPr>
                <w:rFonts w:ascii="Arial" w:hAnsi="Arial" w:cs="Arial"/>
                <w:b/>
                <w:bCs/>
                <w:lang w:val="en-IN" w:eastAsia="en-IN" w:bidi="my-MM"/>
              </w:rPr>
            </w:pPr>
            <w:r w:rsidRPr="00C2371E">
              <w:rPr>
                <w:rFonts w:ascii="Arial" w:hAnsi="Arial" w:cs="Arial"/>
                <w:b/>
                <w:bCs/>
                <w:lang w:val="en-IN" w:eastAsia="en-IN" w:bidi="my-MM"/>
              </w:rPr>
              <w:t>Min</w:t>
            </w:r>
          </w:p>
        </w:tc>
        <w:tc>
          <w:tcPr>
            <w:tcW w:w="1710" w:type="dxa"/>
            <w:tcBorders>
              <w:top w:val="nil"/>
              <w:left w:val="nil"/>
              <w:bottom w:val="single" w:sz="4" w:space="0" w:color="auto"/>
              <w:right w:val="single" w:sz="4" w:space="0" w:color="auto"/>
            </w:tcBorders>
            <w:noWrap/>
            <w:vAlign w:val="center"/>
            <w:hideMark/>
          </w:tcPr>
          <w:p w14:paraId="4C105F1C" w14:textId="77777777" w:rsidR="00C2371E" w:rsidRPr="00C2371E" w:rsidRDefault="00C2371E" w:rsidP="00B17D18">
            <w:pPr>
              <w:jc w:val="right"/>
              <w:rPr>
                <w:rFonts w:ascii="Arial" w:hAnsi="Arial" w:cs="Arial"/>
                <w:color w:val="000000"/>
                <w:lang w:val="en-IN" w:eastAsia="en-IN" w:bidi="my-MM"/>
              </w:rPr>
            </w:pPr>
            <w:r w:rsidRPr="00C2371E">
              <w:rPr>
                <w:rFonts w:ascii="Arial" w:hAnsi="Arial" w:cs="Arial"/>
                <w:color w:val="000000"/>
                <w:lang w:val="en-IN" w:eastAsia="en-IN" w:bidi="my-MM"/>
              </w:rPr>
              <w:t>412.510</w:t>
            </w:r>
          </w:p>
        </w:tc>
        <w:tc>
          <w:tcPr>
            <w:tcW w:w="1273" w:type="dxa"/>
            <w:tcBorders>
              <w:top w:val="nil"/>
              <w:left w:val="nil"/>
              <w:bottom w:val="single" w:sz="4" w:space="0" w:color="auto"/>
              <w:right w:val="single" w:sz="4" w:space="0" w:color="auto"/>
            </w:tcBorders>
            <w:noWrap/>
            <w:vAlign w:val="center"/>
            <w:hideMark/>
          </w:tcPr>
          <w:p w14:paraId="2B1D850C" w14:textId="77777777" w:rsidR="00C2371E" w:rsidRPr="00C2371E" w:rsidRDefault="00C2371E" w:rsidP="00B17D18">
            <w:pPr>
              <w:jc w:val="right"/>
              <w:rPr>
                <w:rFonts w:ascii="Arial" w:hAnsi="Arial" w:cs="Arial"/>
                <w:color w:val="000000"/>
                <w:lang w:val="en-IN" w:eastAsia="en-IN" w:bidi="my-MM"/>
              </w:rPr>
            </w:pPr>
            <w:r w:rsidRPr="00C2371E">
              <w:rPr>
                <w:rFonts w:ascii="Arial" w:hAnsi="Arial" w:cs="Arial"/>
                <w:color w:val="000000"/>
                <w:lang w:val="en-IN" w:eastAsia="en-IN" w:bidi="my-MM"/>
              </w:rPr>
              <w:t>33218.710</w:t>
            </w:r>
          </w:p>
        </w:tc>
        <w:tc>
          <w:tcPr>
            <w:tcW w:w="1427" w:type="dxa"/>
            <w:tcBorders>
              <w:top w:val="nil"/>
              <w:left w:val="nil"/>
              <w:bottom w:val="single" w:sz="4" w:space="0" w:color="auto"/>
              <w:right w:val="single" w:sz="4" w:space="0" w:color="auto"/>
            </w:tcBorders>
            <w:noWrap/>
            <w:vAlign w:val="center"/>
            <w:hideMark/>
          </w:tcPr>
          <w:p w14:paraId="2685E8F7" w14:textId="77777777" w:rsidR="00C2371E" w:rsidRPr="00C2371E" w:rsidRDefault="00C2371E" w:rsidP="00B17D18">
            <w:pPr>
              <w:jc w:val="right"/>
              <w:rPr>
                <w:rFonts w:ascii="Arial" w:hAnsi="Arial" w:cs="Arial"/>
                <w:color w:val="000000"/>
                <w:lang w:val="en-IN" w:eastAsia="en-IN" w:bidi="my-MM"/>
              </w:rPr>
            </w:pPr>
            <w:r w:rsidRPr="00C2371E">
              <w:rPr>
                <w:rFonts w:ascii="Arial" w:hAnsi="Arial" w:cs="Arial"/>
                <w:color w:val="000000"/>
                <w:lang w:val="en-IN" w:eastAsia="en-IN" w:bidi="my-MM"/>
              </w:rPr>
              <w:t>41484.490</w:t>
            </w:r>
          </w:p>
        </w:tc>
        <w:tc>
          <w:tcPr>
            <w:tcW w:w="1384" w:type="dxa"/>
            <w:tcBorders>
              <w:top w:val="nil"/>
              <w:left w:val="nil"/>
              <w:bottom w:val="single" w:sz="4" w:space="0" w:color="auto"/>
              <w:right w:val="single" w:sz="4" w:space="0" w:color="auto"/>
            </w:tcBorders>
            <w:noWrap/>
            <w:vAlign w:val="center"/>
            <w:hideMark/>
          </w:tcPr>
          <w:p w14:paraId="7A4709C5" w14:textId="77777777" w:rsidR="00C2371E" w:rsidRPr="00C2371E" w:rsidRDefault="00C2371E" w:rsidP="00B17D18">
            <w:pPr>
              <w:jc w:val="right"/>
              <w:rPr>
                <w:rFonts w:ascii="Arial" w:hAnsi="Arial" w:cs="Arial"/>
                <w:color w:val="000000"/>
                <w:lang w:val="en-IN" w:eastAsia="en-IN" w:bidi="my-MM"/>
              </w:rPr>
            </w:pPr>
            <w:r w:rsidRPr="00C2371E">
              <w:rPr>
                <w:rFonts w:ascii="Arial" w:hAnsi="Arial" w:cs="Arial"/>
                <w:color w:val="000000"/>
                <w:lang w:val="en-IN" w:eastAsia="en-IN" w:bidi="my-MM"/>
              </w:rPr>
              <w:t>75448.630</w:t>
            </w:r>
          </w:p>
        </w:tc>
        <w:tc>
          <w:tcPr>
            <w:tcW w:w="2588" w:type="dxa"/>
            <w:tcBorders>
              <w:top w:val="nil"/>
              <w:left w:val="nil"/>
              <w:bottom w:val="single" w:sz="4" w:space="0" w:color="auto"/>
              <w:right w:val="single" w:sz="4" w:space="0" w:color="auto"/>
            </w:tcBorders>
            <w:noWrap/>
            <w:vAlign w:val="center"/>
            <w:hideMark/>
          </w:tcPr>
          <w:p w14:paraId="124EB3B2" w14:textId="77777777" w:rsidR="00C2371E" w:rsidRPr="00C2371E" w:rsidRDefault="00C2371E" w:rsidP="00B17D18">
            <w:pPr>
              <w:jc w:val="right"/>
              <w:rPr>
                <w:rFonts w:ascii="Arial" w:hAnsi="Arial" w:cs="Arial"/>
                <w:color w:val="000000"/>
                <w:lang w:val="en-IN" w:eastAsia="en-IN" w:bidi="my-MM"/>
              </w:rPr>
            </w:pPr>
            <w:r w:rsidRPr="00C2371E">
              <w:rPr>
                <w:rFonts w:ascii="Arial" w:hAnsi="Arial" w:cs="Arial"/>
                <w:color w:val="000000"/>
                <w:lang w:val="en-IN" w:eastAsia="en-IN" w:bidi="my-MM"/>
              </w:rPr>
              <w:t>24.975</w:t>
            </w:r>
          </w:p>
        </w:tc>
      </w:tr>
      <w:tr w:rsidR="00C2371E" w:rsidRPr="00C2371E" w14:paraId="55B5B39F" w14:textId="77777777" w:rsidTr="00C2371E">
        <w:trPr>
          <w:trHeight w:val="432"/>
        </w:trPr>
        <w:tc>
          <w:tcPr>
            <w:tcW w:w="828" w:type="dxa"/>
            <w:tcBorders>
              <w:top w:val="single" w:sz="4" w:space="0" w:color="auto"/>
              <w:left w:val="single" w:sz="4" w:space="0" w:color="auto"/>
              <w:bottom w:val="single" w:sz="4" w:space="0" w:color="auto"/>
              <w:right w:val="single" w:sz="4" w:space="0" w:color="auto"/>
            </w:tcBorders>
            <w:noWrap/>
            <w:vAlign w:val="center"/>
            <w:hideMark/>
          </w:tcPr>
          <w:p w14:paraId="56ABAC18" w14:textId="77777777" w:rsidR="00C2371E" w:rsidRPr="00C2371E" w:rsidRDefault="00C2371E" w:rsidP="00B17D18">
            <w:pPr>
              <w:rPr>
                <w:rFonts w:ascii="Arial" w:hAnsi="Arial" w:cs="Arial"/>
                <w:b/>
                <w:bCs/>
                <w:lang w:val="en-IN" w:eastAsia="en-IN" w:bidi="my-MM"/>
              </w:rPr>
            </w:pPr>
            <w:r w:rsidRPr="00C2371E">
              <w:rPr>
                <w:rFonts w:ascii="Arial" w:hAnsi="Arial" w:cs="Arial"/>
                <w:b/>
                <w:bCs/>
                <w:lang w:val="en-IN" w:eastAsia="en-IN" w:bidi="my-MM"/>
              </w:rPr>
              <w:t>Max</w:t>
            </w:r>
          </w:p>
        </w:tc>
        <w:tc>
          <w:tcPr>
            <w:tcW w:w="1710" w:type="dxa"/>
            <w:tcBorders>
              <w:top w:val="single" w:sz="4" w:space="0" w:color="auto"/>
              <w:left w:val="nil"/>
              <w:bottom w:val="single" w:sz="4" w:space="0" w:color="auto"/>
              <w:right w:val="single" w:sz="4" w:space="0" w:color="auto"/>
            </w:tcBorders>
            <w:noWrap/>
            <w:vAlign w:val="center"/>
            <w:hideMark/>
          </w:tcPr>
          <w:p w14:paraId="12F6050A" w14:textId="77777777" w:rsidR="00C2371E" w:rsidRPr="00C2371E" w:rsidRDefault="00C2371E" w:rsidP="00B17D18">
            <w:pPr>
              <w:jc w:val="right"/>
              <w:rPr>
                <w:rFonts w:ascii="Arial" w:hAnsi="Arial" w:cs="Arial"/>
                <w:color w:val="000000"/>
                <w:lang w:val="en-IN" w:eastAsia="en-IN" w:bidi="my-MM"/>
              </w:rPr>
            </w:pPr>
            <w:r w:rsidRPr="00C2371E">
              <w:rPr>
                <w:rFonts w:ascii="Arial" w:hAnsi="Arial" w:cs="Arial"/>
                <w:color w:val="000000"/>
                <w:lang w:val="en-IN" w:eastAsia="en-IN" w:bidi="my-MM"/>
              </w:rPr>
              <w:t>2696.664</w:t>
            </w:r>
          </w:p>
        </w:tc>
        <w:tc>
          <w:tcPr>
            <w:tcW w:w="1273" w:type="dxa"/>
            <w:tcBorders>
              <w:top w:val="single" w:sz="4" w:space="0" w:color="auto"/>
              <w:left w:val="nil"/>
              <w:bottom w:val="single" w:sz="4" w:space="0" w:color="auto"/>
              <w:right w:val="single" w:sz="4" w:space="0" w:color="auto"/>
            </w:tcBorders>
            <w:noWrap/>
            <w:vAlign w:val="center"/>
            <w:hideMark/>
          </w:tcPr>
          <w:p w14:paraId="032C0ED4" w14:textId="77777777" w:rsidR="00C2371E" w:rsidRPr="00C2371E" w:rsidRDefault="00C2371E" w:rsidP="00B17D18">
            <w:pPr>
              <w:jc w:val="right"/>
              <w:rPr>
                <w:rFonts w:ascii="Arial" w:hAnsi="Arial" w:cs="Arial"/>
                <w:color w:val="000000"/>
                <w:lang w:val="en-IN" w:eastAsia="en-IN" w:bidi="my-MM"/>
              </w:rPr>
            </w:pPr>
            <w:r w:rsidRPr="00C2371E">
              <w:rPr>
                <w:rFonts w:ascii="Arial" w:hAnsi="Arial" w:cs="Arial"/>
                <w:color w:val="000000"/>
                <w:lang w:val="en-IN" w:eastAsia="en-IN" w:bidi="my-MM"/>
              </w:rPr>
              <w:t>451070.000</w:t>
            </w:r>
          </w:p>
        </w:tc>
        <w:tc>
          <w:tcPr>
            <w:tcW w:w="1427" w:type="dxa"/>
            <w:tcBorders>
              <w:top w:val="single" w:sz="4" w:space="0" w:color="auto"/>
              <w:left w:val="nil"/>
              <w:bottom w:val="single" w:sz="4" w:space="0" w:color="auto"/>
              <w:right w:val="single" w:sz="4" w:space="0" w:color="auto"/>
            </w:tcBorders>
            <w:noWrap/>
            <w:vAlign w:val="center"/>
            <w:hideMark/>
          </w:tcPr>
          <w:p w14:paraId="4C41855A" w14:textId="77777777" w:rsidR="00C2371E" w:rsidRPr="00C2371E" w:rsidRDefault="00C2371E" w:rsidP="00B17D18">
            <w:pPr>
              <w:jc w:val="right"/>
              <w:rPr>
                <w:rFonts w:ascii="Arial" w:hAnsi="Arial" w:cs="Arial"/>
                <w:color w:val="000000"/>
                <w:lang w:val="en-IN" w:eastAsia="en-IN" w:bidi="my-MM"/>
              </w:rPr>
            </w:pPr>
            <w:r w:rsidRPr="00C2371E">
              <w:rPr>
                <w:rFonts w:ascii="Arial" w:hAnsi="Arial" w:cs="Arial"/>
                <w:color w:val="000000"/>
                <w:lang w:val="en-IN" w:eastAsia="en-IN" w:bidi="my-MM"/>
              </w:rPr>
              <w:t>721200.220</w:t>
            </w:r>
          </w:p>
        </w:tc>
        <w:tc>
          <w:tcPr>
            <w:tcW w:w="1384" w:type="dxa"/>
            <w:tcBorders>
              <w:top w:val="single" w:sz="4" w:space="0" w:color="auto"/>
              <w:left w:val="nil"/>
              <w:bottom w:val="single" w:sz="4" w:space="0" w:color="auto"/>
              <w:right w:val="single" w:sz="4" w:space="0" w:color="auto"/>
            </w:tcBorders>
            <w:noWrap/>
            <w:vAlign w:val="center"/>
            <w:hideMark/>
          </w:tcPr>
          <w:p w14:paraId="08A5993B" w14:textId="77777777" w:rsidR="00C2371E" w:rsidRPr="00C2371E" w:rsidRDefault="00C2371E" w:rsidP="00B17D18">
            <w:pPr>
              <w:jc w:val="right"/>
              <w:rPr>
                <w:rFonts w:ascii="Arial" w:hAnsi="Arial" w:cs="Arial"/>
                <w:color w:val="000000"/>
                <w:lang w:val="en-IN" w:eastAsia="en-IN" w:bidi="my-MM"/>
              </w:rPr>
            </w:pPr>
            <w:r w:rsidRPr="00C2371E">
              <w:rPr>
                <w:rFonts w:ascii="Arial" w:hAnsi="Arial" w:cs="Arial"/>
                <w:color w:val="000000"/>
                <w:lang w:val="en-IN" w:eastAsia="en-IN" w:bidi="my-MM"/>
              </w:rPr>
              <w:t>1167038.890</w:t>
            </w:r>
          </w:p>
        </w:tc>
        <w:tc>
          <w:tcPr>
            <w:tcW w:w="2588" w:type="dxa"/>
            <w:tcBorders>
              <w:top w:val="single" w:sz="4" w:space="0" w:color="auto"/>
              <w:left w:val="nil"/>
              <w:bottom w:val="single" w:sz="4" w:space="0" w:color="auto"/>
              <w:right w:val="single" w:sz="4" w:space="0" w:color="auto"/>
            </w:tcBorders>
            <w:noWrap/>
            <w:vAlign w:val="center"/>
            <w:hideMark/>
          </w:tcPr>
          <w:p w14:paraId="53F41425" w14:textId="77777777" w:rsidR="00C2371E" w:rsidRPr="00C2371E" w:rsidRDefault="00C2371E" w:rsidP="00B17D18">
            <w:pPr>
              <w:jc w:val="right"/>
              <w:rPr>
                <w:rFonts w:ascii="Arial" w:hAnsi="Arial" w:cs="Arial"/>
                <w:color w:val="000000"/>
                <w:lang w:val="en-IN" w:eastAsia="en-IN" w:bidi="my-MM"/>
              </w:rPr>
            </w:pPr>
            <w:r w:rsidRPr="00C2371E">
              <w:rPr>
                <w:rFonts w:ascii="Arial" w:hAnsi="Arial" w:cs="Arial"/>
                <w:color w:val="000000"/>
                <w:lang w:val="en-IN" w:eastAsia="en-IN" w:bidi="my-MM"/>
              </w:rPr>
              <w:t>41.951</w:t>
            </w:r>
          </w:p>
        </w:tc>
      </w:tr>
      <w:tr w:rsidR="00C2371E" w:rsidRPr="00C2371E" w14:paraId="661DB351" w14:textId="77777777" w:rsidTr="00C2371E">
        <w:trPr>
          <w:trHeight w:val="432"/>
        </w:trPr>
        <w:tc>
          <w:tcPr>
            <w:tcW w:w="9210" w:type="dxa"/>
            <w:gridSpan w:val="6"/>
            <w:tcBorders>
              <w:top w:val="single" w:sz="4" w:space="0" w:color="auto"/>
            </w:tcBorders>
            <w:noWrap/>
            <w:vAlign w:val="center"/>
          </w:tcPr>
          <w:p w14:paraId="36B8AEFB" w14:textId="77777777" w:rsidR="00C2371E" w:rsidRPr="00C2371E" w:rsidRDefault="00C2371E" w:rsidP="00B17D18">
            <w:pPr>
              <w:rPr>
                <w:rFonts w:ascii="Arial" w:hAnsi="Arial" w:cs="Arial"/>
                <w:i/>
                <w:iCs/>
                <w:color w:val="000000"/>
                <w:lang w:val="en-IN" w:eastAsia="en-IN" w:bidi="my-MM"/>
              </w:rPr>
            </w:pPr>
            <w:r w:rsidRPr="00C2371E">
              <w:rPr>
                <w:rFonts w:ascii="Arial" w:hAnsi="Arial" w:cs="Arial"/>
                <w:i/>
                <w:iCs/>
                <w:lang w:val="en-IN" w:eastAsia="en-IN" w:bidi="my-MM"/>
              </w:rPr>
              <w:t>Source: Authors’ Contribution based on secondary data using Excel</w:t>
            </w:r>
          </w:p>
        </w:tc>
      </w:tr>
    </w:tbl>
    <w:p w14:paraId="1C7505FE" w14:textId="77777777" w:rsidR="00C2371E" w:rsidRPr="00C2371E" w:rsidRDefault="00157B05" w:rsidP="00C2371E">
      <w:pPr>
        <w:jc w:val="both"/>
        <w:rPr>
          <w:rFonts w:ascii="Arial" w:hAnsi="Arial" w:cs="Arial"/>
          <w:b/>
          <w:bCs/>
        </w:rPr>
      </w:pPr>
      <w:r>
        <w:rPr>
          <w:rFonts w:ascii="Arial" w:hAnsi="Arial" w:cs="Arial"/>
          <w:b/>
          <w:caps/>
          <w:sz w:val="22"/>
          <w:szCs w:val="22"/>
        </w:rPr>
        <w:t>3</w:t>
      </w:r>
      <w:r w:rsidR="00C2371E" w:rsidRPr="003A14B2">
        <w:rPr>
          <w:rFonts w:ascii="Arial" w:hAnsi="Arial" w:cs="Arial"/>
          <w:b/>
          <w:caps/>
          <w:sz w:val="22"/>
          <w:szCs w:val="22"/>
        </w:rPr>
        <w:t>.</w:t>
      </w:r>
      <w:r w:rsidR="00C2371E">
        <w:rPr>
          <w:rFonts w:ascii="Arial" w:hAnsi="Arial" w:cs="Arial"/>
          <w:b/>
          <w:caps/>
          <w:sz w:val="22"/>
          <w:szCs w:val="22"/>
        </w:rPr>
        <w:t>2</w:t>
      </w:r>
      <w:r w:rsidR="00C2371E" w:rsidRPr="003A14B2">
        <w:rPr>
          <w:rFonts w:ascii="Arial" w:hAnsi="Arial" w:cs="Arial"/>
          <w:b/>
          <w:caps/>
          <w:sz w:val="22"/>
          <w:szCs w:val="22"/>
        </w:rPr>
        <w:t xml:space="preserve"> </w:t>
      </w:r>
      <w:r w:rsidR="00C2371E">
        <w:rPr>
          <w:rFonts w:ascii="Arial" w:hAnsi="Arial" w:cs="Arial"/>
          <w:b/>
          <w:bCs/>
          <w:sz w:val="22"/>
          <w:szCs w:val="22"/>
        </w:rPr>
        <w:t>Trend Analysis</w:t>
      </w:r>
    </w:p>
    <w:p w14:paraId="50739366" w14:textId="77777777" w:rsidR="00C2371E" w:rsidRPr="008A24EF" w:rsidRDefault="00C2371E" w:rsidP="00C2371E">
      <w:pPr>
        <w:jc w:val="both"/>
        <w:rPr>
          <w:rFonts w:ascii="Arial" w:hAnsi="Arial" w:cs="Arial"/>
        </w:rPr>
      </w:pPr>
      <w:r>
        <w:rPr>
          <w:rFonts w:ascii="Arial" w:hAnsi="Arial" w:cs="Arial"/>
        </w:rPr>
        <w:tab/>
        <w:t xml:space="preserve">The trend analysis of </w:t>
      </w:r>
      <w:r>
        <w:rPr>
          <w:rFonts w:ascii="Arial" w:hAnsi="Arial" w:cs="Arial"/>
          <w:highlight w:val="yellow"/>
        </w:rPr>
        <w:t>India’s</w:t>
      </w:r>
      <w:r>
        <w:rPr>
          <w:rFonts w:ascii="Arial" w:hAnsi="Arial" w:cs="Arial"/>
        </w:rPr>
        <w:t xml:space="preserve"> trade (1997</w:t>
      </w:r>
      <w:r>
        <w:rPr>
          <w:rFonts w:ascii="Arial" w:hAnsi="Arial" w:cs="Arial"/>
          <w:highlight w:val="yellow"/>
        </w:rPr>
        <w:t>–</w:t>
      </w:r>
      <w:r>
        <w:rPr>
          <w:rFonts w:ascii="Arial" w:hAnsi="Arial" w:cs="Arial"/>
        </w:rPr>
        <w:t xml:space="preserve">2025) is shown in </w:t>
      </w:r>
      <w:r>
        <w:rPr>
          <w:rFonts w:ascii="Arial" w:hAnsi="Arial" w:cs="Arial"/>
          <w:highlight w:val="yellow"/>
        </w:rPr>
        <w:t>F</w:t>
      </w:r>
      <w:r>
        <w:rPr>
          <w:rFonts w:ascii="Arial" w:hAnsi="Arial" w:cs="Arial"/>
        </w:rPr>
        <w:t>igure 1. Figure 1 illustrates the trend</w:t>
      </w:r>
      <w:r>
        <w:rPr>
          <w:rFonts w:ascii="Arial" w:hAnsi="Arial" w:cs="Arial"/>
          <w:highlight w:val="yellow"/>
        </w:rPr>
        <w:t>s</w:t>
      </w:r>
      <w:r>
        <w:rPr>
          <w:rFonts w:ascii="Arial" w:hAnsi="Arial" w:cs="Arial"/>
        </w:rPr>
        <w:t xml:space="preserve"> in India’s total exports, imports, and </w:t>
      </w:r>
      <w:r>
        <w:rPr>
          <w:rFonts w:ascii="Arial" w:hAnsi="Arial" w:cs="Arial"/>
          <w:highlight w:val="yellow"/>
        </w:rPr>
        <w:t>t</w:t>
      </w:r>
      <w:r>
        <w:rPr>
          <w:rFonts w:ascii="Arial" w:hAnsi="Arial" w:cs="Arial"/>
        </w:rPr>
        <w:t>otal trade from 1997–1998 to 2025–2026. Total trade shows a strong upward trajectory, especially after the mid-2000s, reflecting India’s increasing integration into the global economy. Both exports and imports rise steadily until around 2011–2012, followed by moderate fluctuations. A noticeable decline appears around 2015–2016 and again in 2020–2021, likely due to global economic slowdowns and the COVID-19 pandemic. Trade rebounds sharply after 2021, reaching peak levels in 2022–2023. Imports consistently exceed exports, indicating a persistent trade deficit. The sharp fall in 2025–2026 suggests a recent contraction in trade activity.</w:t>
      </w:r>
    </w:p>
    <w:p w14:paraId="7CEA9DBF" w14:textId="77777777" w:rsidR="00C2371E" w:rsidRPr="008A24EF" w:rsidRDefault="00C2371E" w:rsidP="00C2371E">
      <w:pPr>
        <w:jc w:val="center"/>
        <w:rPr>
          <w:rFonts w:ascii="Arial" w:hAnsi="Arial" w:cs="Arial"/>
          <w:b/>
          <w:bCs/>
        </w:rPr>
      </w:pPr>
      <w:r w:rsidRPr="008A24EF">
        <w:rPr>
          <w:rFonts w:ascii="Arial" w:hAnsi="Arial" w:cs="Arial"/>
          <w:noProof/>
        </w:rPr>
        <w:drawing>
          <wp:inline distT="0" distB="0" distL="0" distR="0" wp14:anchorId="7FD9E76A" wp14:editId="42C4601C">
            <wp:extent cx="4953000" cy="2316480"/>
            <wp:effectExtent l="0" t="0" r="0" b="0"/>
            <wp:docPr id="276877116" name="Chart 1">
              <a:extLst xmlns:a="http://schemas.openxmlformats.org/drawingml/2006/main">
                <a:ext uri="{FF2B5EF4-FFF2-40B4-BE49-F238E27FC236}">
                  <a16:creationId xmlns:a16="http://schemas.microsoft.com/office/drawing/2014/main" id="{DA472C79-B88B-F943-D8DA-659C3FF27D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4FB2A597" w14:textId="77777777" w:rsidR="00C2371E" w:rsidRPr="008A24EF" w:rsidRDefault="00C2371E" w:rsidP="00C2371E">
      <w:pPr>
        <w:jc w:val="center"/>
        <w:rPr>
          <w:rFonts w:ascii="Arial" w:hAnsi="Arial" w:cs="Arial"/>
        </w:rPr>
      </w:pPr>
      <w:r w:rsidRPr="008A24EF">
        <w:rPr>
          <w:rFonts w:ascii="Arial" w:hAnsi="Arial" w:cs="Arial"/>
          <w:b/>
          <w:bCs/>
        </w:rPr>
        <w:t>Figure 1. Trade of India (1997-2025)</w:t>
      </w:r>
    </w:p>
    <w:p w14:paraId="13877FC7" w14:textId="77777777" w:rsidR="00C2371E" w:rsidRPr="008A24EF" w:rsidRDefault="00C2371E" w:rsidP="00C2371E">
      <w:pPr>
        <w:rPr>
          <w:rFonts w:ascii="Arial" w:hAnsi="Arial" w:cs="Arial"/>
        </w:rPr>
      </w:pPr>
      <w:r w:rsidRPr="008A24EF">
        <w:rPr>
          <w:rFonts w:ascii="Arial" w:hAnsi="Arial" w:cs="Arial"/>
          <w:i/>
          <w:iCs/>
          <w:lang w:eastAsia="en-IN" w:bidi="my-MM"/>
        </w:rPr>
        <w:t>Source: Authors’ Contribution based on secondary data using Excel</w:t>
      </w:r>
    </w:p>
    <w:p w14:paraId="503DBAAD" w14:textId="77777777" w:rsidR="00C2371E" w:rsidRPr="00C2371E" w:rsidRDefault="00C2371E" w:rsidP="00C2371E">
      <w:pPr>
        <w:ind w:firstLine="720"/>
        <w:jc w:val="both"/>
        <w:rPr>
          <w:rFonts w:ascii="Arial" w:hAnsi="Arial" w:cs="Arial"/>
        </w:rPr>
      </w:pPr>
      <w:r>
        <w:rPr>
          <w:rFonts w:ascii="Arial" w:hAnsi="Arial" w:cs="Arial"/>
        </w:rPr>
        <w:t xml:space="preserve">The trend </w:t>
      </w:r>
      <w:r>
        <w:rPr>
          <w:rFonts w:ascii="Arial" w:hAnsi="Arial" w:cs="Arial"/>
          <w:highlight w:val="yellow"/>
        </w:rPr>
        <w:t>in</w:t>
      </w:r>
      <w:r>
        <w:rPr>
          <w:rFonts w:ascii="Arial" w:hAnsi="Arial" w:cs="Arial"/>
        </w:rPr>
        <w:t xml:space="preserve"> GDP per capita (current US$) is shown in </w:t>
      </w:r>
      <w:r>
        <w:rPr>
          <w:rFonts w:ascii="Arial" w:hAnsi="Arial" w:cs="Arial"/>
          <w:highlight w:val="yellow"/>
        </w:rPr>
        <w:t>F</w:t>
      </w:r>
      <w:r>
        <w:rPr>
          <w:rFonts w:ascii="Arial" w:hAnsi="Arial" w:cs="Arial"/>
        </w:rPr>
        <w:t xml:space="preserve">igure 2. Figure 2 shows a steady upward trend in India’s GDP per capita (current US$) from 1997–1998 to 2025–2026. After modest growth in the late 1990s and early 2000s, GDP per capita increases significantly from the mid-2000s onward, reflecting economic expansion and rising income </w:t>
      </w:r>
      <w:r>
        <w:rPr>
          <w:rFonts w:ascii="Arial" w:hAnsi="Arial" w:cs="Arial"/>
        </w:rPr>
        <w:lastRenderedPageBreak/>
        <w:t>levels. There is a slight slowdown around 2019–2021, likely due to the COVID-19 pandemic. However, growth resumes strongly afterward, reaching its highest level by 2025–2026, indicating overall long-term economic improvement.</w:t>
      </w:r>
    </w:p>
    <w:p w14:paraId="6B2F6054" w14:textId="77777777" w:rsidR="00C2371E" w:rsidRPr="008A24EF" w:rsidRDefault="00C2371E" w:rsidP="00C2371E">
      <w:pPr>
        <w:jc w:val="center"/>
        <w:rPr>
          <w:rFonts w:ascii="Arial" w:hAnsi="Arial" w:cs="Arial"/>
          <w:b/>
          <w:bCs/>
        </w:rPr>
      </w:pPr>
      <w:r w:rsidRPr="008A24EF">
        <w:rPr>
          <w:rFonts w:ascii="Arial" w:hAnsi="Arial" w:cs="Arial"/>
          <w:noProof/>
        </w:rPr>
        <w:drawing>
          <wp:inline distT="0" distB="0" distL="0" distR="0" wp14:anchorId="598B8896" wp14:editId="26F98AFA">
            <wp:extent cx="4678680" cy="1920240"/>
            <wp:effectExtent l="0" t="0" r="0" b="0"/>
            <wp:docPr id="205409773" name="Chart 1">
              <a:extLst xmlns:a="http://schemas.openxmlformats.org/drawingml/2006/main">
                <a:ext uri="{FF2B5EF4-FFF2-40B4-BE49-F238E27FC236}">
                  <a16:creationId xmlns:a16="http://schemas.microsoft.com/office/drawing/2014/main" id="{EDF1B82E-7013-98A4-451C-BA609630300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138F5C6C" w14:textId="77777777" w:rsidR="00C2371E" w:rsidRPr="008A24EF" w:rsidRDefault="00C2371E" w:rsidP="00C2371E">
      <w:pPr>
        <w:jc w:val="center"/>
        <w:rPr>
          <w:rFonts w:ascii="Arial" w:hAnsi="Arial" w:cs="Arial"/>
        </w:rPr>
      </w:pPr>
      <w:r w:rsidRPr="008A24EF">
        <w:rPr>
          <w:rFonts w:ascii="Arial" w:hAnsi="Arial" w:cs="Arial"/>
          <w:b/>
          <w:bCs/>
        </w:rPr>
        <w:t>Figure 2. GDP per capita (current US$) of India (1997-2025)</w:t>
      </w:r>
    </w:p>
    <w:p w14:paraId="7DD94FE8" w14:textId="77777777" w:rsidR="00C2371E" w:rsidRPr="008A24EF" w:rsidRDefault="00C2371E" w:rsidP="00C2371E">
      <w:pPr>
        <w:rPr>
          <w:rFonts w:ascii="Arial" w:hAnsi="Arial" w:cs="Arial"/>
        </w:rPr>
      </w:pPr>
      <w:r w:rsidRPr="008A24EF">
        <w:rPr>
          <w:rFonts w:ascii="Arial" w:hAnsi="Arial" w:cs="Arial"/>
          <w:i/>
          <w:iCs/>
          <w:lang w:eastAsia="en-IN" w:bidi="my-MM"/>
        </w:rPr>
        <w:t>Source: Authors’ Contribution based on secondary data using Excel</w:t>
      </w:r>
    </w:p>
    <w:p w14:paraId="14DB6BB9" w14:textId="77777777" w:rsidR="00C2371E" w:rsidRPr="008A24EF" w:rsidRDefault="00C2371E" w:rsidP="00C2371E">
      <w:pPr>
        <w:rPr>
          <w:rFonts w:ascii="Arial" w:hAnsi="Arial" w:cs="Arial"/>
        </w:rPr>
      </w:pPr>
    </w:p>
    <w:p w14:paraId="40C0562C" w14:textId="77777777" w:rsidR="00C2371E" w:rsidRPr="00C2371E" w:rsidRDefault="00157B05" w:rsidP="00C2371E">
      <w:pPr>
        <w:jc w:val="both"/>
        <w:rPr>
          <w:rFonts w:ascii="Arial" w:hAnsi="Arial" w:cs="Arial"/>
          <w:b/>
          <w:bCs/>
        </w:rPr>
      </w:pPr>
      <w:r>
        <w:rPr>
          <w:rFonts w:ascii="Arial" w:hAnsi="Arial" w:cs="Arial"/>
          <w:b/>
          <w:caps/>
          <w:sz w:val="22"/>
          <w:szCs w:val="22"/>
        </w:rPr>
        <w:t>3</w:t>
      </w:r>
      <w:r w:rsidR="00C2371E" w:rsidRPr="003A14B2">
        <w:rPr>
          <w:rFonts w:ascii="Arial" w:hAnsi="Arial" w:cs="Arial"/>
          <w:b/>
          <w:caps/>
          <w:sz w:val="22"/>
          <w:szCs w:val="22"/>
        </w:rPr>
        <w:t>.</w:t>
      </w:r>
      <w:r w:rsidR="00C2371E">
        <w:rPr>
          <w:rFonts w:ascii="Arial" w:hAnsi="Arial" w:cs="Arial"/>
          <w:b/>
          <w:caps/>
          <w:sz w:val="22"/>
          <w:szCs w:val="22"/>
        </w:rPr>
        <w:t>3</w:t>
      </w:r>
      <w:r w:rsidR="00C2371E" w:rsidRPr="003A14B2">
        <w:rPr>
          <w:rFonts w:ascii="Arial" w:hAnsi="Arial" w:cs="Arial"/>
          <w:b/>
          <w:caps/>
          <w:sz w:val="22"/>
          <w:szCs w:val="22"/>
        </w:rPr>
        <w:t xml:space="preserve"> </w:t>
      </w:r>
      <w:r w:rsidR="00C2371E">
        <w:rPr>
          <w:rFonts w:ascii="Arial" w:hAnsi="Arial" w:cs="Arial"/>
          <w:b/>
          <w:bCs/>
          <w:sz w:val="22"/>
          <w:szCs w:val="22"/>
        </w:rPr>
        <w:t>Correlation Analysis</w:t>
      </w:r>
    </w:p>
    <w:p w14:paraId="2DB6B824" w14:textId="77777777" w:rsidR="00C2371E" w:rsidRPr="00C2371E" w:rsidRDefault="00C2371E" w:rsidP="00C2371E">
      <w:pPr>
        <w:ind w:firstLine="720"/>
        <w:jc w:val="both"/>
        <w:rPr>
          <w:rFonts w:ascii="Arial" w:hAnsi="Arial" w:cs="Arial"/>
        </w:rPr>
      </w:pPr>
      <w:r>
        <w:rPr>
          <w:rFonts w:ascii="Arial" w:hAnsi="Arial" w:cs="Arial"/>
        </w:rPr>
        <w:t>The correlation results a</w:t>
      </w:r>
      <w:r>
        <w:rPr>
          <w:rFonts w:ascii="Arial" w:hAnsi="Arial" w:cs="Arial"/>
          <w:highlight w:val="yellow"/>
        </w:rPr>
        <w:t>re</w:t>
      </w:r>
      <w:r>
        <w:rPr>
          <w:rFonts w:ascii="Arial" w:hAnsi="Arial" w:cs="Arial"/>
        </w:rPr>
        <w:t xml:space="preserve"> shown in </w:t>
      </w:r>
      <w:r>
        <w:rPr>
          <w:rFonts w:ascii="Arial" w:hAnsi="Arial" w:cs="Arial"/>
          <w:highlight w:val="yellow"/>
        </w:rPr>
        <w:t>T</w:t>
      </w:r>
      <w:r>
        <w:rPr>
          <w:rFonts w:ascii="Arial" w:hAnsi="Arial" w:cs="Arial"/>
        </w:rPr>
        <w:t xml:space="preserve">able 2. </w:t>
      </w:r>
      <w:r>
        <w:rPr>
          <w:rFonts w:ascii="Arial" w:hAnsi="Arial" w:cs="Arial"/>
          <w:highlight w:val="yellow"/>
        </w:rPr>
        <w:t>T</w:t>
      </w:r>
      <w:r>
        <w:rPr>
          <w:rFonts w:ascii="Arial" w:hAnsi="Arial" w:cs="Arial"/>
        </w:rPr>
        <w:t xml:space="preserve">he Pearson correlation </w:t>
      </w:r>
      <w:r>
        <w:rPr>
          <w:rFonts w:ascii="Arial" w:hAnsi="Arial" w:cs="Arial"/>
          <w:highlight w:val="yellow"/>
        </w:rPr>
        <w:t>co</w:t>
      </w:r>
      <w:r>
        <w:rPr>
          <w:rFonts w:ascii="Arial" w:hAnsi="Arial" w:cs="Arial"/>
        </w:rPr>
        <w:t>e</w:t>
      </w:r>
      <w:r>
        <w:rPr>
          <w:rFonts w:ascii="Arial" w:hAnsi="Arial" w:cs="Arial"/>
          <w:highlight w:val="yellow"/>
        </w:rPr>
        <w:t>fficient</w:t>
      </w:r>
      <w:r>
        <w:rPr>
          <w:rFonts w:ascii="Arial" w:hAnsi="Arial" w:cs="Arial"/>
        </w:rPr>
        <w:t>s reveal strong positive correlation</w:t>
      </w:r>
      <w:r>
        <w:rPr>
          <w:rFonts w:ascii="Arial" w:hAnsi="Arial" w:cs="Arial"/>
          <w:highlight w:val="yellow"/>
        </w:rPr>
        <w:t>s</w:t>
      </w:r>
      <w:r>
        <w:rPr>
          <w:rFonts w:ascii="Arial" w:hAnsi="Arial" w:cs="Arial"/>
        </w:rPr>
        <w:t xml:space="preserve"> between GDP and </w:t>
      </w:r>
      <w:r>
        <w:rPr>
          <w:rFonts w:ascii="Arial" w:hAnsi="Arial" w:cs="Arial"/>
          <w:highlight w:val="yellow"/>
        </w:rPr>
        <w:t>e</w:t>
      </w:r>
      <w:r>
        <w:rPr>
          <w:rFonts w:ascii="Arial" w:hAnsi="Arial" w:cs="Arial"/>
        </w:rPr>
        <w:t>xports</w:t>
      </w:r>
      <w:r>
        <w:rPr>
          <w:rFonts w:ascii="Arial" w:hAnsi="Arial" w:cs="Arial"/>
          <w:highlight w:val="yellow"/>
        </w:rPr>
        <w:t>,</w:t>
      </w:r>
      <w:r>
        <w:rPr>
          <w:rFonts w:ascii="Arial" w:hAnsi="Arial" w:cs="Arial"/>
        </w:rPr>
        <w:t xml:space="preserve"> GDP and </w:t>
      </w:r>
      <w:r>
        <w:rPr>
          <w:rFonts w:ascii="Arial" w:hAnsi="Arial" w:cs="Arial"/>
          <w:highlight w:val="yellow"/>
        </w:rPr>
        <w:t>i</w:t>
      </w:r>
      <w:r>
        <w:rPr>
          <w:rFonts w:ascii="Arial" w:hAnsi="Arial" w:cs="Arial"/>
        </w:rPr>
        <w:t>mports</w:t>
      </w:r>
      <w:r>
        <w:rPr>
          <w:rFonts w:ascii="Arial" w:hAnsi="Arial" w:cs="Arial"/>
          <w:highlight w:val="yellow"/>
        </w:rPr>
        <w:t>,</w:t>
      </w:r>
      <w:r>
        <w:rPr>
          <w:rFonts w:ascii="Arial" w:hAnsi="Arial" w:cs="Arial"/>
        </w:rPr>
        <w:t xml:space="preserve"> and GDP and </w:t>
      </w:r>
      <w:r>
        <w:rPr>
          <w:rFonts w:ascii="Arial" w:hAnsi="Arial" w:cs="Arial"/>
          <w:highlight w:val="yellow"/>
        </w:rPr>
        <w:t>t</w:t>
      </w:r>
      <w:r>
        <w:rPr>
          <w:rFonts w:ascii="Arial" w:hAnsi="Arial" w:cs="Arial"/>
        </w:rPr>
        <w:t xml:space="preserve">otal </w:t>
      </w:r>
      <w:r>
        <w:rPr>
          <w:rFonts w:ascii="Arial" w:hAnsi="Arial" w:cs="Arial"/>
          <w:highlight w:val="yellow"/>
        </w:rPr>
        <w:t>t</w:t>
      </w:r>
      <w:r>
        <w:rPr>
          <w:rFonts w:ascii="Arial" w:hAnsi="Arial" w:cs="Arial"/>
        </w:rPr>
        <w:t>rade</w:t>
      </w:r>
      <w:r>
        <w:rPr>
          <w:rFonts w:ascii="Arial" w:hAnsi="Arial" w:cs="Arial"/>
          <w:highlight w:val="yellow"/>
        </w:rPr>
        <w:t>,</w:t>
      </w:r>
      <w:r>
        <w:rPr>
          <w:rFonts w:ascii="Arial" w:hAnsi="Arial" w:cs="Arial"/>
        </w:rPr>
        <w:t xml:space="preserve"> suggest</w:t>
      </w:r>
      <w:r>
        <w:rPr>
          <w:rFonts w:ascii="Arial" w:hAnsi="Arial" w:cs="Arial"/>
          <w:highlight w:val="yellow"/>
        </w:rPr>
        <w:t>ing</w:t>
      </w:r>
      <w:r>
        <w:rPr>
          <w:rFonts w:ascii="Arial" w:hAnsi="Arial" w:cs="Arial"/>
        </w:rPr>
        <w:t xml:space="preserve"> that trade expansion is strongly associated with economic growth in India.</w:t>
      </w:r>
    </w:p>
    <w:tbl>
      <w:tblPr>
        <w:tblStyle w:val="TableGrid"/>
        <w:tblW w:w="0" w:type="auto"/>
        <w:tblLook w:val="04A0" w:firstRow="1" w:lastRow="0" w:firstColumn="1" w:lastColumn="0" w:noHBand="0" w:noVBand="1"/>
      </w:tblPr>
      <w:tblGrid>
        <w:gridCol w:w="4508"/>
        <w:gridCol w:w="4508"/>
      </w:tblGrid>
      <w:tr w:rsidR="00C2371E" w:rsidRPr="008A24EF" w14:paraId="38084A68" w14:textId="77777777" w:rsidTr="008D668D">
        <w:tc>
          <w:tcPr>
            <w:tcW w:w="9016" w:type="dxa"/>
            <w:gridSpan w:val="2"/>
            <w:tcBorders>
              <w:top w:val="nil"/>
              <w:left w:val="nil"/>
              <w:right w:val="nil"/>
            </w:tcBorders>
          </w:tcPr>
          <w:p w14:paraId="55C314F8" w14:textId="77777777" w:rsidR="00C2371E" w:rsidRPr="008A24EF" w:rsidRDefault="00C2371E" w:rsidP="00B17D18">
            <w:pPr>
              <w:rPr>
                <w:rFonts w:ascii="Arial" w:hAnsi="Arial" w:cs="Arial"/>
                <w:b/>
                <w:bCs/>
                <w:sz w:val="20"/>
                <w:szCs w:val="20"/>
              </w:rPr>
            </w:pPr>
            <w:r w:rsidRPr="008A24EF">
              <w:rPr>
                <w:rFonts w:ascii="Arial" w:hAnsi="Arial" w:cs="Arial"/>
                <w:b/>
                <w:bCs/>
                <w:sz w:val="20"/>
                <w:szCs w:val="20"/>
              </w:rPr>
              <w:t>Table 2. Correlation Analysis</w:t>
            </w:r>
          </w:p>
        </w:tc>
      </w:tr>
      <w:tr w:rsidR="00C2371E" w:rsidRPr="008A24EF" w14:paraId="515CB1F5" w14:textId="77777777" w:rsidTr="008D668D">
        <w:tc>
          <w:tcPr>
            <w:tcW w:w="4508" w:type="dxa"/>
          </w:tcPr>
          <w:p w14:paraId="311B493B" w14:textId="77777777" w:rsidR="00C2371E" w:rsidRPr="008A24EF" w:rsidRDefault="00C2371E" w:rsidP="00B17D18">
            <w:pPr>
              <w:jc w:val="center"/>
              <w:rPr>
                <w:rFonts w:ascii="Arial" w:hAnsi="Arial" w:cs="Arial"/>
                <w:b/>
                <w:bCs/>
                <w:sz w:val="20"/>
                <w:szCs w:val="20"/>
              </w:rPr>
            </w:pPr>
            <w:r w:rsidRPr="008A24EF">
              <w:rPr>
                <w:rFonts w:ascii="Arial" w:hAnsi="Arial" w:cs="Arial"/>
                <w:b/>
                <w:bCs/>
                <w:sz w:val="20"/>
                <w:szCs w:val="20"/>
              </w:rPr>
              <w:t>Variables</w:t>
            </w:r>
          </w:p>
        </w:tc>
        <w:tc>
          <w:tcPr>
            <w:tcW w:w="4508" w:type="dxa"/>
          </w:tcPr>
          <w:p w14:paraId="7ED520EA" w14:textId="77777777" w:rsidR="00C2371E" w:rsidRPr="008A24EF" w:rsidRDefault="00C2371E" w:rsidP="00B17D18">
            <w:pPr>
              <w:jc w:val="center"/>
              <w:rPr>
                <w:rFonts w:ascii="Arial" w:hAnsi="Arial" w:cs="Arial"/>
                <w:b/>
                <w:bCs/>
                <w:sz w:val="20"/>
                <w:szCs w:val="20"/>
              </w:rPr>
            </w:pPr>
            <w:r w:rsidRPr="008A24EF">
              <w:rPr>
                <w:rFonts w:ascii="Arial" w:hAnsi="Arial" w:cs="Arial"/>
                <w:b/>
                <w:bCs/>
                <w:sz w:val="20"/>
                <w:szCs w:val="20"/>
              </w:rPr>
              <w:t>Correlation Results</w:t>
            </w:r>
          </w:p>
        </w:tc>
      </w:tr>
      <w:tr w:rsidR="00C2371E" w:rsidRPr="008A24EF" w14:paraId="7E326D92" w14:textId="77777777" w:rsidTr="008D668D">
        <w:tc>
          <w:tcPr>
            <w:tcW w:w="4508" w:type="dxa"/>
          </w:tcPr>
          <w:p w14:paraId="6C23F511" w14:textId="77777777" w:rsidR="00C2371E" w:rsidRPr="008A24EF" w:rsidRDefault="00C2371E" w:rsidP="00B17D18">
            <w:pPr>
              <w:rPr>
                <w:rFonts w:ascii="Arial" w:hAnsi="Arial" w:cs="Arial"/>
                <w:sz w:val="20"/>
                <w:szCs w:val="20"/>
              </w:rPr>
            </w:pPr>
            <w:r w:rsidRPr="008A24EF">
              <w:rPr>
                <w:rFonts w:ascii="Arial" w:hAnsi="Arial" w:cs="Arial"/>
                <w:sz w:val="20"/>
                <w:szCs w:val="20"/>
              </w:rPr>
              <w:t>GDP – Exports</w:t>
            </w:r>
          </w:p>
        </w:tc>
        <w:tc>
          <w:tcPr>
            <w:tcW w:w="4508" w:type="dxa"/>
          </w:tcPr>
          <w:p w14:paraId="3A7D910D" w14:textId="77777777" w:rsidR="00C2371E" w:rsidRPr="008A24EF" w:rsidRDefault="00C2371E" w:rsidP="00990FE2">
            <w:pPr>
              <w:jc w:val="right"/>
              <w:rPr>
                <w:rFonts w:ascii="Arial" w:hAnsi="Arial" w:cs="Arial"/>
                <w:sz w:val="20"/>
                <w:szCs w:val="20"/>
              </w:rPr>
            </w:pPr>
            <w:r w:rsidRPr="008A24EF">
              <w:rPr>
                <w:rFonts w:ascii="Arial" w:hAnsi="Arial" w:cs="Arial"/>
                <w:sz w:val="20"/>
                <w:szCs w:val="20"/>
              </w:rPr>
              <w:t>0.981</w:t>
            </w:r>
          </w:p>
        </w:tc>
      </w:tr>
      <w:tr w:rsidR="00C2371E" w:rsidRPr="008A24EF" w14:paraId="1E25BACA" w14:textId="77777777" w:rsidTr="008D668D">
        <w:tc>
          <w:tcPr>
            <w:tcW w:w="4508" w:type="dxa"/>
          </w:tcPr>
          <w:p w14:paraId="6FA26FAD" w14:textId="77777777" w:rsidR="00C2371E" w:rsidRPr="008A24EF" w:rsidRDefault="00C2371E" w:rsidP="00B17D18">
            <w:pPr>
              <w:rPr>
                <w:rFonts w:ascii="Arial" w:hAnsi="Arial" w:cs="Arial"/>
                <w:sz w:val="20"/>
                <w:szCs w:val="20"/>
              </w:rPr>
            </w:pPr>
            <w:r w:rsidRPr="008A24EF">
              <w:rPr>
                <w:rFonts w:ascii="Arial" w:hAnsi="Arial" w:cs="Arial"/>
                <w:sz w:val="20"/>
                <w:szCs w:val="20"/>
              </w:rPr>
              <w:t>GDP – Imports</w:t>
            </w:r>
          </w:p>
        </w:tc>
        <w:tc>
          <w:tcPr>
            <w:tcW w:w="4508" w:type="dxa"/>
          </w:tcPr>
          <w:p w14:paraId="45A32094" w14:textId="77777777" w:rsidR="00C2371E" w:rsidRPr="008A24EF" w:rsidRDefault="00C2371E" w:rsidP="00990FE2">
            <w:pPr>
              <w:jc w:val="right"/>
              <w:rPr>
                <w:rFonts w:ascii="Arial" w:hAnsi="Arial" w:cs="Arial"/>
                <w:sz w:val="20"/>
                <w:szCs w:val="20"/>
              </w:rPr>
            </w:pPr>
            <w:r w:rsidRPr="008A24EF">
              <w:rPr>
                <w:rFonts w:ascii="Arial" w:hAnsi="Arial" w:cs="Arial"/>
                <w:sz w:val="20"/>
                <w:szCs w:val="20"/>
              </w:rPr>
              <w:t>0.978</w:t>
            </w:r>
          </w:p>
        </w:tc>
      </w:tr>
      <w:tr w:rsidR="00C2371E" w:rsidRPr="008A24EF" w14:paraId="0CEBCD8A" w14:textId="77777777" w:rsidTr="008D668D">
        <w:tc>
          <w:tcPr>
            <w:tcW w:w="4508" w:type="dxa"/>
            <w:tcBorders>
              <w:bottom w:val="single" w:sz="4" w:space="0" w:color="auto"/>
            </w:tcBorders>
          </w:tcPr>
          <w:p w14:paraId="287B95E0" w14:textId="77777777" w:rsidR="00C2371E" w:rsidRPr="008A24EF" w:rsidRDefault="00C2371E" w:rsidP="00B17D18">
            <w:pPr>
              <w:rPr>
                <w:rFonts w:ascii="Arial" w:hAnsi="Arial" w:cs="Arial"/>
                <w:sz w:val="20"/>
                <w:szCs w:val="20"/>
              </w:rPr>
            </w:pPr>
            <w:r w:rsidRPr="008A24EF">
              <w:rPr>
                <w:rFonts w:ascii="Arial" w:hAnsi="Arial" w:cs="Arial"/>
                <w:sz w:val="20"/>
                <w:szCs w:val="20"/>
              </w:rPr>
              <w:t>GDP – Total Trade</w:t>
            </w:r>
          </w:p>
        </w:tc>
        <w:tc>
          <w:tcPr>
            <w:tcW w:w="4508" w:type="dxa"/>
            <w:tcBorders>
              <w:bottom w:val="single" w:sz="4" w:space="0" w:color="auto"/>
            </w:tcBorders>
          </w:tcPr>
          <w:p w14:paraId="28317896" w14:textId="77777777" w:rsidR="00C2371E" w:rsidRPr="008A24EF" w:rsidRDefault="00C2371E" w:rsidP="00990FE2">
            <w:pPr>
              <w:jc w:val="right"/>
              <w:rPr>
                <w:rFonts w:ascii="Arial" w:hAnsi="Arial" w:cs="Arial"/>
                <w:sz w:val="20"/>
                <w:szCs w:val="20"/>
              </w:rPr>
            </w:pPr>
            <w:r w:rsidRPr="008A24EF">
              <w:rPr>
                <w:rFonts w:ascii="Arial" w:hAnsi="Arial" w:cs="Arial"/>
                <w:sz w:val="20"/>
                <w:szCs w:val="20"/>
              </w:rPr>
              <w:t>0.979</w:t>
            </w:r>
          </w:p>
        </w:tc>
      </w:tr>
      <w:tr w:rsidR="00C2371E" w:rsidRPr="008A24EF" w14:paraId="19EADB8D" w14:textId="77777777" w:rsidTr="008D668D">
        <w:tc>
          <w:tcPr>
            <w:tcW w:w="9016" w:type="dxa"/>
            <w:gridSpan w:val="2"/>
            <w:tcBorders>
              <w:left w:val="nil"/>
              <w:bottom w:val="nil"/>
              <w:right w:val="nil"/>
            </w:tcBorders>
            <w:vAlign w:val="center"/>
          </w:tcPr>
          <w:p w14:paraId="4D38DFB4" w14:textId="77777777" w:rsidR="00C2371E" w:rsidRPr="008A24EF" w:rsidRDefault="00C2371E" w:rsidP="00B17D18">
            <w:pPr>
              <w:rPr>
                <w:rFonts w:ascii="Arial" w:hAnsi="Arial" w:cs="Arial"/>
                <w:b/>
                <w:bCs/>
                <w:sz w:val="20"/>
                <w:szCs w:val="20"/>
              </w:rPr>
            </w:pPr>
            <w:r w:rsidRPr="008A24EF">
              <w:rPr>
                <w:rFonts w:ascii="Arial" w:eastAsia="Times New Roman" w:hAnsi="Arial" w:cs="Arial"/>
                <w:i/>
                <w:iCs/>
                <w:sz w:val="20"/>
                <w:szCs w:val="20"/>
                <w:lang w:eastAsia="en-IN" w:bidi="my-MM"/>
              </w:rPr>
              <w:t>Source: Authors’ Contribution based on secondary data using EViews Statistical Software</w:t>
            </w:r>
          </w:p>
        </w:tc>
      </w:tr>
    </w:tbl>
    <w:p w14:paraId="61F57DEC" w14:textId="77777777" w:rsidR="00157B05" w:rsidRDefault="00157B05" w:rsidP="00C2371E">
      <w:pPr>
        <w:jc w:val="both"/>
        <w:rPr>
          <w:rFonts w:ascii="Arial" w:hAnsi="Arial" w:cs="Arial"/>
          <w:b/>
          <w:caps/>
          <w:sz w:val="22"/>
          <w:szCs w:val="22"/>
        </w:rPr>
      </w:pPr>
    </w:p>
    <w:p w14:paraId="21ECAE70" w14:textId="77777777" w:rsidR="00C2371E" w:rsidRDefault="00157B05" w:rsidP="00C2371E">
      <w:pPr>
        <w:jc w:val="both"/>
        <w:rPr>
          <w:rFonts w:ascii="Arial" w:hAnsi="Arial" w:cs="Arial"/>
          <w:b/>
          <w:bCs/>
          <w:sz w:val="22"/>
          <w:szCs w:val="22"/>
        </w:rPr>
      </w:pPr>
      <w:r>
        <w:rPr>
          <w:rFonts w:ascii="Arial" w:hAnsi="Arial" w:cs="Arial"/>
          <w:b/>
          <w:caps/>
          <w:sz w:val="22"/>
          <w:szCs w:val="22"/>
        </w:rPr>
        <w:t>3</w:t>
      </w:r>
      <w:r w:rsidR="00C2371E" w:rsidRPr="003A14B2">
        <w:rPr>
          <w:rFonts w:ascii="Arial" w:hAnsi="Arial" w:cs="Arial"/>
          <w:b/>
          <w:caps/>
          <w:sz w:val="22"/>
          <w:szCs w:val="22"/>
        </w:rPr>
        <w:t>.</w:t>
      </w:r>
      <w:r w:rsidR="00C2371E">
        <w:rPr>
          <w:rFonts w:ascii="Arial" w:hAnsi="Arial" w:cs="Arial"/>
          <w:b/>
          <w:caps/>
          <w:sz w:val="22"/>
          <w:szCs w:val="22"/>
        </w:rPr>
        <w:t>4</w:t>
      </w:r>
      <w:r w:rsidR="00C2371E" w:rsidRPr="003A14B2">
        <w:rPr>
          <w:rFonts w:ascii="Arial" w:hAnsi="Arial" w:cs="Arial"/>
          <w:b/>
          <w:caps/>
          <w:sz w:val="22"/>
          <w:szCs w:val="22"/>
        </w:rPr>
        <w:t xml:space="preserve"> </w:t>
      </w:r>
      <w:r w:rsidR="00C2371E" w:rsidRPr="00C2371E">
        <w:rPr>
          <w:rFonts w:ascii="Arial" w:hAnsi="Arial" w:cs="Arial"/>
          <w:b/>
          <w:bCs/>
          <w:sz w:val="22"/>
          <w:szCs w:val="22"/>
        </w:rPr>
        <w:t>Unit Root Test (Augmented Dickey-Fuller - ADF test)</w:t>
      </w:r>
    </w:p>
    <w:p w14:paraId="0FECC127" w14:textId="77777777" w:rsidR="00C2371E" w:rsidRPr="00C2371E" w:rsidRDefault="00C2371E" w:rsidP="00C2371E">
      <w:pPr>
        <w:ind w:firstLine="720"/>
        <w:jc w:val="both"/>
        <w:rPr>
          <w:rFonts w:ascii="Arial" w:hAnsi="Arial" w:cs="Arial"/>
        </w:rPr>
      </w:pPr>
      <w:r>
        <w:rPr>
          <w:rFonts w:ascii="Arial" w:hAnsi="Arial" w:cs="Arial"/>
          <w:highlight w:val="yellow"/>
        </w:rPr>
        <w:t>T</w:t>
      </w:r>
      <w:r>
        <w:rPr>
          <w:rFonts w:ascii="Arial" w:hAnsi="Arial" w:cs="Arial"/>
        </w:rPr>
        <w:t>he unit root test</w:t>
      </w:r>
      <w:r>
        <w:rPr>
          <w:rFonts w:ascii="Arial" w:hAnsi="Arial" w:cs="Arial"/>
          <w:highlight w:val="yellow"/>
        </w:rPr>
        <w:t xml:space="preserve"> for stationarity</w:t>
      </w:r>
      <w:r>
        <w:rPr>
          <w:rFonts w:ascii="Arial" w:hAnsi="Arial" w:cs="Arial"/>
        </w:rPr>
        <w:t xml:space="preserve"> (Augmented Dickey-Fuller </w:t>
      </w:r>
      <w:r>
        <w:rPr>
          <w:rFonts w:ascii="Arial" w:hAnsi="Arial" w:cs="Arial"/>
          <w:highlight w:val="yellow"/>
        </w:rPr>
        <w:t>[</w:t>
      </w:r>
      <w:r>
        <w:rPr>
          <w:rFonts w:ascii="Arial" w:hAnsi="Arial" w:cs="Arial"/>
        </w:rPr>
        <w:t>ADF</w:t>
      </w:r>
      <w:r>
        <w:rPr>
          <w:rFonts w:ascii="Arial" w:hAnsi="Arial" w:cs="Arial"/>
          <w:highlight w:val="yellow"/>
        </w:rPr>
        <w:t>]</w:t>
      </w:r>
      <w:r>
        <w:rPr>
          <w:rFonts w:ascii="Arial" w:hAnsi="Arial" w:cs="Arial"/>
        </w:rPr>
        <w:t xml:space="preserve"> test) is shown in </w:t>
      </w:r>
      <w:r>
        <w:rPr>
          <w:rFonts w:ascii="Arial" w:hAnsi="Arial" w:cs="Arial"/>
          <w:highlight w:val="yellow"/>
        </w:rPr>
        <w:t>T</w:t>
      </w:r>
      <w:r>
        <w:rPr>
          <w:rFonts w:ascii="Arial" w:hAnsi="Arial" w:cs="Arial"/>
        </w:rPr>
        <w:t xml:space="preserve">able 3. According to </w:t>
      </w:r>
      <w:r>
        <w:rPr>
          <w:rFonts w:ascii="Arial" w:hAnsi="Arial" w:cs="Arial"/>
          <w:highlight w:val="yellow"/>
        </w:rPr>
        <w:t>T</w:t>
      </w:r>
      <w:r>
        <w:rPr>
          <w:rFonts w:ascii="Arial" w:hAnsi="Arial" w:cs="Arial"/>
        </w:rPr>
        <w:t>able 3, the Augmented Dickey-Fuller test results indicate that the logarithmic variables exhibit non-stationarity at levels, which is consistent with macroeconomic time-series properties. This supports the use of log-linear regression modelling.</w:t>
      </w:r>
    </w:p>
    <w:tbl>
      <w:tblPr>
        <w:tblStyle w:val="TableGrid"/>
        <w:tblW w:w="0" w:type="auto"/>
        <w:tblLook w:val="04A0" w:firstRow="1" w:lastRow="0" w:firstColumn="1" w:lastColumn="0" w:noHBand="0" w:noVBand="1"/>
      </w:tblPr>
      <w:tblGrid>
        <w:gridCol w:w="2065"/>
        <w:gridCol w:w="2340"/>
        <w:gridCol w:w="2160"/>
        <w:gridCol w:w="2451"/>
      </w:tblGrid>
      <w:tr w:rsidR="00C2371E" w:rsidRPr="008A24EF" w14:paraId="7C8E2BFB" w14:textId="77777777" w:rsidTr="008D668D">
        <w:tc>
          <w:tcPr>
            <w:tcW w:w="9016" w:type="dxa"/>
            <w:gridSpan w:val="4"/>
            <w:tcBorders>
              <w:top w:val="nil"/>
              <w:left w:val="nil"/>
              <w:right w:val="nil"/>
            </w:tcBorders>
          </w:tcPr>
          <w:p w14:paraId="08BAAD11" w14:textId="77777777" w:rsidR="00C2371E" w:rsidRPr="008A24EF" w:rsidRDefault="00C2371E" w:rsidP="00B17D18">
            <w:pPr>
              <w:rPr>
                <w:rFonts w:ascii="Arial" w:eastAsia="Times New Roman" w:hAnsi="Arial" w:cs="Arial"/>
                <w:b/>
                <w:bCs/>
                <w:sz w:val="20"/>
                <w:szCs w:val="20"/>
                <w:lang w:eastAsia="en-IN" w:bidi="my-MM"/>
              </w:rPr>
            </w:pPr>
            <w:r w:rsidRPr="008A24EF">
              <w:rPr>
                <w:rFonts w:ascii="Arial" w:eastAsia="Times New Roman" w:hAnsi="Arial" w:cs="Arial"/>
                <w:b/>
                <w:bCs/>
                <w:sz w:val="20"/>
                <w:szCs w:val="20"/>
                <w:lang w:eastAsia="en-IN" w:bidi="my-MM"/>
              </w:rPr>
              <w:t>Table 3. Unit Root Test</w:t>
            </w:r>
          </w:p>
        </w:tc>
      </w:tr>
      <w:tr w:rsidR="00C2371E" w:rsidRPr="008A24EF" w14:paraId="14DB435E" w14:textId="77777777" w:rsidTr="008D668D">
        <w:tc>
          <w:tcPr>
            <w:tcW w:w="2065" w:type="dxa"/>
          </w:tcPr>
          <w:p w14:paraId="753A2EF9" w14:textId="77777777" w:rsidR="00C2371E" w:rsidRPr="008A24EF" w:rsidRDefault="00C2371E" w:rsidP="00B17D18">
            <w:pPr>
              <w:jc w:val="center"/>
              <w:rPr>
                <w:rFonts w:ascii="Arial" w:hAnsi="Arial" w:cs="Arial"/>
                <w:b/>
                <w:bCs/>
                <w:sz w:val="20"/>
                <w:szCs w:val="20"/>
              </w:rPr>
            </w:pPr>
            <w:r w:rsidRPr="008A24EF">
              <w:rPr>
                <w:rFonts w:ascii="Arial" w:eastAsia="Times New Roman" w:hAnsi="Arial" w:cs="Arial"/>
                <w:b/>
                <w:bCs/>
                <w:sz w:val="20"/>
                <w:szCs w:val="20"/>
                <w:lang w:eastAsia="en-IN" w:bidi="my-MM"/>
              </w:rPr>
              <w:t>Variable</w:t>
            </w:r>
          </w:p>
        </w:tc>
        <w:tc>
          <w:tcPr>
            <w:tcW w:w="2340" w:type="dxa"/>
          </w:tcPr>
          <w:p w14:paraId="5428EAC9" w14:textId="77777777" w:rsidR="00C2371E" w:rsidRPr="008A24EF" w:rsidRDefault="00C2371E" w:rsidP="00B17D18">
            <w:pPr>
              <w:jc w:val="center"/>
              <w:rPr>
                <w:rFonts w:ascii="Arial" w:hAnsi="Arial" w:cs="Arial"/>
                <w:b/>
                <w:bCs/>
                <w:sz w:val="20"/>
                <w:szCs w:val="20"/>
              </w:rPr>
            </w:pPr>
            <w:r w:rsidRPr="008A24EF">
              <w:rPr>
                <w:rFonts w:ascii="Arial" w:eastAsia="Times New Roman" w:hAnsi="Arial" w:cs="Arial"/>
                <w:b/>
                <w:bCs/>
                <w:sz w:val="20"/>
                <w:szCs w:val="20"/>
                <w:lang w:eastAsia="en-IN" w:bidi="my-MM"/>
              </w:rPr>
              <w:t>ADF Statistic</w:t>
            </w:r>
          </w:p>
        </w:tc>
        <w:tc>
          <w:tcPr>
            <w:tcW w:w="2160" w:type="dxa"/>
          </w:tcPr>
          <w:p w14:paraId="40C40340" w14:textId="77777777" w:rsidR="00C2371E" w:rsidRPr="008A24EF" w:rsidRDefault="00C2371E" w:rsidP="00B17D18">
            <w:pPr>
              <w:jc w:val="center"/>
              <w:rPr>
                <w:rFonts w:ascii="Arial" w:hAnsi="Arial" w:cs="Arial"/>
                <w:b/>
                <w:bCs/>
                <w:sz w:val="20"/>
                <w:szCs w:val="20"/>
              </w:rPr>
            </w:pPr>
            <w:r w:rsidRPr="00B17D18">
              <w:rPr>
                <w:rFonts w:ascii="Arial" w:eastAsia="Times New Roman" w:hAnsi="Arial" w:cs="Arial"/>
                <w:b/>
                <w:bCs/>
                <w:i/>
                <w:iCs/>
                <w:sz w:val="20"/>
                <w:szCs w:val="20"/>
                <w:lang w:eastAsia="en-IN" w:bidi="my-MM"/>
              </w:rPr>
              <w:t>p</w:t>
            </w:r>
            <w:r w:rsidRPr="008A24EF">
              <w:rPr>
                <w:rFonts w:ascii="Arial" w:eastAsia="Times New Roman" w:hAnsi="Arial" w:cs="Arial"/>
                <w:b/>
                <w:bCs/>
                <w:sz w:val="20"/>
                <w:szCs w:val="20"/>
                <w:lang w:eastAsia="en-IN" w:bidi="my-MM"/>
              </w:rPr>
              <w:t>-value</w:t>
            </w:r>
          </w:p>
        </w:tc>
        <w:tc>
          <w:tcPr>
            <w:tcW w:w="2451" w:type="dxa"/>
          </w:tcPr>
          <w:p w14:paraId="3ABD8D1C" w14:textId="77777777" w:rsidR="00C2371E" w:rsidRPr="008A24EF" w:rsidRDefault="00C2371E" w:rsidP="00B17D18">
            <w:pPr>
              <w:jc w:val="center"/>
              <w:rPr>
                <w:rFonts w:ascii="Arial" w:hAnsi="Arial" w:cs="Arial"/>
                <w:b/>
                <w:bCs/>
                <w:sz w:val="20"/>
                <w:szCs w:val="20"/>
              </w:rPr>
            </w:pPr>
            <w:r w:rsidRPr="008A24EF">
              <w:rPr>
                <w:rFonts w:ascii="Arial" w:eastAsia="Times New Roman" w:hAnsi="Arial" w:cs="Arial"/>
                <w:b/>
                <w:bCs/>
                <w:sz w:val="20"/>
                <w:szCs w:val="20"/>
                <w:lang w:eastAsia="en-IN" w:bidi="my-MM"/>
              </w:rPr>
              <w:t>Critical Value (5%)</w:t>
            </w:r>
          </w:p>
        </w:tc>
      </w:tr>
      <w:tr w:rsidR="00C2371E" w:rsidRPr="008A24EF" w14:paraId="25494CD8" w14:textId="77777777" w:rsidTr="00B17D18">
        <w:trPr>
          <w:trHeight w:val="179"/>
        </w:trPr>
        <w:tc>
          <w:tcPr>
            <w:tcW w:w="2065" w:type="dxa"/>
            <w:vAlign w:val="bottom"/>
          </w:tcPr>
          <w:p w14:paraId="3AB4189C" w14:textId="77777777" w:rsidR="00C2371E" w:rsidRPr="008A24EF" w:rsidRDefault="00C2371E" w:rsidP="00B17D18">
            <w:pPr>
              <w:rPr>
                <w:rFonts w:ascii="Arial" w:hAnsi="Arial" w:cs="Arial"/>
                <w:b/>
                <w:bCs/>
                <w:sz w:val="20"/>
                <w:szCs w:val="20"/>
              </w:rPr>
            </w:pPr>
            <w:proofErr w:type="spellStart"/>
            <w:r w:rsidRPr="008A24EF">
              <w:rPr>
                <w:rFonts w:ascii="Arial" w:eastAsia="Times New Roman" w:hAnsi="Arial" w:cs="Arial"/>
                <w:color w:val="000000"/>
                <w:sz w:val="20"/>
                <w:szCs w:val="20"/>
                <w:lang w:eastAsia="en-IN" w:bidi="my-MM"/>
              </w:rPr>
              <w:t>ln_GDP</w:t>
            </w:r>
            <w:proofErr w:type="spellEnd"/>
          </w:p>
        </w:tc>
        <w:tc>
          <w:tcPr>
            <w:tcW w:w="2340" w:type="dxa"/>
            <w:vAlign w:val="bottom"/>
          </w:tcPr>
          <w:p w14:paraId="2A20D9A3" w14:textId="77777777" w:rsidR="00C2371E" w:rsidRPr="008A24EF" w:rsidRDefault="00C2371E" w:rsidP="00990FE2">
            <w:pPr>
              <w:jc w:val="right"/>
              <w:rPr>
                <w:rFonts w:ascii="Arial" w:hAnsi="Arial" w:cs="Arial"/>
                <w:b/>
                <w:bCs/>
                <w:sz w:val="20"/>
                <w:szCs w:val="20"/>
              </w:rPr>
            </w:pPr>
            <w:r w:rsidRPr="008A24EF">
              <w:rPr>
                <w:rFonts w:ascii="Arial" w:eastAsia="Times New Roman" w:hAnsi="Arial" w:cs="Arial"/>
                <w:color w:val="000000"/>
                <w:sz w:val="20"/>
                <w:szCs w:val="20"/>
                <w:lang w:eastAsia="en-IN" w:bidi="my-MM"/>
              </w:rPr>
              <w:t>-0.851</w:t>
            </w:r>
          </w:p>
        </w:tc>
        <w:tc>
          <w:tcPr>
            <w:tcW w:w="2160" w:type="dxa"/>
            <w:vAlign w:val="bottom"/>
          </w:tcPr>
          <w:p w14:paraId="494A0833" w14:textId="77777777" w:rsidR="00C2371E" w:rsidRPr="00B17D18" w:rsidRDefault="00C2371E" w:rsidP="00990FE2">
            <w:pPr>
              <w:jc w:val="right"/>
              <w:rPr>
                <w:rFonts w:ascii="Arial" w:hAnsi="Arial" w:cs="Arial"/>
                <w:b/>
                <w:bCs/>
                <w:i/>
                <w:iCs/>
                <w:sz w:val="20"/>
                <w:szCs w:val="20"/>
              </w:rPr>
            </w:pPr>
            <w:r w:rsidRPr="00B17D18">
              <w:rPr>
                <w:rFonts w:ascii="Arial" w:eastAsia="Times New Roman" w:hAnsi="Arial" w:cs="Arial"/>
                <w:i/>
                <w:iCs/>
                <w:color w:val="000000"/>
                <w:sz w:val="20"/>
                <w:szCs w:val="20"/>
                <w:lang w:eastAsia="en-IN" w:bidi="my-MM"/>
              </w:rPr>
              <w:t>.80</w:t>
            </w:r>
          </w:p>
        </w:tc>
        <w:tc>
          <w:tcPr>
            <w:tcW w:w="2451" w:type="dxa"/>
            <w:vAlign w:val="bottom"/>
          </w:tcPr>
          <w:p w14:paraId="38295908" w14:textId="77777777" w:rsidR="00C2371E" w:rsidRPr="008A24EF" w:rsidRDefault="00C2371E" w:rsidP="00990FE2">
            <w:pPr>
              <w:jc w:val="right"/>
              <w:rPr>
                <w:rFonts w:ascii="Arial" w:hAnsi="Arial" w:cs="Arial"/>
                <w:b/>
                <w:bCs/>
                <w:sz w:val="20"/>
                <w:szCs w:val="20"/>
              </w:rPr>
            </w:pPr>
            <w:r w:rsidRPr="008A24EF">
              <w:rPr>
                <w:rFonts w:ascii="Arial" w:eastAsia="Times New Roman" w:hAnsi="Arial" w:cs="Arial"/>
                <w:color w:val="000000"/>
                <w:sz w:val="20"/>
                <w:szCs w:val="20"/>
                <w:lang w:eastAsia="en-IN" w:bidi="my-MM"/>
              </w:rPr>
              <w:t>-2.972</w:t>
            </w:r>
          </w:p>
        </w:tc>
      </w:tr>
      <w:tr w:rsidR="00C2371E" w:rsidRPr="008A24EF" w14:paraId="4D72CBEE" w14:textId="77777777" w:rsidTr="008D668D">
        <w:tc>
          <w:tcPr>
            <w:tcW w:w="2065" w:type="dxa"/>
            <w:vAlign w:val="bottom"/>
          </w:tcPr>
          <w:p w14:paraId="0815B225" w14:textId="77777777" w:rsidR="00C2371E" w:rsidRPr="008A24EF" w:rsidRDefault="00C2371E" w:rsidP="00B17D18">
            <w:pPr>
              <w:rPr>
                <w:rFonts w:ascii="Arial" w:hAnsi="Arial" w:cs="Arial"/>
                <w:b/>
                <w:bCs/>
                <w:sz w:val="20"/>
                <w:szCs w:val="20"/>
              </w:rPr>
            </w:pPr>
            <w:proofErr w:type="spellStart"/>
            <w:r w:rsidRPr="008A24EF">
              <w:rPr>
                <w:rFonts w:ascii="Arial" w:eastAsia="Times New Roman" w:hAnsi="Arial" w:cs="Arial"/>
                <w:color w:val="000000"/>
                <w:sz w:val="20"/>
                <w:szCs w:val="20"/>
                <w:lang w:eastAsia="en-IN" w:bidi="my-MM"/>
              </w:rPr>
              <w:t>ln_TRADE</w:t>
            </w:r>
            <w:proofErr w:type="spellEnd"/>
          </w:p>
        </w:tc>
        <w:tc>
          <w:tcPr>
            <w:tcW w:w="2340" w:type="dxa"/>
            <w:vAlign w:val="bottom"/>
          </w:tcPr>
          <w:p w14:paraId="435FE758" w14:textId="77777777" w:rsidR="00C2371E" w:rsidRPr="008A24EF" w:rsidRDefault="00C2371E" w:rsidP="00990FE2">
            <w:pPr>
              <w:jc w:val="right"/>
              <w:rPr>
                <w:rFonts w:ascii="Arial" w:hAnsi="Arial" w:cs="Arial"/>
                <w:b/>
                <w:bCs/>
                <w:sz w:val="20"/>
                <w:szCs w:val="20"/>
              </w:rPr>
            </w:pPr>
            <w:r w:rsidRPr="008A24EF">
              <w:rPr>
                <w:rFonts w:ascii="Arial" w:eastAsia="Times New Roman" w:hAnsi="Arial" w:cs="Arial"/>
                <w:color w:val="000000"/>
                <w:sz w:val="20"/>
                <w:szCs w:val="20"/>
                <w:lang w:eastAsia="en-IN" w:bidi="my-MM"/>
              </w:rPr>
              <w:t>-1.726</w:t>
            </w:r>
          </w:p>
        </w:tc>
        <w:tc>
          <w:tcPr>
            <w:tcW w:w="2160" w:type="dxa"/>
            <w:vAlign w:val="bottom"/>
          </w:tcPr>
          <w:p w14:paraId="513AF3C2" w14:textId="77777777" w:rsidR="00C2371E" w:rsidRPr="00B17D18" w:rsidRDefault="00C2371E" w:rsidP="00990FE2">
            <w:pPr>
              <w:jc w:val="right"/>
              <w:rPr>
                <w:rFonts w:ascii="Arial" w:hAnsi="Arial" w:cs="Arial"/>
                <w:b/>
                <w:bCs/>
                <w:i/>
                <w:iCs/>
                <w:sz w:val="20"/>
                <w:szCs w:val="20"/>
              </w:rPr>
            </w:pPr>
            <w:r w:rsidRPr="00B17D18">
              <w:rPr>
                <w:rFonts w:ascii="Arial" w:eastAsia="Times New Roman" w:hAnsi="Arial" w:cs="Arial"/>
                <w:i/>
                <w:iCs/>
                <w:color w:val="000000"/>
                <w:sz w:val="20"/>
                <w:szCs w:val="20"/>
                <w:lang w:eastAsia="en-IN" w:bidi="my-MM"/>
              </w:rPr>
              <w:t>.418</w:t>
            </w:r>
          </w:p>
        </w:tc>
        <w:tc>
          <w:tcPr>
            <w:tcW w:w="2451" w:type="dxa"/>
            <w:vAlign w:val="bottom"/>
          </w:tcPr>
          <w:p w14:paraId="5DA63CAE" w14:textId="77777777" w:rsidR="00C2371E" w:rsidRPr="008A24EF" w:rsidRDefault="00C2371E" w:rsidP="00990FE2">
            <w:pPr>
              <w:jc w:val="right"/>
              <w:rPr>
                <w:rFonts w:ascii="Arial" w:hAnsi="Arial" w:cs="Arial"/>
                <w:b/>
                <w:bCs/>
                <w:sz w:val="20"/>
                <w:szCs w:val="20"/>
              </w:rPr>
            </w:pPr>
            <w:r w:rsidRPr="008A24EF">
              <w:rPr>
                <w:rFonts w:ascii="Arial" w:eastAsia="Times New Roman" w:hAnsi="Arial" w:cs="Arial"/>
                <w:color w:val="000000"/>
                <w:sz w:val="20"/>
                <w:szCs w:val="20"/>
                <w:lang w:eastAsia="en-IN" w:bidi="my-MM"/>
              </w:rPr>
              <w:t>-2.972</w:t>
            </w:r>
          </w:p>
        </w:tc>
      </w:tr>
      <w:tr w:rsidR="00C2371E" w:rsidRPr="008A24EF" w14:paraId="28F6AE77" w14:textId="77777777" w:rsidTr="008D668D">
        <w:tc>
          <w:tcPr>
            <w:tcW w:w="2065" w:type="dxa"/>
            <w:vAlign w:val="bottom"/>
          </w:tcPr>
          <w:p w14:paraId="480658CE" w14:textId="77777777" w:rsidR="00C2371E" w:rsidRPr="008A24EF" w:rsidRDefault="00C2371E" w:rsidP="00B17D18">
            <w:pPr>
              <w:rPr>
                <w:rFonts w:ascii="Arial" w:hAnsi="Arial" w:cs="Arial"/>
                <w:b/>
                <w:bCs/>
                <w:sz w:val="20"/>
                <w:szCs w:val="20"/>
              </w:rPr>
            </w:pPr>
            <w:proofErr w:type="spellStart"/>
            <w:r w:rsidRPr="008A24EF">
              <w:rPr>
                <w:rFonts w:ascii="Arial" w:eastAsia="Times New Roman" w:hAnsi="Arial" w:cs="Arial"/>
                <w:color w:val="000000"/>
                <w:sz w:val="20"/>
                <w:szCs w:val="20"/>
                <w:lang w:eastAsia="en-IN" w:bidi="my-MM"/>
              </w:rPr>
              <w:t>ln_EXP</w:t>
            </w:r>
            <w:proofErr w:type="spellEnd"/>
          </w:p>
        </w:tc>
        <w:tc>
          <w:tcPr>
            <w:tcW w:w="2340" w:type="dxa"/>
            <w:vAlign w:val="bottom"/>
          </w:tcPr>
          <w:p w14:paraId="3689AD87" w14:textId="77777777" w:rsidR="00C2371E" w:rsidRPr="008A24EF" w:rsidRDefault="00C2371E" w:rsidP="00990FE2">
            <w:pPr>
              <w:jc w:val="right"/>
              <w:rPr>
                <w:rFonts w:ascii="Arial" w:hAnsi="Arial" w:cs="Arial"/>
                <w:b/>
                <w:bCs/>
                <w:sz w:val="20"/>
                <w:szCs w:val="20"/>
              </w:rPr>
            </w:pPr>
            <w:r w:rsidRPr="008A24EF">
              <w:rPr>
                <w:rFonts w:ascii="Arial" w:eastAsia="Times New Roman" w:hAnsi="Arial" w:cs="Arial"/>
                <w:color w:val="000000"/>
                <w:sz w:val="20"/>
                <w:szCs w:val="20"/>
                <w:lang w:eastAsia="en-IN" w:bidi="my-MM"/>
              </w:rPr>
              <w:t>-1.791</w:t>
            </w:r>
          </w:p>
        </w:tc>
        <w:tc>
          <w:tcPr>
            <w:tcW w:w="2160" w:type="dxa"/>
            <w:vAlign w:val="bottom"/>
          </w:tcPr>
          <w:p w14:paraId="5AD2F3F3" w14:textId="77777777" w:rsidR="00C2371E" w:rsidRPr="00B17D18" w:rsidRDefault="00C2371E" w:rsidP="00990FE2">
            <w:pPr>
              <w:jc w:val="right"/>
              <w:rPr>
                <w:rFonts w:ascii="Arial" w:hAnsi="Arial" w:cs="Arial"/>
                <w:b/>
                <w:bCs/>
                <w:i/>
                <w:iCs/>
                <w:sz w:val="20"/>
                <w:szCs w:val="20"/>
              </w:rPr>
            </w:pPr>
            <w:r w:rsidRPr="00B17D18">
              <w:rPr>
                <w:rFonts w:ascii="Arial" w:eastAsia="Times New Roman" w:hAnsi="Arial" w:cs="Arial"/>
                <w:i/>
                <w:iCs/>
                <w:color w:val="000000"/>
                <w:sz w:val="20"/>
                <w:szCs w:val="20"/>
                <w:lang w:eastAsia="en-IN" w:bidi="my-MM"/>
              </w:rPr>
              <w:t>.385</w:t>
            </w:r>
          </w:p>
        </w:tc>
        <w:tc>
          <w:tcPr>
            <w:tcW w:w="2451" w:type="dxa"/>
            <w:vAlign w:val="bottom"/>
          </w:tcPr>
          <w:p w14:paraId="69E59E4C" w14:textId="77777777" w:rsidR="00C2371E" w:rsidRPr="008A24EF" w:rsidRDefault="00C2371E" w:rsidP="00990FE2">
            <w:pPr>
              <w:jc w:val="right"/>
              <w:rPr>
                <w:rFonts w:ascii="Arial" w:hAnsi="Arial" w:cs="Arial"/>
                <w:b/>
                <w:bCs/>
                <w:sz w:val="20"/>
                <w:szCs w:val="20"/>
              </w:rPr>
            </w:pPr>
            <w:r w:rsidRPr="008A24EF">
              <w:rPr>
                <w:rFonts w:ascii="Arial" w:eastAsia="Times New Roman" w:hAnsi="Arial" w:cs="Arial"/>
                <w:color w:val="000000"/>
                <w:sz w:val="20"/>
                <w:szCs w:val="20"/>
                <w:lang w:eastAsia="en-IN" w:bidi="my-MM"/>
              </w:rPr>
              <w:t>-2.972</w:t>
            </w:r>
          </w:p>
        </w:tc>
      </w:tr>
      <w:tr w:rsidR="00C2371E" w:rsidRPr="008A24EF" w14:paraId="479C25B7" w14:textId="77777777" w:rsidTr="008D668D">
        <w:tc>
          <w:tcPr>
            <w:tcW w:w="2065" w:type="dxa"/>
            <w:vAlign w:val="bottom"/>
          </w:tcPr>
          <w:p w14:paraId="1A8FD171" w14:textId="77777777" w:rsidR="00C2371E" w:rsidRPr="008A24EF" w:rsidRDefault="00C2371E" w:rsidP="00B17D18">
            <w:pPr>
              <w:rPr>
                <w:rFonts w:ascii="Arial" w:hAnsi="Arial" w:cs="Arial"/>
                <w:b/>
                <w:bCs/>
                <w:sz w:val="20"/>
                <w:szCs w:val="20"/>
              </w:rPr>
            </w:pPr>
            <w:proofErr w:type="spellStart"/>
            <w:r w:rsidRPr="008A24EF">
              <w:rPr>
                <w:rFonts w:ascii="Arial" w:eastAsia="Times New Roman" w:hAnsi="Arial" w:cs="Arial"/>
                <w:color w:val="000000"/>
                <w:sz w:val="20"/>
                <w:szCs w:val="20"/>
                <w:lang w:eastAsia="en-IN" w:bidi="my-MM"/>
              </w:rPr>
              <w:t>ln_IMP</w:t>
            </w:r>
            <w:proofErr w:type="spellEnd"/>
          </w:p>
        </w:tc>
        <w:tc>
          <w:tcPr>
            <w:tcW w:w="2340" w:type="dxa"/>
            <w:vAlign w:val="bottom"/>
          </w:tcPr>
          <w:p w14:paraId="1A629719" w14:textId="77777777" w:rsidR="00C2371E" w:rsidRPr="008A24EF" w:rsidRDefault="00C2371E" w:rsidP="00990FE2">
            <w:pPr>
              <w:jc w:val="right"/>
              <w:rPr>
                <w:rFonts w:ascii="Arial" w:hAnsi="Arial" w:cs="Arial"/>
                <w:b/>
                <w:bCs/>
                <w:sz w:val="20"/>
                <w:szCs w:val="20"/>
              </w:rPr>
            </w:pPr>
            <w:r w:rsidRPr="008A24EF">
              <w:rPr>
                <w:rFonts w:ascii="Arial" w:eastAsia="Times New Roman" w:hAnsi="Arial" w:cs="Arial"/>
                <w:color w:val="000000"/>
                <w:sz w:val="20"/>
                <w:szCs w:val="20"/>
                <w:lang w:eastAsia="en-IN" w:bidi="my-MM"/>
              </w:rPr>
              <w:t>-1.656</w:t>
            </w:r>
          </w:p>
        </w:tc>
        <w:tc>
          <w:tcPr>
            <w:tcW w:w="2160" w:type="dxa"/>
            <w:vAlign w:val="bottom"/>
          </w:tcPr>
          <w:p w14:paraId="534B52A7" w14:textId="77777777" w:rsidR="00C2371E" w:rsidRPr="00B17D18" w:rsidRDefault="00C2371E" w:rsidP="00990FE2">
            <w:pPr>
              <w:jc w:val="right"/>
              <w:rPr>
                <w:rFonts w:ascii="Arial" w:hAnsi="Arial" w:cs="Arial"/>
                <w:b/>
                <w:bCs/>
                <w:i/>
                <w:iCs/>
                <w:sz w:val="20"/>
                <w:szCs w:val="20"/>
              </w:rPr>
            </w:pPr>
            <w:r w:rsidRPr="00B17D18">
              <w:rPr>
                <w:rFonts w:ascii="Arial" w:eastAsia="Times New Roman" w:hAnsi="Arial" w:cs="Arial"/>
                <w:i/>
                <w:iCs/>
                <w:color w:val="000000"/>
                <w:sz w:val="20"/>
                <w:szCs w:val="20"/>
                <w:lang w:eastAsia="en-IN" w:bidi="my-MM"/>
              </w:rPr>
              <w:t>.45</w:t>
            </w:r>
          </w:p>
        </w:tc>
        <w:tc>
          <w:tcPr>
            <w:tcW w:w="2451" w:type="dxa"/>
            <w:vAlign w:val="bottom"/>
          </w:tcPr>
          <w:p w14:paraId="0BAEAFD5" w14:textId="77777777" w:rsidR="00C2371E" w:rsidRPr="008A24EF" w:rsidRDefault="00C2371E" w:rsidP="00990FE2">
            <w:pPr>
              <w:jc w:val="right"/>
              <w:rPr>
                <w:rFonts w:ascii="Arial" w:hAnsi="Arial" w:cs="Arial"/>
                <w:b/>
                <w:bCs/>
                <w:sz w:val="20"/>
                <w:szCs w:val="20"/>
              </w:rPr>
            </w:pPr>
            <w:r w:rsidRPr="008A24EF">
              <w:rPr>
                <w:rFonts w:ascii="Arial" w:eastAsia="Times New Roman" w:hAnsi="Arial" w:cs="Arial"/>
                <w:color w:val="000000"/>
                <w:sz w:val="20"/>
                <w:szCs w:val="20"/>
                <w:lang w:eastAsia="en-IN" w:bidi="my-MM"/>
              </w:rPr>
              <w:t>-2.972</w:t>
            </w:r>
          </w:p>
        </w:tc>
      </w:tr>
      <w:tr w:rsidR="00C2371E" w:rsidRPr="008A24EF" w14:paraId="0AB699E9" w14:textId="77777777" w:rsidTr="008D668D">
        <w:tc>
          <w:tcPr>
            <w:tcW w:w="2065" w:type="dxa"/>
            <w:tcBorders>
              <w:bottom w:val="single" w:sz="4" w:space="0" w:color="auto"/>
            </w:tcBorders>
            <w:vAlign w:val="bottom"/>
          </w:tcPr>
          <w:p w14:paraId="4C5FC52E" w14:textId="77777777" w:rsidR="00C2371E" w:rsidRPr="008A24EF" w:rsidRDefault="00C2371E" w:rsidP="00B17D18">
            <w:pPr>
              <w:rPr>
                <w:rFonts w:ascii="Arial" w:hAnsi="Arial" w:cs="Arial"/>
                <w:b/>
                <w:bCs/>
                <w:sz w:val="20"/>
                <w:szCs w:val="20"/>
              </w:rPr>
            </w:pPr>
            <w:proofErr w:type="spellStart"/>
            <w:r w:rsidRPr="008A24EF">
              <w:rPr>
                <w:rFonts w:ascii="Arial" w:eastAsia="Times New Roman" w:hAnsi="Arial" w:cs="Arial"/>
                <w:color w:val="000000"/>
                <w:sz w:val="20"/>
                <w:szCs w:val="20"/>
                <w:lang w:eastAsia="en-IN" w:bidi="my-MM"/>
              </w:rPr>
              <w:t>ln_GCF</w:t>
            </w:r>
            <w:proofErr w:type="spellEnd"/>
          </w:p>
        </w:tc>
        <w:tc>
          <w:tcPr>
            <w:tcW w:w="2340" w:type="dxa"/>
            <w:tcBorders>
              <w:bottom w:val="single" w:sz="4" w:space="0" w:color="auto"/>
            </w:tcBorders>
            <w:vAlign w:val="bottom"/>
          </w:tcPr>
          <w:p w14:paraId="111C5E8A" w14:textId="77777777" w:rsidR="00C2371E" w:rsidRPr="008A24EF" w:rsidRDefault="00C2371E" w:rsidP="00990FE2">
            <w:pPr>
              <w:jc w:val="right"/>
              <w:rPr>
                <w:rFonts w:ascii="Arial" w:hAnsi="Arial" w:cs="Arial"/>
                <w:b/>
                <w:bCs/>
                <w:sz w:val="20"/>
                <w:szCs w:val="20"/>
              </w:rPr>
            </w:pPr>
            <w:r w:rsidRPr="008A24EF">
              <w:rPr>
                <w:rFonts w:ascii="Arial" w:eastAsia="Times New Roman" w:hAnsi="Arial" w:cs="Arial"/>
                <w:color w:val="000000"/>
                <w:sz w:val="20"/>
                <w:szCs w:val="20"/>
                <w:lang w:eastAsia="en-IN" w:bidi="my-MM"/>
              </w:rPr>
              <w:t>-4.087</w:t>
            </w:r>
          </w:p>
        </w:tc>
        <w:tc>
          <w:tcPr>
            <w:tcW w:w="2160" w:type="dxa"/>
            <w:tcBorders>
              <w:bottom w:val="single" w:sz="4" w:space="0" w:color="auto"/>
            </w:tcBorders>
            <w:vAlign w:val="bottom"/>
          </w:tcPr>
          <w:p w14:paraId="08638C08" w14:textId="77777777" w:rsidR="00C2371E" w:rsidRPr="00B17D18" w:rsidRDefault="00C2371E" w:rsidP="00990FE2">
            <w:pPr>
              <w:jc w:val="right"/>
              <w:rPr>
                <w:rFonts w:ascii="Arial" w:hAnsi="Arial" w:cs="Arial"/>
                <w:b/>
                <w:bCs/>
                <w:i/>
                <w:iCs/>
                <w:sz w:val="20"/>
                <w:szCs w:val="20"/>
              </w:rPr>
            </w:pPr>
            <w:r w:rsidRPr="00B17D18">
              <w:rPr>
                <w:rFonts w:ascii="Arial" w:eastAsia="Times New Roman" w:hAnsi="Arial" w:cs="Arial"/>
                <w:i/>
                <w:iCs/>
                <w:color w:val="000000"/>
                <w:sz w:val="20"/>
                <w:szCs w:val="20"/>
                <w:lang w:eastAsia="en-IN" w:bidi="my-MM"/>
              </w:rPr>
              <w:t>.00</w:t>
            </w:r>
          </w:p>
        </w:tc>
        <w:tc>
          <w:tcPr>
            <w:tcW w:w="2451" w:type="dxa"/>
            <w:tcBorders>
              <w:bottom w:val="single" w:sz="4" w:space="0" w:color="auto"/>
            </w:tcBorders>
            <w:vAlign w:val="bottom"/>
          </w:tcPr>
          <w:p w14:paraId="6DFFD5B6" w14:textId="77777777" w:rsidR="00C2371E" w:rsidRPr="008A24EF" w:rsidRDefault="00C2371E" w:rsidP="00990FE2">
            <w:pPr>
              <w:jc w:val="right"/>
              <w:rPr>
                <w:rFonts w:ascii="Arial" w:hAnsi="Arial" w:cs="Arial"/>
                <w:b/>
                <w:bCs/>
                <w:sz w:val="20"/>
                <w:szCs w:val="20"/>
              </w:rPr>
            </w:pPr>
            <w:r w:rsidRPr="008A24EF">
              <w:rPr>
                <w:rFonts w:ascii="Arial" w:eastAsia="Times New Roman" w:hAnsi="Arial" w:cs="Arial"/>
                <w:color w:val="000000"/>
                <w:sz w:val="20"/>
                <w:szCs w:val="20"/>
                <w:lang w:eastAsia="en-IN" w:bidi="my-MM"/>
              </w:rPr>
              <w:t>-3.031</w:t>
            </w:r>
          </w:p>
        </w:tc>
      </w:tr>
      <w:tr w:rsidR="00C2371E" w:rsidRPr="008A24EF" w14:paraId="6DB76BD3" w14:textId="77777777" w:rsidTr="008D668D">
        <w:tc>
          <w:tcPr>
            <w:tcW w:w="9016" w:type="dxa"/>
            <w:gridSpan w:val="4"/>
            <w:tcBorders>
              <w:left w:val="nil"/>
              <w:bottom w:val="nil"/>
              <w:right w:val="nil"/>
            </w:tcBorders>
            <w:vAlign w:val="center"/>
          </w:tcPr>
          <w:p w14:paraId="1A3B3D9D" w14:textId="77777777" w:rsidR="00C2371E" w:rsidRPr="008A24EF" w:rsidRDefault="00C2371E" w:rsidP="00B17D18">
            <w:pPr>
              <w:rPr>
                <w:rFonts w:ascii="Arial" w:eastAsia="Times New Roman" w:hAnsi="Arial" w:cs="Arial"/>
                <w:color w:val="000000"/>
                <w:sz w:val="20"/>
                <w:szCs w:val="20"/>
                <w:lang w:eastAsia="en-IN" w:bidi="my-MM"/>
              </w:rPr>
            </w:pPr>
            <w:r w:rsidRPr="008A24EF">
              <w:rPr>
                <w:rFonts w:ascii="Arial" w:eastAsia="Times New Roman" w:hAnsi="Arial" w:cs="Arial"/>
                <w:i/>
                <w:iCs/>
                <w:sz w:val="20"/>
                <w:szCs w:val="20"/>
                <w:lang w:eastAsia="en-IN" w:bidi="my-MM"/>
              </w:rPr>
              <w:t>Source: Authors’ Contribution based on secondary data using EViews Statistical Software</w:t>
            </w:r>
          </w:p>
        </w:tc>
      </w:tr>
    </w:tbl>
    <w:p w14:paraId="30B07BE8" w14:textId="77777777" w:rsidR="00C2371E" w:rsidRDefault="00C2371E" w:rsidP="00C2371E">
      <w:pPr>
        <w:rPr>
          <w:rFonts w:ascii="Arial" w:hAnsi="Arial" w:cs="Arial"/>
          <w:b/>
          <w:bCs/>
        </w:rPr>
      </w:pPr>
    </w:p>
    <w:p w14:paraId="7D8E4FAA" w14:textId="77777777" w:rsidR="00C2371E" w:rsidRPr="00C2371E" w:rsidRDefault="00157B05" w:rsidP="00C2371E">
      <w:pPr>
        <w:jc w:val="both"/>
        <w:rPr>
          <w:rFonts w:ascii="Arial" w:hAnsi="Arial" w:cs="Arial"/>
          <w:b/>
          <w:bCs/>
          <w:sz w:val="22"/>
          <w:szCs w:val="22"/>
        </w:rPr>
      </w:pPr>
      <w:r>
        <w:rPr>
          <w:rFonts w:ascii="Arial" w:hAnsi="Arial" w:cs="Arial"/>
          <w:b/>
          <w:caps/>
          <w:sz w:val="22"/>
          <w:szCs w:val="22"/>
        </w:rPr>
        <w:t>3</w:t>
      </w:r>
      <w:r w:rsidR="00C2371E" w:rsidRPr="003A14B2">
        <w:rPr>
          <w:rFonts w:ascii="Arial" w:hAnsi="Arial" w:cs="Arial"/>
          <w:b/>
          <w:caps/>
          <w:sz w:val="22"/>
          <w:szCs w:val="22"/>
        </w:rPr>
        <w:t>.</w:t>
      </w:r>
      <w:r w:rsidR="00C2371E">
        <w:rPr>
          <w:rFonts w:ascii="Arial" w:hAnsi="Arial" w:cs="Arial"/>
          <w:b/>
          <w:caps/>
          <w:sz w:val="22"/>
          <w:szCs w:val="22"/>
        </w:rPr>
        <w:t>5</w:t>
      </w:r>
      <w:r w:rsidR="00C2371E" w:rsidRPr="003A14B2">
        <w:rPr>
          <w:rFonts w:ascii="Arial" w:hAnsi="Arial" w:cs="Arial"/>
          <w:b/>
          <w:caps/>
          <w:sz w:val="22"/>
          <w:szCs w:val="22"/>
        </w:rPr>
        <w:t xml:space="preserve"> </w:t>
      </w:r>
      <w:r w:rsidR="00C2371E" w:rsidRPr="00C2371E">
        <w:rPr>
          <w:rFonts w:ascii="Arial" w:hAnsi="Arial" w:cs="Arial"/>
          <w:b/>
          <w:bCs/>
          <w:sz w:val="22"/>
          <w:szCs w:val="22"/>
        </w:rPr>
        <w:t>Regression results</w:t>
      </w:r>
    </w:p>
    <w:p w14:paraId="57932B89" w14:textId="77777777" w:rsidR="00C2371E" w:rsidRPr="008A24EF" w:rsidRDefault="00C2371E" w:rsidP="00C2371E">
      <w:pPr>
        <w:ind w:firstLine="720"/>
        <w:jc w:val="both"/>
        <w:rPr>
          <w:rFonts w:ascii="Arial" w:hAnsi="Arial" w:cs="Arial"/>
        </w:rPr>
      </w:pPr>
      <w:r>
        <w:rPr>
          <w:rFonts w:ascii="Arial" w:hAnsi="Arial" w:cs="Arial"/>
        </w:rPr>
        <w:t xml:space="preserve">To test the models, the regression results are </w:t>
      </w:r>
      <w:r>
        <w:rPr>
          <w:rFonts w:ascii="Arial" w:hAnsi="Arial" w:cs="Arial"/>
          <w:highlight w:val="yellow"/>
        </w:rPr>
        <w:t>pre</w:t>
      </w:r>
      <w:r>
        <w:rPr>
          <w:rFonts w:ascii="Arial" w:hAnsi="Arial" w:cs="Arial"/>
        </w:rPr>
        <w:t>s</w:t>
      </w:r>
      <w:r>
        <w:rPr>
          <w:rFonts w:ascii="Arial" w:hAnsi="Arial" w:cs="Arial"/>
          <w:highlight w:val="yellow"/>
        </w:rPr>
        <w:t>ented</w:t>
      </w:r>
      <w:r>
        <w:rPr>
          <w:rFonts w:ascii="Arial" w:hAnsi="Arial" w:cs="Arial"/>
        </w:rPr>
        <w:t xml:space="preserve"> </w:t>
      </w:r>
      <w:r>
        <w:rPr>
          <w:rFonts w:ascii="Arial" w:hAnsi="Arial" w:cs="Arial"/>
          <w:highlight w:val="yellow"/>
        </w:rPr>
        <w:t>be</w:t>
      </w:r>
      <w:r>
        <w:rPr>
          <w:rFonts w:ascii="Arial" w:hAnsi="Arial" w:cs="Arial"/>
        </w:rPr>
        <w:t>low.</w:t>
      </w:r>
    </w:p>
    <w:p w14:paraId="43FA0D7F" w14:textId="77777777" w:rsidR="00C2371E" w:rsidRPr="00B17D18" w:rsidRDefault="00157B05" w:rsidP="00C2371E">
      <w:pPr>
        <w:rPr>
          <w:rFonts w:ascii="Arial" w:hAnsi="Arial" w:cs="Arial"/>
          <w:b/>
          <w:bCs/>
          <w:u w:val="single"/>
        </w:rPr>
      </w:pPr>
      <w:r>
        <w:rPr>
          <w:rFonts w:ascii="Arial" w:hAnsi="Arial" w:cs="Arial"/>
          <w:b/>
          <w:bCs/>
          <w:u w:val="single"/>
        </w:rPr>
        <w:t>3</w:t>
      </w:r>
      <w:r w:rsidR="00C2371E" w:rsidRPr="00B17D18">
        <w:rPr>
          <w:rFonts w:ascii="Arial" w:hAnsi="Arial" w:cs="Arial"/>
          <w:b/>
          <w:bCs/>
          <w:u w:val="single"/>
        </w:rPr>
        <w:t>.5.1 Model 1: Total Trade and Economic Growth</w:t>
      </w:r>
    </w:p>
    <w:tbl>
      <w:tblPr>
        <w:tblStyle w:val="TableGrid"/>
        <w:tblW w:w="0" w:type="auto"/>
        <w:tblLook w:val="04A0" w:firstRow="1" w:lastRow="0" w:firstColumn="1" w:lastColumn="0" w:noHBand="0" w:noVBand="1"/>
      </w:tblPr>
      <w:tblGrid>
        <w:gridCol w:w="1803"/>
        <w:gridCol w:w="1803"/>
        <w:gridCol w:w="2064"/>
        <w:gridCol w:w="1542"/>
        <w:gridCol w:w="1804"/>
      </w:tblGrid>
      <w:tr w:rsidR="00C2371E" w:rsidRPr="008A24EF" w14:paraId="5F45588D" w14:textId="77777777" w:rsidTr="008D668D">
        <w:tc>
          <w:tcPr>
            <w:tcW w:w="9016" w:type="dxa"/>
            <w:gridSpan w:val="5"/>
            <w:tcBorders>
              <w:top w:val="nil"/>
              <w:left w:val="nil"/>
              <w:right w:val="nil"/>
            </w:tcBorders>
          </w:tcPr>
          <w:p w14:paraId="6AE49C19" w14:textId="77777777" w:rsidR="00C2371E" w:rsidRPr="008A24EF" w:rsidRDefault="00C2371E" w:rsidP="008D668D">
            <w:pPr>
              <w:rPr>
                <w:rFonts w:ascii="Arial" w:hAnsi="Arial" w:cs="Arial"/>
                <w:b/>
                <w:bCs/>
                <w:sz w:val="20"/>
                <w:szCs w:val="20"/>
              </w:rPr>
            </w:pPr>
            <w:r w:rsidRPr="008A24EF">
              <w:rPr>
                <w:rFonts w:ascii="Arial" w:hAnsi="Arial" w:cs="Arial"/>
                <w:b/>
                <w:bCs/>
                <w:sz w:val="20"/>
                <w:szCs w:val="20"/>
              </w:rPr>
              <w:t>Table 4. Regression results for Model 1</w:t>
            </w:r>
          </w:p>
        </w:tc>
      </w:tr>
      <w:tr w:rsidR="00C2371E" w:rsidRPr="008A24EF" w14:paraId="1E494AF9" w14:textId="77777777" w:rsidTr="008D668D">
        <w:tc>
          <w:tcPr>
            <w:tcW w:w="1803" w:type="dxa"/>
          </w:tcPr>
          <w:p w14:paraId="0263019A" w14:textId="77777777" w:rsidR="00C2371E" w:rsidRPr="008A24EF" w:rsidRDefault="00C2371E" w:rsidP="008D668D">
            <w:pPr>
              <w:rPr>
                <w:rFonts w:ascii="Arial" w:hAnsi="Arial" w:cs="Arial"/>
                <w:sz w:val="20"/>
                <w:szCs w:val="20"/>
              </w:rPr>
            </w:pPr>
          </w:p>
        </w:tc>
        <w:tc>
          <w:tcPr>
            <w:tcW w:w="1803" w:type="dxa"/>
          </w:tcPr>
          <w:p w14:paraId="2B412566" w14:textId="77777777" w:rsidR="00C2371E" w:rsidRPr="008A24EF" w:rsidRDefault="00C2371E" w:rsidP="008D668D">
            <w:pPr>
              <w:jc w:val="center"/>
              <w:rPr>
                <w:rFonts w:ascii="Arial" w:hAnsi="Arial" w:cs="Arial"/>
                <w:b/>
                <w:bCs/>
                <w:sz w:val="20"/>
                <w:szCs w:val="20"/>
              </w:rPr>
            </w:pPr>
            <w:r w:rsidRPr="008A24EF">
              <w:rPr>
                <w:rFonts w:ascii="Arial" w:hAnsi="Arial" w:cs="Arial"/>
                <w:b/>
                <w:bCs/>
                <w:sz w:val="20"/>
                <w:szCs w:val="20"/>
              </w:rPr>
              <w:t>Coefficient</w:t>
            </w:r>
          </w:p>
        </w:tc>
        <w:tc>
          <w:tcPr>
            <w:tcW w:w="2064" w:type="dxa"/>
          </w:tcPr>
          <w:p w14:paraId="7D447339" w14:textId="77777777" w:rsidR="00C2371E" w:rsidRPr="008A24EF" w:rsidRDefault="00C2371E" w:rsidP="008D668D">
            <w:pPr>
              <w:jc w:val="center"/>
              <w:rPr>
                <w:rFonts w:ascii="Arial" w:hAnsi="Arial" w:cs="Arial"/>
                <w:b/>
                <w:bCs/>
                <w:sz w:val="20"/>
                <w:szCs w:val="20"/>
              </w:rPr>
            </w:pPr>
            <w:proofErr w:type="spellStart"/>
            <w:r w:rsidRPr="008A24EF">
              <w:rPr>
                <w:rFonts w:ascii="Arial" w:hAnsi="Arial" w:cs="Arial"/>
                <w:b/>
                <w:bCs/>
                <w:sz w:val="20"/>
                <w:szCs w:val="20"/>
              </w:rPr>
              <w:t>Std.Error</w:t>
            </w:r>
            <w:proofErr w:type="spellEnd"/>
          </w:p>
        </w:tc>
        <w:tc>
          <w:tcPr>
            <w:tcW w:w="1542" w:type="dxa"/>
          </w:tcPr>
          <w:p w14:paraId="46055941" w14:textId="77777777" w:rsidR="00C2371E" w:rsidRPr="008A24EF" w:rsidRDefault="00C2371E" w:rsidP="008D668D">
            <w:pPr>
              <w:jc w:val="center"/>
              <w:rPr>
                <w:rFonts w:ascii="Arial" w:hAnsi="Arial" w:cs="Arial"/>
                <w:b/>
                <w:bCs/>
                <w:sz w:val="20"/>
                <w:szCs w:val="20"/>
              </w:rPr>
            </w:pPr>
            <w:r w:rsidRPr="008A24EF">
              <w:rPr>
                <w:rFonts w:ascii="Arial" w:hAnsi="Arial" w:cs="Arial"/>
                <w:b/>
                <w:bCs/>
                <w:sz w:val="20"/>
                <w:szCs w:val="20"/>
              </w:rPr>
              <w:t>t-Statistic</w:t>
            </w:r>
          </w:p>
        </w:tc>
        <w:tc>
          <w:tcPr>
            <w:tcW w:w="1804" w:type="dxa"/>
          </w:tcPr>
          <w:p w14:paraId="563DDCB7" w14:textId="77777777" w:rsidR="00C2371E" w:rsidRPr="00B17D18" w:rsidRDefault="00C2371E" w:rsidP="008D668D">
            <w:pPr>
              <w:jc w:val="center"/>
              <w:rPr>
                <w:rFonts w:ascii="Arial" w:hAnsi="Arial" w:cs="Arial"/>
                <w:b/>
                <w:bCs/>
                <w:i/>
                <w:iCs/>
                <w:sz w:val="20"/>
                <w:szCs w:val="20"/>
              </w:rPr>
            </w:pPr>
            <w:r w:rsidRPr="00B17D18">
              <w:rPr>
                <w:rFonts w:ascii="Arial" w:hAnsi="Arial" w:cs="Arial"/>
                <w:b/>
                <w:bCs/>
                <w:i/>
                <w:iCs/>
                <w:sz w:val="20"/>
                <w:szCs w:val="20"/>
              </w:rPr>
              <w:t>Prob.</w:t>
            </w:r>
          </w:p>
        </w:tc>
      </w:tr>
      <w:tr w:rsidR="00C2371E" w:rsidRPr="008A24EF" w14:paraId="4AB9258D" w14:textId="77777777" w:rsidTr="008D668D">
        <w:tc>
          <w:tcPr>
            <w:tcW w:w="1803" w:type="dxa"/>
          </w:tcPr>
          <w:p w14:paraId="7CCDFAE9" w14:textId="77777777" w:rsidR="00C2371E" w:rsidRPr="008A24EF" w:rsidRDefault="00C2371E" w:rsidP="008D668D">
            <w:pPr>
              <w:rPr>
                <w:rFonts w:ascii="Arial" w:hAnsi="Arial" w:cs="Arial"/>
                <w:b/>
                <w:bCs/>
                <w:sz w:val="20"/>
                <w:szCs w:val="20"/>
              </w:rPr>
            </w:pPr>
            <w:r w:rsidRPr="008A24EF">
              <w:rPr>
                <w:rFonts w:ascii="Arial" w:hAnsi="Arial" w:cs="Arial"/>
                <w:b/>
                <w:bCs/>
                <w:sz w:val="20"/>
                <w:szCs w:val="20"/>
              </w:rPr>
              <w:t>const</w:t>
            </w:r>
          </w:p>
        </w:tc>
        <w:tc>
          <w:tcPr>
            <w:tcW w:w="1803" w:type="dxa"/>
          </w:tcPr>
          <w:p w14:paraId="051FAF4A" w14:textId="77777777" w:rsidR="00C2371E" w:rsidRPr="008A24EF" w:rsidRDefault="00C2371E" w:rsidP="00990FE2">
            <w:pPr>
              <w:jc w:val="right"/>
              <w:rPr>
                <w:rFonts w:ascii="Arial" w:hAnsi="Arial" w:cs="Arial"/>
                <w:sz w:val="20"/>
                <w:szCs w:val="20"/>
              </w:rPr>
            </w:pPr>
            <w:r w:rsidRPr="008A24EF">
              <w:rPr>
                <w:rFonts w:ascii="Arial" w:hAnsi="Arial" w:cs="Arial"/>
                <w:sz w:val="20"/>
                <w:szCs w:val="20"/>
              </w:rPr>
              <w:t>-1.592</w:t>
            </w:r>
          </w:p>
        </w:tc>
        <w:tc>
          <w:tcPr>
            <w:tcW w:w="2064" w:type="dxa"/>
          </w:tcPr>
          <w:p w14:paraId="2B945A10" w14:textId="77777777" w:rsidR="00C2371E" w:rsidRPr="008A24EF" w:rsidRDefault="00C2371E" w:rsidP="00990FE2">
            <w:pPr>
              <w:jc w:val="right"/>
              <w:rPr>
                <w:rFonts w:ascii="Arial" w:hAnsi="Arial" w:cs="Arial"/>
                <w:sz w:val="20"/>
                <w:szCs w:val="20"/>
              </w:rPr>
            </w:pPr>
            <w:r w:rsidRPr="008A24EF">
              <w:rPr>
                <w:rFonts w:ascii="Arial" w:hAnsi="Arial" w:cs="Arial"/>
                <w:sz w:val="20"/>
                <w:szCs w:val="20"/>
              </w:rPr>
              <w:t>0.343</w:t>
            </w:r>
          </w:p>
        </w:tc>
        <w:tc>
          <w:tcPr>
            <w:tcW w:w="1542" w:type="dxa"/>
          </w:tcPr>
          <w:p w14:paraId="754FE9C8" w14:textId="77777777" w:rsidR="00C2371E" w:rsidRPr="008A24EF" w:rsidRDefault="00C2371E" w:rsidP="00990FE2">
            <w:pPr>
              <w:jc w:val="right"/>
              <w:rPr>
                <w:rFonts w:ascii="Arial" w:hAnsi="Arial" w:cs="Arial"/>
                <w:sz w:val="20"/>
                <w:szCs w:val="20"/>
              </w:rPr>
            </w:pPr>
            <w:r w:rsidRPr="008A24EF">
              <w:rPr>
                <w:rFonts w:ascii="Arial" w:hAnsi="Arial" w:cs="Arial"/>
                <w:sz w:val="20"/>
                <w:szCs w:val="20"/>
              </w:rPr>
              <w:t>-4-644</w:t>
            </w:r>
          </w:p>
        </w:tc>
        <w:tc>
          <w:tcPr>
            <w:tcW w:w="1804" w:type="dxa"/>
          </w:tcPr>
          <w:p w14:paraId="15C892EC" w14:textId="77777777" w:rsidR="00C2371E" w:rsidRPr="00B17D18" w:rsidRDefault="00C2371E" w:rsidP="00990FE2">
            <w:pPr>
              <w:jc w:val="right"/>
              <w:rPr>
                <w:rFonts w:ascii="Arial" w:hAnsi="Arial" w:cs="Arial"/>
                <w:i/>
                <w:iCs/>
                <w:sz w:val="20"/>
                <w:szCs w:val="20"/>
              </w:rPr>
            </w:pPr>
            <w:r w:rsidRPr="00B17D18">
              <w:rPr>
                <w:rFonts w:ascii="Arial" w:hAnsi="Arial" w:cs="Arial"/>
                <w:i/>
                <w:iCs/>
                <w:sz w:val="20"/>
                <w:szCs w:val="20"/>
              </w:rPr>
              <w:t>.00</w:t>
            </w:r>
          </w:p>
        </w:tc>
      </w:tr>
      <w:tr w:rsidR="00C2371E" w:rsidRPr="008A24EF" w14:paraId="3ECCF99E" w14:textId="77777777" w:rsidTr="008D668D">
        <w:tc>
          <w:tcPr>
            <w:tcW w:w="1803" w:type="dxa"/>
            <w:tcBorders>
              <w:bottom w:val="single" w:sz="4" w:space="0" w:color="auto"/>
            </w:tcBorders>
          </w:tcPr>
          <w:p w14:paraId="3BE26671" w14:textId="77777777" w:rsidR="00C2371E" w:rsidRPr="008A24EF" w:rsidRDefault="00C2371E" w:rsidP="008D668D">
            <w:pPr>
              <w:rPr>
                <w:rFonts w:ascii="Arial" w:hAnsi="Arial" w:cs="Arial"/>
                <w:b/>
                <w:bCs/>
                <w:sz w:val="20"/>
                <w:szCs w:val="20"/>
              </w:rPr>
            </w:pPr>
            <w:proofErr w:type="spellStart"/>
            <w:r w:rsidRPr="008A24EF">
              <w:rPr>
                <w:rFonts w:ascii="Arial" w:hAnsi="Arial" w:cs="Arial"/>
                <w:b/>
                <w:bCs/>
                <w:sz w:val="20"/>
                <w:szCs w:val="20"/>
              </w:rPr>
              <w:t>ln_TRADE</w:t>
            </w:r>
            <w:proofErr w:type="spellEnd"/>
          </w:p>
        </w:tc>
        <w:tc>
          <w:tcPr>
            <w:tcW w:w="1803" w:type="dxa"/>
            <w:tcBorders>
              <w:bottom w:val="single" w:sz="4" w:space="0" w:color="auto"/>
            </w:tcBorders>
          </w:tcPr>
          <w:p w14:paraId="7780DD2E" w14:textId="77777777" w:rsidR="00C2371E" w:rsidRPr="008A24EF" w:rsidRDefault="00C2371E" w:rsidP="00990FE2">
            <w:pPr>
              <w:jc w:val="right"/>
              <w:rPr>
                <w:rFonts w:ascii="Arial" w:hAnsi="Arial" w:cs="Arial"/>
                <w:sz w:val="20"/>
                <w:szCs w:val="20"/>
              </w:rPr>
            </w:pPr>
            <w:r w:rsidRPr="008A24EF">
              <w:rPr>
                <w:rFonts w:ascii="Arial" w:hAnsi="Arial" w:cs="Arial"/>
                <w:sz w:val="20"/>
                <w:szCs w:val="20"/>
              </w:rPr>
              <w:t>0.667</w:t>
            </w:r>
          </w:p>
        </w:tc>
        <w:tc>
          <w:tcPr>
            <w:tcW w:w="2064" w:type="dxa"/>
            <w:tcBorders>
              <w:bottom w:val="single" w:sz="4" w:space="0" w:color="auto"/>
            </w:tcBorders>
          </w:tcPr>
          <w:p w14:paraId="25B22FA3" w14:textId="77777777" w:rsidR="00C2371E" w:rsidRPr="008A24EF" w:rsidRDefault="00C2371E" w:rsidP="00990FE2">
            <w:pPr>
              <w:jc w:val="right"/>
              <w:rPr>
                <w:rFonts w:ascii="Arial" w:hAnsi="Arial" w:cs="Arial"/>
                <w:sz w:val="20"/>
                <w:szCs w:val="20"/>
              </w:rPr>
            </w:pPr>
            <w:r w:rsidRPr="008A24EF">
              <w:rPr>
                <w:rFonts w:ascii="Arial" w:hAnsi="Arial" w:cs="Arial"/>
                <w:sz w:val="20"/>
                <w:szCs w:val="20"/>
              </w:rPr>
              <w:t>0.026</w:t>
            </w:r>
          </w:p>
        </w:tc>
        <w:tc>
          <w:tcPr>
            <w:tcW w:w="1542" w:type="dxa"/>
            <w:tcBorders>
              <w:bottom w:val="single" w:sz="4" w:space="0" w:color="auto"/>
            </w:tcBorders>
          </w:tcPr>
          <w:p w14:paraId="3FDA58DB" w14:textId="77777777" w:rsidR="00C2371E" w:rsidRPr="008A24EF" w:rsidRDefault="00C2371E" w:rsidP="00990FE2">
            <w:pPr>
              <w:jc w:val="right"/>
              <w:rPr>
                <w:rFonts w:ascii="Arial" w:hAnsi="Arial" w:cs="Arial"/>
                <w:sz w:val="20"/>
                <w:szCs w:val="20"/>
              </w:rPr>
            </w:pPr>
            <w:r w:rsidRPr="008A24EF">
              <w:rPr>
                <w:rFonts w:ascii="Arial" w:hAnsi="Arial" w:cs="Arial"/>
                <w:sz w:val="20"/>
                <w:szCs w:val="20"/>
              </w:rPr>
              <w:t>25.228</w:t>
            </w:r>
          </w:p>
        </w:tc>
        <w:tc>
          <w:tcPr>
            <w:tcW w:w="1804" w:type="dxa"/>
            <w:tcBorders>
              <w:bottom w:val="single" w:sz="4" w:space="0" w:color="auto"/>
            </w:tcBorders>
          </w:tcPr>
          <w:p w14:paraId="368F9ED4" w14:textId="77777777" w:rsidR="00C2371E" w:rsidRPr="00B17D18" w:rsidRDefault="00C2371E" w:rsidP="00990FE2">
            <w:pPr>
              <w:jc w:val="right"/>
              <w:rPr>
                <w:rFonts w:ascii="Arial" w:hAnsi="Arial" w:cs="Arial"/>
                <w:i/>
                <w:iCs/>
                <w:sz w:val="20"/>
                <w:szCs w:val="20"/>
              </w:rPr>
            </w:pPr>
            <w:r w:rsidRPr="00B17D18">
              <w:rPr>
                <w:rFonts w:ascii="Arial" w:hAnsi="Arial" w:cs="Arial"/>
                <w:i/>
                <w:iCs/>
                <w:sz w:val="20"/>
                <w:szCs w:val="20"/>
              </w:rPr>
              <w:t>.00</w:t>
            </w:r>
          </w:p>
        </w:tc>
      </w:tr>
      <w:tr w:rsidR="00C2371E" w:rsidRPr="008A24EF" w14:paraId="4D68DA77" w14:textId="77777777" w:rsidTr="008D668D">
        <w:tc>
          <w:tcPr>
            <w:tcW w:w="1803" w:type="dxa"/>
            <w:tcBorders>
              <w:bottom w:val="single" w:sz="4" w:space="0" w:color="auto"/>
            </w:tcBorders>
          </w:tcPr>
          <w:p w14:paraId="5890EAA1" w14:textId="77777777" w:rsidR="00C2371E" w:rsidRPr="008A24EF" w:rsidRDefault="00C2371E" w:rsidP="008D668D">
            <w:pPr>
              <w:rPr>
                <w:rFonts w:ascii="Arial" w:hAnsi="Arial" w:cs="Arial"/>
                <w:b/>
                <w:bCs/>
                <w:sz w:val="20"/>
                <w:szCs w:val="20"/>
              </w:rPr>
            </w:pPr>
          </w:p>
        </w:tc>
        <w:tc>
          <w:tcPr>
            <w:tcW w:w="1803" w:type="dxa"/>
            <w:tcBorders>
              <w:bottom w:val="single" w:sz="4" w:space="0" w:color="auto"/>
            </w:tcBorders>
          </w:tcPr>
          <w:p w14:paraId="4A860039" w14:textId="77777777" w:rsidR="00C2371E" w:rsidRPr="008A24EF" w:rsidRDefault="00C2371E" w:rsidP="008D668D">
            <w:pPr>
              <w:jc w:val="center"/>
              <w:rPr>
                <w:rFonts w:ascii="Arial" w:hAnsi="Arial" w:cs="Arial"/>
                <w:sz w:val="20"/>
                <w:szCs w:val="20"/>
              </w:rPr>
            </w:pPr>
          </w:p>
        </w:tc>
        <w:tc>
          <w:tcPr>
            <w:tcW w:w="2064" w:type="dxa"/>
            <w:tcBorders>
              <w:bottom w:val="single" w:sz="4" w:space="0" w:color="auto"/>
            </w:tcBorders>
          </w:tcPr>
          <w:p w14:paraId="11C36D77" w14:textId="77777777" w:rsidR="00C2371E" w:rsidRPr="008A24EF" w:rsidRDefault="00C2371E" w:rsidP="008D668D">
            <w:pPr>
              <w:jc w:val="center"/>
              <w:rPr>
                <w:rFonts w:ascii="Arial" w:hAnsi="Arial" w:cs="Arial"/>
                <w:sz w:val="20"/>
                <w:szCs w:val="20"/>
              </w:rPr>
            </w:pPr>
          </w:p>
        </w:tc>
        <w:tc>
          <w:tcPr>
            <w:tcW w:w="1542" w:type="dxa"/>
            <w:tcBorders>
              <w:bottom w:val="single" w:sz="4" w:space="0" w:color="auto"/>
            </w:tcBorders>
          </w:tcPr>
          <w:p w14:paraId="114B3125" w14:textId="77777777" w:rsidR="00C2371E" w:rsidRPr="008A24EF" w:rsidRDefault="00C2371E" w:rsidP="008D668D">
            <w:pPr>
              <w:jc w:val="center"/>
              <w:rPr>
                <w:rFonts w:ascii="Arial" w:hAnsi="Arial" w:cs="Arial"/>
                <w:sz w:val="20"/>
                <w:szCs w:val="20"/>
              </w:rPr>
            </w:pPr>
          </w:p>
        </w:tc>
        <w:tc>
          <w:tcPr>
            <w:tcW w:w="1804" w:type="dxa"/>
            <w:tcBorders>
              <w:bottom w:val="single" w:sz="4" w:space="0" w:color="auto"/>
            </w:tcBorders>
          </w:tcPr>
          <w:p w14:paraId="0CA913CA" w14:textId="77777777" w:rsidR="00C2371E" w:rsidRPr="008A24EF" w:rsidRDefault="00C2371E" w:rsidP="008D668D">
            <w:pPr>
              <w:jc w:val="center"/>
              <w:rPr>
                <w:rFonts w:ascii="Arial" w:hAnsi="Arial" w:cs="Arial"/>
                <w:sz w:val="20"/>
                <w:szCs w:val="20"/>
              </w:rPr>
            </w:pPr>
          </w:p>
        </w:tc>
      </w:tr>
      <w:tr w:rsidR="00C2371E" w:rsidRPr="008A24EF" w14:paraId="7069999B" w14:textId="77777777" w:rsidTr="008D668D">
        <w:tc>
          <w:tcPr>
            <w:tcW w:w="1803" w:type="dxa"/>
            <w:tcBorders>
              <w:bottom w:val="single" w:sz="4" w:space="0" w:color="auto"/>
            </w:tcBorders>
          </w:tcPr>
          <w:p w14:paraId="4A91D5E8" w14:textId="77777777" w:rsidR="00C2371E" w:rsidRPr="008A24EF" w:rsidRDefault="00C2371E" w:rsidP="008D668D">
            <w:pPr>
              <w:rPr>
                <w:rFonts w:ascii="Arial" w:hAnsi="Arial" w:cs="Arial"/>
                <w:b/>
                <w:bCs/>
                <w:sz w:val="20"/>
                <w:szCs w:val="20"/>
              </w:rPr>
            </w:pPr>
            <w:r w:rsidRPr="008A24EF">
              <w:rPr>
                <w:rFonts w:ascii="Arial" w:hAnsi="Arial" w:cs="Arial"/>
                <w:b/>
                <w:bCs/>
                <w:sz w:val="20"/>
                <w:szCs w:val="20"/>
              </w:rPr>
              <w:t>R</w:t>
            </w:r>
            <w:r w:rsidRPr="008A24EF">
              <w:rPr>
                <w:rFonts w:ascii="Arial" w:hAnsi="Arial" w:cs="Arial"/>
                <w:b/>
                <w:bCs/>
                <w:sz w:val="20"/>
                <w:szCs w:val="20"/>
                <w:vertAlign w:val="superscript"/>
              </w:rPr>
              <w:t>2</w:t>
            </w:r>
          </w:p>
        </w:tc>
        <w:tc>
          <w:tcPr>
            <w:tcW w:w="1803" w:type="dxa"/>
            <w:tcBorders>
              <w:bottom w:val="single" w:sz="4" w:space="0" w:color="auto"/>
            </w:tcBorders>
          </w:tcPr>
          <w:p w14:paraId="57C7F47B" w14:textId="77777777" w:rsidR="00C2371E" w:rsidRPr="008A24EF" w:rsidRDefault="00C2371E" w:rsidP="00990FE2">
            <w:pPr>
              <w:jc w:val="right"/>
              <w:rPr>
                <w:rFonts w:ascii="Arial" w:hAnsi="Arial" w:cs="Arial"/>
                <w:sz w:val="20"/>
                <w:szCs w:val="20"/>
              </w:rPr>
            </w:pPr>
            <w:r w:rsidRPr="008A24EF">
              <w:rPr>
                <w:rFonts w:ascii="Arial" w:hAnsi="Arial" w:cs="Arial"/>
                <w:sz w:val="20"/>
                <w:szCs w:val="20"/>
              </w:rPr>
              <w:t>0.959</w:t>
            </w:r>
          </w:p>
        </w:tc>
        <w:tc>
          <w:tcPr>
            <w:tcW w:w="2064" w:type="dxa"/>
            <w:tcBorders>
              <w:bottom w:val="single" w:sz="4" w:space="0" w:color="auto"/>
            </w:tcBorders>
          </w:tcPr>
          <w:p w14:paraId="2CFAEC4D" w14:textId="77777777" w:rsidR="00C2371E" w:rsidRPr="008A24EF" w:rsidRDefault="00C2371E" w:rsidP="008D668D">
            <w:pPr>
              <w:jc w:val="center"/>
              <w:rPr>
                <w:rFonts w:ascii="Arial" w:hAnsi="Arial" w:cs="Arial"/>
                <w:b/>
                <w:bCs/>
                <w:sz w:val="20"/>
                <w:szCs w:val="20"/>
              </w:rPr>
            </w:pPr>
            <w:r w:rsidRPr="008A24EF">
              <w:rPr>
                <w:rFonts w:ascii="Arial" w:hAnsi="Arial" w:cs="Arial"/>
                <w:b/>
                <w:bCs/>
                <w:sz w:val="20"/>
                <w:szCs w:val="20"/>
              </w:rPr>
              <w:t>F-statistic</w:t>
            </w:r>
          </w:p>
        </w:tc>
        <w:tc>
          <w:tcPr>
            <w:tcW w:w="1542" w:type="dxa"/>
            <w:tcBorders>
              <w:bottom w:val="single" w:sz="4" w:space="0" w:color="auto"/>
            </w:tcBorders>
          </w:tcPr>
          <w:p w14:paraId="314802BE" w14:textId="77777777" w:rsidR="00C2371E" w:rsidRPr="008A24EF" w:rsidRDefault="00C2371E" w:rsidP="00990FE2">
            <w:pPr>
              <w:jc w:val="right"/>
              <w:rPr>
                <w:rFonts w:ascii="Arial" w:hAnsi="Arial" w:cs="Arial"/>
                <w:sz w:val="20"/>
                <w:szCs w:val="20"/>
              </w:rPr>
            </w:pPr>
            <w:r w:rsidRPr="008A24EF">
              <w:rPr>
                <w:rFonts w:ascii="Arial" w:hAnsi="Arial" w:cs="Arial"/>
                <w:sz w:val="20"/>
                <w:szCs w:val="20"/>
              </w:rPr>
              <w:t>636.44</w:t>
            </w:r>
          </w:p>
        </w:tc>
        <w:tc>
          <w:tcPr>
            <w:tcW w:w="1804" w:type="dxa"/>
            <w:tcBorders>
              <w:bottom w:val="single" w:sz="4" w:space="0" w:color="auto"/>
            </w:tcBorders>
          </w:tcPr>
          <w:p w14:paraId="329DF26A" w14:textId="77777777" w:rsidR="00C2371E" w:rsidRPr="008A24EF" w:rsidRDefault="00C2371E" w:rsidP="008D668D">
            <w:pPr>
              <w:jc w:val="center"/>
              <w:rPr>
                <w:rFonts w:ascii="Arial" w:hAnsi="Arial" w:cs="Arial"/>
                <w:sz w:val="20"/>
                <w:szCs w:val="20"/>
              </w:rPr>
            </w:pPr>
          </w:p>
        </w:tc>
      </w:tr>
      <w:tr w:rsidR="00C2371E" w:rsidRPr="008A24EF" w14:paraId="19C1FCAF" w14:textId="77777777" w:rsidTr="008D668D">
        <w:tc>
          <w:tcPr>
            <w:tcW w:w="1803" w:type="dxa"/>
            <w:tcBorders>
              <w:bottom w:val="single" w:sz="4" w:space="0" w:color="auto"/>
            </w:tcBorders>
          </w:tcPr>
          <w:p w14:paraId="1E36CBFE" w14:textId="77777777" w:rsidR="00C2371E" w:rsidRPr="008A24EF" w:rsidRDefault="00C2371E" w:rsidP="008D668D">
            <w:pPr>
              <w:rPr>
                <w:rFonts w:ascii="Arial" w:hAnsi="Arial" w:cs="Arial"/>
                <w:b/>
                <w:bCs/>
                <w:sz w:val="20"/>
                <w:szCs w:val="20"/>
              </w:rPr>
            </w:pPr>
            <w:r w:rsidRPr="008A24EF">
              <w:rPr>
                <w:rFonts w:ascii="Arial" w:hAnsi="Arial" w:cs="Arial"/>
                <w:b/>
                <w:bCs/>
                <w:sz w:val="20"/>
                <w:szCs w:val="20"/>
              </w:rPr>
              <w:t>Adjusted R</w:t>
            </w:r>
            <w:r w:rsidRPr="008A24EF">
              <w:rPr>
                <w:rFonts w:ascii="Arial" w:hAnsi="Arial" w:cs="Arial"/>
                <w:b/>
                <w:bCs/>
                <w:sz w:val="20"/>
                <w:szCs w:val="20"/>
                <w:vertAlign w:val="superscript"/>
              </w:rPr>
              <w:t>2</w:t>
            </w:r>
          </w:p>
        </w:tc>
        <w:tc>
          <w:tcPr>
            <w:tcW w:w="1803" w:type="dxa"/>
            <w:tcBorders>
              <w:bottom w:val="single" w:sz="4" w:space="0" w:color="auto"/>
            </w:tcBorders>
          </w:tcPr>
          <w:p w14:paraId="373C8C57" w14:textId="77777777" w:rsidR="00C2371E" w:rsidRPr="008A24EF" w:rsidRDefault="00C2371E" w:rsidP="00990FE2">
            <w:pPr>
              <w:jc w:val="right"/>
              <w:rPr>
                <w:rFonts w:ascii="Arial" w:hAnsi="Arial" w:cs="Arial"/>
                <w:sz w:val="20"/>
                <w:szCs w:val="20"/>
              </w:rPr>
            </w:pPr>
            <w:r w:rsidRPr="008A24EF">
              <w:rPr>
                <w:rFonts w:ascii="Arial" w:hAnsi="Arial" w:cs="Arial"/>
                <w:sz w:val="20"/>
                <w:szCs w:val="20"/>
              </w:rPr>
              <w:t>0.958</w:t>
            </w:r>
          </w:p>
        </w:tc>
        <w:tc>
          <w:tcPr>
            <w:tcW w:w="2064" w:type="dxa"/>
            <w:tcBorders>
              <w:bottom w:val="single" w:sz="4" w:space="0" w:color="auto"/>
            </w:tcBorders>
          </w:tcPr>
          <w:p w14:paraId="28E0C0DF" w14:textId="77777777" w:rsidR="00C2371E" w:rsidRPr="008A24EF" w:rsidRDefault="00C2371E" w:rsidP="008D668D">
            <w:pPr>
              <w:jc w:val="center"/>
              <w:rPr>
                <w:rFonts w:ascii="Arial" w:hAnsi="Arial" w:cs="Arial"/>
                <w:b/>
                <w:bCs/>
                <w:sz w:val="20"/>
                <w:szCs w:val="20"/>
              </w:rPr>
            </w:pPr>
            <w:r w:rsidRPr="008A24EF">
              <w:rPr>
                <w:rFonts w:ascii="Arial" w:hAnsi="Arial" w:cs="Arial"/>
                <w:b/>
                <w:bCs/>
                <w:sz w:val="20"/>
                <w:szCs w:val="20"/>
              </w:rPr>
              <w:t>Prob(F-statistic)</w:t>
            </w:r>
          </w:p>
        </w:tc>
        <w:tc>
          <w:tcPr>
            <w:tcW w:w="1542" w:type="dxa"/>
            <w:tcBorders>
              <w:bottom w:val="single" w:sz="4" w:space="0" w:color="auto"/>
            </w:tcBorders>
          </w:tcPr>
          <w:p w14:paraId="5153E7A1" w14:textId="77777777" w:rsidR="00C2371E" w:rsidRPr="00B17D18" w:rsidRDefault="00C2371E" w:rsidP="00990FE2">
            <w:pPr>
              <w:jc w:val="right"/>
              <w:rPr>
                <w:rFonts w:ascii="Arial" w:hAnsi="Arial" w:cs="Arial"/>
                <w:i/>
                <w:iCs/>
                <w:sz w:val="20"/>
                <w:szCs w:val="20"/>
              </w:rPr>
            </w:pPr>
            <w:r w:rsidRPr="00B17D18">
              <w:rPr>
                <w:rFonts w:ascii="Arial" w:hAnsi="Arial" w:cs="Arial"/>
                <w:i/>
                <w:iCs/>
                <w:sz w:val="20"/>
                <w:szCs w:val="20"/>
              </w:rPr>
              <w:t>.00</w:t>
            </w:r>
          </w:p>
        </w:tc>
        <w:tc>
          <w:tcPr>
            <w:tcW w:w="1804" w:type="dxa"/>
            <w:tcBorders>
              <w:bottom w:val="single" w:sz="4" w:space="0" w:color="auto"/>
            </w:tcBorders>
          </w:tcPr>
          <w:p w14:paraId="1AE9E34F" w14:textId="77777777" w:rsidR="00C2371E" w:rsidRPr="008A24EF" w:rsidRDefault="00C2371E" w:rsidP="008D668D">
            <w:pPr>
              <w:jc w:val="center"/>
              <w:rPr>
                <w:rFonts w:ascii="Arial" w:hAnsi="Arial" w:cs="Arial"/>
                <w:sz w:val="20"/>
                <w:szCs w:val="20"/>
              </w:rPr>
            </w:pPr>
          </w:p>
        </w:tc>
      </w:tr>
      <w:tr w:rsidR="00C2371E" w:rsidRPr="008A24EF" w14:paraId="3317E0C4" w14:textId="77777777" w:rsidTr="008D668D">
        <w:tc>
          <w:tcPr>
            <w:tcW w:w="9016" w:type="dxa"/>
            <w:gridSpan w:val="5"/>
            <w:tcBorders>
              <w:left w:val="nil"/>
              <w:bottom w:val="nil"/>
              <w:right w:val="nil"/>
            </w:tcBorders>
            <w:vAlign w:val="center"/>
          </w:tcPr>
          <w:p w14:paraId="420774C7" w14:textId="77777777" w:rsidR="00C2371E" w:rsidRPr="008A24EF" w:rsidRDefault="00C2371E" w:rsidP="008D668D">
            <w:pPr>
              <w:rPr>
                <w:rFonts w:ascii="Arial" w:hAnsi="Arial" w:cs="Arial"/>
                <w:sz w:val="20"/>
                <w:szCs w:val="20"/>
              </w:rPr>
            </w:pPr>
            <w:r w:rsidRPr="008A24EF">
              <w:rPr>
                <w:rFonts w:ascii="Arial" w:eastAsia="Times New Roman" w:hAnsi="Arial" w:cs="Arial"/>
                <w:i/>
                <w:iCs/>
                <w:sz w:val="20"/>
                <w:szCs w:val="20"/>
                <w:lang w:eastAsia="en-IN" w:bidi="my-MM"/>
              </w:rPr>
              <w:t>Source: Authors’ Contribution based on secondary data using EViews Statistical Software</w:t>
            </w:r>
          </w:p>
        </w:tc>
      </w:tr>
    </w:tbl>
    <w:p w14:paraId="36169D50" w14:textId="77777777" w:rsidR="00C2371E" w:rsidRPr="008A24EF" w:rsidRDefault="00C2371E" w:rsidP="00C2371E">
      <w:pPr>
        <w:jc w:val="both"/>
        <w:rPr>
          <w:rFonts w:ascii="Arial" w:hAnsi="Arial" w:cs="Arial"/>
        </w:rPr>
      </w:pPr>
      <w:r>
        <w:rPr>
          <w:rFonts w:ascii="Arial" w:hAnsi="Arial" w:cs="Arial"/>
        </w:rPr>
        <w:tab/>
        <w:t xml:space="preserve">In </w:t>
      </w:r>
      <w:r>
        <w:rPr>
          <w:rFonts w:ascii="Arial" w:hAnsi="Arial" w:cs="Arial"/>
          <w:highlight w:val="yellow"/>
        </w:rPr>
        <w:t>T</w:t>
      </w:r>
      <w:r>
        <w:rPr>
          <w:rFonts w:ascii="Arial" w:hAnsi="Arial" w:cs="Arial"/>
        </w:rPr>
        <w:t xml:space="preserve">able 4, the regression results for Model 1 indicate that total trade has a strong and statistically significant positive impact on India’s GDP. The coefficient of ln_TRADE (0.667) implies that a 1% increase in total trade leads to approximately a 0.67% increase in GDP per capita, holding other factors constant. The t-statistic (25.228) and </w:t>
      </w:r>
      <w:r>
        <w:rPr>
          <w:rFonts w:ascii="Arial" w:hAnsi="Arial" w:cs="Arial"/>
          <w:i/>
          <w:iCs/>
        </w:rPr>
        <w:t>p</w:t>
      </w:r>
      <w:r>
        <w:rPr>
          <w:rFonts w:ascii="Arial" w:hAnsi="Arial" w:cs="Arial"/>
        </w:rPr>
        <w:t>-value (.00) confirm high statistical significance at the 5% level. The model explains 95.9% of the variation in GDP (R² = 0.959), and the significant F-statistic (636.44) indicates strong overall model validity. The regression result</w:t>
      </w:r>
      <w:r>
        <w:rPr>
          <w:rFonts w:ascii="Arial" w:hAnsi="Arial" w:cs="Arial"/>
          <w:highlight w:val="yellow"/>
        </w:rPr>
        <w:t>s</w:t>
      </w:r>
      <w:r>
        <w:rPr>
          <w:rFonts w:ascii="Arial" w:hAnsi="Arial" w:cs="Arial"/>
        </w:rPr>
        <w:t xml:space="preserve"> </w:t>
      </w:r>
      <w:r>
        <w:rPr>
          <w:rFonts w:ascii="Arial" w:hAnsi="Arial" w:cs="Arial"/>
          <w:highlight w:val="yellow"/>
        </w:rPr>
        <w:t>f</w:t>
      </w:r>
      <w:r>
        <w:rPr>
          <w:rFonts w:ascii="Arial" w:hAnsi="Arial" w:cs="Arial"/>
        </w:rPr>
        <w:t>o</w:t>
      </w:r>
      <w:r>
        <w:rPr>
          <w:rFonts w:ascii="Arial" w:hAnsi="Arial" w:cs="Arial"/>
          <w:highlight w:val="yellow"/>
        </w:rPr>
        <w:t>r</w:t>
      </w:r>
      <w:r>
        <w:rPr>
          <w:rFonts w:ascii="Arial" w:hAnsi="Arial" w:cs="Arial"/>
        </w:rPr>
        <w:t xml:space="preserve"> </w:t>
      </w:r>
      <w:r>
        <w:rPr>
          <w:rFonts w:ascii="Arial" w:hAnsi="Arial" w:cs="Arial"/>
          <w:highlight w:val="yellow"/>
        </w:rPr>
        <w:t>M</w:t>
      </w:r>
      <w:r>
        <w:rPr>
          <w:rFonts w:ascii="Arial" w:hAnsi="Arial" w:cs="Arial"/>
        </w:rPr>
        <w:t xml:space="preserve">odel 2 </w:t>
      </w:r>
      <w:r>
        <w:rPr>
          <w:rFonts w:ascii="Arial" w:hAnsi="Arial" w:cs="Arial"/>
          <w:highlight w:val="yellow"/>
        </w:rPr>
        <w:t>are</w:t>
      </w:r>
      <w:r>
        <w:rPr>
          <w:rFonts w:ascii="Arial" w:hAnsi="Arial" w:cs="Arial"/>
        </w:rPr>
        <w:t xml:space="preserve"> shown in </w:t>
      </w:r>
      <w:r>
        <w:rPr>
          <w:rFonts w:ascii="Arial" w:hAnsi="Arial" w:cs="Arial"/>
          <w:highlight w:val="yellow"/>
        </w:rPr>
        <w:t>T</w:t>
      </w:r>
      <w:r>
        <w:rPr>
          <w:rFonts w:ascii="Arial" w:hAnsi="Arial" w:cs="Arial"/>
        </w:rPr>
        <w:t>able 5.</w:t>
      </w:r>
    </w:p>
    <w:p w14:paraId="1C9DE54D" w14:textId="77777777" w:rsidR="00C2371E" w:rsidRPr="008A24EF" w:rsidRDefault="00C2371E" w:rsidP="00C2371E">
      <w:pPr>
        <w:rPr>
          <w:rFonts w:ascii="Arial" w:hAnsi="Arial" w:cs="Arial"/>
        </w:rPr>
      </w:pPr>
    </w:p>
    <w:p w14:paraId="70726947" w14:textId="77777777" w:rsidR="00C2371E" w:rsidRPr="00157B05" w:rsidRDefault="00157B05" w:rsidP="00C2371E">
      <w:pPr>
        <w:rPr>
          <w:rFonts w:ascii="Arial" w:hAnsi="Arial" w:cs="Arial"/>
          <w:b/>
          <w:bCs/>
          <w:u w:val="single"/>
        </w:rPr>
      </w:pPr>
      <w:r>
        <w:rPr>
          <w:rFonts w:ascii="Arial" w:hAnsi="Arial" w:cs="Arial"/>
          <w:b/>
          <w:bCs/>
          <w:u w:val="single"/>
        </w:rPr>
        <w:t>3</w:t>
      </w:r>
      <w:r w:rsidRPr="00157B05">
        <w:rPr>
          <w:rFonts w:ascii="Arial" w:hAnsi="Arial" w:cs="Arial"/>
          <w:b/>
          <w:bCs/>
          <w:u w:val="single"/>
        </w:rPr>
        <w:t xml:space="preserve">.5.2 </w:t>
      </w:r>
      <w:r w:rsidR="00C2371E" w:rsidRPr="00157B05">
        <w:rPr>
          <w:rFonts w:ascii="Arial" w:hAnsi="Arial" w:cs="Arial"/>
          <w:b/>
          <w:bCs/>
          <w:u w:val="single"/>
        </w:rPr>
        <w:t>Model 2: Disaggregated Trade Model</w:t>
      </w:r>
    </w:p>
    <w:tbl>
      <w:tblPr>
        <w:tblStyle w:val="TableGrid"/>
        <w:tblW w:w="0" w:type="auto"/>
        <w:tblLook w:val="04A0" w:firstRow="1" w:lastRow="0" w:firstColumn="1" w:lastColumn="0" w:noHBand="0" w:noVBand="1"/>
      </w:tblPr>
      <w:tblGrid>
        <w:gridCol w:w="1803"/>
        <w:gridCol w:w="1803"/>
        <w:gridCol w:w="2064"/>
        <w:gridCol w:w="1542"/>
        <w:gridCol w:w="1804"/>
      </w:tblGrid>
      <w:tr w:rsidR="00C2371E" w:rsidRPr="008A24EF" w14:paraId="090AA1CA" w14:textId="77777777" w:rsidTr="008D668D">
        <w:tc>
          <w:tcPr>
            <w:tcW w:w="9016" w:type="dxa"/>
            <w:gridSpan w:val="5"/>
            <w:tcBorders>
              <w:top w:val="nil"/>
              <w:left w:val="nil"/>
              <w:right w:val="nil"/>
            </w:tcBorders>
          </w:tcPr>
          <w:p w14:paraId="703DAC5F" w14:textId="77777777" w:rsidR="00C2371E" w:rsidRPr="008A24EF" w:rsidRDefault="00C2371E" w:rsidP="008D668D">
            <w:pPr>
              <w:rPr>
                <w:rFonts w:ascii="Arial" w:hAnsi="Arial" w:cs="Arial"/>
                <w:b/>
                <w:bCs/>
                <w:sz w:val="20"/>
                <w:szCs w:val="20"/>
              </w:rPr>
            </w:pPr>
            <w:r w:rsidRPr="008A24EF">
              <w:rPr>
                <w:rFonts w:ascii="Arial" w:hAnsi="Arial" w:cs="Arial"/>
                <w:b/>
                <w:bCs/>
                <w:sz w:val="20"/>
                <w:szCs w:val="20"/>
              </w:rPr>
              <w:t>Table 5. Regression results for Model 2</w:t>
            </w:r>
          </w:p>
        </w:tc>
      </w:tr>
      <w:tr w:rsidR="00C2371E" w:rsidRPr="008A24EF" w14:paraId="26E5BFA7" w14:textId="77777777" w:rsidTr="008D668D">
        <w:tc>
          <w:tcPr>
            <w:tcW w:w="1803" w:type="dxa"/>
          </w:tcPr>
          <w:p w14:paraId="77ED7DCC" w14:textId="77777777" w:rsidR="00C2371E" w:rsidRPr="008A24EF" w:rsidRDefault="00C2371E" w:rsidP="008D668D">
            <w:pPr>
              <w:rPr>
                <w:rFonts w:ascii="Arial" w:hAnsi="Arial" w:cs="Arial"/>
                <w:sz w:val="20"/>
                <w:szCs w:val="20"/>
              </w:rPr>
            </w:pPr>
          </w:p>
        </w:tc>
        <w:tc>
          <w:tcPr>
            <w:tcW w:w="1803" w:type="dxa"/>
          </w:tcPr>
          <w:p w14:paraId="6CFFFCE2" w14:textId="77777777" w:rsidR="00C2371E" w:rsidRPr="008A24EF" w:rsidRDefault="00C2371E" w:rsidP="008D668D">
            <w:pPr>
              <w:jc w:val="center"/>
              <w:rPr>
                <w:rFonts w:ascii="Arial" w:hAnsi="Arial" w:cs="Arial"/>
                <w:b/>
                <w:bCs/>
                <w:sz w:val="20"/>
                <w:szCs w:val="20"/>
              </w:rPr>
            </w:pPr>
            <w:r w:rsidRPr="008A24EF">
              <w:rPr>
                <w:rFonts w:ascii="Arial" w:hAnsi="Arial" w:cs="Arial"/>
                <w:b/>
                <w:bCs/>
                <w:sz w:val="20"/>
                <w:szCs w:val="20"/>
              </w:rPr>
              <w:t>Coefficient</w:t>
            </w:r>
          </w:p>
        </w:tc>
        <w:tc>
          <w:tcPr>
            <w:tcW w:w="2064" w:type="dxa"/>
          </w:tcPr>
          <w:p w14:paraId="33955B05" w14:textId="77777777" w:rsidR="00C2371E" w:rsidRPr="008A24EF" w:rsidRDefault="00C2371E" w:rsidP="008D668D">
            <w:pPr>
              <w:jc w:val="center"/>
              <w:rPr>
                <w:rFonts w:ascii="Arial" w:hAnsi="Arial" w:cs="Arial"/>
                <w:b/>
                <w:bCs/>
                <w:sz w:val="20"/>
                <w:szCs w:val="20"/>
              </w:rPr>
            </w:pPr>
            <w:proofErr w:type="spellStart"/>
            <w:r w:rsidRPr="008A24EF">
              <w:rPr>
                <w:rFonts w:ascii="Arial" w:hAnsi="Arial" w:cs="Arial"/>
                <w:b/>
                <w:bCs/>
                <w:sz w:val="20"/>
                <w:szCs w:val="20"/>
              </w:rPr>
              <w:t>Std.Error</w:t>
            </w:r>
            <w:proofErr w:type="spellEnd"/>
          </w:p>
        </w:tc>
        <w:tc>
          <w:tcPr>
            <w:tcW w:w="1542" w:type="dxa"/>
          </w:tcPr>
          <w:p w14:paraId="03D19E78" w14:textId="77777777" w:rsidR="00C2371E" w:rsidRPr="008A24EF" w:rsidRDefault="00C2371E" w:rsidP="008D668D">
            <w:pPr>
              <w:jc w:val="center"/>
              <w:rPr>
                <w:rFonts w:ascii="Arial" w:hAnsi="Arial" w:cs="Arial"/>
                <w:b/>
                <w:bCs/>
                <w:sz w:val="20"/>
                <w:szCs w:val="20"/>
              </w:rPr>
            </w:pPr>
            <w:r w:rsidRPr="008A24EF">
              <w:rPr>
                <w:rFonts w:ascii="Arial" w:hAnsi="Arial" w:cs="Arial"/>
                <w:b/>
                <w:bCs/>
                <w:sz w:val="20"/>
                <w:szCs w:val="20"/>
              </w:rPr>
              <w:t>t-Statistic</w:t>
            </w:r>
          </w:p>
        </w:tc>
        <w:tc>
          <w:tcPr>
            <w:tcW w:w="1804" w:type="dxa"/>
          </w:tcPr>
          <w:p w14:paraId="1BB9184B" w14:textId="77777777" w:rsidR="00C2371E" w:rsidRPr="00B17D18" w:rsidRDefault="00C2371E" w:rsidP="008D668D">
            <w:pPr>
              <w:jc w:val="center"/>
              <w:rPr>
                <w:rFonts w:ascii="Arial" w:hAnsi="Arial" w:cs="Arial"/>
                <w:b/>
                <w:bCs/>
                <w:i/>
                <w:iCs/>
                <w:sz w:val="20"/>
                <w:szCs w:val="20"/>
              </w:rPr>
            </w:pPr>
            <w:r w:rsidRPr="00B17D18">
              <w:rPr>
                <w:rFonts w:ascii="Arial" w:hAnsi="Arial" w:cs="Arial"/>
                <w:b/>
                <w:bCs/>
                <w:i/>
                <w:iCs/>
                <w:sz w:val="20"/>
                <w:szCs w:val="20"/>
              </w:rPr>
              <w:t>Prob.</w:t>
            </w:r>
          </w:p>
        </w:tc>
      </w:tr>
      <w:tr w:rsidR="00C2371E" w:rsidRPr="008A24EF" w14:paraId="44418194" w14:textId="77777777" w:rsidTr="008D668D">
        <w:tc>
          <w:tcPr>
            <w:tcW w:w="1803" w:type="dxa"/>
          </w:tcPr>
          <w:p w14:paraId="56F62B4E" w14:textId="77777777" w:rsidR="00C2371E" w:rsidRPr="008A24EF" w:rsidRDefault="00C2371E" w:rsidP="008D668D">
            <w:pPr>
              <w:rPr>
                <w:rFonts w:ascii="Arial" w:hAnsi="Arial" w:cs="Arial"/>
                <w:b/>
                <w:bCs/>
                <w:sz w:val="20"/>
                <w:szCs w:val="20"/>
              </w:rPr>
            </w:pPr>
            <w:r w:rsidRPr="008A24EF">
              <w:rPr>
                <w:rFonts w:ascii="Arial" w:hAnsi="Arial" w:cs="Arial"/>
                <w:b/>
                <w:bCs/>
                <w:sz w:val="20"/>
                <w:szCs w:val="20"/>
              </w:rPr>
              <w:t>const</w:t>
            </w:r>
          </w:p>
        </w:tc>
        <w:tc>
          <w:tcPr>
            <w:tcW w:w="1803" w:type="dxa"/>
            <w:vAlign w:val="bottom"/>
          </w:tcPr>
          <w:p w14:paraId="3CE82DAC" w14:textId="77777777" w:rsidR="00C2371E" w:rsidRPr="008A24EF" w:rsidRDefault="00C2371E" w:rsidP="00990FE2">
            <w:pPr>
              <w:jc w:val="right"/>
              <w:rPr>
                <w:rFonts w:ascii="Arial" w:hAnsi="Arial" w:cs="Arial"/>
                <w:sz w:val="20"/>
                <w:szCs w:val="20"/>
              </w:rPr>
            </w:pPr>
            <w:r w:rsidRPr="008A24EF">
              <w:rPr>
                <w:rFonts w:ascii="Arial" w:eastAsia="Times New Roman" w:hAnsi="Arial" w:cs="Arial"/>
                <w:color w:val="000000"/>
                <w:sz w:val="20"/>
                <w:szCs w:val="20"/>
                <w:lang w:eastAsia="en-IN" w:bidi="my-MM"/>
              </w:rPr>
              <w:t>-1.685</w:t>
            </w:r>
          </w:p>
        </w:tc>
        <w:tc>
          <w:tcPr>
            <w:tcW w:w="2064" w:type="dxa"/>
            <w:vAlign w:val="bottom"/>
          </w:tcPr>
          <w:p w14:paraId="322CED43" w14:textId="77777777" w:rsidR="00C2371E" w:rsidRPr="008A24EF" w:rsidRDefault="00C2371E" w:rsidP="00990FE2">
            <w:pPr>
              <w:jc w:val="right"/>
              <w:rPr>
                <w:rFonts w:ascii="Arial" w:hAnsi="Arial" w:cs="Arial"/>
                <w:sz w:val="20"/>
                <w:szCs w:val="20"/>
              </w:rPr>
            </w:pPr>
            <w:r w:rsidRPr="008A24EF">
              <w:rPr>
                <w:rFonts w:ascii="Arial" w:eastAsia="Times New Roman" w:hAnsi="Arial" w:cs="Arial"/>
                <w:color w:val="000000"/>
                <w:sz w:val="20"/>
                <w:szCs w:val="20"/>
                <w:lang w:eastAsia="en-IN" w:bidi="my-MM"/>
              </w:rPr>
              <w:t>0.478</w:t>
            </w:r>
          </w:p>
        </w:tc>
        <w:tc>
          <w:tcPr>
            <w:tcW w:w="1542" w:type="dxa"/>
            <w:vAlign w:val="bottom"/>
          </w:tcPr>
          <w:p w14:paraId="0096EBA6" w14:textId="77777777" w:rsidR="00C2371E" w:rsidRPr="008A24EF" w:rsidRDefault="00C2371E" w:rsidP="00990FE2">
            <w:pPr>
              <w:jc w:val="right"/>
              <w:rPr>
                <w:rFonts w:ascii="Arial" w:hAnsi="Arial" w:cs="Arial"/>
                <w:sz w:val="20"/>
                <w:szCs w:val="20"/>
              </w:rPr>
            </w:pPr>
            <w:r w:rsidRPr="008A24EF">
              <w:rPr>
                <w:rFonts w:ascii="Arial" w:eastAsia="Times New Roman" w:hAnsi="Arial" w:cs="Arial"/>
                <w:color w:val="000000"/>
                <w:sz w:val="20"/>
                <w:szCs w:val="20"/>
                <w:lang w:eastAsia="en-IN" w:bidi="my-MM"/>
              </w:rPr>
              <w:t>-3.525</w:t>
            </w:r>
          </w:p>
        </w:tc>
        <w:tc>
          <w:tcPr>
            <w:tcW w:w="1804" w:type="dxa"/>
            <w:vAlign w:val="bottom"/>
          </w:tcPr>
          <w:p w14:paraId="38DAFDA5" w14:textId="77777777" w:rsidR="00C2371E" w:rsidRPr="00B17D18" w:rsidRDefault="00C2371E" w:rsidP="00990FE2">
            <w:pPr>
              <w:jc w:val="right"/>
              <w:rPr>
                <w:rFonts w:ascii="Arial" w:hAnsi="Arial" w:cs="Arial"/>
                <w:i/>
                <w:iCs/>
                <w:sz w:val="20"/>
                <w:szCs w:val="20"/>
              </w:rPr>
            </w:pPr>
            <w:r w:rsidRPr="00B17D18">
              <w:rPr>
                <w:rFonts w:ascii="Arial" w:eastAsia="Times New Roman" w:hAnsi="Arial" w:cs="Arial"/>
                <w:i/>
                <w:iCs/>
                <w:color w:val="000000"/>
                <w:sz w:val="20"/>
                <w:szCs w:val="20"/>
                <w:lang w:eastAsia="en-IN" w:bidi="my-MM"/>
              </w:rPr>
              <w:t>.00</w:t>
            </w:r>
          </w:p>
        </w:tc>
      </w:tr>
      <w:tr w:rsidR="00C2371E" w:rsidRPr="008A24EF" w14:paraId="49D0BE59" w14:textId="77777777" w:rsidTr="008D668D">
        <w:tc>
          <w:tcPr>
            <w:tcW w:w="1803" w:type="dxa"/>
            <w:tcBorders>
              <w:bottom w:val="single" w:sz="4" w:space="0" w:color="auto"/>
            </w:tcBorders>
          </w:tcPr>
          <w:p w14:paraId="2014D984" w14:textId="77777777" w:rsidR="00C2371E" w:rsidRPr="008A24EF" w:rsidRDefault="00C2371E" w:rsidP="008D668D">
            <w:pPr>
              <w:rPr>
                <w:rFonts w:ascii="Arial" w:hAnsi="Arial" w:cs="Arial"/>
                <w:b/>
                <w:bCs/>
                <w:sz w:val="20"/>
                <w:szCs w:val="20"/>
              </w:rPr>
            </w:pPr>
            <w:proofErr w:type="spellStart"/>
            <w:r w:rsidRPr="008A24EF">
              <w:rPr>
                <w:rFonts w:ascii="Arial" w:eastAsia="Times New Roman" w:hAnsi="Arial" w:cs="Arial"/>
                <w:b/>
                <w:bCs/>
                <w:sz w:val="20"/>
                <w:szCs w:val="20"/>
                <w:lang w:eastAsia="en-IN" w:bidi="my-MM"/>
              </w:rPr>
              <w:t>ln_EXP</w:t>
            </w:r>
            <w:proofErr w:type="spellEnd"/>
          </w:p>
        </w:tc>
        <w:tc>
          <w:tcPr>
            <w:tcW w:w="1803" w:type="dxa"/>
            <w:tcBorders>
              <w:bottom w:val="single" w:sz="4" w:space="0" w:color="auto"/>
            </w:tcBorders>
            <w:vAlign w:val="bottom"/>
          </w:tcPr>
          <w:p w14:paraId="5AE9731F" w14:textId="77777777" w:rsidR="00C2371E" w:rsidRPr="008A24EF" w:rsidRDefault="00C2371E" w:rsidP="00990FE2">
            <w:pPr>
              <w:jc w:val="right"/>
              <w:rPr>
                <w:rFonts w:ascii="Arial" w:hAnsi="Arial" w:cs="Arial"/>
                <w:sz w:val="20"/>
                <w:szCs w:val="20"/>
              </w:rPr>
            </w:pPr>
            <w:r w:rsidRPr="008A24EF">
              <w:rPr>
                <w:rFonts w:ascii="Arial" w:eastAsia="Times New Roman" w:hAnsi="Arial" w:cs="Arial"/>
                <w:color w:val="000000"/>
                <w:sz w:val="20"/>
                <w:szCs w:val="20"/>
                <w:lang w:eastAsia="en-IN" w:bidi="my-MM"/>
              </w:rPr>
              <w:t>0.897</w:t>
            </w:r>
          </w:p>
        </w:tc>
        <w:tc>
          <w:tcPr>
            <w:tcW w:w="2064" w:type="dxa"/>
            <w:tcBorders>
              <w:bottom w:val="single" w:sz="4" w:space="0" w:color="auto"/>
            </w:tcBorders>
            <w:vAlign w:val="bottom"/>
          </w:tcPr>
          <w:p w14:paraId="48F241C1" w14:textId="77777777" w:rsidR="00C2371E" w:rsidRPr="008A24EF" w:rsidRDefault="00C2371E" w:rsidP="00990FE2">
            <w:pPr>
              <w:jc w:val="right"/>
              <w:rPr>
                <w:rFonts w:ascii="Arial" w:hAnsi="Arial" w:cs="Arial"/>
                <w:sz w:val="20"/>
                <w:szCs w:val="20"/>
              </w:rPr>
            </w:pPr>
            <w:r w:rsidRPr="008A24EF">
              <w:rPr>
                <w:rFonts w:ascii="Arial" w:eastAsia="Times New Roman" w:hAnsi="Arial" w:cs="Arial"/>
                <w:color w:val="000000"/>
                <w:sz w:val="20"/>
                <w:szCs w:val="20"/>
                <w:lang w:eastAsia="en-IN" w:bidi="my-MM"/>
              </w:rPr>
              <w:t>0.405</w:t>
            </w:r>
          </w:p>
        </w:tc>
        <w:tc>
          <w:tcPr>
            <w:tcW w:w="1542" w:type="dxa"/>
            <w:tcBorders>
              <w:bottom w:val="single" w:sz="4" w:space="0" w:color="auto"/>
            </w:tcBorders>
            <w:vAlign w:val="bottom"/>
          </w:tcPr>
          <w:p w14:paraId="10D16C9F" w14:textId="77777777" w:rsidR="00C2371E" w:rsidRPr="008A24EF" w:rsidRDefault="00C2371E" w:rsidP="00990FE2">
            <w:pPr>
              <w:jc w:val="right"/>
              <w:rPr>
                <w:rFonts w:ascii="Arial" w:hAnsi="Arial" w:cs="Arial"/>
                <w:sz w:val="20"/>
                <w:szCs w:val="20"/>
              </w:rPr>
            </w:pPr>
            <w:r w:rsidRPr="008A24EF">
              <w:rPr>
                <w:rFonts w:ascii="Arial" w:eastAsia="Times New Roman" w:hAnsi="Arial" w:cs="Arial"/>
                <w:color w:val="000000"/>
                <w:sz w:val="20"/>
                <w:szCs w:val="20"/>
                <w:lang w:eastAsia="en-IN" w:bidi="my-MM"/>
              </w:rPr>
              <w:t>2.215</w:t>
            </w:r>
          </w:p>
        </w:tc>
        <w:tc>
          <w:tcPr>
            <w:tcW w:w="1804" w:type="dxa"/>
            <w:tcBorders>
              <w:bottom w:val="single" w:sz="4" w:space="0" w:color="auto"/>
            </w:tcBorders>
            <w:vAlign w:val="bottom"/>
          </w:tcPr>
          <w:p w14:paraId="4D40CBA1" w14:textId="77777777" w:rsidR="00C2371E" w:rsidRPr="00B17D18" w:rsidRDefault="00C2371E" w:rsidP="00990FE2">
            <w:pPr>
              <w:jc w:val="right"/>
              <w:rPr>
                <w:rFonts w:ascii="Arial" w:hAnsi="Arial" w:cs="Arial"/>
                <w:i/>
                <w:iCs/>
                <w:sz w:val="20"/>
                <w:szCs w:val="20"/>
              </w:rPr>
            </w:pPr>
            <w:r w:rsidRPr="00B17D18">
              <w:rPr>
                <w:rFonts w:ascii="Arial" w:eastAsia="Times New Roman" w:hAnsi="Arial" w:cs="Arial"/>
                <w:i/>
                <w:iCs/>
                <w:color w:val="000000"/>
                <w:sz w:val="20"/>
                <w:szCs w:val="20"/>
                <w:lang w:eastAsia="en-IN" w:bidi="my-MM"/>
              </w:rPr>
              <w:t>.036</w:t>
            </w:r>
          </w:p>
        </w:tc>
      </w:tr>
      <w:tr w:rsidR="00C2371E" w:rsidRPr="008A24EF" w14:paraId="66DBABCC" w14:textId="77777777" w:rsidTr="008D668D">
        <w:tc>
          <w:tcPr>
            <w:tcW w:w="1803" w:type="dxa"/>
            <w:tcBorders>
              <w:bottom w:val="single" w:sz="4" w:space="0" w:color="auto"/>
            </w:tcBorders>
          </w:tcPr>
          <w:p w14:paraId="68233485" w14:textId="77777777" w:rsidR="00C2371E" w:rsidRPr="008A24EF" w:rsidRDefault="00C2371E" w:rsidP="008D668D">
            <w:pPr>
              <w:rPr>
                <w:rFonts w:ascii="Arial" w:hAnsi="Arial" w:cs="Arial"/>
                <w:b/>
                <w:bCs/>
                <w:sz w:val="20"/>
                <w:szCs w:val="20"/>
              </w:rPr>
            </w:pPr>
            <w:proofErr w:type="spellStart"/>
            <w:r w:rsidRPr="008A24EF">
              <w:rPr>
                <w:rFonts w:ascii="Arial" w:eastAsia="Times New Roman" w:hAnsi="Arial" w:cs="Arial"/>
                <w:b/>
                <w:bCs/>
                <w:sz w:val="20"/>
                <w:szCs w:val="20"/>
                <w:lang w:eastAsia="en-IN" w:bidi="my-MM"/>
              </w:rPr>
              <w:t>ln_IMP</w:t>
            </w:r>
            <w:proofErr w:type="spellEnd"/>
          </w:p>
        </w:tc>
        <w:tc>
          <w:tcPr>
            <w:tcW w:w="1803" w:type="dxa"/>
            <w:tcBorders>
              <w:bottom w:val="single" w:sz="4" w:space="0" w:color="auto"/>
            </w:tcBorders>
            <w:vAlign w:val="bottom"/>
          </w:tcPr>
          <w:p w14:paraId="29A2CA81" w14:textId="77777777" w:rsidR="00C2371E" w:rsidRPr="008A24EF" w:rsidRDefault="00C2371E" w:rsidP="00990FE2">
            <w:pPr>
              <w:jc w:val="right"/>
              <w:rPr>
                <w:rFonts w:ascii="Arial" w:hAnsi="Arial" w:cs="Arial"/>
                <w:sz w:val="20"/>
                <w:szCs w:val="20"/>
              </w:rPr>
            </w:pPr>
            <w:r w:rsidRPr="008A24EF">
              <w:rPr>
                <w:rFonts w:ascii="Arial" w:eastAsia="Times New Roman" w:hAnsi="Arial" w:cs="Arial"/>
                <w:color w:val="000000"/>
                <w:sz w:val="20"/>
                <w:szCs w:val="20"/>
                <w:lang w:eastAsia="en-IN" w:bidi="my-MM"/>
              </w:rPr>
              <w:t>-0.167</w:t>
            </w:r>
          </w:p>
        </w:tc>
        <w:tc>
          <w:tcPr>
            <w:tcW w:w="2064" w:type="dxa"/>
            <w:tcBorders>
              <w:bottom w:val="single" w:sz="4" w:space="0" w:color="auto"/>
            </w:tcBorders>
            <w:vAlign w:val="bottom"/>
          </w:tcPr>
          <w:p w14:paraId="653F77D3" w14:textId="77777777" w:rsidR="00C2371E" w:rsidRPr="008A24EF" w:rsidRDefault="00C2371E" w:rsidP="00990FE2">
            <w:pPr>
              <w:jc w:val="right"/>
              <w:rPr>
                <w:rFonts w:ascii="Arial" w:hAnsi="Arial" w:cs="Arial"/>
                <w:sz w:val="20"/>
                <w:szCs w:val="20"/>
              </w:rPr>
            </w:pPr>
            <w:r w:rsidRPr="008A24EF">
              <w:rPr>
                <w:rFonts w:ascii="Arial" w:eastAsia="Times New Roman" w:hAnsi="Arial" w:cs="Arial"/>
                <w:color w:val="000000"/>
                <w:sz w:val="20"/>
                <w:szCs w:val="20"/>
                <w:lang w:eastAsia="en-IN" w:bidi="my-MM"/>
              </w:rPr>
              <w:t>0.364</w:t>
            </w:r>
          </w:p>
        </w:tc>
        <w:tc>
          <w:tcPr>
            <w:tcW w:w="1542" w:type="dxa"/>
            <w:tcBorders>
              <w:bottom w:val="single" w:sz="4" w:space="0" w:color="auto"/>
            </w:tcBorders>
            <w:vAlign w:val="bottom"/>
          </w:tcPr>
          <w:p w14:paraId="4EE4C600" w14:textId="77777777" w:rsidR="00C2371E" w:rsidRPr="008A24EF" w:rsidRDefault="00C2371E" w:rsidP="00990FE2">
            <w:pPr>
              <w:jc w:val="right"/>
              <w:rPr>
                <w:rFonts w:ascii="Arial" w:hAnsi="Arial" w:cs="Arial"/>
                <w:sz w:val="20"/>
                <w:szCs w:val="20"/>
              </w:rPr>
            </w:pPr>
            <w:r w:rsidRPr="008A24EF">
              <w:rPr>
                <w:rFonts w:ascii="Arial" w:eastAsia="Times New Roman" w:hAnsi="Arial" w:cs="Arial"/>
                <w:color w:val="000000"/>
                <w:sz w:val="20"/>
                <w:szCs w:val="20"/>
                <w:lang w:eastAsia="en-IN" w:bidi="my-MM"/>
              </w:rPr>
              <w:t>-0.459</w:t>
            </w:r>
          </w:p>
        </w:tc>
        <w:tc>
          <w:tcPr>
            <w:tcW w:w="1804" w:type="dxa"/>
            <w:tcBorders>
              <w:bottom w:val="single" w:sz="4" w:space="0" w:color="auto"/>
            </w:tcBorders>
            <w:vAlign w:val="bottom"/>
          </w:tcPr>
          <w:p w14:paraId="398CBA81" w14:textId="77777777" w:rsidR="00C2371E" w:rsidRPr="00B17D18" w:rsidRDefault="00C2371E" w:rsidP="00990FE2">
            <w:pPr>
              <w:jc w:val="right"/>
              <w:rPr>
                <w:rFonts w:ascii="Arial" w:hAnsi="Arial" w:cs="Arial"/>
                <w:i/>
                <w:iCs/>
                <w:sz w:val="20"/>
                <w:szCs w:val="20"/>
              </w:rPr>
            </w:pPr>
            <w:r w:rsidRPr="00B17D18">
              <w:rPr>
                <w:rFonts w:ascii="Arial" w:eastAsia="Times New Roman" w:hAnsi="Arial" w:cs="Arial"/>
                <w:i/>
                <w:iCs/>
                <w:color w:val="000000"/>
                <w:sz w:val="20"/>
                <w:szCs w:val="20"/>
                <w:lang w:eastAsia="en-IN" w:bidi="my-MM"/>
              </w:rPr>
              <w:t>.65</w:t>
            </w:r>
          </w:p>
        </w:tc>
      </w:tr>
      <w:tr w:rsidR="00C2371E" w:rsidRPr="008A24EF" w14:paraId="1C0818A0" w14:textId="77777777" w:rsidTr="008D668D">
        <w:tc>
          <w:tcPr>
            <w:tcW w:w="1803" w:type="dxa"/>
            <w:tcBorders>
              <w:bottom w:val="single" w:sz="4" w:space="0" w:color="auto"/>
            </w:tcBorders>
          </w:tcPr>
          <w:p w14:paraId="145A8F26" w14:textId="77777777" w:rsidR="00C2371E" w:rsidRPr="008A24EF" w:rsidRDefault="00C2371E" w:rsidP="008D668D">
            <w:pPr>
              <w:rPr>
                <w:rFonts w:ascii="Arial" w:eastAsia="Times New Roman" w:hAnsi="Arial" w:cs="Arial"/>
                <w:b/>
                <w:bCs/>
                <w:sz w:val="20"/>
                <w:szCs w:val="20"/>
                <w:lang w:eastAsia="en-IN" w:bidi="my-MM"/>
              </w:rPr>
            </w:pPr>
          </w:p>
        </w:tc>
        <w:tc>
          <w:tcPr>
            <w:tcW w:w="1803" w:type="dxa"/>
            <w:tcBorders>
              <w:bottom w:val="single" w:sz="4" w:space="0" w:color="auto"/>
            </w:tcBorders>
            <w:vAlign w:val="bottom"/>
          </w:tcPr>
          <w:p w14:paraId="713256B4" w14:textId="77777777" w:rsidR="00C2371E" w:rsidRPr="008A24EF" w:rsidRDefault="00C2371E" w:rsidP="00990FE2">
            <w:pPr>
              <w:jc w:val="right"/>
              <w:rPr>
                <w:rFonts w:ascii="Arial" w:eastAsia="Times New Roman" w:hAnsi="Arial" w:cs="Arial"/>
                <w:color w:val="000000"/>
                <w:sz w:val="20"/>
                <w:szCs w:val="20"/>
                <w:lang w:eastAsia="en-IN" w:bidi="my-MM"/>
              </w:rPr>
            </w:pPr>
          </w:p>
        </w:tc>
        <w:tc>
          <w:tcPr>
            <w:tcW w:w="2064" w:type="dxa"/>
            <w:tcBorders>
              <w:bottom w:val="single" w:sz="4" w:space="0" w:color="auto"/>
            </w:tcBorders>
            <w:vAlign w:val="bottom"/>
          </w:tcPr>
          <w:p w14:paraId="3335368C" w14:textId="77777777" w:rsidR="00C2371E" w:rsidRPr="008A24EF" w:rsidRDefault="00C2371E" w:rsidP="008D668D">
            <w:pPr>
              <w:jc w:val="center"/>
              <w:rPr>
                <w:rFonts w:ascii="Arial" w:eastAsia="Times New Roman" w:hAnsi="Arial" w:cs="Arial"/>
                <w:color w:val="000000"/>
                <w:sz w:val="20"/>
                <w:szCs w:val="20"/>
                <w:lang w:eastAsia="en-IN" w:bidi="my-MM"/>
              </w:rPr>
            </w:pPr>
          </w:p>
        </w:tc>
        <w:tc>
          <w:tcPr>
            <w:tcW w:w="1542" w:type="dxa"/>
            <w:tcBorders>
              <w:bottom w:val="single" w:sz="4" w:space="0" w:color="auto"/>
            </w:tcBorders>
            <w:vAlign w:val="bottom"/>
          </w:tcPr>
          <w:p w14:paraId="1B7A55C7" w14:textId="77777777" w:rsidR="00C2371E" w:rsidRPr="008A24EF" w:rsidRDefault="00C2371E" w:rsidP="00990FE2">
            <w:pPr>
              <w:jc w:val="right"/>
              <w:rPr>
                <w:rFonts w:ascii="Arial" w:eastAsia="Times New Roman" w:hAnsi="Arial" w:cs="Arial"/>
                <w:color w:val="000000"/>
                <w:sz w:val="20"/>
                <w:szCs w:val="20"/>
                <w:lang w:eastAsia="en-IN" w:bidi="my-MM"/>
              </w:rPr>
            </w:pPr>
          </w:p>
        </w:tc>
        <w:tc>
          <w:tcPr>
            <w:tcW w:w="1804" w:type="dxa"/>
            <w:tcBorders>
              <w:bottom w:val="single" w:sz="4" w:space="0" w:color="auto"/>
            </w:tcBorders>
            <w:vAlign w:val="bottom"/>
          </w:tcPr>
          <w:p w14:paraId="3F39809F" w14:textId="77777777" w:rsidR="00C2371E" w:rsidRPr="008A24EF" w:rsidRDefault="00C2371E" w:rsidP="00990FE2">
            <w:pPr>
              <w:jc w:val="right"/>
              <w:rPr>
                <w:rFonts w:ascii="Arial" w:eastAsia="Times New Roman" w:hAnsi="Arial" w:cs="Arial"/>
                <w:color w:val="000000"/>
                <w:sz w:val="20"/>
                <w:szCs w:val="20"/>
                <w:lang w:eastAsia="en-IN" w:bidi="my-MM"/>
              </w:rPr>
            </w:pPr>
          </w:p>
        </w:tc>
      </w:tr>
      <w:tr w:rsidR="00C2371E" w:rsidRPr="008A24EF" w14:paraId="5B48C150" w14:textId="77777777" w:rsidTr="008D668D">
        <w:tc>
          <w:tcPr>
            <w:tcW w:w="1803" w:type="dxa"/>
            <w:tcBorders>
              <w:bottom w:val="single" w:sz="4" w:space="0" w:color="auto"/>
            </w:tcBorders>
          </w:tcPr>
          <w:p w14:paraId="7DA562D3" w14:textId="77777777" w:rsidR="00C2371E" w:rsidRPr="008A24EF" w:rsidRDefault="00C2371E" w:rsidP="008D668D">
            <w:pPr>
              <w:rPr>
                <w:rFonts w:ascii="Arial" w:eastAsia="Times New Roman" w:hAnsi="Arial" w:cs="Arial"/>
                <w:b/>
                <w:bCs/>
                <w:sz w:val="20"/>
                <w:szCs w:val="20"/>
                <w:lang w:eastAsia="en-IN" w:bidi="my-MM"/>
              </w:rPr>
            </w:pPr>
            <w:r w:rsidRPr="008A24EF">
              <w:rPr>
                <w:rFonts w:ascii="Arial" w:hAnsi="Arial" w:cs="Arial"/>
                <w:b/>
                <w:bCs/>
                <w:sz w:val="20"/>
                <w:szCs w:val="20"/>
              </w:rPr>
              <w:t>R</w:t>
            </w:r>
            <w:r w:rsidRPr="008A24EF">
              <w:rPr>
                <w:rFonts w:ascii="Arial" w:hAnsi="Arial" w:cs="Arial"/>
                <w:b/>
                <w:bCs/>
                <w:sz w:val="20"/>
                <w:szCs w:val="20"/>
                <w:vertAlign w:val="superscript"/>
              </w:rPr>
              <w:t>2</w:t>
            </w:r>
          </w:p>
        </w:tc>
        <w:tc>
          <w:tcPr>
            <w:tcW w:w="1803" w:type="dxa"/>
            <w:tcBorders>
              <w:bottom w:val="single" w:sz="4" w:space="0" w:color="auto"/>
            </w:tcBorders>
          </w:tcPr>
          <w:p w14:paraId="4CCD3B67" w14:textId="77777777" w:rsidR="00C2371E" w:rsidRPr="008A24EF" w:rsidRDefault="00C2371E" w:rsidP="00990FE2">
            <w:pPr>
              <w:jc w:val="right"/>
              <w:rPr>
                <w:rFonts w:ascii="Arial" w:eastAsia="Times New Roman" w:hAnsi="Arial" w:cs="Arial"/>
                <w:color w:val="000000"/>
                <w:sz w:val="20"/>
                <w:szCs w:val="20"/>
                <w:lang w:eastAsia="en-IN" w:bidi="my-MM"/>
              </w:rPr>
            </w:pPr>
            <w:r w:rsidRPr="008A24EF">
              <w:rPr>
                <w:rFonts w:ascii="Arial" w:hAnsi="Arial" w:cs="Arial"/>
                <w:sz w:val="20"/>
                <w:szCs w:val="20"/>
              </w:rPr>
              <w:t>0.963</w:t>
            </w:r>
          </w:p>
        </w:tc>
        <w:tc>
          <w:tcPr>
            <w:tcW w:w="2064" w:type="dxa"/>
            <w:tcBorders>
              <w:bottom w:val="single" w:sz="4" w:space="0" w:color="auto"/>
            </w:tcBorders>
          </w:tcPr>
          <w:p w14:paraId="786CB6E8" w14:textId="77777777" w:rsidR="00C2371E" w:rsidRPr="008A24EF" w:rsidRDefault="00C2371E" w:rsidP="008D668D">
            <w:pPr>
              <w:jc w:val="center"/>
              <w:rPr>
                <w:rFonts w:ascii="Arial" w:eastAsia="Times New Roman" w:hAnsi="Arial" w:cs="Arial"/>
                <w:b/>
                <w:bCs/>
                <w:color w:val="000000"/>
                <w:sz w:val="20"/>
                <w:szCs w:val="20"/>
                <w:lang w:eastAsia="en-IN" w:bidi="my-MM"/>
              </w:rPr>
            </w:pPr>
            <w:r w:rsidRPr="008A24EF">
              <w:rPr>
                <w:rFonts w:ascii="Arial" w:hAnsi="Arial" w:cs="Arial"/>
                <w:b/>
                <w:bCs/>
                <w:sz w:val="20"/>
                <w:szCs w:val="20"/>
              </w:rPr>
              <w:t>F-statistic</w:t>
            </w:r>
          </w:p>
        </w:tc>
        <w:tc>
          <w:tcPr>
            <w:tcW w:w="1542" w:type="dxa"/>
            <w:tcBorders>
              <w:bottom w:val="single" w:sz="4" w:space="0" w:color="auto"/>
            </w:tcBorders>
          </w:tcPr>
          <w:p w14:paraId="7DB1CFF9" w14:textId="77777777" w:rsidR="00C2371E" w:rsidRPr="008A24EF" w:rsidRDefault="00C2371E" w:rsidP="00990FE2">
            <w:pPr>
              <w:jc w:val="right"/>
              <w:rPr>
                <w:rFonts w:ascii="Arial" w:eastAsia="Times New Roman" w:hAnsi="Arial" w:cs="Arial"/>
                <w:color w:val="000000"/>
                <w:sz w:val="20"/>
                <w:szCs w:val="20"/>
                <w:lang w:eastAsia="en-IN" w:bidi="my-MM"/>
              </w:rPr>
            </w:pPr>
            <w:r w:rsidRPr="008A24EF">
              <w:rPr>
                <w:rFonts w:ascii="Arial" w:hAnsi="Arial" w:cs="Arial"/>
                <w:sz w:val="20"/>
                <w:szCs w:val="20"/>
              </w:rPr>
              <w:t>335.640</w:t>
            </w:r>
          </w:p>
        </w:tc>
        <w:tc>
          <w:tcPr>
            <w:tcW w:w="1804" w:type="dxa"/>
            <w:tcBorders>
              <w:bottom w:val="single" w:sz="4" w:space="0" w:color="auto"/>
            </w:tcBorders>
            <w:vAlign w:val="bottom"/>
          </w:tcPr>
          <w:p w14:paraId="298480AA" w14:textId="77777777" w:rsidR="00C2371E" w:rsidRPr="008A24EF" w:rsidRDefault="00C2371E" w:rsidP="00990FE2">
            <w:pPr>
              <w:jc w:val="right"/>
              <w:rPr>
                <w:rFonts w:ascii="Arial" w:eastAsia="Times New Roman" w:hAnsi="Arial" w:cs="Arial"/>
                <w:color w:val="000000"/>
                <w:sz w:val="20"/>
                <w:szCs w:val="20"/>
                <w:lang w:eastAsia="en-IN" w:bidi="my-MM"/>
              </w:rPr>
            </w:pPr>
          </w:p>
        </w:tc>
      </w:tr>
      <w:tr w:rsidR="00C2371E" w:rsidRPr="008A24EF" w14:paraId="4C94BC5F" w14:textId="77777777" w:rsidTr="008D668D">
        <w:tc>
          <w:tcPr>
            <w:tcW w:w="1803" w:type="dxa"/>
            <w:tcBorders>
              <w:bottom w:val="single" w:sz="4" w:space="0" w:color="auto"/>
            </w:tcBorders>
          </w:tcPr>
          <w:p w14:paraId="112D05D0" w14:textId="77777777" w:rsidR="00C2371E" w:rsidRPr="008A24EF" w:rsidRDefault="00C2371E" w:rsidP="008D668D">
            <w:pPr>
              <w:rPr>
                <w:rFonts w:ascii="Arial" w:eastAsia="Times New Roman" w:hAnsi="Arial" w:cs="Arial"/>
                <w:b/>
                <w:bCs/>
                <w:sz w:val="20"/>
                <w:szCs w:val="20"/>
                <w:lang w:eastAsia="en-IN" w:bidi="my-MM"/>
              </w:rPr>
            </w:pPr>
            <w:r w:rsidRPr="008A24EF">
              <w:rPr>
                <w:rFonts w:ascii="Arial" w:hAnsi="Arial" w:cs="Arial"/>
                <w:b/>
                <w:bCs/>
                <w:sz w:val="20"/>
                <w:szCs w:val="20"/>
              </w:rPr>
              <w:t>Adjusted R</w:t>
            </w:r>
            <w:r w:rsidRPr="008A24EF">
              <w:rPr>
                <w:rFonts w:ascii="Arial" w:hAnsi="Arial" w:cs="Arial"/>
                <w:b/>
                <w:bCs/>
                <w:sz w:val="20"/>
                <w:szCs w:val="20"/>
                <w:vertAlign w:val="superscript"/>
              </w:rPr>
              <w:t>2</w:t>
            </w:r>
          </w:p>
        </w:tc>
        <w:tc>
          <w:tcPr>
            <w:tcW w:w="1803" w:type="dxa"/>
            <w:tcBorders>
              <w:bottom w:val="single" w:sz="4" w:space="0" w:color="auto"/>
            </w:tcBorders>
          </w:tcPr>
          <w:p w14:paraId="0744B7AF" w14:textId="77777777" w:rsidR="00C2371E" w:rsidRPr="008A24EF" w:rsidRDefault="00C2371E" w:rsidP="00990FE2">
            <w:pPr>
              <w:jc w:val="right"/>
              <w:rPr>
                <w:rFonts w:ascii="Arial" w:eastAsia="Times New Roman" w:hAnsi="Arial" w:cs="Arial"/>
                <w:color w:val="000000"/>
                <w:sz w:val="20"/>
                <w:szCs w:val="20"/>
                <w:lang w:eastAsia="en-IN" w:bidi="my-MM"/>
              </w:rPr>
            </w:pPr>
            <w:r w:rsidRPr="008A24EF">
              <w:rPr>
                <w:rFonts w:ascii="Arial" w:hAnsi="Arial" w:cs="Arial"/>
                <w:sz w:val="20"/>
                <w:szCs w:val="20"/>
              </w:rPr>
              <w:t>0.960</w:t>
            </w:r>
          </w:p>
        </w:tc>
        <w:tc>
          <w:tcPr>
            <w:tcW w:w="2064" w:type="dxa"/>
            <w:tcBorders>
              <w:bottom w:val="single" w:sz="4" w:space="0" w:color="auto"/>
            </w:tcBorders>
          </w:tcPr>
          <w:p w14:paraId="7247741C" w14:textId="77777777" w:rsidR="00C2371E" w:rsidRPr="008A24EF" w:rsidRDefault="00C2371E" w:rsidP="008D668D">
            <w:pPr>
              <w:jc w:val="center"/>
              <w:rPr>
                <w:rFonts w:ascii="Arial" w:eastAsia="Times New Roman" w:hAnsi="Arial" w:cs="Arial"/>
                <w:b/>
                <w:bCs/>
                <w:color w:val="000000"/>
                <w:sz w:val="20"/>
                <w:szCs w:val="20"/>
                <w:lang w:eastAsia="en-IN" w:bidi="my-MM"/>
              </w:rPr>
            </w:pPr>
            <w:r w:rsidRPr="008A24EF">
              <w:rPr>
                <w:rFonts w:ascii="Arial" w:hAnsi="Arial" w:cs="Arial"/>
                <w:b/>
                <w:bCs/>
                <w:sz w:val="20"/>
                <w:szCs w:val="20"/>
              </w:rPr>
              <w:t>Prob(F-statistic)</w:t>
            </w:r>
          </w:p>
        </w:tc>
        <w:tc>
          <w:tcPr>
            <w:tcW w:w="1542" w:type="dxa"/>
            <w:tcBorders>
              <w:bottom w:val="single" w:sz="4" w:space="0" w:color="auto"/>
            </w:tcBorders>
          </w:tcPr>
          <w:p w14:paraId="3A3E5793" w14:textId="77777777" w:rsidR="00C2371E" w:rsidRPr="00B17D18" w:rsidRDefault="00C2371E" w:rsidP="00990FE2">
            <w:pPr>
              <w:jc w:val="right"/>
              <w:rPr>
                <w:rFonts w:ascii="Arial" w:eastAsia="Times New Roman" w:hAnsi="Arial" w:cs="Arial"/>
                <w:i/>
                <w:iCs/>
                <w:color w:val="000000"/>
                <w:sz w:val="20"/>
                <w:szCs w:val="20"/>
                <w:lang w:eastAsia="en-IN" w:bidi="my-MM"/>
              </w:rPr>
            </w:pPr>
            <w:r w:rsidRPr="00B17D18">
              <w:rPr>
                <w:rFonts w:ascii="Arial" w:hAnsi="Arial" w:cs="Arial"/>
                <w:i/>
                <w:iCs/>
                <w:sz w:val="20"/>
                <w:szCs w:val="20"/>
              </w:rPr>
              <w:t>.00</w:t>
            </w:r>
          </w:p>
        </w:tc>
        <w:tc>
          <w:tcPr>
            <w:tcW w:w="1804" w:type="dxa"/>
            <w:tcBorders>
              <w:bottom w:val="single" w:sz="4" w:space="0" w:color="auto"/>
            </w:tcBorders>
            <w:vAlign w:val="bottom"/>
          </w:tcPr>
          <w:p w14:paraId="04B2708E" w14:textId="77777777" w:rsidR="00C2371E" w:rsidRPr="008A24EF" w:rsidRDefault="00C2371E" w:rsidP="00990FE2">
            <w:pPr>
              <w:jc w:val="right"/>
              <w:rPr>
                <w:rFonts w:ascii="Arial" w:eastAsia="Times New Roman" w:hAnsi="Arial" w:cs="Arial"/>
                <w:color w:val="000000"/>
                <w:sz w:val="20"/>
                <w:szCs w:val="20"/>
                <w:lang w:eastAsia="en-IN" w:bidi="my-MM"/>
              </w:rPr>
            </w:pPr>
          </w:p>
        </w:tc>
      </w:tr>
      <w:tr w:rsidR="00C2371E" w:rsidRPr="008A24EF" w14:paraId="2B53392E" w14:textId="77777777" w:rsidTr="008D668D">
        <w:tc>
          <w:tcPr>
            <w:tcW w:w="9016" w:type="dxa"/>
            <w:gridSpan w:val="5"/>
            <w:tcBorders>
              <w:left w:val="nil"/>
              <w:bottom w:val="nil"/>
              <w:right w:val="nil"/>
            </w:tcBorders>
            <w:vAlign w:val="center"/>
          </w:tcPr>
          <w:p w14:paraId="010B589D" w14:textId="77777777" w:rsidR="00C2371E" w:rsidRPr="008A24EF" w:rsidRDefault="00C2371E" w:rsidP="008D668D">
            <w:pPr>
              <w:rPr>
                <w:rFonts w:ascii="Arial" w:hAnsi="Arial" w:cs="Arial"/>
                <w:sz w:val="20"/>
                <w:szCs w:val="20"/>
              </w:rPr>
            </w:pPr>
            <w:r w:rsidRPr="008A24EF">
              <w:rPr>
                <w:rFonts w:ascii="Arial" w:eastAsia="Times New Roman" w:hAnsi="Arial" w:cs="Arial"/>
                <w:i/>
                <w:iCs/>
                <w:sz w:val="20"/>
                <w:szCs w:val="20"/>
                <w:lang w:eastAsia="en-IN" w:bidi="my-MM"/>
              </w:rPr>
              <w:t>Source: Authors’ Contribution based on secondary data using EViews Statistical Software</w:t>
            </w:r>
          </w:p>
        </w:tc>
      </w:tr>
    </w:tbl>
    <w:p w14:paraId="32C571C1" w14:textId="77777777" w:rsidR="00C2371E" w:rsidRPr="008A24EF" w:rsidRDefault="00C2371E" w:rsidP="00C2371E">
      <w:pPr>
        <w:jc w:val="both"/>
        <w:rPr>
          <w:rFonts w:ascii="Arial" w:hAnsi="Arial" w:cs="Arial"/>
        </w:rPr>
      </w:pPr>
      <w:r>
        <w:rPr>
          <w:rFonts w:ascii="Arial" w:hAnsi="Arial" w:cs="Arial"/>
        </w:rPr>
        <w:tab/>
        <w:t xml:space="preserve">In </w:t>
      </w:r>
      <w:r>
        <w:rPr>
          <w:rFonts w:ascii="Arial" w:hAnsi="Arial" w:cs="Arial"/>
          <w:highlight w:val="yellow"/>
        </w:rPr>
        <w:t>T</w:t>
      </w:r>
      <w:r>
        <w:rPr>
          <w:rFonts w:ascii="Arial" w:hAnsi="Arial" w:cs="Arial"/>
        </w:rPr>
        <w:t xml:space="preserve">able 5, the regression results for Model 2 show that exports have a positive and statistically significant effect on India’s GDP, while imports do not have a significant impact. The coefficient of ln_EXP (0.897) suggests that a 1% increase in exports increases GDP per capita by approximately 0.90%. Its </w:t>
      </w:r>
      <w:r>
        <w:rPr>
          <w:rFonts w:ascii="Arial" w:hAnsi="Arial" w:cs="Arial"/>
          <w:i/>
          <w:iCs/>
        </w:rPr>
        <w:t>p</w:t>
      </w:r>
      <w:r>
        <w:rPr>
          <w:rFonts w:ascii="Arial" w:hAnsi="Arial" w:cs="Arial"/>
        </w:rPr>
        <w:t>-value (.036) confirms significance at the 5% level. However, ln_IMP has a negative and statistically insignificant coefficient (</w:t>
      </w:r>
      <w:r>
        <w:rPr>
          <w:rFonts w:ascii="Arial" w:hAnsi="Arial" w:cs="Arial"/>
          <w:i/>
          <w:iCs/>
        </w:rPr>
        <w:t>p</w:t>
      </w:r>
      <w:r>
        <w:rPr>
          <w:rFonts w:ascii="Arial" w:hAnsi="Arial" w:cs="Arial"/>
        </w:rPr>
        <w:t xml:space="preserve"> = .65). The model explains 96.3% of GDP variation (R² = 0.963), and the significant F-statistic confirms overall model validity. The regression result</w:t>
      </w:r>
      <w:r>
        <w:rPr>
          <w:rFonts w:ascii="Arial" w:hAnsi="Arial" w:cs="Arial"/>
          <w:highlight w:val="yellow"/>
        </w:rPr>
        <w:t>s</w:t>
      </w:r>
      <w:r>
        <w:rPr>
          <w:rFonts w:ascii="Arial" w:hAnsi="Arial" w:cs="Arial"/>
        </w:rPr>
        <w:t xml:space="preserve"> </w:t>
      </w:r>
      <w:r>
        <w:rPr>
          <w:rFonts w:ascii="Arial" w:hAnsi="Arial" w:cs="Arial"/>
          <w:highlight w:val="yellow"/>
        </w:rPr>
        <w:t>f</w:t>
      </w:r>
      <w:r>
        <w:rPr>
          <w:rFonts w:ascii="Arial" w:hAnsi="Arial" w:cs="Arial"/>
        </w:rPr>
        <w:t>o</w:t>
      </w:r>
      <w:r>
        <w:rPr>
          <w:rFonts w:ascii="Arial" w:hAnsi="Arial" w:cs="Arial"/>
          <w:highlight w:val="yellow"/>
        </w:rPr>
        <w:t>r the</w:t>
      </w:r>
      <w:r>
        <w:rPr>
          <w:rFonts w:ascii="Arial" w:hAnsi="Arial" w:cs="Arial"/>
        </w:rPr>
        <w:t xml:space="preserve"> extended model </w:t>
      </w:r>
      <w:r>
        <w:rPr>
          <w:rFonts w:ascii="Arial" w:hAnsi="Arial" w:cs="Arial"/>
          <w:highlight w:val="yellow"/>
        </w:rPr>
        <w:t>are</w:t>
      </w:r>
      <w:r>
        <w:rPr>
          <w:rFonts w:ascii="Arial" w:hAnsi="Arial" w:cs="Arial"/>
        </w:rPr>
        <w:t xml:space="preserve"> shown in </w:t>
      </w:r>
      <w:r>
        <w:rPr>
          <w:rFonts w:ascii="Arial" w:hAnsi="Arial" w:cs="Arial"/>
          <w:highlight w:val="yellow"/>
        </w:rPr>
        <w:t>T</w:t>
      </w:r>
      <w:r>
        <w:rPr>
          <w:rFonts w:ascii="Arial" w:hAnsi="Arial" w:cs="Arial"/>
        </w:rPr>
        <w:t>able 6.</w:t>
      </w:r>
    </w:p>
    <w:p w14:paraId="5BA9C880" w14:textId="77777777" w:rsidR="00C2371E" w:rsidRPr="008A24EF" w:rsidRDefault="00C2371E" w:rsidP="00C2371E">
      <w:pPr>
        <w:jc w:val="both"/>
        <w:rPr>
          <w:rFonts w:ascii="Arial" w:hAnsi="Arial" w:cs="Arial"/>
        </w:rPr>
      </w:pPr>
    </w:p>
    <w:p w14:paraId="1B7DAE5B" w14:textId="77777777" w:rsidR="00C2371E" w:rsidRPr="00157B05" w:rsidRDefault="00157B05" w:rsidP="00C2371E">
      <w:pPr>
        <w:rPr>
          <w:rFonts w:ascii="Arial" w:hAnsi="Arial" w:cs="Arial"/>
          <w:b/>
          <w:bCs/>
          <w:u w:val="single"/>
        </w:rPr>
      </w:pPr>
      <w:r>
        <w:rPr>
          <w:rFonts w:ascii="Arial" w:hAnsi="Arial" w:cs="Arial"/>
          <w:b/>
          <w:bCs/>
          <w:u w:val="single"/>
        </w:rPr>
        <w:t>3</w:t>
      </w:r>
      <w:r w:rsidRPr="00157B05">
        <w:rPr>
          <w:rFonts w:ascii="Arial" w:hAnsi="Arial" w:cs="Arial"/>
          <w:b/>
          <w:bCs/>
          <w:u w:val="single"/>
        </w:rPr>
        <w:t xml:space="preserve">.5.3 </w:t>
      </w:r>
      <w:r w:rsidR="00C2371E" w:rsidRPr="00157B05">
        <w:rPr>
          <w:rFonts w:ascii="Arial" w:hAnsi="Arial" w:cs="Arial"/>
          <w:b/>
          <w:bCs/>
          <w:u w:val="single"/>
        </w:rPr>
        <w:t>Model 3: Extended Model (Including GCF)</w:t>
      </w:r>
    </w:p>
    <w:tbl>
      <w:tblPr>
        <w:tblStyle w:val="TableGrid"/>
        <w:tblW w:w="0" w:type="auto"/>
        <w:tblLook w:val="04A0" w:firstRow="1" w:lastRow="0" w:firstColumn="1" w:lastColumn="0" w:noHBand="0" w:noVBand="1"/>
      </w:tblPr>
      <w:tblGrid>
        <w:gridCol w:w="1803"/>
        <w:gridCol w:w="1803"/>
        <w:gridCol w:w="2064"/>
        <w:gridCol w:w="1542"/>
        <w:gridCol w:w="1804"/>
      </w:tblGrid>
      <w:tr w:rsidR="00C2371E" w:rsidRPr="008A24EF" w14:paraId="1054B605" w14:textId="77777777" w:rsidTr="008D668D">
        <w:tc>
          <w:tcPr>
            <w:tcW w:w="9016" w:type="dxa"/>
            <w:gridSpan w:val="5"/>
            <w:tcBorders>
              <w:top w:val="nil"/>
              <w:left w:val="nil"/>
              <w:right w:val="nil"/>
            </w:tcBorders>
          </w:tcPr>
          <w:p w14:paraId="3F969EBE" w14:textId="77777777" w:rsidR="00C2371E" w:rsidRPr="008A24EF" w:rsidRDefault="00C2371E" w:rsidP="008D668D">
            <w:pPr>
              <w:rPr>
                <w:rFonts w:ascii="Arial" w:hAnsi="Arial" w:cs="Arial"/>
                <w:b/>
                <w:bCs/>
                <w:sz w:val="20"/>
                <w:szCs w:val="20"/>
              </w:rPr>
            </w:pPr>
            <w:r w:rsidRPr="008A24EF">
              <w:rPr>
                <w:rFonts w:ascii="Arial" w:hAnsi="Arial" w:cs="Arial"/>
                <w:b/>
                <w:bCs/>
                <w:sz w:val="20"/>
                <w:szCs w:val="20"/>
              </w:rPr>
              <w:t>Table 6. Regression results for extended Model</w:t>
            </w:r>
          </w:p>
        </w:tc>
      </w:tr>
      <w:tr w:rsidR="00C2371E" w:rsidRPr="008A24EF" w14:paraId="7C091FF4" w14:textId="77777777" w:rsidTr="008D668D">
        <w:tc>
          <w:tcPr>
            <w:tcW w:w="1803" w:type="dxa"/>
          </w:tcPr>
          <w:p w14:paraId="1CD78CE0" w14:textId="77777777" w:rsidR="00C2371E" w:rsidRPr="008A24EF" w:rsidRDefault="00C2371E" w:rsidP="008D668D">
            <w:pPr>
              <w:rPr>
                <w:rFonts w:ascii="Arial" w:hAnsi="Arial" w:cs="Arial"/>
                <w:sz w:val="20"/>
                <w:szCs w:val="20"/>
              </w:rPr>
            </w:pPr>
          </w:p>
        </w:tc>
        <w:tc>
          <w:tcPr>
            <w:tcW w:w="1803" w:type="dxa"/>
          </w:tcPr>
          <w:p w14:paraId="1444238D" w14:textId="77777777" w:rsidR="00C2371E" w:rsidRPr="008A24EF" w:rsidRDefault="00C2371E" w:rsidP="008D668D">
            <w:pPr>
              <w:jc w:val="center"/>
              <w:rPr>
                <w:rFonts w:ascii="Arial" w:hAnsi="Arial" w:cs="Arial"/>
                <w:b/>
                <w:bCs/>
                <w:sz w:val="20"/>
                <w:szCs w:val="20"/>
              </w:rPr>
            </w:pPr>
            <w:r w:rsidRPr="008A24EF">
              <w:rPr>
                <w:rFonts w:ascii="Arial" w:hAnsi="Arial" w:cs="Arial"/>
                <w:b/>
                <w:bCs/>
                <w:sz w:val="20"/>
                <w:szCs w:val="20"/>
              </w:rPr>
              <w:t>Coefficient</w:t>
            </w:r>
          </w:p>
        </w:tc>
        <w:tc>
          <w:tcPr>
            <w:tcW w:w="2064" w:type="dxa"/>
          </w:tcPr>
          <w:p w14:paraId="15149837" w14:textId="77777777" w:rsidR="00C2371E" w:rsidRPr="008A24EF" w:rsidRDefault="00C2371E" w:rsidP="008D668D">
            <w:pPr>
              <w:jc w:val="center"/>
              <w:rPr>
                <w:rFonts w:ascii="Arial" w:hAnsi="Arial" w:cs="Arial"/>
                <w:b/>
                <w:bCs/>
                <w:sz w:val="20"/>
                <w:szCs w:val="20"/>
              </w:rPr>
            </w:pPr>
            <w:proofErr w:type="spellStart"/>
            <w:r w:rsidRPr="008A24EF">
              <w:rPr>
                <w:rFonts w:ascii="Arial" w:hAnsi="Arial" w:cs="Arial"/>
                <w:b/>
                <w:bCs/>
                <w:sz w:val="20"/>
                <w:szCs w:val="20"/>
              </w:rPr>
              <w:t>Std.Error</w:t>
            </w:r>
            <w:proofErr w:type="spellEnd"/>
          </w:p>
        </w:tc>
        <w:tc>
          <w:tcPr>
            <w:tcW w:w="1542" w:type="dxa"/>
          </w:tcPr>
          <w:p w14:paraId="52202E1A" w14:textId="77777777" w:rsidR="00C2371E" w:rsidRPr="008A24EF" w:rsidRDefault="00C2371E" w:rsidP="008D668D">
            <w:pPr>
              <w:jc w:val="center"/>
              <w:rPr>
                <w:rFonts w:ascii="Arial" w:hAnsi="Arial" w:cs="Arial"/>
                <w:b/>
                <w:bCs/>
                <w:sz w:val="20"/>
                <w:szCs w:val="20"/>
              </w:rPr>
            </w:pPr>
            <w:r w:rsidRPr="008A24EF">
              <w:rPr>
                <w:rFonts w:ascii="Arial" w:hAnsi="Arial" w:cs="Arial"/>
                <w:b/>
                <w:bCs/>
                <w:sz w:val="20"/>
                <w:szCs w:val="20"/>
              </w:rPr>
              <w:t>t-Statistic</w:t>
            </w:r>
          </w:p>
        </w:tc>
        <w:tc>
          <w:tcPr>
            <w:tcW w:w="1804" w:type="dxa"/>
          </w:tcPr>
          <w:p w14:paraId="37957729" w14:textId="77777777" w:rsidR="00C2371E" w:rsidRPr="00B17D18" w:rsidRDefault="00C2371E" w:rsidP="008D668D">
            <w:pPr>
              <w:jc w:val="center"/>
              <w:rPr>
                <w:rFonts w:ascii="Arial" w:hAnsi="Arial" w:cs="Arial"/>
                <w:b/>
                <w:bCs/>
                <w:i/>
                <w:iCs/>
                <w:sz w:val="20"/>
                <w:szCs w:val="20"/>
              </w:rPr>
            </w:pPr>
            <w:r w:rsidRPr="00B17D18">
              <w:rPr>
                <w:rFonts w:ascii="Arial" w:hAnsi="Arial" w:cs="Arial"/>
                <w:b/>
                <w:bCs/>
                <w:i/>
                <w:iCs/>
                <w:sz w:val="20"/>
                <w:szCs w:val="20"/>
              </w:rPr>
              <w:t>Prob.</w:t>
            </w:r>
          </w:p>
        </w:tc>
      </w:tr>
      <w:tr w:rsidR="00C2371E" w:rsidRPr="008A24EF" w14:paraId="3FB0C515" w14:textId="77777777" w:rsidTr="008D668D">
        <w:tc>
          <w:tcPr>
            <w:tcW w:w="1803" w:type="dxa"/>
          </w:tcPr>
          <w:p w14:paraId="051BDF76" w14:textId="77777777" w:rsidR="00C2371E" w:rsidRPr="008A24EF" w:rsidRDefault="00C2371E" w:rsidP="008D668D">
            <w:pPr>
              <w:rPr>
                <w:rFonts w:ascii="Arial" w:hAnsi="Arial" w:cs="Arial"/>
                <w:sz w:val="20"/>
                <w:szCs w:val="20"/>
              </w:rPr>
            </w:pPr>
            <w:r w:rsidRPr="008A24EF">
              <w:rPr>
                <w:rFonts w:ascii="Arial" w:eastAsia="Times New Roman" w:hAnsi="Arial" w:cs="Arial"/>
                <w:b/>
                <w:bCs/>
                <w:sz w:val="20"/>
                <w:szCs w:val="20"/>
                <w:lang w:eastAsia="en-IN" w:bidi="my-MM"/>
              </w:rPr>
              <w:t>const</w:t>
            </w:r>
          </w:p>
        </w:tc>
        <w:tc>
          <w:tcPr>
            <w:tcW w:w="1803" w:type="dxa"/>
            <w:vAlign w:val="bottom"/>
          </w:tcPr>
          <w:p w14:paraId="1958633F" w14:textId="77777777" w:rsidR="00C2371E" w:rsidRPr="008A24EF" w:rsidRDefault="00C2371E" w:rsidP="008D668D">
            <w:pPr>
              <w:jc w:val="center"/>
              <w:rPr>
                <w:rFonts w:ascii="Arial" w:hAnsi="Arial" w:cs="Arial"/>
                <w:sz w:val="20"/>
                <w:szCs w:val="20"/>
              </w:rPr>
            </w:pPr>
            <w:r w:rsidRPr="008A24EF">
              <w:rPr>
                <w:rFonts w:ascii="Arial" w:eastAsia="Times New Roman" w:hAnsi="Arial" w:cs="Arial"/>
                <w:color w:val="000000"/>
                <w:sz w:val="20"/>
                <w:szCs w:val="20"/>
                <w:lang w:eastAsia="en-IN" w:bidi="my-MM"/>
              </w:rPr>
              <w:t>0.669</w:t>
            </w:r>
          </w:p>
        </w:tc>
        <w:tc>
          <w:tcPr>
            <w:tcW w:w="2064" w:type="dxa"/>
            <w:vAlign w:val="bottom"/>
          </w:tcPr>
          <w:p w14:paraId="6EE43642" w14:textId="77777777" w:rsidR="00C2371E" w:rsidRPr="008A24EF" w:rsidRDefault="00C2371E" w:rsidP="008D668D">
            <w:pPr>
              <w:jc w:val="center"/>
              <w:rPr>
                <w:rFonts w:ascii="Arial" w:hAnsi="Arial" w:cs="Arial"/>
                <w:sz w:val="20"/>
                <w:szCs w:val="20"/>
              </w:rPr>
            </w:pPr>
            <w:r w:rsidRPr="008A24EF">
              <w:rPr>
                <w:rFonts w:ascii="Arial" w:eastAsia="Times New Roman" w:hAnsi="Arial" w:cs="Arial"/>
                <w:color w:val="000000"/>
                <w:sz w:val="20"/>
                <w:szCs w:val="20"/>
                <w:lang w:eastAsia="en-IN" w:bidi="my-MM"/>
              </w:rPr>
              <w:t>0.394</w:t>
            </w:r>
          </w:p>
        </w:tc>
        <w:tc>
          <w:tcPr>
            <w:tcW w:w="1542" w:type="dxa"/>
            <w:vAlign w:val="bottom"/>
          </w:tcPr>
          <w:p w14:paraId="44028207" w14:textId="77777777" w:rsidR="00C2371E" w:rsidRPr="008A24EF" w:rsidRDefault="00C2371E" w:rsidP="008D668D">
            <w:pPr>
              <w:jc w:val="center"/>
              <w:rPr>
                <w:rFonts w:ascii="Arial" w:hAnsi="Arial" w:cs="Arial"/>
                <w:sz w:val="20"/>
                <w:szCs w:val="20"/>
              </w:rPr>
            </w:pPr>
            <w:r w:rsidRPr="008A24EF">
              <w:rPr>
                <w:rFonts w:ascii="Arial" w:eastAsia="Times New Roman" w:hAnsi="Arial" w:cs="Arial"/>
                <w:color w:val="000000"/>
                <w:sz w:val="20"/>
                <w:szCs w:val="20"/>
                <w:lang w:eastAsia="en-IN" w:bidi="my-MM"/>
              </w:rPr>
              <w:t>1.698</w:t>
            </w:r>
          </w:p>
        </w:tc>
        <w:tc>
          <w:tcPr>
            <w:tcW w:w="1804" w:type="dxa"/>
            <w:vAlign w:val="bottom"/>
          </w:tcPr>
          <w:p w14:paraId="2F4330B8" w14:textId="77777777" w:rsidR="00C2371E" w:rsidRPr="00B17D18" w:rsidRDefault="00C2371E" w:rsidP="008D668D">
            <w:pPr>
              <w:jc w:val="center"/>
              <w:rPr>
                <w:rFonts w:ascii="Arial" w:hAnsi="Arial" w:cs="Arial"/>
                <w:i/>
                <w:iCs/>
                <w:sz w:val="20"/>
                <w:szCs w:val="20"/>
              </w:rPr>
            </w:pPr>
            <w:r w:rsidRPr="00B17D18">
              <w:rPr>
                <w:rFonts w:ascii="Arial" w:eastAsia="Times New Roman" w:hAnsi="Arial" w:cs="Arial"/>
                <w:i/>
                <w:iCs/>
                <w:color w:val="000000"/>
                <w:sz w:val="20"/>
                <w:szCs w:val="20"/>
                <w:lang w:eastAsia="en-IN" w:bidi="my-MM"/>
              </w:rPr>
              <w:t>.10</w:t>
            </w:r>
          </w:p>
        </w:tc>
      </w:tr>
      <w:tr w:rsidR="00C2371E" w:rsidRPr="008A24EF" w14:paraId="4661F529" w14:textId="77777777" w:rsidTr="008D668D">
        <w:tc>
          <w:tcPr>
            <w:tcW w:w="1803" w:type="dxa"/>
            <w:tcBorders>
              <w:bottom w:val="single" w:sz="4" w:space="0" w:color="auto"/>
            </w:tcBorders>
          </w:tcPr>
          <w:p w14:paraId="7B857FFB" w14:textId="77777777" w:rsidR="00C2371E" w:rsidRPr="008A24EF" w:rsidRDefault="00C2371E" w:rsidP="008D668D">
            <w:pPr>
              <w:rPr>
                <w:rFonts w:ascii="Arial" w:hAnsi="Arial" w:cs="Arial"/>
                <w:b/>
                <w:bCs/>
                <w:sz w:val="20"/>
                <w:szCs w:val="20"/>
              </w:rPr>
            </w:pPr>
            <w:proofErr w:type="spellStart"/>
            <w:r w:rsidRPr="008A24EF">
              <w:rPr>
                <w:rFonts w:ascii="Arial" w:eastAsia="Times New Roman" w:hAnsi="Arial" w:cs="Arial"/>
                <w:b/>
                <w:bCs/>
                <w:sz w:val="20"/>
                <w:szCs w:val="20"/>
                <w:lang w:eastAsia="en-IN" w:bidi="my-MM"/>
              </w:rPr>
              <w:t>ln_TRADE</w:t>
            </w:r>
            <w:proofErr w:type="spellEnd"/>
          </w:p>
        </w:tc>
        <w:tc>
          <w:tcPr>
            <w:tcW w:w="1803" w:type="dxa"/>
            <w:tcBorders>
              <w:bottom w:val="single" w:sz="4" w:space="0" w:color="auto"/>
            </w:tcBorders>
            <w:vAlign w:val="bottom"/>
          </w:tcPr>
          <w:p w14:paraId="4B8BB9B8" w14:textId="77777777" w:rsidR="00C2371E" w:rsidRPr="008A24EF" w:rsidRDefault="00C2371E" w:rsidP="008D668D">
            <w:pPr>
              <w:jc w:val="center"/>
              <w:rPr>
                <w:rFonts w:ascii="Arial" w:hAnsi="Arial" w:cs="Arial"/>
                <w:sz w:val="20"/>
                <w:szCs w:val="20"/>
              </w:rPr>
            </w:pPr>
            <w:r w:rsidRPr="008A24EF">
              <w:rPr>
                <w:rFonts w:ascii="Arial" w:eastAsia="Times New Roman" w:hAnsi="Arial" w:cs="Arial"/>
                <w:color w:val="000000"/>
                <w:sz w:val="20"/>
                <w:szCs w:val="20"/>
                <w:lang w:eastAsia="en-IN" w:bidi="my-MM"/>
              </w:rPr>
              <w:t>0.727</w:t>
            </w:r>
          </w:p>
        </w:tc>
        <w:tc>
          <w:tcPr>
            <w:tcW w:w="2064" w:type="dxa"/>
            <w:tcBorders>
              <w:bottom w:val="single" w:sz="4" w:space="0" w:color="auto"/>
            </w:tcBorders>
            <w:vAlign w:val="bottom"/>
          </w:tcPr>
          <w:p w14:paraId="4A60934C" w14:textId="77777777" w:rsidR="00C2371E" w:rsidRPr="008A24EF" w:rsidRDefault="00C2371E" w:rsidP="008D668D">
            <w:pPr>
              <w:jc w:val="center"/>
              <w:rPr>
                <w:rFonts w:ascii="Arial" w:hAnsi="Arial" w:cs="Arial"/>
                <w:sz w:val="20"/>
                <w:szCs w:val="20"/>
              </w:rPr>
            </w:pPr>
            <w:r w:rsidRPr="008A24EF">
              <w:rPr>
                <w:rFonts w:ascii="Arial" w:eastAsia="Times New Roman" w:hAnsi="Arial" w:cs="Arial"/>
                <w:color w:val="000000"/>
                <w:sz w:val="20"/>
                <w:szCs w:val="20"/>
                <w:lang w:eastAsia="en-IN" w:bidi="my-MM"/>
              </w:rPr>
              <w:t>0.018</w:t>
            </w:r>
          </w:p>
        </w:tc>
        <w:tc>
          <w:tcPr>
            <w:tcW w:w="1542" w:type="dxa"/>
            <w:tcBorders>
              <w:bottom w:val="single" w:sz="4" w:space="0" w:color="auto"/>
            </w:tcBorders>
            <w:vAlign w:val="bottom"/>
          </w:tcPr>
          <w:p w14:paraId="75FFA113" w14:textId="77777777" w:rsidR="00C2371E" w:rsidRPr="008A24EF" w:rsidRDefault="00C2371E" w:rsidP="008D668D">
            <w:pPr>
              <w:jc w:val="center"/>
              <w:rPr>
                <w:rFonts w:ascii="Arial" w:hAnsi="Arial" w:cs="Arial"/>
                <w:sz w:val="20"/>
                <w:szCs w:val="20"/>
              </w:rPr>
            </w:pPr>
            <w:r w:rsidRPr="008A24EF">
              <w:rPr>
                <w:rFonts w:ascii="Arial" w:eastAsia="Times New Roman" w:hAnsi="Arial" w:cs="Arial"/>
                <w:color w:val="000000"/>
                <w:sz w:val="20"/>
                <w:szCs w:val="20"/>
                <w:lang w:eastAsia="en-IN" w:bidi="my-MM"/>
              </w:rPr>
              <w:t>39.445</w:t>
            </w:r>
          </w:p>
        </w:tc>
        <w:tc>
          <w:tcPr>
            <w:tcW w:w="1804" w:type="dxa"/>
            <w:tcBorders>
              <w:bottom w:val="single" w:sz="4" w:space="0" w:color="auto"/>
            </w:tcBorders>
            <w:vAlign w:val="bottom"/>
          </w:tcPr>
          <w:p w14:paraId="6AD34744" w14:textId="77777777" w:rsidR="00C2371E" w:rsidRPr="00B17D18" w:rsidRDefault="00C2371E" w:rsidP="008D668D">
            <w:pPr>
              <w:jc w:val="center"/>
              <w:rPr>
                <w:rFonts w:ascii="Arial" w:hAnsi="Arial" w:cs="Arial"/>
                <w:i/>
                <w:iCs/>
                <w:sz w:val="20"/>
                <w:szCs w:val="20"/>
              </w:rPr>
            </w:pPr>
            <w:r w:rsidRPr="00B17D18">
              <w:rPr>
                <w:rFonts w:ascii="Arial" w:eastAsia="Times New Roman" w:hAnsi="Arial" w:cs="Arial"/>
                <w:i/>
                <w:iCs/>
                <w:color w:val="000000"/>
                <w:sz w:val="20"/>
                <w:szCs w:val="20"/>
                <w:lang w:eastAsia="en-IN" w:bidi="my-MM"/>
              </w:rPr>
              <w:t>.00</w:t>
            </w:r>
          </w:p>
        </w:tc>
      </w:tr>
      <w:tr w:rsidR="00C2371E" w:rsidRPr="008A24EF" w14:paraId="6AB3D6E8" w14:textId="77777777" w:rsidTr="008D668D">
        <w:tc>
          <w:tcPr>
            <w:tcW w:w="1803" w:type="dxa"/>
            <w:tcBorders>
              <w:bottom w:val="single" w:sz="4" w:space="0" w:color="auto"/>
            </w:tcBorders>
          </w:tcPr>
          <w:p w14:paraId="370710AB" w14:textId="77777777" w:rsidR="00C2371E" w:rsidRPr="008A24EF" w:rsidRDefault="00C2371E" w:rsidP="008D668D">
            <w:pPr>
              <w:rPr>
                <w:rFonts w:ascii="Arial" w:hAnsi="Arial" w:cs="Arial"/>
                <w:b/>
                <w:bCs/>
                <w:sz w:val="20"/>
                <w:szCs w:val="20"/>
              </w:rPr>
            </w:pPr>
            <w:proofErr w:type="spellStart"/>
            <w:r w:rsidRPr="008A24EF">
              <w:rPr>
                <w:rFonts w:ascii="Arial" w:eastAsia="Times New Roman" w:hAnsi="Arial" w:cs="Arial"/>
                <w:b/>
                <w:bCs/>
                <w:sz w:val="20"/>
                <w:szCs w:val="20"/>
                <w:lang w:eastAsia="en-IN" w:bidi="my-MM"/>
              </w:rPr>
              <w:t>ln_GCF</w:t>
            </w:r>
            <w:proofErr w:type="spellEnd"/>
          </w:p>
        </w:tc>
        <w:tc>
          <w:tcPr>
            <w:tcW w:w="1803" w:type="dxa"/>
            <w:tcBorders>
              <w:bottom w:val="single" w:sz="4" w:space="0" w:color="auto"/>
            </w:tcBorders>
            <w:vAlign w:val="bottom"/>
          </w:tcPr>
          <w:p w14:paraId="251743BE" w14:textId="77777777" w:rsidR="00C2371E" w:rsidRPr="008A24EF" w:rsidRDefault="00C2371E" w:rsidP="008D668D">
            <w:pPr>
              <w:jc w:val="center"/>
              <w:rPr>
                <w:rFonts w:ascii="Arial" w:hAnsi="Arial" w:cs="Arial"/>
                <w:sz w:val="20"/>
                <w:szCs w:val="20"/>
              </w:rPr>
            </w:pPr>
            <w:r w:rsidRPr="008A24EF">
              <w:rPr>
                <w:rFonts w:ascii="Arial" w:eastAsia="Times New Roman" w:hAnsi="Arial" w:cs="Arial"/>
                <w:color w:val="000000"/>
                <w:sz w:val="20"/>
                <w:szCs w:val="20"/>
                <w:lang w:eastAsia="en-IN" w:bidi="my-MM"/>
              </w:rPr>
              <w:t>-0.866</w:t>
            </w:r>
          </w:p>
        </w:tc>
        <w:tc>
          <w:tcPr>
            <w:tcW w:w="2064" w:type="dxa"/>
            <w:tcBorders>
              <w:bottom w:val="single" w:sz="4" w:space="0" w:color="auto"/>
            </w:tcBorders>
            <w:vAlign w:val="bottom"/>
          </w:tcPr>
          <w:p w14:paraId="088E9EC7" w14:textId="77777777" w:rsidR="00C2371E" w:rsidRPr="008A24EF" w:rsidRDefault="00C2371E" w:rsidP="008D668D">
            <w:pPr>
              <w:jc w:val="center"/>
              <w:rPr>
                <w:rFonts w:ascii="Arial" w:hAnsi="Arial" w:cs="Arial"/>
                <w:sz w:val="20"/>
                <w:szCs w:val="20"/>
              </w:rPr>
            </w:pPr>
            <w:r w:rsidRPr="008A24EF">
              <w:rPr>
                <w:rFonts w:ascii="Arial" w:eastAsia="Times New Roman" w:hAnsi="Arial" w:cs="Arial"/>
                <w:color w:val="000000"/>
                <w:sz w:val="20"/>
                <w:szCs w:val="20"/>
                <w:lang w:eastAsia="en-IN" w:bidi="my-MM"/>
              </w:rPr>
              <w:t>0.128</w:t>
            </w:r>
          </w:p>
        </w:tc>
        <w:tc>
          <w:tcPr>
            <w:tcW w:w="1542" w:type="dxa"/>
            <w:tcBorders>
              <w:bottom w:val="single" w:sz="4" w:space="0" w:color="auto"/>
            </w:tcBorders>
            <w:vAlign w:val="bottom"/>
          </w:tcPr>
          <w:p w14:paraId="626DE818" w14:textId="77777777" w:rsidR="00C2371E" w:rsidRPr="008A24EF" w:rsidRDefault="00C2371E" w:rsidP="008D668D">
            <w:pPr>
              <w:jc w:val="center"/>
              <w:rPr>
                <w:rFonts w:ascii="Arial" w:hAnsi="Arial" w:cs="Arial"/>
                <w:sz w:val="20"/>
                <w:szCs w:val="20"/>
              </w:rPr>
            </w:pPr>
            <w:r w:rsidRPr="008A24EF">
              <w:rPr>
                <w:rFonts w:ascii="Arial" w:eastAsia="Times New Roman" w:hAnsi="Arial" w:cs="Arial"/>
                <w:color w:val="000000"/>
                <w:sz w:val="20"/>
                <w:szCs w:val="20"/>
                <w:lang w:eastAsia="en-IN" w:bidi="my-MM"/>
              </w:rPr>
              <w:t>-6.780</w:t>
            </w:r>
          </w:p>
        </w:tc>
        <w:tc>
          <w:tcPr>
            <w:tcW w:w="1804" w:type="dxa"/>
            <w:tcBorders>
              <w:bottom w:val="single" w:sz="4" w:space="0" w:color="auto"/>
            </w:tcBorders>
            <w:vAlign w:val="bottom"/>
          </w:tcPr>
          <w:p w14:paraId="2D6DDC94" w14:textId="77777777" w:rsidR="00C2371E" w:rsidRPr="00B17D18" w:rsidRDefault="00C2371E" w:rsidP="008D668D">
            <w:pPr>
              <w:jc w:val="center"/>
              <w:rPr>
                <w:rFonts w:ascii="Arial" w:hAnsi="Arial" w:cs="Arial"/>
                <w:i/>
                <w:iCs/>
                <w:sz w:val="20"/>
                <w:szCs w:val="20"/>
              </w:rPr>
            </w:pPr>
            <w:r w:rsidRPr="00B17D18">
              <w:rPr>
                <w:rFonts w:ascii="Arial" w:eastAsia="Times New Roman" w:hAnsi="Arial" w:cs="Arial"/>
                <w:i/>
                <w:iCs/>
                <w:color w:val="000000"/>
                <w:sz w:val="20"/>
                <w:szCs w:val="20"/>
                <w:lang w:eastAsia="en-IN" w:bidi="my-MM"/>
              </w:rPr>
              <w:t>.00</w:t>
            </w:r>
          </w:p>
        </w:tc>
      </w:tr>
      <w:tr w:rsidR="00C2371E" w:rsidRPr="008A24EF" w14:paraId="3CCF473A" w14:textId="77777777" w:rsidTr="008D668D">
        <w:tc>
          <w:tcPr>
            <w:tcW w:w="1803" w:type="dxa"/>
            <w:tcBorders>
              <w:bottom w:val="single" w:sz="4" w:space="0" w:color="auto"/>
            </w:tcBorders>
          </w:tcPr>
          <w:p w14:paraId="10486484" w14:textId="77777777" w:rsidR="00C2371E" w:rsidRPr="008A24EF" w:rsidRDefault="00C2371E" w:rsidP="008D668D">
            <w:pPr>
              <w:rPr>
                <w:rFonts w:ascii="Arial" w:eastAsia="Times New Roman" w:hAnsi="Arial" w:cs="Arial"/>
                <w:b/>
                <w:bCs/>
                <w:sz w:val="20"/>
                <w:szCs w:val="20"/>
                <w:lang w:eastAsia="en-IN" w:bidi="my-MM"/>
              </w:rPr>
            </w:pPr>
          </w:p>
        </w:tc>
        <w:tc>
          <w:tcPr>
            <w:tcW w:w="1803" w:type="dxa"/>
            <w:tcBorders>
              <w:bottom w:val="single" w:sz="4" w:space="0" w:color="auto"/>
            </w:tcBorders>
            <w:vAlign w:val="bottom"/>
          </w:tcPr>
          <w:p w14:paraId="4444D473" w14:textId="77777777" w:rsidR="00C2371E" w:rsidRPr="008A24EF" w:rsidRDefault="00C2371E" w:rsidP="008D668D">
            <w:pPr>
              <w:jc w:val="center"/>
              <w:rPr>
                <w:rFonts w:ascii="Arial" w:eastAsia="Times New Roman" w:hAnsi="Arial" w:cs="Arial"/>
                <w:color w:val="000000"/>
                <w:sz w:val="20"/>
                <w:szCs w:val="20"/>
                <w:lang w:eastAsia="en-IN" w:bidi="my-MM"/>
              </w:rPr>
            </w:pPr>
          </w:p>
        </w:tc>
        <w:tc>
          <w:tcPr>
            <w:tcW w:w="2064" w:type="dxa"/>
            <w:tcBorders>
              <w:bottom w:val="single" w:sz="4" w:space="0" w:color="auto"/>
            </w:tcBorders>
            <w:vAlign w:val="bottom"/>
          </w:tcPr>
          <w:p w14:paraId="1F9717F8" w14:textId="77777777" w:rsidR="00C2371E" w:rsidRPr="008A24EF" w:rsidRDefault="00C2371E" w:rsidP="008D668D">
            <w:pPr>
              <w:jc w:val="center"/>
              <w:rPr>
                <w:rFonts w:ascii="Arial" w:eastAsia="Times New Roman" w:hAnsi="Arial" w:cs="Arial"/>
                <w:color w:val="000000"/>
                <w:sz w:val="20"/>
                <w:szCs w:val="20"/>
                <w:lang w:eastAsia="en-IN" w:bidi="my-MM"/>
              </w:rPr>
            </w:pPr>
          </w:p>
        </w:tc>
        <w:tc>
          <w:tcPr>
            <w:tcW w:w="1542" w:type="dxa"/>
            <w:tcBorders>
              <w:bottom w:val="single" w:sz="4" w:space="0" w:color="auto"/>
            </w:tcBorders>
            <w:vAlign w:val="bottom"/>
          </w:tcPr>
          <w:p w14:paraId="027F56EB" w14:textId="77777777" w:rsidR="00C2371E" w:rsidRPr="008A24EF" w:rsidRDefault="00C2371E" w:rsidP="008D668D">
            <w:pPr>
              <w:jc w:val="center"/>
              <w:rPr>
                <w:rFonts w:ascii="Arial" w:eastAsia="Times New Roman" w:hAnsi="Arial" w:cs="Arial"/>
                <w:color w:val="000000"/>
                <w:sz w:val="20"/>
                <w:szCs w:val="20"/>
                <w:lang w:eastAsia="en-IN" w:bidi="my-MM"/>
              </w:rPr>
            </w:pPr>
          </w:p>
        </w:tc>
        <w:tc>
          <w:tcPr>
            <w:tcW w:w="1804" w:type="dxa"/>
            <w:tcBorders>
              <w:bottom w:val="single" w:sz="4" w:space="0" w:color="auto"/>
            </w:tcBorders>
            <w:vAlign w:val="bottom"/>
          </w:tcPr>
          <w:p w14:paraId="6A363655" w14:textId="77777777" w:rsidR="00C2371E" w:rsidRPr="008A24EF" w:rsidRDefault="00C2371E" w:rsidP="008D668D">
            <w:pPr>
              <w:jc w:val="center"/>
              <w:rPr>
                <w:rFonts w:ascii="Arial" w:eastAsia="Times New Roman" w:hAnsi="Arial" w:cs="Arial"/>
                <w:color w:val="000000"/>
                <w:sz w:val="20"/>
                <w:szCs w:val="20"/>
                <w:lang w:eastAsia="en-IN" w:bidi="my-MM"/>
              </w:rPr>
            </w:pPr>
          </w:p>
        </w:tc>
      </w:tr>
      <w:tr w:rsidR="00C2371E" w:rsidRPr="008A24EF" w14:paraId="1170A0D9" w14:textId="77777777" w:rsidTr="008D668D">
        <w:tc>
          <w:tcPr>
            <w:tcW w:w="1803" w:type="dxa"/>
            <w:tcBorders>
              <w:bottom w:val="single" w:sz="4" w:space="0" w:color="auto"/>
            </w:tcBorders>
          </w:tcPr>
          <w:p w14:paraId="76EC5F92" w14:textId="77777777" w:rsidR="00C2371E" w:rsidRPr="008A24EF" w:rsidRDefault="00C2371E" w:rsidP="008D668D">
            <w:pPr>
              <w:rPr>
                <w:rFonts w:ascii="Arial" w:eastAsia="Times New Roman" w:hAnsi="Arial" w:cs="Arial"/>
                <w:b/>
                <w:bCs/>
                <w:sz w:val="20"/>
                <w:szCs w:val="20"/>
                <w:lang w:eastAsia="en-IN" w:bidi="my-MM"/>
              </w:rPr>
            </w:pPr>
            <w:r w:rsidRPr="008A24EF">
              <w:rPr>
                <w:rFonts w:ascii="Arial" w:hAnsi="Arial" w:cs="Arial"/>
                <w:b/>
                <w:bCs/>
                <w:sz w:val="20"/>
                <w:szCs w:val="20"/>
              </w:rPr>
              <w:t>R</w:t>
            </w:r>
            <w:r w:rsidRPr="008A24EF">
              <w:rPr>
                <w:rFonts w:ascii="Arial" w:hAnsi="Arial" w:cs="Arial"/>
                <w:b/>
                <w:bCs/>
                <w:sz w:val="20"/>
                <w:szCs w:val="20"/>
                <w:vertAlign w:val="superscript"/>
              </w:rPr>
              <w:t>2</w:t>
            </w:r>
          </w:p>
        </w:tc>
        <w:tc>
          <w:tcPr>
            <w:tcW w:w="1803" w:type="dxa"/>
            <w:tcBorders>
              <w:bottom w:val="single" w:sz="4" w:space="0" w:color="auto"/>
            </w:tcBorders>
          </w:tcPr>
          <w:p w14:paraId="651B6CA2" w14:textId="77777777" w:rsidR="00C2371E" w:rsidRPr="008A24EF" w:rsidRDefault="00C2371E" w:rsidP="008D668D">
            <w:pPr>
              <w:jc w:val="center"/>
              <w:rPr>
                <w:rFonts w:ascii="Arial" w:eastAsia="Times New Roman" w:hAnsi="Arial" w:cs="Arial"/>
                <w:color w:val="000000"/>
                <w:sz w:val="20"/>
                <w:szCs w:val="20"/>
                <w:lang w:eastAsia="en-IN" w:bidi="my-MM"/>
              </w:rPr>
            </w:pPr>
            <w:r w:rsidRPr="008A24EF">
              <w:rPr>
                <w:rFonts w:ascii="Arial" w:hAnsi="Arial" w:cs="Arial"/>
                <w:sz w:val="20"/>
                <w:szCs w:val="20"/>
              </w:rPr>
              <w:t>0.985</w:t>
            </w:r>
          </w:p>
        </w:tc>
        <w:tc>
          <w:tcPr>
            <w:tcW w:w="2064" w:type="dxa"/>
            <w:tcBorders>
              <w:bottom w:val="single" w:sz="4" w:space="0" w:color="auto"/>
            </w:tcBorders>
          </w:tcPr>
          <w:p w14:paraId="682361C9" w14:textId="77777777" w:rsidR="00C2371E" w:rsidRPr="008A24EF" w:rsidRDefault="00C2371E" w:rsidP="008D668D">
            <w:pPr>
              <w:jc w:val="center"/>
              <w:rPr>
                <w:rFonts w:ascii="Arial" w:eastAsia="Times New Roman" w:hAnsi="Arial" w:cs="Arial"/>
                <w:b/>
                <w:bCs/>
                <w:color w:val="000000"/>
                <w:sz w:val="20"/>
                <w:szCs w:val="20"/>
                <w:lang w:eastAsia="en-IN" w:bidi="my-MM"/>
              </w:rPr>
            </w:pPr>
            <w:r w:rsidRPr="008A24EF">
              <w:rPr>
                <w:rFonts w:ascii="Arial" w:hAnsi="Arial" w:cs="Arial"/>
                <w:b/>
                <w:bCs/>
                <w:sz w:val="20"/>
                <w:szCs w:val="20"/>
              </w:rPr>
              <w:t>F-statistic</w:t>
            </w:r>
          </w:p>
        </w:tc>
        <w:tc>
          <w:tcPr>
            <w:tcW w:w="1542" w:type="dxa"/>
            <w:tcBorders>
              <w:bottom w:val="single" w:sz="4" w:space="0" w:color="auto"/>
            </w:tcBorders>
          </w:tcPr>
          <w:p w14:paraId="306B3B2E" w14:textId="77777777" w:rsidR="00C2371E" w:rsidRPr="008A24EF" w:rsidRDefault="00C2371E" w:rsidP="008D668D">
            <w:pPr>
              <w:jc w:val="center"/>
              <w:rPr>
                <w:rFonts w:ascii="Arial" w:eastAsia="Times New Roman" w:hAnsi="Arial" w:cs="Arial"/>
                <w:color w:val="000000"/>
                <w:sz w:val="20"/>
                <w:szCs w:val="20"/>
                <w:lang w:eastAsia="en-IN" w:bidi="my-MM"/>
              </w:rPr>
            </w:pPr>
            <w:r w:rsidRPr="008A24EF">
              <w:rPr>
                <w:rFonts w:ascii="Arial" w:hAnsi="Arial" w:cs="Arial"/>
                <w:sz w:val="20"/>
                <w:szCs w:val="20"/>
              </w:rPr>
              <w:t>871.22</w:t>
            </w:r>
          </w:p>
        </w:tc>
        <w:tc>
          <w:tcPr>
            <w:tcW w:w="1804" w:type="dxa"/>
            <w:tcBorders>
              <w:bottom w:val="single" w:sz="4" w:space="0" w:color="auto"/>
            </w:tcBorders>
            <w:vAlign w:val="bottom"/>
          </w:tcPr>
          <w:p w14:paraId="1CCA216A" w14:textId="77777777" w:rsidR="00C2371E" w:rsidRPr="008A24EF" w:rsidRDefault="00C2371E" w:rsidP="008D668D">
            <w:pPr>
              <w:jc w:val="center"/>
              <w:rPr>
                <w:rFonts w:ascii="Arial" w:eastAsia="Times New Roman" w:hAnsi="Arial" w:cs="Arial"/>
                <w:color w:val="000000"/>
                <w:sz w:val="20"/>
                <w:szCs w:val="20"/>
                <w:lang w:eastAsia="en-IN" w:bidi="my-MM"/>
              </w:rPr>
            </w:pPr>
          </w:p>
        </w:tc>
      </w:tr>
      <w:tr w:rsidR="00C2371E" w:rsidRPr="008A24EF" w14:paraId="7628FF80" w14:textId="77777777" w:rsidTr="008D668D">
        <w:tc>
          <w:tcPr>
            <w:tcW w:w="1803" w:type="dxa"/>
            <w:tcBorders>
              <w:bottom w:val="single" w:sz="4" w:space="0" w:color="auto"/>
            </w:tcBorders>
          </w:tcPr>
          <w:p w14:paraId="28D7674C" w14:textId="77777777" w:rsidR="00C2371E" w:rsidRPr="008A24EF" w:rsidRDefault="00C2371E" w:rsidP="008D668D">
            <w:pPr>
              <w:rPr>
                <w:rFonts w:ascii="Arial" w:eastAsia="Times New Roman" w:hAnsi="Arial" w:cs="Arial"/>
                <w:b/>
                <w:bCs/>
                <w:sz w:val="20"/>
                <w:szCs w:val="20"/>
                <w:lang w:eastAsia="en-IN" w:bidi="my-MM"/>
              </w:rPr>
            </w:pPr>
            <w:r w:rsidRPr="008A24EF">
              <w:rPr>
                <w:rFonts w:ascii="Arial" w:hAnsi="Arial" w:cs="Arial"/>
                <w:b/>
                <w:bCs/>
                <w:sz w:val="20"/>
                <w:szCs w:val="20"/>
              </w:rPr>
              <w:t>Adjusted R</w:t>
            </w:r>
            <w:r w:rsidRPr="008A24EF">
              <w:rPr>
                <w:rFonts w:ascii="Arial" w:hAnsi="Arial" w:cs="Arial"/>
                <w:b/>
                <w:bCs/>
                <w:sz w:val="20"/>
                <w:szCs w:val="20"/>
                <w:vertAlign w:val="superscript"/>
              </w:rPr>
              <w:t>2</w:t>
            </w:r>
          </w:p>
        </w:tc>
        <w:tc>
          <w:tcPr>
            <w:tcW w:w="1803" w:type="dxa"/>
            <w:tcBorders>
              <w:bottom w:val="single" w:sz="4" w:space="0" w:color="auto"/>
            </w:tcBorders>
          </w:tcPr>
          <w:p w14:paraId="6AA28681" w14:textId="77777777" w:rsidR="00C2371E" w:rsidRPr="008A24EF" w:rsidRDefault="00C2371E" w:rsidP="008D668D">
            <w:pPr>
              <w:jc w:val="center"/>
              <w:rPr>
                <w:rFonts w:ascii="Arial" w:eastAsia="Times New Roman" w:hAnsi="Arial" w:cs="Arial"/>
                <w:color w:val="000000"/>
                <w:sz w:val="20"/>
                <w:szCs w:val="20"/>
                <w:lang w:eastAsia="en-IN" w:bidi="my-MM"/>
              </w:rPr>
            </w:pPr>
            <w:r w:rsidRPr="008A24EF">
              <w:rPr>
                <w:rFonts w:ascii="Arial" w:hAnsi="Arial" w:cs="Arial"/>
                <w:sz w:val="20"/>
                <w:szCs w:val="20"/>
              </w:rPr>
              <w:t>0.984</w:t>
            </w:r>
          </w:p>
        </w:tc>
        <w:tc>
          <w:tcPr>
            <w:tcW w:w="2064" w:type="dxa"/>
            <w:tcBorders>
              <w:bottom w:val="single" w:sz="4" w:space="0" w:color="auto"/>
            </w:tcBorders>
          </w:tcPr>
          <w:p w14:paraId="780EF008" w14:textId="77777777" w:rsidR="00C2371E" w:rsidRPr="008A24EF" w:rsidRDefault="00C2371E" w:rsidP="008D668D">
            <w:pPr>
              <w:jc w:val="center"/>
              <w:rPr>
                <w:rFonts w:ascii="Arial" w:eastAsia="Times New Roman" w:hAnsi="Arial" w:cs="Arial"/>
                <w:b/>
                <w:bCs/>
                <w:color w:val="000000"/>
                <w:sz w:val="20"/>
                <w:szCs w:val="20"/>
                <w:lang w:eastAsia="en-IN" w:bidi="my-MM"/>
              </w:rPr>
            </w:pPr>
            <w:r w:rsidRPr="008A24EF">
              <w:rPr>
                <w:rFonts w:ascii="Arial" w:hAnsi="Arial" w:cs="Arial"/>
                <w:b/>
                <w:bCs/>
                <w:sz w:val="20"/>
                <w:szCs w:val="20"/>
              </w:rPr>
              <w:t>Prob(F-statistic)</w:t>
            </w:r>
          </w:p>
        </w:tc>
        <w:tc>
          <w:tcPr>
            <w:tcW w:w="1542" w:type="dxa"/>
            <w:tcBorders>
              <w:bottom w:val="single" w:sz="4" w:space="0" w:color="auto"/>
            </w:tcBorders>
          </w:tcPr>
          <w:p w14:paraId="701B55B2" w14:textId="77777777" w:rsidR="00C2371E" w:rsidRPr="00B17D18" w:rsidRDefault="00C2371E" w:rsidP="008D668D">
            <w:pPr>
              <w:jc w:val="center"/>
              <w:rPr>
                <w:rFonts w:ascii="Arial" w:eastAsia="Times New Roman" w:hAnsi="Arial" w:cs="Arial"/>
                <w:i/>
                <w:iCs/>
                <w:color w:val="000000"/>
                <w:sz w:val="20"/>
                <w:szCs w:val="20"/>
                <w:lang w:eastAsia="en-IN" w:bidi="my-MM"/>
              </w:rPr>
            </w:pPr>
            <w:r w:rsidRPr="00B17D18">
              <w:rPr>
                <w:rFonts w:ascii="Arial" w:hAnsi="Arial" w:cs="Arial"/>
                <w:i/>
                <w:iCs/>
                <w:sz w:val="20"/>
                <w:szCs w:val="20"/>
              </w:rPr>
              <w:t>.00</w:t>
            </w:r>
          </w:p>
        </w:tc>
        <w:tc>
          <w:tcPr>
            <w:tcW w:w="1804" w:type="dxa"/>
            <w:tcBorders>
              <w:bottom w:val="single" w:sz="4" w:space="0" w:color="auto"/>
            </w:tcBorders>
            <w:vAlign w:val="bottom"/>
          </w:tcPr>
          <w:p w14:paraId="63B371FE" w14:textId="77777777" w:rsidR="00C2371E" w:rsidRPr="008A24EF" w:rsidRDefault="00C2371E" w:rsidP="008D668D">
            <w:pPr>
              <w:jc w:val="center"/>
              <w:rPr>
                <w:rFonts w:ascii="Arial" w:eastAsia="Times New Roman" w:hAnsi="Arial" w:cs="Arial"/>
                <w:color w:val="000000"/>
                <w:sz w:val="20"/>
                <w:szCs w:val="20"/>
                <w:lang w:eastAsia="en-IN" w:bidi="my-MM"/>
              </w:rPr>
            </w:pPr>
          </w:p>
        </w:tc>
      </w:tr>
      <w:tr w:rsidR="00C2371E" w:rsidRPr="008A24EF" w14:paraId="08E04F8D" w14:textId="77777777" w:rsidTr="008D668D">
        <w:tc>
          <w:tcPr>
            <w:tcW w:w="9016" w:type="dxa"/>
            <w:gridSpan w:val="5"/>
            <w:tcBorders>
              <w:left w:val="nil"/>
              <w:bottom w:val="nil"/>
              <w:right w:val="nil"/>
            </w:tcBorders>
            <w:vAlign w:val="center"/>
          </w:tcPr>
          <w:p w14:paraId="1DDED6BA" w14:textId="77777777" w:rsidR="00C2371E" w:rsidRPr="008A24EF" w:rsidRDefault="00C2371E" w:rsidP="008D668D">
            <w:pPr>
              <w:rPr>
                <w:rFonts w:ascii="Arial" w:hAnsi="Arial" w:cs="Arial"/>
                <w:sz w:val="20"/>
                <w:szCs w:val="20"/>
              </w:rPr>
            </w:pPr>
            <w:r w:rsidRPr="008A24EF">
              <w:rPr>
                <w:rFonts w:ascii="Arial" w:eastAsia="Times New Roman" w:hAnsi="Arial" w:cs="Arial"/>
                <w:i/>
                <w:iCs/>
                <w:sz w:val="20"/>
                <w:szCs w:val="20"/>
                <w:lang w:eastAsia="en-IN" w:bidi="my-MM"/>
              </w:rPr>
              <w:t>Source: Authors’ Contribution based on secondary data using EViews Statistical Software</w:t>
            </w:r>
          </w:p>
        </w:tc>
      </w:tr>
    </w:tbl>
    <w:p w14:paraId="20588D9F" w14:textId="77777777" w:rsidR="00C2371E" w:rsidRPr="008A24EF" w:rsidRDefault="00C2371E" w:rsidP="00C2371E">
      <w:pPr>
        <w:jc w:val="both"/>
        <w:rPr>
          <w:rFonts w:ascii="Arial" w:hAnsi="Arial" w:cs="Arial"/>
        </w:rPr>
      </w:pPr>
      <w:r>
        <w:rPr>
          <w:rFonts w:ascii="Arial" w:hAnsi="Arial" w:cs="Arial"/>
        </w:rPr>
        <w:tab/>
        <w:t xml:space="preserve">In </w:t>
      </w:r>
      <w:r>
        <w:rPr>
          <w:rFonts w:ascii="Arial" w:hAnsi="Arial" w:cs="Arial"/>
          <w:highlight w:val="yellow"/>
        </w:rPr>
        <w:t>T</w:t>
      </w:r>
      <w:r>
        <w:rPr>
          <w:rFonts w:ascii="Arial" w:hAnsi="Arial" w:cs="Arial"/>
        </w:rPr>
        <w:t xml:space="preserve">able 6, the extended model results indicate that total trade has a strong and statistically significant positive impact on India’s GDP. The coefficient of ln_TRADE (0.727) suggests that a 1% increase in total trade increases GDP per capita by approximately 0.73%, holding GCF constant. </w:t>
      </w:r>
      <w:r>
        <w:rPr>
          <w:rFonts w:ascii="Arial" w:hAnsi="Arial" w:cs="Arial"/>
          <w:highlight w:val="yellow"/>
        </w:rPr>
        <w:t>The coefficien</w:t>
      </w:r>
      <w:r>
        <w:rPr>
          <w:rFonts w:ascii="Arial" w:hAnsi="Arial" w:cs="Arial"/>
        </w:rPr>
        <w:t>t is highly significant (</w:t>
      </w:r>
      <w:r>
        <w:rPr>
          <w:rFonts w:ascii="Arial" w:hAnsi="Arial" w:cs="Arial"/>
          <w:i/>
          <w:iCs/>
        </w:rPr>
        <w:t>p</w:t>
      </w:r>
      <w:r>
        <w:rPr>
          <w:rFonts w:ascii="Arial" w:hAnsi="Arial" w:cs="Arial"/>
        </w:rPr>
        <w:t xml:space="preserve"> = </w:t>
      </w:r>
      <w:r>
        <w:rPr>
          <w:rFonts w:ascii="Arial" w:hAnsi="Arial" w:cs="Arial"/>
          <w:highlight w:val="yellow"/>
        </w:rPr>
        <w:t>.</w:t>
      </w:r>
      <w:r>
        <w:rPr>
          <w:rFonts w:ascii="Arial" w:hAnsi="Arial" w:cs="Arial"/>
        </w:rPr>
        <w:t>00). However, ln_GCF has a significant but negative coefficient (−0.866), indicating an inverse relationship in this specification. The model explains 98.5% of GDP variation (R² = 0.985), and the significant F-statistic confirms strong overall model reliability.</w:t>
      </w:r>
    </w:p>
    <w:p w14:paraId="003DC57D" w14:textId="77777777" w:rsidR="00C2371E" w:rsidRPr="008A24EF" w:rsidRDefault="00C2371E" w:rsidP="00C2371E">
      <w:pPr>
        <w:rPr>
          <w:rFonts w:ascii="Arial" w:hAnsi="Arial" w:cs="Arial"/>
        </w:rPr>
      </w:pPr>
    </w:p>
    <w:p w14:paraId="5CCDECC7" w14:textId="77777777" w:rsidR="00C2371E" w:rsidRPr="00157B05" w:rsidRDefault="00157B05" w:rsidP="00157B05">
      <w:pPr>
        <w:jc w:val="both"/>
        <w:rPr>
          <w:rFonts w:ascii="Arial" w:hAnsi="Arial" w:cs="Arial"/>
          <w:b/>
          <w:bCs/>
          <w:sz w:val="22"/>
          <w:szCs w:val="22"/>
        </w:rPr>
      </w:pPr>
      <w:r>
        <w:rPr>
          <w:rFonts w:ascii="Arial" w:hAnsi="Arial" w:cs="Arial"/>
          <w:b/>
          <w:caps/>
          <w:sz w:val="22"/>
          <w:szCs w:val="22"/>
        </w:rPr>
        <w:t>3</w:t>
      </w:r>
      <w:r w:rsidRPr="003A14B2">
        <w:rPr>
          <w:rFonts w:ascii="Arial" w:hAnsi="Arial" w:cs="Arial"/>
          <w:b/>
          <w:caps/>
          <w:sz w:val="22"/>
          <w:szCs w:val="22"/>
        </w:rPr>
        <w:t>.</w:t>
      </w:r>
      <w:r>
        <w:rPr>
          <w:rFonts w:ascii="Arial" w:hAnsi="Arial" w:cs="Arial"/>
          <w:b/>
          <w:caps/>
          <w:sz w:val="22"/>
          <w:szCs w:val="22"/>
        </w:rPr>
        <w:t>6</w:t>
      </w:r>
      <w:r w:rsidRPr="003A14B2">
        <w:rPr>
          <w:rFonts w:ascii="Arial" w:hAnsi="Arial" w:cs="Arial"/>
          <w:b/>
          <w:caps/>
          <w:sz w:val="22"/>
          <w:szCs w:val="22"/>
        </w:rPr>
        <w:t xml:space="preserve"> </w:t>
      </w:r>
      <w:r w:rsidR="00C2371E" w:rsidRPr="00157B05">
        <w:rPr>
          <w:rFonts w:ascii="Arial" w:hAnsi="Arial" w:cs="Arial"/>
          <w:b/>
          <w:bCs/>
          <w:sz w:val="22"/>
          <w:szCs w:val="22"/>
        </w:rPr>
        <w:t>Hypothesis Testing</w:t>
      </w:r>
    </w:p>
    <w:p w14:paraId="63017A1D" w14:textId="77777777" w:rsidR="00C2371E" w:rsidRPr="008A24EF" w:rsidRDefault="00C2371E" w:rsidP="00C2371E">
      <w:pPr>
        <w:rPr>
          <w:rFonts w:ascii="Arial" w:hAnsi="Arial" w:cs="Arial"/>
        </w:rPr>
      </w:pPr>
      <w:r w:rsidRPr="008A24EF">
        <w:rPr>
          <w:rFonts w:ascii="Arial" w:hAnsi="Arial" w:cs="Arial"/>
        </w:rPr>
        <w:t>H</w:t>
      </w:r>
      <w:r w:rsidRPr="008A24EF">
        <w:rPr>
          <w:rFonts w:ascii="Cambria Math" w:hAnsi="Cambria Math" w:cs="Cambria Math"/>
        </w:rPr>
        <w:t>₀</w:t>
      </w:r>
      <w:r w:rsidRPr="008A24EF">
        <w:rPr>
          <w:rFonts w:ascii="Arial" w:hAnsi="Arial" w:cs="Arial"/>
        </w:rPr>
        <w:t>: Trade has no significant impact on economic growth</w:t>
      </w:r>
      <w:r w:rsidRPr="008A24EF">
        <w:rPr>
          <w:rFonts w:ascii="Arial" w:hAnsi="Arial" w:cs="Arial"/>
        </w:rPr>
        <w:br/>
        <w:t>H</w:t>
      </w:r>
      <w:r w:rsidRPr="008A24EF">
        <w:rPr>
          <w:rFonts w:ascii="Cambria Math" w:hAnsi="Cambria Math" w:cs="Cambria Math"/>
        </w:rPr>
        <w:t>₁</w:t>
      </w:r>
      <w:r w:rsidRPr="008A24EF">
        <w:rPr>
          <w:rFonts w:ascii="Arial" w:hAnsi="Arial" w:cs="Arial"/>
        </w:rPr>
        <w:t>: Trade has a significant positive impact</w:t>
      </w:r>
    </w:p>
    <w:p w14:paraId="4AB6A15F" w14:textId="77777777" w:rsidR="00157B05" w:rsidRDefault="00C2371E" w:rsidP="00157B05">
      <w:pPr>
        <w:jc w:val="both"/>
        <w:rPr>
          <w:rFonts w:ascii="Arial" w:hAnsi="Arial" w:cs="Arial"/>
        </w:rPr>
      </w:pPr>
      <w:r>
        <w:rPr>
          <w:rFonts w:ascii="Arial" w:hAnsi="Arial" w:cs="Arial"/>
        </w:rPr>
        <w:t>Sinc</w:t>
      </w:r>
      <w:r>
        <w:rPr>
          <w:rFonts w:ascii="Arial" w:hAnsi="Arial" w:cs="Arial"/>
          <w:highlight w:val="yellow"/>
        </w:rPr>
        <w:t>e th</w:t>
      </w:r>
      <w:r>
        <w:rPr>
          <w:rFonts w:ascii="Arial" w:hAnsi="Arial" w:cs="Arial"/>
        </w:rPr>
        <w:t xml:space="preserve">e </w:t>
      </w:r>
      <w:r>
        <w:rPr>
          <w:rFonts w:ascii="Arial" w:hAnsi="Arial" w:cs="Arial"/>
          <w:i/>
          <w:iCs/>
        </w:rPr>
        <w:t>p</w:t>
      </w:r>
      <w:r>
        <w:rPr>
          <w:rFonts w:ascii="Arial" w:hAnsi="Arial" w:cs="Arial"/>
        </w:rPr>
        <w:t xml:space="preserve">-value for ln_TRADE </w:t>
      </w:r>
      <w:r>
        <w:rPr>
          <w:rFonts w:ascii="Arial" w:hAnsi="Arial" w:cs="Arial"/>
          <w:highlight w:val="yellow"/>
        </w:rPr>
        <w:t>is</w:t>
      </w:r>
      <w:r>
        <w:rPr>
          <w:rFonts w:ascii="Arial" w:hAnsi="Arial" w:cs="Arial"/>
        </w:rPr>
        <w:t xml:space="preserve"> .00 (&lt; .05), the null hypothesis (H</w:t>
      </w:r>
      <w:r>
        <w:rPr>
          <w:rFonts w:ascii="Arial" w:hAnsi="Arial" w:cs="Arial"/>
          <w:vertAlign w:val="subscript"/>
        </w:rPr>
        <w:t>0</w:t>
      </w:r>
      <w:r>
        <w:rPr>
          <w:rFonts w:ascii="Arial" w:hAnsi="Arial" w:cs="Arial"/>
        </w:rPr>
        <w:t xml:space="preserve">) is rejected </w:t>
      </w:r>
      <w:r>
        <w:rPr>
          <w:rFonts w:ascii="Arial" w:hAnsi="Arial" w:cs="Arial"/>
          <w:highlight w:val="yellow"/>
        </w:rPr>
        <w:t>in f</w:t>
      </w:r>
      <w:r>
        <w:rPr>
          <w:rFonts w:ascii="Arial" w:hAnsi="Arial" w:cs="Arial"/>
        </w:rPr>
        <w:t>a</w:t>
      </w:r>
      <w:r>
        <w:rPr>
          <w:rFonts w:ascii="Arial" w:hAnsi="Arial" w:cs="Arial"/>
          <w:highlight w:val="yellow"/>
        </w:rPr>
        <w:t>vour</w:t>
      </w:r>
      <w:r>
        <w:rPr>
          <w:rFonts w:ascii="Arial" w:hAnsi="Arial" w:cs="Arial"/>
        </w:rPr>
        <w:t xml:space="preserve"> </w:t>
      </w:r>
      <w:r>
        <w:rPr>
          <w:rFonts w:ascii="Arial" w:hAnsi="Arial" w:cs="Arial"/>
          <w:highlight w:val="yellow"/>
        </w:rPr>
        <w:t>of</w:t>
      </w:r>
      <w:r>
        <w:rPr>
          <w:rFonts w:ascii="Arial" w:hAnsi="Arial" w:cs="Arial"/>
        </w:rPr>
        <w:t xml:space="preserve"> the alternative hypothesis (H</w:t>
      </w:r>
      <w:r>
        <w:rPr>
          <w:rFonts w:ascii="Arial" w:hAnsi="Arial" w:cs="Arial"/>
          <w:vertAlign w:val="subscript"/>
        </w:rPr>
        <w:t>1</w:t>
      </w:r>
      <w:r>
        <w:rPr>
          <w:rFonts w:ascii="Arial" w:hAnsi="Arial" w:cs="Arial"/>
        </w:rPr>
        <w:t xml:space="preserve">). </w:t>
      </w:r>
      <w:r>
        <w:rPr>
          <w:rFonts w:ascii="Arial" w:hAnsi="Arial" w:cs="Arial"/>
          <w:highlight w:val="yellow"/>
        </w:rPr>
        <w:t>Thus</w:t>
      </w:r>
      <w:r>
        <w:rPr>
          <w:rFonts w:ascii="Arial" w:hAnsi="Arial" w:cs="Arial"/>
        </w:rPr>
        <w:t>, t</w:t>
      </w:r>
      <w:r>
        <w:rPr>
          <w:rFonts w:ascii="Arial" w:hAnsi="Arial" w:cs="Arial"/>
          <w:highlight w:val="yellow"/>
        </w:rPr>
        <w:t xml:space="preserve">he </w:t>
      </w:r>
      <w:r>
        <w:rPr>
          <w:rFonts w:ascii="Arial" w:hAnsi="Arial" w:cs="Arial"/>
        </w:rPr>
        <w:t>r</w:t>
      </w:r>
      <w:r>
        <w:rPr>
          <w:rFonts w:ascii="Arial" w:hAnsi="Arial" w:cs="Arial"/>
          <w:highlight w:val="yellow"/>
        </w:rPr>
        <w:t>egression result indic</w:t>
      </w:r>
      <w:r>
        <w:rPr>
          <w:rFonts w:ascii="Arial" w:hAnsi="Arial" w:cs="Arial"/>
        </w:rPr>
        <w:t>a</w:t>
      </w:r>
      <w:r>
        <w:rPr>
          <w:rFonts w:ascii="Arial" w:hAnsi="Arial" w:cs="Arial"/>
          <w:highlight w:val="yellow"/>
        </w:rPr>
        <w:t>t</w:t>
      </w:r>
      <w:r>
        <w:rPr>
          <w:rFonts w:ascii="Arial" w:hAnsi="Arial" w:cs="Arial"/>
        </w:rPr>
        <w:t>e</w:t>
      </w:r>
      <w:r>
        <w:rPr>
          <w:rFonts w:ascii="Arial" w:hAnsi="Arial" w:cs="Arial"/>
          <w:highlight w:val="yellow"/>
        </w:rPr>
        <w:t>s a statistically</w:t>
      </w:r>
      <w:r>
        <w:rPr>
          <w:rFonts w:ascii="Arial" w:hAnsi="Arial" w:cs="Arial"/>
        </w:rPr>
        <w:t xml:space="preserve"> significant </w:t>
      </w:r>
      <w:r>
        <w:rPr>
          <w:rFonts w:ascii="Arial" w:hAnsi="Arial" w:cs="Arial"/>
          <w:highlight w:val="yellow"/>
        </w:rPr>
        <w:t>positive asso</w:t>
      </w:r>
      <w:r>
        <w:rPr>
          <w:rFonts w:ascii="Arial" w:hAnsi="Arial" w:cs="Arial"/>
        </w:rPr>
        <w:t>c</w:t>
      </w:r>
      <w:r>
        <w:rPr>
          <w:rFonts w:ascii="Arial" w:hAnsi="Arial" w:cs="Arial"/>
          <w:highlight w:val="yellow"/>
        </w:rPr>
        <w:t>iati</w:t>
      </w:r>
      <w:r>
        <w:rPr>
          <w:rFonts w:ascii="Arial" w:hAnsi="Arial" w:cs="Arial"/>
        </w:rPr>
        <w:t>on</w:t>
      </w:r>
      <w:r>
        <w:rPr>
          <w:rFonts w:ascii="Arial" w:hAnsi="Arial" w:cs="Arial"/>
          <w:highlight w:val="yellow"/>
        </w:rPr>
        <w:t xml:space="preserve"> between </w:t>
      </w:r>
      <w:r>
        <w:rPr>
          <w:rFonts w:ascii="Arial" w:hAnsi="Arial" w:cs="Arial"/>
        </w:rPr>
        <w:t>tr</w:t>
      </w:r>
      <w:r>
        <w:rPr>
          <w:rFonts w:ascii="Arial" w:hAnsi="Arial" w:cs="Arial"/>
          <w:highlight w:val="yellow"/>
        </w:rPr>
        <w:t>ad</w:t>
      </w:r>
      <w:r>
        <w:rPr>
          <w:rFonts w:ascii="Arial" w:hAnsi="Arial" w:cs="Arial"/>
        </w:rPr>
        <w:t xml:space="preserve">e </w:t>
      </w:r>
      <w:r>
        <w:rPr>
          <w:rFonts w:ascii="Arial" w:hAnsi="Arial" w:cs="Arial"/>
          <w:highlight w:val="yellow"/>
        </w:rPr>
        <w:t>and</w:t>
      </w:r>
      <w:r>
        <w:rPr>
          <w:rFonts w:ascii="Arial" w:hAnsi="Arial" w:cs="Arial"/>
        </w:rPr>
        <w:t xml:space="preserve"> economic growth in India.</w:t>
      </w:r>
    </w:p>
    <w:p w14:paraId="5B59967F" w14:textId="77777777" w:rsidR="00157B05" w:rsidRPr="00157B05" w:rsidRDefault="00157B05" w:rsidP="00157B05">
      <w:pPr>
        <w:ind w:firstLine="720"/>
        <w:jc w:val="both"/>
        <w:rPr>
          <w:rFonts w:ascii="Arial" w:hAnsi="Arial" w:cs="Arial"/>
        </w:rPr>
      </w:pPr>
      <w:r w:rsidRPr="008A24EF">
        <w:rPr>
          <w:rFonts w:ascii="Arial" w:hAnsi="Arial" w:cs="Arial"/>
        </w:rPr>
        <w:t>The empirical results reveal a strong positive association between trade and economic growth in India. Descriptive statistics and trend analysis indicate a substantial increase in GDP per capita, exports, imports, and total trade during the study period. Correlation analysis confirms a very high positive relationship between GDP and trade variables, suggesting that trade expansion is closely linked to economic performance.</w:t>
      </w:r>
    </w:p>
    <w:p w14:paraId="16EF6FF0" w14:textId="77777777" w:rsidR="00157B05" w:rsidRPr="008A24EF" w:rsidRDefault="00157B05" w:rsidP="00157B05">
      <w:pPr>
        <w:ind w:firstLine="720"/>
        <w:jc w:val="both"/>
        <w:rPr>
          <w:rFonts w:ascii="Arial" w:hAnsi="Arial" w:cs="Arial"/>
          <w:b/>
          <w:bCs/>
        </w:rPr>
      </w:pPr>
      <w:r w:rsidRPr="008A24EF">
        <w:rPr>
          <w:rFonts w:ascii="Arial" w:hAnsi="Arial" w:cs="Arial"/>
        </w:rPr>
        <w:t>Regression results further strengthen this evidence. Model 1 shows that total trade has a significant positive impact on GDP, with a trade elasticity of 0.667. Model 2 indicates that exports significantly contribute to growth, while imports do not have a statistically significant effect. This suggests that export-led growth plays a more prominent role in India’s economic expansion. The extended model (Model 3) confirms the robustness of trade’s positive effect even after including gross capital formation. Overall, the high R² values and significant F-statistics demonstrate strong explanatory power and model validity. These findings support the trade-led growth hypothesis in the Indian context.</w:t>
      </w:r>
    </w:p>
    <w:p w14:paraId="7AA60FF1" w14:textId="77777777" w:rsidR="00E053D0" w:rsidRDefault="00E053D0" w:rsidP="00441B6F">
      <w:pPr>
        <w:pStyle w:val="Body"/>
        <w:spacing w:after="0"/>
        <w:rPr>
          <w:rFonts w:ascii="Arial" w:hAnsi="Arial" w:cs="Arial"/>
        </w:rPr>
      </w:pPr>
    </w:p>
    <w:p w14:paraId="4FBE94E0" w14:textId="77777777" w:rsidR="00157B05" w:rsidRPr="008A24EF" w:rsidRDefault="00157B05" w:rsidP="00157B05">
      <w:pPr>
        <w:pStyle w:val="ConcHead"/>
        <w:spacing w:after="0"/>
        <w:jc w:val="both"/>
        <w:rPr>
          <w:rFonts w:ascii="Arial" w:hAnsi="Arial" w:cs="Arial"/>
          <w:sz w:val="20"/>
        </w:rPr>
      </w:pPr>
      <w:r>
        <w:rPr>
          <w:rFonts w:ascii="Arial" w:hAnsi="Arial" w:cs="Arial"/>
        </w:rPr>
        <w:t>4. LIMITATIONS OF THE STUDY</w:t>
      </w:r>
    </w:p>
    <w:p w14:paraId="5D6226D2" w14:textId="77777777" w:rsidR="00157B05" w:rsidRPr="008A24EF" w:rsidRDefault="00157B05" w:rsidP="00157B05">
      <w:pPr>
        <w:tabs>
          <w:tab w:val="num" w:pos="720"/>
        </w:tabs>
        <w:ind w:firstLine="360"/>
        <w:jc w:val="both"/>
        <w:rPr>
          <w:rFonts w:ascii="Arial" w:hAnsi="Arial" w:cs="Arial"/>
        </w:rPr>
      </w:pPr>
      <w:r>
        <w:rPr>
          <w:rFonts w:ascii="Arial" w:hAnsi="Arial" w:cs="Arial"/>
        </w:rPr>
        <w:t>The study show</w:t>
      </w:r>
      <w:r>
        <w:rPr>
          <w:rFonts w:ascii="Arial" w:hAnsi="Arial" w:cs="Arial"/>
          <w:highlight w:val="yellow"/>
        </w:rPr>
        <w:t>s</w:t>
      </w:r>
      <w:r>
        <w:rPr>
          <w:rFonts w:ascii="Arial" w:hAnsi="Arial" w:cs="Arial"/>
        </w:rPr>
        <w:t xml:space="preserve"> correlation</w:t>
      </w:r>
      <w:r>
        <w:rPr>
          <w:rFonts w:ascii="Arial" w:hAnsi="Arial" w:cs="Arial"/>
          <w:highlight w:val="yellow"/>
        </w:rPr>
        <w:t>s</w:t>
      </w:r>
      <w:r>
        <w:rPr>
          <w:rFonts w:ascii="Arial" w:hAnsi="Arial" w:cs="Arial"/>
        </w:rPr>
        <w:t xml:space="preserve"> </w:t>
      </w:r>
      <w:r>
        <w:rPr>
          <w:rFonts w:ascii="Arial" w:hAnsi="Arial" w:cs="Arial"/>
          <w:highlight w:val="yellow"/>
        </w:rPr>
        <w:t>am</w:t>
      </w:r>
      <w:r>
        <w:rPr>
          <w:rFonts w:ascii="Arial" w:hAnsi="Arial" w:cs="Arial"/>
        </w:rPr>
        <w:t>o</w:t>
      </w:r>
      <w:r>
        <w:rPr>
          <w:rFonts w:ascii="Arial" w:hAnsi="Arial" w:cs="Arial"/>
          <w:highlight w:val="yellow"/>
        </w:rPr>
        <w:t>ng</w:t>
      </w:r>
      <w:r>
        <w:rPr>
          <w:rFonts w:ascii="Arial" w:hAnsi="Arial" w:cs="Arial"/>
        </w:rPr>
        <w:t xml:space="preserve"> the variable</w:t>
      </w:r>
      <w:r>
        <w:rPr>
          <w:rFonts w:ascii="Arial" w:hAnsi="Arial" w:cs="Arial"/>
          <w:highlight w:val="yellow"/>
        </w:rPr>
        <w:t>s and</w:t>
      </w:r>
      <w:r>
        <w:rPr>
          <w:rFonts w:ascii="Arial" w:hAnsi="Arial" w:cs="Arial"/>
        </w:rPr>
        <w:t xml:space="preserve"> does not establish causal</w:t>
      </w:r>
      <w:r>
        <w:rPr>
          <w:rFonts w:ascii="Arial" w:hAnsi="Arial" w:cs="Arial"/>
          <w:highlight w:val="yellow"/>
        </w:rPr>
        <w:t xml:space="preserve"> relat</w:t>
      </w:r>
      <w:r>
        <w:rPr>
          <w:rFonts w:ascii="Arial" w:hAnsi="Arial" w:cs="Arial"/>
        </w:rPr>
        <w:t>i</w:t>
      </w:r>
      <w:r>
        <w:rPr>
          <w:rFonts w:ascii="Arial" w:hAnsi="Arial" w:cs="Arial"/>
          <w:highlight w:val="yellow"/>
        </w:rPr>
        <w:t>onships</w:t>
      </w:r>
      <w:r>
        <w:rPr>
          <w:rFonts w:ascii="Arial" w:hAnsi="Arial" w:cs="Arial"/>
        </w:rPr>
        <w:t xml:space="preserve"> between the</w:t>
      </w:r>
      <w:r>
        <w:rPr>
          <w:rFonts w:ascii="Arial" w:hAnsi="Arial" w:cs="Arial"/>
          <w:highlight w:val="yellow"/>
        </w:rPr>
        <w:t>m</w:t>
      </w:r>
      <w:r>
        <w:rPr>
          <w:rFonts w:ascii="Arial" w:hAnsi="Arial" w:cs="Arial"/>
        </w:rPr>
        <w:t xml:space="preserve">. </w:t>
      </w:r>
      <w:r>
        <w:rPr>
          <w:rFonts w:ascii="Arial" w:hAnsi="Arial" w:cs="Arial"/>
          <w:highlight w:val="yellow"/>
        </w:rPr>
        <w:t>A</w:t>
      </w:r>
      <w:r>
        <w:rPr>
          <w:rFonts w:ascii="Arial" w:hAnsi="Arial" w:cs="Arial"/>
        </w:rPr>
        <w:t xml:space="preserve">ggregate data may </w:t>
      </w:r>
      <w:r>
        <w:rPr>
          <w:rFonts w:ascii="Arial" w:hAnsi="Arial" w:cs="Arial"/>
          <w:highlight w:val="yellow"/>
        </w:rPr>
        <w:t>conc</w:t>
      </w:r>
      <w:r>
        <w:rPr>
          <w:rFonts w:ascii="Arial" w:hAnsi="Arial" w:cs="Arial"/>
        </w:rPr>
        <w:t>e</w:t>
      </w:r>
      <w:r>
        <w:rPr>
          <w:rFonts w:ascii="Arial" w:hAnsi="Arial" w:cs="Arial"/>
          <w:highlight w:val="yellow"/>
        </w:rPr>
        <w:t>al</w:t>
      </w:r>
      <w:r>
        <w:rPr>
          <w:rFonts w:ascii="Arial" w:hAnsi="Arial" w:cs="Arial"/>
        </w:rPr>
        <w:t xml:space="preserve"> sectoral effects and external shocks </w:t>
      </w:r>
      <w:r>
        <w:rPr>
          <w:rFonts w:ascii="Arial" w:hAnsi="Arial" w:cs="Arial"/>
          <w:highlight w:val="yellow"/>
        </w:rPr>
        <w:t xml:space="preserve">that are </w:t>
      </w:r>
      <w:r>
        <w:rPr>
          <w:rFonts w:ascii="Arial" w:hAnsi="Arial" w:cs="Arial"/>
        </w:rPr>
        <w:t>not explicitly controlled</w:t>
      </w:r>
      <w:r>
        <w:rPr>
          <w:rFonts w:ascii="Arial" w:hAnsi="Arial" w:cs="Arial"/>
          <w:highlight w:val="yellow"/>
        </w:rPr>
        <w:t xml:space="preserve"> for</w:t>
      </w:r>
      <w:r>
        <w:rPr>
          <w:rFonts w:ascii="Arial" w:hAnsi="Arial" w:cs="Arial"/>
        </w:rPr>
        <w:t>.</w:t>
      </w:r>
    </w:p>
    <w:p w14:paraId="19783124" w14:textId="77777777" w:rsidR="00157B05" w:rsidRDefault="00157B05" w:rsidP="00157B05">
      <w:pPr>
        <w:pStyle w:val="ConcHead"/>
        <w:spacing w:after="0"/>
        <w:jc w:val="both"/>
        <w:rPr>
          <w:rFonts w:ascii="Arial" w:hAnsi="Arial" w:cs="Arial"/>
        </w:rPr>
      </w:pPr>
    </w:p>
    <w:p w14:paraId="3301E64E" w14:textId="77777777" w:rsidR="00790ADA" w:rsidRPr="00FB3A86" w:rsidRDefault="00790ADA" w:rsidP="00441B6F">
      <w:pPr>
        <w:pStyle w:val="Body"/>
        <w:spacing w:after="0"/>
        <w:rPr>
          <w:rFonts w:ascii="Arial" w:hAnsi="Arial" w:cs="Arial"/>
        </w:rPr>
      </w:pPr>
    </w:p>
    <w:p w14:paraId="6AED08F6" w14:textId="77777777" w:rsidR="00B01FCD" w:rsidRDefault="00B01FCD" w:rsidP="003F038A">
      <w:pPr>
        <w:pStyle w:val="ConcHead"/>
        <w:numPr>
          <w:ilvl w:val="0"/>
          <w:numId w:val="32"/>
        </w:numPr>
        <w:spacing w:after="0"/>
        <w:jc w:val="both"/>
        <w:rPr>
          <w:rFonts w:ascii="Arial" w:hAnsi="Arial" w:cs="Arial"/>
        </w:rPr>
      </w:pPr>
      <w:r w:rsidRPr="00FB3A86">
        <w:rPr>
          <w:rFonts w:ascii="Arial" w:hAnsi="Arial" w:cs="Arial"/>
        </w:rPr>
        <w:lastRenderedPageBreak/>
        <w:t>Conclusion</w:t>
      </w:r>
    </w:p>
    <w:p w14:paraId="227DC246" w14:textId="60C85CCA" w:rsidR="003F038A" w:rsidRPr="00CB44FA" w:rsidRDefault="00CB44FA" w:rsidP="00CB44FA">
      <w:pPr>
        <w:spacing w:before="100" w:beforeAutospacing="1" w:after="100" w:afterAutospacing="1"/>
        <w:jc w:val="both"/>
        <w:rPr>
          <w:rFonts w:ascii="Times New Roman" w:hAnsi="Times New Roman"/>
          <w:sz w:val="24"/>
          <w:szCs w:val="24"/>
          <w:lang w:eastAsia="en-GB"/>
        </w:rPr>
      </w:pPr>
      <w:r>
        <w:t>This study examined the statistical relationship between international trade and economic growth in India using annual data for 1997–2025. The descriptive and correlation results show that the expansion of exports, imports, and total trade occurred alongside growth in GDP per capita. The regression estimates also indicate a positive and statistically significant association between total trade and GDP, with a trade coefficient of 0.667 in the principal model. When exports and imports were considered separately, exports had a positive and statistically significant coefficient, whereas the coefficient for imports was not statistically significant. The extended specification continued to show a positive and statistically significant coefficient for total trade after gross capital formation was included. Taken together, these results are consistent with an important role for trade, especially exports, in India’s economic performance during the study period. However, the estimates represent statistical associations and should not be interpreted as establishing causality. Further work may examine the stability and long-run nature of the trade–growth relationship using methods suited to time-series properties.</w:t>
      </w:r>
    </w:p>
    <w:p w14:paraId="4D92C97A" w14:textId="77777777" w:rsidR="003F038A" w:rsidRDefault="003F038A" w:rsidP="003F038A">
      <w:pPr>
        <w:pStyle w:val="ConcHead"/>
        <w:spacing w:after="0"/>
        <w:ind w:left="720"/>
        <w:jc w:val="both"/>
        <w:rPr>
          <w:rFonts w:ascii="Arial" w:hAnsi="Arial" w:cs="Arial"/>
        </w:rPr>
      </w:pPr>
    </w:p>
    <w:p w14:paraId="6E67A4DC" w14:textId="20A9F646" w:rsidR="003F038A" w:rsidRDefault="003F038A" w:rsidP="003F038A">
      <w:pPr>
        <w:rPr>
          <w:rFonts w:ascii="Times New Roman" w:hAnsi="Times New Roman"/>
          <w:b/>
        </w:rPr>
      </w:pPr>
      <w:r w:rsidRPr="000839CE">
        <w:rPr>
          <w:rFonts w:ascii="Times New Roman" w:hAnsi="Times New Roman"/>
          <w:b/>
        </w:rPr>
        <w:t>Declaration of AI Use</w:t>
      </w:r>
    </w:p>
    <w:p w14:paraId="192C6CA8" w14:textId="77777777" w:rsidR="003F038A" w:rsidRDefault="003F038A" w:rsidP="003F038A">
      <w:pPr>
        <w:rPr>
          <w:rFonts w:ascii="Times New Roman" w:hAnsi="Times New Roman"/>
          <w:b/>
        </w:rPr>
      </w:pPr>
    </w:p>
    <w:p w14:paraId="58512FB0" w14:textId="77777777" w:rsidR="003F038A" w:rsidRPr="002D08AC" w:rsidRDefault="003F038A" w:rsidP="003F038A">
      <w:pPr>
        <w:rPr>
          <w:rFonts w:ascii="Arial" w:hAnsi="Arial" w:cs="Arial"/>
        </w:rPr>
      </w:pPr>
      <w:r w:rsidRPr="002D08AC">
        <w:rPr>
          <w:rFonts w:ascii="Arial"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3D9F57CB" w14:textId="77777777" w:rsidR="003F038A" w:rsidRDefault="003F038A" w:rsidP="003F038A">
      <w:pPr>
        <w:pStyle w:val="ConcHead"/>
        <w:spacing w:after="0"/>
        <w:ind w:left="720"/>
        <w:jc w:val="both"/>
        <w:rPr>
          <w:rFonts w:ascii="Arial" w:hAnsi="Arial" w:cs="Arial"/>
        </w:rPr>
      </w:pPr>
    </w:p>
    <w:p w14:paraId="24F7CCF5" w14:textId="059FCE94" w:rsidR="00790ADA" w:rsidRDefault="00CB44FA" w:rsidP="00441B6F">
      <w:pPr>
        <w:pStyle w:val="ConcHead"/>
        <w:spacing w:after="0"/>
        <w:jc w:val="both"/>
        <w:rPr>
          <w:rFonts w:ascii="Arial" w:hAnsi="Arial" w:cs="Arial"/>
        </w:rPr>
      </w:pPr>
      <w:r>
        <w:rPr>
          <w:rFonts w:ascii="Arial" w:hAnsi="Arial" w:cs="Arial"/>
        </w:rPr>
        <w:t>Limitations</w:t>
      </w:r>
    </w:p>
    <w:p w14:paraId="3915F575" w14:textId="3F22F1D4" w:rsidR="00CB44FA" w:rsidRPr="00FB3A86" w:rsidRDefault="00CB44FA" w:rsidP="00CB44FA">
      <w:pPr>
        <w:jc w:val="both"/>
        <w:rPr>
          <w:rFonts w:ascii="Arial" w:hAnsi="Arial" w:cs="Arial"/>
        </w:rPr>
      </w:pPr>
      <w:r>
        <w:t>The study is based on aggregate annual time-series data and therefore does not capture sector-specific differences in the relationship between trade and economic activity. The reported correlations and regression estimates identify statistical associations but do not establish causality. In addition, external shocks are not explicitly controlled for in the aggregate specification. These limitations should be considered when interpreting the magnitude and persistence of the estimated trade–growth relationship.</w:t>
      </w:r>
    </w:p>
    <w:p w14:paraId="517E8E0C" w14:textId="77777777" w:rsidR="00315186" w:rsidRPr="00315186" w:rsidRDefault="00315186" w:rsidP="00441B6F"/>
    <w:p w14:paraId="7F1C414A" w14:textId="77777777" w:rsidR="00860000" w:rsidRPr="00786D36" w:rsidRDefault="00860000" w:rsidP="00441B6F">
      <w:pPr>
        <w:pStyle w:val="ReferHead"/>
        <w:spacing w:after="0"/>
        <w:jc w:val="both"/>
        <w:rPr>
          <w:rFonts w:ascii="Arial" w:hAnsi="Arial" w:cs="Arial"/>
          <w:bCs/>
        </w:rPr>
      </w:pPr>
      <w:r w:rsidRPr="00786D36">
        <w:rPr>
          <w:rFonts w:ascii="Arial" w:hAnsi="Arial" w:cs="Arial"/>
          <w:bCs/>
        </w:rPr>
        <w:t>Competing interests</w:t>
      </w:r>
    </w:p>
    <w:p w14:paraId="7A01B967" w14:textId="77777777" w:rsidR="00860000" w:rsidRPr="00786D36" w:rsidRDefault="00860000" w:rsidP="00441B6F">
      <w:pPr>
        <w:pStyle w:val="ReferHead"/>
        <w:spacing w:after="0"/>
        <w:jc w:val="both"/>
        <w:rPr>
          <w:rFonts w:ascii="Arial" w:hAnsi="Arial" w:cs="Arial"/>
        </w:rPr>
      </w:pPr>
    </w:p>
    <w:p w14:paraId="2F3298A2" w14:textId="77777777" w:rsidR="00860000" w:rsidRDefault="00C47DFB" w:rsidP="00441B6F">
      <w:pPr>
        <w:pStyle w:val="ReferHead"/>
        <w:spacing w:after="0"/>
        <w:jc w:val="both"/>
        <w:rPr>
          <w:rFonts w:ascii="Arial" w:hAnsi="Arial" w:cs="Arial"/>
          <w:b w:val="0"/>
          <w:caps w:val="0"/>
          <w:sz w:val="20"/>
        </w:rPr>
      </w:pPr>
      <w:r>
        <w:rPr>
          <w:rFonts w:ascii="Arial" w:hAnsi="Arial" w:cs="Arial"/>
          <w:b w:val="0"/>
          <w:caps w:val="0"/>
          <w:sz w:val="20"/>
        </w:rPr>
        <w:t xml:space="preserve">There is no competing interest in any financial and personal relationships with other people, or </w:t>
      </w:r>
      <w:proofErr w:type="spellStart"/>
      <w:r>
        <w:rPr>
          <w:rFonts w:ascii="Arial" w:hAnsi="Arial" w:cs="Arial"/>
          <w:b w:val="0"/>
          <w:caps w:val="0"/>
          <w:sz w:val="20"/>
        </w:rPr>
        <w:t>organizatons</w:t>
      </w:r>
      <w:proofErr w:type="spellEnd"/>
      <w:r>
        <w:rPr>
          <w:rFonts w:ascii="Arial" w:hAnsi="Arial" w:cs="Arial"/>
          <w:b w:val="0"/>
          <w:caps w:val="0"/>
          <w:sz w:val="20"/>
        </w:rPr>
        <w:t>.</w:t>
      </w:r>
    </w:p>
    <w:p w14:paraId="43164E33" w14:textId="77777777" w:rsidR="00371FB6" w:rsidRDefault="00371FB6" w:rsidP="00441B6F">
      <w:pPr>
        <w:pStyle w:val="ReferHead"/>
        <w:spacing w:after="0"/>
        <w:jc w:val="both"/>
        <w:rPr>
          <w:rFonts w:ascii="Arial" w:hAnsi="Arial" w:cs="Arial"/>
          <w:b w:val="0"/>
          <w:caps w:val="0"/>
          <w:sz w:val="20"/>
        </w:rPr>
      </w:pPr>
    </w:p>
    <w:p w14:paraId="49C2E214" w14:textId="77777777" w:rsidR="001A29D8" w:rsidRDefault="001A29D8" w:rsidP="00441B6F">
      <w:pPr>
        <w:pStyle w:val="ReferHead"/>
        <w:spacing w:after="0"/>
        <w:jc w:val="both"/>
        <w:rPr>
          <w:rFonts w:ascii="Arial" w:hAnsi="Arial" w:cs="Arial"/>
          <w:b w:val="0"/>
          <w:caps w:val="0"/>
          <w:sz w:val="20"/>
        </w:rPr>
      </w:pPr>
    </w:p>
    <w:p w14:paraId="5467F427" w14:textId="77777777" w:rsidR="00860000" w:rsidRDefault="00860000" w:rsidP="00441B6F">
      <w:pPr>
        <w:pStyle w:val="ReferHead"/>
        <w:spacing w:after="0"/>
        <w:jc w:val="both"/>
        <w:rPr>
          <w:rFonts w:ascii="Arial" w:hAnsi="Arial" w:cs="Arial"/>
        </w:rPr>
      </w:pPr>
    </w:p>
    <w:p w14:paraId="330E62AC" w14:textId="77777777" w:rsidR="00B01FCD" w:rsidRDefault="00B01FCD" w:rsidP="00441B6F">
      <w:pPr>
        <w:pStyle w:val="ReferHead"/>
        <w:spacing w:after="0"/>
        <w:jc w:val="both"/>
        <w:rPr>
          <w:rFonts w:ascii="Arial" w:hAnsi="Arial" w:cs="Arial"/>
        </w:rPr>
      </w:pPr>
      <w:r w:rsidRPr="00FB3A86">
        <w:rPr>
          <w:rFonts w:ascii="Arial" w:hAnsi="Arial" w:cs="Arial"/>
        </w:rPr>
        <w:t>References</w:t>
      </w:r>
    </w:p>
    <w:p w14:paraId="49EC268B" w14:textId="77777777" w:rsidR="00FC4280" w:rsidRDefault="00FC4280" w:rsidP="00FC4280">
      <w:pPr>
        <w:pStyle w:val="Body"/>
        <w:spacing w:after="0"/>
        <w:rPr>
          <w:rFonts w:ascii="Arial" w:hAnsi="Arial" w:cs="Arial"/>
          <w:lang w:val="en-IN"/>
        </w:rPr>
      </w:pPr>
    </w:p>
    <w:p w14:paraId="5C343AAD" w14:textId="77777777" w:rsidR="008D1CC4" w:rsidRPr="008D1CC4" w:rsidRDefault="008D1CC4" w:rsidP="008D1CC4">
      <w:pPr>
        <w:spacing w:before="100" w:beforeAutospacing="1" w:after="100" w:afterAutospacing="1"/>
        <w:ind w:left="540" w:hanging="540"/>
        <w:jc w:val="both"/>
        <w:rPr>
          <w:rFonts w:ascii="Times New Roman" w:hAnsi="Times New Roman"/>
          <w:sz w:val="24"/>
          <w:szCs w:val="24"/>
        </w:rPr>
      </w:pPr>
      <w:r w:rsidRPr="008D1CC4">
        <w:rPr>
          <w:rFonts w:ascii="Times New Roman" w:hAnsi="Times New Roman"/>
          <w:sz w:val="24"/>
          <w:szCs w:val="24"/>
        </w:rPr>
        <w:t xml:space="preserve">Akhter, S., Mir, M. A., &amp; </w:t>
      </w:r>
      <w:proofErr w:type="spellStart"/>
      <w:r w:rsidRPr="008D1CC4">
        <w:rPr>
          <w:rFonts w:ascii="Times New Roman" w:hAnsi="Times New Roman"/>
          <w:sz w:val="24"/>
          <w:szCs w:val="24"/>
        </w:rPr>
        <w:t>Megits</w:t>
      </w:r>
      <w:proofErr w:type="spellEnd"/>
      <w:r w:rsidRPr="008D1CC4">
        <w:rPr>
          <w:rFonts w:ascii="Times New Roman" w:hAnsi="Times New Roman"/>
          <w:sz w:val="24"/>
          <w:szCs w:val="24"/>
        </w:rPr>
        <w:t xml:space="preserve">, N. (2022). The linkage between international trade and economic growth in Kazakhstan. </w:t>
      </w:r>
      <w:r w:rsidRPr="008D1CC4">
        <w:rPr>
          <w:rFonts w:ascii="Times New Roman" w:hAnsi="Times New Roman"/>
          <w:i/>
          <w:iCs/>
          <w:sz w:val="24"/>
          <w:szCs w:val="24"/>
        </w:rPr>
        <w:t>Journal of Eastern European and Central Asian Research (JEECAR), 9</w:t>
      </w:r>
      <w:r w:rsidRPr="008D1CC4">
        <w:rPr>
          <w:rFonts w:ascii="Times New Roman" w:hAnsi="Times New Roman"/>
          <w:sz w:val="24"/>
          <w:szCs w:val="24"/>
        </w:rPr>
        <w:t xml:space="preserve">(6), 1021–1033. </w:t>
      </w:r>
      <w:hyperlink r:id="rId16" w:history="1">
        <w:r w:rsidRPr="008D1CC4">
          <w:rPr>
            <w:rFonts w:ascii="Times New Roman" w:hAnsi="Times New Roman"/>
            <w:color w:val="0000FF"/>
            <w:sz w:val="24"/>
            <w:szCs w:val="24"/>
            <w:u w:val="single"/>
          </w:rPr>
          <w:t>https://doi.org/10.15549/jeecar.v9i6.1019</w:t>
        </w:r>
      </w:hyperlink>
    </w:p>
    <w:p w14:paraId="5ABBE37A" w14:textId="77777777" w:rsidR="008D1CC4" w:rsidRPr="008D1CC4" w:rsidRDefault="008D1CC4" w:rsidP="008D1CC4">
      <w:pPr>
        <w:spacing w:before="100" w:beforeAutospacing="1" w:after="100" w:afterAutospacing="1"/>
        <w:ind w:left="540" w:hanging="540"/>
        <w:jc w:val="both"/>
        <w:rPr>
          <w:rFonts w:ascii="Times New Roman" w:hAnsi="Times New Roman"/>
          <w:sz w:val="24"/>
          <w:szCs w:val="24"/>
        </w:rPr>
      </w:pPr>
      <w:r w:rsidRPr="008D1CC4">
        <w:rPr>
          <w:rFonts w:ascii="Times New Roman" w:hAnsi="Times New Roman"/>
          <w:sz w:val="24"/>
          <w:szCs w:val="24"/>
        </w:rPr>
        <w:t xml:space="preserve">Arya, V. V., Ayushman, &amp; Chauhan, S. (2025). Exchange rate volatility and its impact on India’s export–import trade: An empirical assessment of RBI’s interventions. </w:t>
      </w:r>
      <w:r w:rsidRPr="008D1CC4">
        <w:rPr>
          <w:rFonts w:ascii="Times New Roman" w:hAnsi="Times New Roman"/>
          <w:i/>
          <w:iCs/>
          <w:sz w:val="24"/>
          <w:szCs w:val="24"/>
        </w:rPr>
        <w:t>The Indian Economic Journal, 73</w:t>
      </w:r>
      <w:r w:rsidRPr="008D1CC4">
        <w:rPr>
          <w:rFonts w:ascii="Times New Roman" w:hAnsi="Times New Roman"/>
          <w:sz w:val="24"/>
          <w:szCs w:val="24"/>
        </w:rPr>
        <w:t xml:space="preserve">(5), 866–877. </w:t>
      </w:r>
      <w:hyperlink r:id="rId17" w:history="1">
        <w:r w:rsidRPr="008D1CC4">
          <w:rPr>
            <w:rFonts w:ascii="Times New Roman" w:hAnsi="Times New Roman"/>
            <w:color w:val="0000FF"/>
            <w:sz w:val="24"/>
            <w:szCs w:val="24"/>
            <w:u w:val="single"/>
          </w:rPr>
          <w:t>https://doi.org/10.1177/00194662251335887</w:t>
        </w:r>
      </w:hyperlink>
    </w:p>
    <w:p w14:paraId="751296FC" w14:textId="77777777" w:rsidR="008D1CC4" w:rsidRPr="008D1CC4" w:rsidRDefault="008D1CC4" w:rsidP="008D1CC4">
      <w:pPr>
        <w:spacing w:before="100" w:beforeAutospacing="1" w:after="100" w:afterAutospacing="1"/>
        <w:ind w:left="540" w:hanging="540"/>
        <w:jc w:val="both"/>
        <w:rPr>
          <w:rFonts w:ascii="Times New Roman" w:hAnsi="Times New Roman"/>
          <w:sz w:val="24"/>
          <w:szCs w:val="24"/>
        </w:rPr>
      </w:pPr>
      <w:r w:rsidRPr="008D1CC4">
        <w:rPr>
          <w:rFonts w:ascii="Times New Roman" w:hAnsi="Times New Roman"/>
          <w:sz w:val="24"/>
          <w:szCs w:val="24"/>
        </w:rPr>
        <w:t xml:space="preserve">Banik, N., &amp; Kim, M. (2024). India–ASEAN trade relations: Examining the trends and identifying the potential. </w:t>
      </w:r>
      <w:r w:rsidRPr="008D1CC4">
        <w:rPr>
          <w:rFonts w:ascii="Times New Roman" w:hAnsi="Times New Roman"/>
          <w:i/>
          <w:iCs/>
          <w:sz w:val="24"/>
          <w:szCs w:val="24"/>
        </w:rPr>
        <w:t>Global Business Review, 25</w:t>
      </w:r>
      <w:r w:rsidRPr="008D1CC4">
        <w:rPr>
          <w:rFonts w:ascii="Times New Roman" w:hAnsi="Times New Roman"/>
          <w:sz w:val="24"/>
          <w:szCs w:val="24"/>
        </w:rPr>
        <w:t xml:space="preserve">(2_suppl), S59–S77. </w:t>
      </w:r>
      <w:hyperlink r:id="rId18" w:history="1">
        <w:r w:rsidRPr="008D1CC4">
          <w:rPr>
            <w:rFonts w:ascii="Times New Roman" w:hAnsi="Times New Roman"/>
            <w:color w:val="0000FF"/>
            <w:sz w:val="24"/>
            <w:szCs w:val="24"/>
            <w:u w:val="single"/>
          </w:rPr>
          <w:t>https://doi.org/10.1177/0972150920953546</w:t>
        </w:r>
      </w:hyperlink>
    </w:p>
    <w:p w14:paraId="65372F51" w14:textId="77777777" w:rsidR="008D1CC4" w:rsidRPr="008D1CC4" w:rsidRDefault="008D1CC4" w:rsidP="008D1CC4">
      <w:pPr>
        <w:spacing w:before="100" w:beforeAutospacing="1" w:after="100" w:afterAutospacing="1"/>
        <w:ind w:left="540" w:hanging="540"/>
        <w:jc w:val="both"/>
        <w:rPr>
          <w:rFonts w:ascii="Times New Roman" w:hAnsi="Times New Roman"/>
          <w:sz w:val="24"/>
          <w:szCs w:val="24"/>
        </w:rPr>
      </w:pPr>
      <w:r w:rsidRPr="008D1CC4">
        <w:rPr>
          <w:rFonts w:ascii="Times New Roman" w:hAnsi="Times New Roman"/>
          <w:sz w:val="24"/>
          <w:szCs w:val="24"/>
        </w:rPr>
        <w:t xml:space="preserve">Bhardwaj, M., Mahapatra, S. K., Dutta, T., &amp; Bhangu, J. (2023). Growth and potential of intra-industry trade of India in agriculture among the BIMSTEC nations. </w:t>
      </w:r>
      <w:r w:rsidRPr="008D1CC4">
        <w:rPr>
          <w:rFonts w:ascii="Times New Roman" w:hAnsi="Times New Roman"/>
          <w:i/>
          <w:iCs/>
          <w:sz w:val="24"/>
          <w:szCs w:val="24"/>
        </w:rPr>
        <w:t>The Indian Economic Journal, 71</w:t>
      </w:r>
      <w:r w:rsidRPr="008D1CC4">
        <w:rPr>
          <w:rFonts w:ascii="Times New Roman" w:hAnsi="Times New Roman"/>
          <w:sz w:val="24"/>
          <w:szCs w:val="24"/>
        </w:rPr>
        <w:t xml:space="preserve">(3), 561–580. </w:t>
      </w:r>
      <w:hyperlink r:id="rId19" w:history="1">
        <w:r w:rsidRPr="008D1CC4">
          <w:rPr>
            <w:rFonts w:ascii="Times New Roman" w:hAnsi="Times New Roman"/>
            <w:color w:val="0000FF"/>
            <w:sz w:val="24"/>
            <w:szCs w:val="24"/>
            <w:u w:val="single"/>
          </w:rPr>
          <w:t>https://doi.org/10.1177/00194662231159854</w:t>
        </w:r>
      </w:hyperlink>
    </w:p>
    <w:p w14:paraId="111F1450" w14:textId="77777777" w:rsidR="008D1CC4" w:rsidRPr="008D1CC4" w:rsidRDefault="008D1CC4" w:rsidP="008D1CC4">
      <w:pPr>
        <w:spacing w:before="100" w:beforeAutospacing="1" w:after="100" w:afterAutospacing="1"/>
        <w:ind w:left="540" w:hanging="540"/>
        <w:jc w:val="both"/>
        <w:rPr>
          <w:rFonts w:ascii="Times New Roman" w:hAnsi="Times New Roman"/>
          <w:sz w:val="24"/>
          <w:szCs w:val="24"/>
        </w:rPr>
      </w:pPr>
      <w:r w:rsidRPr="008D1CC4">
        <w:rPr>
          <w:rFonts w:ascii="Times New Roman" w:hAnsi="Times New Roman"/>
          <w:sz w:val="24"/>
          <w:szCs w:val="24"/>
        </w:rPr>
        <w:lastRenderedPageBreak/>
        <w:t xml:space="preserve">Ahad Bhat, M., Jamal, A., &amp; </w:t>
      </w:r>
      <w:proofErr w:type="spellStart"/>
      <w:r w:rsidRPr="008D1CC4">
        <w:rPr>
          <w:rFonts w:ascii="Times New Roman" w:hAnsi="Times New Roman"/>
          <w:sz w:val="24"/>
          <w:szCs w:val="24"/>
        </w:rPr>
        <w:t>Nazrana</w:t>
      </w:r>
      <w:proofErr w:type="spellEnd"/>
      <w:r w:rsidRPr="008D1CC4">
        <w:rPr>
          <w:rFonts w:ascii="Times New Roman" w:hAnsi="Times New Roman"/>
          <w:sz w:val="24"/>
          <w:szCs w:val="24"/>
        </w:rPr>
        <w:t xml:space="preserve"> Beg, M. (2022). Trade integration and export aspiration: Evidence from India’s trade in goods with BRICS countries. </w:t>
      </w:r>
      <w:r w:rsidRPr="008D1CC4">
        <w:rPr>
          <w:rFonts w:ascii="Times New Roman" w:hAnsi="Times New Roman"/>
          <w:i/>
          <w:iCs/>
          <w:sz w:val="24"/>
          <w:szCs w:val="24"/>
        </w:rPr>
        <w:t>Organizations and Markets in Emerging Economies, 13</w:t>
      </w:r>
      <w:r w:rsidRPr="008D1CC4">
        <w:rPr>
          <w:rFonts w:ascii="Times New Roman" w:hAnsi="Times New Roman"/>
          <w:sz w:val="24"/>
          <w:szCs w:val="24"/>
        </w:rPr>
        <w:t xml:space="preserve">(2), 490–514. </w:t>
      </w:r>
      <w:hyperlink r:id="rId20" w:history="1">
        <w:r w:rsidRPr="008D1CC4">
          <w:rPr>
            <w:rFonts w:ascii="Times New Roman" w:hAnsi="Times New Roman"/>
            <w:color w:val="0000FF"/>
            <w:sz w:val="24"/>
            <w:szCs w:val="24"/>
            <w:u w:val="single"/>
          </w:rPr>
          <w:t>https://doi.org/10.15388/omee.2022.13.90</w:t>
        </w:r>
      </w:hyperlink>
    </w:p>
    <w:p w14:paraId="6FD0DC5C" w14:textId="77777777" w:rsidR="008D1CC4" w:rsidRPr="008D1CC4" w:rsidRDefault="008D1CC4" w:rsidP="008D1CC4">
      <w:pPr>
        <w:spacing w:before="100" w:beforeAutospacing="1" w:after="100" w:afterAutospacing="1"/>
        <w:ind w:left="540" w:hanging="540"/>
        <w:jc w:val="both"/>
        <w:rPr>
          <w:rFonts w:ascii="Times New Roman" w:hAnsi="Times New Roman"/>
          <w:sz w:val="24"/>
          <w:szCs w:val="24"/>
        </w:rPr>
      </w:pPr>
      <w:r w:rsidRPr="008D1CC4">
        <w:rPr>
          <w:rFonts w:ascii="Times New Roman" w:hAnsi="Times New Roman"/>
          <w:sz w:val="24"/>
          <w:szCs w:val="24"/>
        </w:rPr>
        <w:t xml:space="preserve">Chandran, B. P. S. (2019). India BIMSTEC economic cooperation: Potential and prospects. </w:t>
      </w:r>
      <w:r w:rsidRPr="008D1CC4">
        <w:rPr>
          <w:rFonts w:ascii="Times New Roman" w:hAnsi="Times New Roman"/>
          <w:i/>
          <w:iCs/>
          <w:sz w:val="24"/>
          <w:szCs w:val="24"/>
        </w:rPr>
        <w:t>Indian Journal of Economics and Development, 15</w:t>
      </w:r>
      <w:r w:rsidRPr="008D1CC4">
        <w:rPr>
          <w:rFonts w:ascii="Times New Roman" w:hAnsi="Times New Roman"/>
          <w:sz w:val="24"/>
          <w:szCs w:val="24"/>
        </w:rPr>
        <w:t xml:space="preserve">(4), 489–498. </w:t>
      </w:r>
      <w:hyperlink r:id="rId21" w:history="1">
        <w:r w:rsidRPr="008D1CC4">
          <w:rPr>
            <w:rFonts w:ascii="Times New Roman" w:hAnsi="Times New Roman"/>
            <w:color w:val="0000FF"/>
            <w:sz w:val="24"/>
            <w:szCs w:val="24"/>
            <w:u w:val="single"/>
          </w:rPr>
          <w:t>https://doi.org/10.5958/2322-0430.2019.00064.7</w:t>
        </w:r>
      </w:hyperlink>
    </w:p>
    <w:p w14:paraId="3AA297F4" w14:textId="77777777" w:rsidR="008D1CC4" w:rsidRPr="008D1CC4" w:rsidRDefault="008D1CC4" w:rsidP="008D1CC4">
      <w:pPr>
        <w:spacing w:before="100" w:beforeAutospacing="1" w:after="100" w:afterAutospacing="1"/>
        <w:ind w:left="540" w:hanging="540"/>
        <w:jc w:val="both"/>
        <w:rPr>
          <w:rFonts w:ascii="Times New Roman" w:hAnsi="Times New Roman"/>
          <w:sz w:val="24"/>
          <w:szCs w:val="24"/>
        </w:rPr>
      </w:pPr>
      <w:r w:rsidRPr="008D1CC4">
        <w:rPr>
          <w:rFonts w:ascii="Times New Roman" w:hAnsi="Times New Roman"/>
          <w:sz w:val="24"/>
          <w:szCs w:val="24"/>
          <w:lang w:val="nl-BE"/>
        </w:rPr>
        <w:t xml:space="preserve">Chhabra, M., Verma, A., &amp; Giri, A. K. (2025). </w:t>
      </w:r>
      <w:r w:rsidRPr="008D1CC4">
        <w:rPr>
          <w:rFonts w:ascii="Times New Roman" w:hAnsi="Times New Roman"/>
          <w:sz w:val="24"/>
          <w:szCs w:val="24"/>
        </w:rPr>
        <w:t xml:space="preserve">ICT diffusion, trade openness and growth: Empirical evidence from Asian countries. </w:t>
      </w:r>
      <w:r w:rsidRPr="008D1CC4">
        <w:rPr>
          <w:rFonts w:ascii="Times New Roman" w:hAnsi="Times New Roman"/>
          <w:i/>
          <w:iCs/>
          <w:sz w:val="24"/>
          <w:szCs w:val="24"/>
        </w:rPr>
        <w:t>The Indian Economic Journal, 73</w:t>
      </w:r>
      <w:r w:rsidRPr="008D1CC4">
        <w:rPr>
          <w:rFonts w:ascii="Times New Roman" w:hAnsi="Times New Roman"/>
          <w:sz w:val="24"/>
          <w:szCs w:val="24"/>
        </w:rPr>
        <w:t xml:space="preserve">(3), 534–547. </w:t>
      </w:r>
      <w:hyperlink r:id="rId22" w:history="1">
        <w:r w:rsidRPr="008D1CC4">
          <w:rPr>
            <w:rFonts w:ascii="Times New Roman" w:hAnsi="Times New Roman"/>
            <w:color w:val="0000FF"/>
            <w:sz w:val="24"/>
            <w:szCs w:val="24"/>
            <w:u w:val="single"/>
          </w:rPr>
          <w:t>https://doi.org/10.1177/00194662241263316</w:t>
        </w:r>
      </w:hyperlink>
    </w:p>
    <w:p w14:paraId="0AAC4017" w14:textId="77777777" w:rsidR="008D1CC4" w:rsidRPr="008D1CC4" w:rsidRDefault="008D1CC4" w:rsidP="008D1CC4">
      <w:pPr>
        <w:spacing w:before="100" w:beforeAutospacing="1" w:after="100" w:afterAutospacing="1"/>
        <w:ind w:left="540" w:hanging="540"/>
        <w:jc w:val="both"/>
        <w:rPr>
          <w:rFonts w:ascii="Times New Roman" w:hAnsi="Times New Roman"/>
          <w:sz w:val="24"/>
          <w:szCs w:val="24"/>
        </w:rPr>
      </w:pPr>
      <w:r w:rsidRPr="008D1CC4">
        <w:rPr>
          <w:rFonts w:ascii="Times New Roman" w:hAnsi="Times New Roman"/>
          <w:sz w:val="24"/>
          <w:szCs w:val="24"/>
        </w:rPr>
        <w:t xml:space="preserve">Dalei, N. N., Roy, H., &amp; Gupta, A. (2017). Crude oil import of India from its major oil trade partner countries: </w:t>
      </w:r>
      <w:proofErr w:type="gramStart"/>
      <w:r w:rsidRPr="008D1CC4">
        <w:rPr>
          <w:rFonts w:ascii="Times New Roman" w:hAnsi="Times New Roman"/>
          <w:sz w:val="24"/>
          <w:szCs w:val="24"/>
        </w:rPr>
        <w:t>An empirical evidence</w:t>
      </w:r>
      <w:proofErr w:type="gramEnd"/>
      <w:r w:rsidRPr="008D1CC4">
        <w:rPr>
          <w:rFonts w:ascii="Times New Roman" w:hAnsi="Times New Roman"/>
          <w:sz w:val="24"/>
          <w:szCs w:val="24"/>
        </w:rPr>
        <w:t xml:space="preserve"> using panel data analysis. </w:t>
      </w:r>
      <w:r w:rsidRPr="008D1CC4">
        <w:rPr>
          <w:rFonts w:ascii="Times New Roman" w:hAnsi="Times New Roman"/>
          <w:i/>
          <w:iCs/>
          <w:sz w:val="24"/>
          <w:szCs w:val="24"/>
        </w:rPr>
        <w:t>International Journal of Advanced Research and Development, 2</w:t>
      </w:r>
      <w:r w:rsidRPr="008D1CC4">
        <w:rPr>
          <w:rFonts w:ascii="Times New Roman" w:hAnsi="Times New Roman"/>
          <w:sz w:val="24"/>
          <w:szCs w:val="24"/>
        </w:rPr>
        <w:t xml:space="preserve">(6), 726–735. </w:t>
      </w:r>
      <w:hyperlink r:id="rId23" w:history="1">
        <w:r w:rsidRPr="008D1CC4">
          <w:rPr>
            <w:rFonts w:ascii="Times New Roman" w:hAnsi="Times New Roman"/>
            <w:color w:val="0000FF"/>
            <w:sz w:val="24"/>
            <w:szCs w:val="24"/>
            <w:u w:val="single"/>
          </w:rPr>
          <w:t>https://www.multireviewjournal.com/assets/archives/2017/vol2issue6/2-6-232-107.pdf</w:t>
        </w:r>
      </w:hyperlink>
    </w:p>
    <w:p w14:paraId="0D235AAC" w14:textId="58EAC1CC" w:rsidR="008D1CC4" w:rsidRPr="008D1CC4" w:rsidRDefault="008D1CC4" w:rsidP="008D1CC4">
      <w:pPr>
        <w:spacing w:before="100" w:beforeAutospacing="1" w:after="100" w:afterAutospacing="1"/>
        <w:ind w:left="540" w:hanging="540"/>
        <w:jc w:val="both"/>
        <w:rPr>
          <w:rFonts w:ascii="Times New Roman" w:hAnsi="Times New Roman"/>
          <w:sz w:val="24"/>
          <w:szCs w:val="24"/>
        </w:rPr>
      </w:pPr>
      <w:r w:rsidRPr="008D1CC4">
        <w:rPr>
          <w:rFonts w:ascii="Times New Roman" w:hAnsi="Times New Roman"/>
          <w:sz w:val="24"/>
          <w:szCs w:val="24"/>
        </w:rPr>
        <w:t xml:space="preserve">De, L. C. (2020). Export and import scenario of orchids in India. </w:t>
      </w:r>
      <w:r w:rsidRPr="008D1CC4">
        <w:rPr>
          <w:rFonts w:ascii="Times New Roman" w:hAnsi="Times New Roman"/>
          <w:i/>
          <w:iCs/>
          <w:sz w:val="24"/>
          <w:szCs w:val="24"/>
        </w:rPr>
        <w:t>Journal of Agriculture and Forest Meteorology Research, 3</w:t>
      </w:r>
      <w:r w:rsidRPr="008D1CC4">
        <w:rPr>
          <w:rFonts w:ascii="Times New Roman" w:hAnsi="Times New Roman"/>
          <w:sz w:val="24"/>
          <w:szCs w:val="24"/>
        </w:rPr>
        <w:t xml:space="preserve">(5), 402–404. </w:t>
      </w:r>
    </w:p>
    <w:p w14:paraId="205A2153" w14:textId="77777777" w:rsidR="008D1CC4" w:rsidRPr="008D1CC4" w:rsidRDefault="008D1CC4" w:rsidP="008D1CC4">
      <w:pPr>
        <w:spacing w:before="100" w:beforeAutospacing="1" w:after="100" w:afterAutospacing="1"/>
        <w:ind w:left="540" w:hanging="540"/>
        <w:jc w:val="both"/>
        <w:rPr>
          <w:rFonts w:ascii="Times New Roman" w:hAnsi="Times New Roman"/>
          <w:sz w:val="24"/>
          <w:szCs w:val="24"/>
        </w:rPr>
      </w:pPr>
      <w:r w:rsidRPr="008D1CC4">
        <w:rPr>
          <w:rFonts w:ascii="Times New Roman" w:hAnsi="Times New Roman"/>
          <w:sz w:val="24"/>
          <w:szCs w:val="24"/>
        </w:rPr>
        <w:t xml:space="preserve">Duvvuri, S. K., Rajana, B., </w:t>
      </w:r>
      <w:proofErr w:type="spellStart"/>
      <w:r w:rsidRPr="008D1CC4">
        <w:rPr>
          <w:rFonts w:ascii="Times New Roman" w:hAnsi="Times New Roman"/>
          <w:sz w:val="24"/>
          <w:szCs w:val="24"/>
        </w:rPr>
        <w:t>Chejarla</w:t>
      </w:r>
      <w:proofErr w:type="spellEnd"/>
      <w:r w:rsidRPr="008D1CC4">
        <w:rPr>
          <w:rFonts w:ascii="Times New Roman" w:hAnsi="Times New Roman"/>
          <w:sz w:val="24"/>
          <w:szCs w:val="24"/>
        </w:rPr>
        <w:t xml:space="preserve">, S. K., </w:t>
      </w:r>
      <w:proofErr w:type="spellStart"/>
      <w:r w:rsidRPr="008D1CC4">
        <w:rPr>
          <w:rFonts w:ascii="Times New Roman" w:hAnsi="Times New Roman"/>
          <w:sz w:val="24"/>
          <w:szCs w:val="24"/>
        </w:rPr>
        <w:t>Dakey</w:t>
      </w:r>
      <w:proofErr w:type="spellEnd"/>
      <w:r w:rsidRPr="008D1CC4">
        <w:rPr>
          <w:rFonts w:ascii="Times New Roman" w:hAnsi="Times New Roman"/>
          <w:sz w:val="24"/>
          <w:szCs w:val="24"/>
        </w:rPr>
        <w:t xml:space="preserve">, P. T., Rao, K. R., &amp; </w:t>
      </w:r>
      <w:proofErr w:type="spellStart"/>
      <w:r w:rsidRPr="008D1CC4">
        <w:rPr>
          <w:rFonts w:ascii="Times New Roman" w:hAnsi="Times New Roman"/>
          <w:sz w:val="24"/>
          <w:szCs w:val="24"/>
        </w:rPr>
        <w:t>Gandam</w:t>
      </w:r>
      <w:proofErr w:type="spellEnd"/>
      <w:r w:rsidRPr="008D1CC4">
        <w:rPr>
          <w:rFonts w:ascii="Times New Roman" w:hAnsi="Times New Roman"/>
          <w:sz w:val="24"/>
          <w:szCs w:val="24"/>
        </w:rPr>
        <w:t xml:space="preserve">, T. R. (2026). Evaluating the trade-growth nexus in India using hybrid econometrics and explainable machine learning. </w:t>
      </w:r>
      <w:r w:rsidRPr="008D1CC4">
        <w:rPr>
          <w:rFonts w:ascii="Times New Roman" w:hAnsi="Times New Roman"/>
          <w:i/>
          <w:iCs/>
          <w:sz w:val="24"/>
          <w:szCs w:val="24"/>
        </w:rPr>
        <w:t>Journal of Economics and Trade, 11</w:t>
      </w:r>
      <w:r w:rsidRPr="008D1CC4">
        <w:rPr>
          <w:rFonts w:ascii="Times New Roman" w:hAnsi="Times New Roman"/>
          <w:sz w:val="24"/>
          <w:szCs w:val="24"/>
        </w:rPr>
        <w:t xml:space="preserve">(1), 454–476. </w:t>
      </w:r>
      <w:hyperlink r:id="rId24" w:history="1">
        <w:r w:rsidRPr="008D1CC4">
          <w:rPr>
            <w:rFonts w:ascii="Times New Roman" w:hAnsi="Times New Roman"/>
            <w:color w:val="0000FF"/>
            <w:sz w:val="24"/>
            <w:szCs w:val="24"/>
            <w:u w:val="single"/>
          </w:rPr>
          <w:t>https://doi.org/10.56557/jet/2026/v11i110569</w:t>
        </w:r>
      </w:hyperlink>
    </w:p>
    <w:p w14:paraId="3CBD2067" w14:textId="77777777" w:rsidR="008D1CC4" w:rsidRPr="008D1CC4" w:rsidRDefault="008D1CC4" w:rsidP="008D1CC4">
      <w:pPr>
        <w:spacing w:before="100" w:beforeAutospacing="1" w:after="100" w:afterAutospacing="1"/>
        <w:ind w:left="540" w:hanging="540"/>
        <w:jc w:val="both"/>
        <w:rPr>
          <w:rFonts w:ascii="Times New Roman" w:hAnsi="Times New Roman"/>
          <w:sz w:val="24"/>
          <w:szCs w:val="24"/>
        </w:rPr>
      </w:pPr>
      <w:r w:rsidRPr="008D1CC4">
        <w:rPr>
          <w:rFonts w:ascii="Times New Roman" w:hAnsi="Times New Roman"/>
          <w:sz w:val="24"/>
          <w:szCs w:val="24"/>
        </w:rPr>
        <w:t xml:space="preserve">Fan, H., Hossain, M. I., Islam, M. A., &amp; Yahia, Y. E. (2019). The impact of trade, technology and growth on the environmental deterioration of China and India. </w:t>
      </w:r>
      <w:r w:rsidRPr="008D1CC4">
        <w:rPr>
          <w:rFonts w:ascii="Times New Roman" w:hAnsi="Times New Roman"/>
          <w:i/>
          <w:iCs/>
          <w:sz w:val="24"/>
          <w:szCs w:val="24"/>
        </w:rPr>
        <w:t>Asian Economic and Financial Review, 9</w:t>
      </w:r>
      <w:r w:rsidRPr="008D1CC4">
        <w:rPr>
          <w:rFonts w:ascii="Times New Roman" w:hAnsi="Times New Roman"/>
          <w:sz w:val="24"/>
          <w:szCs w:val="24"/>
        </w:rPr>
        <w:t xml:space="preserve">(1), 1–29. </w:t>
      </w:r>
      <w:hyperlink r:id="rId25" w:history="1">
        <w:r w:rsidRPr="008D1CC4">
          <w:rPr>
            <w:rFonts w:ascii="Times New Roman" w:hAnsi="Times New Roman"/>
            <w:color w:val="0000FF"/>
            <w:sz w:val="24"/>
            <w:szCs w:val="24"/>
            <w:u w:val="single"/>
          </w:rPr>
          <w:t>https://doi.org/10.18488/journal.aefr.2019.91.1.29</w:t>
        </w:r>
      </w:hyperlink>
    </w:p>
    <w:p w14:paraId="3E90F28C" w14:textId="77777777" w:rsidR="008D1CC4" w:rsidRPr="008D1CC4" w:rsidRDefault="008D1CC4" w:rsidP="008D1CC4">
      <w:pPr>
        <w:spacing w:before="100" w:beforeAutospacing="1" w:after="100" w:afterAutospacing="1"/>
        <w:ind w:left="540" w:hanging="540"/>
        <w:jc w:val="both"/>
        <w:rPr>
          <w:rFonts w:ascii="Times New Roman" w:hAnsi="Times New Roman"/>
          <w:sz w:val="24"/>
          <w:szCs w:val="24"/>
        </w:rPr>
      </w:pPr>
      <w:r w:rsidRPr="008D1CC4">
        <w:rPr>
          <w:rFonts w:ascii="Times New Roman" w:hAnsi="Times New Roman"/>
          <w:sz w:val="24"/>
          <w:szCs w:val="24"/>
        </w:rPr>
        <w:t xml:space="preserve">Ganesh-Kumar, A., &amp; Chatterjee, T. (2016). Mega external preferential trade agreements and their impacts on Indian economy. </w:t>
      </w:r>
      <w:r w:rsidRPr="008D1CC4">
        <w:rPr>
          <w:rFonts w:ascii="Times New Roman" w:hAnsi="Times New Roman"/>
          <w:i/>
          <w:iCs/>
          <w:sz w:val="24"/>
          <w:szCs w:val="24"/>
        </w:rPr>
        <w:t>Foreign Trade Review, 51</w:t>
      </w:r>
      <w:r w:rsidRPr="008D1CC4">
        <w:rPr>
          <w:rFonts w:ascii="Times New Roman" w:hAnsi="Times New Roman"/>
          <w:sz w:val="24"/>
          <w:szCs w:val="24"/>
        </w:rPr>
        <w:t xml:space="preserve">(1), 46–80. </w:t>
      </w:r>
      <w:hyperlink r:id="rId26" w:history="1">
        <w:r w:rsidRPr="008D1CC4">
          <w:rPr>
            <w:rFonts w:ascii="Times New Roman" w:hAnsi="Times New Roman"/>
            <w:color w:val="0000FF"/>
            <w:sz w:val="24"/>
            <w:szCs w:val="24"/>
            <w:u w:val="single"/>
          </w:rPr>
          <w:t>https://doi.org/10.1177/0015732515616545</w:t>
        </w:r>
      </w:hyperlink>
    </w:p>
    <w:p w14:paraId="59B5CA9C" w14:textId="77777777" w:rsidR="008D1CC4" w:rsidRPr="008D1CC4" w:rsidRDefault="008D1CC4" w:rsidP="008D1CC4">
      <w:pPr>
        <w:spacing w:before="100" w:beforeAutospacing="1" w:after="100" w:afterAutospacing="1"/>
        <w:ind w:left="540" w:hanging="540"/>
        <w:jc w:val="both"/>
        <w:rPr>
          <w:rFonts w:ascii="Times New Roman" w:hAnsi="Times New Roman"/>
          <w:sz w:val="24"/>
          <w:szCs w:val="24"/>
        </w:rPr>
      </w:pPr>
      <w:r w:rsidRPr="008D1CC4">
        <w:rPr>
          <w:rFonts w:ascii="Times New Roman" w:hAnsi="Times New Roman"/>
          <w:sz w:val="24"/>
          <w:szCs w:val="24"/>
        </w:rPr>
        <w:t xml:space="preserve">Gawas, A., &amp; Chandran, B. P. S. (2026). Trade openness, economic growth and carbon emissions in India: Evidence from ARDL models with structural breaks. </w:t>
      </w:r>
      <w:r w:rsidRPr="008D1CC4">
        <w:rPr>
          <w:rFonts w:ascii="Times New Roman" w:hAnsi="Times New Roman"/>
          <w:i/>
          <w:iCs/>
          <w:sz w:val="24"/>
          <w:szCs w:val="24"/>
        </w:rPr>
        <w:t>Millennial Asia</w:t>
      </w:r>
      <w:r w:rsidRPr="008D1CC4">
        <w:rPr>
          <w:rFonts w:ascii="Times New Roman" w:hAnsi="Times New Roman"/>
          <w:sz w:val="24"/>
          <w:szCs w:val="24"/>
        </w:rPr>
        <w:t xml:space="preserve">. Advance online publication. </w:t>
      </w:r>
      <w:hyperlink r:id="rId27" w:history="1">
        <w:r w:rsidRPr="008D1CC4">
          <w:rPr>
            <w:rFonts w:ascii="Times New Roman" w:hAnsi="Times New Roman"/>
            <w:color w:val="0000FF"/>
            <w:sz w:val="24"/>
            <w:szCs w:val="24"/>
            <w:u w:val="single"/>
          </w:rPr>
          <w:t>https://doi.org/10.1177/09763996261472966</w:t>
        </w:r>
      </w:hyperlink>
    </w:p>
    <w:p w14:paraId="2E2AB623" w14:textId="411994A3" w:rsidR="008D1CC4" w:rsidRPr="008D1CC4" w:rsidRDefault="008D1CC4" w:rsidP="008D1CC4">
      <w:pPr>
        <w:spacing w:before="100" w:beforeAutospacing="1" w:after="100" w:afterAutospacing="1"/>
        <w:ind w:left="540" w:hanging="540"/>
        <w:jc w:val="both"/>
        <w:rPr>
          <w:rFonts w:ascii="Times New Roman" w:hAnsi="Times New Roman"/>
          <w:sz w:val="24"/>
          <w:szCs w:val="24"/>
        </w:rPr>
      </w:pPr>
      <w:r w:rsidRPr="008D1CC4">
        <w:rPr>
          <w:rFonts w:ascii="Times New Roman" w:hAnsi="Times New Roman"/>
          <w:sz w:val="24"/>
          <w:szCs w:val="24"/>
        </w:rPr>
        <w:t xml:space="preserve">Htun, N. M., &amp; </w:t>
      </w:r>
      <w:proofErr w:type="spellStart"/>
      <w:r w:rsidRPr="008D1CC4">
        <w:rPr>
          <w:rFonts w:ascii="Times New Roman" w:hAnsi="Times New Roman"/>
          <w:sz w:val="24"/>
          <w:szCs w:val="24"/>
        </w:rPr>
        <w:t>Vishwanatha</w:t>
      </w:r>
      <w:proofErr w:type="spellEnd"/>
      <w:r w:rsidRPr="008D1CC4">
        <w:rPr>
          <w:rFonts w:ascii="Times New Roman" w:hAnsi="Times New Roman"/>
          <w:sz w:val="24"/>
          <w:szCs w:val="24"/>
        </w:rPr>
        <w:t xml:space="preserve">. (2025). Exploring India’s trade pattern with BIMSTEC countries: A gravity model analysis. </w:t>
      </w:r>
      <w:r w:rsidRPr="008D1CC4">
        <w:rPr>
          <w:rFonts w:ascii="Times New Roman" w:hAnsi="Times New Roman"/>
          <w:i/>
          <w:iCs/>
          <w:sz w:val="24"/>
          <w:szCs w:val="24"/>
        </w:rPr>
        <w:t>International Journal of Social Science &amp; Management Studies, 11</w:t>
      </w:r>
      <w:r w:rsidRPr="008D1CC4">
        <w:rPr>
          <w:rFonts w:ascii="Times New Roman" w:hAnsi="Times New Roman"/>
          <w:sz w:val="24"/>
          <w:szCs w:val="24"/>
        </w:rPr>
        <w:t xml:space="preserve">(6), 22–28. </w:t>
      </w:r>
    </w:p>
    <w:p w14:paraId="379A3308" w14:textId="77777777" w:rsidR="008D1CC4" w:rsidRPr="008D1CC4" w:rsidRDefault="008D1CC4" w:rsidP="008D1CC4">
      <w:pPr>
        <w:spacing w:before="100" w:beforeAutospacing="1" w:after="100" w:afterAutospacing="1"/>
        <w:ind w:left="540" w:hanging="540"/>
        <w:jc w:val="both"/>
        <w:rPr>
          <w:rFonts w:ascii="Times New Roman" w:hAnsi="Times New Roman"/>
          <w:sz w:val="24"/>
          <w:szCs w:val="24"/>
        </w:rPr>
      </w:pPr>
      <w:r w:rsidRPr="008D1CC4">
        <w:rPr>
          <w:rFonts w:ascii="Times New Roman" w:hAnsi="Times New Roman"/>
          <w:sz w:val="24"/>
          <w:szCs w:val="24"/>
          <w:lang w:val="nl-BE"/>
        </w:rPr>
        <w:t xml:space="preserve">Huilan, W., Akadiri, S. S., Haouas, I., Awosusi, A. A., &amp; Odu, A. T. (2024). </w:t>
      </w:r>
      <w:r w:rsidRPr="008D1CC4">
        <w:rPr>
          <w:rFonts w:ascii="Times New Roman" w:hAnsi="Times New Roman"/>
          <w:sz w:val="24"/>
          <w:szCs w:val="24"/>
        </w:rPr>
        <w:t xml:space="preserve">Impact of trade liberalization and renewable energy on load capacity factor: Evidence from novel dual adjustment approach. </w:t>
      </w:r>
      <w:r w:rsidRPr="008D1CC4">
        <w:rPr>
          <w:rFonts w:ascii="Times New Roman" w:hAnsi="Times New Roman"/>
          <w:i/>
          <w:iCs/>
          <w:sz w:val="24"/>
          <w:szCs w:val="24"/>
        </w:rPr>
        <w:t>Energy &amp; Environment, 35</w:t>
      </w:r>
      <w:r w:rsidRPr="008D1CC4">
        <w:rPr>
          <w:rFonts w:ascii="Times New Roman" w:hAnsi="Times New Roman"/>
          <w:sz w:val="24"/>
          <w:szCs w:val="24"/>
        </w:rPr>
        <w:t xml:space="preserve">(2), 795–814. </w:t>
      </w:r>
      <w:hyperlink r:id="rId28" w:history="1">
        <w:r w:rsidRPr="008D1CC4">
          <w:rPr>
            <w:rFonts w:ascii="Times New Roman" w:hAnsi="Times New Roman"/>
            <w:color w:val="0000FF"/>
            <w:sz w:val="24"/>
            <w:szCs w:val="24"/>
            <w:u w:val="single"/>
          </w:rPr>
          <w:t>https://doi.org/10.1177/0958305X221137559</w:t>
        </w:r>
      </w:hyperlink>
    </w:p>
    <w:p w14:paraId="31A49D56" w14:textId="77777777" w:rsidR="008D1CC4" w:rsidRPr="008D1CC4" w:rsidRDefault="008D1CC4" w:rsidP="008D1CC4">
      <w:pPr>
        <w:spacing w:before="100" w:beforeAutospacing="1" w:after="100" w:afterAutospacing="1"/>
        <w:ind w:left="540" w:hanging="540"/>
        <w:jc w:val="both"/>
        <w:rPr>
          <w:rFonts w:ascii="Times New Roman" w:hAnsi="Times New Roman"/>
          <w:sz w:val="24"/>
          <w:szCs w:val="24"/>
        </w:rPr>
      </w:pPr>
      <w:r w:rsidRPr="008D1CC4">
        <w:rPr>
          <w:rFonts w:ascii="Times New Roman" w:hAnsi="Times New Roman"/>
          <w:sz w:val="24"/>
          <w:szCs w:val="24"/>
        </w:rPr>
        <w:t xml:space="preserve">Iqbal, B. A., Yadav, A., &amp; Rahman, M. N. (2023). Trade relations among the BRICS countries: An Indian perspective. </w:t>
      </w:r>
      <w:r w:rsidRPr="008D1CC4">
        <w:rPr>
          <w:rFonts w:ascii="Times New Roman" w:hAnsi="Times New Roman"/>
          <w:i/>
          <w:iCs/>
          <w:sz w:val="24"/>
          <w:szCs w:val="24"/>
        </w:rPr>
        <w:t>China and WTO Review, 9</w:t>
      </w:r>
      <w:r w:rsidRPr="008D1CC4">
        <w:rPr>
          <w:rFonts w:ascii="Times New Roman" w:hAnsi="Times New Roman"/>
          <w:sz w:val="24"/>
          <w:szCs w:val="24"/>
        </w:rPr>
        <w:t xml:space="preserve">(2), 355–366. </w:t>
      </w:r>
      <w:hyperlink r:id="rId29" w:history="1">
        <w:r w:rsidRPr="008D1CC4">
          <w:rPr>
            <w:rFonts w:ascii="Times New Roman" w:hAnsi="Times New Roman"/>
            <w:color w:val="0000FF"/>
            <w:sz w:val="24"/>
            <w:szCs w:val="24"/>
            <w:u w:val="single"/>
          </w:rPr>
          <w:t>https://doi.org/10.14330/cwr.2023.9.2.07</w:t>
        </w:r>
      </w:hyperlink>
    </w:p>
    <w:p w14:paraId="1334C782" w14:textId="77777777" w:rsidR="008D1CC4" w:rsidRPr="008D1CC4" w:rsidRDefault="008D1CC4" w:rsidP="008D1CC4">
      <w:pPr>
        <w:spacing w:before="100" w:beforeAutospacing="1" w:after="100" w:afterAutospacing="1"/>
        <w:ind w:left="540" w:hanging="540"/>
        <w:jc w:val="both"/>
        <w:rPr>
          <w:rFonts w:ascii="Times New Roman" w:hAnsi="Times New Roman"/>
          <w:sz w:val="24"/>
          <w:szCs w:val="24"/>
        </w:rPr>
      </w:pPr>
      <w:r w:rsidRPr="008D1CC4">
        <w:rPr>
          <w:rFonts w:ascii="Times New Roman" w:hAnsi="Times New Roman"/>
          <w:sz w:val="24"/>
          <w:szCs w:val="24"/>
        </w:rPr>
        <w:t xml:space="preserve">Keho, Y. (2017). The impact of trade openness on economic growth: The case of Cote d’Ivoire. </w:t>
      </w:r>
      <w:r w:rsidRPr="008D1CC4">
        <w:rPr>
          <w:rFonts w:ascii="Times New Roman" w:hAnsi="Times New Roman"/>
          <w:i/>
          <w:iCs/>
          <w:sz w:val="24"/>
          <w:szCs w:val="24"/>
        </w:rPr>
        <w:t>Cogent Economics &amp; Finance, 5</w:t>
      </w:r>
      <w:r w:rsidRPr="008D1CC4">
        <w:rPr>
          <w:rFonts w:ascii="Times New Roman" w:hAnsi="Times New Roman"/>
          <w:sz w:val="24"/>
          <w:szCs w:val="24"/>
        </w:rPr>
        <w:t xml:space="preserve">(1), 1332820. </w:t>
      </w:r>
      <w:hyperlink r:id="rId30" w:history="1">
        <w:r w:rsidRPr="008D1CC4">
          <w:rPr>
            <w:rFonts w:ascii="Times New Roman" w:hAnsi="Times New Roman"/>
            <w:color w:val="0000FF"/>
            <w:sz w:val="24"/>
            <w:szCs w:val="24"/>
            <w:u w:val="single"/>
          </w:rPr>
          <w:t>https://doi.org/10.1080/23322039.2017.1332820</w:t>
        </w:r>
      </w:hyperlink>
    </w:p>
    <w:p w14:paraId="6AD682D7" w14:textId="77777777" w:rsidR="008D1CC4" w:rsidRPr="008D1CC4" w:rsidRDefault="008D1CC4" w:rsidP="008D1CC4">
      <w:pPr>
        <w:spacing w:before="100" w:beforeAutospacing="1" w:after="100" w:afterAutospacing="1"/>
        <w:ind w:left="540" w:hanging="540"/>
        <w:jc w:val="both"/>
        <w:rPr>
          <w:rFonts w:ascii="Times New Roman" w:hAnsi="Times New Roman"/>
          <w:sz w:val="24"/>
          <w:szCs w:val="24"/>
        </w:rPr>
      </w:pPr>
      <w:r w:rsidRPr="008D1CC4">
        <w:rPr>
          <w:rFonts w:ascii="Times New Roman" w:hAnsi="Times New Roman"/>
          <w:sz w:val="24"/>
          <w:szCs w:val="24"/>
        </w:rPr>
        <w:t xml:space="preserve">Khurana, R., &amp; </w:t>
      </w:r>
      <w:proofErr w:type="spellStart"/>
      <w:r w:rsidRPr="008D1CC4">
        <w:rPr>
          <w:rFonts w:ascii="Times New Roman" w:hAnsi="Times New Roman"/>
          <w:sz w:val="24"/>
          <w:szCs w:val="24"/>
        </w:rPr>
        <w:t>Nauriyal</w:t>
      </w:r>
      <w:proofErr w:type="spellEnd"/>
      <w:r w:rsidRPr="008D1CC4">
        <w:rPr>
          <w:rFonts w:ascii="Times New Roman" w:hAnsi="Times New Roman"/>
          <w:sz w:val="24"/>
          <w:szCs w:val="24"/>
        </w:rPr>
        <w:t xml:space="preserve">, D. K. (2017). Dynamics of services exports in India. </w:t>
      </w:r>
      <w:r w:rsidRPr="008D1CC4">
        <w:rPr>
          <w:rFonts w:ascii="Times New Roman" w:hAnsi="Times New Roman"/>
          <w:i/>
          <w:iCs/>
          <w:sz w:val="24"/>
          <w:szCs w:val="24"/>
        </w:rPr>
        <w:t>Millennial Asia, 8</w:t>
      </w:r>
      <w:r w:rsidRPr="008D1CC4">
        <w:rPr>
          <w:rFonts w:ascii="Times New Roman" w:hAnsi="Times New Roman"/>
          <w:sz w:val="24"/>
          <w:szCs w:val="24"/>
        </w:rPr>
        <w:t xml:space="preserve">(2), 178–193. </w:t>
      </w:r>
      <w:hyperlink r:id="rId31" w:history="1">
        <w:r w:rsidRPr="008D1CC4">
          <w:rPr>
            <w:rFonts w:ascii="Times New Roman" w:hAnsi="Times New Roman"/>
            <w:color w:val="0000FF"/>
            <w:sz w:val="24"/>
            <w:szCs w:val="24"/>
            <w:u w:val="single"/>
          </w:rPr>
          <w:t>https://doi.org/10.1177/0976399617715823</w:t>
        </w:r>
      </w:hyperlink>
    </w:p>
    <w:p w14:paraId="42667049" w14:textId="77777777" w:rsidR="008D1CC4" w:rsidRPr="008D1CC4" w:rsidRDefault="008D1CC4" w:rsidP="008D1CC4">
      <w:pPr>
        <w:spacing w:before="100" w:beforeAutospacing="1" w:after="100" w:afterAutospacing="1"/>
        <w:ind w:left="540" w:hanging="540"/>
        <w:jc w:val="both"/>
        <w:rPr>
          <w:rFonts w:ascii="Times New Roman" w:hAnsi="Times New Roman"/>
          <w:sz w:val="24"/>
          <w:szCs w:val="24"/>
        </w:rPr>
      </w:pPr>
      <w:r w:rsidRPr="008D1CC4">
        <w:rPr>
          <w:rFonts w:ascii="Times New Roman" w:hAnsi="Times New Roman"/>
          <w:sz w:val="24"/>
          <w:szCs w:val="24"/>
        </w:rPr>
        <w:lastRenderedPageBreak/>
        <w:t xml:space="preserve">Lohani, K. K. (2024). Trade flow of India with BRICS countries: A gravity model approach. </w:t>
      </w:r>
      <w:r w:rsidRPr="008D1CC4">
        <w:rPr>
          <w:rFonts w:ascii="Times New Roman" w:hAnsi="Times New Roman"/>
          <w:i/>
          <w:iCs/>
          <w:sz w:val="24"/>
          <w:szCs w:val="24"/>
        </w:rPr>
        <w:t>Global Business Review, 25</w:t>
      </w:r>
      <w:r w:rsidRPr="008D1CC4">
        <w:rPr>
          <w:rFonts w:ascii="Times New Roman" w:hAnsi="Times New Roman"/>
          <w:sz w:val="24"/>
          <w:szCs w:val="24"/>
        </w:rPr>
        <w:t xml:space="preserve">(1), 22–39. </w:t>
      </w:r>
      <w:hyperlink r:id="rId32" w:history="1">
        <w:r w:rsidRPr="008D1CC4">
          <w:rPr>
            <w:rFonts w:ascii="Times New Roman" w:hAnsi="Times New Roman"/>
            <w:color w:val="0000FF"/>
            <w:sz w:val="24"/>
            <w:szCs w:val="24"/>
            <w:u w:val="single"/>
          </w:rPr>
          <w:t>https://doi.org/10.1177/0972150920927684</w:t>
        </w:r>
      </w:hyperlink>
    </w:p>
    <w:p w14:paraId="6EEE75DC" w14:textId="77777777" w:rsidR="008D1CC4" w:rsidRPr="008D1CC4" w:rsidRDefault="008D1CC4" w:rsidP="008D1CC4">
      <w:pPr>
        <w:spacing w:before="100" w:beforeAutospacing="1" w:after="100" w:afterAutospacing="1"/>
        <w:ind w:left="540" w:hanging="540"/>
        <w:jc w:val="both"/>
        <w:rPr>
          <w:rFonts w:ascii="Times New Roman" w:hAnsi="Times New Roman"/>
          <w:sz w:val="24"/>
          <w:szCs w:val="24"/>
        </w:rPr>
      </w:pPr>
      <w:r w:rsidRPr="008D1CC4">
        <w:rPr>
          <w:rFonts w:ascii="Times New Roman" w:hAnsi="Times New Roman"/>
          <w:sz w:val="24"/>
          <w:szCs w:val="24"/>
        </w:rPr>
        <w:t xml:space="preserve">Mahajan, A., Chand, P., &amp; Alam, T. (2022). Growth of India’s high-tech exports: Do the import of intermediate goods and inward FDI promote India’s high-tech exports? </w:t>
      </w:r>
      <w:r w:rsidRPr="008D1CC4">
        <w:rPr>
          <w:rFonts w:ascii="Times New Roman" w:hAnsi="Times New Roman"/>
          <w:i/>
          <w:iCs/>
          <w:sz w:val="24"/>
          <w:szCs w:val="24"/>
        </w:rPr>
        <w:t>Ramanujan International Journal of Business and Research, 7</w:t>
      </w:r>
      <w:r w:rsidRPr="008D1CC4">
        <w:rPr>
          <w:rFonts w:ascii="Times New Roman" w:hAnsi="Times New Roman"/>
          <w:sz w:val="24"/>
          <w:szCs w:val="24"/>
        </w:rPr>
        <w:t xml:space="preserve">(2), 26–35. </w:t>
      </w:r>
      <w:hyperlink r:id="rId33" w:history="1">
        <w:r w:rsidRPr="008D1CC4">
          <w:rPr>
            <w:rFonts w:ascii="Times New Roman" w:hAnsi="Times New Roman"/>
            <w:color w:val="0000FF"/>
            <w:sz w:val="24"/>
            <w:szCs w:val="24"/>
            <w:u w:val="single"/>
          </w:rPr>
          <w:t>https://doi.org/10.51245/rijbr.v7i2.2022.920</w:t>
        </w:r>
      </w:hyperlink>
    </w:p>
    <w:p w14:paraId="4D2C74DA" w14:textId="77777777" w:rsidR="008D1CC4" w:rsidRPr="008D1CC4" w:rsidRDefault="008D1CC4" w:rsidP="008D1CC4">
      <w:pPr>
        <w:spacing w:before="100" w:beforeAutospacing="1" w:after="100" w:afterAutospacing="1"/>
        <w:ind w:left="540" w:hanging="540"/>
        <w:jc w:val="both"/>
        <w:rPr>
          <w:rFonts w:ascii="Times New Roman" w:hAnsi="Times New Roman"/>
          <w:sz w:val="24"/>
          <w:szCs w:val="24"/>
        </w:rPr>
      </w:pPr>
      <w:proofErr w:type="spellStart"/>
      <w:r w:rsidRPr="008D1CC4">
        <w:rPr>
          <w:rFonts w:ascii="Times New Roman" w:hAnsi="Times New Roman"/>
          <w:sz w:val="24"/>
          <w:szCs w:val="24"/>
        </w:rPr>
        <w:t>Mahlawat</w:t>
      </w:r>
      <w:proofErr w:type="spellEnd"/>
      <w:r w:rsidRPr="008D1CC4">
        <w:rPr>
          <w:rFonts w:ascii="Times New Roman" w:hAnsi="Times New Roman"/>
          <w:sz w:val="24"/>
          <w:szCs w:val="24"/>
        </w:rPr>
        <w:t xml:space="preserve">, S. (2018). Analysis of trade patterns and bilateral trade between India and other BRICS countries. </w:t>
      </w:r>
      <w:r w:rsidRPr="008D1CC4">
        <w:rPr>
          <w:rFonts w:ascii="Times New Roman" w:hAnsi="Times New Roman"/>
          <w:i/>
          <w:iCs/>
          <w:sz w:val="24"/>
          <w:szCs w:val="24"/>
        </w:rPr>
        <w:t>RESEARCH REVIEW International Journal of Multidisciplinary, 3</w:t>
      </w:r>
      <w:r w:rsidRPr="008D1CC4">
        <w:rPr>
          <w:rFonts w:ascii="Times New Roman" w:hAnsi="Times New Roman"/>
          <w:sz w:val="24"/>
          <w:szCs w:val="24"/>
        </w:rPr>
        <w:t xml:space="preserve">(11), 645–650. </w:t>
      </w:r>
      <w:hyperlink r:id="rId34" w:history="1">
        <w:r w:rsidRPr="008D1CC4">
          <w:rPr>
            <w:rFonts w:ascii="Times New Roman" w:hAnsi="Times New Roman"/>
            <w:color w:val="0000FF"/>
            <w:sz w:val="24"/>
            <w:szCs w:val="24"/>
            <w:u w:val="single"/>
          </w:rPr>
          <w:t>https://old.rrjournals.com/wp-content/uploads/2018/11/645-650_RRIJM180311131.pdf</w:t>
        </w:r>
      </w:hyperlink>
    </w:p>
    <w:p w14:paraId="3D8BB9D2" w14:textId="77777777" w:rsidR="008D1CC4" w:rsidRPr="008D1CC4" w:rsidRDefault="008D1CC4" w:rsidP="008D1CC4">
      <w:pPr>
        <w:spacing w:before="100" w:beforeAutospacing="1" w:after="100" w:afterAutospacing="1"/>
        <w:ind w:left="540" w:hanging="540"/>
        <w:jc w:val="both"/>
        <w:rPr>
          <w:rFonts w:ascii="Times New Roman" w:hAnsi="Times New Roman"/>
          <w:sz w:val="24"/>
          <w:szCs w:val="24"/>
        </w:rPr>
      </w:pPr>
      <w:r w:rsidRPr="008D1CC4">
        <w:rPr>
          <w:rFonts w:ascii="Times New Roman" w:hAnsi="Times New Roman"/>
          <w:sz w:val="24"/>
          <w:szCs w:val="24"/>
        </w:rPr>
        <w:t xml:space="preserve">Mallick, L., &amp; Behera, S. R. (2020). Does trade openness affect economic growth in India? Evidence from threshold cointegration with asymmetric adjustment. </w:t>
      </w:r>
      <w:r w:rsidRPr="008D1CC4">
        <w:rPr>
          <w:rFonts w:ascii="Times New Roman" w:hAnsi="Times New Roman"/>
          <w:i/>
          <w:iCs/>
          <w:sz w:val="24"/>
          <w:szCs w:val="24"/>
        </w:rPr>
        <w:t>Cogent Economics &amp; Finance, 8</w:t>
      </w:r>
      <w:r w:rsidRPr="008D1CC4">
        <w:rPr>
          <w:rFonts w:ascii="Times New Roman" w:hAnsi="Times New Roman"/>
          <w:sz w:val="24"/>
          <w:szCs w:val="24"/>
        </w:rPr>
        <w:t xml:space="preserve">(1), 1782659. </w:t>
      </w:r>
      <w:hyperlink r:id="rId35" w:history="1">
        <w:r w:rsidRPr="008D1CC4">
          <w:rPr>
            <w:rFonts w:ascii="Times New Roman" w:hAnsi="Times New Roman"/>
            <w:color w:val="0000FF"/>
            <w:sz w:val="24"/>
            <w:szCs w:val="24"/>
            <w:u w:val="single"/>
          </w:rPr>
          <w:t>https://doi.org/10.1080/23322039.2020.1782659</w:t>
        </w:r>
      </w:hyperlink>
    </w:p>
    <w:p w14:paraId="346472F9" w14:textId="77777777" w:rsidR="008D1CC4" w:rsidRPr="008D1CC4" w:rsidRDefault="008D1CC4" w:rsidP="008D1CC4">
      <w:pPr>
        <w:spacing w:before="100" w:beforeAutospacing="1" w:after="100" w:afterAutospacing="1"/>
        <w:ind w:left="540" w:hanging="540"/>
        <w:jc w:val="both"/>
        <w:rPr>
          <w:rFonts w:ascii="Times New Roman" w:hAnsi="Times New Roman"/>
          <w:sz w:val="24"/>
          <w:szCs w:val="24"/>
        </w:rPr>
      </w:pPr>
      <w:r w:rsidRPr="008D1CC4">
        <w:rPr>
          <w:rFonts w:ascii="Times New Roman" w:hAnsi="Times New Roman"/>
          <w:sz w:val="24"/>
          <w:szCs w:val="24"/>
          <w:lang w:val="nl-BE"/>
        </w:rPr>
        <w:t xml:space="preserve">Paul, M., &amp; Kumar, R. A. (2021). </w:t>
      </w:r>
      <w:r w:rsidRPr="008D1CC4">
        <w:rPr>
          <w:rFonts w:ascii="Times New Roman" w:hAnsi="Times New Roman"/>
          <w:sz w:val="24"/>
          <w:szCs w:val="24"/>
        </w:rPr>
        <w:t xml:space="preserve">Import intensity of India’s manufactured exports: An industry-level analysis. </w:t>
      </w:r>
      <w:r w:rsidRPr="008D1CC4">
        <w:rPr>
          <w:rFonts w:ascii="Times New Roman" w:hAnsi="Times New Roman"/>
          <w:i/>
          <w:iCs/>
          <w:sz w:val="24"/>
          <w:szCs w:val="24"/>
        </w:rPr>
        <w:t>Indian Economic Review, 56</w:t>
      </w:r>
      <w:r w:rsidRPr="008D1CC4">
        <w:rPr>
          <w:rFonts w:ascii="Times New Roman" w:hAnsi="Times New Roman"/>
          <w:sz w:val="24"/>
          <w:szCs w:val="24"/>
        </w:rPr>
        <w:t xml:space="preserve">(1), 67–90. </w:t>
      </w:r>
      <w:hyperlink r:id="rId36" w:history="1">
        <w:r w:rsidRPr="008D1CC4">
          <w:rPr>
            <w:rFonts w:ascii="Times New Roman" w:hAnsi="Times New Roman"/>
            <w:color w:val="0000FF"/>
            <w:sz w:val="24"/>
            <w:szCs w:val="24"/>
            <w:u w:val="single"/>
          </w:rPr>
          <w:t>https://doi.org/10.1007/s41775-020-00104-3</w:t>
        </w:r>
      </w:hyperlink>
    </w:p>
    <w:p w14:paraId="0C9B9174" w14:textId="77777777" w:rsidR="008D1CC4" w:rsidRPr="008D1CC4" w:rsidRDefault="008D1CC4" w:rsidP="008D1CC4">
      <w:pPr>
        <w:spacing w:before="100" w:beforeAutospacing="1" w:after="100" w:afterAutospacing="1"/>
        <w:ind w:left="540" w:hanging="540"/>
        <w:jc w:val="both"/>
        <w:rPr>
          <w:rFonts w:ascii="Times New Roman" w:hAnsi="Times New Roman"/>
          <w:sz w:val="24"/>
          <w:szCs w:val="24"/>
        </w:rPr>
      </w:pPr>
      <w:proofErr w:type="spellStart"/>
      <w:r w:rsidRPr="008D1CC4">
        <w:rPr>
          <w:rFonts w:ascii="Times New Roman" w:hAnsi="Times New Roman"/>
          <w:sz w:val="24"/>
          <w:szCs w:val="24"/>
        </w:rPr>
        <w:t>Raghutla</w:t>
      </w:r>
      <w:proofErr w:type="spellEnd"/>
      <w:r w:rsidRPr="008D1CC4">
        <w:rPr>
          <w:rFonts w:ascii="Times New Roman" w:hAnsi="Times New Roman"/>
          <w:sz w:val="24"/>
          <w:szCs w:val="24"/>
        </w:rPr>
        <w:t xml:space="preserve">, C., &amp; </w:t>
      </w:r>
      <w:proofErr w:type="spellStart"/>
      <w:r w:rsidRPr="008D1CC4">
        <w:rPr>
          <w:rFonts w:ascii="Times New Roman" w:hAnsi="Times New Roman"/>
          <w:sz w:val="24"/>
          <w:szCs w:val="24"/>
        </w:rPr>
        <w:t>Chittedi</w:t>
      </w:r>
      <w:proofErr w:type="spellEnd"/>
      <w:r w:rsidRPr="008D1CC4">
        <w:rPr>
          <w:rFonts w:ascii="Times New Roman" w:hAnsi="Times New Roman"/>
          <w:sz w:val="24"/>
          <w:szCs w:val="24"/>
        </w:rPr>
        <w:t xml:space="preserve">, K. R. (2020). Is there an export- or import-led growth in emerging countries? A case of the BRICS countries. </w:t>
      </w:r>
      <w:r w:rsidRPr="008D1CC4">
        <w:rPr>
          <w:rFonts w:ascii="Times New Roman" w:hAnsi="Times New Roman"/>
          <w:i/>
          <w:iCs/>
          <w:sz w:val="24"/>
          <w:szCs w:val="24"/>
        </w:rPr>
        <w:t>Journal of Public Affairs, 20</w:t>
      </w:r>
      <w:r w:rsidRPr="008D1CC4">
        <w:rPr>
          <w:rFonts w:ascii="Times New Roman" w:hAnsi="Times New Roman"/>
          <w:sz w:val="24"/>
          <w:szCs w:val="24"/>
        </w:rPr>
        <w:t xml:space="preserve">(3), e2074. </w:t>
      </w:r>
      <w:hyperlink r:id="rId37" w:history="1">
        <w:r w:rsidRPr="008D1CC4">
          <w:rPr>
            <w:rFonts w:ascii="Times New Roman" w:hAnsi="Times New Roman"/>
            <w:color w:val="0000FF"/>
            <w:sz w:val="24"/>
            <w:szCs w:val="24"/>
            <w:u w:val="single"/>
          </w:rPr>
          <w:t>https://doi.org/10.1002/pa.2074</w:t>
        </w:r>
      </w:hyperlink>
    </w:p>
    <w:p w14:paraId="4727BE32" w14:textId="77777777" w:rsidR="008D1CC4" w:rsidRPr="008D1CC4" w:rsidRDefault="008D1CC4" w:rsidP="008D1CC4">
      <w:pPr>
        <w:spacing w:before="100" w:beforeAutospacing="1" w:after="100" w:afterAutospacing="1"/>
        <w:ind w:left="540" w:hanging="540"/>
        <w:jc w:val="both"/>
        <w:rPr>
          <w:rFonts w:ascii="Times New Roman" w:hAnsi="Times New Roman"/>
          <w:sz w:val="24"/>
          <w:szCs w:val="24"/>
        </w:rPr>
      </w:pPr>
      <w:r w:rsidRPr="008D1CC4">
        <w:rPr>
          <w:rFonts w:ascii="Times New Roman" w:hAnsi="Times New Roman"/>
          <w:sz w:val="24"/>
          <w:szCs w:val="24"/>
        </w:rPr>
        <w:t xml:space="preserve">Rai, S. K., Paswan, A. S., &amp; Jha, S. N. (2021). An analysis of India’s trade flow with BIMSTEC nations: A gravity model approach. </w:t>
      </w:r>
      <w:r w:rsidRPr="008D1CC4">
        <w:rPr>
          <w:rFonts w:ascii="Times New Roman" w:hAnsi="Times New Roman"/>
          <w:i/>
          <w:iCs/>
          <w:sz w:val="24"/>
          <w:szCs w:val="24"/>
        </w:rPr>
        <w:t>Studies in Economics and Business Relations, 2</w:t>
      </w:r>
      <w:r w:rsidRPr="008D1CC4">
        <w:rPr>
          <w:rFonts w:ascii="Times New Roman" w:hAnsi="Times New Roman"/>
          <w:sz w:val="24"/>
          <w:szCs w:val="24"/>
        </w:rPr>
        <w:t xml:space="preserve">(2), 32–45. </w:t>
      </w:r>
      <w:hyperlink r:id="rId38" w:history="1">
        <w:r w:rsidRPr="008D1CC4">
          <w:rPr>
            <w:rFonts w:ascii="Times New Roman" w:hAnsi="Times New Roman"/>
            <w:color w:val="0000FF"/>
            <w:sz w:val="24"/>
            <w:szCs w:val="24"/>
            <w:u w:val="single"/>
          </w:rPr>
          <w:t>https://doi.org/10.48185/sebr.v2i2.376</w:t>
        </w:r>
      </w:hyperlink>
    </w:p>
    <w:p w14:paraId="5AB860B3" w14:textId="77777777" w:rsidR="008D1CC4" w:rsidRPr="008D1CC4" w:rsidRDefault="008D1CC4" w:rsidP="008D1CC4">
      <w:pPr>
        <w:spacing w:before="100" w:beforeAutospacing="1" w:after="100" w:afterAutospacing="1"/>
        <w:ind w:left="540" w:hanging="540"/>
        <w:jc w:val="both"/>
        <w:rPr>
          <w:rFonts w:ascii="Times New Roman" w:hAnsi="Times New Roman"/>
          <w:sz w:val="24"/>
          <w:szCs w:val="24"/>
        </w:rPr>
      </w:pPr>
      <w:r w:rsidRPr="008D1CC4">
        <w:rPr>
          <w:rFonts w:ascii="Times New Roman" w:hAnsi="Times New Roman"/>
          <w:sz w:val="24"/>
          <w:szCs w:val="24"/>
        </w:rPr>
        <w:t xml:space="preserve">Reshi, I. A., &amp; Sudha, T. (2023). Trade and growth in India: An analysis of the relationship and its implications. </w:t>
      </w:r>
      <w:r w:rsidRPr="008D1CC4">
        <w:rPr>
          <w:rFonts w:ascii="Times New Roman" w:hAnsi="Times New Roman"/>
          <w:i/>
          <w:iCs/>
          <w:sz w:val="24"/>
          <w:szCs w:val="24"/>
        </w:rPr>
        <w:t>International Journal of Social Science, Educational, Economics, Agriculture Research and Technology, 2</w:t>
      </w:r>
      <w:r w:rsidRPr="008D1CC4">
        <w:rPr>
          <w:rFonts w:ascii="Times New Roman" w:hAnsi="Times New Roman"/>
          <w:sz w:val="24"/>
          <w:szCs w:val="24"/>
        </w:rPr>
        <w:t xml:space="preserve">(4), 1331–1336. </w:t>
      </w:r>
      <w:hyperlink r:id="rId39" w:history="1">
        <w:r w:rsidRPr="008D1CC4">
          <w:rPr>
            <w:rFonts w:ascii="Times New Roman" w:hAnsi="Times New Roman"/>
            <w:color w:val="0000FF"/>
            <w:sz w:val="24"/>
            <w:szCs w:val="24"/>
            <w:u w:val="single"/>
          </w:rPr>
          <w:t>https://doi.org/10.54443/ijset.v2i4.149</w:t>
        </w:r>
      </w:hyperlink>
    </w:p>
    <w:p w14:paraId="6E629960" w14:textId="77777777" w:rsidR="008D1CC4" w:rsidRPr="008D1CC4" w:rsidRDefault="008D1CC4" w:rsidP="008D1CC4">
      <w:pPr>
        <w:spacing w:before="100" w:beforeAutospacing="1" w:after="100" w:afterAutospacing="1"/>
        <w:ind w:left="540" w:hanging="540"/>
        <w:jc w:val="both"/>
        <w:rPr>
          <w:rFonts w:ascii="Times New Roman" w:hAnsi="Times New Roman"/>
          <w:sz w:val="24"/>
          <w:szCs w:val="24"/>
        </w:rPr>
      </w:pPr>
      <w:r w:rsidRPr="008D1CC4">
        <w:rPr>
          <w:rFonts w:ascii="Times New Roman" w:hAnsi="Times New Roman"/>
          <w:sz w:val="24"/>
          <w:szCs w:val="24"/>
        </w:rPr>
        <w:t xml:space="preserve">Sahoo, M., &amp; Sethi, N. (2018). The dynamic relationship between export, import and inflation: Empirical evidence from India. </w:t>
      </w:r>
      <w:r w:rsidRPr="008D1CC4">
        <w:rPr>
          <w:rFonts w:ascii="Times New Roman" w:hAnsi="Times New Roman"/>
          <w:i/>
          <w:iCs/>
          <w:sz w:val="24"/>
          <w:szCs w:val="24"/>
        </w:rPr>
        <w:t>The Indian Economic Journal, 66</w:t>
      </w:r>
      <w:r w:rsidRPr="008D1CC4">
        <w:rPr>
          <w:rFonts w:ascii="Times New Roman" w:hAnsi="Times New Roman"/>
          <w:sz w:val="24"/>
          <w:szCs w:val="24"/>
        </w:rPr>
        <w:t xml:space="preserve">(3–4), 294–311. </w:t>
      </w:r>
      <w:hyperlink r:id="rId40" w:history="1">
        <w:r w:rsidRPr="008D1CC4">
          <w:rPr>
            <w:rFonts w:ascii="Times New Roman" w:hAnsi="Times New Roman"/>
            <w:color w:val="0000FF"/>
            <w:sz w:val="24"/>
            <w:szCs w:val="24"/>
            <w:u w:val="single"/>
          </w:rPr>
          <w:t>https://doi.org/10.1177/0019466220935552</w:t>
        </w:r>
      </w:hyperlink>
    </w:p>
    <w:p w14:paraId="57A2FCB9" w14:textId="77777777" w:rsidR="008D1CC4" w:rsidRPr="008D1CC4" w:rsidRDefault="008D1CC4" w:rsidP="008D1CC4">
      <w:pPr>
        <w:spacing w:before="100" w:beforeAutospacing="1" w:after="100" w:afterAutospacing="1"/>
        <w:ind w:left="540" w:hanging="540"/>
        <w:jc w:val="both"/>
        <w:rPr>
          <w:rFonts w:ascii="Times New Roman" w:hAnsi="Times New Roman"/>
          <w:sz w:val="24"/>
          <w:szCs w:val="24"/>
        </w:rPr>
      </w:pPr>
      <w:r w:rsidRPr="008D1CC4">
        <w:rPr>
          <w:rFonts w:ascii="Times New Roman" w:hAnsi="Times New Roman"/>
          <w:sz w:val="24"/>
          <w:szCs w:val="24"/>
        </w:rPr>
        <w:t xml:space="preserve">Sahoo, P., &amp; Ashwani. (2020). COVID-19 and Indian economy: Impact on growth, manufacturing, trade and MSME sector. </w:t>
      </w:r>
      <w:r w:rsidRPr="008D1CC4">
        <w:rPr>
          <w:rFonts w:ascii="Times New Roman" w:hAnsi="Times New Roman"/>
          <w:i/>
          <w:iCs/>
          <w:sz w:val="24"/>
          <w:szCs w:val="24"/>
        </w:rPr>
        <w:t>Global Business Review, 21</w:t>
      </w:r>
      <w:r w:rsidRPr="008D1CC4">
        <w:rPr>
          <w:rFonts w:ascii="Times New Roman" w:hAnsi="Times New Roman"/>
          <w:sz w:val="24"/>
          <w:szCs w:val="24"/>
        </w:rPr>
        <w:t xml:space="preserve">(5), 1159–1183. </w:t>
      </w:r>
      <w:hyperlink r:id="rId41" w:history="1">
        <w:r w:rsidRPr="008D1CC4">
          <w:rPr>
            <w:rFonts w:ascii="Times New Roman" w:hAnsi="Times New Roman"/>
            <w:color w:val="0000FF"/>
            <w:sz w:val="24"/>
            <w:szCs w:val="24"/>
            <w:u w:val="single"/>
          </w:rPr>
          <w:t>https://doi.org/10.1177/0972150920945687</w:t>
        </w:r>
      </w:hyperlink>
    </w:p>
    <w:p w14:paraId="22C620FF" w14:textId="77777777" w:rsidR="008D1CC4" w:rsidRPr="008D1CC4" w:rsidRDefault="008D1CC4" w:rsidP="008D1CC4">
      <w:pPr>
        <w:spacing w:before="100" w:beforeAutospacing="1" w:after="100" w:afterAutospacing="1"/>
        <w:ind w:left="540" w:hanging="540"/>
        <w:jc w:val="both"/>
        <w:rPr>
          <w:rFonts w:ascii="Times New Roman" w:hAnsi="Times New Roman"/>
          <w:sz w:val="24"/>
          <w:szCs w:val="24"/>
        </w:rPr>
      </w:pPr>
      <w:r w:rsidRPr="008D1CC4">
        <w:rPr>
          <w:rFonts w:ascii="Times New Roman" w:hAnsi="Times New Roman"/>
          <w:sz w:val="24"/>
          <w:szCs w:val="24"/>
        </w:rPr>
        <w:t xml:space="preserve">Sarania, R. (2021). Interactions among infrastructure, trade openness, foreign direct investments and economic growth in India. </w:t>
      </w:r>
      <w:r w:rsidRPr="008D1CC4">
        <w:rPr>
          <w:rFonts w:ascii="Times New Roman" w:hAnsi="Times New Roman"/>
          <w:i/>
          <w:iCs/>
          <w:sz w:val="24"/>
          <w:szCs w:val="24"/>
        </w:rPr>
        <w:t>Journal of Infrastructure Development, 13</w:t>
      </w:r>
      <w:r w:rsidRPr="008D1CC4">
        <w:rPr>
          <w:rFonts w:ascii="Times New Roman" w:hAnsi="Times New Roman"/>
          <w:sz w:val="24"/>
          <w:szCs w:val="24"/>
        </w:rPr>
        <w:t xml:space="preserve">(1), 21–43. </w:t>
      </w:r>
      <w:hyperlink r:id="rId42" w:history="1">
        <w:r w:rsidRPr="008D1CC4">
          <w:rPr>
            <w:rFonts w:ascii="Times New Roman" w:hAnsi="Times New Roman"/>
            <w:color w:val="0000FF"/>
            <w:sz w:val="24"/>
            <w:szCs w:val="24"/>
            <w:u w:val="single"/>
          </w:rPr>
          <w:t>https://doi.org/10.1177/09749306211023621</w:t>
        </w:r>
      </w:hyperlink>
    </w:p>
    <w:p w14:paraId="25EC9DAC" w14:textId="77777777" w:rsidR="008D1CC4" w:rsidRPr="008D1CC4" w:rsidRDefault="008D1CC4" w:rsidP="008D1CC4">
      <w:pPr>
        <w:spacing w:before="100" w:beforeAutospacing="1" w:after="100" w:afterAutospacing="1"/>
        <w:ind w:left="540" w:hanging="540"/>
        <w:jc w:val="both"/>
        <w:rPr>
          <w:rFonts w:ascii="Times New Roman" w:hAnsi="Times New Roman"/>
          <w:sz w:val="24"/>
          <w:szCs w:val="24"/>
        </w:rPr>
      </w:pPr>
      <w:r w:rsidRPr="008D1CC4">
        <w:rPr>
          <w:rFonts w:ascii="Times New Roman" w:hAnsi="Times New Roman"/>
          <w:sz w:val="24"/>
          <w:szCs w:val="24"/>
          <w:lang w:val="nl-BE"/>
        </w:rPr>
        <w:t xml:space="preserve">Sein, P., &amp; Sah, A. N. (2025). </w:t>
      </w:r>
      <w:r w:rsidRPr="008D1CC4">
        <w:rPr>
          <w:rFonts w:ascii="Times New Roman" w:hAnsi="Times New Roman"/>
          <w:sz w:val="24"/>
          <w:szCs w:val="24"/>
        </w:rPr>
        <w:t xml:space="preserve">Export dynamics, exchange rate volatility, and economic stability: Evidence from Asia-Pacific economies. </w:t>
      </w:r>
      <w:r w:rsidRPr="008D1CC4">
        <w:rPr>
          <w:rFonts w:ascii="Times New Roman" w:hAnsi="Times New Roman"/>
          <w:i/>
          <w:iCs/>
          <w:sz w:val="24"/>
          <w:szCs w:val="24"/>
        </w:rPr>
        <w:t>Humanities and Social Sciences Communications, 12</w:t>
      </w:r>
      <w:r w:rsidRPr="008D1CC4">
        <w:rPr>
          <w:rFonts w:ascii="Times New Roman" w:hAnsi="Times New Roman"/>
          <w:sz w:val="24"/>
          <w:szCs w:val="24"/>
        </w:rPr>
        <w:t xml:space="preserve">, 808. </w:t>
      </w:r>
      <w:hyperlink r:id="rId43" w:history="1">
        <w:r w:rsidRPr="008D1CC4">
          <w:rPr>
            <w:rFonts w:ascii="Times New Roman" w:hAnsi="Times New Roman"/>
            <w:color w:val="0000FF"/>
            <w:sz w:val="24"/>
            <w:szCs w:val="24"/>
            <w:u w:val="single"/>
          </w:rPr>
          <w:t>https://doi.org/10.1057/s41599-025-05099-x</w:t>
        </w:r>
      </w:hyperlink>
    </w:p>
    <w:p w14:paraId="48F15C1B" w14:textId="1C676D2C" w:rsidR="008D1CC4" w:rsidRPr="008D1CC4" w:rsidRDefault="008D1CC4" w:rsidP="008D1CC4">
      <w:pPr>
        <w:spacing w:before="100" w:beforeAutospacing="1" w:after="100" w:afterAutospacing="1"/>
        <w:ind w:left="540" w:hanging="540"/>
        <w:jc w:val="both"/>
        <w:rPr>
          <w:rFonts w:ascii="Times New Roman" w:hAnsi="Times New Roman"/>
          <w:sz w:val="24"/>
          <w:szCs w:val="24"/>
        </w:rPr>
      </w:pPr>
      <w:r w:rsidRPr="008D1CC4">
        <w:rPr>
          <w:rFonts w:ascii="Times New Roman" w:hAnsi="Times New Roman"/>
          <w:sz w:val="24"/>
          <w:szCs w:val="24"/>
        </w:rPr>
        <w:t xml:space="preserve">Hooda, D. S., &amp; A, A. (2025). Analysis of Indian pharmaceutical industry and trade competitiveness: Using revealed comparative advantage (RCA). </w:t>
      </w:r>
      <w:r w:rsidRPr="008D1CC4">
        <w:rPr>
          <w:rFonts w:ascii="Times New Roman" w:hAnsi="Times New Roman"/>
          <w:i/>
          <w:iCs/>
          <w:sz w:val="24"/>
          <w:szCs w:val="24"/>
        </w:rPr>
        <w:t>Indian Journal of Pharmaceutical Education and Research, 59</w:t>
      </w:r>
      <w:r w:rsidRPr="008D1CC4">
        <w:rPr>
          <w:rFonts w:ascii="Times New Roman" w:hAnsi="Times New Roman"/>
          <w:sz w:val="24"/>
          <w:szCs w:val="24"/>
        </w:rPr>
        <w:t xml:space="preserve">(3s), s1175–s1191. </w:t>
      </w:r>
      <w:hyperlink r:id="rId44" w:history="1">
        <w:r w:rsidRPr="008D1CC4">
          <w:rPr>
            <w:rFonts w:ascii="Times New Roman" w:hAnsi="Times New Roman"/>
            <w:color w:val="0000FF"/>
            <w:sz w:val="24"/>
            <w:szCs w:val="24"/>
            <w:u w:val="single"/>
          </w:rPr>
          <w:t>https://doi.org/10.5530/ijper.20250648</w:t>
        </w:r>
      </w:hyperlink>
    </w:p>
    <w:p w14:paraId="6E675B16" w14:textId="77777777" w:rsidR="008D1CC4" w:rsidRPr="008D1CC4" w:rsidRDefault="008D1CC4" w:rsidP="008D1CC4">
      <w:pPr>
        <w:spacing w:before="100" w:beforeAutospacing="1" w:after="100" w:afterAutospacing="1"/>
        <w:ind w:left="540" w:hanging="540"/>
        <w:jc w:val="both"/>
        <w:rPr>
          <w:rFonts w:ascii="Times New Roman" w:hAnsi="Times New Roman"/>
          <w:sz w:val="24"/>
          <w:szCs w:val="24"/>
        </w:rPr>
      </w:pPr>
      <w:r w:rsidRPr="008D1CC4">
        <w:rPr>
          <w:rFonts w:ascii="Times New Roman" w:hAnsi="Times New Roman"/>
          <w:sz w:val="24"/>
          <w:szCs w:val="24"/>
        </w:rPr>
        <w:lastRenderedPageBreak/>
        <w:t xml:space="preserve">Singaram, V. S., Ahmad, W., Shareef, M., Akther, S., &amp; Wani, N. A. (2025). Impact of foreign direct investment, export, import and inflation on economics growth in India: An empirical analysis. </w:t>
      </w:r>
      <w:r w:rsidRPr="008D1CC4">
        <w:rPr>
          <w:rFonts w:ascii="Times New Roman" w:hAnsi="Times New Roman"/>
          <w:i/>
          <w:iCs/>
          <w:sz w:val="24"/>
          <w:szCs w:val="24"/>
        </w:rPr>
        <w:t>South Asian Journal of Social Studies and Economics, 22</w:t>
      </w:r>
      <w:r w:rsidRPr="008D1CC4">
        <w:rPr>
          <w:rFonts w:ascii="Times New Roman" w:hAnsi="Times New Roman"/>
          <w:sz w:val="24"/>
          <w:szCs w:val="24"/>
        </w:rPr>
        <w:t xml:space="preserve">(3), 13–21. </w:t>
      </w:r>
      <w:hyperlink r:id="rId45" w:history="1">
        <w:r w:rsidRPr="008D1CC4">
          <w:rPr>
            <w:rFonts w:ascii="Times New Roman" w:hAnsi="Times New Roman"/>
            <w:color w:val="0000FF"/>
            <w:sz w:val="24"/>
            <w:szCs w:val="24"/>
            <w:u w:val="single"/>
          </w:rPr>
          <w:t>https://doi.org/10.9734/sajsse/2025/v22i3965</w:t>
        </w:r>
      </w:hyperlink>
    </w:p>
    <w:p w14:paraId="0E1E5A26" w14:textId="77777777" w:rsidR="008D1CC4" w:rsidRPr="008D1CC4" w:rsidRDefault="008D1CC4" w:rsidP="008D1CC4">
      <w:pPr>
        <w:spacing w:before="100" w:beforeAutospacing="1" w:after="100" w:afterAutospacing="1"/>
        <w:ind w:left="540" w:hanging="540"/>
        <w:jc w:val="both"/>
        <w:rPr>
          <w:rFonts w:ascii="Times New Roman" w:hAnsi="Times New Roman"/>
          <w:sz w:val="24"/>
          <w:szCs w:val="24"/>
        </w:rPr>
      </w:pPr>
      <w:r w:rsidRPr="008D1CC4">
        <w:rPr>
          <w:rFonts w:ascii="Times New Roman" w:hAnsi="Times New Roman"/>
          <w:sz w:val="24"/>
          <w:szCs w:val="24"/>
        </w:rPr>
        <w:t xml:space="preserve">Singh, N. D., </w:t>
      </w:r>
      <w:proofErr w:type="spellStart"/>
      <w:r w:rsidRPr="008D1CC4">
        <w:rPr>
          <w:rFonts w:ascii="Times New Roman" w:hAnsi="Times New Roman"/>
          <w:sz w:val="24"/>
          <w:szCs w:val="24"/>
        </w:rPr>
        <w:t>Sivaramane</w:t>
      </w:r>
      <w:proofErr w:type="spellEnd"/>
      <w:r w:rsidRPr="008D1CC4">
        <w:rPr>
          <w:rFonts w:ascii="Times New Roman" w:hAnsi="Times New Roman"/>
          <w:sz w:val="24"/>
          <w:szCs w:val="24"/>
        </w:rPr>
        <w:t xml:space="preserve">, N., </w:t>
      </w:r>
      <w:proofErr w:type="spellStart"/>
      <w:r w:rsidRPr="008D1CC4">
        <w:rPr>
          <w:rFonts w:ascii="Times New Roman" w:hAnsi="Times New Roman"/>
          <w:sz w:val="24"/>
          <w:szCs w:val="24"/>
        </w:rPr>
        <w:t>Kiresur</w:t>
      </w:r>
      <w:proofErr w:type="spellEnd"/>
      <w:r w:rsidRPr="008D1CC4">
        <w:rPr>
          <w:rFonts w:ascii="Times New Roman" w:hAnsi="Times New Roman"/>
          <w:sz w:val="24"/>
          <w:szCs w:val="24"/>
        </w:rPr>
        <w:t xml:space="preserve">, V. R., Pandey, S. K., Prakash, S., &amp; Krishnan, M. (2021). Performance and perspective analysis of Indian shrimp exports. </w:t>
      </w:r>
      <w:r w:rsidRPr="008D1CC4">
        <w:rPr>
          <w:rFonts w:ascii="Times New Roman" w:hAnsi="Times New Roman"/>
          <w:i/>
          <w:iCs/>
          <w:sz w:val="24"/>
          <w:szCs w:val="24"/>
        </w:rPr>
        <w:t>Agricultural Research, 10</w:t>
      </w:r>
      <w:r w:rsidRPr="008D1CC4">
        <w:rPr>
          <w:rFonts w:ascii="Times New Roman" w:hAnsi="Times New Roman"/>
          <w:sz w:val="24"/>
          <w:szCs w:val="24"/>
        </w:rPr>
        <w:t xml:space="preserve">(3), 457–467. </w:t>
      </w:r>
      <w:hyperlink r:id="rId46" w:history="1">
        <w:r w:rsidRPr="008D1CC4">
          <w:rPr>
            <w:rFonts w:ascii="Times New Roman" w:hAnsi="Times New Roman"/>
            <w:color w:val="0000FF"/>
            <w:sz w:val="24"/>
            <w:szCs w:val="24"/>
            <w:u w:val="single"/>
          </w:rPr>
          <w:t>https://doi.org/10.1007/s40003-020-00513-z</w:t>
        </w:r>
      </w:hyperlink>
    </w:p>
    <w:p w14:paraId="3D7520B9" w14:textId="77777777" w:rsidR="008D1CC4" w:rsidRPr="008D1CC4" w:rsidRDefault="008D1CC4" w:rsidP="008D1CC4">
      <w:pPr>
        <w:spacing w:before="100" w:beforeAutospacing="1" w:after="100" w:afterAutospacing="1"/>
        <w:ind w:left="540" w:hanging="540"/>
        <w:jc w:val="both"/>
        <w:rPr>
          <w:rFonts w:ascii="Times New Roman" w:hAnsi="Times New Roman"/>
          <w:sz w:val="24"/>
          <w:szCs w:val="24"/>
        </w:rPr>
      </w:pPr>
      <w:r w:rsidRPr="008D1CC4">
        <w:rPr>
          <w:rFonts w:ascii="Times New Roman" w:hAnsi="Times New Roman"/>
          <w:sz w:val="24"/>
          <w:szCs w:val="24"/>
        </w:rPr>
        <w:t xml:space="preserve">Singh, T. (2023). Do terms of trade affect economic growth? Robust evidence from India. </w:t>
      </w:r>
      <w:r w:rsidRPr="008D1CC4">
        <w:rPr>
          <w:rFonts w:ascii="Times New Roman" w:hAnsi="Times New Roman"/>
          <w:i/>
          <w:iCs/>
          <w:sz w:val="24"/>
          <w:szCs w:val="24"/>
        </w:rPr>
        <w:t>Economics of Transition and Institutional Change, 31</w:t>
      </w:r>
      <w:r w:rsidRPr="008D1CC4">
        <w:rPr>
          <w:rFonts w:ascii="Times New Roman" w:hAnsi="Times New Roman"/>
          <w:sz w:val="24"/>
          <w:szCs w:val="24"/>
        </w:rPr>
        <w:t xml:space="preserve">(2), 491–521. </w:t>
      </w:r>
      <w:hyperlink r:id="rId47" w:history="1">
        <w:r w:rsidRPr="008D1CC4">
          <w:rPr>
            <w:rFonts w:ascii="Times New Roman" w:hAnsi="Times New Roman"/>
            <w:color w:val="0000FF"/>
            <w:sz w:val="24"/>
            <w:szCs w:val="24"/>
            <w:u w:val="single"/>
          </w:rPr>
          <w:t>https://doi.org/10.1111/ecot.12339</w:t>
        </w:r>
      </w:hyperlink>
    </w:p>
    <w:p w14:paraId="51752688" w14:textId="77777777" w:rsidR="008D1CC4" w:rsidRPr="008D1CC4" w:rsidRDefault="008D1CC4" w:rsidP="008D1CC4">
      <w:pPr>
        <w:spacing w:before="100" w:beforeAutospacing="1" w:after="100" w:afterAutospacing="1"/>
        <w:ind w:left="540" w:hanging="540"/>
        <w:jc w:val="both"/>
        <w:rPr>
          <w:rFonts w:ascii="Times New Roman" w:hAnsi="Times New Roman"/>
          <w:sz w:val="24"/>
          <w:szCs w:val="24"/>
        </w:rPr>
      </w:pPr>
      <w:r w:rsidRPr="008D1CC4">
        <w:rPr>
          <w:rFonts w:ascii="Times New Roman" w:hAnsi="Times New Roman"/>
          <w:sz w:val="24"/>
          <w:szCs w:val="24"/>
        </w:rPr>
        <w:t xml:space="preserve">Thomas, M. P. (2019). Impact of services trade on economic growth and current account balance: Evidence from India. </w:t>
      </w:r>
      <w:r w:rsidRPr="008D1CC4">
        <w:rPr>
          <w:rFonts w:ascii="Times New Roman" w:hAnsi="Times New Roman"/>
          <w:i/>
          <w:iCs/>
          <w:sz w:val="24"/>
          <w:szCs w:val="24"/>
        </w:rPr>
        <w:t>The Journal of International Trade &amp; Economic Development, 28</w:t>
      </w:r>
      <w:r w:rsidRPr="008D1CC4">
        <w:rPr>
          <w:rFonts w:ascii="Times New Roman" w:hAnsi="Times New Roman"/>
          <w:sz w:val="24"/>
          <w:szCs w:val="24"/>
        </w:rPr>
        <w:t xml:space="preserve">(3), 331–347. </w:t>
      </w:r>
      <w:hyperlink r:id="rId48" w:history="1">
        <w:r w:rsidRPr="008D1CC4">
          <w:rPr>
            <w:rFonts w:ascii="Times New Roman" w:hAnsi="Times New Roman"/>
            <w:color w:val="0000FF"/>
            <w:sz w:val="24"/>
            <w:szCs w:val="24"/>
            <w:u w:val="single"/>
          </w:rPr>
          <w:t>https://doi.org/10.1080/09638199.2018.1538383</w:t>
        </w:r>
      </w:hyperlink>
    </w:p>
    <w:p w14:paraId="16541AA2" w14:textId="77777777" w:rsidR="008D1CC4" w:rsidRPr="008D1CC4" w:rsidRDefault="008D1CC4" w:rsidP="008D1CC4">
      <w:pPr>
        <w:spacing w:before="100" w:beforeAutospacing="1" w:after="100" w:afterAutospacing="1"/>
        <w:ind w:left="540" w:hanging="540"/>
        <w:jc w:val="both"/>
        <w:rPr>
          <w:rFonts w:ascii="Times New Roman" w:hAnsi="Times New Roman"/>
          <w:sz w:val="24"/>
          <w:szCs w:val="24"/>
        </w:rPr>
      </w:pPr>
      <w:r w:rsidRPr="008D1CC4">
        <w:rPr>
          <w:rFonts w:ascii="Times New Roman" w:hAnsi="Times New Roman"/>
          <w:sz w:val="24"/>
          <w:szCs w:val="24"/>
        </w:rPr>
        <w:t xml:space="preserve">Zahonogo, P. (2016). Trade and economic growth in developing countries: Evidence from sub-Saharan Africa. </w:t>
      </w:r>
      <w:r w:rsidRPr="008D1CC4">
        <w:rPr>
          <w:rFonts w:ascii="Times New Roman" w:hAnsi="Times New Roman"/>
          <w:i/>
          <w:iCs/>
          <w:sz w:val="24"/>
          <w:szCs w:val="24"/>
        </w:rPr>
        <w:t>Journal of African Trade, 3</w:t>
      </w:r>
      <w:r w:rsidRPr="008D1CC4">
        <w:rPr>
          <w:rFonts w:ascii="Times New Roman" w:hAnsi="Times New Roman"/>
          <w:sz w:val="24"/>
          <w:szCs w:val="24"/>
        </w:rPr>
        <w:t xml:space="preserve">(1–2), 41–56. </w:t>
      </w:r>
      <w:hyperlink r:id="rId49" w:history="1">
        <w:r w:rsidRPr="008D1CC4">
          <w:rPr>
            <w:rFonts w:ascii="Times New Roman" w:hAnsi="Times New Roman"/>
            <w:color w:val="0000FF"/>
            <w:sz w:val="24"/>
            <w:szCs w:val="24"/>
            <w:u w:val="single"/>
          </w:rPr>
          <w:t>https://doi.org/10.1016/j.joat.2017.02.001</w:t>
        </w:r>
      </w:hyperlink>
    </w:p>
    <w:p w14:paraId="338E698E" w14:textId="77777777" w:rsidR="008D1CC4" w:rsidRPr="008D1CC4" w:rsidRDefault="008D1CC4" w:rsidP="008D1CC4">
      <w:pPr>
        <w:spacing w:before="100" w:beforeAutospacing="1" w:after="100" w:afterAutospacing="1"/>
        <w:ind w:left="540" w:hanging="540"/>
        <w:jc w:val="both"/>
        <w:rPr>
          <w:rFonts w:ascii="Times New Roman" w:hAnsi="Times New Roman"/>
          <w:sz w:val="24"/>
          <w:szCs w:val="24"/>
        </w:rPr>
      </w:pPr>
      <w:r w:rsidRPr="008D1CC4">
        <w:rPr>
          <w:rFonts w:ascii="Times New Roman" w:hAnsi="Times New Roman"/>
          <w:sz w:val="24"/>
          <w:szCs w:val="24"/>
        </w:rPr>
        <w:t xml:space="preserve">Ministry of Commerce and Industry, Government of India. (2026). </w:t>
      </w:r>
      <w:r w:rsidRPr="008D1CC4">
        <w:rPr>
          <w:rFonts w:ascii="Times New Roman" w:hAnsi="Times New Roman"/>
          <w:i/>
          <w:iCs/>
          <w:sz w:val="24"/>
          <w:szCs w:val="24"/>
        </w:rPr>
        <w:t>Trade statistics (TRADESTAT)</w:t>
      </w:r>
      <w:r w:rsidRPr="008D1CC4">
        <w:rPr>
          <w:rFonts w:ascii="Times New Roman" w:hAnsi="Times New Roman"/>
          <w:sz w:val="24"/>
          <w:szCs w:val="24"/>
        </w:rPr>
        <w:t xml:space="preserve">. </w:t>
      </w:r>
      <w:hyperlink r:id="rId50" w:history="1">
        <w:r w:rsidRPr="008D1CC4">
          <w:rPr>
            <w:rFonts w:ascii="Times New Roman" w:hAnsi="Times New Roman"/>
            <w:color w:val="0000FF"/>
            <w:sz w:val="24"/>
            <w:szCs w:val="24"/>
            <w:u w:val="single"/>
          </w:rPr>
          <w:t>https://tradestat.commerce.gov.in/</w:t>
        </w:r>
      </w:hyperlink>
    </w:p>
    <w:p w14:paraId="797448F8" w14:textId="77777777" w:rsidR="008D1CC4" w:rsidRPr="008D1CC4" w:rsidRDefault="008D1CC4" w:rsidP="008D1CC4">
      <w:pPr>
        <w:spacing w:before="100" w:beforeAutospacing="1" w:after="100" w:afterAutospacing="1"/>
        <w:ind w:left="540" w:hanging="540"/>
        <w:jc w:val="both"/>
        <w:rPr>
          <w:rFonts w:ascii="Times New Roman" w:hAnsi="Times New Roman"/>
          <w:sz w:val="24"/>
          <w:szCs w:val="24"/>
        </w:rPr>
      </w:pPr>
      <w:r w:rsidRPr="008D1CC4">
        <w:rPr>
          <w:rFonts w:ascii="Times New Roman" w:hAnsi="Times New Roman"/>
          <w:sz w:val="24"/>
          <w:szCs w:val="24"/>
        </w:rPr>
        <w:t xml:space="preserve">World Bank. (2026). </w:t>
      </w:r>
      <w:r w:rsidRPr="008D1CC4">
        <w:rPr>
          <w:rFonts w:ascii="Times New Roman" w:hAnsi="Times New Roman"/>
          <w:i/>
          <w:iCs/>
          <w:sz w:val="24"/>
          <w:szCs w:val="24"/>
        </w:rPr>
        <w:t>World Development Indicators</w:t>
      </w:r>
      <w:r w:rsidRPr="008D1CC4">
        <w:rPr>
          <w:rFonts w:ascii="Times New Roman" w:hAnsi="Times New Roman"/>
          <w:sz w:val="24"/>
          <w:szCs w:val="24"/>
        </w:rPr>
        <w:t xml:space="preserve"> [Data set]. </w:t>
      </w:r>
      <w:hyperlink r:id="rId51" w:history="1">
        <w:r w:rsidRPr="008D1CC4">
          <w:rPr>
            <w:rFonts w:ascii="Times New Roman" w:hAnsi="Times New Roman"/>
            <w:color w:val="0000FF"/>
            <w:sz w:val="24"/>
            <w:szCs w:val="24"/>
            <w:u w:val="single"/>
          </w:rPr>
          <w:t>https://databank.worldbank.org/source/world-development-indicators</w:t>
        </w:r>
      </w:hyperlink>
    </w:p>
    <w:p w14:paraId="7C0F696E" w14:textId="77777777" w:rsidR="00B01FCD" w:rsidRPr="00634DA9" w:rsidRDefault="00B01FCD" w:rsidP="00441B6F">
      <w:pPr>
        <w:pStyle w:val="Appendix"/>
        <w:spacing w:after="0"/>
        <w:jc w:val="both"/>
        <w:rPr>
          <w:rFonts w:ascii="Arial" w:hAnsi="Arial" w:cs="Arial"/>
          <w:b w:val="0"/>
        </w:rPr>
      </w:pPr>
    </w:p>
    <w:sectPr w:rsidR="00B01FCD" w:rsidRPr="00634DA9" w:rsidSect="00945BCC">
      <w:headerReference w:type="even" r:id="rId52"/>
      <w:headerReference w:type="default" r:id="rId53"/>
      <w:footerReference w:type="default" r:id="rId54"/>
      <w:headerReference w:type="first" r:id="rId55"/>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DB9249" w14:textId="77777777" w:rsidR="00C24014" w:rsidRDefault="00C24014" w:rsidP="00C37E61">
      <w:r>
        <w:separator/>
      </w:r>
    </w:p>
  </w:endnote>
  <w:endnote w:type="continuationSeparator" w:id="0">
    <w:p w14:paraId="1359898F" w14:textId="77777777" w:rsidR="00C24014" w:rsidRDefault="00C24014"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yanmar Text">
    <w:panose1 w:val="020B0502040204020203"/>
    <w:charset w:val="00"/>
    <w:family w:val="swiss"/>
    <w:pitch w:val="variable"/>
    <w:sig w:usb0="80000003" w:usb1="00000000" w:usb2="000004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55EED" w14:textId="77777777" w:rsidR="00945BCC" w:rsidRDefault="00945BC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C5873" w14:textId="77777777" w:rsidR="00945BCC" w:rsidRDefault="00945BC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24930" w14:textId="77777777" w:rsidR="00754C9A" w:rsidRPr="00945BCC" w:rsidRDefault="00754C9A">
    <w:pPr>
      <w:pStyle w:val="Footer"/>
      <w:rPr>
        <w:rFonts w:ascii="Arial" w:hAnsi="Arial" w:cs="Arial"/>
        <w:i/>
        <w:sz w:val="16"/>
        <w:lang w:val="en-GB"/>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C785C" w14:textId="77777777" w:rsidR="00C37E61" w:rsidRPr="00C37E61" w:rsidRDefault="00C37E61" w:rsidP="00C37E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8CFFB1" w14:textId="77777777" w:rsidR="00C24014" w:rsidRDefault="00C24014" w:rsidP="00C37E61">
      <w:r>
        <w:separator/>
      </w:r>
    </w:p>
  </w:footnote>
  <w:footnote w:type="continuationSeparator" w:id="0">
    <w:p w14:paraId="5B19D880" w14:textId="77777777" w:rsidR="00C24014" w:rsidRDefault="00C24014"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737D0" w14:textId="77777777" w:rsidR="00945BCC" w:rsidRDefault="00000000">
    <w:pPr>
      <w:pStyle w:val="Header"/>
    </w:pPr>
    <w:r>
      <w:rPr>
        <w:noProof/>
      </w:rPr>
      <w:pict w14:anchorId="37514E4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11878344" o:spid="_x0000_s1026" type="#_x0000_t136" style="position:absolute;margin-left:0;margin-top:0;width:520.65pt;height:57.85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E655C" w14:textId="77777777" w:rsidR="00945BCC" w:rsidRDefault="00000000">
    <w:pPr>
      <w:pStyle w:val="Header"/>
    </w:pPr>
    <w:r>
      <w:rPr>
        <w:noProof/>
      </w:rPr>
      <w:pict w14:anchorId="3F3E789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11878345" o:spid="_x0000_s1027" type="#_x0000_t136" style="position:absolute;margin-left:0;margin-top:0;width:520.65pt;height:57.85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3B465" w14:textId="77777777" w:rsidR="00296529" w:rsidRPr="00296529" w:rsidRDefault="00000000" w:rsidP="00296529">
    <w:pPr>
      <w:ind w:left="2160"/>
      <w:jc w:val="center"/>
      <w:rPr>
        <w:rFonts w:ascii="Times New Roman" w:eastAsia="Calibri" w:hAnsi="Times New Roman"/>
        <w:i/>
        <w:sz w:val="18"/>
        <w:szCs w:val="22"/>
      </w:rPr>
    </w:pPr>
    <w:r>
      <w:rPr>
        <w:noProof/>
      </w:rPr>
      <w:pict w14:anchorId="7BA222F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11878343" o:spid="_x0000_s1025" type="#_x0000_t136" style="position:absolute;left:0;text-align:left;margin-left:0;margin-top:0;width:520.65pt;height:57.85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6F8C4DDF" w14:textId="77777777" w:rsidR="00296529" w:rsidRPr="00296529" w:rsidRDefault="00754C9A" w:rsidP="00296529">
    <w:pPr>
      <w:ind w:left="4320"/>
      <w:rPr>
        <w:rFonts w:ascii="Times New Roman" w:eastAsia="Calibri" w:hAnsi="Times New Roman"/>
        <w:i/>
        <w:sz w:val="18"/>
        <w:szCs w:val="22"/>
      </w:rPr>
    </w:pPr>
    <w:r>
      <w:rPr>
        <w:rFonts w:ascii="Times New Roman" w:eastAsia="Calibri" w:hAnsi="Times New Roman"/>
        <w:i/>
        <w:sz w:val="18"/>
        <w:szCs w:val="22"/>
      </w:rPr>
      <w:t>.</w:t>
    </w:r>
    <w:r w:rsidR="00296529" w:rsidRPr="00296529">
      <w:rPr>
        <w:rFonts w:ascii="Times New Roman" w:eastAsia="Calibri" w:hAnsi="Times New Roman"/>
        <w:i/>
        <w:sz w:val="18"/>
        <w:szCs w:val="22"/>
      </w:rPr>
      <w:t xml:space="preserve">     </w:t>
    </w:r>
  </w:p>
  <w:p w14:paraId="74945347" w14:textId="77777777" w:rsidR="00296529" w:rsidRPr="00296529" w:rsidRDefault="00754C9A" w:rsidP="00296529">
    <w:pPr>
      <w:jc w:val="center"/>
      <w:rPr>
        <w:rFonts w:ascii="Times New Roman" w:eastAsia="Calibri" w:hAnsi="Times New Roman"/>
        <w:i/>
        <w:sz w:val="18"/>
        <w:szCs w:val="22"/>
      </w:rPr>
    </w:pPr>
    <w:r>
      <w:rPr>
        <w:rFonts w:ascii="Times New Roman" w:eastAsia="Calibri" w:hAnsi="Times New Roman"/>
        <w:i/>
        <w:sz w:val="18"/>
        <w:szCs w:val="22"/>
      </w:rPr>
      <w:t>.</w:t>
    </w:r>
  </w:p>
  <w:p w14:paraId="794BC0F4" w14:textId="77777777" w:rsidR="00296529" w:rsidRPr="00296529" w:rsidRDefault="00296529"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sidR="00754C9A">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6A363BB6" w14:textId="77777777" w:rsidR="00296529" w:rsidRDefault="00296529"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3D9DA4B0" w14:textId="77777777" w:rsidR="00296529" w:rsidRDefault="00296529"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r>
    <w:r w:rsidR="00754C9A">
      <w:rPr>
        <w:rFonts w:ascii="Times New Roman" w:eastAsia="Calibri" w:hAnsi="Times New Roman"/>
        <w:i/>
        <w:sz w:val="18"/>
        <w:szCs w:val="22"/>
      </w:rPr>
      <w:t>.</w:t>
    </w:r>
  </w:p>
  <w:p w14:paraId="63C3B92B" w14:textId="77777777" w:rsidR="00296529" w:rsidRDefault="00754C9A">
    <w:pPr>
      <w:pStyle w:val="Header"/>
    </w:pPr>
    <w: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304B1" w14:textId="77777777" w:rsidR="00945BCC" w:rsidRDefault="00000000">
    <w:pPr>
      <w:pStyle w:val="Header"/>
    </w:pPr>
    <w:r>
      <w:rPr>
        <w:noProof/>
      </w:rPr>
      <w:pict w14:anchorId="1F7642B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11878347" o:spid="_x0000_s1031" type="#_x0000_t136" style="position:absolute;margin-left:0;margin-top:0;width:520.65pt;height:57.85pt;rotation:315;z-index:-25164492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6A409C3C">
        <v:shape id="_x0000_s1030" type="#_x0000_t136" style="position:absolute;margin-left:0;margin-top:0;width:520.65pt;height:57.85pt;rotation:315;z-index:-25164697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C6634" w14:textId="77777777" w:rsidR="00945BCC" w:rsidRDefault="00000000">
    <w:pPr>
      <w:pStyle w:val="Header"/>
    </w:pPr>
    <w:r>
      <w:rPr>
        <w:noProof/>
      </w:rPr>
      <w:pict w14:anchorId="1651216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11878348" o:spid="_x0000_s1033" type="#_x0000_t136" style="position:absolute;margin-left:0;margin-top:0;width:520.65pt;height:57.85pt;rotation:315;z-index:-251640832;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190532B7">
        <v:shape id="_x0000_s1032" type="#_x0000_t136" style="position:absolute;margin-left:0;margin-top:0;width:520.65pt;height:57.85pt;rotation:315;z-index:-25164288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B45D6" w14:textId="77777777" w:rsidR="00945BCC" w:rsidRPr="00296529" w:rsidRDefault="00000000" w:rsidP="00296529">
    <w:pPr>
      <w:ind w:left="2160"/>
      <w:jc w:val="center"/>
      <w:rPr>
        <w:rFonts w:ascii="Times New Roman" w:eastAsia="Calibri" w:hAnsi="Times New Roman"/>
        <w:i/>
        <w:sz w:val="18"/>
        <w:szCs w:val="22"/>
      </w:rPr>
    </w:pPr>
    <w:r>
      <w:rPr>
        <w:noProof/>
      </w:rPr>
      <w:pict w14:anchorId="58085CF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11878346" o:spid="_x0000_s1029" type="#_x0000_t136" style="position:absolute;left:0;text-align:left;margin-left:0;margin-top:0;width:520.65pt;height:57.85pt;rotation:315;z-index:-251649024;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398FCBE8">
        <v:shape id="_x0000_s1028" type="#_x0000_t136" style="position:absolute;left:0;text-align:left;margin-left:0;margin-top:0;width:520.65pt;height:57.85pt;rotation:315;z-index:-251651072;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0DA3171C" w14:textId="77777777" w:rsidR="00945BCC" w:rsidRPr="00296529" w:rsidRDefault="00945BCC" w:rsidP="00296529">
    <w:pPr>
      <w:ind w:left="4320"/>
      <w:rPr>
        <w:rFonts w:ascii="Times New Roman" w:eastAsia="Calibri" w:hAnsi="Times New Roman"/>
        <w:i/>
        <w:sz w:val="18"/>
        <w:szCs w:val="22"/>
      </w:rPr>
    </w:pPr>
    <w:r>
      <w:rPr>
        <w:rFonts w:ascii="Times New Roman" w:eastAsia="Calibri" w:hAnsi="Times New Roman"/>
        <w:i/>
        <w:sz w:val="18"/>
        <w:szCs w:val="22"/>
      </w:rPr>
      <w:t>.</w:t>
    </w:r>
    <w:r w:rsidRPr="00296529">
      <w:rPr>
        <w:rFonts w:ascii="Times New Roman" w:eastAsia="Calibri" w:hAnsi="Times New Roman"/>
        <w:i/>
        <w:sz w:val="18"/>
        <w:szCs w:val="22"/>
      </w:rPr>
      <w:t xml:space="preserve">     </w:t>
    </w:r>
  </w:p>
  <w:p w14:paraId="44BA4405" w14:textId="77777777" w:rsidR="00945BCC" w:rsidRPr="00296529" w:rsidRDefault="00945BCC" w:rsidP="00296529">
    <w:pPr>
      <w:jc w:val="center"/>
      <w:rPr>
        <w:rFonts w:ascii="Times New Roman" w:eastAsia="Calibri" w:hAnsi="Times New Roman"/>
        <w:i/>
        <w:sz w:val="18"/>
        <w:szCs w:val="22"/>
      </w:rPr>
    </w:pPr>
    <w:r>
      <w:rPr>
        <w:rFonts w:ascii="Times New Roman" w:eastAsia="Calibri" w:hAnsi="Times New Roman"/>
        <w:i/>
        <w:sz w:val="18"/>
        <w:szCs w:val="22"/>
      </w:rPr>
      <w:t>.</w:t>
    </w:r>
  </w:p>
  <w:p w14:paraId="38D04C28" w14:textId="77777777" w:rsidR="00945BCC" w:rsidRPr="00296529" w:rsidRDefault="00945BCC"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2A067A4B" w14:textId="77777777" w:rsidR="00945BCC" w:rsidRDefault="00945BCC"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558E47F7" w14:textId="77777777" w:rsidR="00945BCC" w:rsidRDefault="00945BCC"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4E6BBBD3" w14:textId="77777777" w:rsidR="00945BCC" w:rsidRDefault="00945BCC">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15:restartNumberingAfterBreak="0">
    <w:nsid w:val="092E5432"/>
    <w:multiLevelType w:val="hybridMultilevel"/>
    <w:tmpl w:val="93FE1BE4"/>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0D373A36"/>
    <w:multiLevelType w:val="multilevel"/>
    <w:tmpl w:val="E4BCB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0FA27EE3"/>
    <w:multiLevelType w:val="hybridMultilevel"/>
    <w:tmpl w:val="4634B9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598261D"/>
    <w:multiLevelType w:val="multilevel"/>
    <w:tmpl w:val="E5A0CC3A"/>
    <w:lvl w:ilvl="0">
      <w:start w:val="3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2"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3" w15:restartNumberingAfterBreak="0">
    <w:nsid w:val="1CC601C8"/>
    <w:multiLevelType w:val="multilevel"/>
    <w:tmpl w:val="FD623C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7"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8" w15:restartNumberingAfterBreak="0">
    <w:nsid w:val="2EB93407"/>
    <w:multiLevelType w:val="multilevel"/>
    <w:tmpl w:val="46EE7C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0"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1" w15:restartNumberingAfterBreak="0">
    <w:nsid w:val="4505259F"/>
    <w:multiLevelType w:val="multilevel"/>
    <w:tmpl w:val="F774C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23" w15:restartNumberingAfterBreak="0">
    <w:nsid w:val="4EA718AC"/>
    <w:multiLevelType w:val="multilevel"/>
    <w:tmpl w:val="4FBEB63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FCE5BF8"/>
    <w:multiLevelType w:val="hybridMultilevel"/>
    <w:tmpl w:val="C764C996"/>
    <w:lvl w:ilvl="0" w:tplc="BBF2D5F6">
      <w:numFmt w:val="bullet"/>
      <w:lvlText w:val="-"/>
      <w:lvlJc w:val="left"/>
      <w:pPr>
        <w:ind w:left="720" w:hanging="360"/>
      </w:pPr>
      <w:rPr>
        <w:rFonts w:ascii="Times New Roman" w:eastAsiaTheme="minorHAnsi"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5"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7" w15:restartNumberingAfterBreak="0">
    <w:nsid w:val="616B0868"/>
    <w:multiLevelType w:val="hybridMultilevel"/>
    <w:tmpl w:val="687CC48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8"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9"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30"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32"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3"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34"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6"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1233930989">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418795432">
    <w:abstractNumId w:val="22"/>
  </w:num>
  <w:num w:numId="3" w16cid:durableId="1810052703">
    <w:abstractNumId w:val="33"/>
  </w:num>
  <w:num w:numId="4" w16cid:durableId="839733561">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166869067">
    <w:abstractNumId w:val="11"/>
  </w:num>
  <w:num w:numId="6" w16cid:durableId="686325653">
    <w:abstractNumId w:val="8"/>
  </w:num>
  <w:num w:numId="7" w16cid:durableId="699664088">
    <w:abstractNumId w:val="1"/>
  </w:num>
  <w:num w:numId="8" w16cid:durableId="1843278224">
    <w:abstractNumId w:val="17"/>
  </w:num>
  <w:num w:numId="9" w16cid:durableId="1206672263">
    <w:abstractNumId w:val="35"/>
  </w:num>
  <w:num w:numId="10" w16cid:durableId="141703807">
    <w:abstractNumId w:val="2"/>
  </w:num>
  <w:num w:numId="11" w16cid:durableId="571307620">
    <w:abstractNumId w:val="28"/>
  </w:num>
  <w:num w:numId="12" w16cid:durableId="1629579916">
    <w:abstractNumId w:val="3"/>
  </w:num>
  <w:num w:numId="13" w16cid:durableId="819734793">
    <w:abstractNumId w:val="26"/>
  </w:num>
  <w:num w:numId="14" w16cid:durableId="1765686573">
    <w:abstractNumId w:val="12"/>
  </w:num>
  <w:num w:numId="15" w16cid:durableId="2101247976">
    <w:abstractNumId w:val="31"/>
  </w:num>
  <w:num w:numId="16" w16cid:durableId="1360549831">
    <w:abstractNumId w:val="5"/>
  </w:num>
  <w:num w:numId="17" w16cid:durableId="427849865">
    <w:abstractNumId w:val="32"/>
  </w:num>
  <w:num w:numId="18" w16cid:durableId="445075490">
    <w:abstractNumId w:val="20"/>
  </w:num>
  <w:num w:numId="19" w16cid:durableId="1703943570">
    <w:abstractNumId w:val="38"/>
  </w:num>
  <w:num w:numId="20" w16cid:durableId="700938069">
    <w:abstractNumId w:val="16"/>
  </w:num>
  <w:num w:numId="21" w16cid:durableId="2066100726">
    <w:abstractNumId w:val="14"/>
  </w:num>
  <w:num w:numId="22" w16cid:durableId="605235832">
    <w:abstractNumId w:val="19"/>
  </w:num>
  <w:num w:numId="23" w16cid:durableId="358240817">
    <w:abstractNumId w:val="29"/>
  </w:num>
  <w:num w:numId="24" w16cid:durableId="1312100406">
    <w:abstractNumId w:val="36"/>
  </w:num>
  <w:num w:numId="25" w16cid:durableId="402990049">
    <w:abstractNumId w:val="4"/>
  </w:num>
  <w:num w:numId="26" w16cid:durableId="1377654359">
    <w:abstractNumId w:val="25"/>
  </w:num>
  <w:num w:numId="27" w16cid:durableId="892888860">
    <w:abstractNumId w:val="30"/>
  </w:num>
  <w:num w:numId="28" w16cid:durableId="149755238">
    <w:abstractNumId w:val="37"/>
  </w:num>
  <w:num w:numId="29" w16cid:durableId="1262376563">
    <w:abstractNumId w:val="34"/>
  </w:num>
  <w:num w:numId="30" w16cid:durableId="1145318054">
    <w:abstractNumId w:val="15"/>
  </w:num>
  <w:num w:numId="31" w16cid:durableId="800612974">
    <w:abstractNumId w:val="24"/>
  </w:num>
  <w:num w:numId="32" w16cid:durableId="281110982">
    <w:abstractNumId w:val="18"/>
  </w:num>
  <w:num w:numId="33" w16cid:durableId="604919441">
    <w:abstractNumId w:val="7"/>
  </w:num>
  <w:num w:numId="34" w16cid:durableId="2107384424">
    <w:abstractNumId w:val="21"/>
  </w:num>
  <w:num w:numId="35" w16cid:durableId="1609392851">
    <w:abstractNumId w:val="6"/>
  </w:num>
  <w:num w:numId="36" w16cid:durableId="2028021687">
    <w:abstractNumId w:val="27"/>
  </w:num>
  <w:num w:numId="37" w16cid:durableId="978270340">
    <w:abstractNumId w:val="13"/>
  </w:num>
  <w:num w:numId="38" w16cid:durableId="730734724">
    <w:abstractNumId w:val="23"/>
  </w:num>
  <w:num w:numId="39" w16cid:durableId="807090663">
    <w:abstractNumId w:val="10"/>
  </w:num>
  <w:num w:numId="40" w16cid:durableId="204455023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1"/>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xNjY2MTewMDAwMLU0szRQ0lEKTi0uzszPAykwrAUALAHEmCwAAAA="/>
  </w:docVars>
  <w:rsids>
    <w:rsidRoot w:val="00AA6219"/>
    <w:rsid w:val="00000F8F"/>
    <w:rsid w:val="00030174"/>
    <w:rsid w:val="0004579C"/>
    <w:rsid w:val="000A47FA"/>
    <w:rsid w:val="000A65D3"/>
    <w:rsid w:val="000B1E33"/>
    <w:rsid w:val="000D689F"/>
    <w:rsid w:val="000E7B7B"/>
    <w:rsid w:val="000E7D62"/>
    <w:rsid w:val="00103357"/>
    <w:rsid w:val="00123C9F"/>
    <w:rsid w:val="00126190"/>
    <w:rsid w:val="00130F17"/>
    <w:rsid w:val="001320BF"/>
    <w:rsid w:val="00143D46"/>
    <w:rsid w:val="00147687"/>
    <w:rsid w:val="00157B05"/>
    <w:rsid w:val="00163BC4"/>
    <w:rsid w:val="00191062"/>
    <w:rsid w:val="00192B72"/>
    <w:rsid w:val="001A29D8"/>
    <w:rsid w:val="001A5CAA"/>
    <w:rsid w:val="001B0427"/>
    <w:rsid w:val="001B244C"/>
    <w:rsid w:val="001D3A51"/>
    <w:rsid w:val="001E10D2"/>
    <w:rsid w:val="001E25B4"/>
    <w:rsid w:val="001E44FE"/>
    <w:rsid w:val="00200595"/>
    <w:rsid w:val="00204835"/>
    <w:rsid w:val="00231920"/>
    <w:rsid w:val="0023195C"/>
    <w:rsid w:val="0024282C"/>
    <w:rsid w:val="002460DC"/>
    <w:rsid w:val="00250985"/>
    <w:rsid w:val="002556F6"/>
    <w:rsid w:val="00283105"/>
    <w:rsid w:val="00284C4C"/>
    <w:rsid w:val="00287E68"/>
    <w:rsid w:val="00296529"/>
    <w:rsid w:val="002B27FB"/>
    <w:rsid w:val="002B685A"/>
    <w:rsid w:val="002C57D2"/>
    <w:rsid w:val="002E0D56"/>
    <w:rsid w:val="00315186"/>
    <w:rsid w:val="0033343E"/>
    <w:rsid w:val="00340D8A"/>
    <w:rsid w:val="003512C2"/>
    <w:rsid w:val="00371FB6"/>
    <w:rsid w:val="003763C1"/>
    <w:rsid w:val="00376BBE"/>
    <w:rsid w:val="0039224F"/>
    <w:rsid w:val="003A14B2"/>
    <w:rsid w:val="003A43A4"/>
    <w:rsid w:val="003A7E18"/>
    <w:rsid w:val="003C4C86"/>
    <w:rsid w:val="003C6258"/>
    <w:rsid w:val="003E2904"/>
    <w:rsid w:val="003E740D"/>
    <w:rsid w:val="003F038A"/>
    <w:rsid w:val="00401927"/>
    <w:rsid w:val="0041027F"/>
    <w:rsid w:val="00412475"/>
    <w:rsid w:val="00423789"/>
    <w:rsid w:val="00435195"/>
    <w:rsid w:val="00440F43"/>
    <w:rsid w:val="00441B6F"/>
    <w:rsid w:val="00446221"/>
    <w:rsid w:val="00450E62"/>
    <w:rsid w:val="004539DB"/>
    <w:rsid w:val="00471A80"/>
    <w:rsid w:val="004D305E"/>
    <w:rsid w:val="004D4277"/>
    <w:rsid w:val="00502516"/>
    <w:rsid w:val="00505F06"/>
    <w:rsid w:val="00506828"/>
    <w:rsid w:val="0053056E"/>
    <w:rsid w:val="00546C49"/>
    <w:rsid w:val="00554FDA"/>
    <w:rsid w:val="0056394F"/>
    <w:rsid w:val="005B2D17"/>
    <w:rsid w:val="005C784C"/>
    <w:rsid w:val="005D17F6"/>
    <w:rsid w:val="005E5539"/>
    <w:rsid w:val="00602BF5"/>
    <w:rsid w:val="00617FDD"/>
    <w:rsid w:val="00633614"/>
    <w:rsid w:val="00633F68"/>
    <w:rsid w:val="00634DA9"/>
    <w:rsid w:val="00636EB2"/>
    <w:rsid w:val="006375B8"/>
    <w:rsid w:val="0066510A"/>
    <w:rsid w:val="00673F9F"/>
    <w:rsid w:val="00686953"/>
    <w:rsid w:val="00687DEA"/>
    <w:rsid w:val="00687E67"/>
    <w:rsid w:val="006967F7"/>
    <w:rsid w:val="006A250C"/>
    <w:rsid w:val="006B21D3"/>
    <w:rsid w:val="006B57D0"/>
    <w:rsid w:val="006D30FF"/>
    <w:rsid w:val="006D6940"/>
    <w:rsid w:val="006F11EC"/>
    <w:rsid w:val="0070082C"/>
    <w:rsid w:val="007369E6"/>
    <w:rsid w:val="00746E59"/>
    <w:rsid w:val="00754C9A"/>
    <w:rsid w:val="0075599A"/>
    <w:rsid w:val="00761D52"/>
    <w:rsid w:val="0077749E"/>
    <w:rsid w:val="00790ADA"/>
    <w:rsid w:val="007D2288"/>
    <w:rsid w:val="007E088F"/>
    <w:rsid w:val="007E6B87"/>
    <w:rsid w:val="007F7B32"/>
    <w:rsid w:val="00804BC2"/>
    <w:rsid w:val="0081431A"/>
    <w:rsid w:val="0083216F"/>
    <w:rsid w:val="00860000"/>
    <w:rsid w:val="00863BD3"/>
    <w:rsid w:val="008641ED"/>
    <w:rsid w:val="00866D66"/>
    <w:rsid w:val="008671C6"/>
    <w:rsid w:val="00875803"/>
    <w:rsid w:val="008A6EC0"/>
    <w:rsid w:val="008B459E"/>
    <w:rsid w:val="008D1CC4"/>
    <w:rsid w:val="008E13AE"/>
    <w:rsid w:val="008E1506"/>
    <w:rsid w:val="008E710C"/>
    <w:rsid w:val="008F69D6"/>
    <w:rsid w:val="00902823"/>
    <w:rsid w:val="00915CA6"/>
    <w:rsid w:val="00927834"/>
    <w:rsid w:val="00945BCC"/>
    <w:rsid w:val="009500A6"/>
    <w:rsid w:val="009502AC"/>
    <w:rsid w:val="00957C18"/>
    <w:rsid w:val="009643AF"/>
    <w:rsid w:val="009659BA"/>
    <w:rsid w:val="00983040"/>
    <w:rsid w:val="00990FE2"/>
    <w:rsid w:val="009B3FB9"/>
    <w:rsid w:val="009C2465"/>
    <w:rsid w:val="009D35A0"/>
    <w:rsid w:val="009D7EB7"/>
    <w:rsid w:val="009E048A"/>
    <w:rsid w:val="009E08E9"/>
    <w:rsid w:val="009E3DB9"/>
    <w:rsid w:val="009E6E35"/>
    <w:rsid w:val="009F0EDA"/>
    <w:rsid w:val="00A03B96"/>
    <w:rsid w:val="00A05B19"/>
    <w:rsid w:val="00A1134E"/>
    <w:rsid w:val="00A11DE5"/>
    <w:rsid w:val="00A20E5A"/>
    <w:rsid w:val="00A24E7E"/>
    <w:rsid w:val="00A258C3"/>
    <w:rsid w:val="00A347C0"/>
    <w:rsid w:val="00A51431"/>
    <w:rsid w:val="00A539AD"/>
    <w:rsid w:val="00A94063"/>
    <w:rsid w:val="00AA6219"/>
    <w:rsid w:val="00AA74E0"/>
    <w:rsid w:val="00AB703F"/>
    <w:rsid w:val="00AC6BB8"/>
    <w:rsid w:val="00AE008F"/>
    <w:rsid w:val="00B01FCD"/>
    <w:rsid w:val="00B1776C"/>
    <w:rsid w:val="00B17D18"/>
    <w:rsid w:val="00B52583"/>
    <w:rsid w:val="00B52896"/>
    <w:rsid w:val="00B95236"/>
    <w:rsid w:val="00B96BD9"/>
    <w:rsid w:val="00BA1B01"/>
    <w:rsid w:val="00BA2641"/>
    <w:rsid w:val="00BB37AA"/>
    <w:rsid w:val="00BB515C"/>
    <w:rsid w:val="00BC53A0"/>
    <w:rsid w:val="00BC6BBF"/>
    <w:rsid w:val="00BE62AD"/>
    <w:rsid w:val="00BF121F"/>
    <w:rsid w:val="00BF1F80"/>
    <w:rsid w:val="00C166EF"/>
    <w:rsid w:val="00C17EB0"/>
    <w:rsid w:val="00C2371E"/>
    <w:rsid w:val="00C24014"/>
    <w:rsid w:val="00C27F5F"/>
    <w:rsid w:val="00C30A0F"/>
    <w:rsid w:val="00C37B5C"/>
    <w:rsid w:val="00C37E61"/>
    <w:rsid w:val="00C47DFB"/>
    <w:rsid w:val="00C70F1B"/>
    <w:rsid w:val="00C7188D"/>
    <w:rsid w:val="00C71A47"/>
    <w:rsid w:val="00C7464C"/>
    <w:rsid w:val="00C85588"/>
    <w:rsid w:val="00CA69A2"/>
    <w:rsid w:val="00CB44FA"/>
    <w:rsid w:val="00CD6755"/>
    <w:rsid w:val="00CD6856"/>
    <w:rsid w:val="00CE0089"/>
    <w:rsid w:val="00CE793C"/>
    <w:rsid w:val="00CF193C"/>
    <w:rsid w:val="00D173F1"/>
    <w:rsid w:val="00D53D48"/>
    <w:rsid w:val="00D64050"/>
    <w:rsid w:val="00D74CB0"/>
    <w:rsid w:val="00D8295D"/>
    <w:rsid w:val="00DC2A65"/>
    <w:rsid w:val="00DE15F0"/>
    <w:rsid w:val="00DE5663"/>
    <w:rsid w:val="00DE78AA"/>
    <w:rsid w:val="00E053D0"/>
    <w:rsid w:val="00E15994"/>
    <w:rsid w:val="00E3114E"/>
    <w:rsid w:val="00E31A70"/>
    <w:rsid w:val="00E32D1C"/>
    <w:rsid w:val="00E35B02"/>
    <w:rsid w:val="00E66496"/>
    <w:rsid w:val="00E66B35"/>
    <w:rsid w:val="00E66E10"/>
    <w:rsid w:val="00E769F6"/>
    <w:rsid w:val="00E8407C"/>
    <w:rsid w:val="00E84F3C"/>
    <w:rsid w:val="00EA012C"/>
    <w:rsid w:val="00EC6A55"/>
    <w:rsid w:val="00ED0288"/>
    <w:rsid w:val="00EE52CB"/>
    <w:rsid w:val="00EF581D"/>
    <w:rsid w:val="00EF7FD8"/>
    <w:rsid w:val="00F06F59"/>
    <w:rsid w:val="00F17988"/>
    <w:rsid w:val="00F32FC3"/>
    <w:rsid w:val="00F469F0"/>
    <w:rsid w:val="00F53273"/>
    <w:rsid w:val="00F755E4"/>
    <w:rsid w:val="00F77D02"/>
    <w:rsid w:val="00FB3A86"/>
    <w:rsid w:val="00FC4280"/>
    <w:rsid w:val="00FD36C8"/>
  </w:rsids>
  <m:mathPr>
    <m:mathFont m:val="Cambria Math"/>
    <m:brkBin m:val="before"/>
    <m:brkBinSub m:val="--"/>
    <m:smallFrac m:val="0"/>
    <m:dispDef/>
    <m:lMargin m:val="0"/>
    <m:rMargin m:val="0"/>
    <m:defJc m:val="centerGroup"/>
    <m:wrapIndent m:val="1440"/>
    <m:intLim m:val="subSup"/>
    <m:naryLim m:val="undOvr"/>
  </m:mathPr>
  <w:themeFontLang w:val="en-US" w:bidi="my-MM"/>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rules v:ext="edit">
        <o:r id="V:Rule1" type="connector" idref="#_x0000_s2050"/>
      </o:rules>
    </o:shapelayout>
  </w:shapeDefaults>
  <w:decimalSymbol w:val="."/>
  <w:listSeparator w:val=","/>
  <w14:docId w14:val="48FC0633"/>
  <w15:docId w15:val="{FB5E9E74-C5B3-422F-B9CC-E247798E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3789"/>
    <w:rPr>
      <w:rFonts w:ascii="Helvetica" w:hAnsi="Helvetica"/>
    </w:rPr>
  </w:style>
  <w:style w:type="paragraph" w:styleId="Heading1">
    <w:name w:val="heading 1"/>
    <w:basedOn w:val="Normal"/>
    <w:next w:val="Normal"/>
    <w:qFormat/>
    <w:rsid w:val="00423789"/>
    <w:pPr>
      <w:keepNext/>
      <w:spacing w:before="240" w:after="60"/>
      <w:outlineLvl w:val="0"/>
    </w:pPr>
    <w:rPr>
      <w:rFonts w:ascii="Arial" w:hAnsi="Arial"/>
      <w:b/>
      <w:kern w:val="28"/>
      <w:sz w:val="28"/>
    </w:rPr>
  </w:style>
  <w:style w:type="paragraph" w:styleId="Heading3">
    <w:name w:val="heading 3"/>
    <w:basedOn w:val="Normal"/>
    <w:next w:val="Normal"/>
    <w:link w:val="Heading3Char"/>
    <w:semiHidden/>
    <w:unhideWhenUsed/>
    <w:qFormat/>
    <w:rsid w:val="003A14B2"/>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3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styleId="UnresolvedMention">
    <w:name w:val="Unresolved Mention"/>
    <w:basedOn w:val="DefaultParagraphFont"/>
    <w:uiPriority w:val="99"/>
    <w:semiHidden/>
    <w:unhideWhenUsed/>
    <w:rsid w:val="00287E68"/>
    <w:rPr>
      <w:color w:val="605E5C"/>
      <w:shd w:val="clear" w:color="auto" w:fill="E1DFDD"/>
    </w:rPr>
  </w:style>
  <w:style w:type="character" w:customStyle="1" w:styleId="Heading3Char">
    <w:name w:val="Heading 3 Char"/>
    <w:basedOn w:val="DefaultParagraphFont"/>
    <w:link w:val="Heading3"/>
    <w:uiPriority w:val="9"/>
    <w:rsid w:val="003A14B2"/>
    <w:rPr>
      <w:rFonts w:asciiTheme="majorHAnsi" w:eastAsiaTheme="majorEastAsia" w:hAnsiTheme="majorHAnsi" w:cstheme="majorBidi"/>
      <w:color w:val="243F60" w:themeColor="accent1" w:themeShade="7F"/>
      <w:sz w:val="24"/>
      <w:szCs w:val="24"/>
    </w:rPr>
  </w:style>
  <w:style w:type="paragraph" w:styleId="ListParagraph">
    <w:name w:val="List Paragraph"/>
    <w:basedOn w:val="Normal"/>
    <w:uiPriority w:val="34"/>
    <w:qFormat/>
    <w:rsid w:val="003A14B2"/>
    <w:pPr>
      <w:spacing w:after="160" w:line="259" w:lineRule="auto"/>
      <w:ind w:left="720"/>
      <w:contextualSpacing/>
    </w:pPr>
    <w:rPr>
      <w:rFonts w:asciiTheme="minorHAnsi" w:eastAsiaTheme="minorHAnsi" w:hAnsiTheme="minorHAnsi" w:cstheme="minorBidi"/>
      <w:kern w:val="2"/>
      <w:sz w:val="22"/>
      <w:szCs w:val="22"/>
      <w:lang w:val="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yperlink" Target="https://doi.org/10.1177/0972150920953546" TargetMode="External"/><Relationship Id="rId26" Type="http://schemas.openxmlformats.org/officeDocument/2006/relationships/hyperlink" Target="https://doi.org/10.1177/0015732515616545" TargetMode="External"/><Relationship Id="rId39" Type="http://schemas.openxmlformats.org/officeDocument/2006/relationships/hyperlink" Target="https://doi.org/10.54443/ijset.v2i4.149" TargetMode="External"/><Relationship Id="rId21" Type="http://schemas.openxmlformats.org/officeDocument/2006/relationships/hyperlink" Target="https://doi.org/10.5958/2322-0430.2019.00064.7" TargetMode="External"/><Relationship Id="rId34" Type="http://schemas.openxmlformats.org/officeDocument/2006/relationships/hyperlink" Target="https://old.rrjournals.com/wp-content/uploads/2018/11/645-650_RRIJM180311131.pdf" TargetMode="External"/><Relationship Id="rId42" Type="http://schemas.openxmlformats.org/officeDocument/2006/relationships/hyperlink" Target="https://doi.org/10.1177/09749306211023621" TargetMode="External"/><Relationship Id="rId47" Type="http://schemas.openxmlformats.org/officeDocument/2006/relationships/hyperlink" Target="https://doi.org/10.1111/ecot.12339" TargetMode="External"/><Relationship Id="rId50" Type="http://schemas.openxmlformats.org/officeDocument/2006/relationships/hyperlink" Target="https://tradestat.commerce.gov.in/" TargetMode="External"/><Relationship Id="rId55" Type="http://schemas.openxmlformats.org/officeDocument/2006/relationships/header" Target="header6.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15549/jeecar.v9i6.1019" TargetMode="External"/><Relationship Id="rId29" Type="http://schemas.openxmlformats.org/officeDocument/2006/relationships/hyperlink" Target="https://doi.org/10.14330/cwr.2023.9.2.07" TargetMode="External"/><Relationship Id="rId11" Type="http://schemas.openxmlformats.org/officeDocument/2006/relationships/footer" Target="footer2.xml"/><Relationship Id="rId24" Type="http://schemas.openxmlformats.org/officeDocument/2006/relationships/hyperlink" Target="https://doi.org/10.56557/jet/2026/v11i110569" TargetMode="External"/><Relationship Id="rId32" Type="http://schemas.openxmlformats.org/officeDocument/2006/relationships/hyperlink" Target="https://doi.org/10.1177/0972150920927684" TargetMode="External"/><Relationship Id="rId37" Type="http://schemas.openxmlformats.org/officeDocument/2006/relationships/hyperlink" Target="https://doi.org/10.1002/pa.2074" TargetMode="External"/><Relationship Id="rId40" Type="http://schemas.openxmlformats.org/officeDocument/2006/relationships/hyperlink" Target="https://doi.org/10.1177/0019466220935552" TargetMode="External"/><Relationship Id="rId45" Type="http://schemas.openxmlformats.org/officeDocument/2006/relationships/hyperlink" Target="https://doi.org/10.9734/sajsse/2025/v22i3965" TargetMode="External"/><Relationship Id="rId53" Type="http://schemas.openxmlformats.org/officeDocument/2006/relationships/header" Target="header5.xml"/><Relationship Id="rId5" Type="http://schemas.openxmlformats.org/officeDocument/2006/relationships/webSettings" Target="webSettings.xml"/><Relationship Id="rId19" Type="http://schemas.openxmlformats.org/officeDocument/2006/relationships/hyperlink" Target="https://doi.org/10.1177/00194662231159854"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chart" Target="charts/chart1.xml"/><Relationship Id="rId22" Type="http://schemas.openxmlformats.org/officeDocument/2006/relationships/hyperlink" Target="https://doi.org/10.1177/00194662241263316" TargetMode="External"/><Relationship Id="rId27" Type="http://schemas.openxmlformats.org/officeDocument/2006/relationships/hyperlink" Target="https://doi.org/10.1177/09763996261472966" TargetMode="External"/><Relationship Id="rId30" Type="http://schemas.openxmlformats.org/officeDocument/2006/relationships/hyperlink" Target="https://doi.org/10.1080/23322039.2017.1332820" TargetMode="External"/><Relationship Id="rId35" Type="http://schemas.openxmlformats.org/officeDocument/2006/relationships/hyperlink" Target="https://doi.org/10.1080/23322039.2020.1782659" TargetMode="External"/><Relationship Id="rId43" Type="http://schemas.openxmlformats.org/officeDocument/2006/relationships/hyperlink" Target="https://doi.org/10.1057/s41599-025-05099-x" TargetMode="External"/><Relationship Id="rId48" Type="http://schemas.openxmlformats.org/officeDocument/2006/relationships/hyperlink" Target="https://doi.org/10.1080/09638199.2018.1538383" TargetMode="External"/><Relationship Id="rId56" Type="http://schemas.openxmlformats.org/officeDocument/2006/relationships/fontTable" Target="fontTable.xml"/><Relationship Id="rId8" Type="http://schemas.openxmlformats.org/officeDocument/2006/relationships/header" Target="header1.xml"/><Relationship Id="rId51" Type="http://schemas.openxmlformats.org/officeDocument/2006/relationships/hyperlink" Target="https://databank.worldbank.org/source/world-development-indicators" TargetMode="Externa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hyperlink" Target="https://doi.org/10.1177/00194662251335887" TargetMode="External"/><Relationship Id="rId25" Type="http://schemas.openxmlformats.org/officeDocument/2006/relationships/hyperlink" Target="https://doi.org/10.18488/journal.aefr.2019.91.1.29" TargetMode="External"/><Relationship Id="rId33" Type="http://schemas.openxmlformats.org/officeDocument/2006/relationships/hyperlink" Target="https://doi.org/10.51245/rijbr.v7i2.2022.920" TargetMode="External"/><Relationship Id="rId38" Type="http://schemas.openxmlformats.org/officeDocument/2006/relationships/hyperlink" Target="https://doi.org/10.48185/sebr.v2i2.376" TargetMode="External"/><Relationship Id="rId46" Type="http://schemas.openxmlformats.org/officeDocument/2006/relationships/hyperlink" Target="https://doi.org/10.1007/s40003-020-00513-z" TargetMode="External"/><Relationship Id="rId20" Type="http://schemas.openxmlformats.org/officeDocument/2006/relationships/hyperlink" Target="https://doi.org/10.15388/omee.2022.13.90" TargetMode="External"/><Relationship Id="rId41" Type="http://schemas.openxmlformats.org/officeDocument/2006/relationships/hyperlink" Target="https://doi.org/10.1177/0972150920945687" TargetMode="External"/><Relationship Id="rId54"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chart" Target="charts/chart2.xml"/><Relationship Id="rId23" Type="http://schemas.openxmlformats.org/officeDocument/2006/relationships/hyperlink" Target="https://www.multireviewjournal.com/assets/archives/2017/vol2issue6/2-6-232-107.pdf" TargetMode="External"/><Relationship Id="rId28" Type="http://schemas.openxmlformats.org/officeDocument/2006/relationships/hyperlink" Target="https://doi.org/10.1177/0958305X221137559" TargetMode="External"/><Relationship Id="rId36" Type="http://schemas.openxmlformats.org/officeDocument/2006/relationships/hyperlink" Target="https://doi.org/10.1007/s41775-020-00104-3" TargetMode="External"/><Relationship Id="rId49" Type="http://schemas.openxmlformats.org/officeDocument/2006/relationships/hyperlink" Target="https://doi.org/10.1016/j.joat.2017.02.001" TargetMode="External"/><Relationship Id="rId57" Type="http://schemas.openxmlformats.org/officeDocument/2006/relationships/theme" Target="theme/theme1.xml"/><Relationship Id="rId10" Type="http://schemas.openxmlformats.org/officeDocument/2006/relationships/footer" Target="footer1.xml"/><Relationship Id="rId31" Type="http://schemas.openxmlformats.org/officeDocument/2006/relationships/hyperlink" Target="https://doi.org/10.1177/0976399617715823" TargetMode="External"/><Relationship Id="rId44" Type="http://schemas.openxmlformats.org/officeDocument/2006/relationships/hyperlink" Target="https://doi.org/10.5530/ijper.20250648" TargetMode="External"/><Relationship Id="rId52"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https://d.docs.live.net/645fd3b44c1fa8c7/Desktop/Conferences%20in%202026/St%20Joseph%20College%5eJ%20Tamil%20Nadu/IMPACT%20OF%20TRADE%20ON%20ECONOMIC%20GROWTH%20IN%20INDIA_AN%20EMPIRICAL%20ANALYSIS/Dataset.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d.docs.live.net/645fd3b44c1fa8c7/Desktop/Conferences%20in%202026/St%20Joseph%20College%5eJ%20Tamil%20Nadu/IMPACT%20OF%20TRADE%20ON%20ECONOMIC%20GROWTH%20IN%20INDIA_AN%20EMPIRICAL%20ANALYSIS/Dataset.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[Dataset.xlsx]Sheet1!$B$1</c:f>
              <c:strCache>
                <c:ptCount val="1"/>
                <c:pt idx="0">
                  <c:v>India's Total Exports (US$ in Million)</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[Dataset.xlsx]Sheet1!$A$2:$A$30</c:f>
              <c:strCache>
                <c:ptCount val="29"/>
                <c:pt idx="0">
                  <c:v>1997-1998</c:v>
                </c:pt>
                <c:pt idx="1">
                  <c:v>1998-1999</c:v>
                </c:pt>
                <c:pt idx="2">
                  <c:v>1999-2000</c:v>
                </c:pt>
                <c:pt idx="3">
                  <c:v>2000-2001</c:v>
                </c:pt>
                <c:pt idx="4">
                  <c:v>2001-2002</c:v>
                </c:pt>
                <c:pt idx="5">
                  <c:v>2002-2003</c:v>
                </c:pt>
                <c:pt idx="6">
                  <c:v>2003-2004</c:v>
                </c:pt>
                <c:pt idx="7">
                  <c:v>2004-2005</c:v>
                </c:pt>
                <c:pt idx="8">
                  <c:v>2005-2006</c:v>
                </c:pt>
                <c:pt idx="9">
                  <c:v>2006-2007</c:v>
                </c:pt>
                <c:pt idx="10">
                  <c:v>2007-2008</c:v>
                </c:pt>
                <c:pt idx="11">
                  <c:v>2008-2009</c:v>
                </c:pt>
                <c:pt idx="12">
                  <c:v>2009-2010</c:v>
                </c:pt>
                <c:pt idx="13">
                  <c:v>2010-2011</c:v>
                </c:pt>
                <c:pt idx="14">
                  <c:v>2011-2012</c:v>
                </c:pt>
                <c:pt idx="15">
                  <c:v>2012-2013</c:v>
                </c:pt>
                <c:pt idx="16">
                  <c:v>2013-2014</c:v>
                </c:pt>
                <c:pt idx="17">
                  <c:v>2014-2015</c:v>
                </c:pt>
                <c:pt idx="18">
                  <c:v>2015-2016</c:v>
                </c:pt>
                <c:pt idx="19">
                  <c:v>2016-2017</c:v>
                </c:pt>
                <c:pt idx="20">
                  <c:v>2017-2018</c:v>
                </c:pt>
                <c:pt idx="21">
                  <c:v>2018-2019</c:v>
                </c:pt>
                <c:pt idx="22">
                  <c:v>2019-2020</c:v>
                </c:pt>
                <c:pt idx="23">
                  <c:v>2020-2021</c:v>
                </c:pt>
                <c:pt idx="24">
                  <c:v>2021-2022</c:v>
                </c:pt>
                <c:pt idx="25">
                  <c:v>2022-2023</c:v>
                </c:pt>
                <c:pt idx="26">
                  <c:v>2023-2024</c:v>
                </c:pt>
                <c:pt idx="27">
                  <c:v>2024-2025</c:v>
                </c:pt>
                <c:pt idx="28">
                  <c:v>2025-2026</c:v>
                </c:pt>
              </c:strCache>
            </c:strRef>
          </c:cat>
          <c:val>
            <c:numRef>
              <c:f>[Dataset.xlsx]Sheet1!$B$2:$B$30</c:f>
              <c:numCache>
                <c:formatCode>#,##0.00</c:formatCode>
                <c:ptCount val="29"/>
                <c:pt idx="0">
                  <c:v>34784.97</c:v>
                </c:pt>
                <c:pt idx="1">
                  <c:v>33218.71</c:v>
                </c:pt>
                <c:pt idx="2">
                  <c:v>36822.480000000003</c:v>
                </c:pt>
                <c:pt idx="3">
                  <c:v>44560.28</c:v>
                </c:pt>
                <c:pt idx="4">
                  <c:v>43826.71</c:v>
                </c:pt>
                <c:pt idx="5">
                  <c:v>52719.42</c:v>
                </c:pt>
                <c:pt idx="6">
                  <c:v>63842.54</c:v>
                </c:pt>
                <c:pt idx="7">
                  <c:v>83535.929999999993</c:v>
                </c:pt>
                <c:pt idx="8">
                  <c:v>103090.52</c:v>
                </c:pt>
                <c:pt idx="9">
                  <c:v>126414.04</c:v>
                </c:pt>
                <c:pt idx="10">
                  <c:v>163132.17000000001</c:v>
                </c:pt>
                <c:pt idx="11">
                  <c:v>185295.35</c:v>
                </c:pt>
                <c:pt idx="12">
                  <c:v>178751.42</c:v>
                </c:pt>
                <c:pt idx="13">
                  <c:v>249815.53</c:v>
                </c:pt>
                <c:pt idx="14">
                  <c:v>305963.90999999997</c:v>
                </c:pt>
                <c:pt idx="15">
                  <c:v>300400.57</c:v>
                </c:pt>
                <c:pt idx="16">
                  <c:v>314405.28999999998</c:v>
                </c:pt>
                <c:pt idx="17">
                  <c:v>310338.46999999997</c:v>
                </c:pt>
                <c:pt idx="18">
                  <c:v>262291.07</c:v>
                </c:pt>
                <c:pt idx="19">
                  <c:v>275852.42</c:v>
                </c:pt>
                <c:pt idx="20">
                  <c:v>303526.15000000002</c:v>
                </c:pt>
                <c:pt idx="21">
                  <c:v>330078.08000000002</c:v>
                </c:pt>
                <c:pt idx="22">
                  <c:v>313361.03000000003</c:v>
                </c:pt>
                <c:pt idx="23">
                  <c:v>291808.46999999997</c:v>
                </c:pt>
                <c:pt idx="24">
                  <c:v>422004.39</c:v>
                </c:pt>
                <c:pt idx="25">
                  <c:v>451070</c:v>
                </c:pt>
                <c:pt idx="26">
                  <c:v>437072.03</c:v>
                </c:pt>
                <c:pt idx="27">
                  <c:v>437704.58</c:v>
                </c:pt>
                <c:pt idx="28">
                  <c:v>183551.4</c:v>
                </c:pt>
              </c:numCache>
            </c:numRef>
          </c:val>
          <c:smooth val="0"/>
          <c:extLst>
            <c:ext xmlns:c16="http://schemas.microsoft.com/office/drawing/2014/chart" uri="{C3380CC4-5D6E-409C-BE32-E72D297353CC}">
              <c16:uniqueId val="{00000000-B101-4AE4-AF82-C5C74BDC6F35}"/>
            </c:ext>
          </c:extLst>
        </c:ser>
        <c:ser>
          <c:idx val="1"/>
          <c:order val="1"/>
          <c:tx>
            <c:strRef>
              <c:f>[Dataset.xlsx]Sheet1!$C$1</c:f>
              <c:strCache>
                <c:ptCount val="1"/>
                <c:pt idx="0">
                  <c:v>India's Total Imports (US$ in Million)</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f>[Dataset.xlsx]Sheet1!$A$2:$A$30</c:f>
              <c:strCache>
                <c:ptCount val="29"/>
                <c:pt idx="0">
                  <c:v>1997-1998</c:v>
                </c:pt>
                <c:pt idx="1">
                  <c:v>1998-1999</c:v>
                </c:pt>
                <c:pt idx="2">
                  <c:v>1999-2000</c:v>
                </c:pt>
                <c:pt idx="3">
                  <c:v>2000-2001</c:v>
                </c:pt>
                <c:pt idx="4">
                  <c:v>2001-2002</c:v>
                </c:pt>
                <c:pt idx="5">
                  <c:v>2002-2003</c:v>
                </c:pt>
                <c:pt idx="6">
                  <c:v>2003-2004</c:v>
                </c:pt>
                <c:pt idx="7">
                  <c:v>2004-2005</c:v>
                </c:pt>
                <c:pt idx="8">
                  <c:v>2005-2006</c:v>
                </c:pt>
                <c:pt idx="9">
                  <c:v>2006-2007</c:v>
                </c:pt>
                <c:pt idx="10">
                  <c:v>2007-2008</c:v>
                </c:pt>
                <c:pt idx="11">
                  <c:v>2008-2009</c:v>
                </c:pt>
                <c:pt idx="12">
                  <c:v>2009-2010</c:v>
                </c:pt>
                <c:pt idx="13">
                  <c:v>2010-2011</c:v>
                </c:pt>
                <c:pt idx="14">
                  <c:v>2011-2012</c:v>
                </c:pt>
                <c:pt idx="15">
                  <c:v>2012-2013</c:v>
                </c:pt>
                <c:pt idx="16">
                  <c:v>2013-2014</c:v>
                </c:pt>
                <c:pt idx="17">
                  <c:v>2014-2015</c:v>
                </c:pt>
                <c:pt idx="18">
                  <c:v>2015-2016</c:v>
                </c:pt>
                <c:pt idx="19">
                  <c:v>2016-2017</c:v>
                </c:pt>
                <c:pt idx="20">
                  <c:v>2017-2018</c:v>
                </c:pt>
                <c:pt idx="21">
                  <c:v>2018-2019</c:v>
                </c:pt>
                <c:pt idx="22">
                  <c:v>2019-2020</c:v>
                </c:pt>
                <c:pt idx="23">
                  <c:v>2020-2021</c:v>
                </c:pt>
                <c:pt idx="24">
                  <c:v>2021-2022</c:v>
                </c:pt>
                <c:pt idx="25">
                  <c:v>2022-2023</c:v>
                </c:pt>
                <c:pt idx="26">
                  <c:v>2023-2024</c:v>
                </c:pt>
                <c:pt idx="27">
                  <c:v>2024-2025</c:v>
                </c:pt>
                <c:pt idx="28">
                  <c:v>2025-2026</c:v>
                </c:pt>
              </c:strCache>
            </c:strRef>
          </c:cat>
          <c:val>
            <c:numRef>
              <c:f>[Dataset.xlsx]Sheet1!$C$2:$C$30</c:f>
              <c:numCache>
                <c:formatCode>#,##0.00</c:formatCode>
                <c:ptCount val="29"/>
                <c:pt idx="0">
                  <c:v>41484.49</c:v>
                </c:pt>
                <c:pt idx="1">
                  <c:v>42388.7</c:v>
                </c:pt>
                <c:pt idx="2">
                  <c:v>49737.96</c:v>
                </c:pt>
                <c:pt idx="3">
                  <c:v>50536.44</c:v>
                </c:pt>
                <c:pt idx="4">
                  <c:v>51413.27</c:v>
                </c:pt>
                <c:pt idx="5">
                  <c:v>61412.13</c:v>
                </c:pt>
                <c:pt idx="6">
                  <c:v>78149.09</c:v>
                </c:pt>
                <c:pt idx="7">
                  <c:v>107134.53</c:v>
                </c:pt>
                <c:pt idx="8">
                  <c:v>129691.77</c:v>
                </c:pt>
                <c:pt idx="9">
                  <c:v>185735.23</c:v>
                </c:pt>
                <c:pt idx="10">
                  <c:v>251654</c:v>
                </c:pt>
                <c:pt idx="11">
                  <c:v>303696.26</c:v>
                </c:pt>
                <c:pt idx="12">
                  <c:v>288372.87</c:v>
                </c:pt>
                <c:pt idx="13">
                  <c:v>369769.12</c:v>
                </c:pt>
                <c:pt idx="14">
                  <c:v>489319.48</c:v>
                </c:pt>
                <c:pt idx="15">
                  <c:v>490736.64000000001</c:v>
                </c:pt>
                <c:pt idx="16">
                  <c:v>450197.63</c:v>
                </c:pt>
                <c:pt idx="17">
                  <c:v>447964.38</c:v>
                </c:pt>
                <c:pt idx="18">
                  <c:v>381007.47</c:v>
                </c:pt>
                <c:pt idx="19">
                  <c:v>384356.39</c:v>
                </c:pt>
                <c:pt idx="20">
                  <c:v>465580.25</c:v>
                </c:pt>
                <c:pt idx="21">
                  <c:v>514078.35</c:v>
                </c:pt>
                <c:pt idx="22">
                  <c:v>474709.27</c:v>
                </c:pt>
                <c:pt idx="23">
                  <c:v>394435.85</c:v>
                </c:pt>
                <c:pt idx="24">
                  <c:v>613051.52</c:v>
                </c:pt>
                <c:pt idx="25">
                  <c:v>715968.9</c:v>
                </c:pt>
                <c:pt idx="26">
                  <c:v>678214.77</c:v>
                </c:pt>
                <c:pt idx="27">
                  <c:v>721200.22</c:v>
                </c:pt>
                <c:pt idx="28">
                  <c:v>306490.27</c:v>
                </c:pt>
              </c:numCache>
            </c:numRef>
          </c:val>
          <c:smooth val="0"/>
          <c:extLst>
            <c:ext xmlns:c16="http://schemas.microsoft.com/office/drawing/2014/chart" uri="{C3380CC4-5D6E-409C-BE32-E72D297353CC}">
              <c16:uniqueId val="{00000001-B101-4AE4-AF82-C5C74BDC6F35}"/>
            </c:ext>
          </c:extLst>
        </c:ser>
        <c:ser>
          <c:idx val="2"/>
          <c:order val="2"/>
          <c:tx>
            <c:strRef>
              <c:f>[Dataset.xlsx]Sheet1!$D$1</c:f>
              <c:strCache>
                <c:ptCount val="1"/>
                <c:pt idx="0">
                  <c:v>India's Total Trade (US$ in Million)</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strRef>
              <c:f>[Dataset.xlsx]Sheet1!$A$2:$A$30</c:f>
              <c:strCache>
                <c:ptCount val="29"/>
                <c:pt idx="0">
                  <c:v>1997-1998</c:v>
                </c:pt>
                <c:pt idx="1">
                  <c:v>1998-1999</c:v>
                </c:pt>
                <c:pt idx="2">
                  <c:v>1999-2000</c:v>
                </c:pt>
                <c:pt idx="3">
                  <c:v>2000-2001</c:v>
                </c:pt>
                <c:pt idx="4">
                  <c:v>2001-2002</c:v>
                </c:pt>
                <c:pt idx="5">
                  <c:v>2002-2003</c:v>
                </c:pt>
                <c:pt idx="6">
                  <c:v>2003-2004</c:v>
                </c:pt>
                <c:pt idx="7">
                  <c:v>2004-2005</c:v>
                </c:pt>
                <c:pt idx="8">
                  <c:v>2005-2006</c:v>
                </c:pt>
                <c:pt idx="9">
                  <c:v>2006-2007</c:v>
                </c:pt>
                <c:pt idx="10">
                  <c:v>2007-2008</c:v>
                </c:pt>
                <c:pt idx="11">
                  <c:v>2008-2009</c:v>
                </c:pt>
                <c:pt idx="12">
                  <c:v>2009-2010</c:v>
                </c:pt>
                <c:pt idx="13">
                  <c:v>2010-2011</c:v>
                </c:pt>
                <c:pt idx="14">
                  <c:v>2011-2012</c:v>
                </c:pt>
                <c:pt idx="15">
                  <c:v>2012-2013</c:v>
                </c:pt>
                <c:pt idx="16">
                  <c:v>2013-2014</c:v>
                </c:pt>
                <c:pt idx="17">
                  <c:v>2014-2015</c:v>
                </c:pt>
                <c:pt idx="18">
                  <c:v>2015-2016</c:v>
                </c:pt>
                <c:pt idx="19">
                  <c:v>2016-2017</c:v>
                </c:pt>
                <c:pt idx="20">
                  <c:v>2017-2018</c:v>
                </c:pt>
                <c:pt idx="21">
                  <c:v>2018-2019</c:v>
                </c:pt>
                <c:pt idx="22">
                  <c:v>2019-2020</c:v>
                </c:pt>
                <c:pt idx="23">
                  <c:v>2020-2021</c:v>
                </c:pt>
                <c:pt idx="24">
                  <c:v>2021-2022</c:v>
                </c:pt>
                <c:pt idx="25">
                  <c:v>2022-2023</c:v>
                </c:pt>
                <c:pt idx="26">
                  <c:v>2023-2024</c:v>
                </c:pt>
                <c:pt idx="27">
                  <c:v>2024-2025</c:v>
                </c:pt>
                <c:pt idx="28">
                  <c:v>2025-2026</c:v>
                </c:pt>
              </c:strCache>
            </c:strRef>
          </c:cat>
          <c:val>
            <c:numRef>
              <c:f>[Dataset.xlsx]Sheet1!$D$2:$D$30</c:f>
              <c:numCache>
                <c:formatCode>#,##0.00</c:formatCode>
                <c:ptCount val="29"/>
                <c:pt idx="0">
                  <c:v>76141.429999999993</c:v>
                </c:pt>
                <c:pt idx="1">
                  <c:v>75448.63</c:v>
                </c:pt>
                <c:pt idx="2">
                  <c:v>86499.29</c:v>
                </c:pt>
                <c:pt idx="3">
                  <c:v>95016.43</c:v>
                </c:pt>
                <c:pt idx="4">
                  <c:v>95167.08</c:v>
                </c:pt>
                <c:pt idx="5">
                  <c:v>114040.4</c:v>
                </c:pt>
                <c:pt idx="6">
                  <c:v>141882.53</c:v>
                </c:pt>
                <c:pt idx="7">
                  <c:v>190646.39999999999</c:v>
                </c:pt>
                <c:pt idx="8">
                  <c:v>232739.35</c:v>
                </c:pt>
                <c:pt idx="9">
                  <c:v>312140.55</c:v>
                </c:pt>
                <c:pt idx="10">
                  <c:v>414751.34</c:v>
                </c:pt>
                <c:pt idx="11">
                  <c:v>488981.25</c:v>
                </c:pt>
                <c:pt idx="12">
                  <c:v>467098.71</c:v>
                </c:pt>
                <c:pt idx="13">
                  <c:v>619581.79</c:v>
                </c:pt>
                <c:pt idx="14">
                  <c:v>795270.27</c:v>
                </c:pt>
                <c:pt idx="15">
                  <c:v>790986.9</c:v>
                </c:pt>
                <c:pt idx="16">
                  <c:v>764594.22</c:v>
                </c:pt>
                <c:pt idx="17">
                  <c:v>758371.89</c:v>
                </c:pt>
                <c:pt idx="18">
                  <c:v>643298.84</c:v>
                </c:pt>
                <c:pt idx="19">
                  <c:v>660209.46</c:v>
                </c:pt>
                <c:pt idx="20">
                  <c:v>769107.15</c:v>
                </c:pt>
                <c:pt idx="21">
                  <c:v>844156.51</c:v>
                </c:pt>
                <c:pt idx="22">
                  <c:v>788070.32</c:v>
                </c:pt>
                <c:pt idx="23">
                  <c:v>686244.36</c:v>
                </c:pt>
                <c:pt idx="24">
                  <c:v>1035056.45</c:v>
                </c:pt>
                <c:pt idx="25">
                  <c:v>1167038.8899999999</c:v>
                </c:pt>
                <c:pt idx="26">
                  <c:v>1115286.81</c:v>
                </c:pt>
                <c:pt idx="27">
                  <c:v>1158904.8</c:v>
                </c:pt>
                <c:pt idx="28">
                  <c:v>490041.67000000004</c:v>
                </c:pt>
              </c:numCache>
            </c:numRef>
          </c:val>
          <c:smooth val="0"/>
          <c:extLst>
            <c:ext xmlns:c16="http://schemas.microsoft.com/office/drawing/2014/chart" uri="{C3380CC4-5D6E-409C-BE32-E72D297353CC}">
              <c16:uniqueId val="{00000002-B101-4AE4-AF82-C5C74BDC6F35}"/>
            </c:ext>
          </c:extLst>
        </c:ser>
        <c:dLbls>
          <c:showLegendKey val="0"/>
          <c:showVal val="0"/>
          <c:showCatName val="0"/>
          <c:showSerName val="0"/>
          <c:showPercent val="0"/>
          <c:showBubbleSize val="0"/>
        </c:dLbls>
        <c:marker val="1"/>
        <c:smooth val="0"/>
        <c:axId val="1159230608"/>
        <c:axId val="1159234928"/>
      </c:lineChart>
      <c:catAx>
        <c:axId val="11592306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159234928"/>
        <c:crosses val="autoZero"/>
        <c:auto val="1"/>
        <c:lblAlgn val="ctr"/>
        <c:lblOffset val="100"/>
        <c:noMultiLvlLbl val="0"/>
      </c:catAx>
      <c:valAx>
        <c:axId val="115923492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1592306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000">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[Dataset.xlsx]Sheet1!$F$1</c:f>
              <c:strCache>
                <c:ptCount val="1"/>
                <c:pt idx="0">
                  <c:v>GDP per capita (current US$) of India</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[Dataset.xlsx]Sheet1!$E$2:$E$30</c:f>
              <c:strCache>
                <c:ptCount val="29"/>
                <c:pt idx="0">
                  <c:v>1997-1998</c:v>
                </c:pt>
                <c:pt idx="1">
                  <c:v>1998-1999</c:v>
                </c:pt>
                <c:pt idx="2">
                  <c:v>1999-2000</c:v>
                </c:pt>
                <c:pt idx="3">
                  <c:v>2000-2001</c:v>
                </c:pt>
                <c:pt idx="4">
                  <c:v>2001-2002</c:v>
                </c:pt>
                <c:pt idx="5">
                  <c:v>2002-2003</c:v>
                </c:pt>
                <c:pt idx="6">
                  <c:v>2003-2004</c:v>
                </c:pt>
                <c:pt idx="7">
                  <c:v>2004-2005</c:v>
                </c:pt>
                <c:pt idx="8">
                  <c:v>2005-2006</c:v>
                </c:pt>
                <c:pt idx="9">
                  <c:v>2006-2007</c:v>
                </c:pt>
                <c:pt idx="10">
                  <c:v>2007-2008</c:v>
                </c:pt>
                <c:pt idx="11">
                  <c:v>2008-2009</c:v>
                </c:pt>
                <c:pt idx="12">
                  <c:v>2009-2010</c:v>
                </c:pt>
                <c:pt idx="13">
                  <c:v>2010-2011</c:v>
                </c:pt>
                <c:pt idx="14">
                  <c:v>2011-2012</c:v>
                </c:pt>
                <c:pt idx="15">
                  <c:v>2012-2013</c:v>
                </c:pt>
                <c:pt idx="16">
                  <c:v>2013-2014</c:v>
                </c:pt>
                <c:pt idx="17">
                  <c:v>2014-2015</c:v>
                </c:pt>
                <c:pt idx="18">
                  <c:v>2015-2016</c:v>
                </c:pt>
                <c:pt idx="19">
                  <c:v>2016-2017</c:v>
                </c:pt>
                <c:pt idx="20">
                  <c:v>2017-2018</c:v>
                </c:pt>
                <c:pt idx="21">
                  <c:v>2018-2019</c:v>
                </c:pt>
                <c:pt idx="22">
                  <c:v>2019-2020</c:v>
                </c:pt>
                <c:pt idx="23">
                  <c:v>2020-2021</c:v>
                </c:pt>
                <c:pt idx="24">
                  <c:v>2021-2022</c:v>
                </c:pt>
                <c:pt idx="25">
                  <c:v>2022-2023</c:v>
                </c:pt>
                <c:pt idx="26">
                  <c:v>2023-2024</c:v>
                </c:pt>
                <c:pt idx="27">
                  <c:v>2024-2025</c:v>
                </c:pt>
                <c:pt idx="28">
                  <c:v>2025-2026</c:v>
                </c:pt>
              </c:strCache>
            </c:strRef>
          </c:cat>
          <c:val>
            <c:numRef>
              <c:f>[Dataset.xlsx]Sheet1!$F$2:$F$30</c:f>
              <c:numCache>
                <c:formatCode>0.00</c:formatCode>
                <c:ptCount val="29"/>
                <c:pt idx="0">
                  <c:v>414.89886957667278</c:v>
                </c:pt>
                <c:pt idx="1">
                  <c:v>412.50951103964098</c:v>
                </c:pt>
                <c:pt idx="2">
                  <c:v>440.96145461402068</c:v>
                </c:pt>
                <c:pt idx="3">
                  <c:v>442.03477891769523</c:v>
                </c:pt>
                <c:pt idx="4">
                  <c:v>449.91112493326779</c:v>
                </c:pt>
                <c:pt idx="5">
                  <c:v>468.84442830518049</c:v>
                </c:pt>
                <c:pt idx="6">
                  <c:v>543.84379889395143</c:v>
                </c:pt>
                <c:pt idx="7">
                  <c:v>624.10509437189717</c:v>
                </c:pt>
                <c:pt idx="8">
                  <c:v>710.509344850714</c:v>
                </c:pt>
                <c:pt idx="9">
                  <c:v>802.01374204737965</c:v>
                </c:pt>
                <c:pt idx="10">
                  <c:v>1022.7316287464342</c:v>
                </c:pt>
                <c:pt idx="11">
                  <c:v>993.50377247469123</c:v>
                </c:pt>
                <c:pt idx="12">
                  <c:v>1096.6349803349749</c:v>
                </c:pt>
                <c:pt idx="13">
                  <c:v>1350.6343220708504</c:v>
                </c:pt>
                <c:pt idx="14">
                  <c:v>1449.6017885341487</c:v>
                </c:pt>
                <c:pt idx="15">
                  <c:v>1434.0181980611328</c:v>
                </c:pt>
                <c:pt idx="16">
                  <c:v>1438.057480410057</c:v>
                </c:pt>
                <c:pt idx="17">
                  <c:v>1559.8645184825673</c:v>
                </c:pt>
                <c:pt idx="18">
                  <c:v>1590.1739184278081</c:v>
                </c:pt>
                <c:pt idx="19">
                  <c:v>1714.2803552673652</c:v>
                </c:pt>
                <c:pt idx="20">
                  <c:v>1957.9688412350029</c:v>
                </c:pt>
                <c:pt idx="21">
                  <c:v>1974.3777879236584</c:v>
                </c:pt>
                <c:pt idx="22">
                  <c:v>2047.2327043351213</c:v>
                </c:pt>
                <c:pt idx="23">
                  <c:v>1910.4214728244895</c:v>
                </c:pt>
                <c:pt idx="24">
                  <c:v>2256.5904087050585</c:v>
                </c:pt>
                <c:pt idx="25">
                  <c:v>2347.4482943462317</c:v>
                </c:pt>
                <c:pt idx="26">
                  <c:v>2530.1203127820381</c:v>
                </c:pt>
                <c:pt idx="27">
                  <c:v>2696.663899844631</c:v>
                </c:pt>
                <c:pt idx="28">
                  <c:v>2818</c:v>
                </c:pt>
              </c:numCache>
            </c:numRef>
          </c:val>
          <c:smooth val="0"/>
          <c:extLst>
            <c:ext xmlns:c16="http://schemas.microsoft.com/office/drawing/2014/chart" uri="{C3380CC4-5D6E-409C-BE32-E72D297353CC}">
              <c16:uniqueId val="{00000000-6C6D-4E87-BA68-899211BE4CD3}"/>
            </c:ext>
          </c:extLst>
        </c:ser>
        <c:dLbls>
          <c:showLegendKey val="0"/>
          <c:showVal val="0"/>
          <c:showCatName val="0"/>
          <c:showSerName val="0"/>
          <c:showPercent val="0"/>
          <c:showBubbleSize val="0"/>
        </c:dLbls>
        <c:marker val="1"/>
        <c:smooth val="0"/>
        <c:axId val="342971439"/>
        <c:axId val="342977679"/>
      </c:lineChart>
      <c:catAx>
        <c:axId val="34297143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2977679"/>
        <c:crosses val="autoZero"/>
        <c:auto val="1"/>
        <c:lblAlgn val="ctr"/>
        <c:lblOffset val="100"/>
        <c:noMultiLvlLbl val="0"/>
      </c:catAx>
      <c:valAx>
        <c:axId val="342977679"/>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2971439"/>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000">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6B4140-A4C2-4412-95D0-BDBE9DF0D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85</TotalTime>
  <Pages>10</Pages>
  <Words>5201</Words>
  <Characters>29648</Characters>
  <Application>Microsoft Office Word</Application>
  <DocSecurity>0</DocSecurity>
  <Lines>247</Lines>
  <Paragraphs>69</Paragraphs>
  <ScaleCrop>false</ScaleCrop>
  <HeadingPairs>
    <vt:vector size="2" baseType="variant">
      <vt:variant>
        <vt:lpstr>Title</vt:lpstr>
      </vt:variant>
      <vt:variant>
        <vt:i4>1</vt:i4>
      </vt:variant>
    </vt:vector>
  </HeadingPairs>
  <TitlesOfParts>
    <vt:vector size="1" baseType="lpstr">
      <vt:lpstr>Paper Template</vt:lpstr>
    </vt:vector>
  </TitlesOfParts>
  <Company>aaaa</Company>
  <LinksUpToDate>false</LinksUpToDate>
  <CharactersWithSpaces>34780</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Editor-90</cp:lastModifiedBy>
  <cp:revision>22</cp:revision>
  <cp:lastPrinted>1999-07-06T11:00:00Z</cp:lastPrinted>
  <dcterms:created xsi:type="dcterms:W3CDTF">2014-10-25T14:34:00Z</dcterms:created>
  <dcterms:modified xsi:type="dcterms:W3CDTF">2026-09-12T13:11:00Z</dcterms:modified>
</cp:coreProperties>
</file>