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9C2D3" w14:textId="77777777" w:rsidR="00754C9A" w:rsidRPr="005C2B64" w:rsidRDefault="00754C9A" w:rsidP="00441B6F">
      <w:pPr>
        <w:pStyle w:val="Title"/>
        <w:spacing w:after="0"/>
        <w:jc w:val="both"/>
        <w:rPr>
          <w:rFonts w:ascii="Arial" w:hAnsi="Arial" w:cs="Arial"/>
        </w:rPr>
      </w:pPr>
    </w:p>
    <w:p w14:paraId="51E40BF7" w14:textId="77777777" w:rsidR="00503904" w:rsidRPr="008A6B6D" w:rsidRDefault="00503904" w:rsidP="00503904">
      <w:pPr>
        <w:rPr>
          <w:rFonts w:ascii="Arial" w:hAnsi="Arial" w:cs="Arial"/>
          <w:b/>
          <w:bCs/>
          <w:sz w:val="32"/>
          <w:szCs w:val="32"/>
        </w:rPr>
      </w:pPr>
      <w:bookmarkStart w:id="0" w:name="_Hlk220681199"/>
      <w:r w:rsidRPr="008A6B6D">
        <w:rPr>
          <w:rFonts w:ascii="Arial" w:hAnsi="Arial" w:cs="Arial"/>
          <w:b/>
          <w:bCs/>
          <w:sz w:val="32"/>
          <w:szCs w:val="32"/>
        </w:rPr>
        <w:t>Teacher-Perceived Determinants of Learning Retention Among Junior High School Students: Basis for an Enhancement Program</w:t>
      </w:r>
    </w:p>
    <w:bookmarkEnd w:id="0"/>
    <w:p w14:paraId="34ABF18D" w14:textId="77777777" w:rsidR="00A258C3" w:rsidRPr="008A6B6D" w:rsidRDefault="00A258C3" w:rsidP="00441B6F">
      <w:pPr>
        <w:pStyle w:val="Author"/>
        <w:spacing w:line="240" w:lineRule="auto"/>
        <w:jc w:val="both"/>
        <w:rPr>
          <w:rFonts w:ascii="Arial" w:hAnsi="Arial" w:cs="Arial"/>
          <w:sz w:val="36"/>
        </w:rPr>
      </w:pPr>
    </w:p>
    <w:p w14:paraId="435E7A80" w14:textId="77777777" w:rsidR="002C57D2" w:rsidRPr="008A6B6D" w:rsidRDefault="002C57D2" w:rsidP="00441B6F">
      <w:pPr>
        <w:pStyle w:val="Affiliation"/>
        <w:spacing w:after="0" w:line="240" w:lineRule="auto"/>
        <w:jc w:val="both"/>
        <w:rPr>
          <w:rFonts w:ascii="Arial" w:hAnsi="Arial" w:cs="Arial"/>
        </w:rPr>
      </w:pPr>
    </w:p>
    <w:p w14:paraId="1A8E56E5" w14:textId="77777777" w:rsidR="00B01FCD" w:rsidRPr="008A6B6D" w:rsidRDefault="003A217D" w:rsidP="00441B6F">
      <w:pPr>
        <w:pStyle w:val="Copyright"/>
        <w:spacing w:after="0" w:line="240" w:lineRule="auto"/>
        <w:jc w:val="both"/>
        <w:rPr>
          <w:rFonts w:ascii="Arial" w:hAnsi="Arial" w:cs="Arial"/>
        </w:rPr>
        <w:sectPr w:rsidR="00B01FCD" w:rsidRPr="008A6B6D" w:rsidSect="009179E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8A6B6D">
        <w:rPr>
          <w:rFonts w:ascii="Arial" w:hAnsi="Arial" w:cs="Arial"/>
          <w:noProof/>
        </w:rPr>
        <mc:AlternateContent>
          <mc:Choice Requires="wps">
            <w:drawing>
              <wp:inline distT="0" distB="0" distL="0" distR="0" wp14:anchorId="6BC57229" wp14:editId="10B98882">
                <wp:extent cx="5303520" cy="635"/>
                <wp:effectExtent l="13335" t="17780" r="17145" b="1079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2F85F84F"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sidRPr="008A6B6D">
        <w:rPr>
          <w:rFonts w:ascii="Arial" w:hAnsi="Arial" w:cs="Arial"/>
        </w:rPr>
        <w:t>.</w:t>
      </w:r>
    </w:p>
    <w:p w14:paraId="61A85339" w14:textId="77777777" w:rsidR="00790ADA" w:rsidRPr="008A6B6D" w:rsidRDefault="00B01FCD" w:rsidP="00441B6F">
      <w:pPr>
        <w:pStyle w:val="AbstHead"/>
        <w:spacing w:after="0"/>
        <w:jc w:val="both"/>
        <w:rPr>
          <w:rFonts w:ascii="Arial" w:hAnsi="Arial" w:cs="Arial"/>
        </w:rPr>
      </w:pPr>
      <w:r w:rsidRPr="008A6B6D">
        <w:rPr>
          <w:rFonts w:ascii="Arial" w:hAnsi="Arial" w:cs="Arial"/>
        </w:rPr>
        <w:t>ABSTRACT</w:t>
      </w:r>
      <w:r w:rsidR="0066510A" w:rsidRPr="008A6B6D">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8A6B6D" w14:paraId="025E5DC1" w14:textId="77777777" w:rsidTr="001E44FE">
        <w:tc>
          <w:tcPr>
            <w:tcW w:w="9576" w:type="dxa"/>
            <w:shd w:val="clear" w:color="auto" w:fill="F2F2F2"/>
          </w:tcPr>
          <w:p w14:paraId="03878DFA" w14:textId="042D63A1" w:rsidR="00505F06" w:rsidRPr="008A6B6D" w:rsidRDefault="000B0782" w:rsidP="00441B6F">
            <w:pPr>
              <w:pStyle w:val="Body"/>
              <w:spacing w:after="0"/>
              <w:rPr>
                <w:rFonts w:ascii="Arial" w:eastAsia="Calibri" w:hAnsi="Arial" w:cs="Arial"/>
                <w:szCs w:val="22"/>
              </w:rPr>
            </w:pPr>
            <w:r w:rsidRPr="000B0782">
              <w:rPr>
                <w:rFonts w:ascii="Arial" w:hAnsi="Arial" w:cs="Arial"/>
                <w:color w:val="1F1F1F"/>
                <w:lang w:eastAsia="en-PH"/>
              </w:rPr>
              <w:t>Learning retention is essential for sustained academic achievement, particularly at the junior high school level, where students build foundational knowledge and skills for subsequent learning. Retention may be influenced by pedagogical practices, including active learning, instructional multimedia, formative assessment, and differentiated instruction, as well as student-related factors such as prior knowledge, intrinsic motivation, study habits, and attention span. Understanding these determinants from teachers’ perspectives can help identify classroom-based factors that support or hinder students’ ability to retain and apply learning over time.</w:t>
            </w:r>
            <w:r>
              <w:rPr>
                <w:rFonts w:ascii="Arial" w:hAnsi="Arial" w:cs="Arial"/>
                <w:color w:val="1F1F1F"/>
                <w:lang w:eastAsia="en-PH"/>
              </w:rPr>
              <w:t xml:space="preserve"> </w:t>
            </w:r>
            <w:r w:rsidR="008A6B6D" w:rsidRPr="008A6B6D">
              <w:rPr>
                <w:rFonts w:ascii="Arial" w:hAnsi="Arial" w:cs="Arial"/>
                <w:color w:val="1F1F1F"/>
                <w:lang w:eastAsia="en-PH"/>
              </w:rPr>
              <w:t xml:space="preserve">This study examined teacher-perceived pedagogical and student-related determinants of learning retention among junior high school students and used the findings as the basis for a Learning Retention Enhancement Program. A mixed-methods design was employed using a researcher-developed questionnaire completed by 84 of 95 teachers, representing an 88.42% response rate, together with open-ended responses on implementation challenges. Teachers reported frequent use of active learning strategies (M = 4.12), instructional multimedia (M = 3.79), formative assessment (M = 4.17), and differentiated instruction (M = 4.09). Among student-related determinants, prior knowledge (M = 3.70) and intrinsic motivation (M = 3.95) were rated positively, whereas study habits (M = 3.35) and attention span (M = 3.21) received neutral ratings. Perceived learning retention was neutral for knowledge recall (M = 3.23) and conceptual understanding (M = 3.35), while application of skills in new contexts was rated positively (M = 3.41). Spearman correlations indicated significant positive associations between the pedagogical determinants and the three retention dimensions. Attention span and study habits showed particularly strong associations with knowledge recall and skill application. Kruskal-Wallis tests showed no significant differences in perceived determinants across teacher age, gender, teaching experience, educational attainment, or subject </w:t>
            </w:r>
            <w:proofErr w:type="spellStart"/>
            <w:r w:rsidR="008A6B6D" w:rsidRPr="008A6B6D">
              <w:rPr>
                <w:rFonts w:ascii="Arial" w:hAnsi="Arial" w:cs="Arial"/>
                <w:color w:val="1F1F1F"/>
                <w:lang w:eastAsia="en-PH"/>
              </w:rPr>
              <w:t>specialisation</w:t>
            </w:r>
            <w:proofErr w:type="spellEnd"/>
            <w:r w:rsidR="008A6B6D" w:rsidRPr="008A6B6D">
              <w:rPr>
                <w:rFonts w:ascii="Arial" w:hAnsi="Arial" w:cs="Arial"/>
                <w:color w:val="1F1F1F"/>
                <w:lang w:eastAsia="en-PH"/>
              </w:rPr>
              <w:t xml:space="preserve"> (p &gt; .05). The findings support a school-wide enhancement </w:t>
            </w:r>
            <w:proofErr w:type="spellStart"/>
            <w:r w:rsidR="008A6B6D" w:rsidRPr="008A6B6D">
              <w:rPr>
                <w:rFonts w:ascii="Arial" w:hAnsi="Arial" w:cs="Arial"/>
                <w:color w:val="1F1F1F"/>
                <w:lang w:eastAsia="en-PH"/>
              </w:rPr>
              <w:t>programme</w:t>
            </w:r>
            <w:proofErr w:type="spellEnd"/>
            <w:r w:rsidR="008A6B6D" w:rsidRPr="008A6B6D">
              <w:rPr>
                <w:rFonts w:ascii="Arial" w:hAnsi="Arial" w:cs="Arial"/>
                <w:color w:val="1F1F1F"/>
                <w:lang w:eastAsia="en-PH"/>
              </w:rPr>
              <w:t xml:space="preserve"> </w:t>
            </w:r>
            <w:proofErr w:type="spellStart"/>
            <w:r w:rsidR="008A6B6D" w:rsidRPr="008A6B6D">
              <w:rPr>
                <w:rFonts w:ascii="Arial" w:hAnsi="Arial" w:cs="Arial"/>
                <w:color w:val="1F1F1F"/>
                <w:lang w:eastAsia="en-PH"/>
              </w:rPr>
              <w:t>centred</w:t>
            </w:r>
            <w:proofErr w:type="spellEnd"/>
            <w:r w:rsidR="008A6B6D" w:rsidRPr="008A6B6D">
              <w:rPr>
                <w:rFonts w:ascii="Arial" w:hAnsi="Arial" w:cs="Arial"/>
                <w:color w:val="1F1F1F"/>
                <w:lang w:eastAsia="en-PH"/>
              </w:rPr>
              <w:t xml:space="preserve"> on retrieval practice, differentiated instruction, formative feedback, attention-supportive pacing, and structured study habits.</w:t>
            </w:r>
          </w:p>
        </w:tc>
      </w:tr>
    </w:tbl>
    <w:p w14:paraId="793F75D9" w14:textId="77777777" w:rsidR="00636EB2" w:rsidRPr="008A6B6D" w:rsidRDefault="00636EB2" w:rsidP="00441B6F">
      <w:pPr>
        <w:pStyle w:val="Body"/>
        <w:spacing w:after="0"/>
        <w:rPr>
          <w:rFonts w:ascii="Arial" w:hAnsi="Arial" w:cs="Arial"/>
          <w:i/>
        </w:rPr>
      </w:pPr>
    </w:p>
    <w:p w14:paraId="129903A4" w14:textId="77777777" w:rsidR="00A24E7E" w:rsidRPr="008A6B6D" w:rsidRDefault="00A24E7E" w:rsidP="00441B6F">
      <w:pPr>
        <w:pStyle w:val="Body"/>
        <w:spacing w:after="0"/>
        <w:rPr>
          <w:rFonts w:ascii="Arial" w:hAnsi="Arial" w:cs="Arial"/>
          <w:i/>
        </w:rPr>
      </w:pPr>
      <w:r w:rsidRPr="008A6B6D">
        <w:rPr>
          <w:rFonts w:ascii="Arial" w:hAnsi="Arial" w:cs="Arial"/>
          <w:i/>
        </w:rPr>
        <w:t xml:space="preserve">Keywords: </w:t>
      </w:r>
      <w:r w:rsidR="00503904" w:rsidRPr="008A6B6D">
        <w:rPr>
          <w:rFonts w:ascii="Arial" w:hAnsi="Arial" w:cs="Arial"/>
          <w:color w:val="1F1F1F"/>
          <w:bdr w:val="none" w:sz="0" w:space="0" w:color="auto" w:frame="1"/>
          <w:lang w:eastAsia="en-PH"/>
        </w:rPr>
        <w:t>Learning Retention, Pedagogical Determinants, Knowledge Recall, High School Education, Instructional Multimedia, Learning Retention Enhancement Program</w:t>
      </w:r>
    </w:p>
    <w:p w14:paraId="132D7416" w14:textId="77777777" w:rsidR="00790ADA" w:rsidRPr="008A6B6D" w:rsidRDefault="00790ADA" w:rsidP="00441B6F">
      <w:pPr>
        <w:pStyle w:val="Body"/>
        <w:spacing w:after="0"/>
        <w:rPr>
          <w:rFonts w:ascii="Arial" w:hAnsi="Arial" w:cs="Arial"/>
          <w:i/>
        </w:rPr>
      </w:pPr>
    </w:p>
    <w:p w14:paraId="51CB2ABC" w14:textId="77777777" w:rsidR="0024282C" w:rsidRPr="008A6B6D" w:rsidRDefault="0024282C" w:rsidP="00441B6F">
      <w:pPr>
        <w:pStyle w:val="Body"/>
        <w:spacing w:after="0"/>
        <w:rPr>
          <w:rFonts w:ascii="Arial" w:hAnsi="Arial" w:cs="Arial"/>
          <w:i/>
          <w:sz w:val="18"/>
        </w:rPr>
      </w:pPr>
    </w:p>
    <w:p w14:paraId="7A3357B8" w14:textId="77777777" w:rsidR="00505F06" w:rsidRPr="008A6B6D" w:rsidRDefault="00505F06" w:rsidP="00441B6F">
      <w:pPr>
        <w:pStyle w:val="Body"/>
        <w:spacing w:after="0"/>
        <w:rPr>
          <w:rFonts w:ascii="Arial" w:hAnsi="Arial" w:cs="Arial"/>
          <w:i/>
        </w:rPr>
      </w:pPr>
    </w:p>
    <w:p w14:paraId="1EB91D7D" w14:textId="77777777" w:rsidR="007F7B32" w:rsidRPr="008A6B6D" w:rsidRDefault="00902823" w:rsidP="00441B6F">
      <w:pPr>
        <w:pStyle w:val="AbstHead"/>
        <w:spacing w:after="0"/>
        <w:jc w:val="both"/>
        <w:rPr>
          <w:rFonts w:ascii="Arial" w:hAnsi="Arial" w:cs="Arial"/>
        </w:rPr>
      </w:pPr>
      <w:r w:rsidRPr="008A6B6D">
        <w:rPr>
          <w:rFonts w:ascii="Arial" w:hAnsi="Arial" w:cs="Arial"/>
        </w:rPr>
        <w:t xml:space="preserve">1. </w:t>
      </w:r>
      <w:r w:rsidR="00B01FCD" w:rsidRPr="008A6B6D">
        <w:rPr>
          <w:rFonts w:ascii="Arial" w:hAnsi="Arial" w:cs="Arial"/>
        </w:rPr>
        <w:t>INTRODUCTION</w:t>
      </w:r>
      <w:r w:rsidR="007F7B32" w:rsidRPr="008A6B6D">
        <w:rPr>
          <w:rFonts w:ascii="Arial" w:hAnsi="Arial" w:cs="Arial"/>
        </w:rPr>
        <w:t xml:space="preserve"> </w:t>
      </w:r>
    </w:p>
    <w:p w14:paraId="3EAD10C3" w14:textId="77777777" w:rsidR="00790ADA" w:rsidRPr="008A6B6D" w:rsidRDefault="00790ADA" w:rsidP="00441B6F">
      <w:pPr>
        <w:pStyle w:val="AbstHead"/>
        <w:spacing w:after="0"/>
        <w:jc w:val="both"/>
        <w:rPr>
          <w:rFonts w:ascii="Arial" w:hAnsi="Arial" w:cs="Arial"/>
        </w:rPr>
      </w:pPr>
    </w:p>
    <w:p w14:paraId="1068E634" w14:textId="77777777" w:rsidR="00503904" w:rsidRPr="008A6B6D" w:rsidRDefault="00503904" w:rsidP="005C2B64">
      <w:pPr>
        <w:pStyle w:val="MDPI21heading1"/>
        <w:spacing w:before="0" w:after="0" w:line="240" w:lineRule="auto"/>
        <w:ind w:left="0"/>
        <w:rPr>
          <w:rFonts w:ascii="Arial" w:hAnsi="Arial" w:cs="Arial"/>
          <w:b w:val="0"/>
          <w:bCs/>
          <w:szCs w:val="20"/>
          <w:lang w:eastAsia="en-PH"/>
        </w:rPr>
      </w:pPr>
      <w:r w:rsidRPr="008A6B6D">
        <w:rPr>
          <w:rFonts w:ascii="Arial" w:hAnsi="Arial" w:cs="Arial"/>
          <w:b w:val="0"/>
          <w:bCs/>
          <w:szCs w:val="20"/>
          <w:lang w:eastAsia="en-PH"/>
        </w:rPr>
        <w:t>The ability of students to retain learning is crucial to their academic success, particularly at the junior high school level where foundational knowledge is often established for future educational pursuits. Learning retention refers to the ability of students to maintain knowledge over time, which is significantly influenced by various determinants including teaching strategies, student engagement, and environmental factors. The researcher aims to identify specific factors that support or hinder learning retention among junior high school students.</w:t>
      </w:r>
    </w:p>
    <w:p w14:paraId="235418CE" w14:textId="77777777" w:rsidR="00503904" w:rsidRPr="008A6B6D" w:rsidRDefault="00503904" w:rsidP="005C2B64">
      <w:pPr>
        <w:pStyle w:val="MDPI21heading1"/>
        <w:spacing w:before="0" w:after="0" w:line="240" w:lineRule="auto"/>
        <w:ind w:left="0"/>
        <w:rPr>
          <w:rFonts w:ascii="Arial" w:hAnsi="Arial" w:cs="Arial"/>
          <w:b w:val="0"/>
          <w:bCs/>
          <w:szCs w:val="20"/>
          <w:lang w:eastAsia="en-PH"/>
        </w:rPr>
      </w:pPr>
      <w:r w:rsidRPr="008A6B6D">
        <w:rPr>
          <w:rFonts w:ascii="Arial" w:hAnsi="Arial" w:cs="Arial"/>
          <w:b w:val="0"/>
          <w:bCs/>
          <w:szCs w:val="20"/>
          <w:lang w:eastAsia="en-PH"/>
        </w:rPr>
        <w:lastRenderedPageBreak/>
        <w:t>Numerous studies have addressed diverse aspects of teaching and learning that affect retention. For instance, Widiyawati et al. (2021) emphasised that 21st-century educational approaches integrating Higher Order Thinking Skills (HOTS) and digital literacy are increasingly relevant because they influence students' learning retention. Moreover, parental involvement has been identified as an important determinant, with Lasut and Maramis (2024) reporting a significant link between parental involvement during learning activities and student outcomes. Furthermore, educational materials and instructional strategies employed by teachers, such as brain-based learning, are pivotal to enhancing students' retention capabilities, as demonstrated by Handayani and Purwati (2022).</w:t>
      </w:r>
    </w:p>
    <w:p w14:paraId="6C486E5A" w14:textId="77777777" w:rsidR="00EF7A6D" w:rsidRPr="008A6B6D" w:rsidRDefault="00000000">
      <w:pPr>
        <w:pStyle w:val="MDPI21heading1"/>
        <w:spacing w:before="0" w:after="0" w:line="240" w:lineRule="auto"/>
        <w:ind w:left="0"/>
        <w:rPr>
          <w:rFonts w:ascii="Arial" w:hAnsi="Arial" w:cs="Arial"/>
          <w:b w:val="0"/>
          <w:bCs/>
          <w:szCs w:val="20"/>
          <w:lang w:eastAsia="en-PH"/>
        </w:rPr>
      </w:pPr>
      <w:r w:rsidRPr="008A6B6D">
        <w:rPr>
          <w:b w:val="0"/>
          <w:bCs/>
        </w:rPr>
        <w:t>Recent evidence further indicates that multimodal instructional design and mastery- or action-oriented teaching approaches can contribute to longer-term retention when aligned with learner needs and the instructional context (Akinbobola, 2018; Goyal, 2026).</w:t>
      </w:r>
    </w:p>
    <w:p w14:paraId="31BE5288" w14:textId="77777777" w:rsidR="00EF7A6D" w:rsidRPr="008A6B6D" w:rsidRDefault="00000000">
      <w:pPr>
        <w:pStyle w:val="MDPI21heading1"/>
        <w:spacing w:before="0" w:after="0" w:line="240" w:lineRule="auto"/>
        <w:ind w:left="0"/>
        <w:rPr>
          <w:rFonts w:ascii="Arial" w:hAnsi="Arial" w:cs="Arial"/>
          <w:b w:val="0"/>
          <w:bCs/>
          <w:szCs w:val="20"/>
          <w:lang w:eastAsia="en-PH"/>
        </w:rPr>
      </w:pPr>
      <w:r w:rsidRPr="008A6B6D">
        <w:rPr>
          <w:b w:val="0"/>
          <w:bCs/>
        </w:rPr>
        <w:t>Likewise, retrieval and distributed practice have been associated with stronger retention or later application of learned material in educational settings, although their benefits may vary according to learning conditions and prior performance (Corral &amp; Carpenter, 2025; Franzoi et al., 2025; Ruitenburg et al., 2025).</w:t>
      </w:r>
    </w:p>
    <w:p w14:paraId="6D70EB2B" w14:textId="77777777" w:rsidR="005C2B64" w:rsidRPr="008A6B6D" w:rsidRDefault="005C2B64" w:rsidP="005C2B64">
      <w:pPr>
        <w:pStyle w:val="MDPI21heading1"/>
        <w:spacing w:before="0" w:after="0" w:line="240" w:lineRule="auto"/>
        <w:ind w:left="0"/>
        <w:rPr>
          <w:rFonts w:ascii="Arial" w:hAnsi="Arial" w:cs="Arial"/>
          <w:b w:val="0"/>
          <w:bCs/>
          <w:szCs w:val="20"/>
          <w:lang w:eastAsia="en-PH"/>
        </w:rPr>
      </w:pPr>
    </w:p>
    <w:p w14:paraId="1FFAC091" w14:textId="77777777" w:rsidR="00503904" w:rsidRPr="008A6B6D" w:rsidRDefault="00503904" w:rsidP="005C2B64">
      <w:pPr>
        <w:pStyle w:val="MDPI21heading1"/>
        <w:spacing w:before="0" w:after="0" w:line="240" w:lineRule="auto"/>
        <w:ind w:left="0"/>
        <w:rPr>
          <w:rFonts w:ascii="Arial" w:hAnsi="Arial" w:cs="Arial"/>
          <w:b w:val="0"/>
          <w:bCs/>
          <w:szCs w:val="20"/>
          <w:lang w:eastAsia="en-PH"/>
        </w:rPr>
      </w:pPr>
      <w:r w:rsidRPr="008A6B6D">
        <w:rPr>
          <w:rFonts w:ascii="Arial" w:hAnsi="Arial" w:cs="Arial"/>
          <w:b w:val="0"/>
          <w:bCs/>
          <w:szCs w:val="20"/>
          <w:lang w:eastAsia="en-PH"/>
        </w:rPr>
        <w:t>Despite the abundance of research addressing various components of the educational process, a significant research gap exists regarding the specific determinants of learning retention as perceived and identified by teachers. Thus, a qualitative exploration centered on teachers' insights can provide a deeper understanding of the factors influencing their students' ability to retain learned information. Such perspectives are essential, particularly as they draw on real-world experiences and observations directly related to their students' learning contexts.</w:t>
      </w:r>
    </w:p>
    <w:p w14:paraId="71BA3C89" w14:textId="77777777" w:rsidR="005C2B64" w:rsidRPr="008A6B6D" w:rsidRDefault="005C2B64" w:rsidP="005C2B64">
      <w:pPr>
        <w:pStyle w:val="MDPI21heading1"/>
        <w:spacing w:before="0" w:after="0" w:line="240" w:lineRule="auto"/>
        <w:ind w:left="0"/>
        <w:rPr>
          <w:rFonts w:ascii="Arial" w:hAnsi="Arial" w:cs="Arial"/>
          <w:b w:val="0"/>
          <w:bCs/>
          <w:szCs w:val="20"/>
          <w:lang w:eastAsia="en-PH"/>
        </w:rPr>
      </w:pPr>
    </w:p>
    <w:p w14:paraId="10B14703" w14:textId="77777777" w:rsidR="00503904" w:rsidRPr="008A6B6D" w:rsidRDefault="00503904" w:rsidP="005C2B64">
      <w:pPr>
        <w:pStyle w:val="MDPI21heading1"/>
        <w:spacing w:before="0" w:after="0" w:line="240" w:lineRule="auto"/>
        <w:ind w:left="0"/>
        <w:rPr>
          <w:rFonts w:ascii="Arial" w:hAnsi="Arial" w:cs="Arial"/>
          <w:b w:val="0"/>
          <w:bCs/>
          <w:szCs w:val="20"/>
          <w:lang w:eastAsia="en-PH"/>
        </w:rPr>
      </w:pPr>
      <w:r w:rsidRPr="008A6B6D">
        <w:rPr>
          <w:rFonts w:ascii="Arial" w:hAnsi="Arial" w:cs="Arial"/>
          <w:b w:val="0"/>
          <w:bCs/>
          <w:szCs w:val="20"/>
          <w:lang w:eastAsia="en-PH"/>
        </w:rPr>
        <w:t>Furthermore, the timeliness of this study is underscored by the current educational landscape's evolution, characterized by shifts towards student-centred teaching methodologies which demand a reevaluation of traditional pedagogical practices. These changes reflect a growing recognition of the need to align teaching strategies with students' learning preferences and environments. By delving into teacher-identified determinants, this research seeks to illuminate practical implications for instructional design that can subsequently result in improved student retention and learning outcomes (Novitasari et al., 2022).</w:t>
      </w:r>
    </w:p>
    <w:p w14:paraId="7BFDFFA6" w14:textId="77777777" w:rsidR="005C2B64" w:rsidRPr="008A6B6D" w:rsidRDefault="005C2B64" w:rsidP="005C2B64">
      <w:pPr>
        <w:pStyle w:val="MDPI21heading1"/>
        <w:spacing w:before="0" w:after="0" w:line="240" w:lineRule="auto"/>
        <w:ind w:left="0"/>
        <w:rPr>
          <w:rFonts w:ascii="Arial" w:hAnsi="Arial" w:cs="Arial"/>
          <w:b w:val="0"/>
          <w:bCs/>
          <w:szCs w:val="20"/>
          <w:lang w:eastAsia="en-PH"/>
        </w:rPr>
      </w:pPr>
    </w:p>
    <w:p w14:paraId="5A458108" w14:textId="03350769" w:rsidR="00503904" w:rsidRPr="008A6B6D" w:rsidRDefault="00503904" w:rsidP="005C2B64">
      <w:pPr>
        <w:pStyle w:val="MDPI21heading1"/>
        <w:spacing w:before="0" w:after="0" w:line="240" w:lineRule="auto"/>
        <w:ind w:left="0"/>
        <w:rPr>
          <w:rFonts w:ascii="Arial" w:hAnsi="Arial" w:cs="Arial"/>
          <w:b w:val="0"/>
          <w:bCs/>
          <w:sz w:val="16"/>
          <w:szCs w:val="14"/>
        </w:rPr>
      </w:pPr>
      <w:r w:rsidRPr="008A6B6D">
        <w:rPr>
          <w:rFonts w:ascii="Arial" w:hAnsi="Arial" w:cs="Arial"/>
          <w:b w:val="0"/>
          <w:bCs/>
          <w:szCs w:val="20"/>
          <w:lang w:eastAsia="en-PH"/>
        </w:rPr>
        <w:t>The context for this study is Bartolome and Manuela Pañares Memorial National High School, located at Poblacion, Barili, Cebu. As an institution catering to diverse student populations, it presents a representative microcosm of junior high school education in the Philippines. Thus, an Action Plan is proposed to implement strategies derived from the findings of this study in order to enhance learning retention among students (Dionglay &amp; Callo, 2024; Ledesma, 2025; Pangan et al., 2025; Slamet et al., 202</w:t>
      </w:r>
      <w:r w:rsidR="0048448D">
        <w:rPr>
          <w:rFonts w:ascii="Arial" w:hAnsi="Arial" w:cs="Arial"/>
          <w:b w:val="0"/>
          <w:bCs/>
          <w:szCs w:val="20"/>
          <w:lang w:eastAsia="en-PH"/>
        </w:rPr>
        <w:t>4</w:t>
      </w:r>
      <w:r w:rsidRPr="008A6B6D">
        <w:rPr>
          <w:rFonts w:ascii="Arial" w:hAnsi="Arial" w:cs="Arial"/>
          <w:b w:val="0"/>
          <w:bCs/>
          <w:szCs w:val="20"/>
          <w:lang w:eastAsia="en-PH"/>
        </w:rPr>
        <w:t>).</w:t>
      </w:r>
    </w:p>
    <w:p w14:paraId="37740851" w14:textId="77777777" w:rsidR="00790ADA" w:rsidRPr="008A6B6D" w:rsidRDefault="00790ADA" w:rsidP="00441B6F">
      <w:pPr>
        <w:pStyle w:val="Body"/>
        <w:spacing w:after="0"/>
        <w:rPr>
          <w:rFonts w:ascii="Arial" w:hAnsi="Arial" w:cs="Arial"/>
        </w:rPr>
      </w:pPr>
    </w:p>
    <w:p w14:paraId="796FE14A" w14:textId="77777777" w:rsidR="00EF7A6D" w:rsidRPr="008A6B6D" w:rsidRDefault="00000000">
      <w:pPr>
        <w:pStyle w:val="MDPI21heading1"/>
        <w:spacing w:before="0" w:after="0" w:line="240" w:lineRule="auto"/>
        <w:ind w:left="0"/>
        <w:rPr>
          <w:rFonts w:ascii="Arial" w:hAnsi="Arial" w:cs="Arial"/>
          <w:b w:val="0"/>
          <w:bCs/>
          <w:sz w:val="16"/>
          <w:szCs w:val="14"/>
        </w:rPr>
      </w:pPr>
      <w:r w:rsidRPr="008A6B6D">
        <w:t>Objective of the Study</w:t>
      </w:r>
    </w:p>
    <w:p w14:paraId="5422DA3A" w14:textId="77777777" w:rsidR="00EF7A6D" w:rsidRPr="008A6B6D" w:rsidRDefault="00000000">
      <w:pPr>
        <w:pStyle w:val="MDPI21heading1"/>
        <w:spacing w:before="0" w:after="0" w:line="240" w:lineRule="auto"/>
        <w:ind w:left="0"/>
        <w:rPr>
          <w:rFonts w:ascii="Arial" w:hAnsi="Arial" w:cs="Arial"/>
          <w:b w:val="0"/>
          <w:bCs/>
          <w:sz w:val="16"/>
          <w:szCs w:val="14"/>
        </w:rPr>
      </w:pPr>
      <w:r w:rsidRPr="008A6B6D">
        <w:t>The objective of this study is to identify the pedagogical and student-related determinants affecting learning retention among Junior High School students, examine their relationships with perceived learning retention, assess differences in these determinants across teacher profile variables, and use the findings as the basis for the Learning Retention Enhancement Program.</w:t>
      </w:r>
    </w:p>
    <w:p w14:paraId="581AD722" w14:textId="77777777" w:rsidR="00790ADA" w:rsidRPr="008A6B6D" w:rsidRDefault="00902823" w:rsidP="00441B6F">
      <w:pPr>
        <w:pStyle w:val="AbstHead"/>
        <w:spacing w:after="0"/>
        <w:jc w:val="both"/>
        <w:rPr>
          <w:rFonts w:ascii="Arial" w:hAnsi="Arial" w:cs="Arial"/>
        </w:rPr>
      </w:pPr>
      <w:r w:rsidRPr="008A6B6D">
        <w:rPr>
          <w:rFonts w:ascii="Arial" w:hAnsi="Arial" w:cs="Arial"/>
        </w:rPr>
        <w:t xml:space="preserve">2. </w:t>
      </w:r>
      <w:r w:rsidR="00503904" w:rsidRPr="008A6B6D">
        <w:rPr>
          <w:rFonts w:ascii="Arial" w:hAnsi="Arial" w:cs="Arial"/>
        </w:rPr>
        <w:t xml:space="preserve">Research </w:t>
      </w:r>
      <w:r w:rsidR="006B57D0" w:rsidRPr="008A6B6D">
        <w:rPr>
          <w:rFonts w:ascii="Arial" w:hAnsi="Arial" w:cs="Arial"/>
        </w:rPr>
        <w:t>methodology</w:t>
      </w:r>
      <w:r w:rsidR="007F7B32" w:rsidRPr="008A6B6D">
        <w:rPr>
          <w:rFonts w:ascii="Arial" w:hAnsi="Arial" w:cs="Arial"/>
        </w:rPr>
        <w:t xml:space="preserve"> </w:t>
      </w:r>
    </w:p>
    <w:p w14:paraId="18BC1B0E" w14:textId="77777777" w:rsidR="00503904" w:rsidRPr="008A6B6D" w:rsidRDefault="00503904" w:rsidP="00503904">
      <w:pPr>
        <w:pStyle w:val="MDPI21heading1"/>
        <w:spacing w:before="0" w:after="0" w:line="240" w:lineRule="auto"/>
        <w:ind w:left="0"/>
        <w:rPr>
          <w:rFonts w:ascii="Arial" w:hAnsi="Arial" w:cs="Arial"/>
          <w:szCs w:val="18"/>
        </w:rPr>
      </w:pPr>
      <w:r w:rsidRPr="008A6B6D">
        <w:rPr>
          <w:rFonts w:ascii="Arial" w:hAnsi="Arial" w:cs="Arial"/>
          <w:szCs w:val="18"/>
        </w:rPr>
        <w:t>2.1. Research Design</w:t>
      </w:r>
    </w:p>
    <w:p w14:paraId="0366AA8D" w14:textId="77777777" w:rsidR="009A7909" w:rsidRPr="008A6B6D" w:rsidRDefault="009A7909" w:rsidP="00503904">
      <w:pPr>
        <w:pStyle w:val="MDPI21heading1"/>
        <w:spacing w:before="0" w:after="0" w:line="240" w:lineRule="auto"/>
        <w:ind w:left="0"/>
        <w:rPr>
          <w:rFonts w:ascii="Arial" w:hAnsi="Arial" w:cs="Arial"/>
          <w:szCs w:val="18"/>
        </w:rPr>
      </w:pPr>
    </w:p>
    <w:p w14:paraId="14A99B1F" w14:textId="77777777" w:rsidR="00503904" w:rsidRPr="008A6B6D" w:rsidRDefault="00503904" w:rsidP="005C2B64">
      <w:pPr>
        <w:jc w:val="both"/>
        <w:rPr>
          <w:rFonts w:ascii="Arial" w:hAnsi="Arial" w:cs="Arial"/>
          <w:color w:val="1F1F1F"/>
          <w:lang w:eastAsia="en-PH"/>
        </w:rPr>
      </w:pPr>
      <w:r w:rsidRPr="008A6B6D">
        <w:rPr>
          <w:rFonts w:ascii="Arial" w:hAnsi="Arial" w:cs="Arial"/>
          <w:color w:val="1F1F1F"/>
          <w:lang w:eastAsia="en-PH"/>
        </w:rPr>
        <w:lastRenderedPageBreak/>
        <w:t>To comprehensively examine the pedagogical and student-related determinants affecting learning retention among Junior High School students at Bartolome and Manuela Pañares Memorial National High School, this study employed a mixed-methods research design. This approach was suited for the study as it seeks to describe the current state of instructional strategies and student behaviours while simultaneously identifying the strength and direction of relationships between these variables. By using a descriptive lens, the researcher could systematically profile the teacher-respondents—including their age, sex, years of experience, educational attainment, and specialisation—and quantify the perceived levels of key determinants such as active learning strategies, instructional multimedia, formative assessments, and differentiated instruction. Furthermore, the correlational aspect allowed a rigorous statistical investigation into whether significant relationships exist between these pedagogical and student-related factors (e.g., prior knowledge, intrinsic motivation, and study habits) and the actual perceived levels of student learning retention.</w:t>
      </w:r>
    </w:p>
    <w:p w14:paraId="49B0BB12" w14:textId="77777777" w:rsidR="005C2B64" w:rsidRPr="008A6B6D" w:rsidRDefault="005C2B64" w:rsidP="005C2B64">
      <w:pPr>
        <w:jc w:val="both"/>
        <w:rPr>
          <w:rFonts w:ascii="Arial" w:hAnsi="Arial" w:cs="Arial"/>
          <w:color w:val="1F1F1F"/>
          <w:lang w:eastAsia="en-PH"/>
        </w:rPr>
      </w:pPr>
    </w:p>
    <w:p w14:paraId="1C056DF8" w14:textId="77777777" w:rsidR="00503904" w:rsidRPr="008A6B6D" w:rsidRDefault="00503904" w:rsidP="005C2B64">
      <w:pPr>
        <w:jc w:val="both"/>
        <w:rPr>
          <w:rFonts w:ascii="Arial" w:hAnsi="Arial" w:cs="Arial"/>
          <w:color w:val="1F1F1F"/>
          <w:lang w:eastAsia="en-PH"/>
        </w:rPr>
      </w:pPr>
      <w:r w:rsidRPr="008A6B6D">
        <w:rPr>
          <w:rFonts w:ascii="Arial" w:hAnsi="Arial" w:cs="Arial"/>
          <w:color w:val="1F1F1F"/>
          <w:lang w:eastAsia="en-PH"/>
        </w:rPr>
        <w:t>The primary instrument for data collection was a structured survey questionnaire featuring a 5-point Likert scale. This allowed teacher-respondents to provide nuanced assessments of both instructional efficacy and student-related variables, such as attention span and conceptual understanding. The questionnaire was structured into segments aligned with the specific research questions: the first section gathered demographic data, the second evaluated the frequency of teacher-led pedagogical interventions, the third gauged student-related factors as perceived by the educators, and the final sections assessed the level of learning retention across recall and skill application. This structured data collection enabled the use of inferential statistics to determine if significant differences in perceptions exist when respondents are grouped by their profile variables.</w:t>
      </w:r>
    </w:p>
    <w:p w14:paraId="17588110" w14:textId="77777777" w:rsidR="005C2B64" w:rsidRPr="008A6B6D" w:rsidRDefault="005C2B64" w:rsidP="005C2B64">
      <w:pPr>
        <w:jc w:val="both"/>
        <w:rPr>
          <w:rFonts w:ascii="Arial" w:hAnsi="Arial" w:cs="Arial"/>
          <w:color w:val="1F1F1F"/>
          <w:lang w:eastAsia="en-PH"/>
        </w:rPr>
      </w:pPr>
    </w:p>
    <w:p w14:paraId="395BFE9B" w14:textId="77777777" w:rsidR="00503904" w:rsidRPr="008A6B6D" w:rsidRDefault="00503904" w:rsidP="005C2B64">
      <w:pPr>
        <w:jc w:val="both"/>
        <w:rPr>
          <w:rFonts w:ascii="Arial" w:hAnsi="Arial" w:cs="Arial"/>
          <w:color w:val="1F1F1F"/>
          <w:lang w:eastAsia="en-PH"/>
        </w:rPr>
      </w:pPr>
      <w:r w:rsidRPr="008A6B6D">
        <w:rPr>
          <w:rFonts w:ascii="Arial" w:hAnsi="Arial" w:cs="Arial"/>
          <w:color w:val="1F1F1F"/>
          <w:lang w:eastAsia="en-PH"/>
        </w:rPr>
        <w:t>Ultimately, this methodology served as the empirical foundation for addressing the practical challenges encountered by teachers in the classroom. By identifying specific hurdles in implementing retention-enhancing strategies, the study moved from theoretical observation to practical application. The findings derived from this design provided a factual, data-driven basis for the development of the Learning Retention Enhancement Program. This proposed action plan was designed to bridge the gap between current classroom practices and optimised academic outcomes, with the aim of ensuring that the Junior High School curriculum results in long-term knowledge recall and meaningful conceptual understanding.</w:t>
      </w:r>
    </w:p>
    <w:p w14:paraId="19435834" w14:textId="77777777" w:rsidR="00503904" w:rsidRPr="008A6B6D" w:rsidRDefault="00503904" w:rsidP="00503904">
      <w:pPr>
        <w:rPr>
          <w:rFonts w:ascii="Arial" w:hAnsi="Arial" w:cs="Arial"/>
          <w:color w:val="1F1F1F"/>
          <w:lang w:eastAsia="en-PH"/>
        </w:rPr>
      </w:pPr>
    </w:p>
    <w:p w14:paraId="479B78D7" w14:textId="77777777" w:rsidR="001E51D5" w:rsidRPr="008A6B6D" w:rsidRDefault="00503904" w:rsidP="001E51D5">
      <w:pPr>
        <w:rPr>
          <w:rFonts w:ascii="Arial" w:hAnsi="Arial" w:cs="Arial"/>
          <w:b/>
          <w:bCs/>
          <w:color w:val="1F1F1F"/>
          <w:lang w:eastAsia="en-PH"/>
        </w:rPr>
      </w:pPr>
      <w:r w:rsidRPr="008A6B6D">
        <w:rPr>
          <w:rFonts w:ascii="Arial" w:hAnsi="Arial" w:cs="Arial"/>
          <w:b/>
          <w:bCs/>
          <w:color w:val="1F1F1F"/>
          <w:lang w:eastAsia="en-PH"/>
        </w:rPr>
        <w:t>2.2. Flow of the Stud</w:t>
      </w:r>
      <w:r w:rsidR="001E51D5" w:rsidRPr="008A6B6D">
        <w:rPr>
          <w:rFonts w:ascii="Arial" w:hAnsi="Arial" w:cs="Arial"/>
          <w:b/>
          <w:bCs/>
          <w:color w:val="1F1F1F"/>
          <w:lang w:eastAsia="en-PH"/>
        </w:rPr>
        <w:t>y</w:t>
      </w:r>
    </w:p>
    <w:p w14:paraId="3277A18E" w14:textId="77777777" w:rsidR="001E51D5" w:rsidRPr="008A6B6D" w:rsidRDefault="001E51D5" w:rsidP="001E51D5">
      <w:pPr>
        <w:rPr>
          <w:rFonts w:ascii="Arial" w:hAnsi="Arial" w:cs="Arial"/>
          <w:b/>
          <w:bCs/>
          <w:color w:val="1F1F1F"/>
          <w:lang w:eastAsia="en-PH"/>
        </w:rPr>
      </w:pPr>
    </w:p>
    <w:p w14:paraId="327D8912" w14:textId="77777777" w:rsidR="00503904" w:rsidRPr="008A6B6D" w:rsidRDefault="00503904" w:rsidP="001E51D5">
      <w:pPr>
        <w:jc w:val="both"/>
        <w:rPr>
          <w:rFonts w:ascii="Arial" w:hAnsi="Arial" w:cs="Arial"/>
          <w:b/>
          <w:bCs/>
          <w:color w:val="1F1F1F"/>
          <w:lang w:eastAsia="en-PH"/>
        </w:rPr>
      </w:pPr>
      <w:r w:rsidRPr="008A6B6D">
        <w:rPr>
          <w:rFonts w:ascii="Arial" w:hAnsi="Arial" w:cs="Arial"/>
          <w:lang w:eastAsia="en-PH"/>
        </w:rPr>
        <w:t xml:space="preserve">The Input phase involved gathering comprehensive data regarding the profile of the teacher-respondents, including their age, gender, years of teaching experience, educational attainment, and subject area specialisation. Simultaneously, data were collected on the level of teacher-identified pedagogical determinants—such as active learning and instructional multimedia—and the level of student-related determinants, including prior knowledge and motivation, as perceived by the educators. This phase also identified the specific challenges encountered by teachers in implementing strategies aimed at enhancing long-term learning retention in the classroom. The Process phase began with formal administrative procedures, specifically the issuance of a transmittal letter addressed to the Public Schools District Supervisor (PSDS) of Barili to seek permission for data collection. The study then used a descriptive survey design through a modified survey form to collect quantitative data. Once gathered, the information underwent rigorous data processing using the SPSS for precise analysis and interpretation. This statistical treatment determined the significant relationship between the identified pedagogical determinants and the perceived level of learning retention among students. The output of this study was the development of a strategic Retention Enhancement Program. This plan is specifically designed based on the synthesized findings </w:t>
      </w:r>
      <w:r w:rsidRPr="008A6B6D">
        <w:rPr>
          <w:rFonts w:ascii="Arial" w:hAnsi="Arial" w:cs="Arial"/>
          <w:lang w:eastAsia="en-PH"/>
        </w:rPr>
        <w:lastRenderedPageBreak/>
        <w:t>to provide educators and administrators with actionable interventions to optimise learning retention and academic outcomes among Junior High School students.</w:t>
      </w:r>
    </w:p>
    <w:p w14:paraId="15005221" w14:textId="77777777" w:rsidR="00A03B96" w:rsidRPr="008A6B6D" w:rsidRDefault="00A03B96" w:rsidP="00441B6F">
      <w:pPr>
        <w:pStyle w:val="Body"/>
        <w:spacing w:after="0"/>
        <w:rPr>
          <w:rFonts w:ascii="Arial" w:hAnsi="Arial" w:cs="Arial"/>
        </w:rPr>
      </w:pPr>
    </w:p>
    <w:p w14:paraId="485B869E" w14:textId="77777777" w:rsidR="001E51D5" w:rsidRPr="008A6B6D" w:rsidRDefault="001E51D5" w:rsidP="001E51D5">
      <w:pPr>
        <w:rPr>
          <w:rFonts w:ascii="Arial" w:eastAsia="Calibri" w:hAnsi="Arial" w:cs="Arial"/>
          <w:b/>
          <w:shd w:val="clear" w:color="auto" w:fill="FFFFFF"/>
        </w:rPr>
      </w:pPr>
      <w:r w:rsidRPr="008A6B6D">
        <w:rPr>
          <w:rFonts w:ascii="Arial" w:hAnsi="Arial" w:cs="Arial"/>
          <w:b/>
        </w:rPr>
        <w:t xml:space="preserve">2.3. </w:t>
      </w:r>
      <w:r w:rsidRPr="008A6B6D">
        <w:rPr>
          <w:rFonts w:ascii="Arial" w:eastAsia="Calibri" w:hAnsi="Arial" w:cs="Arial"/>
          <w:b/>
          <w:shd w:val="clear" w:color="auto" w:fill="FFFFFF"/>
        </w:rPr>
        <w:t>Environment</w:t>
      </w:r>
    </w:p>
    <w:p w14:paraId="7A4831F0" w14:textId="77777777" w:rsidR="005C2B64" w:rsidRPr="008A6B6D" w:rsidRDefault="005C2B64" w:rsidP="005C2B64">
      <w:pPr>
        <w:rPr>
          <w:rFonts w:ascii="Arial" w:eastAsia="Calibri" w:hAnsi="Arial" w:cs="Arial"/>
          <w:b/>
          <w:shd w:val="clear" w:color="auto" w:fill="FFFFFF"/>
        </w:rPr>
      </w:pPr>
    </w:p>
    <w:p w14:paraId="3EB0BC86" w14:textId="77777777" w:rsidR="001E51D5" w:rsidRPr="008A6B6D" w:rsidRDefault="001E51D5" w:rsidP="005C2B64">
      <w:pPr>
        <w:jc w:val="both"/>
        <w:rPr>
          <w:rFonts w:ascii="Arial" w:eastAsia="Calibri" w:hAnsi="Arial" w:cs="Arial"/>
          <w:b/>
          <w:sz w:val="16"/>
          <w:szCs w:val="16"/>
          <w:shd w:val="clear" w:color="auto" w:fill="FFFFFF"/>
        </w:rPr>
      </w:pPr>
      <w:r w:rsidRPr="008A6B6D">
        <w:rPr>
          <w:rFonts w:ascii="Arial" w:hAnsi="Arial" w:cs="Arial"/>
          <w:lang w:eastAsia="en-PH"/>
        </w:rPr>
        <w:t>The study was conducted at Bartolome and Manuela Pañares Memorial National High School, the largest school in Barili. It has more than 100 teachers and nearly 4,000 students from adjacent barangays near Poblacion, including San Rafael, Japitan, Sta. Ana, Lopo, Loyo, Maghanoy, and Nabunturan.</w:t>
      </w:r>
    </w:p>
    <w:p w14:paraId="1D3D2FBB" w14:textId="77777777" w:rsidR="001E51D5" w:rsidRPr="008A6B6D" w:rsidRDefault="001E51D5" w:rsidP="00441B6F">
      <w:pPr>
        <w:pStyle w:val="Body"/>
        <w:spacing w:after="0"/>
        <w:rPr>
          <w:rFonts w:ascii="Arial" w:hAnsi="Arial" w:cs="Arial"/>
        </w:rPr>
      </w:pPr>
    </w:p>
    <w:p w14:paraId="4F5CE49C" w14:textId="77777777" w:rsidR="001E51D5" w:rsidRPr="008A6B6D" w:rsidRDefault="001E51D5" w:rsidP="001E51D5">
      <w:pPr>
        <w:pStyle w:val="MDPI21heading1"/>
        <w:spacing w:before="0" w:after="0" w:line="240" w:lineRule="auto"/>
        <w:ind w:left="0"/>
        <w:rPr>
          <w:rFonts w:ascii="Arial" w:hAnsi="Arial" w:cs="Arial"/>
          <w:szCs w:val="18"/>
        </w:rPr>
      </w:pPr>
      <w:r w:rsidRPr="008A6B6D">
        <w:rPr>
          <w:rFonts w:ascii="Arial" w:hAnsi="Arial" w:cs="Arial"/>
          <w:szCs w:val="18"/>
        </w:rPr>
        <w:t>2.4. Respondents</w:t>
      </w:r>
    </w:p>
    <w:p w14:paraId="39BB200B" w14:textId="77777777" w:rsidR="001E51D5" w:rsidRPr="008A6B6D" w:rsidRDefault="001E51D5" w:rsidP="001E51D5">
      <w:pPr>
        <w:pStyle w:val="MDPI21heading1"/>
        <w:spacing w:before="0" w:after="0" w:line="240" w:lineRule="auto"/>
        <w:ind w:left="0"/>
        <w:rPr>
          <w:rFonts w:ascii="Arial" w:hAnsi="Arial" w:cs="Arial"/>
          <w:szCs w:val="18"/>
        </w:rPr>
      </w:pPr>
    </w:p>
    <w:p w14:paraId="5AC92B00" w14:textId="77777777" w:rsidR="001E51D5" w:rsidRPr="008A6B6D" w:rsidRDefault="001E51D5" w:rsidP="005C2B64">
      <w:pPr>
        <w:pStyle w:val="MDPI21heading1"/>
        <w:spacing w:before="0" w:after="0" w:line="240" w:lineRule="auto"/>
        <w:ind w:left="0"/>
        <w:rPr>
          <w:rFonts w:ascii="Arial" w:hAnsi="Arial" w:cs="Arial"/>
          <w:b w:val="0"/>
          <w:bCs/>
          <w:color w:val="1F1F1F"/>
          <w:lang w:eastAsia="en-PH"/>
        </w:rPr>
      </w:pPr>
      <w:r w:rsidRPr="008A6B6D">
        <w:rPr>
          <w:rFonts w:ascii="Arial" w:hAnsi="Arial" w:cs="Arial"/>
          <w:b w:val="0"/>
          <w:bCs/>
          <w:color w:val="1F1F1F"/>
          <w:lang w:eastAsia="en-PH"/>
        </w:rPr>
        <w:t>The primary respondents for this study were the secondary school teachers of Bartolome and Manuela Pañares Memorial National High School. To ensure a comprehensive dataset that reflects the diverse instructional landscape of the institution, the researcher employed total population sampling, initially targeting the entire faculty of 95 teachers. This sampling technique was chosen to eliminate sampling bias and provide a holistic view of the pedagogical and student-related determinants across all subject specialisations and grade levels within the Junior High School department.</w:t>
      </w:r>
    </w:p>
    <w:p w14:paraId="72837324" w14:textId="77777777" w:rsidR="005C2B64" w:rsidRPr="008A6B6D" w:rsidRDefault="005C2B64" w:rsidP="005C2B64">
      <w:pPr>
        <w:pStyle w:val="MDPI21heading1"/>
        <w:spacing w:before="0" w:after="0" w:line="240" w:lineRule="auto"/>
        <w:ind w:left="0"/>
        <w:rPr>
          <w:rFonts w:ascii="Arial" w:hAnsi="Arial" w:cs="Arial"/>
          <w:b w:val="0"/>
          <w:bCs/>
          <w:color w:val="1F1F1F"/>
          <w:lang w:eastAsia="en-PH"/>
        </w:rPr>
      </w:pPr>
    </w:p>
    <w:p w14:paraId="37E52B9B" w14:textId="77777777" w:rsidR="001E51D5" w:rsidRPr="008A6B6D" w:rsidRDefault="001E51D5" w:rsidP="005C2B64">
      <w:pPr>
        <w:pStyle w:val="MDPI21heading1"/>
        <w:spacing w:before="0" w:after="0" w:line="240" w:lineRule="auto"/>
        <w:ind w:left="0"/>
        <w:rPr>
          <w:rFonts w:ascii="Arial" w:hAnsi="Arial" w:cs="Arial"/>
          <w:b w:val="0"/>
          <w:bCs/>
          <w:color w:val="1F1F1F"/>
          <w:lang w:eastAsia="en-PH"/>
        </w:rPr>
      </w:pPr>
      <w:r w:rsidRPr="008A6B6D">
        <w:rPr>
          <w:rFonts w:ascii="Arial" w:hAnsi="Arial" w:cs="Arial"/>
          <w:b w:val="0"/>
          <w:bCs/>
          <w:color w:val="1F1F1F"/>
          <w:lang w:eastAsia="en-PH"/>
        </w:rPr>
        <w:t>Of the total population, 84 teachers voluntarily participated and successfully completed the research instrument via a Google Form questionnaire, representing an 88.42% response rate. This high participation rate provided a substantial data set for statistical analysis. The respondents were not coerced into participating. Every participant was informed of their right to withdraw at any time, ensuring that the gathered data reflect the authentic, unforced professional insights of the teaching staff.</w:t>
      </w:r>
    </w:p>
    <w:p w14:paraId="6DC6B924" w14:textId="77777777" w:rsidR="001E51D5" w:rsidRPr="008A6B6D" w:rsidRDefault="001E51D5" w:rsidP="001E51D5">
      <w:pPr>
        <w:rPr>
          <w:rFonts w:ascii="Arial" w:hAnsi="Arial" w:cs="Arial"/>
          <w:color w:val="1F1F1F"/>
          <w:lang w:eastAsia="en-PH"/>
        </w:rPr>
      </w:pPr>
    </w:p>
    <w:p w14:paraId="7BB98021" w14:textId="77777777" w:rsidR="001E51D5" w:rsidRPr="008A6B6D" w:rsidRDefault="001E51D5" w:rsidP="001E51D5">
      <w:pPr>
        <w:rPr>
          <w:rFonts w:ascii="Arial" w:hAnsi="Arial" w:cs="Arial"/>
          <w:b/>
          <w:bCs/>
          <w:color w:val="1F1F1F"/>
          <w:sz w:val="24"/>
          <w:szCs w:val="24"/>
          <w:lang w:eastAsia="en-PH"/>
        </w:rPr>
      </w:pPr>
      <w:r w:rsidRPr="008A6B6D">
        <w:rPr>
          <w:rFonts w:ascii="Arial" w:hAnsi="Arial" w:cs="Arial"/>
          <w:b/>
          <w:bCs/>
          <w:color w:val="1F1F1F"/>
          <w:lang w:eastAsia="en-PH"/>
        </w:rPr>
        <w:t>Table 1. Distribution of the Respondents</w:t>
      </w:r>
    </w:p>
    <w:tbl>
      <w:tblPr>
        <w:tblW w:w="0" w:type="auto"/>
        <w:tblLook w:val="04A0" w:firstRow="1" w:lastRow="0" w:firstColumn="1" w:lastColumn="0" w:noHBand="0" w:noVBand="1"/>
      </w:tblPr>
      <w:tblGrid>
        <w:gridCol w:w="1484"/>
        <w:gridCol w:w="2250"/>
        <w:gridCol w:w="2461"/>
        <w:gridCol w:w="2013"/>
      </w:tblGrid>
      <w:tr w:rsidR="001E51D5" w:rsidRPr="008A6B6D" w14:paraId="37917241" w14:textId="77777777" w:rsidTr="001E51D5">
        <w:trPr>
          <w:trHeight w:val="240"/>
        </w:trPr>
        <w:tc>
          <w:tcPr>
            <w:tcW w:w="0" w:type="auto"/>
            <w:tcBorders>
              <w:top w:val="single" w:sz="4" w:space="0" w:color="auto"/>
              <w:bottom w:val="single" w:sz="4" w:space="0" w:color="auto"/>
            </w:tcBorders>
            <w:vAlign w:val="center"/>
            <w:hideMark/>
          </w:tcPr>
          <w:p w14:paraId="16755B1E" w14:textId="77777777" w:rsidR="001E51D5" w:rsidRPr="008A6B6D" w:rsidRDefault="001E51D5" w:rsidP="001E51D5">
            <w:pPr>
              <w:rPr>
                <w:rFonts w:ascii="Arial" w:hAnsi="Arial" w:cs="Arial"/>
                <w:b/>
                <w:bCs/>
                <w:color w:val="1F1F1F"/>
                <w:lang w:eastAsia="en-PH"/>
              </w:rPr>
            </w:pPr>
            <w:r w:rsidRPr="008A6B6D">
              <w:rPr>
                <w:rFonts w:ascii="Arial" w:hAnsi="Arial" w:cs="Arial"/>
                <w:b/>
                <w:bCs/>
                <w:color w:val="1F1F1F"/>
                <w:lang w:eastAsia="en-PH"/>
              </w:rPr>
              <w:t>Respondents</w:t>
            </w:r>
          </w:p>
        </w:tc>
        <w:tc>
          <w:tcPr>
            <w:tcW w:w="0" w:type="auto"/>
            <w:tcBorders>
              <w:top w:val="single" w:sz="4" w:space="0" w:color="auto"/>
              <w:bottom w:val="single" w:sz="4" w:space="0" w:color="auto"/>
            </w:tcBorders>
            <w:vAlign w:val="center"/>
            <w:hideMark/>
          </w:tcPr>
          <w:p w14:paraId="2F353B62" w14:textId="77777777" w:rsidR="001E51D5" w:rsidRPr="008A6B6D" w:rsidRDefault="001E51D5" w:rsidP="001E51D5">
            <w:pPr>
              <w:jc w:val="center"/>
              <w:rPr>
                <w:rFonts w:ascii="Arial" w:hAnsi="Arial" w:cs="Arial"/>
                <w:b/>
                <w:bCs/>
                <w:color w:val="1F1F1F"/>
                <w:lang w:eastAsia="en-PH"/>
              </w:rPr>
            </w:pPr>
            <w:r w:rsidRPr="008A6B6D">
              <w:rPr>
                <w:rFonts w:ascii="Arial" w:hAnsi="Arial" w:cs="Arial"/>
                <w:b/>
                <w:bCs/>
                <w:color w:val="1F1F1F"/>
                <w:lang w:eastAsia="en-PH"/>
              </w:rPr>
              <w:t>Target Population (N)</w:t>
            </w:r>
          </w:p>
        </w:tc>
        <w:tc>
          <w:tcPr>
            <w:tcW w:w="0" w:type="auto"/>
            <w:tcBorders>
              <w:top w:val="single" w:sz="4" w:space="0" w:color="auto"/>
              <w:bottom w:val="single" w:sz="4" w:space="0" w:color="auto"/>
            </w:tcBorders>
            <w:vAlign w:val="center"/>
            <w:hideMark/>
          </w:tcPr>
          <w:p w14:paraId="2833DBE5" w14:textId="77777777" w:rsidR="001E51D5" w:rsidRPr="008A6B6D" w:rsidRDefault="001E51D5" w:rsidP="001E51D5">
            <w:pPr>
              <w:jc w:val="center"/>
              <w:rPr>
                <w:rFonts w:ascii="Arial" w:hAnsi="Arial" w:cs="Arial"/>
                <w:b/>
                <w:bCs/>
                <w:color w:val="1F1F1F"/>
                <w:lang w:eastAsia="en-PH"/>
              </w:rPr>
            </w:pPr>
            <w:r w:rsidRPr="008A6B6D">
              <w:rPr>
                <w:rFonts w:ascii="Arial" w:hAnsi="Arial" w:cs="Arial"/>
                <w:b/>
                <w:bCs/>
                <w:color w:val="1F1F1F"/>
                <w:lang w:eastAsia="en-PH"/>
              </w:rPr>
              <w:t>Actual Respondents (n)</w:t>
            </w:r>
          </w:p>
        </w:tc>
        <w:tc>
          <w:tcPr>
            <w:tcW w:w="2013" w:type="dxa"/>
            <w:tcBorders>
              <w:top w:val="single" w:sz="4" w:space="0" w:color="auto"/>
              <w:bottom w:val="single" w:sz="4" w:space="0" w:color="auto"/>
            </w:tcBorders>
            <w:vAlign w:val="center"/>
            <w:hideMark/>
          </w:tcPr>
          <w:p w14:paraId="6887A9FE" w14:textId="77777777" w:rsidR="001E51D5" w:rsidRPr="008A6B6D" w:rsidRDefault="001E51D5" w:rsidP="001E51D5">
            <w:pPr>
              <w:jc w:val="center"/>
              <w:rPr>
                <w:rFonts w:ascii="Arial" w:hAnsi="Arial" w:cs="Arial"/>
                <w:b/>
                <w:bCs/>
                <w:color w:val="1F1F1F"/>
                <w:lang w:eastAsia="en-PH"/>
              </w:rPr>
            </w:pPr>
            <w:r w:rsidRPr="008A6B6D">
              <w:rPr>
                <w:rFonts w:ascii="Arial" w:hAnsi="Arial" w:cs="Arial"/>
                <w:b/>
                <w:bCs/>
                <w:color w:val="1F1F1F"/>
                <w:lang w:eastAsia="en-PH"/>
              </w:rPr>
              <w:t>Percentage (%)</w:t>
            </w:r>
          </w:p>
        </w:tc>
      </w:tr>
      <w:tr w:rsidR="001E51D5" w:rsidRPr="008A6B6D" w14:paraId="4B0A11F9" w14:textId="77777777" w:rsidTr="001E51D5">
        <w:trPr>
          <w:trHeight w:val="240"/>
        </w:trPr>
        <w:tc>
          <w:tcPr>
            <w:tcW w:w="0" w:type="auto"/>
            <w:tcBorders>
              <w:top w:val="single" w:sz="4" w:space="0" w:color="auto"/>
              <w:bottom w:val="single" w:sz="4" w:space="0" w:color="auto"/>
            </w:tcBorders>
            <w:vAlign w:val="center"/>
            <w:hideMark/>
          </w:tcPr>
          <w:p w14:paraId="61D9008D" w14:textId="77777777" w:rsidR="001E51D5" w:rsidRPr="008A6B6D" w:rsidRDefault="001E51D5" w:rsidP="001E51D5">
            <w:pPr>
              <w:rPr>
                <w:rFonts w:ascii="Arial" w:hAnsi="Arial" w:cs="Arial"/>
                <w:color w:val="1F1F1F"/>
                <w:lang w:eastAsia="en-PH"/>
              </w:rPr>
            </w:pPr>
            <w:r w:rsidRPr="008A6B6D">
              <w:rPr>
                <w:rFonts w:ascii="Arial" w:hAnsi="Arial" w:cs="Arial"/>
                <w:color w:val="1F1F1F"/>
                <w:lang w:eastAsia="en-PH"/>
              </w:rPr>
              <w:t>JHS Teachers</w:t>
            </w:r>
          </w:p>
        </w:tc>
        <w:tc>
          <w:tcPr>
            <w:tcW w:w="0" w:type="auto"/>
            <w:tcBorders>
              <w:top w:val="single" w:sz="4" w:space="0" w:color="auto"/>
              <w:bottom w:val="single" w:sz="4" w:space="0" w:color="auto"/>
            </w:tcBorders>
            <w:vAlign w:val="center"/>
            <w:hideMark/>
          </w:tcPr>
          <w:p w14:paraId="5CF7125D" w14:textId="77777777" w:rsidR="001E51D5" w:rsidRPr="008A6B6D" w:rsidRDefault="001E51D5" w:rsidP="001E51D5">
            <w:pPr>
              <w:jc w:val="center"/>
              <w:rPr>
                <w:rFonts w:ascii="Arial" w:hAnsi="Arial" w:cs="Arial"/>
                <w:color w:val="1F1F1F"/>
                <w:lang w:eastAsia="en-PH"/>
              </w:rPr>
            </w:pPr>
            <w:r w:rsidRPr="008A6B6D">
              <w:rPr>
                <w:rFonts w:ascii="Arial" w:hAnsi="Arial" w:cs="Arial"/>
                <w:color w:val="1F1F1F"/>
                <w:lang w:eastAsia="en-PH"/>
              </w:rPr>
              <w:t>95</w:t>
            </w:r>
          </w:p>
        </w:tc>
        <w:tc>
          <w:tcPr>
            <w:tcW w:w="0" w:type="auto"/>
            <w:tcBorders>
              <w:top w:val="single" w:sz="4" w:space="0" w:color="auto"/>
              <w:bottom w:val="single" w:sz="4" w:space="0" w:color="auto"/>
            </w:tcBorders>
            <w:vAlign w:val="center"/>
            <w:hideMark/>
          </w:tcPr>
          <w:p w14:paraId="0D885E44" w14:textId="77777777" w:rsidR="001E51D5" w:rsidRPr="008A6B6D" w:rsidRDefault="001E51D5" w:rsidP="001E51D5">
            <w:pPr>
              <w:jc w:val="center"/>
              <w:rPr>
                <w:rFonts w:ascii="Arial" w:hAnsi="Arial" w:cs="Arial"/>
                <w:color w:val="1F1F1F"/>
                <w:lang w:eastAsia="en-PH"/>
              </w:rPr>
            </w:pPr>
            <w:r w:rsidRPr="008A6B6D">
              <w:rPr>
                <w:rFonts w:ascii="Arial" w:hAnsi="Arial" w:cs="Arial"/>
                <w:color w:val="1F1F1F"/>
                <w:lang w:eastAsia="en-PH"/>
              </w:rPr>
              <w:t>84</w:t>
            </w:r>
          </w:p>
        </w:tc>
        <w:tc>
          <w:tcPr>
            <w:tcW w:w="2013" w:type="dxa"/>
            <w:tcBorders>
              <w:top w:val="single" w:sz="4" w:space="0" w:color="auto"/>
              <w:bottom w:val="single" w:sz="4" w:space="0" w:color="auto"/>
            </w:tcBorders>
            <w:vAlign w:val="center"/>
            <w:hideMark/>
          </w:tcPr>
          <w:p w14:paraId="4395206F" w14:textId="77777777" w:rsidR="001E51D5" w:rsidRPr="008A6B6D" w:rsidRDefault="001E51D5" w:rsidP="001E51D5">
            <w:pPr>
              <w:jc w:val="center"/>
              <w:rPr>
                <w:rFonts w:ascii="Arial" w:hAnsi="Arial" w:cs="Arial"/>
                <w:color w:val="1F1F1F"/>
                <w:lang w:eastAsia="en-PH"/>
              </w:rPr>
            </w:pPr>
            <w:r w:rsidRPr="008A6B6D">
              <w:rPr>
                <w:rFonts w:ascii="Arial" w:hAnsi="Arial" w:cs="Arial"/>
                <w:color w:val="1F1F1F"/>
                <w:lang w:eastAsia="en-PH"/>
              </w:rPr>
              <w:t>88.42%</w:t>
            </w:r>
          </w:p>
        </w:tc>
      </w:tr>
      <w:tr w:rsidR="001E51D5" w:rsidRPr="008A6B6D" w14:paraId="1A9F549D" w14:textId="77777777" w:rsidTr="001E51D5">
        <w:trPr>
          <w:trHeight w:val="240"/>
        </w:trPr>
        <w:tc>
          <w:tcPr>
            <w:tcW w:w="0" w:type="auto"/>
            <w:tcBorders>
              <w:top w:val="single" w:sz="4" w:space="0" w:color="auto"/>
              <w:bottom w:val="single" w:sz="4" w:space="0" w:color="auto"/>
            </w:tcBorders>
            <w:vAlign w:val="center"/>
            <w:hideMark/>
          </w:tcPr>
          <w:p w14:paraId="5C605A84" w14:textId="77777777" w:rsidR="001E51D5" w:rsidRPr="008A6B6D" w:rsidRDefault="001E51D5" w:rsidP="001E51D5">
            <w:pPr>
              <w:rPr>
                <w:rFonts w:ascii="Arial" w:hAnsi="Arial" w:cs="Arial"/>
                <w:b/>
                <w:bCs/>
                <w:color w:val="1F1F1F"/>
                <w:lang w:eastAsia="en-PH"/>
              </w:rPr>
            </w:pPr>
            <w:r w:rsidRPr="008A6B6D">
              <w:rPr>
                <w:rFonts w:ascii="Arial" w:hAnsi="Arial" w:cs="Arial"/>
                <w:b/>
                <w:bCs/>
                <w:color w:val="1F1F1F"/>
                <w:lang w:eastAsia="en-PH"/>
              </w:rPr>
              <w:t>Total</w:t>
            </w:r>
          </w:p>
        </w:tc>
        <w:tc>
          <w:tcPr>
            <w:tcW w:w="0" w:type="auto"/>
            <w:tcBorders>
              <w:top w:val="single" w:sz="4" w:space="0" w:color="auto"/>
              <w:bottom w:val="single" w:sz="4" w:space="0" w:color="auto"/>
            </w:tcBorders>
            <w:vAlign w:val="center"/>
            <w:hideMark/>
          </w:tcPr>
          <w:p w14:paraId="777D6AB8" w14:textId="77777777" w:rsidR="001E51D5" w:rsidRPr="008A6B6D" w:rsidRDefault="001E51D5" w:rsidP="001E51D5">
            <w:pPr>
              <w:jc w:val="center"/>
              <w:rPr>
                <w:rFonts w:ascii="Arial" w:hAnsi="Arial" w:cs="Arial"/>
                <w:b/>
                <w:bCs/>
                <w:color w:val="1F1F1F"/>
                <w:lang w:eastAsia="en-PH"/>
              </w:rPr>
            </w:pPr>
            <w:r w:rsidRPr="008A6B6D">
              <w:rPr>
                <w:rFonts w:ascii="Arial" w:hAnsi="Arial" w:cs="Arial"/>
                <w:b/>
                <w:bCs/>
                <w:color w:val="1F1F1F"/>
                <w:lang w:eastAsia="en-PH"/>
              </w:rPr>
              <w:t>95</w:t>
            </w:r>
          </w:p>
        </w:tc>
        <w:tc>
          <w:tcPr>
            <w:tcW w:w="0" w:type="auto"/>
            <w:tcBorders>
              <w:top w:val="single" w:sz="4" w:space="0" w:color="auto"/>
              <w:bottom w:val="single" w:sz="4" w:space="0" w:color="auto"/>
            </w:tcBorders>
            <w:vAlign w:val="center"/>
            <w:hideMark/>
          </w:tcPr>
          <w:p w14:paraId="2173FCD9" w14:textId="77777777" w:rsidR="001E51D5" w:rsidRPr="008A6B6D" w:rsidRDefault="001E51D5" w:rsidP="001E51D5">
            <w:pPr>
              <w:jc w:val="center"/>
              <w:rPr>
                <w:rFonts w:ascii="Arial" w:hAnsi="Arial" w:cs="Arial"/>
                <w:b/>
                <w:bCs/>
                <w:color w:val="1F1F1F"/>
                <w:lang w:eastAsia="en-PH"/>
              </w:rPr>
            </w:pPr>
            <w:r w:rsidRPr="008A6B6D">
              <w:rPr>
                <w:rFonts w:ascii="Arial" w:hAnsi="Arial" w:cs="Arial"/>
                <w:b/>
                <w:bCs/>
                <w:color w:val="1F1F1F"/>
                <w:lang w:eastAsia="en-PH"/>
              </w:rPr>
              <w:t>84</w:t>
            </w:r>
          </w:p>
        </w:tc>
        <w:tc>
          <w:tcPr>
            <w:tcW w:w="2013" w:type="dxa"/>
            <w:tcBorders>
              <w:top w:val="single" w:sz="4" w:space="0" w:color="auto"/>
              <w:bottom w:val="single" w:sz="4" w:space="0" w:color="auto"/>
            </w:tcBorders>
            <w:vAlign w:val="center"/>
            <w:hideMark/>
          </w:tcPr>
          <w:p w14:paraId="79B7C8CD" w14:textId="77777777" w:rsidR="001E51D5" w:rsidRPr="008A6B6D" w:rsidRDefault="001E51D5" w:rsidP="001E51D5">
            <w:pPr>
              <w:jc w:val="center"/>
              <w:rPr>
                <w:rFonts w:ascii="Arial" w:hAnsi="Arial" w:cs="Arial"/>
                <w:b/>
                <w:bCs/>
                <w:color w:val="1F1F1F"/>
                <w:lang w:eastAsia="en-PH"/>
              </w:rPr>
            </w:pPr>
            <w:r w:rsidRPr="008A6B6D">
              <w:rPr>
                <w:rFonts w:ascii="Arial" w:hAnsi="Arial" w:cs="Arial"/>
                <w:b/>
                <w:bCs/>
                <w:color w:val="1F1F1F"/>
                <w:lang w:eastAsia="en-PH"/>
              </w:rPr>
              <w:t>88.42%</w:t>
            </w:r>
          </w:p>
        </w:tc>
      </w:tr>
    </w:tbl>
    <w:p w14:paraId="6D7DD37D" w14:textId="77777777" w:rsidR="001E51D5" w:rsidRPr="008A6B6D" w:rsidRDefault="001E51D5" w:rsidP="001E51D5">
      <w:pPr>
        <w:pStyle w:val="Body"/>
        <w:spacing w:after="0"/>
        <w:rPr>
          <w:rFonts w:ascii="Arial" w:hAnsi="Arial" w:cs="Arial"/>
        </w:rPr>
      </w:pPr>
    </w:p>
    <w:p w14:paraId="0F27550E" w14:textId="77777777" w:rsidR="001E51D5" w:rsidRPr="008A6B6D" w:rsidRDefault="001E51D5" w:rsidP="001E51D5">
      <w:pPr>
        <w:rPr>
          <w:rFonts w:ascii="Arial" w:hAnsi="Arial" w:cs="Arial"/>
          <w:b/>
          <w:bCs/>
          <w:color w:val="1F1F1F"/>
          <w:lang w:eastAsia="en-PH"/>
        </w:rPr>
      </w:pPr>
      <w:r w:rsidRPr="008A6B6D">
        <w:rPr>
          <w:rFonts w:ascii="Arial" w:hAnsi="Arial" w:cs="Arial"/>
          <w:b/>
          <w:bCs/>
          <w:color w:val="1F1F1F"/>
          <w:lang w:eastAsia="en-PH"/>
        </w:rPr>
        <w:t>2.5 Instruments</w:t>
      </w:r>
    </w:p>
    <w:p w14:paraId="72F6AA43" w14:textId="77777777" w:rsidR="00A44D52" w:rsidRPr="008A6B6D" w:rsidRDefault="00A44D52" w:rsidP="00A44D52">
      <w:pPr>
        <w:jc w:val="both"/>
        <w:rPr>
          <w:rFonts w:ascii="Arial" w:hAnsi="Arial" w:cs="Arial"/>
          <w:b/>
          <w:bCs/>
          <w:color w:val="1F1F1F"/>
          <w:lang w:eastAsia="en-PH"/>
        </w:rPr>
      </w:pPr>
    </w:p>
    <w:p w14:paraId="7BEEC4AC" w14:textId="77777777" w:rsidR="001E51D5" w:rsidRPr="008A6B6D" w:rsidRDefault="001E51D5" w:rsidP="00A44D52">
      <w:pPr>
        <w:jc w:val="both"/>
        <w:rPr>
          <w:rFonts w:ascii="Arial" w:hAnsi="Arial" w:cs="Arial"/>
          <w:color w:val="1F1F1F"/>
          <w:lang w:eastAsia="en-PH"/>
        </w:rPr>
      </w:pPr>
      <w:r w:rsidRPr="008A6B6D">
        <w:rPr>
          <w:rFonts w:ascii="Arial" w:hAnsi="Arial" w:cs="Arial"/>
          <w:color w:val="1F1F1F"/>
          <w:lang w:eastAsia="en-PH"/>
        </w:rPr>
        <w:t xml:space="preserve">The instrument used in this study was a researcher-developed questionnaire, developed with the assistance of artificial intelligence to ensure comprehensive coverage of the research objectives. Prior to data gathering, the instrument underwent rigorous content and language validation by a panel of experts and was subjected to a pilot test to ensure its clarity and suitability for the respondents. The reliability statistics from this pilot test revealed a high level of internal consistency across all 55 items. The overall Cronbach’s alpha of 0.971 indicates strong reliability, with individual domains—Pedagogical Determinants (0.898), Student-Related Determinants (0.950), and Learning Retention (0.944)—all demonstrating high stability. Structurally, the questionnaire was meticulously organised into five distinct sections to address the Statement of the Problem. Part I gathered the demographic profile of the teacher-respondents, including age, sex, years of teaching experience, educational attainment, and subject specialisation. Part II measured the level of pedagogical determinants, specifically focusing on active learning strategies, instructional multimedia, formative assessments, and differentiated instruction. Part III shifted the focus to student-related determinants as perceived by teachers, evaluating prior knowledge, intrinsic motivation, study habits, and attention span. Part IV assessed the dependent variable, student learning retention, through knowledge recall, conceptual understanding, and the application of skills. Finally, Part V used a checklist and open-ended format to identify the challenges teachers encountered in implementing retention-enhancing strategies. To ensure precision, the </w:t>
      </w:r>
      <w:r w:rsidRPr="008A6B6D">
        <w:rPr>
          <w:rFonts w:ascii="Arial" w:hAnsi="Arial" w:cs="Arial"/>
          <w:color w:val="1F1F1F"/>
          <w:lang w:eastAsia="en-PH"/>
        </w:rPr>
        <w:lastRenderedPageBreak/>
        <w:t>instrument employed a 5-point Likert scale, providing the empirical basis for the proposed Learning Retention Enhancement Program at Bartolome and Manuela Pañares Memorial National High School.</w:t>
      </w:r>
    </w:p>
    <w:p w14:paraId="11FBEFE6" w14:textId="77777777" w:rsidR="001E51D5" w:rsidRPr="008A6B6D" w:rsidRDefault="001E51D5" w:rsidP="001E51D5">
      <w:pPr>
        <w:rPr>
          <w:rFonts w:ascii="Arial" w:hAnsi="Arial" w:cs="Arial"/>
          <w:i/>
          <w:iCs/>
          <w:color w:val="1F1F1F"/>
          <w:lang w:eastAsia="en-PH"/>
        </w:rPr>
      </w:pPr>
    </w:p>
    <w:p w14:paraId="092F1650" w14:textId="77777777" w:rsidR="001E51D5" w:rsidRPr="008A6B6D" w:rsidRDefault="001E51D5" w:rsidP="001E51D5">
      <w:pPr>
        <w:rPr>
          <w:rFonts w:ascii="Arial" w:hAnsi="Arial" w:cs="Arial"/>
          <w:b/>
          <w:bCs/>
          <w:color w:val="1F1F1F"/>
          <w:lang w:eastAsia="en-PH"/>
        </w:rPr>
      </w:pPr>
      <w:r w:rsidRPr="008A6B6D">
        <w:rPr>
          <w:rFonts w:ascii="Arial" w:hAnsi="Arial" w:cs="Arial"/>
          <w:b/>
          <w:bCs/>
          <w:color w:val="1F1F1F"/>
          <w:lang w:eastAsia="en-PH"/>
        </w:rPr>
        <w:t>2.6. Data Gathering Procedure</w:t>
      </w:r>
    </w:p>
    <w:p w14:paraId="6E77A0AD" w14:textId="77777777" w:rsidR="00A44D52" w:rsidRPr="008A6B6D" w:rsidRDefault="00A44D52" w:rsidP="00A44D52">
      <w:pPr>
        <w:jc w:val="both"/>
        <w:rPr>
          <w:rFonts w:ascii="Arial" w:hAnsi="Arial" w:cs="Arial"/>
          <w:b/>
          <w:bCs/>
          <w:color w:val="1F1F1F"/>
          <w:lang w:eastAsia="en-PH"/>
        </w:rPr>
      </w:pPr>
    </w:p>
    <w:p w14:paraId="7E5BEDBA" w14:textId="77777777" w:rsidR="001E51D5" w:rsidRPr="008A6B6D" w:rsidRDefault="001E51D5" w:rsidP="00A44D52">
      <w:pPr>
        <w:jc w:val="both"/>
        <w:rPr>
          <w:rFonts w:ascii="Arial" w:hAnsi="Arial" w:cs="Arial"/>
          <w:lang w:eastAsia="en-PH"/>
        </w:rPr>
      </w:pPr>
      <w:r w:rsidRPr="008A6B6D">
        <w:rPr>
          <w:rFonts w:ascii="Arial" w:hAnsi="Arial" w:cs="Arial"/>
          <w:lang w:eastAsia="en-PH"/>
        </w:rPr>
        <w:t xml:space="preserve">To initiate the data collection process, the researcher secured formal permission through a letter addressed to the School Principal of Bartolome and Manuela </w:t>
      </w:r>
      <w:proofErr w:type="spellStart"/>
      <w:r w:rsidRPr="008A6B6D">
        <w:rPr>
          <w:rFonts w:ascii="Arial" w:hAnsi="Arial" w:cs="Arial"/>
          <w:lang w:eastAsia="en-PH"/>
        </w:rPr>
        <w:t>Pañares</w:t>
      </w:r>
      <w:proofErr w:type="spellEnd"/>
      <w:r w:rsidRPr="008A6B6D">
        <w:rPr>
          <w:rFonts w:ascii="Arial" w:hAnsi="Arial" w:cs="Arial"/>
          <w:lang w:eastAsia="en-PH"/>
        </w:rPr>
        <w:t xml:space="preserve"> Memorial National High School. Upon receiving approval, the researcher coordinated with the department heads to identify the teacher-respondents and scheduled the distribution of the questionnaires. The survey was administered primarily through a digital platform via Google Forms to ensure a streamlined collection process, while the researcher remained available to provide necessary clarifications on the instrument's components. The data gathering was conducted during the designated period for research activities in the school calendar. Participants were given ample time to reflect on their observations and complete the forms, which ensured the accuracy and reliability of both the qualitative and quantitative data. Once the questionnaires were retrieved, the data were meticulously checked for completeness, then tallied, tabulated, and subjected to rigorous statistical analysis. This analysis specifically examined the relationships between pedagogical determinants, student-related factors, and perceived retention levels, providing the empirical foundation for the proposed Learning Retention Enhancement Program.</w:t>
      </w:r>
    </w:p>
    <w:p w14:paraId="27BBF388" w14:textId="77777777" w:rsidR="001E51D5" w:rsidRPr="008A6B6D" w:rsidRDefault="001E51D5" w:rsidP="001E51D5">
      <w:pPr>
        <w:rPr>
          <w:rFonts w:ascii="Arial" w:hAnsi="Arial" w:cs="Arial"/>
          <w:lang w:eastAsia="en-PH"/>
        </w:rPr>
      </w:pPr>
    </w:p>
    <w:p w14:paraId="707A5EBA" w14:textId="77777777" w:rsidR="001E51D5" w:rsidRPr="008A6B6D" w:rsidRDefault="001E51D5" w:rsidP="001E51D5">
      <w:pPr>
        <w:rPr>
          <w:rFonts w:ascii="Arial" w:hAnsi="Arial" w:cs="Arial"/>
          <w:b/>
          <w:bCs/>
          <w:lang w:eastAsia="en-PH"/>
        </w:rPr>
      </w:pPr>
      <w:r w:rsidRPr="008A6B6D">
        <w:rPr>
          <w:rFonts w:ascii="Arial" w:hAnsi="Arial" w:cs="Arial"/>
          <w:b/>
          <w:bCs/>
          <w:lang w:eastAsia="en-PH"/>
        </w:rPr>
        <w:t>2.7. Statistical Treatment</w:t>
      </w:r>
    </w:p>
    <w:p w14:paraId="2190F9DC" w14:textId="77777777" w:rsidR="001E51D5" w:rsidRPr="008A6B6D" w:rsidRDefault="001E51D5" w:rsidP="001E51D5">
      <w:pPr>
        <w:rPr>
          <w:rFonts w:ascii="Arial" w:hAnsi="Arial" w:cs="Arial"/>
          <w:b/>
          <w:bCs/>
          <w:lang w:eastAsia="en-PH"/>
        </w:rPr>
      </w:pPr>
    </w:p>
    <w:p w14:paraId="51CE432A" w14:textId="77777777" w:rsidR="00A44D52" w:rsidRPr="008A6B6D" w:rsidRDefault="00A44D52" w:rsidP="00A44D52">
      <w:pPr>
        <w:jc w:val="both"/>
      </w:pPr>
      <w:r w:rsidRPr="008A6B6D">
        <w:t xml:space="preserve">To ensure the systematic analysis and interpretation of the gathered data, several statistical tools were employed. Frequency and percentage were used to summarise the demographic profile of the teacher-respondents—including age, sex, years of teaching experience, educational attainment, and subject specialisation—to address the first research objective. Weighted mean and standard deviation were used to determine the levels of teacher-identified pedagogical determinants, student-related factors, and perceived student learning retention, with the mean categorising variables based on a Likert scale and the standard deviation measuring response dispersion. To examine the significant relationships between the identified determinants and learning retention, the Spearman rank-order correlation coefficient (Spearman’s Rho) was applied as a non-parametric test to measure the strength and direction of associations among ordinal variables. Furthermore, the Kruskal-Wallis H test was conducted to identify whether significant differences existed in the perceived determinants when grouping respondents by profile variables such as years of experience or educational attainment. For qualitative data obtained from open-ended responses regarding instructional challenges, thematic analysis was applied through coding and categorising recurring themes and obstacles. Finally, all quantitative calculations were processed using statistical software to ensure precision and reliability, forming the empirical foundation for the proposed Learning Retention Enhancement Program. </w:t>
      </w:r>
    </w:p>
    <w:p w14:paraId="70F37EB7" w14:textId="77777777" w:rsidR="00A44D52" w:rsidRPr="008A6B6D" w:rsidRDefault="00A44D52" w:rsidP="001E51D5">
      <w:pPr>
        <w:rPr>
          <w:rFonts w:ascii="Arial" w:hAnsi="Arial" w:cs="Arial"/>
          <w:b/>
          <w:bCs/>
          <w:lang w:eastAsia="en-PH"/>
        </w:rPr>
      </w:pPr>
    </w:p>
    <w:p w14:paraId="4851383A" w14:textId="77777777" w:rsidR="001E51D5" w:rsidRPr="008A6B6D" w:rsidRDefault="001E51D5" w:rsidP="001E51D5">
      <w:pPr>
        <w:rPr>
          <w:rFonts w:ascii="Arial" w:hAnsi="Arial" w:cs="Arial"/>
          <w:b/>
          <w:bCs/>
          <w:lang w:eastAsia="en-PH"/>
        </w:rPr>
      </w:pPr>
      <w:r w:rsidRPr="008A6B6D">
        <w:rPr>
          <w:rFonts w:ascii="Arial" w:hAnsi="Arial" w:cs="Arial"/>
          <w:b/>
          <w:bCs/>
          <w:lang w:eastAsia="en-PH"/>
        </w:rPr>
        <w:t>2.8. Scoring Procedure</w:t>
      </w:r>
    </w:p>
    <w:p w14:paraId="6EE6EBC0" w14:textId="77777777" w:rsidR="001E51D5" w:rsidRPr="008A6B6D" w:rsidRDefault="001E51D5" w:rsidP="001E51D5">
      <w:pPr>
        <w:rPr>
          <w:rFonts w:ascii="Arial" w:hAnsi="Arial" w:cs="Arial"/>
          <w:b/>
          <w:bCs/>
          <w:lang w:eastAsia="en-PH"/>
        </w:rPr>
      </w:pPr>
    </w:p>
    <w:p w14:paraId="2BEF070F" w14:textId="77777777" w:rsidR="001E51D5" w:rsidRPr="008A6B6D" w:rsidRDefault="001E51D5" w:rsidP="00A44D52">
      <w:pPr>
        <w:rPr>
          <w:rFonts w:ascii="Arial" w:hAnsi="Arial" w:cs="Arial"/>
          <w:i/>
          <w:iCs/>
          <w:sz w:val="16"/>
          <w:szCs w:val="16"/>
          <w:lang w:eastAsia="en-PH"/>
        </w:rPr>
      </w:pPr>
      <w:r w:rsidRPr="008A6B6D">
        <w:rPr>
          <w:rFonts w:ascii="Arial" w:hAnsi="Arial" w:cs="Arial"/>
          <w:lang w:eastAsia="en-PH"/>
        </w:rPr>
        <w:t>A five-point Likert scale was used to interpret the weighted mean of the responses regarding the level of pedagogical and student-related determinants affecting learning retention. The following mean ranges were used for the interpretation of the data:</w:t>
      </w:r>
    </w:p>
    <w:p w14:paraId="0BEE89EB" w14:textId="77777777" w:rsidR="001E51D5" w:rsidRPr="008A6B6D" w:rsidRDefault="001E51D5" w:rsidP="001E51D5">
      <w:pPr>
        <w:rPr>
          <w:rFonts w:ascii="Arial" w:hAnsi="Arial" w:cs="Arial"/>
          <w:i/>
          <w:iCs/>
          <w:color w:val="1F1F1F"/>
          <w:sz w:val="12"/>
          <w:szCs w:val="12"/>
          <w:lang w:eastAsia="en-PH"/>
        </w:rPr>
      </w:pPr>
    </w:p>
    <w:p w14:paraId="592DAA13" w14:textId="77777777" w:rsidR="001E51D5" w:rsidRPr="008A6B6D" w:rsidRDefault="001E51D5" w:rsidP="001E51D5">
      <w:pPr>
        <w:rPr>
          <w:rFonts w:ascii="Arial" w:hAnsi="Arial" w:cs="Arial"/>
        </w:rPr>
      </w:pPr>
      <w:r w:rsidRPr="008A6B6D">
        <w:rPr>
          <w:rFonts w:ascii="Arial" w:hAnsi="Arial" w:cs="Arial"/>
          <w:b/>
          <w:bCs/>
          <w:lang w:eastAsia="en-PH"/>
        </w:rPr>
        <w:t xml:space="preserve">Table 2. </w:t>
      </w:r>
      <w:r w:rsidRPr="008A6B6D">
        <w:rPr>
          <w:rFonts w:ascii="Arial" w:hAnsi="Arial" w:cs="Arial"/>
          <w:b/>
          <w:bCs/>
        </w:rPr>
        <w:t>Mean Range Interpretation and Descriptive Rating for Learning Retention Determinants</w:t>
      </w:r>
    </w:p>
    <w:tbl>
      <w:tblPr>
        <w:tblW w:w="8190" w:type="dxa"/>
        <w:tblLook w:val="04A0" w:firstRow="1" w:lastRow="0" w:firstColumn="1" w:lastColumn="0" w:noHBand="0" w:noVBand="1"/>
      </w:tblPr>
      <w:tblGrid>
        <w:gridCol w:w="2430"/>
        <w:gridCol w:w="2520"/>
        <w:gridCol w:w="3240"/>
      </w:tblGrid>
      <w:tr w:rsidR="001E51D5" w:rsidRPr="008A6B6D" w14:paraId="11A06673" w14:textId="77777777" w:rsidTr="00A44D52">
        <w:trPr>
          <w:trHeight w:val="319"/>
        </w:trPr>
        <w:tc>
          <w:tcPr>
            <w:tcW w:w="2430" w:type="dxa"/>
            <w:tcBorders>
              <w:top w:val="single" w:sz="4" w:space="0" w:color="auto"/>
              <w:bottom w:val="single" w:sz="4" w:space="0" w:color="auto"/>
            </w:tcBorders>
            <w:vAlign w:val="bottom"/>
            <w:hideMark/>
          </w:tcPr>
          <w:p w14:paraId="47E29376" w14:textId="77777777" w:rsidR="001E51D5" w:rsidRPr="008A6B6D" w:rsidRDefault="001E51D5" w:rsidP="001E51D5">
            <w:pPr>
              <w:jc w:val="center"/>
              <w:rPr>
                <w:rFonts w:ascii="Arial" w:hAnsi="Arial" w:cs="Arial"/>
                <w:b/>
                <w:bCs/>
                <w:lang w:eastAsia="en-PH"/>
              </w:rPr>
            </w:pPr>
            <w:r w:rsidRPr="008A6B6D">
              <w:rPr>
                <w:rFonts w:ascii="Arial" w:hAnsi="Arial" w:cs="Arial"/>
                <w:b/>
                <w:bCs/>
                <w:lang w:eastAsia="en-PH"/>
              </w:rPr>
              <w:t>Mean Range</w:t>
            </w:r>
          </w:p>
        </w:tc>
        <w:tc>
          <w:tcPr>
            <w:tcW w:w="2520" w:type="dxa"/>
            <w:tcBorders>
              <w:top w:val="single" w:sz="4" w:space="0" w:color="auto"/>
              <w:bottom w:val="single" w:sz="4" w:space="0" w:color="auto"/>
            </w:tcBorders>
          </w:tcPr>
          <w:p w14:paraId="5A3FF9AC" w14:textId="77777777" w:rsidR="001E51D5" w:rsidRPr="008A6B6D" w:rsidRDefault="001E51D5" w:rsidP="001E51D5">
            <w:pPr>
              <w:jc w:val="center"/>
              <w:rPr>
                <w:rFonts w:ascii="Arial" w:hAnsi="Arial" w:cs="Arial"/>
                <w:b/>
                <w:bCs/>
                <w:lang w:eastAsia="en-PH"/>
              </w:rPr>
            </w:pPr>
            <w:r w:rsidRPr="008A6B6D">
              <w:rPr>
                <w:rFonts w:ascii="Arial" w:hAnsi="Arial" w:cs="Arial"/>
                <w:b/>
                <w:bCs/>
                <w:lang w:eastAsia="en-PH"/>
              </w:rPr>
              <w:t>Verbal Interpretation</w:t>
            </w:r>
          </w:p>
        </w:tc>
        <w:tc>
          <w:tcPr>
            <w:tcW w:w="3240" w:type="dxa"/>
            <w:tcBorders>
              <w:top w:val="single" w:sz="4" w:space="0" w:color="auto"/>
              <w:bottom w:val="single" w:sz="4" w:space="0" w:color="auto"/>
            </w:tcBorders>
            <w:vAlign w:val="bottom"/>
            <w:hideMark/>
          </w:tcPr>
          <w:p w14:paraId="635A1339" w14:textId="77777777" w:rsidR="001E51D5" w:rsidRPr="008A6B6D" w:rsidRDefault="001E51D5" w:rsidP="001E51D5">
            <w:pPr>
              <w:jc w:val="center"/>
              <w:rPr>
                <w:rFonts w:ascii="Arial" w:hAnsi="Arial" w:cs="Arial"/>
                <w:b/>
                <w:bCs/>
                <w:lang w:eastAsia="en-PH"/>
              </w:rPr>
            </w:pPr>
            <w:r w:rsidRPr="008A6B6D">
              <w:rPr>
                <w:rFonts w:ascii="Arial" w:hAnsi="Arial" w:cs="Arial"/>
                <w:b/>
                <w:bCs/>
                <w:lang w:eastAsia="en-PH"/>
              </w:rPr>
              <w:t>Verbal Description</w:t>
            </w:r>
          </w:p>
        </w:tc>
      </w:tr>
      <w:tr w:rsidR="001E51D5" w:rsidRPr="008A6B6D" w14:paraId="25A55577" w14:textId="77777777" w:rsidTr="00A44D52">
        <w:trPr>
          <w:trHeight w:val="216"/>
        </w:trPr>
        <w:tc>
          <w:tcPr>
            <w:tcW w:w="2430" w:type="dxa"/>
            <w:tcBorders>
              <w:top w:val="single" w:sz="4" w:space="0" w:color="auto"/>
            </w:tcBorders>
            <w:vAlign w:val="bottom"/>
            <w:hideMark/>
          </w:tcPr>
          <w:p w14:paraId="5186FD1A" w14:textId="77777777" w:rsidR="001E51D5" w:rsidRPr="008A6B6D" w:rsidRDefault="001E51D5" w:rsidP="001E51D5">
            <w:pPr>
              <w:jc w:val="center"/>
              <w:rPr>
                <w:rFonts w:ascii="Arial" w:hAnsi="Arial" w:cs="Arial"/>
                <w:lang w:eastAsia="en-PH"/>
              </w:rPr>
            </w:pPr>
            <w:r w:rsidRPr="008A6B6D">
              <w:rPr>
                <w:rFonts w:ascii="Arial" w:hAnsi="Arial" w:cs="Arial"/>
                <w:lang w:eastAsia="en-PH"/>
              </w:rPr>
              <w:t>4.21 – 5.00</w:t>
            </w:r>
          </w:p>
        </w:tc>
        <w:tc>
          <w:tcPr>
            <w:tcW w:w="2520" w:type="dxa"/>
            <w:tcBorders>
              <w:top w:val="single" w:sz="4" w:space="0" w:color="auto"/>
            </w:tcBorders>
          </w:tcPr>
          <w:p w14:paraId="42A8B88B" w14:textId="77777777" w:rsidR="001E51D5" w:rsidRPr="008A6B6D" w:rsidRDefault="001E51D5" w:rsidP="001E51D5">
            <w:pPr>
              <w:jc w:val="center"/>
              <w:rPr>
                <w:rFonts w:ascii="Arial" w:hAnsi="Arial" w:cs="Arial"/>
                <w:lang w:eastAsia="en-PH"/>
              </w:rPr>
            </w:pPr>
            <w:r w:rsidRPr="008A6B6D">
              <w:rPr>
                <w:rFonts w:ascii="Arial" w:hAnsi="Arial" w:cs="Arial"/>
                <w:lang w:eastAsia="en-PH"/>
              </w:rPr>
              <w:t>Always</w:t>
            </w:r>
          </w:p>
        </w:tc>
        <w:tc>
          <w:tcPr>
            <w:tcW w:w="3240" w:type="dxa"/>
            <w:tcBorders>
              <w:top w:val="single" w:sz="4" w:space="0" w:color="auto"/>
            </w:tcBorders>
            <w:vAlign w:val="bottom"/>
            <w:hideMark/>
          </w:tcPr>
          <w:p w14:paraId="5DBC8E20" w14:textId="77777777" w:rsidR="001E51D5" w:rsidRPr="008A6B6D" w:rsidRDefault="001E51D5" w:rsidP="001E51D5">
            <w:pPr>
              <w:jc w:val="center"/>
              <w:rPr>
                <w:rFonts w:ascii="Arial" w:hAnsi="Arial" w:cs="Arial"/>
                <w:lang w:eastAsia="en-PH"/>
              </w:rPr>
            </w:pPr>
            <w:r w:rsidRPr="008A6B6D">
              <w:rPr>
                <w:rFonts w:ascii="Arial" w:hAnsi="Arial" w:cs="Arial"/>
                <w:lang w:eastAsia="en-PH"/>
              </w:rPr>
              <w:t>Strongly Agree</w:t>
            </w:r>
          </w:p>
        </w:tc>
      </w:tr>
      <w:tr w:rsidR="001E51D5" w:rsidRPr="008A6B6D" w14:paraId="258AA8E5" w14:textId="77777777" w:rsidTr="00A44D52">
        <w:trPr>
          <w:trHeight w:val="216"/>
        </w:trPr>
        <w:tc>
          <w:tcPr>
            <w:tcW w:w="2430" w:type="dxa"/>
            <w:vAlign w:val="bottom"/>
            <w:hideMark/>
          </w:tcPr>
          <w:p w14:paraId="52CC8907" w14:textId="77777777" w:rsidR="001E51D5" w:rsidRPr="008A6B6D" w:rsidRDefault="001E51D5" w:rsidP="001E51D5">
            <w:pPr>
              <w:jc w:val="center"/>
              <w:rPr>
                <w:rFonts w:ascii="Arial" w:hAnsi="Arial" w:cs="Arial"/>
                <w:lang w:eastAsia="en-PH"/>
              </w:rPr>
            </w:pPr>
            <w:r w:rsidRPr="008A6B6D">
              <w:rPr>
                <w:rFonts w:ascii="Arial" w:hAnsi="Arial" w:cs="Arial"/>
                <w:lang w:eastAsia="en-PH"/>
              </w:rPr>
              <w:t>3.41 – 4.20</w:t>
            </w:r>
          </w:p>
        </w:tc>
        <w:tc>
          <w:tcPr>
            <w:tcW w:w="2520" w:type="dxa"/>
          </w:tcPr>
          <w:p w14:paraId="0BB1A05F" w14:textId="77777777" w:rsidR="001E51D5" w:rsidRPr="008A6B6D" w:rsidRDefault="001E51D5" w:rsidP="001E51D5">
            <w:pPr>
              <w:jc w:val="center"/>
              <w:rPr>
                <w:rFonts w:ascii="Arial" w:hAnsi="Arial" w:cs="Arial"/>
                <w:lang w:eastAsia="en-PH"/>
              </w:rPr>
            </w:pPr>
            <w:r w:rsidRPr="008A6B6D">
              <w:rPr>
                <w:rFonts w:ascii="Arial" w:hAnsi="Arial" w:cs="Arial"/>
                <w:lang w:eastAsia="en-PH"/>
              </w:rPr>
              <w:t>Often</w:t>
            </w:r>
          </w:p>
        </w:tc>
        <w:tc>
          <w:tcPr>
            <w:tcW w:w="3240" w:type="dxa"/>
            <w:vAlign w:val="bottom"/>
            <w:hideMark/>
          </w:tcPr>
          <w:p w14:paraId="38621349" w14:textId="77777777" w:rsidR="001E51D5" w:rsidRPr="008A6B6D" w:rsidRDefault="001E51D5" w:rsidP="001E51D5">
            <w:pPr>
              <w:jc w:val="center"/>
              <w:rPr>
                <w:rFonts w:ascii="Arial" w:hAnsi="Arial" w:cs="Arial"/>
                <w:lang w:eastAsia="en-PH"/>
              </w:rPr>
            </w:pPr>
            <w:r w:rsidRPr="008A6B6D">
              <w:rPr>
                <w:rFonts w:ascii="Arial" w:hAnsi="Arial" w:cs="Arial"/>
                <w:lang w:eastAsia="en-PH"/>
              </w:rPr>
              <w:t>Agree</w:t>
            </w:r>
          </w:p>
        </w:tc>
      </w:tr>
      <w:tr w:rsidR="001E51D5" w:rsidRPr="008A6B6D" w14:paraId="206C0E1D" w14:textId="77777777" w:rsidTr="00A44D52">
        <w:trPr>
          <w:trHeight w:val="216"/>
        </w:trPr>
        <w:tc>
          <w:tcPr>
            <w:tcW w:w="2430" w:type="dxa"/>
            <w:vAlign w:val="bottom"/>
            <w:hideMark/>
          </w:tcPr>
          <w:p w14:paraId="537E16B5" w14:textId="77777777" w:rsidR="001E51D5" w:rsidRPr="008A6B6D" w:rsidRDefault="001E51D5" w:rsidP="001E51D5">
            <w:pPr>
              <w:jc w:val="center"/>
              <w:rPr>
                <w:rFonts w:ascii="Arial" w:hAnsi="Arial" w:cs="Arial"/>
                <w:lang w:eastAsia="en-PH"/>
              </w:rPr>
            </w:pPr>
            <w:r w:rsidRPr="008A6B6D">
              <w:rPr>
                <w:rFonts w:ascii="Arial" w:hAnsi="Arial" w:cs="Arial"/>
                <w:lang w:eastAsia="en-PH"/>
              </w:rPr>
              <w:lastRenderedPageBreak/>
              <w:t>2.61 – 3.40</w:t>
            </w:r>
          </w:p>
        </w:tc>
        <w:tc>
          <w:tcPr>
            <w:tcW w:w="2520" w:type="dxa"/>
          </w:tcPr>
          <w:p w14:paraId="2739FC77" w14:textId="77777777" w:rsidR="001E51D5" w:rsidRPr="008A6B6D" w:rsidRDefault="001E51D5" w:rsidP="001E51D5">
            <w:pPr>
              <w:jc w:val="center"/>
              <w:rPr>
                <w:rFonts w:ascii="Arial" w:hAnsi="Arial" w:cs="Arial"/>
                <w:lang w:eastAsia="en-PH"/>
              </w:rPr>
            </w:pPr>
            <w:r w:rsidRPr="008A6B6D">
              <w:rPr>
                <w:rFonts w:ascii="Arial" w:hAnsi="Arial" w:cs="Arial"/>
                <w:lang w:eastAsia="en-PH"/>
              </w:rPr>
              <w:t>Sometimes</w:t>
            </w:r>
          </w:p>
        </w:tc>
        <w:tc>
          <w:tcPr>
            <w:tcW w:w="3240" w:type="dxa"/>
            <w:vAlign w:val="bottom"/>
            <w:hideMark/>
          </w:tcPr>
          <w:p w14:paraId="76972B7B" w14:textId="77777777" w:rsidR="001E51D5" w:rsidRPr="008A6B6D" w:rsidRDefault="001E51D5" w:rsidP="001E51D5">
            <w:pPr>
              <w:jc w:val="center"/>
              <w:rPr>
                <w:rFonts w:ascii="Arial" w:hAnsi="Arial" w:cs="Arial"/>
                <w:lang w:eastAsia="en-PH"/>
              </w:rPr>
            </w:pPr>
            <w:r w:rsidRPr="008A6B6D">
              <w:rPr>
                <w:rFonts w:ascii="Arial" w:hAnsi="Arial" w:cs="Arial"/>
                <w:lang w:eastAsia="en-PH"/>
              </w:rPr>
              <w:t>Neither Agree Nor Disagree</w:t>
            </w:r>
          </w:p>
        </w:tc>
      </w:tr>
      <w:tr w:rsidR="001E51D5" w:rsidRPr="008A6B6D" w14:paraId="2282E047" w14:textId="77777777" w:rsidTr="00A44D52">
        <w:trPr>
          <w:trHeight w:val="216"/>
        </w:trPr>
        <w:tc>
          <w:tcPr>
            <w:tcW w:w="2430" w:type="dxa"/>
            <w:vAlign w:val="bottom"/>
            <w:hideMark/>
          </w:tcPr>
          <w:p w14:paraId="6C662EE5" w14:textId="77777777" w:rsidR="001E51D5" w:rsidRPr="008A6B6D" w:rsidRDefault="001E51D5" w:rsidP="001E51D5">
            <w:pPr>
              <w:jc w:val="center"/>
              <w:rPr>
                <w:rFonts w:ascii="Arial" w:hAnsi="Arial" w:cs="Arial"/>
                <w:lang w:eastAsia="en-PH"/>
              </w:rPr>
            </w:pPr>
            <w:r w:rsidRPr="008A6B6D">
              <w:rPr>
                <w:rFonts w:ascii="Arial" w:hAnsi="Arial" w:cs="Arial"/>
                <w:lang w:eastAsia="en-PH"/>
              </w:rPr>
              <w:t>1.81 – 2.60</w:t>
            </w:r>
          </w:p>
        </w:tc>
        <w:tc>
          <w:tcPr>
            <w:tcW w:w="2520" w:type="dxa"/>
          </w:tcPr>
          <w:p w14:paraId="27220885" w14:textId="77777777" w:rsidR="001E51D5" w:rsidRPr="008A6B6D" w:rsidRDefault="001E51D5" w:rsidP="001E51D5">
            <w:pPr>
              <w:jc w:val="center"/>
              <w:rPr>
                <w:rFonts w:ascii="Arial" w:hAnsi="Arial" w:cs="Arial"/>
                <w:lang w:eastAsia="en-PH"/>
              </w:rPr>
            </w:pPr>
            <w:r w:rsidRPr="008A6B6D">
              <w:rPr>
                <w:rFonts w:ascii="Arial" w:hAnsi="Arial" w:cs="Arial"/>
                <w:lang w:eastAsia="en-PH"/>
              </w:rPr>
              <w:t>Rarely</w:t>
            </w:r>
          </w:p>
        </w:tc>
        <w:tc>
          <w:tcPr>
            <w:tcW w:w="3240" w:type="dxa"/>
            <w:vAlign w:val="bottom"/>
            <w:hideMark/>
          </w:tcPr>
          <w:p w14:paraId="5FAD9D92" w14:textId="77777777" w:rsidR="001E51D5" w:rsidRPr="008A6B6D" w:rsidRDefault="001E51D5" w:rsidP="001E51D5">
            <w:pPr>
              <w:jc w:val="center"/>
              <w:rPr>
                <w:rFonts w:ascii="Arial" w:hAnsi="Arial" w:cs="Arial"/>
                <w:lang w:eastAsia="en-PH"/>
              </w:rPr>
            </w:pPr>
            <w:r w:rsidRPr="008A6B6D">
              <w:rPr>
                <w:rFonts w:ascii="Arial" w:hAnsi="Arial" w:cs="Arial"/>
                <w:lang w:eastAsia="en-PH"/>
              </w:rPr>
              <w:t>Disagree</w:t>
            </w:r>
          </w:p>
        </w:tc>
      </w:tr>
      <w:tr w:rsidR="001E51D5" w:rsidRPr="008A6B6D" w14:paraId="3EA4993D" w14:textId="77777777" w:rsidTr="00A44D52">
        <w:trPr>
          <w:trHeight w:val="216"/>
        </w:trPr>
        <w:tc>
          <w:tcPr>
            <w:tcW w:w="2430" w:type="dxa"/>
            <w:tcBorders>
              <w:bottom w:val="single" w:sz="4" w:space="0" w:color="auto"/>
            </w:tcBorders>
            <w:vAlign w:val="bottom"/>
            <w:hideMark/>
          </w:tcPr>
          <w:p w14:paraId="11E2CF66" w14:textId="77777777" w:rsidR="001E51D5" w:rsidRPr="008A6B6D" w:rsidRDefault="001E51D5" w:rsidP="001E51D5">
            <w:pPr>
              <w:jc w:val="center"/>
              <w:rPr>
                <w:rFonts w:ascii="Arial" w:hAnsi="Arial" w:cs="Arial"/>
                <w:lang w:eastAsia="en-PH"/>
              </w:rPr>
            </w:pPr>
            <w:r w:rsidRPr="008A6B6D">
              <w:rPr>
                <w:rFonts w:ascii="Arial" w:hAnsi="Arial" w:cs="Arial"/>
                <w:lang w:eastAsia="en-PH"/>
              </w:rPr>
              <w:t>1.00 – 1.80</w:t>
            </w:r>
          </w:p>
        </w:tc>
        <w:tc>
          <w:tcPr>
            <w:tcW w:w="2520" w:type="dxa"/>
            <w:tcBorders>
              <w:bottom w:val="single" w:sz="4" w:space="0" w:color="auto"/>
            </w:tcBorders>
          </w:tcPr>
          <w:p w14:paraId="453B3A18" w14:textId="77777777" w:rsidR="001E51D5" w:rsidRPr="008A6B6D" w:rsidRDefault="001E51D5" w:rsidP="001E51D5">
            <w:pPr>
              <w:jc w:val="center"/>
              <w:rPr>
                <w:rFonts w:ascii="Arial" w:hAnsi="Arial" w:cs="Arial"/>
                <w:lang w:eastAsia="en-PH"/>
              </w:rPr>
            </w:pPr>
            <w:r w:rsidRPr="008A6B6D">
              <w:rPr>
                <w:rFonts w:ascii="Arial" w:hAnsi="Arial" w:cs="Arial"/>
                <w:lang w:eastAsia="en-PH"/>
              </w:rPr>
              <w:t>Never</w:t>
            </w:r>
          </w:p>
        </w:tc>
        <w:tc>
          <w:tcPr>
            <w:tcW w:w="3240" w:type="dxa"/>
            <w:tcBorders>
              <w:bottom w:val="single" w:sz="4" w:space="0" w:color="auto"/>
            </w:tcBorders>
            <w:vAlign w:val="bottom"/>
            <w:hideMark/>
          </w:tcPr>
          <w:p w14:paraId="0C3093D9" w14:textId="77777777" w:rsidR="001E51D5" w:rsidRPr="008A6B6D" w:rsidRDefault="001E51D5" w:rsidP="001E51D5">
            <w:pPr>
              <w:jc w:val="center"/>
              <w:rPr>
                <w:rFonts w:ascii="Arial" w:hAnsi="Arial" w:cs="Arial"/>
                <w:lang w:eastAsia="en-PH"/>
              </w:rPr>
            </w:pPr>
            <w:r w:rsidRPr="008A6B6D">
              <w:rPr>
                <w:rFonts w:ascii="Arial" w:hAnsi="Arial" w:cs="Arial"/>
                <w:lang w:eastAsia="en-PH"/>
              </w:rPr>
              <w:t>Strongly Disagree</w:t>
            </w:r>
          </w:p>
        </w:tc>
      </w:tr>
    </w:tbl>
    <w:p w14:paraId="4B9795D9" w14:textId="77777777" w:rsidR="001E51D5" w:rsidRPr="008A6B6D" w:rsidRDefault="001E51D5" w:rsidP="001E51D5">
      <w:pPr>
        <w:pStyle w:val="Body"/>
        <w:spacing w:after="0"/>
        <w:rPr>
          <w:rFonts w:ascii="Arial" w:hAnsi="Arial" w:cs="Arial"/>
        </w:rPr>
      </w:pPr>
    </w:p>
    <w:p w14:paraId="115C73C3" w14:textId="77777777" w:rsidR="00790ADA" w:rsidRPr="008A6B6D" w:rsidRDefault="00790ADA" w:rsidP="00441B6F">
      <w:pPr>
        <w:pStyle w:val="Body"/>
        <w:spacing w:after="0"/>
        <w:rPr>
          <w:rFonts w:ascii="Arial" w:hAnsi="Arial" w:cs="Arial"/>
        </w:rPr>
      </w:pPr>
    </w:p>
    <w:p w14:paraId="22D1AFB9" w14:textId="77777777" w:rsidR="00902823" w:rsidRPr="008A6B6D" w:rsidRDefault="00000F8F" w:rsidP="00441B6F">
      <w:pPr>
        <w:pStyle w:val="Head1"/>
        <w:spacing w:after="0"/>
        <w:jc w:val="both"/>
        <w:rPr>
          <w:rFonts w:ascii="Arial" w:hAnsi="Arial" w:cs="Arial"/>
        </w:rPr>
      </w:pPr>
      <w:r w:rsidRPr="008A6B6D">
        <w:rPr>
          <w:rFonts w:ascii="Arial" w:hAnsi="Arial" w:cs="Arial"/>
        </w:rPr>
        <w:t>3</w:t>
      </w:r>
      <w:r w:rsidR="00902823" w:rsidRPr="008A6B6D">
        <w:rPr>
          <w:rFonts w:ascii="Arial" w:hAnsi="Arial" w:cs="Arial"/>
        </w:rPr>
        <w:t xml:space="preserve">. </w:t>
      </w:r>
      <w:r w:rsidRPr="008A6B6D">
        <w:rPr>
          <w:rFonts w:ascii="Arial" w:hAnsi="Arial" w:cs="Arial"/>
        </w:rPr>
        <w:t>results and discussion</w:t>
      </w:r>
    </w:p>
    <w:p w14:paraId="614F024E" w14:textId="77777777" w:rsidR="00790ADA" w:rsidRPr="008A6B6D" w:rsidRDefault="00790ADA" w:rsidP="00441B6F">
      <w:pPr>
        <w:pStyle w:val="Head1"/>
        <w:spacing w:after="0"/>
        <w:jc w:val="both"/>
        <w:rPr>
          <w:rFonts w:ascii="Arial" w:hAnsi="Arial" w:cs="Arial"/>
        </w:rPr>
      </w:pPr>
    </w:p>
    <w:p w14:paraId="2F1849B9" w14:textId="77777777" w:rsidR="001E51D5" w:rsidRPr="008A6B6D" w:rsidRDefault="001E51D5" w:rsidP="001E51D5">
      <w:pPr>
        <w:shd w:val="clear" w:color="auto" w:fill="FFFFFF"/>
        <w:rPr>
          <w:rFonts w:ascii="Arial" w:hAnsi="Arial" w:cs="Arial"/>
          <w:b/>
          <w:color w:val="1F1F1F"/>
          <w:sz w:val="24"/>
          <w:szCs w:val="24"/>
        </w:rPr>
      </w:pPr>
      <w:r w:rsidRPr="008A6B6D">
        <w:rPr>
          <w:rFonts w:ascii="Arial" w:hAnsi="Arial" w:cs="Arial"/>
          <w:b/>
          <w:color w:val="1F1F1F"/>
        </w:rPr>
        <w:t>3.1. Profile of Respondents</w:t>
      </w:r>
    </w:p>
    <w:p w14:paraId="51D0FA73" w14:textId="77777777" w:rsidR="001E51D5" w:rsidRPr="008A6B6D" w:rsidRDefault="001E51D5" w:rsidP="001E51D5">
      <w:pPr>
        <w:shd w:val="clear" w:color="auto" w:fill="FFFFFF"/>
        <w:rPr>
          <w:rFonts w:ascii="Arial" w:hAnsi="Arial" w:cs="Arial"/>
          <w:bCs/>
          <w:color w:val="1F1F1F"/>
        </w:rPr>
      </w:pPr>
      <w:r w:rsidRPr="008A6B6D">
        <w:rPr>
          <w:rFonts w:ascii="Arial" w:hAnsi="Arial" w:cs="Arial"/>
          <w:bCs/>
          <w:color w:val="1F1F1F"/>
        </w:rPr>
        <w:t>3.1.1. Age Profile of Respondents</w:t>
      </w:r>
    </w:p>
    <w:p w14:paraId="5924E91D" w14:textId="77777777" w:rsidR="00A44D52" w:rsidRPr="008A6B6D" w:rsidRDefault="00A44D52" w:rsidP="00A44D52">
      <w:pPr>
        <w:shd w:val="clear" w:color="auto" w:fill="FFFFFF"/>
        <w:rPr>
          <w:rFonts w:ascii="Arial" w:hAnsi="Arial" w:cs="Arial"/>
          <w:lang w:eastAsia="en-PH"/>
        </w:rPr>
      </w:pPr>
    </w:p>
    <w:p w14:paraId="780FE77B" w14:textId="77777777" w:rsidR="001E51D5" w:rsidRPr="008A6B6D" w:rsidRDefault="001E51D5" w:rsidP="00A44D52">
      <w:pPr>
        <w:shd w:val="clear" w:color="auto" w:fill="FFFFFF"/>
        <w:jc w:val="both"/>
        <w:rPr>
          <w:rFonts w:ascii="Arial" w:hAnsi="Arial" w:cs="Arial"/>
          <w:lang w:eastAsia="en-PH"/>
        </w:rPr>
      </w:pPr>
      <w:r w:rsidRPr="008A6B6D">
        <w:rPr>
          <w:rFonts w:ascii="Arial" w:hAnsi="Arial" w:cs="Arial"/>
          <w:lang w:eastAsia="en-PH"/>
        </w:rPr>
        <w:t>The demographic landscape of the teaching personnel provides critical context for understanding the pedagogical environment of the institution. Age, in particular, often correlates with years of service, classroom management styles, and the adoption of various instructional strategies.</w:t>
      </w:r>
    </w:p>
    <w:p w14:paraId="153053BF" w14:textId="77777777" w:rsidR="001E51D5" w:rsidRPr="008A6B6D" w:rsidRDefault="001E51D5" w:rsidP="001E51D5">
      <w:pPr>
        <w:ind w:left="2040" w:firstLine="510"/>
        <w:rPr>
          <w:rFonts w:ascii="Arial" w:hAnsi="Arial" w:cs="Arial"/>
          <w:b/>
          <w:lang w:eastAsia="en-PH"/>
        </w:rPr>
      </w:pPr>
    </w:p>
    <w:p w14:paraId="7A0975D0" w14:textId="77777777" w:rsidR="00A44D52" w:rsidRPr="008A6B6D" w:rsidRDefault="00A44D52" w:rsidP="001E51D5">
      <w:pPr>
        <w:ind w:left="2040" w:firstLine="510"/>
        <w:rPr>
          <w:rFonts w:ascii="Arial" w:hAnsi="Arial" w:cs="Arial"/>
          <w:b/>
          <w:lang w:eastAsia="en-PH"/>
        </w:rPr>
      </w:pPr>
    </w:p>
    <w:p w14:paraId="57F9ABF1" w14:textId="77777777" w:rsidR="00A44D52" w:rsidRPr="008A6B6D" w:rsidRDefault="00A44D52" w:rsidP="001E51D5">
      <w:pPr>
        <w:ind w:left="2040" w:firstLine="510"/>
        <w:rPr>
          <w:rFonts w:ascii="Arial" w:hAnsi="Arial" w:cs="Arial"/>
          <w:b/>
          <w:lang w:eastAsia="en-PH"/>
        </w:rPr>
      </w:pPr>
    </w:p>
    <w:p w14:paraId="20460E4D" w14:textId="77777777" w:rsidR="001E51D5" w:rsidRPr="008A6B6D" w:rsidRDefault="001E51D5" w:rsidP="001E51D5">
      <w:pPr>
        <w:rPr>
          <w:rFonts w:ascii="Arial" w:hAnsi="Arial" w:cs="Arial"/>
          <w:b/>
          <w:sz w:val="24"/>
          <w:szCs w:val="24"/>
          <w:lang w:eastAsia="en-PH"/>
        </w:rPr>
      </w:pPr>
      <w:r w:rsidRPr="008A6B6D">
        <w:rPr>
          <w:rFonts w:ascii="Arial" w:hAnsi="Arial" w:cs="Arial"/>
          <w:b/>
          <w:lang w:eastAsia="en-PH"/>
        </w:rPr>
        <w:t>Table 3. Age Profile of the Teachers</w:t>
      </w:r>
    </w:p>
    <w:tbl>
      <w:tblPr>
        <w:tblW w:w="8163" w:type="dxa"/>
        <w:tblLook w:val="04A0" w:firstRow="1" w:lastRow="0" w:firstColumn="1" w:lastColumn="0" w:noHBand="0" w:noVBand="1"/>
      </w:tblPr>
      <w:tblGrid>
        <w:gridCol w:w="3889"/>
        <w:gridCol w:w="2080"/>
        <w:gridCol w:w="2194"/>
      </w:tblGrid>
      <w:tr w:rsidR="001E51D5" w:rsidRPr="008A6B6D" w14:paraId="3F33F67D" w14:textId="77777777" w:rsidTr="001E51D5">
        <w:trPr>
          <w:trHeight w:val="211"/>
        </w:trPr>
        <w:tc>
          <w:tcPr>
            <w:tcW w:w="0" w:type="auto"/>
            <w:tcBorders>
              <w:top w:val="single" w:sz="4" w:space="0" w:color="auto"/>
              <w:bottom w:val="single" w:sz="4" w:space="0" w:color="auto"/>
            </w:tcBorders>
            <w:vAlign w:val="bottom"/>
            <w:hideMark/>
          </w:tcPr>
          <w:p w14:paraId="3A9F59F8" w14:textId="77777777" w:rsidR="001E51D5" w:rsidRPr="008A6B6D" w:rsidRDefault="001E51D5" w:rsidP="001E51D5">
            <w:pPr>
              <w:jc w:val="center"/>
              <w:rPr>
                <w:rFonts w:ascii="Arial" w:hAnsi="Arial" w:cs="Arial"/>
                <w:b/>
                <w:szCs w:val="24"/>
                <w:lang w:eastAsia="en-PH"/>
              </w:rPr>
            </w:pPr>
            <w:r w:rsidRPr="008A6B6D">
              <w:rPr>
                <w:rFonts w:ascii="Arial" w:hAnsi="Arial" w:cs="Arial"/>
                <w:b/>
                <w:szCs w:val="24"/>
                <w:lang w:eastAsia="en-PH"/>
              </w:rPr>
              <w:t>Age</w:t>
            </w:r>
          </w:p>
        </w:tc>
        <w:tc>
          <w:tcPr>
            <w:tcW w:w="0" w:type="auto"/>
            <w:tcBorders>
              <w:top w:val="single" w:sz="4" w:space="0" w:color="auto"/>
              <w:bottom w:val="single" w:sz="4" w:space="0" w:color="auto"/>
            </w:tcBorders>
            <w:vAlign w:val="bottom"/>
            <w:hideMark/>
          </w:tcPr>
          <w:p w14:paraId="0E4B4934" w14:textId="77777777" w:rsidR="001E51D5" w:rsidRPr="008A6B6D" w:rsidRDefault="001E51D5" w:rsidP="001E51D5">
            <w:pPr>
              <w:jc w:val="center"/>
              <w:rPr>
                <w:rFonts w:ascii="Arial" w:hAnsi="Arial" w:cs="Arial"/>
                <w:b/>
                <w:szCs w:val="24"/>
                <w:lang w:eastAsia="en-PH"/>
              </w:rPr>
            </w:pPr>
            <w:r w:rsidRPr="008A6B6D">
              <w:rPr>
                <w:rFonts w:ascii="Arial" w:hAnsi="Arial" w:cs="Arial"/>
                <w:b/>
                <w:szCs w:val="24"/>
                <w:lang w:eastAsia="en-PH"/>
              </w:rPr>
              <w:t>Frequency</w:t>
            </w:r>
          </w:p>
        </w:tc>
        <w:tc>
          <w:tcPr>
            <w:tcW w:w="0" w:type="auto"/>
            <w:tcBorders>
              <w:top w:val="single" w:sz="4" w:space="0" w:color="auto"/>
              <w:bottom w:val="single" w:sz="4" w:space="0" w:color="auto"/>
            </w:tcBorders>
            <w:vAlign w:val="bottom"/>
            <w:hideMark/>
          </w:tcPr>
          <w:p w14:paraId="7943F5A7" w14:textId="77777777" w:rsidR="001E51D5" w:rsidRPr="008A6B6D" w:rsidRDefault="001E51D5" w:rsidP="001E51D5">
            <w:pPr>
              <w:jc w:val="center"/>
              <w:rPr>
                <w:rFonts w:ascii="Arial" w:hAnsi="Arial" w:cs="Arial"/>
                <w:b/>
                <w:szCs w:val="24"/>
                <w:lang w:eastAsia="en-PH"/>
              </w:rPr>
            </w:pPr>
            <w:r w:rsidRPr="008A6B6D">
              <w:rPr>
                <w:rFonts w:ascii="Arial" w:hAnsi="Arial" w:cs="Arial"/>
                <w:b/>
                <w:szCs w:val="24"/>
                <w:lang w:eastAsia="en-PH"/>
              </w:rPr>
              <w:t>Percentage</w:t>
            </w:r>
          </w:p>
        </w:tc>
      </w:tr>
      <w:tr w:rsidR="001E51D5" w:rsidRPr="008A6B6D" w14:paraId="7DE29759" w14:textId="77777777" w:rsidTr="001E51D5">
        <w:trPr>
          <w:trHeight w:val="211"/>
        </w:trPr>
        <w:tc>
          <w:tcPr>
            <w:tcW w:w="0" w:type="auto"/>
            <w:tcBorders>
              <w:top w:val="single" w:sz="4" w:space="0" w:color="auto"/>
            </w:tcBorders>
            <w:noWrap/>
            <w:hideMark/>
          </w:tcPr>
          <w:p w14:paraId="4783E5C3"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20–30 years old</w:t>
            </w:r>
          </w:p>
        </w:tc>
        <w:tc>
          <w:tcPr>
            <w:tcW w:w="0" w:type="auto"/>
            <w:tcBorders>
              <w:top w:val="single" w:sz="4" w:space="0" w:color="auto"/>
            </w:tcBorders>
            <w:noWrap/>
            <w:vAlign w:val="center"/>
            <w:hideMark/>
          </w:tcPr>
          <w:p w14:paraId="2A124734"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26</w:t>
            </w:r>
          </w:p>
        </w:tc>
        <w:tc>
          <w:tcPr>
            <w:tcW w:w="0" w:type="auto"/>
            <w:tcBorders>
              <w:top w:val="single" w:sz="4" w:space="0" w:color="auto"/>
            </w:tcBorders>
            <w:noWrap/>
            <w:vAlign w:val="center"/>
            <w:hideMark/>
          </w:tcPr>
          <w:p w14:paraId="1A4255CF"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31.00</w:t>
            </w:r>
          </w:p>
        </w:tc>
      </w:tr>
      <w:tr w:rsidR="001E51D5" w:rsidRPr="008A6B6D" w14:paraId="77179541" w14:textId="77777777" w:rsidTr="001E51D5">
        <w:trPr>
          <w:trHeight w:val="211"/>
        </w:trPr>
        <w:tc>
          <w:tcPr>
            <w:tcW w:w="0" w:type="auto"/>
            <w:noWrap/>
            <w:hideMark/>
          </w:tcPr>
          <w:p w14:paraId="78D53787"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31–40 years old</w:t>
            </w:r>
          </w:p>
        </w:tc>
        <w:tc>
          <w:tcPr>
            <w:tcW w:w="0" w:type="auto"/>
            <w:noWrap/>
            <w:vAlign w:val="center"/>
            <w:hideMark/>
          </w:tcPr>
          <w:p w14:paraId="26C01C2C"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23</w:t>
            </w:r>
          </w:p>
        </w:tc>
        <w:tc>
          <w:tcPr>
            <w:tcW w:w="0" w:type="auto"/>
            <w:noWrap/>
            <w:vAlign w:val="center"/>
            <w:hideMark/>
          </w:tcPr>
          <w:p w14:paraId="33058DA4"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27.40</w:t>
            </w:r>
          </w:p>
        </w:tc>
      </w:tr>
      <w:tr w:rsidR="001E51D5" w:rsidRPr="008A6B6D" w14:paraId="69DDFB71" w14:textId="77777777" w:rsidTr="001E51D5">
        <w:trPr>
          <w:trHeight w:val="211"/>
        </w:trPr>
        <w:tc>
          <w:tcPr>
            <w:tcW w:w="0" w:type="auto"/>
            <w:noWrap/>
            <w:hideMark/>
          </w:tcPr>
          <w:p w14:paraId="5EC5E628"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41–50 years old</w:t>
            </w:r>
          </w:p>
        </w:tc>
        <w:tc>
          <w:tcPr>
            <w:tcW w:w="0" w:type="auto"/>
            <w:noWrap/>
            <w:vAlign w:val="center"/>
            <w:hideMark/>
          </w:tcPr>
          <w:p w14:paraId="691B7CFF"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28</w:t>
            </w:r>
          </w:p>
        </w:tc>
        <w:tc>
          <w:tcPr>
            <w:tcW w:w="0" w:type="auto"/>
            <w:noWrap/>
            <w:vAlign w:val="center"/>
            <w:hideMark/>
          </w:tcPr>
          <w:p w14:paraId="5E973520"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33.30</w:t>
            </w:r>
          </w:p>
        </w:tc>
      </w:tr>
      <w:tr w:rsidR="001E51D5" w:rsidRPr="008A6B6D" w14:paraId="4882E62B" w14:textId="77777777" w:rsidTr="001E51D5">
        <w:trPr>
          <w:trHeight w:val="211"/>
        </w:trPr>
        <w:tc>
          <w:tcPr>
            <w:tcW w:w="0" w:type="auto"/>
            <w:tcBorders>
              <w:bottom w:val="single" w:sz="4" w:space="0" w:color="auto"/>
            </w:tcBorders>
            <w:noWrap/>
            <w:hideMark/>
          </w:tcPr>
          <w:p w14:paraId="040410B2"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51 years old and above</w:t>
            </w:r>
          </w:p>
        </w:tc>
        <w:tc>
          <w:tcPr>
            <w:tcW w:w="0" w:type="auto"/>
            <w:tcBorders>
              <w:bottom w:val="single" w:sz="4" w:space="0" w:color="auto"/>
            </w:tcBorders>
            <w:noWrap/>
            <w:vAlign w:val="center"/>
            <w:hideMark/>
          </w:tcPr>
          <w:p w14:paraId="2B012CB2"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7</w:t>
            </w:r>
          </w:p>
        </w:tc>
        <w:tc>
          <w:tcPr>
            <w:tcW w:w="0" w:type="auto"/>
            <w:tcBorders>
              <w:bottom w:val="single" w:sz="4" w:space="0" w:color="auto"/>
            </w:tcBorders>
            <w:noWrap/>
            <w:vAlign w:val="center"/>
            <w:hideMark/>
          </w:tcPr>
          <w:p w14:paraId="671C6CB2" w14:textId="77777777" w:rsidR="001E51D5" w:rsidRPr="008A6B6D" w:rsidRDefault="001E51D5" w:rsidP="001E51D5">
            <w:pPr>
              <w:jc w:val="center"/>
              <w:rPr>
                <w:rFonts w:ascii="Arial" w:hAnsi="Arial" w:cs="Arial"/>
                <w:bCs/>
                <w:szCs w:val="24"/>
                <w:lang w:eastAsia="en-PH"/>
              </w:rPr>
            </w:pPr>
            <w:r w:rsidRPr="008A6B6D">
              <w:rPr>
                <w:rFonts w:ascii="Arial" w:hAnsi="Arial" w:cs="Arial"/>
                <w:bCs/>
                <w:szCs w:val="24"/>
                <w:lang w:eastAsia="en-PH"/>
              </w:rPr>
              <w:t>8.30</w:t>
            </w:r>
          </w:p>
        </w:tc>
      </w:tr>
      <w:tr w:rsidR="001E51D5" w:rsidRPr="008A6B6D" w14:paraId="6B0774A7" w14:textId="77777777" w:rsidTr="001E51D5">
        <w:trPr>
          <w:trHeight w:val="211"/>
        </w:trPr>
        <w:tc>
          <w:tcPr>
            <w:tcW w:w="0" w:type="auto"/>
            <w:tcBorders>
              <w:top w:val="single" w:sz="4" w:space="0" w:color="auto"/>
              <w:bottom w:val="single" w:sz="4" w:space="0" w:color="auto"/>
            </w:tcBorders>
            <w:hideMark/>
          </w:tcPr>
          <w:p w14:paraId="60C4E2F9" w14:textId="77777777" w:rsidR="001E51D5" w:rsidRPr="008A6B6D" w:rsidRDefault="001E51D5" w:rsidP="001E51D5">
            <w:pPr>
              <w:jc w:val="center"/>
              <w:rPr>
                <w:rFonts w:ascii="Arial" w:hAnsi="Arial" w:cs="Arial"/>
                <w:b/>
                <w:szCs w:val="24"/>
                <w:lang w:eastAsia="en-PH"/>
              </w:rPr>
            </w:pPr>
            <w:r w:rsidRPr="008A6B6D">
              <w:rPr>
                <w:rFonts w:ascii="Arial" w:hAnsi="Arial" w:cs="Arial"/>
                <w:b/>
                <w:szCs w:val="24"/>
                <w:lang w:eastAsia="en-PH"/>
              </w:rPr>
              <w:t>Total</w:t>
            </w:r>
          </w:p>
        </w:tc>
        <w:tc>
          <w:tcPr>
            <w:tcW w:w="0" w:type="auto"/>
            <w:tcBorders>
              <w:top w:val="single" w:sz="4" w:space="0" w:color="auto"/>
              <w:bottom w:val="single" w:sz="4" w:space="0" w:color="auto"/>
            </w:tcBorders>
            <w:noWrap/>
            <w:vAlign w:val="center"/>
            <w:hideMark/>
          </w:tcPr>
          <w:p w14:paraId="7C44651C" w14:textId="77777777" w:rsidR="001E51D5" w:rsidRPr="008A6B6D" w:rsidRDefault="001E51D5" w:rsidP="001E51D5">
            <w:pPr>
              <w:jc w:val="center"/>
              <w:rPr>
                <w:rFonts w:ascii="Arial" w:hAnsi="Arial" w:cs="Arial"/>
                <w:b/>
                <w:szCs w:val="24"/>
                <w:lang w:eastAsia="en-PH"/>
              </w:rPr>
            </w:pPr>
            <w:r w:rsidRPr="008A6B6D">
              <w:rPr>
                <w:rFonts w:ascii="Arial" w:hAnsi="Arial" w:cs="Arial"/>
                <w:b/>
                <w:szCs w:val="24"/>
                <w:lang w:eastAsia="en-PH"/>
              </w:rPr>
              <w:t>84</w:t>
            </w:r>
          </w:p>
        </w:tc>
        <w:tc>
          <w:tcPr>
            <w:tcW w:w="0" w:type="auto"/>
            <w:tcBorders>
              <w:top w:val="single" w:sz="4" w:space="0" w:color="auto"/>
              <w:bottom w:val="single" w:sz="4" w:space="0" w:color="auto"/>
            </w:tcBorders>
            <w:noWrap/>
            <w:vAlign w:val="center"/>
            <w:hideMark/>
          </w:tcPr>
          <w:p w14:paraId="66E7F0A2" w14:textId="77777777" w:rsidR="001E51D5" w:rsidRPr="008A6B6D" w:rsidRDefault="001E51D5" w:rsidP="001E51D5">
            <w:pPr>
              <w:jc w:val="center"/>
              <w:rPr>
                <w:rFonts w:ascii="Arial" w:hAnsi="Arial" w:cs="Arial"/>
                <w:b/>
                <w:szCs w:val="24"/>
                <w:lang w:eastAsia="en-PH"/>
              </w:rPr>
            </w:pPr>
            <w:r w:rsidRPr="008A6B6D">
              <w:rPr>
                <w:rFonts w:ascii="Arial" w:hAnsi="Arial" w:cs="Arial"/>
                <w:b/>
                <w:szCs w:val="24"/>
                <w:lang w:eastAsia="en-PH"/>
              </w:rPr>
              <w:t>100.00</w:t>
            </w:r>
          </w:p>
        </w:tc>
      </w:tr>
    </w:tbl>
    <w:p w14:paraId="181329E6" w14:textId="77777777" w:rsidR="00A44D52" w:rsidRPr="008A6B6D" w:rsidRDefault="00A44D52" w:rsidP="00A44D52">
      <w:pPr>
        <w:jc w:val="both"/>
        <w:rPr>
          <w:rFonts w:ascii="Arial" w:hAnsi="Arial" w:cs="Arial"/>
          <w:bCs/>
          <w:color w:val="1F1F1F"/>
          <w:bdr w:val="none" w:sz="0" w:space="0" w:color="auto" w:frame="1"/>
          <w:lang w:eastAsia="en-PH"/>
        </w:rPr>
      </w:pPr>
    </w:p>
    <w:p w14:paraId="323B2084"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bdr w:val="none" w:sz="0" w:space="0" w:color="auto" w:frame="1"/>
          <w:lang w:eastAsia="en-PH"/>
        </w:rPr>
        <w:t>Table 3 shows the distribution of the 84 teacher-respondents according to their age. The data reveal that the largest group of teachers falls within the 41–50 years old bracket, representing 33.30% (28) of the total population. This is followed closely by the 20–30 years old group at 31.00% (26) and the 31–40 years old group at 27.40% (23). Conversely, the smallest segment consists of teachers aged 51 years old and above, making up only 8.30% (7) of the respondents.</w:t>
      </w:r>
    </w:p>
    <w:p w14:paraId="215B3821" w14:textId="77777777" w:rsidR="00A44D52" w:rsidRPr="008A6B6D" w:rsidRDefault="00A44D52" w:rsidP="00A44D52">
      <w:pPr>
        <w:jc w:val="both"/>
        <w:rPr>
          <w:rFonts w:ascii="Arial" w:hAnsi="Arial" w:cs="Arial"/>
          <w:bCs/>
          <w:color w:val="1F1F1F"/>
          <w:bdr w:val="none" w:sz="0" w:space="0" w:color="auto" w:frame="1"/>
          <w:lang w:eastAsia="en-PH"/>
        </w:rPr>
      </w:pPr>
    </w:p>
    <w:p w14:paraId="43850B1A"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bdr w:val="none" w:sz="0" w:space="0" w:color="auto" w:frame="1"/>
          <w:lang w:eastAsia="en-PH"/>
        </w:rPr>
        <w:t>This implies that the teaching force in this study is characterized by a strong balance between seasoned veterans and energetic new professionals. The high concentration of teachers in the 41–50 age range suggests a significant level of pedagogical experience and stability within the Junior High School, which is crucial for identifying long-term determinants of learning retention.</w:t>
      </w:r>
    </w:p>
    <w:p w14:paraId="6207B85D" w14:textId="77777777" w:rsidR="00A44D52" w:rsidRPr="008A6B6D" w:rsidRDefault="00A44D52" w:rsidP="00A44D52">
      <w:pPr>
        <w:jc w:val="both"/>
        <w:rPr>
          <w:rFonts w:ascii="Arial" w:hAnsi="Arial" w:cs="Arial"/>
          <w:bCs/>
          <w:color w:val="1F1F1F"/>
          <w:lang w:eastAsia="en-PH"/>
        </w:rPr>
      </w:pPr>
    </w:p>
    <w:p w14:paraId="5D38B268"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Simultaneously, the substantial presence of younger teachers (20–30 years old) indicates that the "Learning Retention Enhancement Program" may benefit from a blend of </w:t>
      </w:r>
      <w:r w:rsidRPr="008A6B6D">
        <w:rPr>
          <w:rFonts w:ascii="Arial" w:hAnsi="Arial" w:cs="Arial"/>
          <w:bCs/>
          <w:color w:val="1F1F1F"/>
          <w:bdr w:val="none" w:sz="0" w:space="0" w:color="auto" w:frame="1"/>
          <w:lang w:eastAsia="en-PH"/>
        </w:rPr>
        <w:t>traditional, tried-and-true instructional methods</w:t>
      </w:r>
      <w:r w:rsidRPr="008A6B6D">
        <w:rPr>
          <w:rFonts w:ascii="Arial" w:hAnsi="Arial" w:cs="Arial"/>
          <w:bCs/>
          <w:color w:val="1F1F1F"/>
          <w:lang w:eastAsia="en-PH"/>
        </w:rPr>
        <w:t xml:space="preserve"> and </w:t>
      </w:r>
      <w:r w:rsidRPr="008A6B6D">
        <w:rPr>
          <w:rFonts w:ascii="Arial" w:hAnsi="Arial" w:cs="Arial"/>
          <w:bCs/>
          <w:color w:val="1F1F1F"/>
          <w:bdr w:val="none" w:sz="0" w:space="0" w:color="auto" w:frame="1"/>
          <w:lang w:eastAsia="en-PH"/>
        </w:rPr>
        <w:t>modern, tech-savvy approaches</w:t>
      </w:r>
      <w:r w:rsidRPr="008A6B6D">
        <w:rPr>
          <w:rFonts w:ascii="Arial" w:hAnsi="Arial" w:cs="Arial"/>
          <w:bCs/>
          <w:color w:val="1F1F1F"/>
          <w:lang w:eastAsia="en-PH"/>
        </w:rPr>
        <w:t xml:space="preserve"> brought in by the newer generation. This demographic diversity provides a holistic perspective on student retention, as it captures insights from both those who have witnessed educational shifts over decades and those currently attuned to the latest learning trends.</w:t>
      </w:r>
    </w:p>
    <w:p w14:paraId="63212BD3" w14:textId="77777777" w:rsidR="00A44D52" w:rsidRPr="008A6B6D" w:rsidRDefault="00A44D52" w:rsidP="00A44D52">
      <w:pPr>
        <w:jc w:val="both"/>
        <w:rPr>
          <w:rFonts w:ascii="Arial" w:hAnsi="Arial" w:cs="Arial"/>
          <w:lang w:eastAsia="en-PH"/>
        </w:rPr>
      </w:pPr>
    </w:p>
    <w:p w14:paraId="0A9B3B03" w14:textId="77777777" w:rsidR="001E51D5" w:rsidRPr="008A6B6D" w:rsidRDefault="001E51D5" w:rsidP="00A44D52">
      <w:pPr>
        <w:jc w:val="both"/>
        <w:rPr>
          <w:rFonts w:ascii="Arial" w:hAnsi="Arial" w:cs="Arial"/>
          <w:lang w:eastAsia="en-PH"/>
        </w:rPr>
      </w:pPr>
      <w:r w:rsidRPr="008A6B6D">
        <w:rPr>
          <w:rFonts w:ascii="Arial" w:hAnsi="Arial" w:cs="Arial"/>
          <w:lang w:eastAsia="en-PH"/>
        </w:rPr>
        <w:t xml:space="preserve">This aligns with the study of teacher age distribution and its implications for balancing pedagogical experience with innovations in learning environments. The observed concentration of teachers in the 41–50 age range suggests substantial classroom expertise that can anchor retention-focused strategies, while the sizable 20–30 cohort points to openness to modern instructional practices that may enhance learners’ engagement and retention outcomes. Together, these demographics support a blended approach in the Learning Retention Enhancement Program, leveraging both traditional pedagogies and technology-enabled methods to optimise junior high student learning retention. Further, </w:t>
      </w:r>
      <w:r w:rsidRPr="008A6B6D">
        <w:rPr>
          <w:rFonts w:ascii="Arial" w:hAnsi="Arial" w:cs="Arial"/>
          <w:lang w:eastAsia="en-PH"/>
        </w:rPr>
        <w:lastRenderedPageBreak/>
        <w:t>recognizing age-related perspectives can inform targeted professional development to harmonize long-term instructional stability with adaptive, evidence-based interventions in retention frameworks.</w:t>
      </w:r>
    </w:p>
    <w:p w14:paraId="00339126" w14:textId="77777777" w:rsidR="001E51D5" w:rsidRPr="008A6B6D" w:rsidRDefault="001E51D5" w:rsidP="001E51D5">
      <w:pPr>
        <w:ind w:firstLine="720"/>
        <w:rPr>
          <w:rFonts w:ascii="Arial" w:hAnsi="Arial" w:cs="Arial"/>
          <w:lang w:eastAsia="en-PH"/>
        </w:rPr>
      </w:pPr>
    </w:p>
    <w:p w14:paraId="555414FA" w14:textId="77777777" w:rsidR="001E51D5" w:rsidRPr="008A6B6D" w:rsidRDefault="001E51D5" w:rsidP="001E51D5">
      <w:pPr>
        <w:rPr>
          <w:rFonts w:ascii="Arial" w:hAnsi="Arial" w:cs="Arial"/>
          <w:b/>
          <w:lang w:eastAsia="en-PH"/>
        </w:rPr>
      </w:pPr>
      <w:r w:rsidRPr="008A6B6D">
        <w:rPr>
          <w:rFonts w:ascii="Arial" w:hAnsi="Arial" w:cs="Arial"/>
          <w:b/>
          <w:lang w:eastAsia="en-PH"/>
        </w:rPr>
        <w:t>3.1.2. Gender Profile of Respondents</w:t>
      </w:r>
    </w:p>
    <w:p w14:paraId="15B5A12D" w14:textId="77777777" w:rsidR="001E51D5" w:rsidRPr="008A6B6D" w:rsidRDefault="001E51D5" w:rsidP="001E51D5">
      <w:pPr>
        <w:rPr>
          <w:rFonts w:ascii="Arial" w:hAnsi="Arial" w:cs="Arial"/>
          <w:b/>
          <w:lang w:eastAsia="en-PH"/>
        </w:rPr>
      </w:pPr>
    </w:p>
    <w:p w14:paraId="73F501DA" w14:textId="77777777" w:rsidR="001E51D5" w:rsidRPr="008A6B6D" w:rsidRDefault="001E51D5" w:rsidP="00A44D52">
      <w:pPr>
        <w:rPr>
          <w:rFonts w:ascii="Arial" w:hAnsi="Arial" w:cs="Arial"/>
          <w:lang w:eastAsia="en-PH"/>
        </w:rPr>
      </w:pPr>
      <w:r w:rsidRPr="008A6B6D">
        <w:rPr>
          <w:rFonts w:ascii="Arial" w:hAnsi="Arial" w:cs="Arial"/>
          <w:lang w:eastAsia="en-PH"/>
        </w:rPr>
        <w:t>Table 4 presents the demographic profile of the teacher-respondents in terms of gender. The data provide a baseline understanding of the workforce's composition, which is essential for contextualizing the pedagogical perspectives gathered in this study.</w:t>
      </w:r>
    </w:p>
    <w:p w14:paraId="1955057A" w14:textId="77777777" w:rsidR="001E51D5" w:rsidRPr="008A6B6D" w:rsidRDefault="001E51D5" w:rsidP="001E51D5">
      <w:pPr>
        <w:rPr>
          <w:rFonts w:ascii="Arial" w:hAnsi="Arial" w:cs="Arial"/>
          <w:b/>
          <w:bCs/>
          <w:sz w:val="16"/>
          <w:szCs w:val="16"/>
          <w:lang w:eastAsia="en-PH"/>
        </w:rPr>
      </w:pPr>
    </w:p>
    <w:p w14:paraId="6DBFE7C5" w14:textId="77777777" w:rsidR="001E51D5" w:rsidRPr="008A6B6D" w:rsidRDefault="001E51D5" w:rsidP="001E51D5">
      <w:pPr>
        <w:rPr>
          <w:rFonts w:ascii="Arial" w:hAnsi="Arial" w:cs="Arial"/>
          <w:b/>
          <w:bCs/>
          <w:lang w:eastAsia="en-PH"/>
        </w:rPr>
      </w:pPr>
      <w:r w:rsidRPr="008A6B6D">
        <w:rPr>
          <w:rFonts w:ascii="Arial" w:hAnsi="Arial" w:cs="Arial"/>
          <w:b/>
          <w:bCs/>
          <w:lang w:eastAsia="en-PH"/>
        </w:rPr>
        <w:t>Table 4. Gender Profile of the Teachers</w:t>
      </w:r>
    </w:p>
    <w:tbl>
      <w:tblPr>
        <w:tblW w:w="8273" w:type="dxa"/>
        <w:jc w:val="center"/>
        <w:tblLayout w:type="fixed"/>
        <w:tblLook w:val="04A0" w:firstRow="1" w:lastRow="0" w:firstColumn="1" w:lastColumn="0" w:noHBand="0" w:noVBand="1"/>
      </w:tblPr>
      <w:tblGrid>
        <w:gridCol w:w="1673"/>
        <w:gridCol w:w="3300"/>
        <w:gridCol w:w="3300"/>
      </w:tblGrid>
      <w:tr w:rsidR="001E51D5" w:rsidRPr="008A6B6D" w14:paraId="338F25D0" w14:textId="77777777" w:rsidTr="001E51D5">
        <w:trPr>
          <w:trHeight w:val="257"/>
          <w:jc w:val="center"/>
        </w:trPr>
        <w:tc>
          <w:tcPr>
            <w:tcW w:w="1673" w:type="dxa"/>
            <w:tcBorders>
              <w:top w:val="single" w:sz="4" w:space="0" w:color="auto"/>
              <w:bottom w:val="single" w:sz="4" w:space="0" w:color="auto"/>
            </w:tcBorders>
            <w:vAlign w:val="bottom"/>
            <w:hideMark/>
          </w:tcPr>
          <w:p w14:paraId="762B5139" w14:textId="77777777" w:rsidR="001E51D5" w:rsidRPr="008A6B6D" w:rsidRDefault="001E51D5" w:rsidP="001E51D5">
            <w:pPr>
              <w:jc w:val="center"/>
              <w:rPr>
                <w:rFonts w:ascii="Arial" w:hAnsi="Arial" w:cs="Arial"/>
                <w:b/>
                <w:lang w:eastAsia="en-PH"/>
              </w:rPr>
            </w:pPr>
            <w:r w:rsidRPr="008A6B6D">
              <w:rPr>
                <w:rFonts w:ascii="Arial" w:hAnsi="Arial" w:cs="Arial"/>
                <w:b/>
                <w:lang w:eastAsia="en-PH"/>
              </w:rPr>
              <w:t>Gender</w:t>
            </w:r>
          </w:p>
        </w:tc>
        <w:tc>
          <w:tcPr>
            <w:tcW w:w="3300" w:type="dxa"/>
            <w:tcBorders>
              <w:top w:val="single" w:sz="4" w:space="0" w:color="auto"/>
              <w:bottom w:val="single" w:sz="4" w:space="0" w:color="auto"/>
            </w:tcBorders>
            <w:vAlign w:val="bottom"/>
            <w:hideMark/>
          </w:tcPr>
          <w:p w14:paraId="76D7DDD5" w14:textId="77777777" w:rsidR="001E51D5" w:rsidRPr="008A6B6D" w:rsidRDefault="001E51D5" w:rsidP="001E51D5">
            <w:pPr>
              <w:jc w:val="center"/>
              <w:rPr>
                <w:rFonts w:ascii="Arial" w:hAnsi="Arial" w:cs="Arial"/>
                <w:b/>
                <w:lang w:eastAsia="en-PH"/>
              </w:rPr>
            </w:pPr>
            <w:r w:rsidRPr="008A6B6D">
              <w:rPr>
                <w:rFonts w:ascii="Arial" w:hAnsi="Arial" w:cs="Arial"/>
                <w:b/>
                <w:lang w:eastAsia="en-PH"/>
              </w:rPr>
              <w:t>Frequency</w:t>
            </w:r>
          </w:p>
        </w:tc>
        <w:tc>
          <w:tcPr>
            <w:tcW w:w="3300" w:type="dxa"/>
            <w:tcBorders>
              <w:top w:val="single" w:sz="4" w:space="0" w:color="auto"/>
              <w:bottom w:val="single" w:sz="4" w:space="0" w:color="auto"/>
            </w:tcBorders>
            <w:vAlign w:val="bottom"/>
            <w:hideMark/>
          </w:tcPr>
          <w:p w14:paraId="52662465" w14:textId="77777777" w:rsidR="001E51D5" w:rsidRPr="008A6B6D" w:rsidRDefault="001E51D5" w:rsidP="001E51D5">
            <w:pPr>
              <w:jc w:val="center"/>
              <w:rPr>
                <w:rFonts w:ascii="Arial" w:hAnsi="Arial" w:cs="Arial"/>
                <w:b/>
                <w:lang w:eastAsia="en-PH"/>
              </w:rPr>
            </w:pPr>
            <w:r w:rsidRPr="008A6B6D">
              <w:rPr>
                <w:rFonts w:ascii="Arial" w:hAnsi="Arial" w:cs="Arial"/>
                <w:b/>
                <w:lang w:eastAsia="en-PH"/>
              </w:rPr>
              <w:t>Percentage</w:t>
            </w:r>
          </w:p>
        </w:tc>
      </w:tr>
      <w:tr w:rsidR="001E51D5" w:rsidRPr="008A6B6D" w14:paraId="37367286" w14:textId="77777777" w:rsidTr="001E51D5">
        <w:trPr>
          <w:trHeight w:val="77"/>
          <w:jc w:val="center"/>
        </w:trPr>
        <w:tc>
          <w:tcPr>
            <w:tcW w:w="1673" w:type="dxa"/>
            <w:tcBorders>
              <w:top w:val="single" w:sz="4" w:space="0" w:color="auto"/>
            </w:tcBorders>
            <w:noWrap/>
            <w:hideMark/>
          </w:tcPr>
          <w:p w14:paraId="15AA5E5A" w14:textId="77777777" w:rsidR="001E51D5" w:rsidRPr="008A6B6D" w:rsidRDefault="001E51D5" w:rsidP="001E51D5">
            <w:pPr>
              <w:jc w:val="center"/>
              <w:rPr>
                <w:rFonts w:ascii="Arial" w:hAnsi="Arial" w:cs="Arial"/>
                <w:bCs/>
                <w:lang w:eastAsia="en-PH"/>
              </w:rPr>
            </w:pPr>
            <w:r w:rsidRPr="008A6B6D">
              <w:rPr>
                <w:rFonts w:ascii="Arial" w:hAnsi="Arial" w:cs="Arial"/>
                <w:bCs/>
                <w:lang w:eastAsia="en-PH"/>
              </w:rPr>
              <w:t>Female</w:t>
            </w:r>
          </w:p>
        </w:tc>
        <w:tc>
          <w:tcPr>
            <w:tcW w:w="3300" w:type="dxa"/>
            <w:tcBorders>
              <w:top w:val="single" w:sz="4" w:space="0" w:color="auto"/>
            </w:tcBorders>
            <w:noWrap/>
            <w:vAlign w:val="center"/>
            <w:hideMark/>
          </w:tcPr>
          <w:p w14:paraId="43F2689A" w14:textId="77777777" w:rsidR="001E51D5" w:rsidRPr="008A6B6D" w:rsidRDefault="001E51D5" w:rsidP="001E51D5">
            <w:pPr>
              <w:jc w:val="center"/>
              <w:rPr>
                <w:rFonts w:ascii="Arial" w:hAnsi="Arial" w:cs="Arial"/>
                <w:bCs/>
                <w:lang w:eastAsia="en-PH"/>
              </w:rPr>
            </w:pPr>
            <w:r w:rsidRPr="008A6B6D">
              <w:rPr>
                <w:rFonts w:ascii="Arial" w:hAnsi="Arial" w:cs="Arial"/>
                <w:bCs/>
                <w:lang w:eastAsia="en-PH"/>
              </w:rPr>
              <w:t>69</w:t>
            </w:r>
          </w:p>
        </w:tc>
        <w:tc>
          <w:tcPr>
            <w:tcW w:w="3300" w:type="dxa"/>
            <w:tcBorders>
              <w:top w:val="single" w:sz="4" w:space="0" w:color="auto"/>
            </w:tcBorders>
            <w:noWrap/>
            <w:vAlign w:val="center"/>
            <w:hideMark/>
          </w:tcPr>
          <w:p w14:paraId="45A3C7D8" w14:textId="77777777" w:rsidR="001E51D5" w:rsidRPr="008A6B6D" w:rsidRDefault="001E51D5" w:rsidP="001E51D5">
            <w:pPr>
              <w:jc w:val="center"/>
              <w:rPr>
                <w:rFonts w:ascii="Arial" w:hAnsi="Arial" w:cs="Arial"/>
                <w:bCs/>
                <w:lang w:eastAsia="en-PH"/>
              </w:rPr>
            </w:pPr>
            <w:r w:rsidRPr="008A6B6D">
              <w:rPr>
                <w:rFonts w:ascii="Arial" w:hAnsi="Arial" w:cs="Arial"/>
                <w:bCs/>
                <w:lang w:eastAsia="en-PH"/>
              </w:rPr>
              <w:t>82.10</w:t>
            </w:r>
          </w:p>
        </w:tc>
      </w:tr>
      <w:tr w:rsidR="001E51D5" w:rsidRPr="008A6B6D" w14:paraId="4F4DD88A" w14:textId="77777777" w:rsidTr="001E51D5">
        <w:trPr>
          <w:trHeight w:val="257"/>
          <w:jc w:val="center"/>
        </w:trPr>
        <w:tc>
          <w:tcPr>
            <w:tcW w:w="1673" w:type="dxa"/>
            <w:tcBorders>
              <w:bottom w:val="single" w:sz="4" w:space="0" w:color="auto"/>
            </w:tcBorders>
            <w:noWrap/>
            <w:hideMark/>
          </w:tcPr>
          <w:p w14:paraId="3ED45C57" w14:textId="77777777" w:rsidR="001E51D5" w:rsidRPr="008A6B6D" w:rsidRDefault="001E51D5" w:rsidP="001E51D5">
            <w:pPr>
              <w:jc w:val="center"/>
              <w:rPr>
                <w:rFonts w:ascii="Arial" w:hAnsi="Arial" w:cs="Arial"/>
                <w:bCs/>
                <w:lang w:eastAsia="en-PH"/>
              </w:rPr>
            </w:pPr>
            <w:r w:rsidRPr="008A6B6D">
              <w:rPr>
                <w:rFonts w:ascii="Arial" w:hAnsi="Arial" w:cs="Arial"/>
                <w:bCs/>
                <w:lang w:eastAsia="en-PH"/>
              </w:rPr>
              <w:t>Male</w:t>
            </w:r>
          </w:p>
        </w:tc>
        <w:tc>
          <w:tcPr>
            <w:tcW w:w="3300" w:type="dxa"/>
            <w:tcBorders>
              <w:bottom w:val="single" w:sz="4" w:space="0" w:color="auto"/>
            </w:tcBorders>
            <w:noWrap/>
            <w:vAlign w:val="center"/>
            <w:hideMark/>
          </w:tcPr>
          <w:p w14:paraId="73E75164" w14:textId="77777777" w:rsidR="001E51D5" w:rsidRPr="008A6B6D" w:rsidRDefault="001E51D5" w:rsidP="001E51D5">
            <w:pPr>
              <w:jc w:val="center"/>
              <w:rPr>
                <w:rFonts w:ascii="Arial" w:hAnsi="Arial" w:cs="Arial"/>
                <w:bCs/>
                <w:lang w:eastAsia="en-PH"/>
              </w:rPr>
            </w:pPr>
            <w:r w:rsidRPr="008A6B6D">
              <w:rPr>
                <w:rFonts w:ascii="Arial" w:hAnsi="Arial" w:cs="Arial"/>
                <w:bCs/>
                <w:lang w:eastAsia="en-PH"/>
              </w:rPr>
              <w:t>15</w:t>
            </w:r>
          </w:p>
        </w:tc>
        <w:tc>
          <w:tcPr>
            <w:tcW w:w="3300" w:type="dxa"/>
            <w:tcBorders>
              <w:bottom w:val="single" w:sz="4" w:space="0" w:color="auto"/>
            </w:tcBorders>
            <w:noWrap/>
            <w:vAlign w:val="center"/>
            <w:hideMark/>
          </w:tcPr>
          <w:p w14:paraId="0C2A56BA" w14:textId="77777777" w:rsidR="001E51D5" w:rsidRPr="008A6B6D" w:rsidRDefault="001E51D5" w:rsidP="001E51D5">
            <w:pPr>
              <w:jc w:val="center"/>
              <w:rPr>
                <w:rFonts w:ascii="Arial" w:hAnsi="Arial" w:cs="Arial"/>
                <w:bCs/>
                <w:lang w:eastAsia="en-PH"/>
              </w:rPr>
            </w:pPr>
            <w:r w:rsidRPr="008A6B6D">
              <w:rPr>
                <w:rFonts w:ascii="Arial" w:hAnsi="Arial" w:cs="Arial"/>
                <w:bCs/>
                <w:lang w:eastAsia="en-PH"/>
              </w:rPr>
              <w:t>17.90</w:t>
            </w:r>
          </w:p>
        </w:tc>
      </w:tr>
      <w:tr w:rsidR="001E51D5" w:rsidRPr="008A6B6D" w14:paraId="0C4ECE45" w14:textId="77777777" w:rsidTr="001E51D5">
        <w:trPr>
          <w:trHeight w:val="257"/>
          <w:jc w:val="center"/>
        </w:trPr>
        <w:tc>
          <w:tcPr>
            <w:tcW w:w="1673" w:type="dxa"/>
            <w:tcBorders>
              <w:top w:val="single" w:sz="4" w:space="0" w:color="auto"/>
              <w:bottom w:val="single" w:sz="4" w:space="0" w:color="auto"/>
            </w:tcBorders>
            <w:hideMark/>
          </w:tcPr>
          <w:p w14:paraId="7878FE18" w14:textId="77777777" w:rsidR="001E51D5" w:rsidRPr="008A6B6D" w:rsidRDefault="001E51D5" w:rsidP="001E51D5">
            <w:pPr>
              <w:jc w:val="center"/>
              <w:rPr>
                <w:rFonts w:ascii="Arial" w:hAnsi="Arial" w:cs="Arial"/>
                <w:b/>
                <w:lang w:eastAsia="en-PH"/>
              </w:rPr>
            </w:pPr>
            <w:r w:rsidRPr="008A6B6D">
              <w:rPr>
                <w:rFonts w:ascii="Arial" w:hAnsi="Arial" w:cs="Arial"/>
                <w:b/>
                <w:lang w:eastAsia="en-PH"/>
              </w:rPr>
              <w:t>Total</w:t>
            </w:r>
          </w:p>
        </w:tc>
        <w:tc>
          <w:tcPr>
            <w:tcW w:w="3300" w:type="dxa"/>
            <w:tcBorders>
              <w:top w:val="single" w:sz="4" w:space="0" w:color="auto"/>
              <w:bottom w:val="single" w:sz="4" w:space="0" w:color="auto"/>
            </w:tcBorders>
            <w:noWrap/>
            <w:vAlign w:val="center"/>
            <w:hideMark/>
          </w:tcPr>
          <w:p w14:paraId="54B8E85C" w14:textId="77777777" w:rsidR="001E51D5" w:rsidRPr="008A6B6D" w:rsidRDefault="001E51D5" w:rsidP="001E51D5">
            <w:pPr>
              <w:jc w:val="center"/>
              <w:rPr>
                <w:rFonts w:ascii="Arial" w:hAnsi="Arial" w:cs="Arial"/>
                <w:b/>
                <w:lang w:eastAsia="en-PH"/>
              </w:rPr>
            </w:pPr>
            <w:r w:rsidRPr="008A6B6D">
              <w:rPr>
                <w:rFonts w:ascii="Arial" w:hAnsi="Arial" w:cs="Arial"/>
                <w:b/>
                <w:lang w:eastAsia="en-PH"/>
              </w:rPr>
              <w:t>84</w:t>
            </w:r>
          </w:p>
        </w:tc>
        <w:tc>
          <w:tcPr>
            <w:tcW w:w="3300" w:type="dxa"/>
            <w:tcBorders>
              <w:top w:val="single" w:sz="4" w:space="0" w:color="auto"/>
              <w:bottom w:val="single" w:sz="4" w:space="0" w:color="auto"/>
            </w:tcBorders>
            <w:noWrap/>
            <w:vAlign w:val="center"/>
            <w:hideMark/>
          </w:tcPr>
          <w:p w14:paraId="54B7052F" w14:textId="77777777" w:rsidR="001E51D5" w:rsidRPr="008A6B6D" w:rsidRDefault="001E51D5" w:rsidP="001E51D5">
            <w:pPr>
              <w:jc w:val="center"/>
              <w:rPr>
                <w:rFonts w:ascii="Arial" w:hAnsi="Arial" w:cs="Arial"/>
                <w:b/>
                <w:lang w:eastAsia="en-PH"/>
              </w:rPr>
            </w:pPr>
            <w:r w:rsidRPr="008A6B6D">
              <w:rPr>
                <w:rFonts w:ascii="Arial" w:hAnsi="Arial" w:cs="Arial"/>
                <w:b/>
                <w:lang w:eastAsia="en-PH"/>
              </w:rPr>
              <w:t>100.00</w:t>
            </w:r>
          </w:p>
        </w:tc>
      </w:tr>
    </w:tbl>
    <w:p w14:paraId="464BD9A6" w14:textId="77777777" w:rsidR="001E51D5" w:rsidRPr="008A6B6D" w:rsidRDefault="001E51D5" w:rsidP="001E51D5">
      <w:pPr>
        <w:shd w:val="clear" w:color="auto" w:fill="FFFFFF"/>
        <w:ind w:left="3060"/>
        <w:rPr>
          <w:rFonts w:ascii="Arial" w:hAnsi="Arial" w:cs="Arial"/>
          <w:bCs/>
          <w:color w:val="1F1F1F"/>
          <w:sz w:val="16"/>
          <w:szCs w:val="16"/>
        </w:rPr>
      </w:pPr>
    </w:p>
    <w:p w14:paraId="66E99210"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Table 4 shows the distribution of the teacher-respondents according to their gender. Out of the 84 participants, a significant majority are </w:t>
      </w:r>
      <w:r w:rsidRPr="008A6B6D">
        <w:rPr>
          <w:rFonts w:ascii="Arial" w:hAnsi="Arial" w:cs="Arial"/>
          <w:bCs/>
          <w:color w:val="1F1F1F"/>
          <w:bdr w:val="none" w:sz="0" w:space="0" w:color="auto" w:frame="1"/>
          <w:lang w:eastAsia="en-PH"/>
        </w:rPr>
        <w:t>female</w:t>
      </w:r>
      <w:r w:rsidRPr="008A6B6D">
        <w:rPr>
          <w:rFonts w:ascii="Arial" w:hAnsi="Arial" w:cs="Arial"/>
          <w:bCs/>
          <w:color w:val="1F1F1F"/>
          <w:lang w:eastAsia="en-PH"/>
        </w:rPr>
        <w:t xml:space="preserve">, comprising </w:t>
      </w:r>
      <w:r w:rsidRPr="008A6B6D">
        <w:rPr>
          <w:rFonts w:ascii="Arial" w:hAnsi="Arial" w:cs="Arial"/>
          <w:bCs/>
          <w:color w:val="1F1F1F"/>
          <w:bdr w:val="none" w:sz="0" w:space="0" w:color="auto" w:frame="1"/>
          <w:lang w:eastAsia="en-PH"/>
        </w:rPr>
        <w:t>82.1%</w:t>
      </w:r>
      <w:r w:rsidRPr="008A6B6D">
        <w:rPr>
          <w:rFonts w:ascii="Arial" w:hAnsi="Arial" w:cs="Arial"/>
          <w:bCs/>
          <w:color w:val="1F1F1F"/>
          <w:lang w:eastAsia="en-PH"/>
        </w:rPr>
        <w:t xml:space="preserve"> (69 teachers) of the sample. In contrast, </w:t>
      </w:r>
      <w:r w:rsidRPr="008A6B6D">
        <w:rPr>
          <w:rFonts w:ascii="Arial" w:hAnsi="Arial" w:cs="Arial"/>
          <w:bCs/>
          <w:color w:val="1F1F1F"/>
          <w:bdr w:val="none" w:sz="0" w:space="0" w:color="auto" w:frame="1"/>
          <w:lang w:eastAsia="en-PH"/>
        </w:rPr>
        <w:t>male</w:t>
      </w:r>
      <w:r w:rsidRPr="008A6B6D">
        <w:rPr>
          <w:rFonts w:ascii="Arial" w:hAnsi="Arial" w:cs="Arial"/>
          <w:bCs/>
          <w:color w:val="1F1F1F"/>
          <w:lang w:eastAsia="en-PH"/>
        </w:rPr>
        <w:t xml:space="preserve"> teachers represent only </w:t>
      </w:r>
      <w:r w:rsidRPr="008A6B6D">
        <w:rPr>
          <w:rFonts w:ascii="Arial" w:hAnsi="Arial" w:cs="Arial"/>
          <w:bCs/>
          <w:color w:val="1F1F1F"/>
          <w:bdr w:val="none" w:sz="0" w:space="0" w:color="auto" w:frame="1"/>
          <w:lang w:eastAsia="en-PH"/>
        </w:rPr>
        <w:t>17.9%</w:t>
      </w:r>
      <w:r w:rsidRPr="008A6B6D">
        <w:rPr>
          <w:rFonts w:ascii="Arial" w:hAnsi="Arial" w:cs="Arial"/>
          <w:bCs/>
          <w:color w:val="1F1F1F"/>
          <w:lang w:eastAsia="en-PH"/>
        </w:rPr>
        <w:t xml:space="preserve"> (15 teachers) of the total population.</w:t>
      </w:r>
    </w:p>
    <w:p w14:paraId="29956B12" w14:textId="77777777" w:rsidR="00A44D52" w:rsidRPr="008A6B6D" w:rsidRDefault="00A44D52" w:rsidP="00A44D52">
      <w:pPr>
        <w:jc w:val="both"/>
        <w:rPr>
          <w:rFonts w:ascii="Arial" w:hAnsi="Arial" w:cs="Arial"/>
          <w:bCs/>
          <w:color w:val="1F1F1F"/>
          <w:lang w:eastAsia="en-PH"/>
        </w:rPr>
      </w:pPr>
    </w:p>
    <w:p w14:paraId="643963A9"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The teaching force at the Junior High School level in this study was predominantly female. Accordingly, the data primarily reflect the perspectives of female educators. This gender distribution provides important context for interpreting the teacher-perceived determinants of learning retention and for planning implementation of the Learning Retention Enhancement Program across the teaching workforce.</w:t>
      </w:r>
    </w:p>
    <w:p w14:paraId="08B1273C" w14:textId="77777777" w:rsidR="00A44D52" w:rsidRPr="008A6B6D" w:rsidRDefault="00A44D52" w:rsidP="00A44D52">
      <w:pPr>
        <w:jc w:val="both"/>
        <w:rPr>
          <w:rFonts w:ascii="Arial" w:hAnsi="Arial" w:cs="Arial"/>
          <w:lang w:eastAsia="en-PH"/>
        </w:rPr>
      </w:pPr>
    </w:p>
    <w:p w14:paraId="0F3ADE4D" w14:textId="77777777" w:rsidR="001E51D5" w:rsidRPr="008A6B6D" w:rsidRDefault="001E51D5" w:rsidP="00A44D52">
      <w:pPr>
        <w:jc w:val="both"/>
        <w:rPr>
          <w:rFonts w:ascii="Arial" w:hAnsi="Arial" w:cs="Arial"/>
          <w:lang w:eastAsia="en-PH"/>
        </w:rPr>
      </w:pPr>
      <w:r w:rsidRPr="008A6B6D">
        <w:rPr>
          <w:rFonts w:ascii="Arial" w:hAnsi="Arial" w:cs="Arial"/>
          <w:lang w:eastAsia="en-PH"/>
        </w:rPr>
        <w:t>The female predominance in the sample provides important context for interpreting the findings. Because 82.1% of respondents were female, the results should primarily be understood as teacher perceptions within this sample rather than evidence of gender-based differences in instructional practice or learning retention. Accordingly, implementation of the Learning Retention Enhancement Program should remain applicable across the teaching workforce, and further research may examine whether gender composition is associated with responses to retention-focused interventions.</w:t>
      </w:r>
    </w:p>
    <w:p w14:paraId="606ED79C" w14:textId="77777777" w:rsidR="001E51D5" w:rsidRPr="008A6B6D" w:rsidRDefault="001E51D5" w:rsidP="001E51D5">
      <w:pPr>
        <w:jc w:val="both"/>
        <w:outlineLvl w:val="2"/>
        <w:rPr>
          <w:rFonts w:ascii="Arial" w:hAnsi="Arial" w:cs="Arial"/>
          <w:lang w:eastAsia="en-PH"/>
        </w:rPr>
      </w:pPr>
    </w:p>
    <w:p w14:paraId="175258E3" w14:textId="77777777" w:rsidR="001E51D5" w:rsidRPr="008A6B6D" w:rsidRDefault="001E51D5" w:rsidP="001E51D5">
      <w:pPr>
        <w:jc w:val="both"/>
        <w:outlineLvl w:val="2"/>
        <w:rPr>
          <w:rFonts w:ascii="Arial" w:hAnsi="Arial" w:cs="Arial"/>
          <w:b/>
          <w:lang w:eastAsia="en-PH"/>
        </w:rPr>
      </w:pPr>
      <w:r w:rsidRPr="008A6B6D">
        <w:rPr>
          <w:rFonts w:ascii="Arial" w:hAnsi="Arial" w:cs="Arial"/>
          <w:b/>
          <w:lang w:eastAsia="en-PH"/>
        </w:rPr>
        <w:t>3.1.3. Years of Teaching Experience</w:t>
      </w:r>
    </w:p>
    <w:p w14:paraId="4D28AE71" w14:textId="77777777" w:rsidR="00A44D52" w:rsidRPr="008A6B6D" w:rsidRDefault="00A44D52" w:rsidP="00A44D52">
      <w:pPr>
        <w:jc w:val="both"/>
        <w:outlineLvl w:val="2"/>
        <w:rPr>
          <w:rFonts w:ascii="Arial" w:hAnsi="Arial" w:cs="Arial"/>
          <w:b/>
          <w:lang w:eastAsia="en-PH"/>
        </w:rPr>
      </w:pPr>
    </w:p>
    <w:p w14:paraId="2CB904D0" w14:textId="77777777" w:rsidR="001E51D5" w:rsidRPr="008A6B6D" w:rsidRDefault="001E51D5" w:rsidP="00A44D52">
      <w:pPr>
        <w:jc w:val="both"/>
        <w:outlineLvl w:val="2"/>
        <w:rPr>
          <w:rFonts w:ascii="Arial" w:hAnsi="Arial" w:cs="Arial"/>
          <w:lang w:eastAsia="en-PH"/>
        </w:rPr>
      </w:pPr>
      <w:r w:rsidRPr="008A6B6D">
        <w:rPr>
          <w:rFonts w:ascii="Arial" w:hAnsi="Arial" w:cs="Arial"/>
          <w:lang w:eastAsia="en-PH"/>
        </w:rPr>
        <w:t>This demographic factor is crucial in understanding the professional background of the participants, as teaching experience often shapes the pedagogical approaches and classroom management strategies used to influence student learning retention. The data reflect a diverse workforce with varying levels of expertise, ranging from novice instructors to seasoned educators.</w:t>
      </w:r>
    </w:p>
    <w:p w14:paraId="50FA5848" w14:textId="77777777" w:rsidR="001E51D5" w:rsidRPr="008A6B6D" w:rsidRDefault="001E51D5" w:rsidP="001E51D5">
      <w:pPr>
        <w:ind w:firstLine="720"/>
        <w:outlineLvl w:val="2"/>
        <w:rPr>
          <w:rFonts w:ascii="Arial" w:hAnsi="Arial" w:cs="Arial"/>
          <w:lang w:eastAsia="en-PH"/>
        </w:rPr>
      </w:pPr>
    </w:p>
    <w:p w14:paraId="2F19AF41" w14:textId="77777777" w:rsidR="001E51D5" w:rsidRPr="008A6B6D" w:rsidRDefault="001E51D5" w:rsidP="001E51D5">
      <w:pPr>
        <w:rPr>
          <w:rFonts w:ascii="Arial" w:hAnsi="Arial" w:cs="Arial"/>
          <w:b/>
          <w:lang w:eastAsia="en-PH"/>
        </w:rPr>
      </w:pPr>
      <w:r w:rsidRPr="008A6B6D">
        <w:rPr>
          <w:rFonts w:ascii="Arial" w:hAnsi="Arial" w:cs="Arial"/>
          <w:b/>
          <w:lang w:eastAsia="en-PH"/>
        </w:rPr>
        <w:t>Table 5. Years of Teaching Experience</w:t>
      </w:r>
    </w:p>
    <w:tbl>
      <w:tblPr>
        <w:tblW w:w="0" w:type="auto"/>
        <w:tblLook w:val="04A0" w:firstRow="1" w:lastRow="0" w:firstColumn="1" w:lastColumn="0" w:noHBand="0" w:noVBand="1"/>
      </w:tblPr>
      <w:tblGrid>
        <w:gridCol w:w="2740"/>
        <w:gridCol w:w="2726"/>
        <w:gridCol w:w="2742"/>
      </w:tblGrid>
      <w:tr w:rsidR="001E51D5" w:rsidRPr="008A6B6D" w14:paraId="70D878B6" w14:textId="77777777" w:rsidTr="001E51D5">
        <w:tc>
          <w:tcPr>
            <w:tcW w:w="3210" w:type="dxa"/>
            <w:tcBorders>
              <w:top w:val="single" w:sz="4" w:space="0" w:color="auto"/>
              <w:bottom w:val="single" w:sz="4" w:space="0" w:color="auto"/>
            </w:tcBorders>
            <w:vAlign w:val="center"/>
            <w:hideMark/>
          </w:tcPr>
          <w:p w14:paraId="07651613" w14:textId="77777777" w:rsidR="001E51D5" w:rsidRPr="008A6B6D" w:rsidRDefault="001E51D5" w:rsidP="001E51D5">
            <w:pPr>
              <w:jc w:val="center"/>
              <w:rPr>
                <w:rFonts w:ascii="Arial" w:hAnsi="Arial" w:cs="Arial"/>
                <w:b/>
                <w:color w:val="1F1F1F"/>
                <w:szCs w:val="18"/>
                <w:lang w:eastAsia="en-PH"/>
              </w:rPr>
            </w:pPr>
            <w:r w:rsidRPr="008A6B6D">
              <w:rPr>
                <w:rFonts w:ascii="Arial" w:hAnsi="Arial" w:cs="Arial"/>
                <w:b/>
                <w:color w:val="1F1F1F"/>
                <w:szCs w:val="18"/>
                <w:lang w:eastAsia="en-PH"/>
              </w:rPr>
              <w:t>Years of Teaching Experience</w:t>
            </w:r>
          </w:p>
        </w:tc>
        <w:tc>
          <w:tcPr>
            <w:tcW w:w="3210" w:type="dxa"/>
            <w:tcBorders>
              <w:top w:val="single" w:sz="4" w:space="0" w:color="auto"/>
              <w:bottom w:val="single" w:sz="4" w:space="0" w:color="auto"/>
            </w:tcBorders>
            <w:vAlign w:val="center"/>
            <w:hideMark/>
          </w:tcPr>
          <w:p w14:paraId="4C0C98FD" w14:textId="77777777" w:rsidR="001E51D5" w:rsidRPr="008A6B6D" w:rsidRDefault="001E51D5" w:rsidP="001E51D5">
            <w:pPr>
              <w:jc w:val="center"/>
              <w:rPr>
                <w:rFonts w:ascii="Arial" w:hAnsi="Arial" w:cs="Arial"/>
                <w:b/>
                <w:color w:val="1F1F1F"/>
                <w:szCs w:val="18"/>
                <w:lang w:eastAsia="en-PH"/>
              </w:rPr>
            </w:pPr>
            <w:r w:rsidRPr="008A6B6D">
              <w:rPr>
                <w:rFonts w:ascii="Arial" w:hAnsi="Arial" w:cs="Arial"/>
                <w:b/>
                <w:color w:val="1F1F1F"/>
                <w:szCs w:val="18"/>
                <w:lang w:eastAsia="en-PH"/>
              </w:rPr>
              <w:t>Frequency</w:t>
            </w:r>
          </w:p>
        </w:tc>
        <w:tc>
          <w:tcPr>
            <w:tcW w:w="3210" w:type="dxa"/>
            <w:tcBorders>
              <w:top w:val="single" w:sz="4" w:space="0" w:color="auto"/>
              <w:bottom w:val="single" w:sz="4" w:space="0" w:color="auto"/>
            </w:tcBorders>
            <w:vAlign w:val="center"/>
            <w:hideMark/>
          </w:tcPr>
          <w:p w14:paraId="1A5603B2" w14:textId="77777777" w:rsidR="001E51D5" w:rsidRPr="008A6B6D" w:rsidRDefault="001E51D5" w:rsidP="001E51D5">
            <w:pPr>
              <w:jc w:val="center"/>
              <w:rPr>
                <w:rFonts w:ascii="Arial" w:hAnsi="Arial" w:cs="Arial"/>
                <w:b/>
                <w:color w:val="1F1F1F"/>
                <w:szCs w:val="18"/>
                <w:lang w:eastAsia="en-PH"/>
              </w:rPr>
            </w:pPr>
            <w:r w:rsidRPr="008A6B6D">
              <w:rPr>
                <w:rFonts w:ascii="Arial" w:hAnsi="Arial" w:cs="Arial"/>
                <w:b/>
                <w:color w:val="1F1F1F"/>
                <w:szCs w:val="18"/>
                <w:lang w:eastAsia="en-PH"/>
              </w:rPr>
              <w:t>Percentage</w:t>
            </w:r>
          </w:p>
        </w:tc>
      </w:tr>
      <w:tr w:rsidR="001E51D5" w:rsidRPr="008A6B6D" w14:paraId="28F523BB" w14:textId="77777777" w:rsidTr="001E51D5">
        <w:tc>
          <w:tcPr>
            <w:tcW w:w="3210" w:type="dxa"/>
            <w:tcBorders>
              <w:top w:val="single" w:sz="4" w:space="0" w:color="auto"/>
            </w:tcBorders>
            <w:vAlign w:val="center"/>
            <w:hideMark/>
          </w:tcPr>
          <w:p w14:paraId="3B9BCF09"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0–5 years</w:t>
            </w:r>
          </w:p>
        </w:tc>
        <w:tc>
          <w:tcPr>
            <w:tcW w:w="3210" w:type="dxa"/>
            <w:tcBorders>
              <w:top w:val="single" w:sz="4" w:space="0" w:color="auto"/>
            </w:tcBorders>
            <w:vAlign w:val="center"/>
            <w:hideMark/>
          </w:tcPr>
          <w:p w14:paraId="63625BEB"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30</w:t>
            </w:r>
          </w:p>
        </w:tc>
        <w:tc>
          <w:tcPr>
            <w:tcW w:w="3210" w:type="dxa"/>
            <w:tcBorders>
              <w:top w:val="single" w:sz="4" w:space="0" w:color="auto"/>
            </w:tcBorders>
            <w:vAlign w:val="center"/>
            <w:hideMark/>
          </w:tcPr>
          <w:p w14:paraId="4F6D236E"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35.70</w:t>
            </w:r>
          </w:p>
        </w:tc>
      </w:tr>
      <w:tr w:rsidR="001E51D5" w:rsidRPr="008A6B6D" w14:paraId="4CEBABF9" w14:textId="77777777" w:rsidTr="001E51D5">
        <w:tc>
          <w:tcPr>
            <w:tcW w:w="3210" w:type="dxa"/>
            <w:vAlign w:val="center"/>
            <w:hideMark/>
          </w:tcPr>
          <w:p w14:paraId="5F687E92"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6–10 years</w:t>
            </w:r>
          </w:p>
        </w:tc>
        <w:tc>
          <w:tcPr>
            <w:tcW w:w="3210" w:type="dxa"/>
            <w:vAlign w:val="center"/>
            <w:hideMark/>
          </w:tcPr>
          <w:p w14:paraId="46CC8560"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16</w:t>
            </w:r>
          </w:p>
        </w:tc>
        <w:tc>
          <w:tcPr>
            <w:tcW w:w="3210" w:type="dxa"/>
            <w:vAlign w:val="center"/>
            <w:hideMark/>
          </w:tcPr>
          <w:p w14:paraId="2F2581A7"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19.00</w:t>
            </w:r>
          </w:p>
        </w:tc>
      </w:tr>
      <w:tr w:rsidR="001E51D5" w:rsidRPr="008A6B6D" w14:paraId="5844777C" w14:textId="77777777" w:rsidTr="001E51D5">
        <w:tc>
          <w:tcPr>
            <w:tcW w:w="3210" w:type="dxa"/>
            <w:vAlign w:val="center"/>
            <w:hideMark/>
          </w:tcPr>
          <w:p w14:paraId="0831542A"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11–15 years</w:t>
            </w:r>
          </w:p>
        </w:tc>
        <w:tc>
          <w:tcPr>
            <w:tcW w:w="3210" w:type="dxa"/>
            <w:vAlign w:val="center"/>
            <w:hideMark/>
          </w:tcPr>
          <w:p w14:paraId="67768787"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14</w:t>
            </w:r>
          </w:p>
        </w:tc>
        <w:tc>
          <w:tcPr>
            <w:tcW w:w="3210" w:type="dxa"/>
            <w:vAlign w:val="center"/>
            <w:hideMark/>
          </w:tcPr>
          <w:p w14:paraId="493A2FB1"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16.70</w:t>
            </w:r>
          </w:p>
        </w:tc>
      </w:tr>
      <w:tr w:rsidR="001E51D5" w:rsidRPr="008A6B6D" w14:paraId="117A967E" w14:textId="77777777" w:rsidTr="001E51D5">
        <w:tc>
          <w:tcPr>
            <w:tcW w:w="3210" w:type="dxa"/>
            <w:vAlign w:val="center"/>
            <w:hideMark/>
          </w:tcPr>
          <w:p w14:paraId="55A8B640"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16–20 years</w:t>
            </w:r>
          </w:p>
        </w:tc>
        <w:tc>
          <w:tcPr>
            <w:tcW w:w="3210" w:type="dxa"/>
            <w:vAlign w:val="center"/>
            <w:hideMark/>
          </w:tcPr>
          <w:p w14:paraId="446485CC"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8</w:t>
            </w:r>
          </w:p>
        </w:tc>
        <w:tc>
          <w:tcPr>
            <w:tcW w:w="3210" w:type="dxa"/>
            <w:vAlign w:val="center"/>
            <w:hideMark/>
          </w:tcPr>
          <w:p w14:paraId="5F6DC710"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9.50</w:t>
            </w:r>
          </w:p>
        </w:tc>
      </w:tr>
      <w:tr w:rsidR="001E51D5" w:rsidRPr="008A6B6D" w14:paraId="1ACD9E57" w14:textId="77777777" w:rsidTr="001E51D5">
        <w:tc>
          <w:tcPr>
            <w:tcW w:w="3210" w:type="dxa"/>
            <w:tcBorders>
              <w:bottom w:val="single" w:sz="4" w:space="0" w:color="auto"/>
            </w:tcBorders>
            <w:vAlign w:val="center"/>
            <w:hideMark/>
          </w:tcPr>
          <w:p w14:paraId="26EC25E8"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21 years and above</w:t>
            </w:r>
          </w:p>
        </w:tc>
        <w:tc>
          <w:tcPr>
            <w:tcW w:w="3210" w:type="dxa"/>
            <w:tcBorders>
              <w:bottom w:val="single" w:sz="4" w:space="0" w:color="auto"/>
            </w:tcBorders>
            <w:vAlign w:val="center"/>
            <w:hideMark/>
          </w:tcPr>
          <w:p w14:paraId="4C770FB8"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16</w:t>
            </w:r>
          </w:p>
        </w:tc>
        <w:tc>
          <w:tcPr>
            <w:tcW w:w="3210" w:type="dxa"/>
            <w:tcBorders>
              <w:bottom w:val="single" w:sz="4" w:space="0" w:color="auto"/>
            </w:tcBorders>
            <w:vAlign w:val="center"/>
            <w:hideMark/>
          </w:tcPr>
          <w:p w14:paraId="0EA2E8E7" w14:textId="77777777" w:rsidR="001E51D5" w:rsidRPr="008A6B6D" w:rsidRDefault="001E51D5" w:rsidP="001E51D5">
            <w:pPr>
              <w:jc w:val="center"/>
              <w:rPr>
                <w:rFonts w:ascii="Arial" w:hAnsi="Arial" w:cs="Arial"/>
                <w:bCs/>
                <w:color w:val="1F1F1F"/>
                <w:szCs w:val="18"/>
                <w:lang w:eastAsia="en-PH"/>
              </w:rPr>
            </w:pPr>
            <w:r w:rsidRPr="008A6B6D">
              <w:rPr>
                <w:rFonts w:ascii="Arial" w:hAnsi="Arial" w:cs="Arial"/>
                <w:bCs/>
                <w:color w:val="1F1F1F"/>
                <w:szCs w:val="18"/>
                <w:lang w:eastAsia="en-PH"/>
              </w:rPr>
              <w:t>19.00</w:t>
            </w:r>
          </w:p>
        </w:tc>
      </w:tr>
      <w:tr w:rsidR="001E51D5" w:rsidRPr="008A6B6D" w14:paraId="477DB382" w14:textId="77777777" w:rsidTr="001E51D5">
        <w:tc>
          <w:tcPr>
            <w:tcW w:w="3210" w:type="dxa"/>
            <w:tcBorders>
              <w:top w:val="single" w:sz="4" w:space="0" w:color="auto"/>
              <w:bottom w:val="single" w:sz="4" w:space="0" w:color="auto"/>
            </w:tcBorders>
            <w:vAlign w:val="center"/>
            <w:hideMark/>
          </w:tcPr>
          <w:p w14:paraId="5D4040D4" w14:textId="77777777" w:rsidR="001E51D5" w:rsidRPr="008A6B6D" w:rsidRDefault="001E51D5" w:rsidP="001E51D5">
            <w:pPr>
              <w:jc w:val="center"/>
              <w:rPr>
                <w:rFonts w:ascii="Arial" w:hAnsi="Arial" w:cs="Arial"/>
                <w:b/>
                <w:color w:val="1F1F1F"/>
                <w:szCs w:val="18"/>
                <w:lang w:eastAsia="en-PH"/>
              </w:rPr>
            </w:pPr>
            <w:r w:rsidRPr="008A6B6D">
              <w:rPr>
                <w:rFonts w:ascii="Arial" w:hAnsi="Arial" w:cs="Arial"/>
                <w:b/>
                <w:color w:val="1F1F1F"/>
                <w:szCs w:val="18"/>
                <w:lang w:eastAsia="en-PH"/>
              </w:rPr>
              <w:t>Total</w:t>
            </w:r>
          </w:p>
        </w:tc>
        <w:tc>
          <w:tcPr>
            <w:tcW w:w="3210" w:type="dxa"/>
            <w:tcBorders>
              <w:top w:val="single" w:sz="4" w:space="0" w:color="auto"/>
              <w:bottom w:val="single" w:sz="4" w:space="0" w:color="auto"/>
            </w:tcBorders>
            <w:vAlign w:val="center"/>
            <w:hideMark/>
          </w:tcPr>
          <w:p w14:paraId="0503DAF6" w14:textId="77777777" w:rsidR="001E51D5" w:rsidRPr="008A6B6D" w:rsidRDefault="001E51D5" w:rsidP="001E51D5">
            <w:pPr>
              <w:jc w:val="center"/>
              <w:rPr>
                <w:rFonts w:ascii="Arial" w:hAnsi="Arial" w:cs="Arial"/>
                <w:b/>
                <w:color w:val="1F1F1F"/>
                <w:szCs w:val="18"/>
                <w:lang w:eastAsia="en-PH"/>
              </w:rPr>
            </w:pPr>
            <w:r w:rsidRPr="008A6B6D">
              <w:rPr>
                <w:rFonts w:ascii="Arial" w:hAnsi="Arial" w:cs="Arial"/>
                <w:b/>
                <w:color w:val="1F1F1F"/>
                <w:szCs w:val="18"/>
                <w:lang w:eastAsia="en-PH"/>
              </w:rPr>
              <w:t>84</w:t>
            </w:r>
          </w:p>
        </w:tc>
        <w:tc>
          <w:tcPr>
            <w:tcW w:w="3210" w:type="dxa"/>
            <w:tcBorders>
              <w:top w:val="single" w:sz="4" w:space="0" w:color="auto"/>
              <w:bottom w:val="single" w:sz="4" w:space="0" w:color="auto"/>
            </w:tcBorders>
            <w:vAlign w:val="center"/>
            <w:hideMark/>
          </w:tcPr>
          <w:p w14:paraId="7FF3CFF4" w14:textId="77777777" w:rsidR="001E51D5" w:rsidRPr="008A6B6D" w:rsidRDefault="001E51D5" w:rsidP="001E51D5">
            <w:pPr>
              <w:jc w:val="center"/>
              <w:rPr>
                <w:rFonts w:ascii="Arial" w:hAnsi="Arial" w:cs="Arial"/>
                <w:b/>
                <w:color w:val="1F1F1F"/>
                <w:szCs w:val="18"/>
                <w:lang w:eastAsia="en-PH"/>
              </w:rPr>
            </w:pPr>
            <w:r w:rsidRPr="008A6B6D">
              <w:rPr>
                <w:rFonts w:ascii="Arial" w:hAnsi="Arial" w:cs="Arial"/>
                <w:b/>
                <w:color w:val="1F1F1F"/>
                <w:szCs w:val="18"/>
                <w:lang w:eastAsia="en-PH"/>
              </w:rPr>
              <w:t>100.00</w:t>
            </w:r>
          </w:p>
        </w:tc>
      </w:tr>
    </w:tbl>
    <w:p w14:paraId="3C5C6369" w14:textId="77777777" w:rsidR="001E51D5" w:rsidRPr="008A6B6D" w:rsidRDefault="001E51D5" w:rsidP="001E51D5">
      <w:pPr>
        <w:outlineLvl w:val="2"/>
        <w:rPr>
          <w:rFonts w:ascii="Arial" w:hAnsi="Arial" w:cs="Arial"/>
          <w:sz w:val="18"/>
          <w:szCs w:val="16"/>
          <w:lang w:eastAsia="en-PH"/>
        </w:rPr>
      </w:pPr>
    </w:p>
    <w:p w14:paraId="3F5E7D2D" w14:textId="77777777" w:rsidR="001E51D5" w:rsidRPr="008A6B6D" w:rsidRDefault="001E51D5" w:rsidP="001E51D5">
      <w:pPr>
        <w:ind w:firstLine="720"/>
        <w:jc w:val="both"/>
        <w:rPr>
          <w:rFonts w:ascii="Arial" w:hAnsi="Arial" w:cs="Arial"/>
          <w:bCs/>
          <w:color w:val="1F1F1F"/>
          <w:lang w:eastAsia="en-PH"/>
        </w:rPr>
      </w:pPr>
      <w:r w:rsidRPr="008A6B6D">
        <w:rPr>
          <w:rFonts w:ascii="Arial" w:hAnsi="Arial" w:cs="Arial"/>
          <w:bCs/>
          <w:color w:val="1F1F1F"/>
          <w:lang w:eastAsia="en-PH"/>
        </w:rPr>
        <w:lastRenderedPageBreak/>
        <w:t>Table 5 shows the distribution of the respondents based on their years of teaching experience. Out of the 84 teacher-participants, the largest group consists of those with 0–5 years of experience, totalling 30 individuals or 35.70% of the sample. This is followed by two groups with equal representation: those with 6–10 years and those with 21 years and above, each comprising 16 respondents (19.00%). Teachers with 11–15 years of experience account for 14 respondents (16.70%), while the smallest group is composed of those with 16–20 years of service, representing only 8 individuals or 9.50%.</w:t>
      </w:r>
    </w:p>
    <w:p w14:paraId="26F4EC82" w14:textId="77777777" w:rsidR="001E51D5" w:rsidRPr="008A6B6D" w:rsidRDefault="001E51D5" w:rsidP="001E51D5">
      <w:pPr>
        <w:ind w:firstLine="720"/>
        <w:jc w:val="both"/>
        <w:rPr>
          <w:rFonts w:ascii="Arial" w:hAnsi="Arial" w:cs="Arial"/>
          <w:bCs/>
          <w:color w:val="1F1F1F"/>
          <w:lang w:eastAsia="en-PH"/>
        </w:rPr>
      </w:pPr>
      <w:r w:rsidRPr="008A6B6D">
        <w:rPr>
          <w:rFonts w:ascii="Arial" w:hAnsi="Arial" w:cs="Arial"/>
          <w:bCs/>
          <w:color w:val="1F1F1F"/>
          <w:lang w:eastAsia="en-PH"/>
        </w:rPr>
        <w:t>This implies that the teaching workforce in this study included a substantial group of early-career educators alongside long-serving teachers. The distribution was bimodal, with sizeable proportions at both the beginning of their careers and at 21 years or more of teaching experience. This spread suggests that perceptions of learning retention may reflect both recent pedagogical preparation and extensive classroom experience. For the enhancement programme, professional development may therefore need to accommodate different levels of experience and support exchange between early-career and veteran teachers.</w:t>
      </w:r>
    </w:p>
    <w:p w14:paraId="1D2203CE" w14:textId="77777777" w:rsidR="001E51D5" w:rsidRPr="008A6B6D" w:rsidRDefault="001E51D5" w:rsidP="001E51D5">
      <w:pPr>
        <w:ind w:firstLine="720"/>
        <w:jc w:val="both"/>
        <w:rPr>
          <w:rFonts w:ascii="Arial" w:hAnsi="Arial" w:cs="Arial"/>
          <w:lang w:eastAsia="en-PH"/>
        </w:rPr>
      </w:pPr>
      <w:r w:rsidRPr="008A6B6D">
        <w:rPr>
          <w:rFonts w:ascii="Arial" w:hAnsi="Arial" w:cs="Arial"/>
          <w:lang w:eastAsia="en-PH"/>
        </w:rPr>
        <w:t>This interpretation is consistent with research on teachers' recognition of explicit self-regulated learning instruction, which highlights the importance of professional learning across levels of teaching experience (Michalsky, 2021). In the present study, the distribution of teaching experience therefore provides useful context for implementing the Learning Retention Enhancement Program (LREP) across both early-career and long-serving teachers.</w:t>
      </w:r>
    </w:p>
    <w:p w14:paraId="3CF8C1BD" w14:textId="77777777" w:rsidR="001E51D5" w:rsidRPr="008A6B6D" w:rsidRDefault="001E51D5" w:rsidP="001E51D5">
      <w:pPr>
        <w:rPr>
          <w:rFonts w:ascii="Arial" w:hAnsi="Arial" w:cs="Arial"/>
          <w:lang w:eastAsia="en-PH"/>
        </w:rPr>
      </w:pPr>
    </w:p>
    <w:p w14:paraId="2E2D4993" w14:textId="77777777" w:rsidR="001E51D5" w:rsidRPr="008A6B6D" w:rsidRDefault="001E51D5" w:rsidP="001E51D5">
      <w:pPr>
        <w:rPr>
          <w:rFonts w:ascii="Arial" w:hAnsi="Arial" w:cs="Arial"/>
          <w:b/>
        </w:rPr>
      </w:pPr>
      <w:r w:rsidRPr="008A6B6D">
        <w:rPr>
          <w:rFonts w:ascii="Arial" w:hAnsi="Arial" w:cs="Arial"/>
          <w:b/>
        </w:rPr>
        <w:t>3.1.4. Educational Attainment of Teachers</w:t>
      </w:r>
    </w:p>
    <w:p w14:paraId="1A6C650C" w14:textId="77777777" w:rsidR="001E51D5" w:rsidRPr="008A6B6D" w:rsidRDefault="001E51D5" w:rsidP="001E51D5">
      <w:pPr>
        <w:rPr>
          <w:rFonts w:ascii="Arial" w:hAnsi="Arial" w:cs="Arial"/>
          <w:b/>
        </w:rPr>
      </w:pPr>
    </w:p>
    <w:p w14:paraId="4B6D2C44" w14:textId="77777777" w:rsidR="001E51D5" w:rsidRPr="008A6B6D" w:rsidRDefault="001E51D5" w:rsidP="001E51D5">
      <w:pPr>
        <w:ind w:firstLine="720"/>
        <w:jc w:val="both"/>
        <w:rPr>
          <w:rFonts w:ascii="Arial" w:hAnsi="Arial" w:cs="Arial"/>
          <w:bCs/>
          <w:color w:val="1F1F1F"/>
          <w:lang w:eastAsia="en-PH"/>
        </w:rPr>
      </w:pPr>
      <w:r w:rsidRPr="008A6B6D">
        <w:rPr>
          <w:rFonts w:ascii="Arial" w:hAnsi="Arial" w:cs="Arial"/>
        </w:rPr>
        <w:t>Educational attainment serves as a key indicator of a teacher’s specialised knowledge and their commitment to continuous professional development, which are essential factors in enhancing instructional quality and school leadership.</w:t>
      </w:r>
    </w:p>
    <w:p w14:paraId="3647FB4E" w14:textId="77777777" w:rsidR="001E51D5" w:rsidRPr="008A6B6D" w:rsidRDefault="001E51D5" w:rsidP="001E51D5">
      <w:pPr>
        <w:rPr>
          <w:rFonts w:ascii="Arial" w:hAnsi="Arial" w:cs="Arial"/>
          <w:sz w:val="16"/>
          <w:szCs w:val="16"/>
          <w:lang w:eastAsia="en-PH"/>
        </w:rPr>
      </w:pPr>
    </w:p>
    <w:p w14:paraId="0280A792" w14:textId="77777777" w:rsidR="001E51D5" w:rsidRPr="008A6B6D" w:rsidRDefault="001E51D5" w:rsidP="001E51D5">
      <w:pPr>
        <w:autoSpaceDE w:val="0"/>
        <w:autoSpaceDN w:val="0"/>
        <w:adjustRightInd w:val="0"/>
        <w:rPr>
          <w:rFonts w:ascii="Arial" w:hAnsi="Arial" w:cs="Arial"/>
          <w:sz w:val="16"/>
          <w:szCs w:val="16"/>
          <w:lang w:eastAsia="en-PH"/>
        </w:rPr>
      </w:pPr>
      <w:r w:rsidRPr="008A6B6D">
        <w:rPr>
          <w:rFonts w:ascii="Arial" w:hAnsi="Arial" w:cs="Arial"/>
          <w:b/>
        </w:rPr>
        <w:t>Table 6. Educational Attainment of Teachers</w:t>
      </w:r>
    </w:p>
    <w:tbl>
      <w:tblPr>
        <w:tblW w:w="8271" w:type="dxa"/>
        <w:jc w:val="center"/>
        <w:tblLook w:val="04A0" w:firstRow="1" w:lastRow="0" w:firstColumn="1" w:lastColumn="0" w:noHBand="0" w:noVBand="1"/>
      </w:tblPr>
      <w:tblGrid>
        <w:gridCol w:w="3210"/>
        <w:gridCol w:w="3210"/>
        <w:gridCol w:w="1851"/>
      </w:tblGrid>
      <w:tr w:rsidR="001E51D5" w:rsidRPr="008A6B6D" w14:paraId="57D95C05" w14:textId="77777777" w:rsidTr="009A7909">
        <w:trPr>
          <w:trHeight w:val="232"/>
          <w:jc w:val="center"/>
        </w:trPr>
        <w:tc>
          <w:tcPr>
            <w:tcW w:w="3210" w:type="dxa"/>
            <w:tcBorders>
              <w:top w:val="single" w:sz="4" w:space="0" w:color="auto"/>
              <w:bottom w:val="single" w:sz="4" w:space="0" w:color="auto"/>
            </w:tcBorders>
            <w:vAlign w:val="center"/>
            <w:hideMark/>
          </w:tcPr>
          <w:p w14:paraId="1CA9436A"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Educational Attainment</w:t>
            </w:r>
          </w:p>
        </w:tc>
        <w:tc>
          <w:tcPr>
            <w:tcW w:w="3210" w:type="dxa"/>
            <w:tcBorders>
              <w:top w:val="single" w:sz="4" w:space="0" w:color="auto"/>
              <w:bottom w:val="single" w:sz="4" w:space="0" w:color="auto"/>
            </w:tcBorders>
            <w:vAlign w:val="center"/>
            <w:hideMark/>
          </w:tcPr>
          <w:p w14:paraId="248BF5E8"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Frequency</w:t>
            </w:r>
          </w:p>
        </w:tc>
        <w:tc>
          <w:tcPr>
            <w:tcW w:w="1851" w:type="dxa"/>
            <w:tcBorders>
              <w:top w:val="single" w:sz="4" w:space="0" w:color="auto"/>
              <w:bottom w:val="single" w:sz="4" w:space="0" w:color="auto"/>
            </w:tcBorders>
            <w:vAlign w:val="center"/>
            <w:hideMark/>
          </w:tcPr>
          <w:p w14:paraId="286578D5"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Percentage</w:t>
            </w:r>
          </w:p>
        </w:tc>
      </w:tr>
      <w:tr w:rsidR="001E51D5" w:rsidRPr="008A6B6D" w14:paraId="663D7B83" w14:textId="77777777" w:rsidTr="009A7909">
        <w:trPr>
          <w:trHeight w:val="175"/>
          <w:jc w:val="center"/>
        </w:trPr>
        <w:tc>
          <w:tcPr>
            <w:tcW w:w="3210" w:type="dxa"/>
            <w:tcBorders>
              <w:top w:val="single" w:sz="4" w:space="0" w:color="auto"/>
            </w:tcBorders>
            <w:vAlign w:val="center"/>
            <w:hideMark/>
          </w:tcPr>
          <w:p w14:paraId="48AC011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Bachelor’s Degree</w:t>
            </w:r>
          </w:p>
        </w:tc>
        <w:tc>
          <w:tcPr>
            <w:tcW w:w="3210" w:type="dxa"/>
            <w:tcBorders>
              <w:top w:val="single" w:sz="4" w:space="0" w:color="auto"/>
            </w:tcBorders>
            <w:vAlign w:val="center"/>
            <w:hideMark/>
          </w:tcPr>
          <w:p w14:paraId="09B2779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17</w:t>
            </w:r>
          </w:p>
        </w:tc>
        <w:tc>
          <w:tcPr>
            <w:tcW w:w="1851" w:type="dxa"/>
            <w:tcBorders>
              <w:top w:val="single" w:sz="4" w:space="0" w:color="auto"/>
            </w:tcBorders>
            <w:vAlign w:val="center"/>
            <w:hideMark/>
          </w:tcPr>
          <w:p w14:paraId="1EA2CA74"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20.20</w:t>
            </w:r>
          </w:p>
        </w:tc>
      </w:tr>
      <w:tr w:rsidR="001E51D5" w:rsidRPr="008A6B6D" w14:paraId="3F0F47E1" w14:textId="77777777" w:rsidTr="009A7909">
        <w:trPr>
          <w:trHeight w:val="406"/>
          <w:jc w:val="center"/>
        </w:trPr>
        <w:tc>
          <w:tcPr>
            <w:tcW w:w="3210" w:type="dxa"/>
            <w:vAlign w:val="center"/>
            <w:hideMark/>
          </w:tcPr>
          <w:p w14:paraId="5FB8335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Bachelor’s Degree with units in Master’s Degree</w:t>
            </w:r>
          </w:p>
        </w:tc>
        <w:tc>
          <w:tcPr>
            <w:tcW w:w="3210" w:type="dxa"/>
            <w:vAlign w:val="center"/>
            <w:hideMark/>
          </w:tcPr>
          <w:p w14:paraId="3896A03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56</w:t>
            </w:r>
          </w:p>
        </w:tc>
        <w:tc>
          <w:tcPr>
            <w:tcW w:w="1851" w:type="dxa"/>
            <w:vAlign w:val="center"/>
            <w:hideMark/>
          </w:tcPr>
          <w:p w14:paraId="058E4C3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66.70</w:t>
            </w:r>
          </w:p>
        </w:tc>
      </w:tr>
      <w:tr w:rsidR="001E51D5" w:rsidRPr="008A6B6D" w14:paraId="426CFC47" w14:textId="77777777" w:rsidTr="009A7909">
        <w:trPr>
          <w:trHeight w:val="232"/>
          <w:jc w:val="center"/>
        </w:trPr>
        <w:tc>
          <w:tcPr>
            <w:tcW w:w="3210" w:type="dxa"/>
            <w:vAlign w:val="center"/>
            <w:hideMark/>
          </w:tcPr>
          <w:p w14:paraId="4845516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Master’s Degree graduate</w:t>
            </w:r>
          </w:p>
        </w:tc>
        <w:tc>
          <w:tcPr>
            <w:tcW w:w="3210" w:type="dxa"/>
            <w:vAlign w:val="center"/>
            <w:hideMark/>
          </w:tcPr>
          <w:p w14:paraId="26511EB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7</w:t>
            </w:r>
          </w:p>
        </w:tc>
        <w:tc>
          <w:tcPr>
            <w:tcW w:w="1851" w:type="dxa"/>
            <w:vAlign w:val="center"/>
            <w:hideMark/>
          </w:tcPr>
          <w:p w14:paraId="1113DF5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8.30</w:t>
            </w:r>
          </w:p>
        </w:tc>
      </w:tr>
      <w:tr w:rsidR="001E51D5" w:rsidRPr="008A6B6D" w14:paraId="7D12CC00" w14:textId="77777777" w:rsidTr="009A7909">
        <w:trPr>
          <w:trHeight w:val="406"/>
          <w:jc w:val="center"/>
        </w:trPr>
        <w:tc>
          <w:tcPr>
            <w:tcW w:w="3210" w:type="dxa"/>
            <w:vAlign w:val="center"/>
            <w:hideMark/>
          </w:tcPr>
          <w:p w14:paraId="6A17158B"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Master’s Degree with units in Doctorate Degree</w:t>
            </w:r>
          </w:p>
        </w:tc>
        <w:tc>
          <w:tcPr>
            <w:tcW w:w="3210" w:type="dxa"/>
            <w:vAlign w:val="center"/>
            <w:hideMark/>
          </w:tcPr>
          <w:p w14:paraId="12A268F7"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2</w:t>
            </w:r>
          </w:p>
        </w:tc>
        <w:tc>
          <w:tcPr>
            <w:tcW w:w="1851" w:type="dxa"/>
            <w:vAlign w:val="center"/>
            <w:hideMark/>
          </w:tcPr>
          <w:p w14:paraId="7BA17BA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2.40</w:t>
            </w:r>
          </w:p>
        </w:tc>
      </w:tr>
      <w:tr w:rsidR="001E51D5" w:rsidRPr="008A6B6D" w14:paraId="7D1C168F" w14:textId="77777777" w:rsidTr="009A7909">
        <w:trPr>
          <w:trHeight w:val="290"/>
          <w:jc w:val="center"/>
        </w:trPr>
        <w:tc>
          <w:tcPr>
            <w:tcW w:w="3210" w:type="dxa"/>
            <w:tcBorders>
              <w:bottom w:val="single" w:sz="4" w:space="0" w:color="auto"/>
            </w:tcBorders>
            <w:vAlign w:val="center"/>
            <w:hideMark/>
          </w:tcPr>
          <w:p w14:paraId="55291DB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Doctorate Degree graduate</w:t>
            </w:r>
          </w:p>
        </w:tc>
        <w:tc>
          <w:tcPr>
            <w:tcW w:w="3210" w:type="dxa"/>
            <w:tcBorders>
              <w:bottom w:val="single" w:sz="4" w:space="0" w:color="auto"/>
            </w:tcBorders>
            <w:vAlign w:val="center"/>
            <w:hideMark/>
          </w:tcPr>
          <w:p w14:paraId="2565460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2</w:t>
            </w:r>
          </w:p>
        </w:tc>
        <w:tc>
          <w:tcPr>
            <w:tcW w:w="1851" w:type="dxa"/>
            <w:tcBorders>
              <w:bottom w:val="single" w:sz="4" w:space="0" w:color="auto"/>
            </w:tcBorders>
            <w:vAlign w:val="center"/>
            <w:hideMark/>
          </w:tcPr>
          <w:p w14:paraId="393D3B6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2.40</w:t>
            </w:r>
          </w:p>
        </w:tc>
      </w:tr>
      <w:tr w:rsidR="001E51D5" w:rsidRPr="008A6B6D" w14:paraId="4C51CC70" w14:textId="77777777" w:rsidTr="009A7909">
        <w:trPr>
          <w:trHeight w:val="61"/>
          <w:jc w:val="center"/>
        </w:trPr>
        <w:tc>
          <w:tcPr>
            <w:tcW w:w="3210" w:type="dxa"/>
            <w:tcBorders>
              <w:top w:val="single" w:sz="4" w:space="0" w:color="auto"/>
              <w:bottom w:val="single" w:sz="4" w:space="0" w:color="auto"/>
            </w:tcBorders>
            <w:vAlign w:val="center"/>
            <w:hideMark/>
          </w:tcPr>
          <w:p w14:paraId="399A64BC"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Total</w:t>
            </w:r>
          </w:p>
        </w:tc>
        <w:tc>
          <w:tcPr>
            <w:tcW w:w="3210" w:type="dxa"/>
            <w:tcBorders>
              <w:top w:val="single" w:sz="4" w:space="0" w:color="auto"/>
              <w:bottom w:val="single" w:sz="4" w:space="0" w:color="auto"/>
            </w:tcBorders>
            <w:vAlign w:val="center"/>
            <w:hideMark/>
          </w:tcPr>
          <w:p w14:paraId="731752A4"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84</w:t>
            </w:r>
          </w:p>
        </w:tc>
        <w:tc>
          <w:tcPr>
            <w:tcW w:w="1851" w:type="dxa"/>
            <w:tcBorders>
              <w:top w:val="single" w:sz="4" w:space="0" w:color="auto"/>
              <w:bottom w:val="single" w:sz="4" w:space="0" w:color="auto"/>
            </w:tcBorders>
            <w:vAlign w:val="center"/>
            <w:hideMark/>
          </w:tcPr>
          <w:p w14:paraId="60CA4F51"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100.00</w:t>
            </w:r>
          </w:p>
        </w:tc>
      </w:tr>
    </w:tbl>
    <w:p w14:paraId="791CC1BF" w14:textId="77777777" w:rsidR="00A44D52" w:rsidRPr="008A6B6D" w:rsidRDefault="00A44D52" w:rsidP="00A44D52">
      <w:pPr>
        <w:jc w:val="both"/>
        <w:outlineLvl w:val="1"/>
        <w:rPr>
          <w:rFonts w:ascii="Arial" w:hAnsi="Arial" w:cs="Arial"/>
          <w:bCs/>
          <w:color w:val="1F1F1F"/>
          <w:lang w:eastAsia="en-PH"/>
        </w:rPr>
      </w:pPr>
    </w:p>
    <w:p w14:paraId="5F41AD27" w14:textId="77777777" w:rsidR="001E51D5" w:rsidRPr="008A6B6D" w:rsidRDefault="001E51D5" w:rsidP="00A44D52">
      <w:pPr>
        <w:jc w:val="both"/>
        <w:outlineLvl w:val="1"/>
        <w:rPr>
          <w:rFonts w:ascii="Arial" w:hAnsi="Arial" w:cs="Arial"/>
          <w:bCs/>
          <w:color w:val="1F1F1F"/>
          <w:lang w:eastAsia="en-PH"/>
        </w:rPr>
      </w:pPr>
      <w:r w:rsidRPr="008A6B6D">
        <w:rPr>
          <w:rFonts w:ascii="Arial" w:hAnsi="Arial" w:cs="Arial"/>
          <w:bCs/>
          <w:color w:val="1F1F1F"/>
          <w:lang w:eastAsia="en-PH"/>
        </w:rPr>
        <w:t>Table 6 shows the distribution of the 84 teacher-respondents according to their highest educational attainment. A significant majority of the participants, totalling 56 individuals or 66.70%, have completed their Bachelor’s Degree and are currently pursuing or have earned units in a Master’s Degree. This is followed by those who hold only a Bachelor’s Degree, representing 20.20% (17 respondents). Meanwhile, a smaller portion of the faculty has reached higher levels of postgraduate study: 7 teachers (8.30%) are Master’s Degree graduates, while those with units in a Doctorate Degree and those who have fully completed a Doctorate Degree represent the remaining 2.40% each (2 respondents per category).</w:t>
      </w:r>
    </w:p>
    <w:p w14:paraId="759C993E" w14:textId="77777777" w:rsidR="00A44D52" w:rsidRPr="008A6B6D" w:rsidRDefault="00A44D52" w:rsidP="00A44D52">
      <w:pPr>
        <w:jc w:val="both"/>
        <w:outlineLvl w:val="1"/>
        <w:rPr>
          <w:rFonts w:ascii="Arial" w:hAnsi="Arial" w:cs="Arial"/>
          <w:bCs/>
          <w:color w:val="1F1F1F"/>
          <w:lang w:eastAsia="en-PH"/>
        </w:rPr>
      </w:pPr>
    </w:p>
    <w:p w14:paraId="13AFC4D4" w14:textId="77777777" w:rsidR="001E51D5" w:rsidRPr="008A6B6D" w:rsidRDefault="001E51D5" w:rsidP="00A44D52">
      <w:pPr>
        <w:jc w:val="both"/>
        <w:outlineLvl w:val="1"/>
        <w:rPr>
          <w:rFonts w:ascii="Arial" w:hAnsi="Arial" w:cs="Arial"/>
          <w:bCs/>
          <w:color w:val="1F1F1F"/>
          <w:lang w:eastAsia="en-PH"/>
        </w:rPr>
      </w:pPr>
      <w:r w:rsidRPr="008A6B6D">
        <w:rPr>
          <w:rFonts w:ascii="Arial" w:hAnsi="Arial" w:cs="Arial"/>
          <w:bCs/>
          <w:color w:val="1F1F1F"/>
          <w:lang w:eastAsia="en-PH"/>
        </w:rPr>
        <w:t xml:space="preserve">This implies that the teaching faculty involved in the study is largely composed of professionals who are in a transitional phase of their academic and professional development. Since over two-thirds of the teachers are actively pursuing advanced studies (Master's units), there is a clear commitment to pedagogical growth and content mastery. For the "Learning Retention Enhancement Program," this suggests that the teachers likely possess a solid foundational knowledge but are also being exposed to contemporary educational theories and advanced instructional strategies through their graduate coursework. This academic upward mobility is </w:t>
      </w:r>
      <w:r w:rsidRPr="008A6B6D">
        <w:rPr>
          <w:rFonts w:ascii="Arial" w:hAnsi="Arial" w:cs="Arial"/>
          <w:bCs/>
          <w:color w:val="1F1F1F"/>
          <w:lang w:eastAsia="en-PH"/>
        </w:rPr>
        <w:lastRenderedPageBreak/>
        <w:t>beneficial for the program's success, as teachers with advanced training are generally better equipped to identify complex determinants of student memory and apply diverse, evidence-based interventions to improve long-term learning retention among Junior High School students.</w:t>
      </w:r>
    </w:p>
    <w:p w14:paraId="591EC2AB" w14:textId="77777777" w:rsidR="00A44D52" w:rsidRPr="008A6B6D" w:rsidRDefault="00A44D52" w:rsidP="00A44D52">
      <w:pPr>
        <w:jc w:val="both"/>
        <w:outlineLvl w:val="1"/>
        <w:rPr>
          <w:rFonts w:ascii="Arial" w:hAnsi="Arial" w:cs="Arial"/>
          <w:lang w:eastAsia="en-PH"/>
        </w:rPr>
      </w:pPr>
    </w:p>
    <w:p w14:paraId="0C1F092B" w14:textId="77777777" w:rsidR="001E51D5" w:rsidRPr="008A6B6D" w:rsidRDefault="001E51D5" w:rsidP="00A44D52">
      <w:pPr>
        <w:jc w:val="both"/>
        <w:outlineLvl w:val="1"/>
        <w:rPr>
          <w:rFonts w:ascii="Arial" w:hAnsi="Arial" w:cs="Arial"/>
          <w:lang w:eastAsia="en-PH"/>
        </w:rPr>
      </w:pPr>
      <w:r w:rsidRPr="008A6B6D">
        <w:rPr>
          <w:rFonts w:ascii="Arial" w:hAnsi="Arial" w:cs="Arial"/>
          <w:lang w:eastAsia="en-PH"/>
        </w:rPr>
        <w:t>This aligns with the study of teacher educational attainment and its implications for instructional capacity in professional development programmes. The observed concentration of teachers pursuing or having units in a Master’s degree suggests engagement with contemporary pedagogical theories and advanced instructional strategies, which can enhance learning retention interventions for Junior High students. This pattern supports the premise that educators in such programmes are positioned to apply evidence-based approaches to memory and learning retention, leveraging higher education exposure to improve programme outcomes. These claims are consistent with literature emphasizing that advanced training among teachers correlates with enhanced content mastery and the capacity to implement diverse, research-informed strategies to bolster long-term student retention (Alfajaro &amp; Alfajaro, 2023; Balatero &amp; Bauyot, 2024; Datnow et al., 2023; Dicdiquin et al., 2023; Rustia, 2025).</w:t>
      </w:r>
    </w:p>
    <w:p w14:paraId="1DAF7171" w14:textId="77777777" w:rsidR="001E51D5" w:rsidRPr="008A6B6D" w:rsidRDefault="001E51D5" w:rsidP="009A7909">
      <w:pPr>
        <w:jc w:val="both"/>
        <w:outlineLvl w:val="1"/>
        <w:rPr>
          <w:rFonts w:ascii="Arial" w:hAnsi="Arial" w:cs="Arial"/>
          <w:lang w:eastAsia="en-PH"/>
        </w:rPr>
      </w:pPr>
    </w:p>
    <w:p w14:paraId="6E9FC614" w14:textId="77777777" w:rsidR="001E51D5" w:rsidRPr="008A6B6D" w:rsidRDefault="009A7909" w:rsidP="001E51D5">
      <w:pPr>
        <w:outlineLvl w:val="2"/>
        <w:rPr>
          <w:rFonts w:ascii="Arial" w:hAnsi="Arial" w:cs="Arial"/>
          <w:b/>
          <w:lang w:eastAsia="en-PH"/>
        </w:rPr>
      </w:pPr>
      <w:r w:rsidRPr="008A6B6D">
        <w:rPr>
          <w:rFonts w:ascii="Arial" w:hAnsi="Arial" w:cs="Arial"/>
          <w:b/>
          <w:lang w:eastAsia="en-PH"/>
        </w:rPr>
        <w:t>3</w:t>
      </w:r>
      <w:r w:rsidR="001E51D5" w:rsidRPr="008A6B6D">
        <w:rPr>
          <w:rFonts w:ascii="Arial" w:hAnsi="Arial" w:cs="Arial"/>
          <w:b/>
          <w:lang w:eastAsia="en-PH"/>
        </w:rPr>
        <w:t>.1.5. Subject Area Specialization of Teachers</w:t>
      </w:r>
    </w:p>
    <w:p w14:paraId="027ED8CB" w14:textId="77777777" w:rsidR="00A44D52" w:rsidRPr="008A6B6D" w:rsidRDefault="00A44D52" w:rsidP="00A44D52">
      <w:pPr>
        <w:jc w:val="both"/>
        <w:outlineLvl w:val="2"/>
        <w:rPr>
          <w:rFonts w:ascii="Arial" w:hAnsi="Arial" w:cs="Arial"/>
          <w:b/>
          <w:lang w:eastAsia="en-PH"/>
        </w:rPr>
      </w:pPr>
    </w:p>
    <w:p w14:paraId="574F8A09" w14:textId="77777777" w:rsidR="001E51D5" w:rsidRPr="008A6B6D" w:rsidRDefault="001E51D5" w:rsidP="00A44D52">
      <w:pPr>
        <w:jc w:val="both"/>
        <w:outlineLvl w:val="2"/>
        <w:rPr>
          <w:rFonts w:ascii="Arial" w:hAnsi="Arial" w:cs="Arial"/>
          <w:lang w:eastAsia="en-PH"/>
        </w:rPr>
      </w:pPr>
      <w:r w:rsidRPr="008A6B6D">
        <w:rPr>
          <w:rFonts w:ascii="Arial" w:hAnsi="Arial" w:cs="Arial"/>
          <w:lang w:eastAsia="en-PH"/>
        </w:rPr>
        <w:t>The profile of the teacher-respondents in terms of their subject area specialisation is a critical component of this study, as it provides a backdrop for understanding their pedagogical perspectives and instructional priorities. A teacher’s specialisation often shapes their classroom management style, the types of learning materials they prioritize, and their unique approach to facilitating information recall among students. By identifying the academic fields represented in the sample, the study can better contextualize the findings regarding which factors most significantly influence student learning retention.</w:t>
      </w:r>
    </w:p>
    <w:p w14:paraId="216F4E25" w14:textId="77777777" w:rsidR="001E51D5" w:rsidRPr="008A6B6D" w:rsidRDefault="001E51D5" w:rsidP="001E51D5">
      <w:pPr>
        <w:outlineLvl w:val="1"/>
        <w:rPr>
          <w:rFonts w:ascii="Arial" w:hAnsi="Arial" w:cs="Arial"/>
          <w:lang w:eastAsia="en-PH"/>
        </w:rPr>
      </w:pPr>
    </w:p>
    <w:p w14:paraId="4615A7E0" w14:textId="77777777" w:rsidR="001E51D5" w:rsidRPr="008A6B6D" w:rsidRDefault="001E51D5" w:rsidP="001E51D5">
      <w:pPr>
        <w:autoSpaceDE w:val="0"/>
        <w:autoSpaceDN w:val="0"/>
        <w:adjustRightInd w:val="0"/>
        <w:rPr>
          <w:rFonts w:ascii="Arial" w:hAnsi="Arial" w:cs="Arial"/>
          <w:b/>
        </w:rPr>
      </w:pPr>
      <w:r w:rsidRPr="008A6B6D">
        <w:rPr>
          <w:rFonts w:ascii="Arial" w:hAnsi="Arial" w:cs="Arial"/>
          <w:b/>
        </w:rPr>
        <w:t>Table 7. Subject Area Specialization of Teachers</w:t>
      </w:r>
    </w:p>
    <w:tbl>
      <w:tblPr>
        <w:tblW w:w="0" w:type="auto"/>
        <w:tblLook w:val="04A0" w:firstRow="1" w:lastRow="0" w:firstColumn="1" w:lastColumn="0" w:noHBand="0" w:noVBand="1"/>
      </w:tblPr>
      <w:tblGrid>
        <w:gridCol w:w="4566"/>
        <w:gridCol w:w="1922"/>
        <w:gridCol w:w="1630"/>
      </w:tblGrid>
      <w:tr w:rsidR="001E51D5" w:rsidRPr="008A6B6D" w14:paraId="2EB247FC" w14:textId="77777777" w:rsidTr="009A7909">
        <w:tc>
          <w:tcPr>
            <w:tcW w:w="4566" w:type="dxa"/>
            <w:tcBorders>
              <w:top w:val="single" w:sz="4" w:space="0" w:color="auto"/>
              <w:bottom w:val="single" w:sz="4" w:space="0" w:color="auto"/>
            </w:tcBorders>
            <w:vAlign w:val="center"/>
            <w:hideMark/>
          </w:tcPr>
          <w:p w14:paraId="47D60C53"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Subject Area Specialization</w:t>
            </w:r>
          </w:p>
        </w:tc>
        <w:tc>
          <w:tcPr>
            <w:tcW w:w="1922" w:type="dxa"/>
            <w:tcBorders>
              <w:top w:val="single" w:sz="4" w:space="0" w:color="auto"/>
              <w:bottom w:val="single" w:sz="4" w:space="0" w:color="auto"/>
            </w:tcBorders>
            <w:vAlign w:val="center"/>
            <w:hideMark/>
          </w:tcPr>
          <w:p w14:paraId="79A39EB8"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Frequency</w:t>
            </w:r>
          </w:p>
        </w:tc>
        <w:tc>
          <w:tcPr>
            <w:tcW w:w="1630" w:type="dxa"/>
            <w:tcBorders>
              <w:top w:val="single" w:sz="4" w:space="0" w:color="auto"/>
              <w:bottom w:val="single" w:sz="4" w:space="0" w:color="auto"/>
            </w:tcBorders>
            <w:vAlign w:val="center"/>
            <w:hideMark/>
          </w:tcPr>
          <w:p w14:paraId="150CFF7E"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Percentage</w:t>
            </w:r>
          </w:p>
        </w:tc>
      </w:tr>
      <w:tr w:rsidR="001E51D5" w:rsidRPr="008A6B6D" w14:paraId="0C66A671" w14:textId="77777777" w:rsidTr="009A7909">
        <w:tc>
          <w:tcPr>
            <w:tcW w:w="4566" w:type="dxa"/>
            <w:tcBorders>
              <w:top w:val="single" w:sz="4" w:space="0" w:color="auto"/>
            </w:tcBorders>
            <w:vAlign w:val="center"/>
            <w:hideMark/>
          </w:tcPr>
          <w:p w14:paraId="088065C4"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English</w:t>
            </w:r>
          </w:p>
        </w:tc>
        <w:tc>
          <w:tcPr>
            <w:tcW w:w="1922" w:type="dxa"/>
            <w:tcBorders>
              <w:top w:val="single" w:sz="4" w:space="0" w:color="auto"/>
            </w:tcBorders>
            <w:vAlign w:val="center"/>
            <w:hideMark/>
          </w:tcPr>
          <w:p w14:paraId="40CCD42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16</w:t>
            </w:r>
          </w:p>
        </w:tc>
        <w:tc>
          <w:tcPr>
            <w:tcW w:w="1630" w:type="dxa"/>
            <w:tcBorders>
              <w:top w:val="single" w:sz="4" w:space="0" w:color="auto"/>
            </w:tcBorders>
            <w:vAlign w:val="center"/>
            <w:hideMark/>
          </w:tcPr>
          <w:p w14:paraId="0CF41F6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19.00</w:t>
            </w:r>
          </w:p>
        </w:tc>
      </w:tr>
      <w:tr w:rsidR="001E51D5" w:rsidRPr="008A6B6D" w14:paraId="760AA637" w14:textId="77777777" w:rsidTr="009A7909">
        <w:tc>
          <w:tcPr>
            <w:tcW w:w="4566" w:type="dxa"/>
            <w:vAlign w:val="center"/>
            <w:hideMark/>
          </w:tcPr>
          <w:p w14:paraId="590BEA9B"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Mathematics</w:t>
            </w:r>
          </w:p>
        </w:tc>
        <w:tc>
          <w:tcPr>
            <w:tcW w:w="1922" w:type="dxa"/>
            <w:vAlign w:val="center"/>
            <w:hideMark/>
          </w:tcPr>
          <w:p w14:paraId="393426E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w:t>
            </w:r>
          </w:p>
        </w:tc>
        <w:tc>
          <w:tcPr>
            <w:tcW w:w="1630" w:type="dxa"/>
            <w:vAlign w:val="center"/>
            <w:hideMark/>
          </w:tcPr>
          <w:p w14:paraId="20C6648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11.90</w:t>
            </w:r>
          </w:p>
        </w:tc>
      </w:tr>
      <w:tr w:rsidR="001E51D5" w:rsidRPr="008A6B6D" w14:paraId="0FCE34B5" w14:textId="77777777" w:rsidTr="009A7909">
        <w:tc>
          <w:tcPr>
            <w:tcW w:w="4566" w:type="dxa"/>
            <w:vAlign w:val="center"/>
            <w:hideMark/>
          </w:tcPr>
          <w:p w14:paraId="119787C4"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Science</w:t>
            </w:r>
          </w:p>
        </w:tc>
        <w:tc>
          <w:tcPr>
            <w:tcW w:w="1922" w:type="dxa"/>
            <w:vAlign w:val="center"/>
            <w:hideMark/>
          </w:tcPr>
          <w:p w14:paraId="7D40205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11</w:t>
            </w:r>
          </w:p>
        </w:tc>
        <w:tc>
          <w:tcPr>
            <w:tcW w:w="1630" w:type="dxa"/>
            <w:vAlign w:val="center"/>
            <w:hideMark/>
          </w:tcPr>
          <w:p w14:paraId="2026E93B"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13.10</w:t>
            </w:r>
          </w:p>
        </w:tc>
      </w:tr>
      <w:tr w:rsidR="001E51D5" w:rsidRPr="008A6B6D" w14:paraId="6EC8E268" w14:textId="77777777" w:rsidTr="009A7909">
        <w:tc>
          <w:tcPr>
            <w:tcW w:w="4566" w:type="dxa"/>
            <w:vAlign w:val="center"/>
            <w:hideMark/>
          </w:tcPr>
          <w:p w14:paraId="74C8C709"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Filipino</w:t>
            </w:r>
          </w:p>
        </w:tc>
        <w:tc>
          <w:tcPr>
            <w:tcW w:w="1922" w:type="dxa"/>
            <w:vAlign w:val="center"/>
            <w:hideMark/>
          </w:tcPr>
          <w:p w14:paraId="5588A8D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w:t>
            </w:r>
          </w:p>
        </w:tc>
        <w:tc>
          <w:tcPr>
            <w:tcW w:w="1630" w:type="dxa"/>
            <w:vAlign w:val="center"/>
            <w:hideMark/>
          </w:tcPr>
          <w:p w14:paraId="76C1403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11.90</w:t>
            </w:r>
          </w:p>
        </w:tc>
      </w:tr>
      <w:tr w:rsidR="001E51D5" w:rsidRPr="008A6B6D" w14:paraId="040A9DD2" w14:textId="77777777" w:rsidTr="009A7909">
        <w:tc>
          <w:tcPr>
            <w:tcW w:w="4566" w:type="dxa"/>
            <w:vAlign w:val="center"/>
            <w:hideMark/>
          </w:tcPr>
          <w:p w14:paraId="2BA28F9E" w14:textId="77777777" w:rsidR="001E51D5" w:rsidRPr="008A6B6D" w:rsidRDefault="001E51D5" w:rsidP="001E51D5">
            <w:pPr>
              <w:rPr>
                <w:rFonts w:ascii="Arial" w:hAnsi="Arial" w:cs="Arial"/>
                <w:bCs/>
                <w:color w:val="1F1F1F"/>
                <w:lang w:eastAsia="en-PH"/>
              </w:rPr>
            </w:pPr>
            <w:proofErr w:type="spellStart"/>
            <w:r w:rsidRPr="008A6B6D">
              <w:rPr>
                <w:rFonts w:ascii="Arial" w:hAnsi="Arial" w:cs="Arial"/>
                <w:bCs/>
                <w:color w:val="1F1F1F"/>
                <w:lang w:eastAsia="en-PH"/>
              </w:rPr>
              <w:t>Araling</w:t>
            </w:r>
            <w:proofErr w:type="spellEnd"/>
            <w:r w:rsidRPr="008A6B6D">
              <w:rPr>
                <w:rFonts w:ascii="Arial" w:hAnsi="Arial" w:cs="Arial"/>
                <w:bCs/>
                <w:color w:val="1F1F1F"/>
                <w:lang w:eastAsia="en-PH"/>
              </w:rPr>
              <w:t xml:space="preserve"> </w:t>
            </w:r>
            <w:proofErr w:type="spellStart"/>
            <w:r w:rsidRPr="008A6B6D">
              <w:rPr>
                <w:rFonts w:ascii="Arial" w:hAnsi="Arial" w:cs="Arial"/>
                <w:bCs/>
                <w:color w:val="1F1F1F"/>
                <w:lang w:eastAsia="en-PH"/>
              </w:rPr>
              <w:t>Panlipunan</w:t>
            </w:r>
            <w:proofErr w:type="spellEnd"/>
            <w:r w:rsidRPr="008A6B6D">
              <w:rPr>
                <w:rFonts w:ascii="Arial" w:hAnsi="Arial" w:cs="Arial"/>
                <w:bCs/>
                <w:color w:val="1F1F1F"/>
                <w:lang w:eastAsia="en-PH"/>
              </w:rPr>
              <w:t xml:space="preserve"> (Social Studies)</w:t>
            </w:r>
          </w:p>
        </w:tc>
        <w:tc>
          <w:tcPr>
            <w:tcW w:w="1922" w:type="dxa"/>
            <w:vAlign w:val="center"/>
            <w:hideMark/>
          </w:tcPr>
          <w:p w14:paraId="166C602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8</w:t>
            </w:r>
          </w:p>
        </w:tc>
        <w:tc>
          <w:tcPr>
            <w:tcW w:w="1630" w:type="dxa"/>
            <w:vAlign w:val="center"/>
            <w:hideMark/>
          </w:tcPr>
          <w:p w14:paraId="56B1F4D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9.50</w:t>
            </w:r>
          </w:p>
        </w:tc>
      </w:tr>
      <w:tr w:rsidR="001E51D5" w:rsidRPr="008A6B6D" w14:paraId="4D385273" w14:textId="77777777" w:rsidTr="009A7909">
        <w:tc>
          <w:tcPr>
            <w:tcW w:w="4566" w:type="dxa"/>
            <w:vAlign w:val="center"/>
            <w:hideMark/>
          </w:tcPr>
          <w:p w14:paraId="2655403B"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MAPEH</w:t>
            </w:r>
          </w:p>
        </w:tc>
        <w:tc>
          <w:tcPr>
            <w:tcW w:w="1922" w:type="dxa"/>
            <w:vAlign w:val="center"/>
            <w:hideMark/>
          </w:tcPr>
          <w:p w14:paraId="2F8DE117"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w:t>
            </w:r>
          </w:p>
        </w:tc>
        <w:tc>
          <w:tcPr>
            <w:tcW w:w="1630" w:type="dxa"/>
            <w:vAlign w:val="center"/>
            <w:hideMark/>
          </w:tcPr>
          <w:p w14:paraId="7100F80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3.60</w:t>
            </w:r>
          </w:p>
        </w:tc>
      </w:tr>
      <w:tr w:rsidR="001E51D5" w:rsidRPr="008A6B6D" w14:paraId="6FE0A6EB" w14:textId="77777777" w:rsidTr="009A7909">
        <w:tc>
          <w:tcPr>
            <w:tcW w:w="4566" w:type="dxa"/>
            <w:vAlign w:val="center"/>
            <w:hideMark/>
          </w:tcPr>
          <w:p w14:paraId="04BFF640"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TLE (Technology and Livelihood Education)</w:t>
            </w:r>
          </w:p>
        </w:tc>
        <w:tc>
          <w:tcPr>
            <w:tcW w:w="1922" w:type="dxa"/>
            <w:vAlign w:val="center"/>
            <w:hideMark/>
          </w:tcPr>
          <w:p w14:paraId="53569B0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22</w:t>
            </w:r>
          </w:p>
        </w:tc>
        <w:tc>
          <w:tcPr>
            <w:tcW w:w="1630" w:type="dxa"/>
            <w:vAlign w:val="center"/>
            <w:hideMark/>
          </w:tcPr>
          <w:p w14:paraId="3C85B0E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26.20</w:t>
            </w:r>
          </w:p>
        </w:tc>
      </w:tr>
      <w:tr w:rsidR="001E51D5" w:rsidRPr="008A6B6D" w14:paraId="0B73B00A" w14:textId="77777777" w:rsidTr="009A7909">
        <w:tc>
          <w:tcPr>
            <w:tcW w:w="4566" w:type="dxa"/>
            <w:tcBorders>
              <w:bottom w:val="single" w:sz="4" w:space="0" w:color="auto"/>
            </w:tcBorders>
            <w:vAlign w:val="center"/>
            <w:hideMark/>
          </w:tcPr>
          <w:p w14:paraId="18708221" w14:textId="77777777" w:rsidR="001E51D5" w:rsidRPr="008A6B6D" w:rsidRDefault="001E51D5" w:rsidP="001E51D5">
            <w:pPr>
              <w:rPr>
                <w:rFonts w:ascii="Arial" w:hAnsi="Arial" w:cs="Arial"/>
                <w:bCs/>
                <w:color w:val="1F1F1F"/>
                <w:lang w:eastAsia="en-PH"/>
              </w:rPr>
            </w:pPr>
            <w:proofErr w:type="spellStart"/>
            <w:r w:rsidRPr="008A6B6D">
              <w:rPr>
                <w:rFonts w:ascii="Arial" w:hAnsi="Arial" w:cs="Arial"/>
                <w:bCs/>
                <w:color w:val="1F1F1F"/>
                <w:lang w:eastAsia="en-PH"/>
              </w:rPr>
              <w:t>EsP</w:t>
            </w:r>
            <w:proofErr w:type="spellEnd"/>
            <w:r w:rsidRPr="008A6B6D">
              <w:rPr>
                <w:rFonts w:ascii="Arial" w:hAnsi="Arial" w:cs="Arial"/>
                <w:bCs/>
                <w:color w:val="1F1F1F"/>
                <w:lang w:eastAsia="en-PH"/>
              </w:rPr>
              <w:t xml:space="preserve"> (</w:t>
            </w:r>
            <w:proofErr w:type="spellStart"/>
            <w:r w:rsidRPr="008A6B6D">
              <w:rPr>
                <w:rFonts w:ascii="Arial" w:hAnsi="Arial" w:cs="Arial"/>
                <w:bCs/>
                <w:color w:val="1F1F1F"/>
                <w:lang w:eastAsia="en-PH"/>
              </w:rPr>
              <w:t>Edukasyon</w:t>
            </w:r>
            <w:proofErr w:type="spellEnd"/>
            <w:r w:rsidRPr="008A6B6D">
              <w:rPr>
                <w:rFonts w:ascii="Arial" w:hAnsi="Arial" w:cs="Arial"/>
                <w:bCs/>
                <w:color w:val="1F1F1F"/>
                <w:lang w:eastAsia="en-PH"/>
              </w:rPr>
              <w:t xml:space="preserve"> </w:t>
            </w:r>
            <w:proofErr w:type="spellStart"/>
            <w:r w:rsidRPr="008A6B6D">
              <w:rPr>
                <w:rFonts w:ascii="Arial" w:hAnsi="Arial" w:cs="Arial"/>
                <w:bCs/>
                <w:color w:val="1F1F1F"/>
                <w:lang w:eastAsia="en-PH"/>
              </w:rPr>
              <w:t>sa</w:t>
            </w:r>
            <w:proofErr w:type="spellEnd"/>
            <w:r w:rsidRPr="008A6B6D">
              <w:rPr>
                <w:rFonts w:ascii="Arial" w:hAnsi="Arial" w:cs="Arial"/>
                <w:bCs/>
                <w:color w:val="1F1F1F"/>
                <w:lang w:eastAsia="en-PH"/>
              </w:rPr>
              <w:t xml:space="preserve"> </w:t>
            </w:r>
            <w:proofErr w:type="spellStart"/>
            <w:r w:rsidRPr="008A6B6D">
              <w:rPr>
                <w:rFonts w:ascii="Arial" w:hAnsi="Arial" w:cs="Arial"/>
                <w:bCs/>
                <w:color w:val="1F1F1F"/>
                <w:lang w:eastAsia="en-PH"/>
              </w:rPr>
              <w:t>Pagpapakatao</w:t>
            </w:r>
            <w:proofErr w:type="spellEnd"/>
            <w:r w:rsidRPr="008A6B6D">
              <w:rPr>
                <w:rFonts w:ascii="Arial" w:hAnsi="Arial" w:cs="Arial"/>
                <w:bCs/>
                <w:color w:val="1F1F1F"/>
                <w:lang w:eastAsia="en-PH"/>
              </w:rPr>
              <w:t>)</w:t>
            </w:r>
            <w:r w:rsidR="00E56B0B" w:rsidRPr="008A6B6D">
              <w:rPr>
                <w:rFonts w:ascii="Arial" w:hAnsi="Arial" w:cs="Arial"/>
                <w:bCs/>
                <w:color w:val="1F1F1F"/>
                <w:lang w:eastAsia="en-PH"/>
              </w:rPr>
              <w:t xml:space="preserve"> (Humanization Education)</w:t>
            </w:r>
          </w:p>
        </w:tc>
        <w:tc>
          <w:tcPr>
            <w:tcW w:w="1922" w:type="dxa"/>
            <w:tcBorders>
              <w:bottom w:val="single" w:sz="4" w:space="0" w:color="auto"/>
            </w:tcBorders>
            <w:vAlign w:val="center"/>
            <w:hideMark/>
          </w:tcPr>
          <w:p w14:paraId="2F3CF01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w:t>
            </w:r>
          </w:p>
        </w:tc>
        <w:tc>
          <w:tcPr>
            <w:tcW w:w="1630" w:type="dxa"/>
            <w:tcBorders>
              <w:bottom w:val="single" w:sz="4" w:space="0" w:color="auto"/>
            </w:tcBorders>
            <w:vAlign w:val="center"/>
            <w:hideMark/>
          </w:tcPr>
          <w:p w14:paraId="4FD3CD3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4.80</w:t>
            </w:r>
          </w:p>
        </w:tc>
      </w:tr>
      <w:tr w:rsidR="001E51D5" w:rsidRPr="008A6B6D" w14:paraId="672A0D06" w14:textId="77777777" w:rsidTr="009A7909">
        <w:tc>
          <w:tcPr>
            <w:tcW w:w="4566" w:type="dxa"/>
            <w:tcBorders>
              <w:top w:val="single" w:sz="4" w:space="0" w:color="auto"/>
              <w:bottom w:val="single" w:sz="4" w:space="0" w:color="auto"/>
            </w:tcBorders>
            <w:vAlign w:val="center"/>
            <w:hideMark/>
          </w:tcPr>
          <w:p w14:paraId="70351DF0"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Total</w:t>
            </w:r>
          </w:p>
        </w:tc>
        <w:tc>
          <w:tcPr>
            <w:tcW w:w="1922" w:type="dxa"/>
            <w:tcBorders>
              <w:top w:val="single" w:sz="4" w:space="0" w:color="auto"/>
              <w:bottom w:val="single" w:sz="4" w:space="0" w:color="auto"/>
            </w:tcBorders>
            <w:vAlign w:val="center"/>
            <w:hideMark/>
          </w:tcPr>
          <w:p w14:paraId="40CA63C4"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84</w:t>
            </w:r>
          </w:p>
        </w:tc>
        <w:tc>
          <w:tcPr>
            <w:tcW w:w="1630" w:type="dxa"/>
            <w:tcBorders>
              <w:top w:val="single" w:sz="4" w:space="0" w:color="auto"/>
              <w:bottom w:val="single" w:sz="4" w:space="0" w:color="auto"/>
            </w:tcBorders>
            <w:vAlign w:val="center"/>
            <w:hideMark/>
          </w:tcPr>
          <w:p w14:paraId="2F623F7B"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100.00</w:t>
            </w:r>
          </w:p>
        </w:tc>
      </w:tr>
    </w:tbl>
    <w:p w14:paraId="534299FC" w14:textId="77777777" w:rsidR="00A44D52" w:rsidRPr="008A6B6D" w:rsidRDefault="00A44D52" w:rsidP="00A44D52">
      <w:pPr>
        <w:jc w:val="both"/>
        <w:rPr>
          <w:rFonts w:ascii="Arial" w:hAnsi="Arial" w:cs="Arial"/>
          <w:bCs/>
          <w:color w:val="1F1F1F"/>
          <w:lang w:eastAsia="en-PH"/>
        </w:rPr>
      </w:pPr>
    </w:p>
    <w:p w14:paraId="3D1A4D96"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Table 7 shows the distribution of the 84 teacher-respondents according to their subject area specialisation. The data reveal that the largest group of teachers specialises in Technology and Livelihood Education (TLE), accounting for 22 individuals or 26.20% of the total population. This is followed by English specialists with 16 teachers (19.00%) and Science with 11 teachers (13.10%). Both Mathematics and Filipino share the same frequency of 10 teachers each (11.90%), while Araling Panlipunan comprises 8 teachers (9.50%). The subject areas with the least representation among the respondents are Edukasyon sa Pagpapakatao (EsP) and MAPEH, with 4 (4.80%) and 3 (3.60%) teachers respectively.</w:t>
      </w:r>
    </w:p>
    <w:p w14:paraId="351F42B1" w14:textId="77777777" w:rsidR="00A44D52" w:rsidRPr="008A6B6D" w:rsidRDefault="00A44D52" w:rsidP="00A44D52">
      <w:pPr>
        <w:jc w:val="both"/>
        <w:rPr>
          <w:rFonts w:ascii="Arial" w:hAnsi="Arial" w:cs="Arial"/>
          <w:bCs/>
          <w:color w:val="1F1F1F"/>
          <w:lang w:eastAsia="en-PH"/>
        </w:rPr>
      </w:pPr>
    </w:p>
    <w:p w14:paraId="0B4E59EB"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This implies that the respondent pool is heavily weighted towards technical-vocational and linguistic disciplines, which may significantly influence the "Teacher-Perceived Determinants of Learning Retention" identified in the study. Since the majority of respondents are from </w:t>
      </w:r>
      <w:r w:rsidRPr="008A6B6D">
        <w:rPr>
          <w:rFonts w:ascii="Arial" w:hAnsi="Arial" w:cs="Arial"/>
          <w:bCs/>
          <w:color w:val="1F1F1F"/>
          <w:lang w:eastAsia="en-PH"/>
        </w:rPr>
        <w:lastRenderedPageBreak/>
        <w:t>TLE—a subject that is inherently hands-on and performance-based—the perceived factors for learning retention might lean heavily towards practical application and experiential learning. Furthermore, the diverse spread across core academic subjects like English, Math, and Science ensures that the proposed Learning Retention Enhancement Program will be informed by a broad pedagogical perspective, addressing both the cognitive demands of theoretical subjects and the psychomotor requirements of technical ones. This distribution suggests that the enhancement programme should be versatile enough to cater to various instructional styles, ranging from the repetitive drill-based retention often used in languages to the project-based retention strategies common in TLE.</w:t>
      </w:r>
    </w:p>
    <w:p w14:paraId="57DC4923" w14:textId="77777777" w:rsidR="00A44D52" w:rsidRPr="008A6B6D" w:rsidRDefault="00A44D52" w:rsidP="00A44D52">
      <w:pPr>
        <w:jc w:val="both"/>
        <w:rPr>
          <w:rFonts w:ascii="Arial" w:hAnsi="Arial" w:cs="Arial"/>
          <w:lang w:eastAsia="en-PH"/>
        </w:rPr>
      </w:pPr>
    </w:p>
    <w:p w14:paraId="38EEA978" w14:textId="7829A1AF" w:rsidR="001E51D5" w:rsidRPr="008A6B6D" w:rsidRDefault="001E51D5" w:rsidP="00A44D52">
      <w:pPr>
        <w:jc w:val="both"/>
        <w:rPr>
          <w:rFonts w:ascii="Arial" w:eastAsia="Calibri" w:hAnsi="Arial" w:cs="Arial"/>
          <w:bCs/>
          <w:sz w:val="16"/>
          <w:szCs w:val="16"/>
          <w:shd w:val="clear" w:color="auto" w:fill="FFFFFF"/>
        </w:rPr>
      </w:pPr>
      <w:r w:rsidRPr="008A6B6D">
        <w:rPr>
          <w:rFonts w:ascii="Arial" w:hAnsi="Arial" w:cs="Arial"/>
          <w:lang w:eastAsia="en-PH"/>
        </w:rPr>
        <w:t>This aligns with the study of learning retention determinants in diverse subject areas, highlighting how teacher specialisation shapes retention dynamics and informs targeted interventions in junior high settings. Specifically, a distribution skewed towards technology, language, and science disciplines suggests retention strategies should balance hands-on, performance-based methods with theoretical and drill-based approaches to accommodate varying instructional styles across subjects. The emphasis on TLE as the dominant specialisation implies learning retention programmes may privilege practical application and experiential learning, but must also integrate cognitive and psychomotor considerations present in English, Math, and Science disciplines to ensure broad applicability and effectiveness (Clores &amp; España, 2023; Howley et al., 202</w:t>
      </w:r>
      <w:r w:rsidR="0048448D">
        <w:rPr>
          <w:rFonts w:ascii="Arial" w:hAnsi="Arial" w:cs="Arial"/>
          <w:lang w:eastAsia="en-PH"/>
        </w:rPr>
        <w:t>5</w:t>
      </w:r>
      <w:r w:rsidRPr="008A6B6D">
        <w:rPr>
          <w:rFonts w:ascii="Arial" w:hAnsi="Arial" w:cs="Arial"/>
          <w:lang w:eastAsia="en-PH"/>
        </w:rPr>
        <w:t>; Kurniawan et al., 2022; Suryati et al., 2023).</w:t>
      </w:r>
    </w:p>
    <w:p w14:paraId="36E82DB2" w14:textId="77777777" w:rsidR="001E51D5" w:rsidRPr="008A6B6D" w:rsidRDefault="001E51D5" w:rsidP="001E51D5">
      <w:pPr>
        <w:rPr>
          <w:rFonts w:ascii="Arial" w:eastAsia="Calibri" w:hAnsi="Arial" w:cs="Arial"/>
          <w:bCs/>
          <w:shd w:val="clear" w:color="auto" w:fill="FFFFFF"/>
        </w:rPr>
      </w:pPr>
    </w:p>
    <w:p w14:paraId="042DDBFC" w14:textId="77777777" w:rsidR="001E51D5" w:rsidRPr="008A6B6D" w:rsidRDefault="009A7909" w:rsidP="001E51D5">
      <w:pPr>
        <w:rPr>
          <w:rFonts w:ascii="Arial" w:hAnsi="Arial" w:cs="Arial"/>
          <w:b/>
          <w:lang w:eastAsia="en-PH"/>
        </w:rPr>
      </w:pPr>
      <w:r w:rsidRPr="008A6B6D">
        <w:rPr>
          <w:rFonts w:ascii="Arial" w:hAnsi="Arial" w:cs="Arial"/>
          <w:b/>
          <w:lang w:eastAsia="en-PH"/>
        </w:rPr>
        <w:t>3</w:t>
      </w:r>
      <w:r w:rsidR="001E51D5" w:rsidRPr="008A6B6D">
        <w:rPr>
          <w:rFonts w:ascii="Arial" w:hAnsi="Arial" w:cs="Arial"/>
          <w:b/>
          <w:lang w:eastAsia="en-PH"/>
        </w:rPr>
        <w:t>.2 Level of Teacher-Identified Pedagogical Determinants Affecting Learning Retention</w:t>
      </w:r>
    </w:p>
    <w:p w14:paraId="6E5D0F9C" w14:textId="77777777" w:rsidR="00A44D52" w:rsidRPr="008A6B6D" w:rsidRDefault="00A44D52" w:rsidP="00A44D52">
      <w:pPr>
        <w:rPr>
          <w:rFonts w:ascii="Arial" w:hAnsi="Arial" w:cs="Arial"/>
          <w:b/>
          <w:lang w:eastAsia="en-PH"/>
        </w:rPr>
      </w:pPr>
    </w:p>
    <w:p w14:paraId="032CD54D" w14:textId="77777777" w:rsidR="001E51D5" w:rsidRPr="008A6B6D" w:rsidRDefault="001E51D5" w:rsidP="00A44D52">
      <w:pPr>
        <w:rPr>
          <w:rFonts w:ascii="Arial" w:hAnsi="Arial" w:cs="Arial"/>
          <w:bCs/>
        </w:rPr>
      </w:pPr>
      <w:r w:rsidRPr="008A6B6D">
        <w:rPr>
          <w:rFonts w:ascii="Arial" w:hAnsi="Arial" w:cs="Arial"/>
          <w:bCs/>
        </w:rPr>
        <w:t>This section presents the data and analysis concerning the level of teacher-identified pedagogical determinants affecting learning retention, specifically focusing on active learning strategies, instructional multimedia, formative assessments, and differentiated instruction.</w:t>
      </w:r>
    </w:p>
    <w:p w14:paraId="69FFA7BD" w14:textId="77777777" w:rsidR="001E51D5" w:rsidRPr="008A6B6D" w:rsidRDefault="001E51D5" w:rsidP="001E51D5">
      <w:pPr>
        <w:rPr>
          <w:rFonts w:ascii="Arial" w:hAnsi="Arial" w:cs="Arial"/>
          <w:bCs/>
          <w:sz w:val="16"/>
          <w:szCs w:val="16"/>
        </w:rPr>
      </w:pPr>
    </w:p>
    <w:p w14:paraId="0FD2E36B" w14:textId="77777777" w:rsidR="001E51D5" w:rsidRPr="008A6B6D" w:rsidRDefault="001E51D5" w:rsidP="001E51D5">
      <w:pPr>
        <w:rPr>
          <w:rFonts w:ascii="Arial" w:hAnsi="Arial" w:cs="Arial"/>
          <w:b/>
          <w:lang w:eastAsia="en-PH"/>
        </w:rPr>
      </w:pPr>
      <w:r w:rsidRPr="008A6B6D">
        <w:rPr>
          <w:rFonts w:ascii="Arial" w:hAnsi="Arial" w:cs="Arial"/>
          <w:b/>
          <w:lang w:eastAsia="en-PH"/>
        </w:rPr>
        <w:t>Table 8. Active learning strategies</w:t>
      </w:r>
    </w:p>
    <w:tbl>
      <w:tblPr>
        <w:tblW w:w="8298" w:type="dxa"/>
        <w:tblLayout w:type="fixed"/>
        <w:tblLook w:val="04A0" w:firstRow="1" w:lastRow="0" w:firstColumn="1" w:lastColumn="0" w:noHBand="0" w:noVBand="1"/>
      </w:tblPr>
      <w:tblGrid>
        <w:gridCol w:w="3888"/>
        <w:gridCol w:w="1440"/>
        <w:gridCol w:w="1440"/>
        <w:gridCol w:w="1530"/>
      </w:tblGrid>
      <w:tr w:rsidR="001E51D5" w:rsidRPr="008A6B6D" w14:paraId="3D354AE9" w14:textId="77777777" w:rsidTr="00321E98">
        <w:tc>
          <w:tcPr>
            <w:tcW w:w="3888" w:type="dxa"/>
            <w:tcBorders>
              <w:top w:val="single" w:sz="4" w:space="0" w:color="auto"/>
              <w:bottom w:val="single" w:sz="4" w:space="0" w:color="auto"/>
            </w:tcBorders>
            <w:vAlign w:val="center"/>
            <w:hideMark/>
          </w:tcPr>
          <w:p w14:paraId="286B3D9D"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440" w:type="dxa"/>
            <w:tcBorders>
              <w:top w:val="single" w:sz="4" w:space="0" w:color="auto"/>
              <w:bottom w:val="single" w:sz="4" w:space="0" w:color="auto"/>
            </w:tcBorders>
            <w:vAlign w:val="center"/>
            <w:hideMark/>
          </w:tcPr>
          <w:p w14:paraId="35277D4A"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440" w:type="dxa"/>
            <w:tcBorders>
              <w:top w:val="single" w:sz="4" w:space="0" w:color="auto"/>
              <w:bottom w:val="single" w:sz="4" w:space="0" w:color="auto"/>
            </w:tcBorders>
            <w:vAlign w:val="center"/>
            <w:hideMark/>
          </w:tcPr>
          <w:p w14:paraId="46FE3DC6"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530" w:type="dxa"/>
            <w:tcBorders>
              <w:top w:val="single" w:sz="4" w:space="0" w:color="auto"/>
              <w:bottom w:val="single" w:sz="4" w:space="0" w:color="auto"/>
            </w:tcBorders>
            <w:vAlign w:val="center"/>
            <w:hideMark/>
          </w:tcPr>
          <w:p w14:paraId="2294B01F"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4A26AC44" w14:textId="77777777" w:rsidTr="00321E98">
        <w:tc>
          <w:tcPr>
            <w:tcW w:w="3888" w:type="dxa"/>
            <w:tcBorders>
              <w:top w:val="single" w:sz="4" w:space="0" w:color="auto"/>
            </w:tcBorders>
            <w:vAlign w:val="center"/>
            <w:hideMark/>
          </w:tcPr>
          <w:p w14:paraId="4087A895"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engage students in peer-to-peer discussions to reinforce new concepts.</w:t>
            </w:r>
          </w:p>
        </w:tc>
        <w:tc>
          <w:tcPr>
            <w:tcW w:w="1440" w:type="dxa"/>
            <w:tcBorders>
              <w:top w:val="single" w:sz="4" w:space="0" w:color="auto"/>
            </w:tcBorders>
            <w:vAlign w:val="center"/>
            <w:hideMark/>
          </w:tcPr>
          <w:p w14:paraId="2F5B311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4.08</w:t>
            </w:r>
          </w:p>
        </w:tc>
        <w:tc>
          <w:tcPr>
            <w:tcW w:w="1440" w:type="dxa"/>
            <w:tcBorders>
              <w:top w:val="single" w:sz="4" w:space="0" w:color="auto"/>
            </w:tcBorders>
            <w:vAlign w:val="center"/>
            <w:hideMark/>
          </w:tcPr>
          <w:p w14:paraId="5877652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0.93</w:t>
            </w:r>
          </w:p>
        </w:tc>
        <w:tc>
          <w:tcPr>
            <w:tcW w:w="1530" w:type="dxa"/>
            <w:tcBorders>
              <w:top w:val="single" w:sz="4" w:space="0" w:color="auto"/>
            </w:tcBorders>
            <w:vAlign w:val="center"/>
            <w:hideMark/>
          </w:tcPr>
          <w:p w14:paraId="777121B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4E3653C6" w14:textId="77777777" w:rsidTr="00321E98">
        <w:tc>
          <w:tcPr>
            <w:tcW w:w="3888" w:type="dxa"/>
            <w:vAlign w:val="center"/>
            <w:hideMark/>
          </w:tcPr>
          <w:p w14:paraId="48AB7742"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use hands-on activities or simulations to make abstract lessons more concrete.</w:t>
            </w:r>
          </w:p>
        </w:tc>
        <w:tc>
          <w:tcPr>
            <w:tcW w:w="1440" w:type="dxa"/>
            <w:vAlign w:val="center"/>
            <w:hideMark/>
          </w:tcPr>
          <w:p w14:paraId="750AEE8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4.20</w:t>
            </w:r>
          </w:p>
        </w:tc>
        <w:tc>
          <w:tcPr>
            <w:tcW w:w="1440" w:type="dxa"/>
            <w:vAlign w:val="center"/>
            <w:hideMark/>
          </w:tcPr>
          <w:p w14:paraId="3F6E6D5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0.79</w:t>
            </w:r>
          </w:p>
        </w:tc>
        <w:tc>
          <w:tcPr>
            <w:tcW w:w="1530" w:type="dxa"/>
            <w:vAlign w:val="center"/>
            <w:hideMark/>
          </w:tcPr>
          <w:p w14:paraId="0A648B07"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Always</w:t>
            </w:r>
          </w:p>
        </w:tc>
      </w:tr>
      <w:tr w:rsidR="001E51D5" w:rsidRPr="008A6B6D" w14:paraId="0CE85DB9" w14:textId="77777777" w:rsidTr="00321E98">
        <w:tc>
          <w:tcPr>
            <w:tcW w:w="3888" w:type="dxa"/>
            <w:vAlign w:val="center"/>
            <w:hideMark/>
          </w:tcPr>
          <w:p w14:paraId="1538B0AB"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require students to solve real-world problems related to the lesson.</w:t>
            </w:r>
          </w:p>
        </w:tc>
        <w:tc>
          <w:tcPr>
            <w:tcW w:w="1440" w:type="dxa"/>
            <w:vAlign w:val="center"/>
            <w:hideMark/>
          </w:tcPr>
          <w:p w14:paraId="3ADE4C84"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4.30</w:t>
            </w:r>
          </w:p>
        </w:tc>
        <w:tc>
          <w:tcPr>
            <w:tcW w:w="1440" w:type="dxa"/>
            <w:vAlign w:val="center"/>
            <w:hideMark/>
          </w:tcPr>
          <w:p w14:paraId="7D2A26D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0.89</w:t>
            </w:r>
          </w:p>
        </w:tc>
        <w:tc>
          <w:tcPr>
            <w:tcW w:w="1530" w:type="dxa"/>
            <w:vAlign w:val="center"/>
            <w:hideMark/>
          </w:tcPr>
          <w:p w14:paraId="5521CDF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Always</w:t>
            </w:r>
          </w:p>
        </w:tc>
      </w:tr>
      <w:tr w:rsidR="001E51D5" w:rsidRPr="008A6B6D" w14:paraId="573C3196" w14:textId="77777777" w:rsidTr="00321E98">
        <w:tc>
          <w:tcPr>
            <w:tcW w:w="3888" w:type="dxa"/>
            <w:vAlign w:val="center"/>
            <w:hideMark/>
          </w:tcPr>
          <w:p w14:paraId="49602A85"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incorporate "think-pair-share" activities to encourage individual processing.</w:t>
            </w:r>
          </w:p>
        </w:tc>
        <w:tc>
          <w:tcPr>
            <w:tcW w:w="1440" w:type="dxa"/>
            <w:vAlign w:val="center"/>
            <w:hideMark/>
          </w:tcPr>
          <w:p w14:paraId="094BFF8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4.05</w:t>
            </w:r>
          </w:p>
        </w:tc>
        <w:tc>
          <w:tcPr>
            <w:tcW w:w="1440" w:type="dxa"/>
            <w:vAlign w:val="center"/>
            <w:hideMark/>
          </w:tcPr>
          <w:p w14:paraId="4396449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0.86</w:t>
            </w:r>
          </w:p>
        </w:tc>
        <w:tc>
          <w:tcPr>
            <w:tcW w:w="1530" w:type="dxa"/>
            <w:vAlign w:val="center"/>
            <w:hideMark/>
          </w:tcPr>
          <w:p w14:paraId="76D151C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59111F07" w14:textId="77777777" w:rsidTr="00321E98">
        <w:tc>
          <w:tcPr>
            <w:tcW w:w="3888" w:type="dxa"/>
            <w:tcBorders>
              <w:bottom w:val="single" w:sz="4" w:space="0" w:color="auto"/>
            </w:tcBorders>
            <w:vAlign w:val="center"/>
            <w:hideMark/>
          </w:tcPr>
          <w:p w14:paraId="3B473B1B"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facilitate role-playing or debates to deepen student engagement with the topic.</w:t>
            </w:r>
          </w:p>
        </w:tc>
        <w:tc>
          <w:tcPr>
            <w:tcW w:w="1440" w:type="dxa"/>
            <w:tcBorders>
              <w:bottom w:val="single" w:sz="4" w:space="0" w:color="auto"/>
            </w:tcBorders>
            <w:vAlign w:val="center"/>
            <w:hideMark/>
          </w:tcPr>
          <w:p w14:paraId="36B35F10"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3.95</w:t>
            </w:r>
          </w:p>
        </w:tc>
        <w:tc>
          <w:tcPr>
            <w:tcW w:w="1440" w:type="dxa"/>
            <w:tcBorders>
              <w:bottom w:val="single" w:sz="4" w:space="0" w:color="auto"/>
            </w:tcBorders>
            <w:vAlign w:val="center"/>
            <w:hideMark/>
          </w:tcPr>
          <w:p w14:paraId="1A52C40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1.00</w:t>
            </w:r>
          </w:p>
        </w:tc>
        <w:tc>
          <w:tcPr>
            <w:tcW w:w="1530" w:type="dxa"/>
            <w:tcBorders>
              <w:bottom w:val="single" w:sz="4" w:space="0" w:color="auto"/>
            </w:tcBorders>
            <w:vAlign w:val="center"/>
            <w:hideMark/>
          </w:tcPr>
          <w:p w14:paraId="7436100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6EBFEA33" w14:textId="77777777" w:rsidTr="00321E98">
        <w:tc>
          <w:tcPr>
            <w:tcW w:w="3888" w:type="dxa"/>
            <w:tcBorders>
              <w:top w:val="single" w:sz="4" w:space="0" w:color="auto"/>
              <w:bottom w:val="single" w:sz="4" w:space="0" w:color="auto"/>
            </w:tcBorders>
            <w:vAlign w:val="center"/>
            <w:hideMark/>
          </w:tcPr>
          <w:p w14:paraId="00E02497"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440" w:type="dxa"/>
            <w:tcBorders>
              <w:top w:val="single" w:sz="4" w:space="0" w:color="auto"/>
              <w:bottom w:val="single" w:sz="4" w:space="0" w:color="auto"/>
            </w:tcBorders>
            <w:vAlign w:val="center"/>
            <w:hideMark/>
          </w:tcPr>
          <w:p w14:paraId="31E86E8D"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4.12</w:t>
            </w:r>
          </w:p>
        </w:tc>
        <w:tc>
          <w:tcPr>
            <w:tcW w:w="1440" w:type="dxa"/>
            <w:tcBorders>
              <w:top w:val="single" w:sz="4" w:space="0" w:color="auto"/>
              <w:bottom w:val="single" w:sz="4" w:space="0" w:color="auto"/>
            </w:tcBorders>
            <w:vAlign w:val="center"/>
            <w:hideMark/>
          </w:tcPr>
          <w:p w14:paraId="3CE5EBD2" w14:textId="77777777" w:rsidR="001E51D5" w:rsidRPr="008A6B6D" w:rsidRDefault="001E51D5" w:rsidP="001E51D5">
            <w:pPr>
              <w:jc w:val="center"/>
              <w:rPr>
                <w:rFonts w:ascii="Arial" w:hAnsi="Arial" w:cs="Arial"/>
                <w:b/>
                <w:color w:val="1F1F1F"/>
                <w:lang w:eastAsia="en-PH"/>
              </w:rPr>
            </w:pPr>
          </w:p>
        </w:tc>
        <w:tc>
          <w:tcPr>
            <w:tcW w:w="1530" w:type="dxa"/>
            <w:tcBorders>
              <w:top w:val="single" w:sz="4" w:space="0" w:color="auto"/>
              <w:bottom w:val="single" w:sz="4" w:space="0" w:color="auto"/>
            </w:tcBorders>
            <w:vAlign w:val="center"/>
            <w:hideMark/>
          </w:tcPr>
          <w:p w14:paraId="5B94990A"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Often</w:t>
            </w:r>
          </w:p>
        </w:tc>
      </w:tr>
    </w:tbl>
    <w:p w14:paraId="53889100" w14:textId="77777777" w:rsidR="00A44D52" w:rsidRPr="008A6B6D" w:rsidRDefault="00A44D52" w:rsidP="00A44D52">
      <w:pPr>
        <w:jc w:val="both"/>
        <w:rPr>
          <w:rFonts w:ascii="Arial" w:hAnsi="Arial" w:cs="Arial"/>
          <w:bCs/>
          <w:lang w:eastAsia="en-PH"/>
        </w:rPr>
      </w:pPr>
    </w:p>
    <w:p w14:paraId="392F8B30"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Table 8 shows the teacher-respondents' use of active learning strategies, yielding an overall weighted mean of 4.12, which is verbally interpreted as Often. The data reveal that the highest-rated strategy is requiring students to solve real-world problems related to the lesson, with a weighted mean of 4.30 (Always), followed closely by the use of hands-on activities or simulations at 4.20 (Always). Engaging students in peer-to-peer discussions and using "think-pair-share" activities also received high marks, with means of 4.08 and 4.05 (Often), respectively. The strategy with the lowest weighted mean, though still frequently practised, is the facilitation of role-playing or debates at 3.95 (Often). These results indicate a consistent </w:t>
      </w:r>
      <w:r w:rsidRPr="008A6B6D">
        <w:rPr>
          <w:rFonts w:ascii="Arial" w:hAnsi="Arial" w:cs="Arial"/>
          <w:bCs/>
          <w:color w:val="1F1F1F"/>
          <w:lang w:eastAsia="en-PH"/>
        </w:rPr>
        <w:lastRenderedPageBreak/>
        <w:t>effort among educators to move beyond traditional lecture-based instruction towards more interactive classroom environments.</w:t>
      </w:r>
    </w:p>
    <w:p w14:paraId="6FFB7046" w14:textId="77777777" w:rsidR="00A44D52" w:rsidRPr="008A6B6D" w:rsidRDefault="00A44D52" w:rsidP="00A44D52">
      <w:pPr>
        <w:jc w:val="both"/>
        <w:rPr>
          <w:rFonts w:ascii="Arial" w:hAnsi="Arial" w:cs="Arial"/>
          <w:bCs/>
          <w:color w:val="1F1F1F"/>
          <w:lang w:eastAsia="en-PH"/>
        </w:rPr>
      </w:pPr>
    </w:p>
    <w:p w14:paraId="1C0F2458"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This implies that teachers recognise the critical role of student agency and practical application in fostering long-term knowledge retention. The high scores in real-world problem solving and hands-on simulations suggest that educators believe students are more likely to retain information when they can connect abstract concepts to tangible, everyday contexts. This preference for "learning by doing" aligns with the high concentration of TLE and Science specialists in the faculty, who naturally lean towards kinaesthetic and inquiry-based methods. However, the slightly lower mean for role-playing and debates suggests a potential opportunity for the Learning Retention Enhancement Program to provide more training in social-constructivist strategies. Overall, the findings suggest a solid foundation for the enhancement program, as the current teaching force is already predisposed to active learning techniques that actively combat the "forgetting curve" through cognitive engagement and social interaction.</w:t>
      </w:r>
    </w:p>
    <w:p w14:paraId="0BF201A3" w14:textId="77777777" w:rsidR="00A44D52" w:rsidRPr="008A6B6D" w:rsidRDefault="00A44D52" w:rsidP="00A44D52">
      <w:pPr>
        <w:jc w:val="both"/>
        <w:rPr>
          <w:rFonts w:ascii="Arial" w:hAnsi="Arial" w:cs="Arial"/>
          <w:lang w:eastAsia="en-PH"/>
        </w:rPr>
      </w:pPr>
    </w:p>
    <w:p w14:paraId="5E35907F" w14:textId="77777777" w:rsidR="001E51D5" w:rsidRPr="008A6B6D" w:rsidRDefault="001E51D5" w:rsidP="00A44D52">
      <w:pPr>
        <w:jc w:val="both"/>
        <w:rPr>
          <w:rFonts w:ascii="Arial" w:hAnsi="Arial" w:cs="Arial"/>
          <w:b/>
          <w:lang w:eastAsia="en-PH"/>
        </w:rPr>
      </w:pPr>
      <w:r w:rsidRPr="008A6B6D">
        <w:rPr>
          <w:rFonts w:ascii="Arial" w:hAnsi="Arial" w:cs="Arial"/>
          <w:lang w:eastAsia="en-PH"/>
        </w:rPr>
        <w:t>This aligns with the study of active learning strategies in higher education that emphasise real-world problem solving and hands-on engagement to enhance retention and understanding. These sources collectively corroborate that “learning by doing” and authentic tasks improve long-term knowledge retention and student engagement in Kinesthetic and inquiry-based instructional contexts (Barotas &amp; Daza, 2025; Dorimana et al., 2022; Kwarteng, 2025; Naidoo &amp; Mabaso, 2023).</w:t>
      </w:r>
    </w:p>
    <w:p w14:paraId="47F54083" w14:textId="77777777" w:rsidR="001E51D5" w:rsidRPr="008A6B6D" w:rsidRDefault="001E51D5" w:rsidP="001E51D5">
      <w:pPr>
        <w:rPr>
          <w:rFonts w:ascii="Arial" w:hAnsi="Arial" w:cs="Arial"/>
          <w:b/>
          <w:sz w:val="24"/>
          <w:szCs w:val="24"/>
          <w:lang w:eastAsia="en-PH"/>
        </w:rPr>
      </w:pPr>
    </w:p>
    <w:p w14:paraId="26B8BC68" w14:textId="77777777" w:rsidR="00321E98" w:rsidRPr="008A6B6D" w:rsidRDefault="00321E98" w:rsidP="001E51D5">
      <w:pPr>
        <w:rPr>
          <w:rFonts w:ascii="Arial" w:hAnsi="Arial" w:cs="Arial"/>
          <w:b/>
          <w:sz w:val="24"/>
          <w:szCs w:val="24"/>
          <w:lang w:eastAsia="en-PH"/>
        </w:rPr>
      </w:pPr>
    </w:p>
    <w:p w14:paraId="18209AF4" w14:textId="77777777" w:rsidR="001E51D5" w:rsidRPr="008A6B6D" w:rsidRDefault="001E51D5" w:rsidP="001E51D5">
      <w:pPr>
        <w:rPr>
          <w:rFonts w:ascii="Arial" w:hAnsi="Arial" w:cs="Arial"/>
          <w:lang w:eastAsia="en-PH"/>
        </w:rPr>
      </w:pPr>
      <w:r w:rsidRPr="008A6B6D">
        <w:rPr>
          <w:rFonts w:ascii="Arial" w:hAnsi="Arial" w:cs="Arial"/>
          <w:b/>
          <w:lang w:eastAsia="en-PH"/>
        </w:rPr>
        <w:t>Table 9. Use of instructional multimedia</w:t>
      </w:r>
    </w:p>
    <w:tbl>
      <w:tblPr>
        <w:tblW w:w="0" w:type="auto"/>
        <w:tblLook w:val="04A0" w:firstRow="1" w:lastRow="0" w:firstColumn="1" w:lastColumn="0" w:noHBand="0" w:noVBand="1"/>
      </w:tblPr>
      <w:tblGrid>
        <w:gridCol w:w="4187"/>
        <w:gridCol w:w="1340"/>
        <w:gridCol w:w="1154"/>
        <w:gridCol w:w="1527"/>
      </w:tblGrid>
      <w:tr w:rsidR="001E51D5" w:rsidRPr="008A6B6D" w14:paraId="545A77FF" w14:textId="77777777" w:rsidTr="00321E98">
        <w:tc>
          <w:tcPr>
            <w:tcW w:w="4384" w:type="dxa"/>
            <w:tcBorders>
              <w:top w:val="single" w:sz="4" w:space="0" w:color="auto"/>
              <w:bottom w:val="single" w:sz="4" w:space="0" w:color="auto"/>
            </w:tcBorders>
            <w:vAlign w:val="center"/>
            <w:hideMark/>
          </w:tcPr>
          <w:p w14:paraId="35E54CD2"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355" w:type="dxa"/>
            <w:tcBorders>
              <w:top w:val="single" w:sz="4" w:space="0" w:color="auto"/>
              <w:bottom w:val="single" w:sz="4" w:space="0" w:color="auto"/>
            </w:tcBorders>
            <w:vAlign w:val="center"/>
            <w:hideMark/>
          </w:tcPr>
          <w:p w14:paraId="38C0E763"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156" w:type="dxa"/>
            <w:tcBorders>
              <w:top w:val="single" w:sz="4" w:space="0" w:color="auto"/>
              <w:bottom w:val="single" w:sz="4" w:space="0" w:color="auto"/>
            </w:tcBorders>
            <w:vAlign w:val="center"/>
            <w:hideMark/>
          </w:tcPr>
          <w:p w14:paraId="5B79854C"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529" w:type="dxa"/>
            <w:tcBorders>
              <w:top w:val="single" w:sz="4" w:space="0" w:color="auto"/>
              <w:bottom w:val="single" w:sz="4" w:space="0" w:color="auto"/>
            </w:tcBorders>
            <w:vAlign w:val="center"/>
            <w:hideMark/>
          </w:tcPr>
          <w:p w14:paraId="5FFBA79F"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201C9560" w14:textId="77777777" w:rsidTr="00321E98">
        <w:tc>
          <w:tcPr>
            <w:tcW w:w="4384" w:type="dxa"/>
            <w:tcBorders>
              <w:top w:val="single" w:sz="4" w:space="0" w:color="auto"/>
            </w:tcBorders>
            <w:vAlign w:val="center"/>
            <w:hideMark/>
          </w:tcPr>
          <w:p w14:paraId="2DBA476E"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use educational videos to provide visual context for complex lessons.</w:t>
            </w:r>
          </w:p>
        </w:tc>
        <w:tc>
          <w:tcPr>
            <w:tcW w:w="1355" w:type="dxa"/>
            <w:tcBorders>
              <w:top w:val="single" w:sz="4" w:space="0" w:color="auto"/>
            </w:tcBorders>
            <w:vAlign w:val="center"/>
            <w:hideMark/>
          </w:tcPr>
          <w:p w14:paraId="5E531FF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4.08</w:t>
            </w:r>
          </w:p>
        </w:tc>
        <w:tc>
          <w:tcPr>
            <w:tcW w:w="1156" w:type="dxa"/>
            <w:tcBorders>
              <w:top w:val="single" w:sz="4" w:space="0" w:color="auto"/>
            </w:tcBorders>
            <w:vAlign w:val="center"/>
            <w:hideMark/>
          </w:tcPr>
          <w:p w14:paraId="35FE8B9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1.08</w:t>
            </w:r>
          </w:p>
        </w:tc>
        <w:tc>
          <w:tcPr>
            <w:tcW w:w="1529" w:type="dxa"/>
            <w:tcBorders>
              <w:top w:val="single" w:sz="4" w:space="0" w:color="auto"/>
            </w:tcBorders>
            <w:vAlign w:val="center"/>
            <w:hideMark/>
          </w:tcPr>
          <w:p w14:paraId="013D1A0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4C8A04A2" w14:textId="77777777" w:rsidTr="00321E98">
        <w:tc>
          <w:tcPr>
            <w:tcW w:w="4384" w:type="dxa"/>
            <w:vAlign w:val="center"/>
            <w:hideMark/>
          </w:tcPr>
          <w:p w14:paraId="039B5002"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utilize interactive slideshows (e.g., PowerPoint, Canva) to present key points.</w:t>
            </w:r>
          </w:p>
        </w:tc>
        <w:tc>
          <w:tcPr>
            <w:tcW w:w="1355" w:type="dxa"/>
            <w:vAlign w:val="center"/>
            <w:hideMark/>
          </w:tcPr>
          <w:p w14:paraId="78590A5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4.23</w:t>
            </w:r>
          </w:p>
        </w:tc>
        <w:tc>
          <w:tcPr>
            <w:tcW w:w="1156" w:type="dxa"/>
            <w:vAlign w:val="center"/>
            <w:hideMark/>
          </w:tcPr>
          <w:p w14:paraId="0AEDC6B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1.07</w:t>
            </w:r>
          </w:p>
        </w:tc>
        <w:tc>
          <w:tcPr>
            <w:tcW w:w="1529" w:type="dxa"/>
            <w:vAlign w:val="center"/>
            <w:hideMark/>
          </w:tcPr>
          <w:p w14:paraId="5EED315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Always</w:t>
            </w:r>
          </w:p>
        </w:tc>
      </w:tr>
      <w:tr w:rsidR="001E51D5" w:rsidRPr="008A6B6D" w14:paraId="76DE9DF1" w14:textId="77777777" w:rsidTr="00321E98">
        <w:tc>
          <w:tcPr>
            <w:tcW w:w="4384" w:type="dxa"/>
            <w:vAlign w:val="center"/>
            <w:hideMark/>
          </w:tcPr>
          <w:p w14:paraId="65E09FA1"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 xml:space="preserve"> I integrate digital games or quizzes (e.g., Kahoot, Quizizz) for lesson review.</w:t>
            </w:r>
          </w:p>
        </w:tc>
        <w:tc>
          <w:tcPr>
            <w:tcW w:w="1355" w:type="dxa"/>
            <w:vAlign w:val="center"/>
            <w:hideMark/>
          </w:tcPr>
          <w:p w14:paraId="7558C917"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3.21</w:t>
            </w:r>
          </w:p>
        </w:tc>
        <w:tc>
          <w:tcPr>
            <w:tcW w:w="1156" w:type="dxa"/>
            <w:vAlign w:val="center"/>
            <w:hideMark/>
          </w:tcPr>
          <w:p w14:paraId="6A275CE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1.09</w:t>
            </w:r>
          </w:p>
        </w:tc>
        <w:tc>
          <w:tcPr>
            <w:tcW w:w="1529" w:type="dxa"/>
            <w:vAlign w:val="center"/>
            <w:hideMark/>
          </w:tcPr>
          <w:p w14:paraId="032328BD"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Sometimes</w:t>
            </w:r>
          </w:p>
        </w:tc>
      </w:tr>
      <w:tr w:rsidR="001E51D5" w:rsidRPr="008A6B6D" w14:paraId="795E92E9" w14:textId="77777777" w:rsidTr="00321E98">
        <w:tc>
          <w:tcPr>
            <w:tcW w:w="4384" w:type="dxa"/>
            <w:vAlign w:val="center"/>
            <w:hideMark/>
          </w:tcPr>
          <w:p w14:paraId="555E2B1A"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use infographics or diagrams to help students visualize information hierarchies.</w:t>
            </w:r>
          </w:p>
        </w:tc>
        <w:tc>
          <w:tcPr>
            <w:tcW w:w="1355" w:type="dxa"/>
            <w:vAlign w:val="center"/>
            <w:hideMark/>
          </w:tcPr>
          <w:p w14:paraId="18A85B4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3.77</w:t>
            </w:r>
          </w:p>
        </w:tc>
        <w:tc>
          <w:tcPr>
            <w:tcW w:w="1156" w:type="dxa"/>
            <w:vAlign w:val="center"/>
            <w:hideMark/>
          </w:tcPr>
          <w:p w14:paraId="0DC2ED5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0.96</w:t>
            </w:r>
          </w:p>
        </w:tc>
        <w:tc>
          <w:tcPr>
            <w:tcW w:w="1529" w:type="dxa"/>
            <w:vAlign w:val="center"/>
            <w:hideMark/>
          </w:tcPr>
          <w:p w14:paraId="0A18ED9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52A510A0" w14:textId="77777777" w:rsidTr="00321E98">
        <w:tc>
          <w:tcPr>
            <w:tcW w:w="4384" w:type="dxa"/>
            <w:tcBorders>
              <w:bottom w:val="single" w:sz="4" w:space="0" w:color="auto"/>
            </w:tcBorders>
            <w:vAlign w:val="center"/>
            <w:hideMark/>
          </w:tcPr>
          <w:p w14:paraId="3C370089"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provide digital resources (links, e-books) that students can revisit after class.</w:t>
            </w:r>
          </w:p>
        </w:tc>
        <w:tc>
          <w:tcPr>
            <w:tcW w:w="1355" w:type="dxa"/>
            <w:tcBorders>
              <w:bottom w:val="single" w:sz="4" w:space="0" w:color="auto"/>
            </w:tcBorders>
            <w:vAlign w:val="center"/>
            <w:hideMark/>
          </w:tcPr>
          <w:p w14:paraId="251C666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3.65</w:t>
            </w:r>
          </w:p>
        </w:tc>
        <w:tc>
          <w:tcPr>
            <w:tcW w:w="1156" w:type="dxa"/>
            <w:tcBorders>
              <w:bottom w:val="single" w:sz="4" w:space="0" w:color="auto"/>
            </w:tcBorders>
            <w:vAlign w:val="center"/>
            <w:hideMark/>
          </w:tcPr>
          <w:p w14:paraId="4D91671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1.00</w:t>
            </w:r>
          </w:p>
        </w:tc>
        <w:tc>
          <w:tcPr>
            <w:tcW w:w="1529" w:type="dxa"/>
            <w:tcBorders>
              <w:bottom w:val="single" w:sz="4" w:space="0" w:color="auto"/>
            </w:tcBorders>
            <w:vAlign w:val="center"/>
            <w:hideMark/>
          </w:tcPr>
          <w:p w14:paraId="5E2BD55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21B53A99" w14:textId="77777777" w:rsidTr="00321E98">
        <w:tc>
          <w:tcPr>
            <w:tcW w:w="4384" w:type="dxa"/>
            <w:tcBorders>
              <w:top w:val="single" w:sz="4" w:space="0" w:color="auto"/>
              <w:bottom w:val="single" w:sz="4" w:space="0" w:color="auto"/>
            </w:tcBorders>
            <w:vAlign w:val="center"/>
            <w:hideMark/>
          </w:tcPr>
          <w:p w14:paraId="217B9AAD"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355" w:type="dxa"/>
            <w:tcBorders>
              <w:top w:val="single" w:sz="4" w:space="0" w:color="auto"/>
              <w:bottom w:val="single" w:sz="4" w:space="0" w:color="auto"/>
            </w:tcBorders>
            <w:vAlign w:val="center"/>
            <w:hideMark/>
          </w:tcPr>
          <w:p w14:paraId="1DE99C71"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3.79</w:t>
            </w:r>
          </w:p>
        </w:tc>
        <w:tc>
          <w:tcPr>
            <w:tcW w:w="1156" w:type="dxa"/>
            <w:tcBorders>
              <w:top w:val="single" w:sz="4" w:space="0" w:color="auto"/>
              <w:bottom w:val="single" w:sz="4" w:space="0" w:color="auto"/>
            </w:tcBorders>
            <w:vAlign w:val="center"/>
            <w:hideMark/>
          </w:tcPr>
          <w:p w14:paraId="26235A5E" w14:textId="77777777" w:rsidR="001E51D5" w:rsidRPr="008A6B6D" w:rsidRDefault="001E51D5" w:rsidP="001E51D5">
            <w:pPr>
              <w:jc w:val="center"/>
              <w:rPr>
                <w:rFonts w:ascii="Arial" w:hAnsi="Arial" w:cs="Arial"/>
                <w:b/>
                <w:color w:val="1F1F1F"/>
                <w:lang w:eastAsia="en-PH"/>
              </w:rPr>
            </w:pPr>
          </w:p>
        </w:tc>
        <w:tc>
          <w:tcPr>
            <w:tcW w:w="1529" w:type="dxa"/>
            <w:tcBorders>
              <w:top w:val="single" w:sz="4" w:space="0" w:color="auto"/>
              <w:bottom w:val="single" w:sz="4" w:space="0" w:color="auto"/>
            </w:tcBorders>
            <w:vAlign w:val="center"/>
            <w:hideMark/>
          </w:tcPr>
          <w:p w14:paraId="354E8E48"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Often</w:t>
            </w:r>
          </w:p>
        </w:tc>
      </w:tr>
    </w:tbl>
    <w:p w14:paraId="4095BC46" w14:textId="77777777" w:rsidR="00A44D52" w:rsidRPr="008A6B6D" w:rsidRDefault="00A44D52" w:rsidP="00A44D52">
      <w:pPr>
        <w:jc w:val="both"/>
        <w:rPr>
          <w:rFonts w:ascii="Arial" w:hAnsi="Arial" w:cs="Arial"/>
          <w:bCs/>
          <w:color w:val="1F1F1F"/>
          <w:lang w:eastAsia="en-PH"/>
        </w:rPr>
      </w:pPr>
    </w:p>
    <w:p w14:paraId="4B64A837"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Table 9 shows the extent to which teacher-respondents use instructional multimedia in their teaching practices. The data indicate an overall weighted mean of 3.79, which translates to a verbal interpretation of "Often." Among the specific indicators, the highest mean score of 4.23 corresponds to the use of interactive slideshows (e.g., PowerPoint, Canva) to present key points, interpreted as "Always." This is followed by the use of educational videos for visual context (4.08) and infographics or diagrams (3.77), both of which are practised "Often." Conversely, the integration of digital games or quizzes (e.g., Kahoot, Quizizz) recorded the lowest mean score of 3.21, indicating that these interactive assessment tools are only used "Sometimes" by the respondents.</w:t>
      </w:r>
    </w:p>
    <w:p w14:paraId="6F961733" w14:textId="77777777" w:rsidR="00A44D52" w:rsidRPr="008A6B6D" w:rsidRDefault="00A44D52" w:rsidP="00A44D52">
      <w:pPr>
        <w:jc w:val="both"/>
        <w:rPr>
          <w:rFonts w:ascii="Arial" w:hAnsi="Arial" w:cs="Arial"/>
          <w:bCs/>
          <w:color w:val="1F1F1F"/>
          <w:lang w:eastAsia="en-PH"/>
        </w:rPr>
      </w:pPr>
    </w:p>
    <w:p w14:paraId="6C04FBD5"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This implies that teachers recognise the value of visual and structured digital presentations in enhancing student engagement, yet they may still be facing barriers in fully adopting gamified or highly interactive digital assessments. The frequent use of slideshows and videos suggests that the Learning Retention Enhancement Program should leverage these existing habits by </w:t>
      </w:r>
      <w:r w:rsidRPr="008A6B6D">
        <w:rPr>
          <w:rFonts w:ascii="Arial" w:hAnsi="Arial" w:cs="Arial"/>
          <w:bCs/>
          <w:color w:val="1F1F1F"/>
          <w:lang w:eastAsia="en-PH"/>
        </w:rPr>
        <w:lastRenderedPageBreak/>
        <w:t>providing high-quality, pre-made visual templates and curated video libraries that specifically target long-term memory. Furthermore, the lower frequency of digital game integration suggests a potential area for professional development; since active recall and "spaced repetition"—often found in digital quizzes—are scientifically proven to boost retention, the programme should emphasise training on tools like Kahoot or Quizizz. By moving from passive multimedia consumption to active digital interaction, teachers can better address the "Teacher-Perceived Determinants" of retention through more dynamic and memorable classroom experiences.</w:t>
      </w:r>
    </w:p>
    <w:p w14:paraId="163E0168" w14:textId="77777777" w:rsidR="00A44D52" w:rsidRPr="008A6B6D" w:rsidRDefault="00A44D52" w:rsidP="00A44D52">
      <w:pPr>
        <w:jc w:val="both"/>
        <w:rPr>
          <w:rFonts w:ascii="Arial" w:hAnsi="Arial" w:cs="Arial"/>
          <w:lang w:eastAsia="en-PH"/>
        </w:rPr>
      </w:pPr>
    </w:p>
    <w:p w14:paraId="63C8C354" w14:textId="77777777" w:rsidR="001E51D5" w:rsidRPr="008A6B6D" w:rsidRDefault="001E51D5" w:rsidP="00A44D52">
      <w:pPr>
        <w:jc w:val="both"/>
        <w:rPr>
          <w:rFonts w:ascii="Arial" w:hAnsi="Arial" w:cs="Arial"/>
          <w:lang w:eastAsia="en-PH"/>
        </w:rPr>
      </w:pPr>
      <w:r w:rsidRPr="008A6B6D">
        <w:rPr>
          <w:rFonts w:ascii="Arial" w:hAnsi="Arial" w:cs="Arial"/>
          <w:lang w:eastAsia="en-PH"/>
        </w:rPr>
        <w:t>This aligns with the study of instructional multimedia use in junior high classrooms, where teachers favour visual and structured digital presentations (e.g., interactive slideshows and videos) to support learning retention, while gamified assessments remain less adopted, highlighting a gap for professional development in interactive tools like Kahoot or Quizizz. The reported weighted means—interactive slides (4.23), videos (4.08), and infographics (3.77)—support a trend towards visual context and organised content as drivers of engagement and memory retention, consistent with literature emphasizing multimedia in memory enhancement and spaced retrieval opportunities. However, the lower use of digital games (3.21) suggests room for expanding active recall strategies within teacher professional development programmes to maximise long-term retention outcomes. Overall, these findings reinforce the design of targeted PD emphasizing high-quality visual templates and curated video libraries, alongside structured training in gamified assessment tools to bridge the gap between passive multimedia consumption and active, memory-supportive learning experiences (Chen et al., 2024; Cortés-Pérez et al., 2023; Falode &amp; Mohammed, 2023; Ginting et al., 2024; Martin et al., 2021; Sathio et al., 2021; Wati et al., 2025).</w:t>
      </w:r>
    </w:p>
    <w:p w14:paraId="27FA5179" w14:textId="77777777" w:rsidR="001E51D5" w:rsidRPr="008A6B6D" w:rsidRDefault="001E51D5" w:rsidP="001E51D5">
      <w:pPr>
        <w:rPr>
          <w:rFonts w:ascii="Arial" w:hAnsi="Arial" w:cs="Arial"/>
          <w:b/>
          <w:sz w:val="16"/>
          <w:szCs w:val="16"/>
          <w:lang w:eastAsia="en-PH"/>
        </w:rPr>
      </w:pPr>
    </w:p>
    <w:p w14:paraId="49144E45" w14:textId="77777777" w:rsidR="001E51D5" w:rsidRPr="008A6B6D" w:rsidRDefault="001E51D5" w:rsidP="001E51D5">
      <w:pPr>
        <w:rPr>
          <w:rFonts w:ascii="Arial" w:hAnsi="Arial" w:cs="Arial"/>
          <w:b/>
          <w:lang w:eastAsia="en-PH"/>
        </w:rPr>
      </w:pPr>
      <w:r w:rsidRPr="008A6B6D">
        <w:rPr>
          <w:rFonts w:ascii="Arial" w:hAnsi="Arial" w:cs="Arial"/>
          <w:b/>
          <w:lang w:eastAsia="en-PH"/>
        </w:rPr>
        <w:t>Table 10. Frequency of Formative Assessments</w:t>
      </w:r>
    </w:p>
    <w:tbl>
      <w:tblPr>
        <w:tblW w:w="8298" w:type="dxa"/>
        <w:tblLook w:val="04A0" w:firstRow="1" w:lastRow="0" w:firstColumn="1" w:lastColumn="0" w:noHBand="0" w:noVBand="1"/>
      </w:tblPr>
      <w:tblGrid>
        <w:gridCol w:w="3980"/>
        <w:gridCol w:w="1326"/>
        <w:gridCol w:w="1487"/>
        <w:gridCol w:w="1505"/>
      </w:tblGrid>
      <w:tr w:rsidR="001E51D5" w:rsidRPr="008A6B6D" w14:paraId="6B7C04B9" w14:textId="77777777" w:rsidTr="00321E98">
        <w:trPr>
          <w:trHeight w:val="105"/>
        </w:trPr>
        <w:tc>
          <w:tcPr>
            <w:tcW w:w="4248" w:type="dxa"/>
            <w:tcBorders>
              <w:top w:val="single" w:sz="4" w:space="0" w:color="auto"/>
              <w:bottom w:val="single" w:sz="4" w:space="0" w:color="auto"/>
            </w:tcBorders>
            <w:vAlign w:val="center"/>
            <w:hideMark/>
          </w:tcPr>
          <w:p w14:paraId="2B0B9990"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350" w:type="dxa"/>
            <w:tcBorders>
              <w:top w:val="single" w:sz="4" w:space="0" w:color="auto"/>
              <w:bottom w:val="single" w:sz="4" w:space="0" w:color="auto"/>
            </w:tcBorders>
            <w:vAlign w:val="center"/>
            <w:hideMark/>
          </w:tcPr>
          <w:p w14:paraId="770F03BF"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530" w:type="dxa"/>
            <w:tcBorders>
              <w:top w:val="single" w:sz="4" w:space="0" w:color="auto"/>
              <w:bottom w:val="single" w:sz="4" w:space="0" w:color="auto"/>
            </w:tcBorders>
            <w:vAlign w:val="center"/>
            <w:hideMark/>
          </w:tcPr>
          <w:p w14:paraId="160FBFCF"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170" w:type="dxa"/>
            <w:tcBorders>
              <w:top w:val="single" w:sz="4" w:space="0" w:color="auto"/>
              <w:bottom w:val="single" w:sz="4" w:space="0" w:color="auto"/>
            </w:tcBorders>
            <w:vAlign w:val="center"/>
            <w:hideMark/>
          </w:tcPr>
          <w:p w14:paraId="753E20C4"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14581567" w14:textId="77777777" w:rsidTr="00321E98">
        <w:trPr>
          <w:trHeight w:val="105"/>
        </w:trPr>
        <w:tc>
          <w:tcPr>
            <w:tcW w:w="4248" w:type="dxa"/>
            <w:tcBorders>
              <w:top w:val="single" w:sz="4" w:space="0" w:color="auto"/>
            </w:tcBorders>
            <w:vAlign w:val="center"/>
            <w:hideMark/>
          </w:tcPr>
          <w:p w14:paraId="0FCE216D"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conduct short "exit tickets" at the end of a lesson to check understanding.</w:t>
            </w:r>
          </w:p>
        </w:tc>
        <w:tc>
          <w:tcPr>
            <w:tcW w:w="1350" w:type="dxa"/>
            <w:tcBorders>
              <w:top w:val="single" w:sz="4" w:space="0" w:color="auto"/>
            </w:tcBorders>
            <w:vAlign w:val="center"/>
            <w:hideMark/>
          </w:tcPr>
          <w:p w14:paraId="71E4FB9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4.14</w:t>
            </w:r>
          </w:p>
        </w:tc>
        <w:tc>
          <w:tcPr>
            <w:tcW w:w="1530" w:type="dxa"/>
            <w:tcBorders>
              <w:top w:val="single" w:sz="4" w:space="0" w:color="auto"/>
            </w:tcBorders>
            <w:vAlign w:val="center"/>
            <w:hideMark/>
          </w:tcPr>
          <w:p w14:paraId="78946AAD"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0.97</w:t>
            </w:r>
          </w:p>
        </w:tc>
        <w:tc>
          <w:tcPr>
            <w:tcW w:w="1170" w:type="dxa"/>
            <w:tcBorders>
              <w:top w:val="single" w:sz="4" w:space="0" w:color="auto"/>
            </w:tcBorders>
            <w:vAlign w:val="center"/>
            <w:hideMark/>
          </w:tcPr>
          <w:p w14:paraId="70CD703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28318D43" w14:textId="77777777" w:rsidTr="00321E98">
        <w:trPr>
          <w:trHeight w:val="105"/>
        </w:trPr>
        <w:tc>
          <w:tcPr>
            <w:tcW w:w="4248" w:type="dxa"/>
            <w:vAlign w:val="center"/>
            <w:hideMark/>
          </w:tcPr>
          <w:p w14:paraId="1239D548"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use oral questioning throughout the lecture to monitor student progress.</w:t>
            </w:r>
          </w:p>
        </w:tc>
        <w:tc>
          <w:tcPr>
            <w:tcW w:w="1350" w:type="dxa"/>
            <w:vAlign w:val="center"/>
            <w:hideMark/>
          </w:tcPr>
          <w:p w14:paraId="4FB7DBD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4.55</w:t>
            </w:r>
          </w:p>
        </w:tc>
        <w:tc>
          <w:tcPr>
            <w:tcW w:w="1530" w:type="dxa"/>
            <w:vAlign w:val="center"/>
            <w:hideMark/>
          </w:tcPr>
          <w:p w14:paraId="5B7A634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0.81</w:t>
            </w:r>
          </w:p>
        </w:tc>
        <w:tc>
          <w:tcPr>
            <w:tcW w:w="1170" w:type="dxa"/>
            <w:vAlign w:val="center"/>
            <w:hideMark/>
          </w:tcPr>
          <w:p w14:paraId="0140A61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Always</w:t>
            </w:r>
          </w:p>
        </w:tc>
      </w:tr>
      <w:tr w:rsidR="001E51D5" w:rsidRPr="008A6B6D" w14:paraId="6DAD58F2" w14:textId="77777777" w:rsidTr="00321E98">
        <w:trPr>
          <w:trHeight w:val="105"/>
        </w:trPr>
        <w:tc>
          <w:tcPr>
            <w:tcW w:w="4248" w:type="dxa"/>
            <w:vAlign w:val="center"/>
            <w:hideMark/>
          </w:tcPr>
          <w:p w14:paraId="10051E4F"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provide immediate feedback on student seatwork to correct misconceptions.</w:t>
            </w:r>
          </w:p>
        </w:tc>
        <w:tc>
          <w:tcPr>
            <w:tcW w:w="1350" w:type="dxa"/>
            <w:vAlign w:val="center"/>
            <w:hideMark/>
          </w:tcPr>
          <w:p w14:paraId="2F6868F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4.38</w:t>
            </w:r>
          </w:p>
        </w:tc>
        <w:tc>
          <w:tcPr>
            <w:tcW w:w="1530" w:type="dxa"/>
            <w:vAlign w:val="center"/>
            <w:hideMark/>
          </w:tcPr>
          <w:p w14:paraId="538EDC80"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0.79</w:t>
            </w:r>
          </w:p>
        </w:tc>
        <w:tc>
          <w:tcPr>
            <w:tcW w:w="1170" w:type="dxa"/>
            <w:vAlign w:val="center"/>
            <w:hideMark/>
          </w:tcPr>
          <w:p w14:paraId="2AADEEC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Always</w:t>
            </w:r>
          </w:p>
        </w:tc>
      </w:tr>
      <w:tr w:rsidR="001E51D5" w:rsidRPr="008A6B6D" w14:paraId="487F1AE4" w14:textId="77777777" w:rsidTr="00321E98">
        <w:trPr>
          <w:trHeight w:val="105"/>
        </w:trPr>
        <w:tc>
          <w:tcPr>
            <w:tcW w:w="4248" w:type="dxa"/>
            <w:vAlign w:val="center"/>
            <w:hideMark/>
          </w:tcPr>
          <w:p w14:paraId="2E3A3F44"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administer weekly ungraded quizzes to help students practice recall.</w:t>
            </w:r>
          </w:p>
        </w:tc>
        <w:tc>
          <w:tcPr>
            <w:tcW w:w="1350" w:type="dxa"/>
            <w:vAlign w:val="center"/>
            <w:hideMark/>
          </w:tcPr>
          <w:p w14:paraId="0B99D73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4.07</w:t>
            </w:r>
          </w:p>
        </w:tc>
        <w:tc>
          <w:tcPr>
            <w:tcW w:w="1530" w:type="dxa"/>
            <w:vAlign w:val="center"/>
            <w:hideMark/>
          </w:tcPr>
          <w:p w14:paraId="27E225B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0.92</w:t>
            </w:r>
          </w:p>
        </w:tc>
        <w:tc>
          <w:tcPr>
            <w:tcW w:w="1170" w:type="dxa"/>
            <w:vAlign w:val="center"/>
            <w:hideMark/>
          </w:tcPr>
          <w:p w14:paraId="29CD6A9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2875F117" w14:textId="77777777" w:rsidTr="00321E98">
        <w:trPr>
          <w:trHeight w:val="105"/>
        </w:trPr>
        <w:tc>
          <w:tcPr>
            <w:tcW w:w="4248" w:type="dxa"/>
            <w:tcBorders>
              <w:bottom w:val="single" w:sz="4" w:space="0" w:color="auto"/>
            </w:tcBorders>
            <w:vAlign w:val="center"/>
            <w:hideMark/>
          </w:tcPr>
          <w:p w14:paraId="4F377638"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I use self-assessment checklists to let students track their own learning.</w:t>
            </w:r>
          </w:p>
        </w:tc>
        <w:tc>
          <w:tcPr>
            <w:tcW w:w="1350" w:type="dxa"/>
            <w:tcBorders>
              <w:bottom w:val="single" w:sz="4" w:space="0" w:color="auto"/>
            </w:tcBorders>
            <w:vAlign w:val="center"/>
            <w:hideMark/>
          </w:tcPr>
          <w:p w14:paraId="1DBF109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3.73</w:t>
            </w:r>
          </w:p>
        </w:tc>
        <w:tc>
          <w:tcPr>
            <w:tcW w:w="1530" w:type="dxa"/>
            <w:tcBorders>
              <w:bottom w:val="single" w:sz="4" w:space="0" w:color="auto"/>
            </w:tcBorders>
            <w:vAlign w:val="center"/>
            <w:hideMark/>
          </w:tcPr>
          <w:p w14:paraId="45EB7CCB"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0.94</w:t>
            </w:r>
          </w:p>
        </w:tc>
        <w:tc>
          <w:tcPr>
            <w:tcW w:w="1170" w:type="dxa"/>
            <w:tcBorders>
              <w:bottom w:val="single" w:sz="4" w:space="0" w:color="auto"/>
            </w:tcBorders>
            <w:vAlign w:val="center"/>
            <w:hideMark/>
          </w:tcPr>
          <w:p w14:paraId="761F43B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26BBE628" w14:textId="77777777" w:rsidTr="00321E98">
        <w:trPr>
          <w:trHeight w:val="105"/>
        </w:trPr>
        <w:tc>
          <w:tcPr>
            <w:tcW w:w="4248" w:type="dxa"/>
            <w:tcBorders>
              <w:top w:val="single" w:sz="4" w:space="0" w:color="auto"/>
              <w:bottom w:val="single" w:sz="4" w:space="0" w:color="auto"/>
            </w:tcBorders>
            <w:vAlign w:val="center"/>
            <w:hideMark/>
          </w:tcPr>
          <w:p w14:paraId="4FAED3F3"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350" w:type="dxa"/>
            <w:tcBorders>
              <w:top w:val="single" w:sz="4" w:space="0" w:color="auto"/>
              <w:bottom w:val="single" w:sz="4" w:space="0" w:color="auto"/>
            </w:tcBorders>
            <w:vAlign w:val="center"/>
            <w:hideMark/>
          </w:tcPr>
          <w:p w14:paraId="0105EDE5"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4.17</w:t>
            </w:r>
          </w:p>
        </w:tc>
        <w:tc>
          <w:tcPr>
            <w:tcW w:w="1530" w:type="dxa"/>
            <w:tcBorders>
              <w:top w:val="single" w:sz="4" w:space="0" w:color="auto"/>
              <w:bottom w:val="single" w:sz="4" w:space="0" w:color="auto"/>
            </w:tcBorders>
            <w:vAlign w:val="center"/>
            <w:hideMark/>
          </w:tcPr>
          <w:p w14:paraId="5B840AC9"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0.89</w:t>
            </w:r>
          </w:p>
        </w:tc>
        <w:tc>
          <w:tcPr>
            <w:tcW w:w="1170" w:type="dxa"/>
            <w:tcBorders>
              <w:top w:val="single" w:sz="4" w:space="0" w:color="auto"/>
              <w:bottom w:val="single" w:sz="4" w:space="0" w:color="auto"/>
            </w:tcBorders>
            <w:vAlign w:val="center"/>
            <w:hideMark/>
          </w:tcPr>
          <w:p w14:paraId="739E9B62"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Often</w:t>
            </w:r>
          </w:p>
        </w:tc>
      </w:tr>
    </w:tbl>
    <w:p w14:paraId="11794136" w14:textId="77777777" w:rsidR="00A44D52" w:rsidRPr="008A6B6D" w:rsidRDefault="00A44D52" w:rsidP="00A44D52">
      <w:pPr>
        <w:jc w:val="both"/>
        <w:rPr>
          <w:rFonts w:ascii="Arial" w:hAnsi="Arial" w:cs="Arial"/>
          <w:bCs/>
          <w:color w:val="1F1F1F"/>
          <w:lang w:eastAsia="en-PH"/>
        </w:rPr>
      </w:pPr>
    </w:p>
    <w:p w14:paraId="73C75C54"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Table 10 shows the frequency of formative assessments conducted by the teacher-respondents as part of their instructional routine. The data reveal that oral questioning is the most consistently used strategy, earning the highest weighted mean of 4.55 with a verbal interpretation of Always. This is followed closely by providing immediate feedback on seatwork, which also received an Always rating with a mean of 4.38. Strategies such as conducting "exit tickets" (4.14), administering weekly ungraded quizzes (4.07), and using self-assessment checklists (3.73) are all practised Often by the educators. Overall, the formative assessment practices of the teachers garnered an aggregate weighted mean of 4.17, indicating that these diagnostic and monitoring tools are Often integrated into the Junior High School learning environment.</w:t>
      </w:r>
    </w:p>
    <w:p w14:paraId="422DE6B2" w14:textId="77777777" w:rsidR="00A44D52" w:rsidRPr="008A6B6D" w:rsidRDefault="00A44D52" w:rsidP="00A44D52">
      <w:pPr>
        <w:jc w:val="both"/>
        <w:rPr>
          <w:rFonts w:ascii="Arial" w:hAnsi="Arial" w:cs="Arial"/>
          <w:bCs/>
          <w:color w:val="1F1F1F"/>
          <w:lang w:eastAsia="en-PH"/>
        </w:rPr>
      </w:pPr>
    </w:p>
    <w:p w14:paraId="75F80EF5"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This implies that the teacher-respondents recognise the critical role of continuous monitoring and active engagement in fostering long-term knowledge stability. The "Always" rating for oral </w:t>
      </w:r>
      <w:r w:rsidRPr="008A6B6D">
        <w:rPr>
          <w:rFonts w:ascii="Arial" w:hAnsi="Arial" w:cs="Arial"/>
          <w:bCs/>
          <w:color w:val="1F1F1F"/>
          <w:lang w:eastAsia="en-PH"/>
        </w:rPr>
        <w:lastRenderedPageBreak/>
        <w:t>questioning and immediate feedback suggests a highly interactive classroom dynamic where misconceptions are addressed in real time—a practice essential for preventing the "encoding" of incorrect information. While the high usage of these verbal and immediate strategies is a strength, the relatively lower mean for self-assessment checklists suggests that students may be less involved in the metacognitive aspect of their own learning. For the Learning Retention Enhancement Program, these findings indicate that the foundation for retention is already being laid through active retrieval practice (quizzes and questioning); however, there is an opportunity to further strengthen student memory by more consistently incorporating structured reflection and self-monitoring tools into the daily curriculum.</w:t>
      </w:r>
    </w:p>
    <w:p w14:paraId="4862B41B" w14:textId="77777777" w:rsidR="00A44D52" w:rsidRPr="008A6B6D" w:rsidRDefault="00A44D52" w:rsidP="00A44D52">
      <w:pPr>
        <w:jc w:val="both"/>
        <w:rPr>
          <w:rFonts w:ascii="Arial" w:hAnsi="Arial" w:cs="Arial"/>
          <w:lang w:eastAsia="en-PH"/>
        </w:rPr>
      </w:pPr>
    </w:p>
    <w:p w14:paraId="0DA44741" w14:textId="77777777" w:rsidR="001E51D5" w:rsidRPr="008A6B6D" w:rsidRDefault="001E51D5" w:rsidP="00A44D52">
      <w:pPr>
        <w:jc w:val="both"/>
        <w:rPr>
          <w:rFonts w:ascii="Arial" w:eastAsia="Calibri" w:hAnsi="Arial" w:cs="Arial"/>
          <w:bCs/>
          <w:shd w:val="clear" w:color="auto" w:fill="FFFFFF"/>
        </w:rPr>
      </w:pPr>
      <w:r w:rsidRPr="008A6B6D">
        <w:rPr>
          <w:rFonts w:ascii="Arial" w:hAnsi="Arial" w:cs="Arial"/>
          <w:lang w:eastAsia="en-PH"/>
        </w:rPr>
        <w:t>This aligns with the study of ongoing classroom assessment practices that emphasise verbal questioning and immediate feedback as core drivers of learning retention and formative monitoring (e.g., exit tickets, quizzes, and self-assessment) within junior high settings. The synthesis of these findings supports a cohesive view that active retrieval and real-time feedback foster encoding, retrieval practice, and metacognitive engagement essential for durable learning outcomes (Glaser &amp; Richter, 2023; Monteiro et al., 2021).</w:t>
      </w:r>
    </w:p>
    <w:p w14:paraId="724E3B1D" w14:textId="77777777" w:rsidR="001E51D5" w:rsidRPr="008A6B6D" w:rsidRDefault="001E51D5" w:rsidP="001E51D5">
      <w:pPr>
        <w:rPr>
          <w:rFonts w:ascii="Arial" w:eastAsia="Calibri" w:hAnsi="Arial" w:cs="Arial"/>
          <w:bCs/>
          <w:shd w:val="clear" w:color="auto" w:fill="FFFFFF"/>
        </w:rPr>
      </w:pPr>
    </w:p>
    <w:p w14:paraId="3E3EB1B6" w14:textId="77777777" w:rsidR="001E51D5" w:rsidRPr="008A6B6D" w:rsidRDefault="001E51D5" w:rsidP="001E51D5">
      <w:pPr>
        <w:rPr>
          <w:rFonts w:ascii="Arial" w:hAnsi="Arial" w:cs="Arial"/>
          <w:b/>
          <w:lang w:eastAsia="en-PH"/>
        </w:rPr>
      </w:pPr>
      <w:r w:rsidRPr="008A6B6D">
        <w:rPr>
          <w:rFonts w:ascii="Arial" w:hAnsi="Arial" w:cs="Arial"/>
          <w:b/>
          <w:lang w:eastAsia="en-PH"/>
        </w:rPr>
        <w:t>Table 11. Differentiated instruction</w:t>
      </w:r>
    </w:p>
    <w:tbl>
      <w:tblPr>
        <w:tblW w:w="8298" w:type="dxa"/>
        <w:tblLook w:val="04A0" w:firstRow="1" w:lastRow="0" w:firstColumn="1" w:lastColumn="0" w:noHBand="0" w:noVBand="1"/>
      </w:tblPr>
      <w:tblGrid>
        <w:gridCol w:w="3978"/>
        <w:gridCol w:w="1350"/>
        <w:gridCol w:w="1260"/>
        <w:gridCol w:w="1710"/>
      </w:tblGrid>
      <w:tr w:rsidR="001E51D5" w:rsidRPr="008A6B6D" w14:paraId="38CFABDA" w14:textId="77777777" w:rsidTr="00321E98">
        <w:trPr>
          <w:trHeight w:val="166"/>
        </w:trPr>
        <w:tc>
          <w:tcPr>
            <w:tcW w:w="3978" w:type="dxa"/>
            <w:tcBorders>
              <w:top w:val="single" w:sz="4" w:space="0" w:color="auto"/>
              <w:bottom w:val="single" w:sz="4" w:space="0" w:color="auto"/>
            </w:tcBorders>
            <w:vAlign w:val="center"/>
            <w:hideMark/>
          </w:tcPr>
          <w:p w14:paraId="0634556F"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350" w:type="dxa"/>
            <w:tcBorders>
              <w:top w:val="single" w:sz="4" w:space="0" w:color="auto"/>
              <w:bottom w:val="single" w:sz="4" w:space="0" w:color="auto"/>
            </w:tcBorders>
            <w:vAlign w:val="center"/>
            <w:hideMark/>
          </w:tcPr>
          <w:p w14:paraId="20BE2D49"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260" w:type="dxa"/>
            <w:tcBorders>
              <w:top w:val="single" w:sz="4" w:space="0" w:color="auto"/>
              <w:bottom w:val="single" w:sz="4" w:space="0" w:color="auto"/>
            </w:tcBorders>
            <w:vAlign w:val="center"/>
            <w:hideMark/>
          </w:tcPr>
          <w:p w14:paraId="3ADC1892"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710" w:type="dxa"/>
            <w:tcBorders>
              <w:top w:val="single" w:sz="4" w:space="0" w:color="auto"/>
              <w:bottom w:val="single" w:sz="4" w:space="0" w:color="auto"/>
            </w:tcBorders>
            <w:vAlign w:val="center"/>
            <w:hideMark/>
          </w:tcPr>
          <w:p w14:paraId="28A764B8"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4E173306" w14:textId="77777777" w:rsidTr="00321E98">
        <w:trPr>
          <w:trHeight w:val="166"/>
        </w:trPr>
        <w:tc>
          <w:tcPr>
            <w:tcW w:w="3978" w:type="dxa"/>
            <w:tcBorders>
              <w:top w:val="single" w:sz="4" w:space="0" w:color="auto"/>
            </w:tcBorders>
            <w:vAlign w:val="center"/>
            <w:hideMark/>
          </w:tcPr>
          <w:p w14:paraId="1200AF34"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1. I provide varied reading materials based on the students' reading levels.</w:t>
            </w:r>
          </w:p>
        </w:tc>
        <w:tc>
          <w:tcPr>
            <w:tcW w:w="1350" w:type="dxa"/>
            <w:tcBorders>
              <w:top w:val="single" w:sz="4" w:space="0" w:color="auto"/>
            </w:tcBorders>
            <w:vAlign w:val="center"/>
            <w:hideMark/>
          </w:tcPr>
          <w:p w14:paraId="3F4E0BA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3.94</w:t>
            </w:r>
          </w:p>
        </w:tc>
        <w:tc>
          <w:tcPr>
            <w:tcW w:w="1260" w:type="dxa"/>
            <w:tcBorders>
              <w:top w:val="single" w:sz="4" w:space="0" w:color="auto"/>
            </w:tcBorders>
            <w:vAlign w:val="center"/>
            <w:hideMark/>
          </w:tcPr>
          <w:p w14:paraId="30229EA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0.97</w:t>
            </w:r>
          </w:p>
        </w:tc>
        <w:tc>
          <w:tcPr>
            <w:tcW w:w="1710" w:type="dxa"/>
            <w:tcBorders>
              <w:top w:val="single" w:sz="4" w:space="0" w:color="auto"/>
            </w:tcBorders>
            <w:vAlign w:val="center"/>
            <w:hideMark/>
          </w:tcPr>
          <w:p w14:paraId="3B2D25FD"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29747B8F" w14:textId="77777777" w:rsidTr="00321E98">
        <w:trPr>
          <w:trHeight w:val="166"/>
        </w:trPr>
        <w:tc>
          <w:tcPr>
            <w:tcW w:w="3978" w:type="dxa"/>
            <w:vAlign w:val="center"/>
            <w:hideMark/>
          </w:tcPr>
          <w:p w14:paraId="6B0D5E65"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2. I offer multiple options for students to demonstrate their learning (e.g., art, essay, or speech).</w:t>
            </w:r>
          </w:p>
        </w:tc>
        <w:tc>
          <w:tcPr>
            <w:tcW w:w="1350" w:type="dxa"/>
            <w:vAlign w:val="center"/>
            <w:hideMark/>
          </w:tcPr>
          <w:p w14:paraId="7AEB342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4.15</w:t>
            </w:r>
          </w:p>
        </w:tc>
        <w:tc>
          <w:tcPr>
            <w:tcW w:w="1260" w:type="dxa"/>
            <w:vAlign w:val="center"/>
            <w:hideMark/>
          </w:tcPr>
          <w:p w14:paraId="2C3C0ED7"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0.99</w:t>
            </w:r>
          </w:p>
        </w:tc>
        <w:tc>
          <w:tcPr>
            <w:tcW w:w="1710" w:type="dxa"/>
            <w:vAlign w:val="center"/>
            <w:hideMark/>
          </w:tcPr>
          <w:p w14:paraId="171205C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08D14873" w14:textId="77777777" w:rsidTr="00321E98">
        <w:trPr>
          <w:trHeight w:val="166"/>
        </w:trPr>
        <w:tc>
          <w:tcPr>
            <w:tcW w:w="3978" w:type="dxa"/>
            <w:vAlign w:val="center"/>
            <w:hideMark/>
          </w:tcPr>
          <w:p w14:paraId="74B4F5BD"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3. I group students based on their specific learning needs or interests.</w:t>
            </w:r>
          </w:p>
        </w:tc>
        <w:tc>
          <w:tcPr>
            <w:tcW w:w="1350" w:type="dxa"/>
            <w:vAlign w:val="center"/>
            <w:hideMark/>
          </w:tcPr>
          <w:p w14:paraId="5D4436DD"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3.99</w:t>
            </w:r>
          </w:p>
        </w:tc>
        <w:tc>
          <w:tcPr>
            <w:tcW w:w="1260" w:type="dxa"/>
            <w:vAlign w:val="center"/>
            <w:hideMark/>
          </w:tcPr>
          <w:p w14:paraId="1CF9A90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0.95</w:t>
            </w:r>
          </w:p>
        </w:tc>
        <w:tc>
          <w:tcPr>
            <w:tcW w:w="1710" w:type="dxa"/>
            <w:vAlign w:val="center"/>
            <w:hideMark/>
          </w:tcPr>
          <w:p w14:paraId="30D57AB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532B96A7" w14:textId="77777777" w:rsidTr="00321E98">
        <w:trPr>
          <w:trHeight w:val="166"/>
        </w:trPr>
        <w:tc>
          <w:tcPr>
            <w:tcW w:w="3978" w:type="dxa"/>
            <w:vAlign w:val="center"/>
            <w:hideMark/>
          </w:tcPr>
          <w:p w14:paraId="5FD51D52"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4. I adjust the complexity of tasks to match the diverse abilities of my students.</w:t>
            </w:r>
          </w:p>
        </w:tc>
        <w:tc>
          <w:tcPr>
            <w:tcW w:w="1350" w:type="dxa"/>
            <w:vAlign w:val="center"/>
            <w:hideMark/>
          </w:tcPr>
          <w:p w14:paraId="0DD2BFD0"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4.30</w:t>
            </w:r>
          </w:p>
        </w:tc>
        <w:tc>
          <w:tcPr>
            <w:tcW w:w="1260" w:type="dxa"/>
            <w:vAlign w:val="center"/>
            <w:hideMark/>
          </w:tcPr>
          <w:p w14:paraId="69154D0D"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0.85</w:t>
            </w:r>
          </w:p>
        </w:tc>
        <w:tc>
          <w:tcPr>
            <w:tcW w:w="1710" w:type="dxa"/>
            <w:vAlign w:val="center"/>
            <w:hideMark/>
          </w:tcPr>
          <w:p w14:paraId="7139D84B"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Always</w:t>
            </w:r>
          </w:p>
        </w:tc>
      </w:tr>
      <w:tr w:rsidR="001E51D5" w:rsidRPr="008A6B6D" w14:paraId="4112D9CB" w14:textId="77777777" w:rsidTr="00321E98">
        <w:trPr>
          <w:trHeight w:val="166"/>
        </w:trPr>
        <w:tc>
          <w:tcPr>
            <w:tcW w:w="3978" w:type="dxa"/>
            <w:tcBorders>
              <w:bottom w:val="single" w:sz="4" w:space="0" w:color="auto"/>
            </w:tcBorders>
            <w:vAlign w:val="center"/>
            <w:hideMark/>
          </w:tcPr>
          <w:p w14:paraId="4A3F639A"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5. I provide extra scaffolding or simplified guides for students who struggle with retention.</w:t>
            </w:r>
          </w:p>
        </w:tc>
        <w:tc>
          <w:tcPr>
            <w:tcW w:w="1350" w:type="dxa"/>
            <w:tcBorders>
              <w:bottom w:val="single" w:sz="4" w:space="0" w:color="auto"/>
            </w:tcBorders>
            <w:vAlign w:val="center"/>
            <w:hideMark/>
          </w:tcPr>
          <w:p w14:paraId="7CDCEA1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4.07</w:t>
            </w:r>
          </w:p>
        </w:tc>
        <w:tc>
          <w:tcPr>
            <w:tcW w:w="1260" w:type="dxa"/>
            <w:tcBorders>
              <w:bottom w:val="single" w:sz="4" w:space="0" w:color="auto"/>
            </w:tcBorders>
            <w:vAlign w:val="center"/>
            <w:hideMark/>
          </w:tcPr>
          <w:p w14:paraId="420DDB8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0.92</w:t>
            </w:r>
          </w:p>
        </w:tc>
        <w:tc>
          <w:tcPr>
            <w:tcW w:w="1710" w:type="dxa"/>
            <w:tcBorders>
              <w:bottom w:val="single" w:sz="4" w:space="0" w:color="auto"/>
            </w:tcBorders>
            <w:vAlign w:val="center"/>
            <w:hideMark/>
          </w:tcPr>
          <w:p w14:paraId="28AAF20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Often</w:t>
            </w:r>
          </w:p>
        </w:tc>
      </w:tr>
      <w:tr w:rsidR="001E51D5" w:rsidRPr="008A6B6D" w14:paraId="73B9BAA2" w14:textId="77777777" w:rsidTr="00321E98">
        <w:trPr>
          <w:trHeight w:val="166"/>
        </w:trPr>
        <w:tc>
          <w:tcPr>
            <w:tcW w:w="3978" w:type="dxa"/>
            <w:tcBorders>
              <w:top w:val="single" w:sz="4" w:space="0" w:color="auto"/>
              <w:bottom w:val="single" w:sz="4" w:space="0" w:color="auto"/>
            </w:tcBorders>
            <w:vAlign w:val="center"/>
            <w:hideMark/>
          </w:tcPr>
          <w:p w14:paraId="0B3A1AE3"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350" w:type="dxa"/>
            <w:tcBorders>
              <w:top w:val="single" w:sz="4" w:space="0" w:color="auto"/>
              <w:bottom w:val="single" w:sz="4" w:space="0" w:color="auto"/>
            </w:tcBorders>
            <w:vAlign w:val="center"/>
            <w:hideMark/>
          </w:tcPr>
          <w:p w14:paraId="4F263DA5"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4.09</w:t>
            </w:r>
          </w:p>
        </w:tc>
        <w:tc>
          <w:tcPr>
            <w:tcW w:w="1260" w:type="dxa"/>
            <w:tcBorders>
              <w:top w:val="single" w:sz="4" w:space="0" w:color="auto"/>
              <w:bottom w:val="single" w:sz="4" w:space="0" w:color="auto"/>
            </w:tcBorders>
            <w:vAlign w:val="center"/>
            <w:hideMark/>
          </w:tcPr>
          <w:p w14:paraId="0917D237" w14:textId="77777777" w:rsidR="001E51D5" w:rsidRPr="008A6B6D" w:rsidRDefault="001E51D5" w:rsidP="001E51D5">
            <w:pPr>
              <w:jc w:val="center"/>
              <w:rPr>
                <w:rFonts w:ascii="Arial" w:hAnsi="Arial" w:cs="Arial"/>
                <w:b/>
                <w:color w:val="1F1F1F"/>
                <w:lang w:eastAsia="en-PH"/>
              </w:rPr>
            </w:pPr>
          </w:p>
        </w:tc>
        <w:tc>
          <w:tcPr>
            <w:tcW w:w="1710" w:type="dxa"/>
            <w:tcBorders>
              <w:top w:val="single" w:sz="4" w:space="0" w:color="auto"/>
              <w:bottom w:val="single" w:sz="4" w:space="0" w:color="auto"/>
            </w:tcBorders>
            <w:vAlign w:val="center"/>
            <w:hideMark/>
          </w:tcPr>
          <w:p w14:paraId="71E83157"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Often</w:t>
            </w:r>
          </w:p>
        </w:tc>
      </w:tr>
    </w:tbl>
    <w:p w14:paraId="3739C593" w14:textId="77777777" w:rsidR="00A44D52" w:rsidRPr="008A6B6D" w:rsidRDefault="00A44D52" w:rsidP="00A44D52">
      <w:pPr>
        <w:jc w:val="both"/>
        <w:rPr>
          <w:rFonts w:ascii="Arial" w:hAnsi="Arial" w:cs="Arial"/>
          <w:bCs/>
          <w:color w:val="1F1F1F"/>
          <w:lang w:eastAsia="en-PH"/>
        </w:rPr>
      </w:pPr>
    </w:p>
    <w:p w14:paraId="3E5D6175"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Table 11 shows the assessment of differentiated instruction as a teacher-perceived determinant of learning retention, yielding an overall weighted mean of 4.09 with a standard deviation of 0.94, qualitatively interpreted as "Often." Among the indicators, the statement "I adjust the complexity of tasks to match the diverse abilities of my students" received the highest rating with a weighted mean of 4.30 ("Always"), indicating a strong commitment to academic levelling. This is followed by offering multiple options for students to demonstrate learning at 4.15 and providing extra scaffolding for struggling students at 4.07, both interpreted as "Often." Conversely, while still frequently practised, providing varied reading materials based on reading levels received the lowest weighted mean of 3.94, followed closely by grouping students based on interests at 3.99.</w:t>
      </w:r>
    </w:p>
    <w:p w14:paraId="1F70A32B" w14:textId="77777777" w:rsidR="00A44D52" w:rsidRPr="008A6B6D" w:rsidRDefault="00A44D52" w:rsidP="00A44D52">
      <w:pPr>
        <w:jc w:val="both"/>
        <w:rPr>
          <w:rFonts w:ascii="Arial" w:hAnsi="Arial" w:cs="Arial"/>
          <w:bCs/>
          <w:color w:val="1F1F1F"/>
          <w:lang w:eastAsia="en-PH"/>
        </w:rPr>
      </w:pPr>
    </w:p>
    <w:p w14:paraId="3F305E0C"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This implies that the teacher-respondents recognise that a "one-size-fits-all" approach is insufficient for long-term knowledge mastery and that tailoring the difficulty of tasks is their primary strategy for ensuring students retain information. The high rating in adjusting task complexity suggests that teachers are highly aware of the "Zone of Proximal Development," where learning retention is maximised when the challenge matches the student's current skill level. However, the relatively lower scores in providing varied reading materials suggest a possible need for more diverse instructional resources or more time for prep work. Overall, the consistent use of these strategies implies that the Learning Retention Enhancement </w:t>
      </w:r>
      <w:r w:rsidRPr="008A6B6D">
        <w:rPr>
          <w:rFonts w:ascii="Arial" w:hAnsi="Arial" w:cs="Arial"/>
          <w:bCs/>
          <w:color w:val="1F1F1F"/>
          <w:lang w:eastAsia="en-PH"/>
        </w:rPr>
        <w:lastRenderedPageBreak/>
        <w:t>Program should focus on institutionalizing these differentiated practices, particularly by developing a repository of levelled reading materials and structured scaffolding guides, to move the frequency of these interventions from "Often" to a more consistent "Always" across all classrooms.</w:t>
      </w:r>
    </w:p>
    <w:p w14:paraId="3D94B964" w14:textId="77777777" w:rsidR="00A44D52" w:rsidRPr="008A6B6D" w:rsidRDefault="00A44D52" w:rsidP="00A44D52">
      <w:pPr>
        <w:jc w:val="both"/>
        <w:rPr>
          <w:rFonts w:ascii="Arial" w:hAnsi="Arial" w:cs="Arial"/>
          <w:lang w:eastAsia="en-PH"/>
        </w:rPr>
      </w:pPr>
    </w:p>
    <w:p w14:paraId="0D9912AA" w14:textId="77777777" w:rsidR="001E51D5" w:rsidRPr="008A6B6D" w:rsidRDefault="001E51D5" w:rsidP="00A44D52">
      <w:pPr>
        <w:jc w:val="both"/>
        <w:rPr>
          <w:rFonts w:ascii="Arial" w:hAnsi="Arial" w:cs="Arial"/>
          <w:lang w:eastAsia="en-PH"/>
        </w:rPr>
      </w:pPr>
      <w:r w:rsidRPr="008A6B6D">
        <w:rPr>
          <w:rFonts w:ascii="Arial" w:hAnsi="Arial" w:cs="Arial"/>
          <w:lang w:eastAsia="en-PH"/>
        </w:rPr>
        <w:t>This aligns with the study of differentiated instruction as a determinant of student learning retention, where tailoring task difficulty and providing scaffolding are central to improving retention outcomes in junior high settings. The evidence suggests that adjusting complexity to match diverse abilities (the Zone of Proximal Development) and offering multiple means of demonstrating understanding support sustained retention, while variability in reading materials remains a weaker but still frequent practice that could be strengthened through resource repositories and structured scaffolds. Collectively, these findings corroborate the need for institutionalizing differentiated practices within Learning Retention Enhancement Programs to move instructional interventions towards a consistent “Always” across classrooms. This synthesis aligns with broader research on responsive teaching and dynamic assessment that emphasise adapting instruction to learner readiness to maximise retention and mastery (Kwarteng, 2025; Suryati et al., 2023).</w:t>
      </w:r>
    </w:p>
    <w:p w14:paraId="446DB55C" w14:textId="77777777" w:rsidR="001E51D5" w:rsidRPr="008A6B6D" w:rsidRDefault="001E51D5" w:rsidP="001E51D5">
      <w:pPr>
        <w:ind w:firstLine="720"/>
        <w:rPr>
          <w:rFonts w:ascii="Arial" w:hAnsi="Arial" w:cs="Arial"/>
          <w:lang w:eastAsia="en-PH"/>
        </w:rPr>
      </w:pPr>
    </w:p>
    <w:p w14:paraId="3FD36DB4" w14:textId="77777777" w:rsidR="001E51D5" w:rsidRPr="008A6B6D" w:rsidRDefault="00321E98" w:rsidP="001E51D5">
      <w:pPr>
        <w:rPr>
          <w:rFonts w:ascii="Arial" w:hAnsi="Arial" w:cs="Arial"/>
          <w:b/>
          <w:lang w:eastAsia="en-PH"/>
        </w:rPr>
      </w:pPr>
      <w:r w:rsidRPr="008A6B6D">
        <w:rPr>
          <w:rFonts w:ascii="Arial" w:hAnsi="Arial" w:cs="Arial"/>
          <w:b/>
          <w:lang w:eastAsia="en-PH"/>
        </w:rPr>
        <w:t>3</w:t>
      </w:r>
      <w:r w:rsidR="001E51D5" w:rsidRPr="008A6B6D">
        <w:rPr>
          <w:rFonts w:ascii="Arial" w:hAnsi="Arial" w:cs="Arial"/>
          <w:b/>
          <w:lang w:eastAsia="en-PH"/>
        </w:rPr>
        <w:t>.3. Level of Student-Related Determinants Affecting Learning Retention as Perceived by Teachers</w:t>
      </w:r>
    </w:p>
    <w:p w14:paraId="2D245FB8" w14:textId="77777777" w:rsidR="00A44D52" w:rsidRPr="008A6B6D" w:rsidRDefault="00A44D52" w:rsidP="00A44D52">
      <w:pPr>
        <w:rPr>
          <w:rFonts w:ascii="Arial" w:hAnsi="Arial" w:cs="Arial"/>
          <w:b/>
          <w:lang w:eastAsia="en-PH"/>
        </w:rPr>
      </w:pPr>
    </w:p>
    <w:p w14:paraId="6778DAB3" w14:textId="77777777" w:rsidR="001E51D5" w:rsidRPr="008A6B6D" w:rsidRDefault="001E51D5" w:rsidP="00A44D52">
      <w:pPr>
        <w:rPr>
          <w:rFonts w:ascii="Arial" w:hAnsi="Arial" w:cs="Arial"/>
          <w:bCs/>
        </w:rPr>
      </w:pPr>
      <w:r w:rsidRPr="008A6B6D">
        <w:rPr>
          <w:rFonts w:ascii="Arial" w:hAnsi="Arial" w:cs="Arial"/>
          <w:bCs/>
        </w:rPr>
        <w:t>This section presents the data and analysis concerning the level of student-related determinants affecting learning retention as perceived by teachers, encompassing factors such as prior knowledge, intrinsic motivation, study habits, and attention span.</w:t>
      </w:r>
    </w:p>
    <w:p w14:paraId="226B0276" w14:textId="77777777" w:rsidR="00321E98" w:rsidRPr="008A6B6D" w:rsidRDefault="00321E98" w:rsidP="001E51D5">
      <w:pPr>
        <w:ind w:firstLine="720"/>
        <w:rPr>
          <w:rFonts w:ascii="Arial" w:hAnsi="Arial" w:cs="Arial"/>
          <w:bCs/>
        </w:rPr>
      </w:pPr>
    </w:p>
    <w:p w14:paraId="7E4A1EE3" w14:textId="77777777" w:rsidR="001E51D5" w:rsidRPr="008A6B6D" w:rsidRDefault="001E51D5" w:rsidP="001E51D5">
      <w:pPr>
        <w:rPr>
          <w:rFonts w:ascii="Arial" w:hAnsi="Arial" w:cs="Arial"/>
          <w:b/>
          <w:lang w:eastAsia="en-PH"/>
        </w:rPr>
      </w:pPr>
      <w:r w:rsidRPr="008A6B6D">
        <w:rPr>
          <w:rFonts w:ascii="Arial" w:hAnsi="Arial" w:cs="Arial"/>
          <w:b/>
          <w:lang w:eastAsia="en-PH"/>
        </w:rPr>
        <w:t>Table 12. Prior Knowledge</w:t>
      </w:r>
    </w:p>
    <w:tbl>
      <w:tblPr>
        <w:tblW w:w="7920" w:type="dxa"/>
        <w:tblLook w:val="04A0" w:firstRow="1" w:lastRow="0" w:firstColumn="1" w:lastColumn="0" w:noHBand="0" w:noVBand="1"/>
      </w:tblPr>
      <w:tblGrid>
        <w:gridCol w:w="3330"/>
        <w:gridCol w:w="1350"/>
        <w:gridCol w:w="1350"/>
        <w:gridCol w:w="1890"/>
      </w:tblGrid>
      <w:tr w:rsidR="001E51D5" w:rsidRPr="008A6B6D" w14:paraId="5C741F2E" w14:textId="77777777" w:rsidTr="00A44D52">
        <w:trPr>
          <w:trHeight w:val="55"/>
        </w:trPr>
        <w:tc>
          <w:tcPr>
            <w:tcW w:w="3330" w:type="dxa"/>
            <w:tcBorders>
              <w:top w:val="single" w:sz="4" w:space="0" w:color="auto"/>
              <w:bottom w:val="single" w:sz="4" w:space="0" w:color="auto"/>
            </w:tcBorders>
            <w:vAlign w:val="center"/>
            <w:hideMark/>
          </w:tcPr>
          <w:p w14:paraId="7C8FE93D"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350" w:type="dxa"/>
            <w:tcBorders>
              <w:top w:val="single" w:sz="4" w:space="0" w:color="auto"/>
              <w:bottom w:val="single" w:sz="4" w:space="0" w:color="auto"/>
            </w:tcBorders>
            <w:vAlign w:val="center"/>
            <w:hideMark/>
          </w:tcPr>
          <w:p w14:paraId="37F3D640"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350" w:type="dxa"/>
            <w:tcBorders>
              <w:top w:val="single" w:sz="4" w:space="0" w:color="auto"/>
              <w:bottom w:val="single" w:sz="4" w:space="0" w:color="auto"/>
            </w:tcBorders>
            <w:vAlign w:val="center"/>
            <w:hideMark/>
          </w:tcPr>
          <w:p w14:paraId="206F304A"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890" w:type="dxa"/>
            <w:tcBorders>
              <w:top w:val="single" w:sz="4" w:space="0" w:color="auto"/>
              <w:bottom w:val="single" w:sz="4" w:space="0" w:color="auto"/>
            </w:tcBorders>
            <w:vAlign w:val="center"/>
            <w:hideMark/>
          </w:tcPr>
          <w:p w14:paraId="649C54F5"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2C585BF4" w14:textId="77777777" w:rsidTr="00A44D52">
        <w:trPr>
          <w:trHeight w:val="55"/>
        </w:trPr>
        <w:tc>
          <w:tcPr>
            <w:tcW w:w="3330" w:type="dxa"/>
            <w:tcBorders>
              <w:top w:val="single" w:sz="4" w:space="0" w:color="auto"/>
            </w:tcBorders>
            <w:vAlign w:val="center"/>
            <w:hideMark/>
          </w:tcPr>
          <w:p w14:paraId="6DDD224B"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can easily connect new lessons to previously learned concepts.</w:t>
            </w:r>
          </w:p>
        </w:tc>
        <w:tc>
          <w:tcPr>
            <w:tcW w:w="1350" w:type="dxa"/>
            <w:tcBorders>
              <w:top w:val="single" w:sz="4" w:space="0" w:color="auto"/>
            </w:tcBorders>
            <w:vAlign w:val="center"/>
            <w:hideMark/>
          </w:tcPr>
          <w:p w14:paraId="5779776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3.99</w:t>
            </w:r>
          </w:p>
        </w:tc>
        <w:tc>
          <w:tcPr>
            <w:tcW w:w="1350" w:type="dxa"/>
            <w:tcBorders>
              <w:top w:val="single" w:sz="4" w:space="0" w:color="auto"/>
            </w:tcBorders>
            <w:vAlign w:val="center"/>
            <w:hideMark/>
          </w:tcPr>
          <w:p w14:paraId="69E59FE0"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0.96</w:t>
            </w:r>
          </w:p>
        </w:tc>
        <w:tc>
          <w:tcPr>
            <w:tcW w:w="1890" w:type="dxa"/>
            <w:tcBorders>
              <w:top w:val="single" w:sz="4" w:space="0" w:color="auto"/>
            </w:tcBorders>
            <w:vAlign w:val="center"/>
            <w:hideMark/>
          </w:tcPr>
          <w:p w14:paraId="293333D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2D068734" w14:textId="77777777" w:rsidTr="00A44D52">
        <w:trPr>
          <w:trHeight w:val="55"/>
        </w:trPr>
        <w:tc>
          <w:tcPr>
            <w:tcW w:w="3330" w:type="dxa"/>
            <w:vAlign w:val="center"/>
            <w:hideMark/>
          </w:tcPr>
          <w:p w14:paraId="54CC76DB"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possess the foundational skills required for the current grade level.</w:t>
            </w:r>
          </w:p>
        </w:tc>
        <w:tc>
          <w:tcPr>
            <w:tcW w:w="1350" w:type="dxa"/>
            <w:vAlign w:val="center"/>
            <w:hideMark/>
          </w:tcPr>
          <w:p w14:paraId="42F899E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3.61</w:t>
            </w:r>
          </w:p>
        </w:tc>
        <w:tc>
          <w:tcPr>
            <w:tcW w:w="1350" w:type="dxa"/>
            <w:vAlign w:val="center"/>
            <w:hideMark/>
          </w:tcPr>
          <w:p w14:paraId="5634434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1.03</w:t>
            </w:r>
          </w:p>
        </w:tc>
        <w:tc>
          <w:tcPr>
            <w:tcW w:w="1890" w:type="dxa"/>
            <w:vAlign w:val="center"/>
            <w:hideMark/>
          </w:tcPr>
          <w:p w14:paraId="2E05BBE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2B1F8CE1" w14:textId="77777777" w:rsidTr="00A44D52">
        <w:trPr>
          <w:trHeight w:val="55"/>
        </w:trPr>
        <w:tc>
          <w:tcPr>
            <w:tcW w:w="3330" w:type="dxa"/>
            <w:vAlign w:val="center"/>
            <w:hideMark/>
          </w:tcPr>
          <w:p w14:paraId="6E7D9A26"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can recall basic terms and theories from their previous school year.</w:t>
            </w:r>
          </w:p>
        </w:tc>
        <w:tc>
          <w:tcPr>
            <w:tcW w:w="1350" w:type="dxa"/>
            <w:vAlign w:val="center"/>
            <w:hideMark/>
          </w:tcPr>
          <w:p w14:paraId="638F8FD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3.43</w:t>
            </w:r>
          </w:p>
        </w:tc>
        <w:tc>
          <w:tcPr>
            <w:tcW w:w="1350" w:type="dxa"/>
            <w:vAlign w:val="center"/>
            <w:hideMark/>
          </w:tcPr>
          <w:p w14:paraId="158E7557"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1.02</w:t>
            </w:r>
          </w:p>
        </w:tc>
        <w:tc>
          <w:tcPr>
            <w:tcW w:w="1890" w:type="dxa"/>
            <w:vAlign w:val="center"/>
            <w:hideMark/>
          </w:tcPr>
          <w:p w14:paraId="1538479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6B3FC5AC" w14:textId="77777777" w:rsidTr="00A44D52">
        <w:trPr>
          <w:trHeight w:val="55"/>
        </w:trPr>
        <w:tc>
          <w:tcPr>
            <w:tcW w:w="3330" w:type="dxa"/>
            <w:vAlign w:val="center"/>
            <w:hideMark/>
          </w:tcPr>
          <w:p w14:paraId="746C5479"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show confidence when a new topic overlaps with their past experiences.</w:t>
            </w:r>
          </w:p>
        </w:tc>
        <w:tc>
          <w:tcPr>
            <w:tcW w:w="1350" w:type="dxa"/>
            <w:vAlign w:val="center"/>
            <w:hideMark/>
          </w:tcPr>
          <w:p w14:paraId="7AF1A3C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3.82</w:t>
            </w:r>
          </w:p>
        </w:tc>
        <w:tc>
          <w:tcPr>
            <w:tcW w:w="1350" w:type="dxa"/>
            <w:vAlign w:val="center"/>
            <w:hideMark/>
          </w:tcPr>
          <w:p w14:paraId="232448C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1.01</w:t>
            </w:r>
          </w:p>
        </w:tc>
        <w:tc>
          <w:tcPr>
            <w:tcW w:w="1890" w:type="dxa"/>
            <w:vAlign w:val="center"/>
            <w:hideMark/>
          </w:tcPr>
          <w:p w14:paraId="4208EB8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1D4BE009" w14:textId="77777777" w:rsidTr="00A44D52">
        <w:trPr>
          <w:trHeight w:val="55"/>
        </w:trPr>
        <w:tc>
          <w:tcPr>
            <w:tcW w:w="3330" w:type="dxa"/>
            <w:tcBorders>
              <w:bottom w:val="single" w:sz="4" w:space="0" w:color="auto"/>
            </w:tcBorders>
            <w:vAlign w:val="center"/>
            <w:hideMark/>
          </w:tcPr>
          <w:p w14:paraId="088F4376"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require minimal remediation on “prerequisite” topics before moving forward.</w:t>
            </w:r>
          </w:p>
        </w:tc>
        <w:tc>
          <w:tcPr>
            <w:tcW w:w="1350" w:type="dxa"/>
            <w:tcBorders>
              <w:bottom w:val="single" w:sz="4" w:space="0" w:color="auto"/>
            </w:tcBorders>
            <w:vAlign w:val="center"/>
            <w:hideMark/>
          </w:tcPr>
          <w:p w14:paraId="7B1BAF9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3.67</w:t>
            </w:r>
          </w:p>
        </w:tc>
        <w:tc>
          <w:tcPr>
            <w:tcW w:w="1350" w:type="dxa"/>
            <w:tcBorders>
              <w:bottom w:val="single" w:sz="4" w:space="0" w:color="auto"/>
            </w:tcBorders>
            <w:vAlign w:val="center"/>
            <w:hideMark/>
          </w:tcPr>
          <w:p w14:paraId="702C877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1.08</w:t>
            </w:r>
          </w:p>
        </w:tc>
        <w:tc>
          <w:tcPr>
            <w:tcW w:w="1890" w:type="dxa"/>
            <w:tcBorders>
              <w:bottom w:val="single" w:sz="4" w:space="0" w:color="auto"/>
            </w:tcBorders>
            <w:vAlign w:val="center"/>
            <w:hideMark/>
          </w:tcPr>
          <w:p w14:paraId="7755452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49C1759F" w14:textId="77777777" w:rsidTr="00A44D52">
        <w:trPr>
          <w:trHeight w:val="55"/>
        </w:trPr>
        <w:tc>
          <w:tcPr>
            <w:tcW w:w="3330" w:type="dxa"/>
            <w:tcBorders>
              <w:top w:val="single" w:sz="4" w:space="0" w:color="auto"/>
              <w:bottom w:val="single" w:sz="4" w:space="0" w:color="auto"/>
            </w:tcBorders>
            <w:vAlign w:val="center"/>
            <w:hideMark/>
          </w:tcPr>
          <w:p w14:paraId="02DE8986"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350" w:type="dxa"/>
            <w:tcBorders>
              <w:top w:val="single" w:sz="4" w:space="0" w:color="auto"/>
              <w:bottom w:val="single" w:sz="4" w:space="0" w:color="auto"/>
            </w:tcBorders>
            <w:vAlign w:val="center"/>
            <w:hideMark/>
          </w:tcPr>
          <w:p w14:paraId="2E4E7B66"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3.70</w:t>
            </w:r>
          </w:p>
        </w:tc>
        <w:tc>
          <w:tcPr>
            <w:tcW w:w="1350" w:type="dxa"/>
            <w:tcBorders>
              <w:top w:val="single" w:sz="4" w:space="0" w:color="auto"/>
              <w:bottom w:val="single" w:sz="4" w:space="0" w:color="auto"/>
            </w:tcBorders>
            <w:vAlign w:val="center"/>
            <w:hideMark/>
          </w:tcPr>
          <w:p w14:paraId="13E0C7DC" w14:textId="77777777" w:rsidR="001E51D5" w:rsidRPr="008A6B6D" w:rsidRDefault="001E51D5" w:rsidP="001E51D5">
            <w:pPr>
              <w:jc w:val="center"/>
              <w:rPr>
                <w:rFonts w:ascii="Arial" w:hAnsi="Arial" w:cs="Arial"/>
                <w:b/>
                <w:color w:val="1F1F1F"/>
                <w:lang w:eastAsia="en-PH"/>
              </w:rPr>
            </w:pPr>
          </w:p>
        </w:tc>
        <w:tc>
          <w:tcPr>
            <w:tcW w:w="1890" w:type="dxa"/>
            <w:tcBorders>
              <w:top w:val="single" w:sz="4" w:space="0" w:color="auto"/>
              <w:bottom w:val="single" w:sz="4" w:space="0" w:color="auto"/>
            </w:tcBorders>
            <w:vAlign w:val="center"/>
            <w:hideMark/>
          </w:tcPr>
          <w:p w14:paraId="315FF832"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Agree</w:t>
            </w:r>
          </w:p>
        </w:tc>
      </w:tr>
    </w:tbl>
    <w:p w14:paraId="1DCA3E57" w14:textId="77777777" w:rsidR="001E51D5" w:rsidRPr="008A6B6D" w:rsidRDefault="001E51D5" w:rsidP="001E51D5">
      <w:pPr>
        <w:rPr>
          <w:rFonts w:ascii="Arial" w:hAnsi="Arial" w:cs="Arial"/>
          <w:bCs/>
          <w:lang w:eastAsia="en-PH"/>
        </w:rPr>
      </w:pPr>
    </w:p>
    <w:p w14:paraId="72C64075"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Table 12 shows the teacher-respondents’ perceptions regarding the prior knowledge of Junior High School students as a determinant of learning retention. The data reveal an overall weighted mean of 3.70, which corresponds to a verbal interpretation of "Agree." Among the indicators, the statement "Students can easily connect new lessons to previously learned concepts" garnered the highest weighted mean of 3.99 (SD = 0.96). This is followed by the students' confidence when new topics overlap with past experiences, which recorded a mean of 3.82. Conversely, the statement "Students can recall basic terms and theories from their previous school year" received the lowest weighted mean of 3.43 (SD = 1.02), although it still </w:t>
      </w:r>
      <w:r w:rsidRPr="008A6B6D">
        <w:rPr>
          <w:rFonts w:ascii="Arial" w:hAnsi="Arial" w:cs="Arial"/>
          <w:bCs/>
          <w:color w:val="1F1F1F"/>
          <w:lang w:eastAsia="en-PH"/>
        </w:rPr>
        <w:lastRenderedPageBreak/>
        <w:t>falls within the "Agree" range. The relatively higher standard deviations across all items, particularly for the need for minimal remediation (1.08), suggest a notable spread in teacher observations regarding the consistency of student readiness.</w:t>
      </w:r>
    </w:p>
    <w:p w14:paraId="3AA3B2D4" w14:textId="77777777" w:rsidR="00A44D52" w:rsidRPr="008A6B6D" w:rsidRDefault="00A44D52" w:rsidP="00A44D52">
      <w:pPr>
        <w:jc w:val="both"/>
        <w:rPr>
          <w:rFonts w:ascii="Arial" w:hAnsi="Arial" w:cs="Arial"/>
          <w:bCs/>
          <w:color w:val="1F1F1F"/>
          <w:lang w:eastAsia="en-PH"/>
        </w:rPr>
      </w:pPr>
    </w:p>
    <w:p w14:paraId="35103F44"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This implies that teachers recognise prior knowledge as a functional foundation for current learning, yet they identify a specific weakness in the long-term recall of formal terms and theoretical frameworks. While students are perceived as capable of making conceptual connections and leveraging past experiences, the lower score in recalling specific definitions from previous years suggests that while "gist" memory is present, "verbatim" or technical memory may be fading. This indicates that the Learning Retention Enhancement Program should prioritize "scaffolded" instruction that bridges existing experiential knowledge with formal academic language. Furthermore, the moderate variation in teacher responses suggests that the level of foundational skills is not uniform across the student body, necessitating the inclusion of diagnostic assessments and differentiated review activities within the enhancement programme to ensure all students are adequately prepared for new, complex material.</w:t>
      </w:r>
    </w:p>
    <w:p w14:paraId="4B57DBC9" w14:textId="77777777" w:rsidR="00A44D52" w:rsidRPr="008A6B6D" w:rsidRDefault="00A44D52" w:rsidP="00A44D52">
      <w:pPr>
        <w:jc w:val="both"/>
        <w:rPr>
          <w:rFonts w:ascii="Arial" w:hAnsi="Arial" w:cs="Arial"/>
          <w:lang w:eastAsia="en-PH"/>
        </w:rPr>
      </w:pPr>
    </w:p>
    <w:p w14:paraId="04977DD2" w14:textId="77777777" w:rsidR="001E51D5" w:rsidRPr="008A6B6D" w:rsidRDefault="001E51D5" w:rsidP="00A44D52">
      <w:pPr>
        <w:jc w:val="both"/>
        <w:rPr>
          <w:rFonts w:ascii="Arial" w:hAnsi="Arial" w:cs="Arial"/>
          <w:lang w:eastAsia="en-PH"/>
        </w:rPr>
      </w:pPr>
      <w:r w:rsidRPr="008A6B6D">
        <w:rPr>
          <w:rFonts w:ascii="Arial" w:hAnsi="Arial" w:cs="Arial"/>
          <w:lang w:eastAsia="en-PH"/>
        </w:rPr>
        <w:t>This aligns with the study of how prior knowledge foundations influence current learning retention and the need for scaffolded, diagnostic, and differentiated instruction to bridge experiential understanding with formal academic language. Teacher perceptions in junior high settings consistently show that while students can connect new material to past concepts and demonstrate confidence when topics overlap with prior experiences, recall of specific terms and theories from previous years may lag, signaling a gap between gist memory and technical vocabulary that scaffolding can address. Consequently, Learning Retention Enhancement Programs should incorporate diagnostic assessments and targeted review activities to normalize variability in foundational skills and support long-term retention through retrieval practice and explicit language support. This synthesis reinforces the imperative to align instructional design with learners’ prior knowledge profiles to sustain retention across subject domains (Sanchez &amp; Dagondon, 2025).</w:t>
      </w:r>
    </w:p>
    <w:p w14:paraId="42C2A5EC" w14:textId="77777777" w:rsidR="00321E98" w:rsidRPr="008A6B6D" w:rsidRDefault="00321E98" w:rsidP="00A44D52">
      <w:pPr>
        <w:jc w:val="both"/>
        <w:rPr>
          <w:rFonts w:ascii="Arial" w:hAnsi="Arial" w:cs="Arial"/>
          <w:lang w:eastAsia="en-PH"/>
        </w:rPr>
      </w:pPr>
    </w:p>
    <w:p w14:paraId="40643742" w14:textId="77777777" w:rsidR="00321E98" w:rsidRPr="008A6B6D" w:rsidRDefault="00321E98" w:rsidP="00321E98">
      <w:pPr>
        <w:ind w:firstLine="720"/>
        <w:jc w:val="both"/>
        <w:rPr>
          <w:rFonts w:ascii="Arial" w:hAnsi="Arial" w:cs="Arial"/>
          <w:lang w:eastAsia="en-PH"/>
        </w:rPr>
      </w:pPr>
    </w:p>
    <w:p w14:paraId="5FA8C7BA" w14:textId="77777777" w:rsidR="001E51D5" w:rsidRPr="008A6B6D" w:rsidRDefault="001E51D5" w:rsidP="001E51D5">
      <w:pPr>
        <w:rPr>
          <w:rFonts w:ascii="Arial" w:hAnsi="Arial" w:cs="Arial"/>
          <w:b/>
          <w:lang w:eastAsia="en-PH"/>
        </w:rPr>
      </w:pPr>
      <w:r w:rsidRPr="008A6B6D">
        <w:rPr>
          <w:rFonts w:ascii="Arial" w:hAnsi="Arial" w:cs="Arial"/>
          <w:b/>
          <w:lang w:eastAsia="en-PH"/>
        </w:rPr>
        <w:t>Table 13. Intrinsic motivation</w:t>
      </w:r>
    </w:p>
    <w:tbl>
      <w:tblPr>
        <w:tblW w:w="8208" w:type="dxa"/>
        <w:tblLayout w:type="fixed"/>
        <w:tblLook w:val="04A0" w:firstRow="1" w:lastRow="0" w:firstColumn="1" w:lastColumn="0" w:noHBand="0" w:noVBand="1"/>
      </w:tblPr>
      <w:tblGrid>
        <w:gridCol w:w="3888"/>
        <w:gridCol w:w="1350"/>
        <w:gridCol w:w="1350"/>
        <w:gridCol w:w="1620"/>
      </w:tblGrid>
      <w:tr w:rsidR="001E51D5" w:rsidRPr="008A6B6D" w14:paraId="4AD48CE0" w14:textId="77777777" w:rsidTr="00321E98">
        <w:trPr>
          <w:trHeight w:val="93"/>
        </w:trPr>
        <w:tc>
          <w:tcPr>
            <w:tcW w:w="3888" w:type="dxa"/>
            <w:tcBorders>
              <w:top w:val="single" w:sz="4" w:space="0" w:color="auto"/>
              <w:bottom w:val="single" w:sz="4" w:space="0" w:color="auto"/>
            </w:tcBorders>
            <w:vAlign w:val="center"/>
            <w:hideMark/>
          </w:tcPr>
          <w:p w14:paraId="690301DC"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350" w:type="dxa"/>
            <w:tcBorders>
              <w:top w:val="single" w:sz="4" w:space="0" w:color="auto"/>
              <w:bottom w:val="single" w:sz="4" w:space="0" w:color="auto"/>
            </w:tcBorders>
            <w:vAlign w:val="center"/>
            <w:hideMark/>
          </w:tcPr>
          <w:p w14:paraId="336B4637"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350" w:type="dxa"/>
            <w:tcBorders>
              <w:top w:val="single" w:sz="4" w:space="0" w:color="auto"/>
              <w:bottom w:val="single" w:sz="4" w:space="0" w:color="auto"/>
            </w:tcBorders>
            <w:vAlign w:val="center"/>
            <w:hideMark/>
          </w:tcPr>
          <w:p w14:paraId="35717809"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620" w:type="dxa"/>
            <w:tcBorders>
              <w:top w:val="single" w:sz="4" w:space="0" w:color="auto"/>
              <w:bottom w:val="single" w:sz="4" w:space="0" w:color="auto"/>
            </w:tcBorders>
            <w:vAlign w:val="center"/>
            <w:hideMark/>
          </w:tcPr>
          <w:p w14:paraId="5D16B2C1"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5C4D6B99" w14:textId="77777777" w:rsidTr="00321E98">
        <w:trPr>
          <w:trHeight w:val="93"/>
        </w:trPr>
        <w:tc>
          <w:tcPr>
            <w:tcW w:w="3888" w:type="dxa"/>
            <w:tcBorders>
              <w:top w:val="single" w:sz="4" w:space="0" w:color="auto"/>
            </w:tcBorders>
            <w:vAlign w:val="center"/>
            <w:hideMark/>
          </w:tcPr>
          <w:p w14:paraId="572D4364"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show a genuine curiosity to learn beyond just getting high grades.</w:t>
            </w:r>
          </w:p>
        </w:tc>
        <w:tc>
          <w:tcPr>
            <w:tcW w:w="1350" w:type="dxa"/>
            <w:tcBorders>
              <w:top w:val="single" w:sz="4" w:space="0" w:color="auto"/>
            </w:tcBorders>
            <w:vAlign w:val="center"/>
            <w:hideMark/>
          </w:tcPr>
          <w:p w14:paraId="7E7F413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3.81</w:t>
            </w:r>
          </w:p>
        </w:tc>
        <w:tc>
          <w:tcPr>
            <w:tcW w:w="1350" w:type="dxa"/>
            <w:tcBorders>
              <w:top w:val="single" w:sz="4" w:space="0" w:color="auto"/>
            </w:tcBorders>
            <w:vAlign w:val="center"/>
            <w:hideMark/>
          </w:tcPr>
          <w:p w14:paraId="72F6F9A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0.88</w:t>
            </w:r>
          </w:p>
        </w:tc>
        <w:tc>
          <w:tcPr>
            <w:tcW w:w="1620" w:type="dxa"/>
            <w:tcBorders>
              <w:top w:val="single" w:sz="4" w:space="0" w:color="auto"/>
            </w:tcBorders>
            <w:vAlign w:val="center"/>
            <w:hideMark/>
          </w:tcPr>
          <w:p w14:paraId="07D39D7D"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72E5C980" w14:textId="77777777" w:rsidTr="00321E98">
        <w:trPr>
          <w:trHeight w:val="93"/>
        </w:trPr>
        <w:tc>
          <w:tcPr>
            <w:tcW w:w="3888" w:type="dxa"/>
            <w:vAlign w:val="center"/>
            <w:hideMark/>
          </w:tcPr>
          <w:p w14:paraId="2125A659"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actively participate in discussions because they find the topic interesting.</w:t>
            </w:r>
          </w:p>
        </w:tc>
        <w:tc>
          <w:tcPr>
            <w:tcW w:w="1350" w:type="dxa"/>
            <w:vAlign w:val="center"/>
            <w:hideMark/>
          </w:tcPr>
          <w:p w14:paraId="3C6B6F0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4.20</w:t>
            </w:r>
          </w:p>
        </w:tc>
        <w:tc>
          <w:tcPr>
            <w:tcW w:w="1350" w:type="dxa"/>
            <w:vAlign w:val="center"/>
            <w:hideMark/>
          </w:tcPr>
          <w:p w14:paraId="008F89C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0.83</w:t>
            </w:r>
          </w:p>
        </w:tc>
        <w:tc>
          <w:tcPr>
            <w:tcW w:w="1620" w:type="dxa"/>
            <w:vAlign w:val="center"/>
            <w:hideMark/>
          </w:tcPr>
          <w:p w14:paraId="1DA58B8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44C2F045" w14:textId="77777777" w:rsidTr="00321E98">
        <w:trPr>
          <w:trHeight w:val="93"/>
        </w:trPr>
        <w:tc>
          <w:tcPr>
            <w:tcW w:w="3888" w:type="dxa"/>
            <w:vAlign w:val="center"/>
            <w:hideMark/>
          </w:tcPr>
          <w:p w14:paraId="74701F95"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seek clarification on difficult topics without being prompted.</w:t>
            </w:r>
          </w:p>
        </w:tc>
        <w:tc>
          <w:tcPr>
            <w:tcW w:w="1350" w:type="dxa"/>
            <w:vAlign w:val="center"/>
            <w:hideMark/>
          </w:tcPr>
          <w:p w14:paraId="0C7884E7"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3.90</w:t>
            </w:r>
          </w:p>
        </w:tc>
        <w:tc>
          <w:tcPr>
            <w:tcW w:w="1350" w:type="dxa"/>
            <w:vAlign w:val="center"/>
            <w:hideMark/>
          </w:tcPr>
          <w:p w14:paraId="068F497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0.95</w:t>
            </w:r>
          </w:p>
        </w:tc>
        <w:tc>
          <w:tcPr>
            <w:tcW w:w="1620" w:type="dxa"/>
            <w:vAlign w:val="center"/>
            <w:hideMark/>
          </w:tcPr>
          <w:p w14:paraId="42013E6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4EE9838A" w14:textId="77777777" w:rsidTr="00321E98">
        <w:trPr>
          <w:trHeight w:val="93"/>
        </w:trPr>
        <w:tc>
          <w:tcPr>
            <w:tcW w:w="3888" w:type="dxa"/>
            <w:vAlign w:val="center"/>
            <w:hideMark/>
          </w:tcPr>
          <w:p w14:paraId="05886987"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express satisfaction when they master a complex skill or concept.</w:t>
            </w:r>
          </w:p>
        </w:tc>
        <w:tc>
          <w:tcPr>
            <w:tcW w:w="1350" w:type="dxa"/>
            <w:vAlign w:val="center"/>
            <w:hideMark/>
          </w:tcPr>
          <w:p w14:paraId="5D450714"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4.18</w:t>
            </w:r>
          </w:p>
        </w:tc>
        <w:tc>
          <w:tcPr>
            <w:tcW w:w="1350" w:type="dxa"/>
            <w:vAlign w:val="center"/>
            <w:hideMark/>
          </w:tcPr>
          <w:p w14:paraId="3C2D7C7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0.88</w:t>
            </w:r>
          </w:p>
        </w:tc>
        <w:tc>
          <w:tcPr>
            <w:tcW w:w="1620" w:type="dxa"/>
            <w:vAlign w:val="center"/>
            <w:hideMark/>
          </w:tcPr>
          <w:p w14:paraId="380C677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76F440A0" w14:textId="77777777" w:rsidTr="00321E98">
        <w:trPr>
          <w:trHeight w:val="93"/>
        </w:trPr>
        <w:tc>
          <w:tcPr>
            <w:tcW w:w="3888" w:type="dxa"/>
            <w:tcBorders>
              <w:bottom w:val="single" w:sz="4" w:space="0" w:color="auto"/>
            </w:tcBorders>
            <w:vAlign w:val="center"/>
            <w:hideMark/>
          </w:tcPr>
          <w:p w14:paraId="6F681A06"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take initiative to explore additional resources related to the lesson.</w:t>
            </w:r>
          </w:p>
        </w:tc>
        <w:tc>
          <w:tcPr>
            <w:tcW w:w="1350" w:type="dxa"/>
            <w:tcBorders>
              <w:bottom w:val="single" w:sz="4" w:space="0" w:color="auto"/>
            </w:tcBorders>
            <w:vAlign w:val="center"/>
            <w:hideMark/>
          </w:tcPr>
          <w:p w14:paraId="07BB50AB"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3.67</w:t>
            </w:r>
          </w:p>
        </w:tc>
        <w:tc>
          <w:tcPr>
            <w:tcW w:w="1350" w:type="dxa"/>
            <w:tcBorders>
              <w:bottom w:val="single" w:sz="4" w:space="0" w:color="auto"/>
            </w:tcBorders>
            <w:vAlign w:val="center"/>
            <w:hideMark/>
          </w:tcPr>
          <w:p w14:paraId="3812669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1.03</w:t>
            </w:r>
          </w:p>
        </w:tc>
        <w:tc>
          <w:tcPr>
            <w:tcW w:w="1620" w:type="dxa"/>
            <w:tcBorders>
              <w:bottom w:val="single" w:sz="4" w:space="0" w:color="auto"/>
            </w:tcBorders>
            <w:vAlign w:val="center"/>
            <w:hideMark/>
          </w:tcPr>
          <w:p w14:paraId="34F6B11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282754A0" w14:textId="77777777" w:rsidTr="00321E98">
        <w:trPr>
          <w:trHeight w:val="93"/>
        </w:trPr>
        <w:tc>
          <w:tcPr>
            <w:tcW w:w="3888" w:type="dxa"/>
            <w:tcBorders>
              <w:top w:val="single" w:sz="4" w:space="0" w:color="auto"/>
              <w:bottom w:val="single" w:sz="4" w:space="0" w:color="auto"/>
            </w:tcBorders>
            <w:vAlign w:val="center"/>
            <w:hideMark/>
          </w:tcPr>
          <w:p w14:paraId="13603DB4"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350" w:type="dxa"/>
            <w:tcBorders>
              <w:top w:val="single" w:sz="4" w:space="0" w:color="auto"/>
              <w:bottom w:val="single" w:sz="4" w:space="0" w:color="auto"/>
            </w:tcBorders>
            <w:vAlign w:val="center"/>
            <w:hideMark/>
          </w:tcPr>
          <w:p w14:paraId="6E2BD45E"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3.95</w:t>
            </w:r>
          </w:p>
        </w:tc>
        <w:tc>
          <w:tcPr>
            <w:tcW w:w="1350" w:type="dxa"/>
            <w:tcBorders>
              <w:top w:val="single" w:sz="4" w:space="0" w:color="auto"/>
              <w:bottom w:val="single" w:sz="4" w:space="0" w:color="auto"/>
            </w:tcBorders>
            <w:vAlign w:val="center"/>
            <w:hideMark/>
          </w:tcPr>
          <w:p w14:paraId="227EF9E9" w14:textId="77777777" w:rsidR="001E51D5" w:rsidRPr="008A6B6D" w:rsidRDefault="001E51D5" w:rsidP="001E51D5">
            <w:pPr>
              <w:jc w:val="center"/>
              <w:rPr>
                <w:rFonts w:ascii="Arial" w:hAnsi="Arial" w:cs="Arial"/>
                <w:b/>
                <w:color w:val="1F1F1F"/>
                <w:lang w:eastAsia="en-PH"/>
              </w:rPr>
            </w:pPr>
          </w:p>
        </w:tc>
        <w:tc>
          <w:tcPr>
            <w:tcW w:w="1620" w:type="dxa"/>
            <w:tcBorders>
              <w:top w:val="single" w:sz="4" w:space="0" w:color="auto"/>
              <w:bottom w:val="single" w:sz="4" w:space="0" w:color="auto"/>
            </w:tcBorders>
            <w:vAlign w:val="center"/>
            <w:hideMark/>
          </w:tcPr>
          <w:p w14:paraId="7C461883"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Agree</w:t>
            </w:r>
          </w:p>
        </w:tc>
      </w:tr>
    </w:tbl>
    <w:p w14:paraId="07E63B7F" w14:textId="77777777" w:rsidR="001E51D5" w:rsidRPr="008A6B6D" w:rsidRDefault="001E51D5" w:rsidP="001E51D5">
      <w:pPr>
        <w:rPr>
          <w:rFonts w:ascii="Arial" w:hAnsi="Arial" w:cs="Arial"/>
          <w:bCs/>
          <w:sz w:val="16"/>
          <w:szCs w:val="16"/>
          <w:lang w:eastAsia="en-PH"/>
        </w:rPr>
      </w:pPr>
    </w:p>
    <w:p w14:paraId="2685218C"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Table 13 shows the level of intrinsic motivation among students as perceived by the teacher-respondents. The data reveal an overall weighted mean of 3.95, which falls under the verbal interpretation of "Agree." Among the indicators, the statement "Students actively participate in discussions because they find the topic interesting" received the highest weighted mean of 4.20, followed closely by "Students express satisfaction when they master a complex skill or </w:t>
      </w:r>
      <w:r w:rsidRPr="008A6B6D">
        <w:rPr>
          <w:rFonts w:ascii="Arial" w:hAnsi="Arial" w:cs="Arial"/>
          <w:bCs/>
          <w:color w:val="1F1F1F"/>
          <w:lang w:eastAsia="en-PH"/>
        </w:rPr>
        <w:lastRenderedPageBreak/>
        <w:t>concept" at 4.18. Conversely, the indicator "Students take initiative to explore additional resources related to the lesson" garnered the lowest weighted mean of 3.67, though it still remains within the "Agree" range. The relatively low standard deviations, particularly the 0.83 for student participation, suggest that the teachers' observations regarding these motivated behaviours were fairly consistent.</w:t>
      </w:r>
    </w:p>
    <w:p w14:paraId="5C64CA5B"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This implies that teachers perceive internal interest and the joy of mastery as significant drivers of student engagement, which are critical foundations for long-term learning retention. The high scores in interest-based participation and satisfaction upon mastery suggest that when students are emotionally and intellectually invested in the "why" of a lesson, they are more likely to encode information deeply. However, the lower mean for taking initiative to explore additional resources indicates that while students are motivated within the classroom structure, their self-directed learning habits are less developed. For the Learning Retention Enhancement Program, this suggests that while the students possess the necessary internal drive, the intervention should focus on transitioning this passive interest into active, independent study habits to ensure that knowledge is reinforced beyond the initial classroom discussion.</w:t>
      </w:r>
    </w:p>
    <w:p w14:paraId="21B3DE60" w14:textId="77777777" w:rsidR="00A44D52" w:rsidRPr="008A6B6D" w:rsidRDefault="00A44D52" w:rsidP="00A44D52">
      <w:pPr>
        <w:jc w:val="both"/>
        <w:rPr>
          <w:rFonts w:ascii="Arial" w:hAnsi="Arial" w:cs="Arial"/>
          <w:lang w:eastAsia="en-PH"/>
        </w:rPr>
      </w:pPr>
    </w:p>
    <w:p w14:paraId="0C66D023" w14:textId="77777777" w:rsidR="001E51D5" w:rsidRPr="008A6B6D" w:rsidRDefault="001E51D5" w:rsidP="00A44D52">
      <w:pPr>
        <w:jc w:val="both"/>
        <w:rPr>
          <w:rFonts w:ascii="Arial" w:hAnsi="Arial" w:cs="Arial"/>
          <w:lang w:eastAsia="en-PH"/>
        </w:rPr>
      </w:pPr>
      <w:r w:rsidRPr="008A6B6D">
        <w:rPr>
          <w:rFonts w:ascii="Arial" w:hAnsi="Arial" w:cs="Arial"/>
          <w:lang w:eastAsia="en-PH"/>
        </w:rPr>
        <w:t>This aligns with the study of intrinsic motivation as a driver of student engagement and mastery experiences in classroom settings, where curiosity, discussion participation, and satisfaction upon mastering concepts cluster as indicators of internal drive that supports deeper encoding and long-term retention. The findings from Table 13—especially high participation (4.20) and mastery satisfaction (4.18)—mirror theories that internal interest fuels sustained learning behaviours and deeper knowledge construction, while lower initiative for self-directed resource exploration suggests a need to scaffold self-regulated learning to sustain gains beyond the classroom. Taken together, this evidence supports integrating targeted interventions that translate intrinsic motivation into independent study habits to bolster learning retention in the Learning Retention Enhancement Program (Pan, 2023).</w:t>
      </w:r>
    </w:p>
    <w:p w14:paraId="5F4B7839" w14:textId="77777777" w:rsidR="001E51D5" w:rsidRPr="008A6B6D" w:rsidRDefault="001E51D5" w:rsidP="001E51D5">
      <w:pPr>
        <w:rPr>
          <w:rFonts w:ascii="Arial" w:hAnsi="Arial" w:cs="Arial"/>
          <w:b/>
          <w:lang w:eastAsia="en-PH"/>
        </w:rPr>
      </w:pPr>
    </w:p>
    <w:p w14:paraId="6D5014AC" w14:textId="77777777" w:rsidR="001E51D5" w:rsidRPr="008A6B6D" w:rsidRDefault="001E51D5" w:rsidP="001E51D5">
      <w:pPr>
        <w:rPr>
          <w:rFonts w:ascii="Arial" w:hAnsi="Arial" w:cs="Arial"/>
          <w:lang w:eastAsia="en-PH"/>
        </w:rPr>
      </w:pPr>
      <w:r w:rsidRPr="008A6B6D">
        <w:rPr>
          <w:rFonts w:ascii="Arial" w:hAnsi="Arial" w:cs="Arial"/>
          <w:b/>
          <w:lang w:eastAsia="en-PH"/>
        </w:rPr>
        <w:t>Table 14. Study Habits</w:t>
      </w:r>
    </w:p>
    <w:tbl>
      <w:tblPr>
        <w:tblW w:w="7938" w:type="dxa"/>
        <w:tblLook w:val="04A0" w:firstRow="1" w:lastRow="0" w:firstColumn="1" w:lastColumn="0" w:noHBand="0" w:noVBand="1"/>
      </w:tblPr>
      <w:tblGrid>
        <w:gridCol w:w="3528"/>
        <w:gridCol w:w="1116"/>
        <w:gridCol w:w="1494"/>
        <w:gridCol w:w="1800"/>
      </w:tblGrid>
      <w:tr w:rsidR="001E51D5" w:rsidRPr="008A6B6D" w14:paraId="11A7BA7E" w14:textId="77777777" w:rsidTr="00321E98">
        <w:trPr>
          <w:trHeight w:val="23"/>
        </w:trPr>
        <w:tc>
          <w:tcPr>
            <w:tcW w:w="3528" w:type="dxa"/>
            <w:tcBorders>
              <w:top w:val="single" w:sz="4" w:space="0" w:color="auto"/>
              <w:bottom w:val="single" w:sz="4" w:space="0" w:color="auto"/>
            </w:tcBorders>
            <w:vAlign w:val="center"/>
            <w:hideMark/>
          </w:tcPr>
          <w:p w14:paraId="3435EEE4"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116" w:type="dxa"/>
            <w:tcBorders>
              <w:top w:val="single" w:sz="4" w:space="0" w:color="auto"/>
              <w:bottom w:val="single" w:sz="4" w:space="0" w:color="auto"/>
            </w:tcBorders>
            <w:vAlign w:val="center"/>
            <w:hideMark/>
          </w:tcPr>
          <w:p w14:paraId="141A6398"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494" w:type="dxa"/>
            <w:tcBorders>
              <w:top w:val="single" w:sz="4" w:space="0" w:color="auto"/>
              <w:bottom w:val="single" w:sz="4" w:space="0" w:color="auto"/>
            </w:tcBorders>
            <w:vAlign w:val="center"/>
            <w:hideMark/>
          </w:tcPr>
          <w:p w14:paraId="536B6BA0"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800" w:type="dxa"/>
            <w:tcBorders>
              <w:top w:val="single" w:sz="4" w:space="0" w:color="auto"/>
              <w:bottom w:val="single" w:sz="4" w:space="0" w:color="auto"/>
            </w:tcBorders>
            <w:vAlign w:val="center"/>
            <w:hideMark/>
          </w:tcPr>
          <w:p w14:paraId="5B0CB5CF"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74E0B83C" w14:textId="77777777" w:rsidTr="00321E98">
        <w:trPr>
          <w:trHeight w:val="23"/>
        </w:trPr>
        <w:tc>
          <w:tcPr>
            <w:tcW w:w="3528" w:type="dxa"/>
            <w:tcBorders>
              <w:top w:val="single" w:sz="4" w:space="0" w:color="auto"/>
            </w:tcBorders>
            <w:vAlign w:val="center"/>
            <w:hideMark/>
          </w:tcPr>
          <w:p w14:paraId="6AAA23A6"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consistently review their notes before a scheduled assessment.</w:t>
            </w:r>
          </w:p>
        </w:tc>
        <w:tc>
          <w:tcPr>
            <w:tcW w:w="1116" w:type="dxa"/>
            <w:tcBorders>
              <w:top w:val="single" w:sz="4" w:space="0" w:color="auto"/>
            </w:tcBorders>
            <w:vAlign w:val="center"/>
            <w:hideMark/>
          </w:tcPr>
          <w:p w14:paraId="1C269A2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3.38</w:t>
            </w:r>
          </w:p>
        </w:tc>
        <w:tc>
          <w:tcPr>
            <w:tcW w:w="1494" w:type="dxa"/>
            <w:tcBorders>
              <w:top w:val="single" w:sz="4" w:space="0" w:color="auto"/>
            </w:tcBorders>
            <w:vAlign w:val="center"/>
            <w:hideMark/>
          </w:tcPr>
          <w:p w14:paraId="0FF3C360"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1.12</w:t>
            </w:r>
          </w:p>
        </w:tc>
        <w:tc>
          <w:tcPr>
            <w:tcW w:w="1800" w:type="dxa"/>
            <w:tcBorders>
              <w:top w:val="single" w:sz="4" w:space="0" w:color="auto"/>
            </w:tcBorders>
            <w:vAlign w:val="center"/>
            <w:hideMark/>
          </w:tcPr>
          <w:p w14:paraId="159AF61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65EA3266" w14:textId="77777777" w:rsidTr="00321E98">
        <w:trPr>
          <w:trHeight w:val="23"/>
        </w:trPr>
        <w:tc>
          <w:tcPr>
            <w:tcW w:w="3528" w:type="dxa"/>
            <w:vAlign w:val="center"/>
            <w:hideMark/>
          </w:tcPr>
          <w:p w14:paraId="6C08BFBE"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demonstrate effective techniques for organizing their learning materials.</w:t>
            </w:r>
          </w:p>
        </w:tc>
        <w:tc>
          <w:tcPr>
            <w:tcW w:w="1116" w:type="dxa"/>
            <w:vAlign w:val="center"/>
            <w:hideMark/>
          </w:tcPr>
          <w:p w14:paraId="26B0D63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3.52</w:t>
            </w:r>
          </w:p>
        </w:tc>
        <w:tc>
          <w:tcPr>
            <w:tcW w:w="1494" w:type="dxa"/>
            <w:vAlign w:val="center"/>
            <w:hideMark/>
          </w:tcPr>
          <w:p w14:paraId="6917792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1.06</w:t>
            </w:r>
          </w:p>
        </w:tc>
        <w:tc>
          <w:tcPr>
            <w:tcW w:w="1800" w:type="dxa"/>
            <w:vAlign w:val="center"/>
            <w:hideMark/>
          </w:tcPr>
          <w:p w14:paraId="4490110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414811FF" w14:textId="77777777" w:rsidTr="00321E98">
        <w:trPr>
          <w:trHeight w:val="23"/>
        </w:trPr>
        <w:tc>
          <w:tcPr>
            <w:tcW w:w="3528" w:type="dxa"/>
            <w:vAlign w:val="center"/>
            <w:hideMark/>
          </w:tcPr>
          <w:p w14:paraId="649C72BB"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complete their homework and assignments on time.</w:t>
            </w:r>
          </w:p>
        </w:tc>
        <w:tc>
          <w:tcPr>
            <w:tcW w:w="1116" w:type="dxa"/>
            <w:vAlign w:val="center"/>
            <w:hideMark/>
          </w:tcPr>
          <w:p w14:paraId="60EA5D8D"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3.25</w:t>
            </w:r>
          </w:p>
        </w:tc>
        <w:tc>
          <w:tcPr>
            <w:tcW w:w="1494" w:type="dxa"/>
            <w:vAlign w:val="center"/>
            <w:hideMark/>
          </w:tcPr>
          <w:p w14:paraId="1A13E07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1.12</w:t>
            </w:r>
          </w:p>
        </w:tc>
        <w:tc>
          <w:tcPr>
            <w:tcW w:w="1800" w:type="dxa"/>
            <w:vAlign w:val="center"/>
            <w:hideMark/>
          </w:tcPr>
          <w:p w14:paraId="0796DA7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4F453493" w14:textId="77777777" w:rsidTr="00321E98">
        <w:trPr>
          <w:trHeight w:val="23"/>
        </w:trPr>
        <w:tc>
          <w:tcPr>
            <w:tcW w:w="3528" w:type="dxa"/>
            <w:vAlign w:val="center"/>
            <w:hideMark/>
          </w:tcPr>
          <w:p w14:paraId="04E74CC4"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practice self-testing or retrieval practice (e.g., using flashcards).</w:t>
            </w:r>
          </w:p>
        </w:tc>
        <w:tc>
          <w:tcPr>
            <w:tcW w:w="1116" w:type="dxa"/>
            <w:vAlign w:val="center"/>
            <w:hideMark/>
          </w:tcPr>
          <w:p w14:paraId="3878A89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3.36</w:t>
            </w:r>
          </w:p>
        </w:tc>
        <w:tc>
          <w:tcPr>
            <w:tcW w:w="1494" w:type="dxa"/>
            <w:vAlign w:val="center"/>
            <w:hideMark/>
          </w:tcPr>
          <w:p w14:paraId="07E9455D"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0.95</w:t>
            </w:r>
          </w:p>
        </w:tc>
        <w:tc>
          <w:tcPr>
            <w:tcW w:w="1800" w:type="dxa"/>
            <w:vAlign w:val="center"/>
            <w:hideMark/>
          </w:tcPr>
          <w:p w14:paraId="1B16A85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5C6CBA3A" w14:textId="77777777" w:rsidTr="00321E98">
        <w:trPr>
          <w:trHeight w:val="23"/>
        </w:trPr>
        <w:tc>
          <w:tcPr>
            <w:tcW w:w="3528" w:type="dxa"/>
            <w:tcBorders>
              <w:bottom w:val="single" w:sz="4" w:space="0" w:color="auto"/>
            </w:tcBorders>
            <w:vAlign w:val="center"/>
            <w:hideMark/>
          </w:tcPr>
          <w:p w14:paraId="2CFEC7DE"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allocate specific time at home for academic review and reflection.</w:t>
            </w:r>
          </w:p>
        </w:tc>
        <w:tc>
          <w:tcPr>
            <w:tcW w:w="1116" w:type="dxa"/>
            <w:tcBorders>
              <w:bottom w:val="single" w:sz="4" w:space="0" w:color="auto"/>
            </w:tcBorders>
            <w:vAlign w:val="center"/>
            <w:hideMark/>
          </w:tcPr>
          <w:p w14:paraId="454648AB"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3.25</w:t>
            </w:r>
          </w:p>
        </w:tc>
        <w:tc>
          <w:tcPr>
            <w:tcW w:w="1494" w:type="dxa"/>
            <w:tcBorders>
              <w:bottom w:val="single" w:sz="4" w:space="0" w:color="auto"/>
            </w:tcBorders>
            <w:vAlign w:val="center"/>
            <w:hideMark/>
          </w:tcPr>
          <w:p w14:paraId="345EAAB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1.06</w:t>
            </w:r>
          </w:p>
        </w:tc>
        <w:tc>
          <w:tcPr>
            <w:tcW w:w="1800" w:type="dxa"/>
            <w:tcBorders>
              <w:bottom w:val="single" w:sz="4" w:space="0" w:color="auto"/>
            </w:tcBorders>
            <w:vAlign w:val="center"/>
            <w:hideMark/>
          </w:tcPr>
          <w:p w14:paraId="2EC87CE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08D868BE" w14:textId="77777777" w:rsidTr="00321E98">
        <w:trPr>
          <w:trHeight w:val="23"/>
        </w:trPr>
        <w:tc>
          <w:tcPr>
            <w:tcW w:w="3528" w:type="dxa"/>
            <w:tcBorders>
              <w:top w:val="single" w:sz="4" w:space="0" w:color="auto"/>
              <w:bottom w:val="single" w:sz="4" w:space="0" w:color="auto"/>
            </w:tcBorders>
            <w:vAlign w:val="center"/>
            <w:hideMark/>
          </w:tcPr>
          <w:p w14:paraId="52313D21"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116" w:type="dxa"/>
            <w:tcBorders>
              <w:top w:val="single" w:sz="4" w:space="0" w:color="auto"/>
              <w:bottom w:val="single" w:sz="4" w:space="0" w:color="auto"/>
            </w:tcBorders>
            <w:vAlign w:val="center"/>
            <w:hideMark/>
          </w:tcPr>
          <w:p w14:paraId="4602F0B5"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3.35</w:t>
            </w:r>
          </w:p>
        </w:tc>
        <w:tc>
          <w:tcPr>
            <w:tcW w:w="1494" w:type="dxa"/>
            <w:tcBorders>
              <w:top w:val="single" w:sz="4" w:space="0" w:color="auto"/>
              <w:bottom w:val="single" w:sz="4" w:space="0" w:color="auto"/>
            </w:tcBorders>
            <w:vAlign w:val="center"/>
            <w:hideMark/>
          </w:tcPr>
          <w:p w14:paraId="79D921CC" w14:textId="77777777" w:rsidR="001E51D5" w:rsidRPr="008A6B6D" w:rsidRDefault="001E51D5" w:rsidP="001E51D5">
            <w:pPr>
              <w:jc w:val="center"/>
              <w:rPr>
                <w:rFonts w:ascii="Arial" w:hAnsi="Arial" w:cs="Arial"/>
                <w:b/>
                <w:color w:val="1F1F1F"/>
                <w:lang w:eastAsia="en-PH"/>
              </w:rPr>
            </w:pPr>
          </w:p>
        </w:tc>
        <w:tc>
          <w:tcPr>
            <w:tcW w:w="1800" w:type="dxa"/>
            <w:tcBorders>
              <w:top w:val="single" w:sz="4" w:space="0" w:color="auto"/>
              <w:bottom w:val="single" w:sz="4" w:space="0" w:color="auto"/>
            </w:tcBorders>
            <w:vAlign w:val="center"/>
            <w:hideMark/>
          </w:tcPr>
          <w:p w14:paraId="19F28B58"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Neither Agree Nor Disagree</w:t>
            </w:r>
          </w:p>
        </w:tc>
      </w:tr>
    </w:tbl>
    <w:p w14:paraId="7136F638" w14:textId="77777777" w:rsidR="00A44D52" w:rsidRPr="008A6B6D" w:rsidRDefault="00A44D52" w:rsidP="00A44D52">
      <w:pPr>
        <w:jc w:val="both"/>
        <w:rPr>
          <w:rFonts w:ascii="Arial" w:hAnsi="Arial" w:cs="Arial"/>
          <w:bCs/>
          <w:color w:val="1F1F1F"/>
          <w:lang w:eastAsia="en-PH"/>
        </w:rPr>
      </w:pPr>
    </w:p>
    <w:p w14:paraId="6490C132"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Table 14 shows the teacher-respondents’ perceptions regarding the study habits of Junior High School students, yielding an overall weighted mean of 3.35, which is verbally interpreted as "Neither Agree nor Disagree." Among the specific indicators, only the ability of students to demonstrate effective techniques for organising learning materials received a positive rating with a weighted mean of 3.52 ("Agree"). In contrast, all other indicators—including consistent </w:t>
      </w:r>
      <w:r w:rsidRPr="008A6B6D">
        <w:rPr>
          <w:rFonts w:ascii="Arial" w:hAnsi="Arial" w:cs="Arial"/>
          <w:bCs/>
          <w:color w:val="1F1F1F"/>
          <w:lang w:eastAsia="en-PH"/>
        </w:rPr>
        <w:lastRenderedPageBreak/>
        <w:t>note review (3.38), self-testing or retrieval practice (3.36), and both timely completion of homework and allocation of specific review time (both at 3.25) — fell within the neutral range of "Neither Agree nor Disagree." These figures suggest a perceived inconsistency or lack of robust academic discipline among the student body from the teachers' perspective.</w:t>
      </w:r>
    </w:p>
    <w:p w14:paraId="205088F0"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This implies that teachers perceive a significant deficit in the independent learning behaviours and metacognitive strategies of their students, which likely serves as a primary barrier to long-term learning retention. While students may be able to organise their materials, the lack of consistent retrieval practice and dedicated home study time suggests that information is not being successfully transferred from short-term to long-term memory. This "neutral" perception highlights a critical disconnect between classroom instruction and home-based reinforcement. Consequently, the Learning Retention Enhancement Program must go beyond classroom-based teaching strategies and include a strong component for student study skills training, specifically teaching learners how to use active recall and spaced repetition techniques to bridge the gap between initial learning and lasting retention.</w:t>
      </w:r>
    </w:p>
    <w:p w14:paraId="4CA216A2" w14:textId="77777777" w:rsidR="00A44D52" w:rsidRPr="008A6B6D" w:rsidRDefault="00A44D52" w:rsidP="00A44D52">
      <w:pPr>
        <w:jc w:val="both"/>
        <w:rPr>
          <w:rFonts w:ascii="Arial" w:hAnsi="Arial" w:cs="Arial"/>
          <w:lang w:eastAsia="en-PH"/>
        </w:rPr>
      </w:pPr>
    </w:p>
    <w:p w14:paraId="014B2E94" w14:textId="77777777" w:rsidR="001E51D5" w:rsidRPr="008A6B6D" w:rsidRDefault="001E51D5" w:rsidP="00A44D52">
      <w:pPr>
        <w:jc w:val="both"/>
        <w:rPr>
          <w:rFonts w:ascii="Arial" w:hAnsi="Arial" w:cs="Arial"/>
          <w:lang w:eastAsia="en-PH"/>
        </w:rPr>
      </w:pPr>
      <w:r w:rsidRPr="008A6B6D">
        <w:rPr>
          <w:rFonts w:ascii="Arial" w:hAnsi="Arial" w:cs="Arial"/>
          <w:lang w:eastAsia="en-PH"/>
        </w:rPr>
        <w:t>This aligns with the study of independent study skills and retrieval-based learning as critical determinants of learning retention among junior high students. Specifically, teacher perceptions highlighting inconsistent retrieval practices and limited home study time echo evidence that retrieval practice and spaced study are key for long-term retention and transfer and that explicit instruction in active recall strategies improves academic outcomes. These findings collectively support integrating structured study skills training, including retrieval practice and spacing, into retention-enhancement programmes to bridge classroom learning with home reinforcement (Corral &amp; Carpenter, 2025; Franzoi et al., 2025; Ruitenburg et al., 2025).</w:t>
      </w:r>
    </w:p>
    <w:p w14:paraId="3C46A28E" w14:textId="77777777" w:rsidR="001E51D5" w:rsidRPr="008A6B6D" w:rsidRDefault="001E51D5" w:rsidP="00321E98">
      <w:pPr>
        <w:ind w:firstLine="720"/>
        <w:jc w:val="both"/>
        <w:rPr>
          <w:rFonts w:ascii="Arial" w:hAnsi="Arial" w:cs="Arial"/>
          <w:lang w:eastAsia="en-PH"/>
        </w:rPr>
      </w:pPr>
    </w:p>
    <w:p w14:paraId="7CD703AA" w14:textId="77777777" w:rsidR="001E51D5" w:rsidRPr="008A6B6D" w:rsidRDefault="001E51D5" w:rsidP="00321E98">
      <w:pPr>
        <w:rPr>
          <w:rFonts w:ascii="Arial" w:hAnsi="Arial" w:cs="Arial"/>
          <w:lang w:eastAsia="en-PH"/>
        </w:rPr>
      </w:pPr>
    </w:p>
    <w:p w14:paraId="5FB49382" w14:textId="77777777" w:rsidR="001E51D5" w:rsidRPr="008A6B6D" w:rsidRDefault="001E51D5" w:rsidP="001E51D5">
      <w:pPr>
        <w:rPr>
          <w:rFonts w:ascii="Arial" w:hAnsi="Arial" w:cs="Arial"/>
          <w:b/>
          <w:lang w:eastAsia="en-PH"/>
        </w:rPr>
      </w:pPr>
      <w:r w:rsidRPr="008A6B6D">
        <w:rPr>
          <w:rFonts w:ascii="Arial" w:hAnsi="Arial" w:cs="Arial"/>
          <w:b/>
          <w:lang w:eastAsia="en-PH"/>
        </w:rPr>
        <w:t>Table 15. Attention Span</w:t>
      </w:r>
    </w:p>
    <w:tbl>
      <w:tblPr>
        <w:tblW w:w="8190" w:type="dxa"/>
        <w:tblLook w:val="04A0" w:firstRow="1" w:lastRow="0" w:firstColumn="1" w:lastColumn="0" w:noHBand="0" w:noVBand="1"/>
      </w:tblPr>
      <w:tblGrid>
        <w:gridCol w:w="3618"/>
        <w:gridCol w:w="1122"/>
        <w:gridCol w:w="1668"/>
        <w:gridCol w:w="1782"/>
      </w:tblGrid>
      <w:tr w:rsidR="001E51D5" w:rsidRPr="008A6B6D" w14:paraId="33648AF0" w14:textId="77777777" w:rsidTr="00A44D52">
        <w:trPr>
          <w:trHeight w:val="87"/>
        </w:trPr>
        <w:tc>
          <w:tcPr>
            <w:tcW w:w="3618" w:type="dxa"/>
            <w:tcBorders>
              <w:top w:val="single" w:sz="4" w:space="0" w:color="auto"/>
              <w:bottom w:val="single" w:sz="4" w:space="0" w:color="auto"/>
            </w:tcBorders>
            <w:vAlign w:val="center"/>
            <w:hideMark/>
          </w:tcPr>
          <w:p w14:paraId="2D8BBAB8"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122" w:type="dxa"/>
            <w:tcBorders>
              <w:top w:val="single" w:sz="4" w:space="0" w:color="auto"/>
              <w:bottom w:val="single" w:sz="4" w:space="0" w:color="auto"/>
            </w:tcBorders>
            <w:vAlign w:val="center"/>
            <w:hideMark/>
          </w:tcPr>
          <w:p w14:paraId="6486EC2C"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668" w:type="dxa"/>
            <w:tcBorders>
              <w:top w:val="single" w:sz="4" w:space="0" w:color="auto"/>
              <w:bottom w:val="single" w:sz="4" w:space="0" w:color="auto"/>
            </w:tcBorders>
            <w:vAlign w:val="center"/>
            <w:hideMark/>
          </w:tcPr>
          <w:p w14:paraId="271F5131"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782" w:type="dxa"/>
            <w:tcBorders>
              <w:top w:val="single" w:sz="4" w:space="0" w:color="auto"/>
              <w:bottom w:val="single" w:sz="4" w:space="0" w:color="auto"/>
            </w:tcBorders>
            <w:vAlign w:val="center"/>
            <w:hideMark/>
          </w:tcPr>
          <w:p w14:paraId="777A8C48"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4EAAB7CA" w14:textId="77777777" w:rsidTr="00A44D52">
        <w:trPr>
          <w:trHeight w:val="87"/>
        </w:trPr>
        <w:tc>
          <w:tcPr>
            <w:tcW w:w="3618" w:type="dxa"/>
            <w:tcBorders>
              <w:top w:val="single" w:sz="4" w:space="0" w:color="auto"/>
            </w:tcBorders>
            <w:vAlign w:val="center"/>
            <w:hideMark/>
          </w:tcPr>
          <w:p w14:paraId="3332D881"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1. Students remain focused on the teacher's lecture for the entire duration.</w:t>
            </w:r>
          </w:p>
        </w:tc>
        <w:tc>
          <w:tcPr>
            <w:tcW w:w="1122" w:type="dxa"/>
            <w:tcBorders>
              <w:top w:val="single" w:sz="4" w:space="0" w:color="auto"/>
            </w:tcBorders>
            <w:vAlign w:val="center"/>
            <w:hideMark/>
          </w:tcPr>
          <w:p w14:paraId="40A892F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3.33</w:t>
            </w:r>
          </w:p>
        </w:tc>
        <w:tc>
          <w:tcPr>
            <w:tcW w:w="1668" w:type="dxa"/>
            <w:tcBorders>
              <w:top w:val="single" w:sz="4" w:space="0" w:color="auto"/>
            </w:tcBorders>
            <w:vAlign w:val="center"/>
            <w:hideMark/>
          </w:tcPr>
          <w:p w14:paraId="1E1C1B14"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1.11</w:t>
            </w:r>
          </w:p>
        </w:tc>
        <w:tc>
          <w:tcPr>
            <w:tcW w:w="1782" w:type="dxa"/>
            <w:tcBorders>
              <w:top w:val="single" w:sz="4" w:space="0" w:color="auto"/>
            </w:tcBorders>
            <w:vAlign w:val="center"/>
            <w:hideMark/>
          </w:tcPr>
          <w:p w14:paraId="37478AF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1DE766CD" w14:textId="77777777" w:rsidTr="00A44D52">
        <w:trPr>
          <w:trHeight w:val="87"/>
        </w:trPr>
        <w:tc>
          <w:tcPr>
            <w:tcW w:w="3618" w:type="dxa"/>
            <w:vAlign w:val="center"/>
            <w:hideMark/>
          </w:tcPr>
          <w:p w14:paraId="0659919C"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2. Students can work on a single task for a long period without getting distracted.</w:t>
            </w:r>
          </w:p>
        </w:tc>
        <w:tc>
          <w:tcPr>
            <w:tcW w:w="1122" w:type="dxa"/>
            <w:vAlign w:val="center"/>
            <w:hideMark/>
          </w:tcPr>
          <w:p w14:paraId="3533BD4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3.06</w:t>
            </w:r>
          </w:p>
        </w:tc>
        <w:tc>
          <w:tcPr>
            <w:tcW w:w="1668" w:type="dxa"/>
            <w:vAlign w:val="center"/>
            <w:hideMark/>
          </w:tcPr>
          <w:p w14:paraId="1CF02734"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1.09</w:t>
            </w:r>
          </w:p>
        </w:tc>
        <w:tc>
          <w:tcPr>
            <w:tcW w:w="1782" w:type="dxa"/>
            <w:vAlign w:val="center"/>
            <w:hideMark/>
          </w:tcPr>
          <w:p w14:paraId="441CBF6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5BE69FD6" w14:textId="77777777" w:rsidTr="00A44D52">
        <w:trPr>
          <w:trHeight w:val="87"/>
        </w:trPr>
        <w:tc>
          <w:tcPr>
            <w:tcW w:w="3618" w:type="dxa"/>
            <w:vAlign w:val="center"/>
            <w:hideMark/>
          </w:tcPr>
          <w:p w14:paraId="515F8988"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3. Students follow multi-step instructions without needing constant repetition.</w:t>
            </w:r>
          </w:p>
        </w:tc>
        <w:tc>
          <w:tcPr>
            <w:tcW w:w="1122" w:type="dxa"/>
            <w:vAlign w:val="center"/>
            <w:hideMark/>
          </w:tcPr>
          <w:p w14:paraId="592C160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3.08</w:t>
            </w:r>
          </w:p>
        </w:tc>
        <w:tc>
          <w:tcPr>
            <w:tcW w:w="1668" w:type="dxa"/>
            <w:vAlign w:val="center"/>
            <w:hideMark/>
          </w:tcPr>
          <w:p w14:paraId="0B56BCE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1.06</w:t>
            </w:r>
          </w:p>
        </w:tc>
        <w:tc>
          <w:tcPr>
            <w:tcW w:w="1782" w:type="dxa"/>
            <w:vAlign w:val="center"/>
            <w:hideMark/>
          </w:tcPr>
          <w:p w14:paraId="199A9F8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0B6C4B38" w14:textId="77777777" w:rsidTr="00A44D52">
        <w:trPr>
          <w:trHeight w:val="87"/>
        </w:trPr>
        <w:tc>
          <w:tcPr>
            <w:tcW w:w="3618" w:type="dxa"/>
            <w:vAlign w:val="center"/>
            <w:hideMark/>
          </w:tcPr>
          <w:p w14:paraId="398EAB83"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4. Students ignore external distractions (noise, classmates) during seatwork.</w:t>
            </w:r>
          </w:p>
        </w:tc>
        <w:tc>
          <w:tcPr>
            <w:tcW w:w="1122" w:type="dxa"/>
            <w:vAlign w:val="center"/>
            <w:hideMark/>
          </w:tcPr>
          <w:p w14:paraId="3156811B"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2.99</w:t>
            </w:r>
          </w:p>
        </w:tc>
        <w:tc>
          <w:tcPr>
            <w:tcW w:w="1668" w:type="dxa"/>
            <w:vAlign w:val="center"/>
            <w:hideMark/>
          </w:tcPr>
          <w:p w14:paraId="5EA3AB5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1.08</w:t>
            </w:r>
          </w:p>
        </w:tc>
        <w:tc>
          <w:tcPr>
            <w:tcW w:w="1782" w:type="dxa"/>
            <w:vAlign w:val="center"/>
            <w:hideMark/>
          </w:tcPr>
          <w:p w14:paraId="47F1343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5F682BCF" w14:textId="77777777" w:rsidTr="00A44D52">
        <w:trPr>
          <w:trHeight w:val="87"/>
        </w:trPr>
        <w:tc>
          <w:tcPr>
            <w:tcW w:w="3618" w:type="dxa"/>
            <w:tcBorders>
              <w:bottom w:val="single" w:sz="4" w:space="0" w:color="auto"/>
            </w:tcBorders>
            <w:vAlign w:val="center"/>
            <w:hideMark/>
          </w:tcPr>
          <w:p w14:paraId="548E49C8"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5. Students maintain eye contact and active engagement during classroom activities.</w:t>
            </w:r>
          </w:p>
        </w:tc>
        <w:tc>
          <w:tcPr>
            <w:tcW w:w="1122" w:type="dxa"/>
            <w:tcBorders>
              <w:bottom w:val="single" w:sz="4" w:space="0" w:color="auto"/>
            </w:tcBorders>
            <w:vAlign w:val="center"/>
            <w:hideMark/>
          </w:tcPr>
          <w:p w14:paraId="71B15E7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3.57</w:t>
            </w:r>
          </w:p>
        </w:tc>
        <w:tc>
          <w:tcPr>
            <w:tcW w:w="1668" w:type="dxa"/>
            <w:tcBorders>
              <w:bottom w:val="single" w:sz="4" w:space="0" w:color="auto"/>
            </w:tcBorders>
            <w:vAlign w:val="center"/>
            <w:hideMark/>
          </w:tcPr>
          <w:p w14:paraId="3C81C8C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0.97</w:t>
            </w:r>
          </w:p>
        </w:tc>
        <w:tc>
          <w:tcPr>
            <w:tcW w:w="1782" w:type="dxa"/>
            <w:tcBorders>
              <w:bottom w:val="single" w:sz="4" w:space="0" w:color="auto"/>
            </w:tcBorders>
            <w:vAlign w:val="center"/>
            <w:hideMark/>
          </w:tcPr>
          <w:p w14:paraId="5A007A7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31612EA6" w14:textId="77777777" w:rsidTr="00A44D52">
        <w:trPr>
          <w:trHeight w:val="87"/>
        </w:trPr>
        <w:tc>
          <w:tcPr>
            <w:tcW w:w="3618" w:type="dxa"/>
            <w:tcBorders>
              <w:top w:val="single" w:sz="4" w:space="0" w:color="auto"/>
              <w:bottom w:val="single" w:sz="4" w:space="0" w:color="auto"/>
            </w:tcBorders>
            <w:vAlign w:val="center"/>
            <w:hideMark/>
          </w:tcPr>
          <w:p w14:paraId="3A657D97"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122" w:type="dxa"/>
            <w:tcBorders>
              <w:top w:val="single" w:sz="4" w:space="0" w:color="auto"/>
              <w:bottom w:val="single" w:sz="4" w:space="0" w:color="auto"/>
            </w:tcBorders>
            <w:vAlign w:val="center"/>
            <w:hideMark/>
          </w:tcPr>
          <w:p w14:paraId="628FD814"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3.21</w:t>
            </w:r>
          </w:p>
        </w:tc>
        <w:tc>
          <w:tcPr>
            <w:tcW w:w="1668" w:type="dxa"/>
            <w:tcBorders>
              <w:top w:val="single" w:sz="4" w:space="0" w:color="auto"/>
              <w:bottom w:val="single" w:sz="4" w:space="0" w:color="auto"/>
            </w:tcBorders>
            <w:vAlign w:val="center"/>
            <w:hideMark/>
          </w:tcPr>
          <w:p w14:paraId="43616962" w14:textId="77777777" w:rsidR="001E51D5" w:rsidRPr="008A6B6D" w:rsidRDefault="001E51D5" w:rsidP="001E51D5">
            <w:pPr>
              <w:jc w:val="center"/>
              <w:rPr>
                <w:rFonts w:ascii="Arial" w:hAnsi="Arial" w:cs="Arial"/>
                <w:b/>
                <w:color w:val="1F1F1F"/>
                <w:lang w:eastAsia="en-PH"/>
              </w:rPr>
            </w:pPr>
          </w:p>
        </w:tc>
        <w:tc>
          <w:tcPr>
            <w:tcW w:w="1782" w:type="dxa"/>
            <w:tcBorders>
              <w:top w:val="single" w:sz="4" w:space="0" w:color="auto"/>
              <w:bottom w:val="single" w:sz="4" w:space="0" w:color="auto"/>
            </w:tcBorders>
            <w:vAlign w:val="center"/>
            <w:hideMark/>
          </w:tcPr>
          <w:p w14:paraId="0B14A095"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Neither Agree Nor Disagree</w:t>
            </w:r>
          </w:p>
        </w:tc>
      </w:tr>
    </w:tbl>
    <w:p w14:paraId="78476AD2" w14:textId="77777777" w:rsidR="001E51D5" w:rsidRPr="008A6B6D" w:rsidRDefault="001E51D5" w:rsidP="001E51D5">
      <w:pPr>
        <w:rPr>
          <w:rFonts w:ascii="Arial" w:eastAsia="Calibri" w:hAnsi="Arial" w:cs="Arial"/>
          <w:bCs/>
          <w:sz w:val="16"/>
          <w:szCs w:val="16"/>
          <w:shd w:val="clear" w:color="auto" w:fill="FFFFFF"/>
        </w:rPr>
      </w:pPr>
    </w:p>
    <w:p w14:paraId="66D9F64B"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Table 15 shows the teacher-perceived level of student attention span as a determinant of learning retention, resulting in an overall weighted mean of </w:t>
      </w:r>
      <w:r w:rsidRPr="008A6B6D">
        <w:rPr>
          <w:rFonts w:ascii="Arial" w:hAnsi="Arial" w:cs="Arial"/>
          <w:bCs/>
          <w:color w:val="1F1F1F"/>
          <w:bdr w:val="none" w:sz="0" w:space="0" w:color="auto" w:frame="1"/>
          <w:lang w:eastAsia="en-PH"/>
        </w:rPr>
        <w:t>3.21</w:t>
      </w:r>
      <w:r w:rsidRPr="008A6B6D">
        <w:rPr>
          <w:rFonts w:ascii="Arial" w:hAnsi="Arial" w:cs="Arial"/>
          <w:bCs/>
          <w:color w:val="1F1F1F"/>
          <w:lang w:eastAsia="en-PH"/>
        </w:rPr>
        <w:t xml:space="preserve">, which is verbally interpreted as </w:t>
      </w:r>
      <w:r w:rsidRPr="008A6B6D">
        <w:rPr>
          <w:rFonts w:ascii="Arial" w:hAnsi="Arial" w:cs="Arial"/>
          <w:bCs/>
          <w:color w:val="1F1F1F"/>
          <w:bdr w:val="none" w:sz="0" w:space="0" w:color="auto" w:frame="1"/>
          <w:lang w:eastAsia="en-PH"/>
        </w:rPr>
        <w:t>"Neither Agree Nor Disagree."</w:t>
      </w:r>
      <w:r w:rsidRPr="008A6B6D">
        <w:rPr>
          <w:rFonts w:ascii="Arial" w:hAnsi="Arial" w:cs="Arial"/>
          <w:bCs/>
          <w:color w:val="1F1F1F"/>
          <w:lang w:eastAsia="en-PH"/>
        </w:rPr>
        <w:t xml:space="preserve"> Among the specific indicators, only the statement "Students maintain eye contact and active engagement during classroom activities" received a positive rating with a weighted mean of </w:t>
      </w:r>
      <w:r w:rsidRPr="008A6B6D">
        <w:rPr>
          <w:rFonts w:ascii="Arial" w:hAnsi="Arial" w:cs="Arial"/>
          <w:bCs/>
          <w:color w:val="1F1F1F"/>
          <w:bdr w:val="none" w:sz="0" w:space="0" w:color="auto" w:frame="1"/>
          <w:lang w:eastAsia="en-PH"/>
        </w:rPr>
        <w:t>3.57</w:t>
      </w:r>
      <w:r w:rsidRPr="008A6B6D">
        <w:rPr>
          <w:rFonts w:ascii="Arial" w:hAnsi="Arial" w:cs="Arial"/>
          <w:bCs/>
          <w:color w:val="1F1F1F"/>
          <w:lang w:eastAsia="en-PH"/>
        </w:rPr>
        <w:t xml:space="preserve"> (</w:t>
      </w:r>
      <w:r w:rsidRPr="008A6B6D">
        <w:rPr>
          <w:rFonts w:ascii="Arial" w:hAnsi="Arial" w:cs="Arial"/>
          <w:bCs/>
          <w:color w:val="1F1F1F"/>
          <w:bdr w:val="none" w:sz="0" w:space="0" w:color="auto" w:frame="1"/>
          <w:lang w:eastAsia="en-PH"/>
        </w:rPr>
        <w:t>"Agree"</w:t>
      </w:r>
      <w:r w:rsidRPr="008A6B6D">
        <w:rPr>
          <w:rFonts w:ascii="Arial" w:hAnsi="Arial" w:cs="Arial"/>
          <w:bCs/>
          <w:color w:val="1F1F1F"/>
          <w:lang w:eastAsia="en-PH"/>
        </w:rPr>
        <w:t xml:space="preserve">). In contrast, the remaining indicators hovered around the neutral mark, with "Students ignore external distractions" receiving the lowest </w:t>
      </w:r>
      <w:r w:rsidRPr="008A6B6D">
        <w:rPr>
          <w:rFonts w:ascii="Arial" w:hAnsi="Arial" w:cs="Arial"/>
          <w:bCs/>
          <w:color w:val="1F1F1F"/>
          <w:lang w:eastAsia="en-PH"/>
        </w:rPr>
        <w:lastRenderedPageBreak/>
        <w:t xml:space="preserve">weighted mean of </w:t>
      </w:r>
      <w:r w:rsidRPr="008A6B6D">
        <w:rPr>
          <w:rFonts w:ascii="Arial" w:hAnsi="Arial" w:cs="Arial"/>
          <w:bCs/>
          <w:color w:val="1F1F1F"/>
          <w:bdr w:val="none" w:sz="0" w:space="0" w:color="auto" w:frame="1"/>
          <w:lang w:eastAsia="en-PH"/>
        </w:rPr>
        <w:t>2.99</w:t>
      </w:r>
      <w:r w:rsidRPr="008A6B6D">
        <w:rPr>
          <w:rFonts w:ascii="Arial" w:hAnsi="Arial" w:cs="Arial"/>
          <w:bCs/>
          <w:color w:val="1F1F1F"/>
          <w:lang w:eastAsia="en-PH"/>
        </w:rPr>
        <w:t xml:space="preserve">, followed by their ability to work on a single task without distraction at </w:t>
      </w:r>
      <w:r w:rsidRPr="008A6B6D">
        <w:rPr>
          <w:rFonts w:ascii="Arial" w:hAnsi="Arial" w:cs="Arial"/>
          <w:bCs/>
          <w:color w:val="1F1F1F"/>
          <w:bdr w:val="none" w:sz="0" w:space="0" w:color="auto" w:frame="1"/>
          <w:lang w:eastAsia="en-PH"/>
        </w:rPr>
        <w:t>3.06</w:t>
      </w:r>
      <w:r w:rsidRPr="008A6B6D">
        <w:rPr>
          <w:rFonts w:ascii="Arial" w:hAnsi="Arial" w:cs="Arial"/>
          <w:bCs/>
          <w:color w:val="1F1F1F"/>
          <w:lang w:eastAsia="en-PH"/>
        </w:rPr>
        <w:t xml:space="preserve">, and following multi-step instructions at </w:t>
      </w:r>
      <w:r w:rsidRPr="008A6B6D">
        <w:rPr>
          <w:rFonts w:ascii="Arial" w:hAnsi="Arial" w:cs="Arial"/>
          <w:bCs/>
          <w:color w:val="1F1F1F"/>
          <w:bdr w:val="none" w:sz="0" w:space="0" w:color="auto" w:frame="1"/>
          <w:lang w:eastAsia="en-PH"/>
        </w:rPr>
        <w:t>3.08</w:t>
      </w:r>
      <w:r w:rsidRPr="008A6B6D">
        <w:rPr>
          <w:rFonts w:ascii="Arial" w:hAnsi="Arial" w:cs="Arial"/>
          <w:bCs/>
          <w:color w:val="1F1F1F"/>
          <w:lang w:eastAsia="en-PH"/>
        </w:rPr>
        <w:t xml:space="preserve">. Even the ability to remain focused for the entire duration of a lecture was rated neutrally at </w:t>
      </w:r>
      <w:r w:rsidRPr="008A6B6D">
        <w:rPr>
          <w:rFonts w:ascii="Arial" w:hAnsi="Arial" w:cs="Arial"/>
          <w:bCs/>
          <w:color w:val="1F1F1F"/>
          <w:bdr w:val="none" w:sz="0" w:space="0" w:color="auto" w:frame="1"/>
          <w:lang w:eastAsia="en-PH"/>
        </w:rPr>
        <w:t>3.33</w:t>
      </w:r>
      <w:r w:rsidRPr="008A6B6D">
        <w:rPr>
          <w:rFonts w:ascii="Arial" w:hAnsi="Arial" w:cs="Arial"/>
          <w:bCs/>
          <w:color w:val="1F1F1F"/>
          <w:lang w:eastAsia="en-PH"/>
        </w:rPr>
        <w:t>.</w:t>
      </w:r>
    </w:p>
    <w:p w14:paraId="52CA8CC3" w14:textId="77777777" w:rsidR="00A44D52" w:rsidRPr="008A6B6D" w:rsidRDefault="00A44D52" w:rsidP="00A44D52">
      <w:pPr>
        <w:jc w:val="both"/>
        <w:rPr>
          <w:rFonts w:ascii="Arial" w:hAnsi="Arial" w:cs="Arial"/>
          <w:bCs/>
          <w:color w:val="1F1F1F"/>
          <w:lang w:eastAsia="en-PH"/>
        </w:rPr>
      </w:pPr>
    </w:p>
    <w:p w14:paraId="3F86F5CC"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This implies that teachers perceive student attention span as a significant and somewhat unstable barrier to learning retention in the Junior High School classroom. The neutral ratings suggest that while students can be socially and physically engaged in the moment—as evidenced by the higher score in eye contact—their cognitive endurance and ability to filter out environmental "noise" are inconsistent. This lack of sustained focus is a critical concern for the Learning Retention Enhancement Program, as attention is the gateway to memory; if information is not successfully attended to during the initial encoding phase, it cannot be stored for long-term retrieval. The data suggest that for the enhancement programme to be effective, it must move away from long-form lectures and towards "chunked" instructional delivery, frequent transitions, and environmental management strategies that help students manage distractions and process multi-step instructions more effectively.</w:t>
      </w:r>
    </w:p>
    <w:p w14:paraId="37906E99" w14:textId="77777777" w:rsidR="00A44D52" w:rsidRPr="008A6B6D" w:rsidRDefault="00A44D52" w:rsidP="00A44D52">
      <w:pPr>
        <w:jc w:val="both"/>
        <w:rPr>
          <w:rFonts w:ascii="Arial" w:hAnsi="Arial" w:cs="Arial"/>
          <w:lang w:eastAsia="en-PH"/>
        </w:rPr>
      </w:pPr>
    </w:p>
    <w:p w14:paraId="3AEFB51B" w14:textId="77777777" w:rsidR="001E51D5" w:rsidRPr="008A6B6D" w:rsidRDefault="001E51D5" w:rsidP="00A44D52">
      <w:pPr>
        <w:jc w:val="both"/>
        <w:rPr>
          <w:rFonts w:ascii="Arial" w:hAnsi="Arial" w:cs="Arial"/>
          <w:lang w:eastAsia="en-PH"/>
        </w:rPr>
      </w:pPr>
      <w:r w:rsidRPr="008A6B6D">
        <w:rPr>
          <w:rFonts w:ascii="Arial" w:hAnsi="Arial" w:cs="Arial"/>
          <w:lang w:eastAsia="en-PH"/>
        </w:rPr>
        <w:t>This aligns with the study of teacher-perceived determinants of learning retention among junior high school students, which highlights attention span as a critical yet variable predictor of learning outcomes and suggests instructional adaptations to support chunked delivery and distraction management. The findings emphasise that even when students engage socially and physically (eye contact and active participation), cognitive endurance and filtering of environmental noise remain inconsistent, reinforcing the need for instructional strategies that optimise encoding and retention. Together, these sources support implementing evidence-based pacing, frequent transitions, and environmental structuring to enhance attention and subsequent memory encoding in junior high settings (Monteiro et al., 2021; Pan, 2023).</w:t>
      </w:r>
    </w:p>
    <w:p w14:paraId="19039844" w14:textId="77777777" w:rsidR="001E51D5" w:rsidRPr="008A6B6D" w:rsidRDefault="001E51D5" w:rsidP="001E51D5">
      <w:pPr>
        <w:rPr>
          <w:rFonts w:ascii="Arial" w:hAnsi="Arial" w:cs="Arial"/>
          <w:lang w:eastAsia="en-PH"/>
        </w:rPr>
      </w:pPr>
    </w:p>
    <w:p w14:paraId="39F518CF" w14:textId="77777777" w:rsidR="001E51D5" w:rsidRPr="008A6B6D" w:rsidRDefault="001E51D5" w:rsidP="001E51D5">
      <w:pPr>
        <w:outlineLvl w:val="2"/>
        <w:rPr>
          <w:rFonts w:ascii="Arial" w:hAnsi="Arial" w:cs="Arial"/>
          <w:b/>
          <w:lang w:eastAsia="en-PH"/>
        </w:rPr>
      </w:pPr>
      <w:r w:rsidRPr="008A6B6D">
        <w:rPr>
          <w:rFonts w:ascii="Arial" w:hAnsi="Arial" w:cs="Arial"/>
          <w:b/>
          <w:lang w:eastAsia="en-PH"/>
        </w:rPr>
        <w:t>5.4. Perceived Level of Student Learning Retention</w:t>
      </w:r>
    </w:p>
    <w:p w14:paraId="0AC58835" w14:textId="77777777" w:rsidR="00A44D52" w:rsidRPr="008A6B6D" w:rsidRDefault="00A44D52" w:rsidP="00A44D52">
      <w:pPr>
        <w:jc w:val="both"/>
        <w:outlineLvl w:val="2"/>
        <w:rPr>
          <w:rFonts w:ascii="Arial" w:hAnsi="Arial" w:cs="Arial"/>
          <w:bCs/>
        </w:rPr>
      </w:pPr>
    </w:p>
    <w:p w14:paraId="570705E9" w14:textId="77777777" w:rsidR="001E51D5" w:rsidRPr="008A6B6D" w:rsidRDefault="001E51D5" w:rsidP="00A44D52">
      <w:pPr>
        <w:jc w:val="both"/>
        <w:outlineLvl w:val="2"/>
        <w:rPr>
          <w:rFonts w:ascii="Arial" w:hAnsi="Arial" w:cs="Arial"/>
          <w:bCs/>
          <w:lang w:eastAsia="en-PH"/>
        </w:rPr>
      </w:pPr>
      <w:r w:rsidRPr="008A6B6D">
        <w:rPr>
          <w:rFonts w:ascii="Arial" w:hAnsi="Arial" w:cs="Arial"/>
          <w:bCs/>
        </w:rPr>
        <w:t>This section presents the data and analysis concerning the perceived level of student learning retention, specifically examining dimensions of knowledge recall, conceptual understanding, and the application of skills in new contexts.</w:t>
      </w:r>
    </w:p>
    <w:p w14:paraId="437A9F60" w14:textId="77777777" w:rsidR="001E51D5" w:rsidRPr="008A6B6D" w:rsidRDefault="001E51D5" w:rsidP="001E51D5">
      <w:pPr>
        <w:rPr>
          <w:rFonts w:ascii="Arial" w:eastAsia="Calibri" w:hAnsi="Arial" w:cs="Arial"/>
          <w:bCs/>
          <w:shd w:val="clear" w:color="auto" w:fill="FFFFFF"/>
        </w:rPr>
      </w:pPr>
    </w:p>
    <w:p w14:paraId="5240F6A6" w14:textId="77777777" w:rsidR="001E51D5" w:rsidRPr="008A6B6D" w:rsidRDefault="001E51D5" w:rsidP="001E51D5">
      <w:pPr>
        <w:rPr>
          <w:rFonts w:ascii="Arial" w:hAnsi="Arial" w:cs="Arial"/>
          <w:b/>
          <w:lang w:eastAsia="en-PH"/>
        </w:rPr>
      </w:pPr>
      <w:r w:rsidRPr="008A6B6D">
        <w:rPr>
          <w:rFonts w:ascii="Arial" w:hAnsi="Arial" w:cs="Arial"/>
          <w:b/>
          <w:lang w:eastAsia="en-PH"/>
        </w:rPr>
        <w:t>Table 16. Knowledge recall</w:t>
      </w:r>
    </w:p>
    <w:tbl>
      <w:tblPr>
        <w:tblW w:w="7938" w:type="dxa"/>
        <w:tblLook w:val="04A0" w:firstRow="1" w:lastRow="0" w:firstColumn="1" w:lastColumn="0" w:noHBand="0" w:noVBand="1"/>
      </w:tblPr>
      <w:tblGrid>
        <w:gridCol w:w="3618"/>
        <w:gridCol w:w="1260"/>
        <w:gridCol w:w="1260"/>
        <w:gridCol w:w="1800"/>
      </w:tblGrid>
      <w:tr w:rsidR="001E51D5" w:rsidRPr="008A6B6D" w14:paraId="4C5F75BF" w14:textId="77777777" w:rsidTr="0093337B">
        <w:trPr>
          <w:trHeight w:val="135"/>
        </w:trPr>
        <w:tc>
          <w:tcPr>
            <w:tcW w:w="3618" w:type="dxa"/>
            <w:tcBorders>
              <w:top w:val="single" w:sz="4" w:space="0" w:color="auto"/>
              <w:bottom w:val="single" w:sz="4" w:space="0" w:color="auto"/>
            </w:tcBorders>
            <w:vAlign w:val="center"/>
            <w:hideMark/>
          </w:tcPr>
          <w:p w14:paraId="214310CE"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260" w:type="dxa"/>
            <w:tcBorders>
              <w:top w:val="single" w:sz="4" w:space="0" w:color="auto"/>
              <w:bottom w:val="single" w:sz="4" w:space="0" w:color="auto"/>
            </w:tcBorders>
            <w:vAlign w:val="center"/>
            <w:hideMark/>
          </w:tcPr>
          <w:p w14:paraId="24E861CA"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260" w:type="dxa"/>
            <w:tcBorders>
              <w:top w:val="single" w:sz="4" w:space="0" w:color="auto"/>
              <w:bottom w:val="single" w:sz="4" w:space="0" w:color="auto"/>
            </w:tcBorders>
            <w:vAlign w:val="center"/>
            <w:hideMark/>
          </w:tcPr>
          <w:p w14:paraId="01FC49A5"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800" w:type="dxa"/>
            <w:tcBorders>
              <w:top w:val="single" w:sz="4" w:space="0" w:color="auto"/>
              <w:bottom w:val="single" w:sz="4" w:space="0" w:color="auto"/>
            </w:tcBorders>
            <w:vAlign w:val="center"/>
            <w:hideMark/>
          </w:tcPr>
          <w:p w14:paraId="46A1E874"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5D4C166F" w14:textId="77777777" w:rsidTr="0093337B">
        <w:trPr>
          <w:trHeight w:val="135"/>
        </w:trPr>
        <w:tc>
          <w:tcPr>
            <w:tcW w:w="3618" w:type="dxa"/>
            <w:tcBorders>
              <w:top w:val="single" w:sz="4" w:space="0" w:color="auto"/>
            </w:tcBorders>
            <w:vAlign w:val="center"/>
            <w:hideMark/>
          </w:tcPr>
          <w:p w14:paraId="0534F56F"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1. Students can accurately state key facts and definitions several weeks after a lesson.</w:t>
            </w:r>
          </w:p>
        </w:tc>
        <w:tc>
          <w:tcPr>
            <w:tcW w:w="1260" w:type="dxa"/>
            <w:tcBorders>
              <w:top w:val="single" w:sz="4" w:space="0" w:color="auto"/>
            </w:tcBorders>
            <w:vAlign w:val="center"/>
            <w:hideMark/>
          </w:tcPr>
          <w:p w14:paraId="5BB85D0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3.25</w:t>
            </w:r>
          </w:p>
        </w:tc>
        <w:tc>
          <w:tcPr>
            <w:tcW w:w="1260" w:type="dxa"/>
            <w:tcBorders>
              <w:top w:val="single" w:sz="4" w:space="0" w:color="auto"/>
            </w:tcBorders>
            <w:vAlign w:val="center"/>
            <w:hideMark/>
          </w:tcPr>
          <w:p w14:paraId="4AD55D6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1.05</w:t>
            </w:r>
          </w:p>
        </w:tc>
        <w:tc>
          <w:tcPr>
            <w:tcW w:w="1800" w:type="dxa"/>
            <w:tcBorders>
              <w:top w:val="single" w:sz="4" w:space="0" w:color="auto"/>
            </w:tcBorders>
            <w:vAlign w:val="center"/>
            <w:hideMark/>
          </w:tcPr>
          <w:p w14:paraId="766D61C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133AABF1" w14:textId="77777777" w:rsidTr="0093337B">
        <w:trPr>
          <w:trHeight w:val="135"/>
        </w:trPr>
        <w:tc>
          <w:tcPr>
            <w:tcW w:w="3618" w:type="dxa"/>
            <w:vAlign w:val="center"/>
            <w:hideMark/>
          </w:tcPr>
          <w:p w14:paraId="4B057AC3"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2. Students can identify correct information during unannounced reviews of previous topics.</w:t>
            </w:r>
          </w:p>
        </w:tc>
        <w:tc>
          <w:tcPr>
            <w:tcW w:w="1260" w:type="dxa"/>
            <w:vAlign w:val="center"/>
            <w:hideMark/>
          </w:tcPr>
          <w:p w14:paraId="2C436DE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3.25</w:t>
            </w:r>
          </w:p>
        </w:tc>
        <w:tc>
          <w:tcPr>
            <w:tcW w:w="1260" w:type="dxa"/>
            <w:vAlign w:val="center"/>
            <w:hideMark/>
          </w:tcPr>
          <w:p w14:paraId="31DBC8FA"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0.96</w:t>
            </w:r>
          </w:p>
        </w:tc>
        <w:tc>
          <w:tcPr>
            <w:tcW w:w="1800" w:type="dxa"/>
            <w:vAlign w:val="center"/>
            <w:hideMark/>
          </w:tcPr>
          <w:p w14:paraId="57B9F00B"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68804EFC" w14:textId="77777777" w:rsidTr="0093337B">
        <w:trPr>
          <w:trHeight w:val="135"/>
        </w:trPr>
        <w:tc>
          <w:tcPr>
            <w:tcW w:w="3618" w:type="dxa"/>
            <w:vAlign w:val="center"/>
            <w:hideMark/>
          </w:tcPr>
          <w:p w14:paraId="4CE2FD23"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3. Students demonstrate the ability to recall and retrieve formulas or dates without assistance.</w:t>
            </w:r>
          </w:p>
        </w:tc>
        <w:tc>
          <w:tcPr>
            <w:tcW w:w="1260" w:type="dxa"/>
            <w:vAlign w:val="center"/>
            <w:hideMark/>
          </w:tcPr>
          <w:p w14:paraId="3B16179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3.24</w:t>
            </w:r>
          </w:p>
        </w:tc>
        <w:tc>
          <w:tcPr>
            <w:tcW w:w="1260" w:type="dxa"/>
            <w:vAlign w:val="center"/>
            <w:hideMark/>
          </w:tcPr>
          <w:p w14:paraId="5993903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0.91</w:t>
            </w:r>
          </w:p>
        </w:tc>
        <w:tc>
          <w:tcPr>
            <w:tcW w:w="1800" w:type="dxa"/>
            <w:vAlign w:val="center"/>
            <w:hideMark/>
          </w:tcPr>
          <w:p w14:paraId="0D11373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5F425729" w14:textId="77777777" w:rsidTr="0093337B">
        <w:trPr>
          <w:trHeight w:val="135"/>
        </w:trPr>
        <w:tc>
          <w:tcPr>
            <w:tcW w:w="3618" w:type="dxa"/>
            <w:vAlign w:val="center"/>
            <w:hideMark/>
          </w:tcPr>
          <w:p w14:paraId="1D630C1D"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4. Students can list the sequence of steps in a process learned earlier in the school year.</w:t>
            </w:r>
          </w:p>
        </w:tc>
        <w:tc>
          <w:tcPr>
            <w:tcW w:w="1260" w:type="dxa"/>
            <w:vAlign w:val="center"/>
            <w:hideMark/>
          </w:tcPr>
          <w:p w14:paraId="7BD483F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3.12</w:t>
            </w:r>
          </w:p>
        </w:tc>
        <w:tc>
          <w:tcPr>
            <w:tcW w:w="1260" w:type="dxa"/>
            <w:vAlign w:val="center"/>
            <w:hideMark/>
          </w:tcPr>
          <w:p w14:paraId="22D73C8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0.95</w:t>
            </w:r>
          </w:p>
        </w:tc>
        <w:tc>
          <w:tcPr>
            <w:tcW w:w="1800" w:type="dxa"/>
            <w:vAlign w:val="center"/>
            <w:hideMark/>
          </w:tcPr>
          <w:p w14:paraId="3639B78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06E028EE" w14:textId="77777777" w:rsidTr="0093337B">
        <w:trPr>
          <w:trHeight w:val="135"/>
        </w:trPr>
        <w:tc>
          <w:tcPr>
            <w:tcW w:w="3618" w:type="dxa"/>
            <w:tcBorders>
              <w:bottom w:val="single" w:sz="4" w:space="0" w:color="auto"/>
            </w:tcBorders>
            <w:vAlign w:val="center"/>
            <w:hideMark/>
          </w:tcPr>
          <w:p w14:paraId="0F16A4AD"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5. Students show minimal reliance on textbooks when asked to recall basic concepts from past units.</w:t>
            </w:r>
          </w:p>
        </w:tc>
        <w:tc>
          <w:tcPr>
            <w:tcW w:w="1260" w:type="dxa"/>
            <w:tcBorders>
              <w:bottom w:val="single" w:sz="4" w:space="0" w:color="auto"/>
            </w:tcBorders>
            <w:vAlign w:val="center"/>
            <w:hideMark/>
          </w:tcPr>
          <w:p w14:paraId="72B8401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3.31</w:t>
            </w:r>
          </w:p>
        </w:tc>
        <w:tc>
          <w:tcPr>
            <w:tcW w:w="1260" w:type="dxa"/>
            <w:tcBorders>
              <w:bottom w:val="single" w:sz="4" w:space="0" w:color="auto"/>
            </w:tcBorders>
            <w:vAlign w:val="center"/>
            <w:hideMark/>
          </w:tcPr>
          <w:p w14:paraId="217F718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0.98</w:t>
            </w:r>
          </w:p>
        </w:tc>
        <w:tc>
          <w:tcPr>
            <w:tcW w:w="1800" w:type="dxa"/>
            <w:tcBorders>
              <w:bottom w:val="single" w:sz="4" w:space="0" w:color="auto"/>
            </w:tcBorders>
            <w:vAlign w:val="center"/>
            <w:hideMark/>
          </w:tcPr>
          <w:p w14:paraId="3132D9F4"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29F2630A" w14:textId="77777777" w:rsidTr="0093337B">
        <w:trPr>
          <w:trHeight w:val="135"/>
        </w:trPr>
        <w:tc>
          <w:tcPr>
            <w:tcW w:w="3618" w:type="dxa"/>
            <w:tcBorders>
              <w:top w:val="single" w:sz="4" w:space="0" w:color="auto"/>
              <w:bottom w:val="single" w:sz="4" w:space="0" w:color="auto"/>
            </w:tcBorders>
            <w:vAlign w:val="center"/>
            <w:hideMark/>
          </w:tcPr>
          <w:p w14:paraId="608EEA48"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260" w:type="dxa"/>
            <w:tcBorders>
              <w:top w:val="single" w:sz="4" w:space="0" w:color="auto"/>
              <w:bottom w:val="single" w:sz="4" w:space="0" w:color="auto"/>
            </w:tcBorders>
            <w:vAlign w:val="center"/>
            <w:hideMark/>
          </w:tcPr>
          <w:p w14:paraId="65BEB25B"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3.23</w:t>
            </w:r>
          </w:p>
        </w:tc>
        <w:tc>
          <w:tcPr>
            <w:tcW w:w="1260" w:type="dxa"/>
            <w:tcBorders>
              <w:top w:val="single" w:sz="4" w:space="0" w:color="auto"/>
              <w:bottom w:val="single" w:sz="4" w:space="0" w:color="auto"/>
            </w:tcBorders>
            <w:vAlign w:val="center"/>
            <w:hideMark/>
          </w:tcPr>
          <w:p w14:paraId="5FCD43F8" w14:textId="77777777" w:rsidR="001E51D5" w:rsidRPr="008A6B6D" w:rsidRDefault="001E51D5" w:rsidP="001E51D5">
            <w:pPr>
              <w:jc w:val="center"/>
              <w:rPr>
                <w:rFonts w:ascii="Arial" w:hAnsi="Arial" w:cs="Arial"/>
                <w:b/>
                <w:color w:val="1F1F1F"/>
                <w:lang w:eastAsia="en-PH"/>
              </w:rPr>
            </w:pPr>
          </w:p>
        </w:tc>
        <w:tc>
          <w:tcPr>
            <w:tcW w:w="1800" w:type="dxa"/>
            <w:tcBorders>
              <w:top w:val="single" w:sz="4" w:space="0" w:color="auto"/>
              <w:bottom w:val="single" w:sz="4" w:space="0" w:color="auto"/>
            </w:tcBorders>
            <w:vAlign w:val="center"/>
            <w:hideMark/>
          </w:tcPr>
          <w:p w14:paraId="60B5650C"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Neither Agree Nor Disagree</w:t>
            </w:r>
          </w:p>
        </w:tc>
      </w:tr>
    </w:tbl>
    <w:p w14:paraId="52CE3CC4" w14:textId="77777777" w:rsidR="00A44D52" w:rsidRPr="008A6B6D" w:rsidRDefault="00A44D52" w:rsidP="00A44D52">
      <w:pPr>
        <w:jc w:val="both"/>
        <w:rPr>
          <w:rFonts w:ascii="Arial" w:hAnsi="Arial" w:cs="Arial"/>
          <w:bCs/>
          <w:color w:val="1F1F1F"/>
          <w:lang w:eastAsia="en-PH"/>
        </w:rPr>
      </w:pPr>
    </w:p>
    <w:p w14:paraId="4CFE05A4"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lastRenderedPageBreak/>
        <w:t xml:space="preserve">Table 16 shows the teacher-perceived level of student knowledge recall as a critical component of learning retention, resulting in an overall weighted mean of </w:t>
      </w:r>
      <w:r w:rsidRPr="008A6B6D">
        <w:rPr>
          <w:rFonts w:ascii="Arial" w:hAnsi="Arial" w:cs="Arial"/>
          <w:bCs/>
          <w:color w:val="1F1F1F"/>
          <w:bdr w:val="none" w:sz="0" w:space="0" w:color="auto" w:frame="1"/>
          <w:lang w:eastAsia="en-PH"/>
        </w:rPr>
        <w:t>3.23</w:t>
      </w:r>
      <w:r w:rsidRPr="008A6B6D">
        <w:rPr>
          <w:rFonts w:ascii="Arial" w:hAnsi="Arial" w:cs="Arial"/>
          <w:bCs/>
          <w:color w:val="1F1F1F"/>
          <w:lang w:eastAsia="en-PH"/>
        </w:rPr>
        <w:t xml:space="preserve">, which is verbally interpreted as </w:t>
      </w:r>
      <w:r w:rsidRPr="008A6B6D">
        <w:rPr>
          <w:rFonts w:ascii="Arial" w:hAnsi="Arial" w:cs="Arial"/>
          <w:bCs/>
          <w:color w:val="1F1F1F"/>
          <w:bdr w:val="none" w:sz="0" w:space="0" w:color="auto" w:frame="1"/>
          <w:lang w:eastAsia="en-PH"/>
        </w:rPr>
        <w:t>"Neither Agree Nor Disagree."</w:t>
      </w:r>
      <w:r w:rsidRPr="008A6B6D">
        <w:rPr>
          <w:rFonts w:ascii="Arial" w:hAnsi="Arial" w:cs="Arial"/>
          <w:bCs/>
          <w:color w:val="1F1F1F"/>
          <w:lang w:eastAsia="en-PH"/>
        </w:rPr>
        <w:t xml:space="preserve"> All specific indicators fell within this neutral range, with the highest mean score of </w:t>
      </w:r>
      <w:r w:rsidRPr="008A6B6D">
        <w:rPr>
          <w:rFonts w:ascii="Arial" w:hAnsi="Arial" w:cs="Arial"/>
          <w:bCs/>
          <w:color w:val="1F1F1F"/>
          <w:bdr w:val="none" w:sz="0" w:space="0" w:color="auto" w:frame="1"/>
          <w:lang w:eastAsia="en-PH"/>
        </w:rPr>
        <w:t>3.31</w:t>
      </w:r>
      <w:r w:rsidRPr="008A6B6D">
        <w:rPr>
          <w:rFonts w:ascii="Arial" w:hAnsi="Arial" w:cs="Arial"/>
          <w:bCs/>
          <w:color w:val="1F1F1F"/>
          <w:lang w:eastAsia="en-PH"/>
        </w:rPr>
        <w:t xml:space="preserve"> attributed to students showing minimal reliance on textbooks for past units. This is followed by their ability to state key facts after several weeks and identify correct information during unannounced reviews, both at </w:t>
      </w:r>
      <w:r w:rsidRPr="008A6B6D">
        <w:rPr>
          <w:rFonts w:ascii="Arial" w:hAnsi="Arial" w:cs="Arial"/>
          <w:bCs/>
          <w:color w:val="1F1F1F"/>
          <w:bdr w:val="none" w:sz="0" w:space="0" w:color="auto" w:frame="1"/>
          <w:lang w:eastAsia="en-PH"/>
        </w:rPr>
        <w:t>3.25</w:t>
      </w:r>
      <w:r w:rsidRPr="008A6B6D">
        <w:rPr>
          <w:rFonts w:ascii="Arial" w:hAnsi="Arial" w:cs="Arial"/>
          <w:bCs/>
          <w:color w:val="1F1F1F"/>
          <w:lang w:eastAsia="en-PH"/>
        </w:rPr>
        <w:t xml:space="preserve">. The lowest weighted mean of </w:t>
      </w:r>
      <w:r w:rsidRPr="008A6B6D">
        <w:rPr>
          <w:rFonts w:ascii="Arial" w:hAnsi="Arial" w:cs="Arial"/>
          <w:bCs/>
          <w:color w:val="1F1F1F"/>
          <w:bdr w:val="none" w:sz="0" w:space="0" w:color="auto" w:frame="1"/>
          <w:lang w:eastAsia="en-PH"/>
        </w:rPr>
        <w:t>3.12</w:t>
      </w:r>
      <w:r w:rsidRPr="008A6B6D">
        <w:rPr>
          <w:rFonts w:ascii="Arial" w:hAnsi="Arial" w:cs="Arial"/>
          <w:bCs/>
          <w:color w:val="1F1F1F"/>
          <w:lang w:eastAsia="en-PH"/>
        </w:rPr>
        <w:t xml:space="preserve"> was recorded for the students' ability to list the sequence of steps in a process learned earlier in the school year, while the retrieval of formulas or dates without assistance stood at </w:t>
      </w:r>
      <w:r w:rsidRPr="008A6B6D">
        <w:rPr>
          <w:rFonts w:ascii="Arial" w:hAnsi="Arial" w:cs="Arial"/>
          <w:bCs/>
          <w:color w:val="1F1F1F"/>
          <w:bdr w:val="none" w:sz="0" w:space="0" w:color="auto" w:frame="1"/>
          <w:lang w:eastAsia="en-PH"/>
        </w:rPr>
        <w:t>3.24</w:t>
      </w:r>
      <w:r w:rsidRPr="008A6B6D">
        <w:rPr>
          <w:rFonts w:ascii="Arial" w:hAnsi="Arial" w:cs="Arial"/>
          <w:bCs/>
          <w:color w:val="1F1F1F"/>
          <w:lang w:eastAsia="en-PH"/>
        </w:rPr>
        <w:t>.</w:t>
      </w:r>
    </w:p>
    <w:p w14:paraId="482B47A2" w14:textId="77777777" w:rsidR="00A44D52" w:rsidRPr="008A6B6D" w:rsidRDefault="00A44D52" w:rsidP="00A44D52">
      <w:pPr>
        <w:jc w:val="both"/>
        <w:rPr>
          <w:rFonts w:ascii="Arial" w:hAnsi="Arial" w:cs="Arial"/>
          <w:bCs/>
          <w:color w:val="1F1F1F"/>
          <w:lang w:eastAsia="en-PH"/>
        </w:rPr>
      </w:pPr>
    </w:p>
    <w:p w14:paraId="3F67F0A3"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This implies that teachers observe a significant inconsistency in the students' ability to move information from short-term recognition to long-term independent retrieval. The neutral ratings across all indicators suggest that while students may not be completely failing to recall information, they lack the "fluency" or "automaticity" required for mastery without external cues. The particularly low score in recalling sequences of steps indicates that procedural memory—essential for subjects like Mathematics, Science, and TLE—is especially vulnerable to decay. For the Learning Retention Enhancement Program, these findings underscore the urgent need for instructional strategies that emphasise active retrieval practice and spaced repetition, as the current "neither agree nor disagree" status suggests that students are currently operating on a fragile memory base that requires constant re-teaching rather than progressive building.</w:t>
      </w:r>
    </w:p>
    <w:p w14:paraId="11876E71" w14:textId="77777777" w:rsidR="00A44D52" w:rsidRPr="008A6B6D" w:rsidRDefault="00A44D52" w:rsidP="00A44D52">
      <w:pPr>
        <w:jc w:val="both"/>
        <w:rPr>
          <w:rFonts w:ascii="Arial" w:hAnsi="Arial" w:cs="Arial"/>
          <w:lang w:eastAsia="en-PH"/>
        </w:rPr>
      </w:pPr>
    </w:p>
    <w:p w14:paraId="13A494A2" w14:textId="77777777" w:rsidR="001E51D5" w:rsidRPr="008A6B6D" w:rsidRDefault="001E51D5" w:rsidP="00A44D52">
      <w:pPr>
        <w:jc w:val="both"/>
        <w:rPr>
          <w:rFonts w:ascii="Arial" w:hAnsi="Arial" w:cs="Arial"/>
          <w:lang w:eastAsia="en-PH"/>
        </w:rPr>
      </w:pPr>
      <w:r w:rsidRPr="008A6B6D">
        <w:rPr>
          <w:rFonts w:ascii="Arial" w:hAnsi="Arial" w:cs="Arial"/>
          <w:lang w:eastAsia="en-PH"/>
        </w:rPr>
        <w:t>This aligns with the study of retrieval practice and spaced repetition as mechanisms to strengthen long-term knowledge retention and automaticity in memory, particularly for procedural and factual recall in formal education settings. The evidence suggests that teacher-facilitated retrieval practices (e.g., quizzes, recall prompts) and spaced repetition can enhance durable learning beyond immediate recognition, addressing gaps noted in teacher-perceived knowledge recall across topics (Corral &amp; Carpenter, 2025; Franzoi et al., 2025; Glaser &amp; Richter, 2023; Ruitenburg et al., 2025).</w:t>
      </w:r>
    </w:p>
    <w:p w14:paraId="2BE6CB71" w14:textId="77777777" w:rsidR="001E51D5" w:rsidRPr="008A6B6D" w:rsidRDefault="001E51D5" w:rsidP="001E51D5">
      <w:pPr>
        <w:rPr>
          <w:rFonts w:ascii="Arial" w:hAnsi="Arial" w:cs="Arial"/>
          <w:lang w:eastAsia="en-PH"/>
        </w:rPr>
      </w:pPr>
    </w:p>
    <w:p w14:paraId="5017778E" w14:textId="77777777" w:rsidR="001E51D5" w:rsidRPr="008A6B6D" w:rsidRDefault="001E51D5" w:rsidP="001E51D5">
      <w:pPr>
        <w:rPr>
          <w:rFonts w:ascii="Arial" w:hAnsi="Arial" w:cs="Arial"/>
          <w:b/>
          <w:lang w:eastAsia="en-PH"/>
        </w:rPr>
      </w:pPr>
      <w:r w:rsidRPr="008A6B6D">
        <w:rPr>
          <w:rFonts w:ascii="Arial" w:hAnsi="Arial" w:cs="Arial"/>
          <w:b/>
          <w:lang w:eastAsia="en-PH"/>
        </w:rPr>
        <w:t>Table 17. Conceptual understanding</w:t>
      </w:r>
    </w:p>
    <w:tbl>
      <w:tblPr>
        <w:tblW w:w="7938" w:type="dxa"/>
        <w:tblLook w:val="04A0" w:firstRow="1" w:lastRow="0" w:firstColumn="1" w:lastColumn="0" w:noHBand="0" w:noVBand="1"/>
      </w:tblPr>
      <w:tblGrid>
        <w:gridCol w:w="3528"/>
        <w:gridCol w:w="1116"/>
        <w:gridCol w:w="1404"/>
        <w:gridCol w:w="1890"/>
      </w:tblGrid>
      <w:tr w:rsidR="001E51D5" w:rsidRPr="008A6B6D" w14:paraId="64D3397A" w14:textId="77777777" w:rsidTr="0093337B">
        <w:trPr>
          <w:trHeight w:val="35"/>
        </w:trPr>
        <w:tc>
          <w:tcPr>
            <w:tcW w:w="3528" w:type="dxa"/>
            <w:tcBorders>
              <w:top w:val="single" w:sz="4" w:space="0" w:color="auto"/>
              <w:bottom w:val="single" w:sz="4" w:space="0" w:color="auto"/>
            </w:tcBorders>
            <w:vAlign w:val="center"/>
            <w:hideMark/>
          </w:tcPr>
          <w:p w14:paraId="2F5263B2"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116" w:type="dxa"/>
            <w:tcBorders>
              <w:top w:val="single" w:sz="4" w:space="0" w:color="auto"/>
              <w:bottom w:val="single" w:sz="4" w:space="0" w:color="auto"/>
            </w:tcBorders>
            <w:vAlign w:val="center"/>
            <w:hideMark/>
          </w:tcPr>
          <w:p w14:paraId="06C766BB"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404" w:type="dxa"/>
            <w:tcBorders>
              <w:top w:val="single" w:sz="4" w:space="0" w:color="auto"/>
              <w:bottom w:val="single" w:sz="4" w:space="0" w:color="auto"/>
            </w:tcBorders>
            <w:vAlign w:val="center"/>
            <w:hideMark/>
          </w:tcPr>
          <w:p w14:paraId="2ABCB6DA"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890" w:type="dxa"/>
            <w:tcBorders>
              <w:top w:val="single" w:sz="4" w:space="0" w:color="auto"/>
              <w:bottom w:val="single" w:sz="4" w:space="0" w:color="auto"/>
            </w:tcBorders>
            <w:vAlign w:val="center"/>
            <w:hideMark/>
          </w:tcPr>
          <w:p w14:paraId="24BF9566"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55EDA803" w14:textId="77777777" w:rsidTr="0093337B">
        <w:trPr>
          <w:trHeight w:val="35"/>
        </w:trPr>
        <w:tc>
          <w:tcPr>
            <w:tcW w:w="3528" w:type="dxa"/>
            <w:tcBorders>
              <w:top w:val="single" w:sz="4" w:space="0" w:color="auto"/>
            </w:tcBorders>
            <w:vAlign w:val="center"/>
            <w:hideMark/>
          </w:tcPr>
          <w:p w14:paraId="1650EBD8"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can explain complex ideas in their own words rather than just reciting definitions.</w:t>
            </w:r>
          </w:p>
        </w:tc>
        <w:tc>
          <w:tcPr>
            <w:tcW w:w="1116" w:type="dxa"/>
            <w:tcBorders>
              <w:top w:val="single" w:sz="4" w:space="0" w:color="auto"/>
            </w:tcBorders>
            <w:vAlign w:val="center"/>
            <w:hideMark/>
          </w:tcPr>
          <w:p w14:paraId="39746DE0"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3.35</w:t>
            </w:r>
          </w:p>
        </w:tc>
        <w:tc>
          <w:tcPr>
            <w:tcW w:w="1404" w:type="dxa"/>
            <w:tcBorders>
              <w:top w:val="single" w:sz="4" w:space="0" w:color="auto"/>
            </w:tcBorders>
            <w:vAlign w:val="center"/>
            <w:hideMark/>
          </w:tcPr>
          <w:p w14:paraId="42A7EAE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1.06</w:t>
            </w:r>
          </w:p>
        </w:tc>
        <w:tc>
          <w:tcPr>
            <w:tcW w:w="1890" w:type="dxa"/>
            <w:tcBorders>
              <w:top w:val="single" w:sz="4" w:space="0" w:color="auto"/>
            </w:tcBorders>
            <w:vAlign w:val="center"/>
            <w:hideMark/>
          </w:tcPr>
          <w:p w14:paraId="3EEAEF5D"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7AD32EE8" w14:textId="77777777" w:rsidTr="0093337B">
        <w:trPr>
          <w:trHeight w:val="35"/>
        </w:trPr>
        <w:tc>
          <w:tcPr>
            <w:tcW w:w="3528" w:type="dxa"/>
            <w:vAlign w:val="center"/>
            <w:hideMark/>
          </w:tcPr>
          <w:p w14:paraId="19536424"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can summarize the main message or central theme of a previous lesson effectively.</w:t>
            </w:r>
          </w:p>
        </w:tc>
        <w:tc>
          <w:tcPr>
            <w:tcW w:w="1116" w:type="dxa"/>
            <w:vAlign w:val="center"/>
            <w:hideMark/>
          </w:tcPr>
          <w:p w14:paraId="2F3585E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3.27</w:t>
            </w:r>
          </w:p>
        </w:tc>
        <w:tc>
          <w:tcPr>
            <w:tcW w:w="1404" w:type="dxa"/>
            <w:vAlign w:val="center"/>
            <w:hideMark/>
          </w:tcPr>
          <w:p w14:paraId="335DE98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0.97</w:t>
            </w:r>
          </w:p>
        </w:tc>
        <w:tc>
          <w:tcPr>
            <w:tcW w:w="1890" w:type="dxa"/>
            <w:vAlign w:val="center"/>
            <w:hideMark/>
          </w:tcPr>
          <w:p w14:paraId="34D56D6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4F8D9199" w14:textId="77777777" w:rsidTr="0093337B">
        <w:trPr>
          <w:trHeight w:val="35"/>
        </w:trPr>
        <w:tc>
          <w:tcPr>
            <w:tcW w:w="3528" w:type="dxa"/>
            <w:vAlign w:val="center"/>
            <w:hideMark/>
          </w:tcPr>
          <w:p w14:paraId="12BB6B5A"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can illustrate the "how" and "why" behind a specific rule or scientific principle.</w:t>
            </w:r>
          </w:p>
        </w:tc>
        <w:tc>
          <w:tcPr>
            <w:tcW w:w="1116" w:type="dxa"/>
            <w:vAlign w:val="center"/>
            <w:hideMark/>
          </w:tcPr>
          <w:p w14:paraId="3B1212EB"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3.23</w:t>
            </w:r>
          </w:p>
        </w:tc>
        <w:tc>
          <w:tcPr>
            <w:tcW w:w="1404" w:type="dxa"/>
            <w:vAlign w:val="center"/>
            <w:hideMark/>
          </w:tcPr>
          <w:p w14:paraId="3F6C963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0.94</w:t>
            </w:r>
          </w:p>
        </w:tc>
        <w:tc>
          <w:tcPr>
            <w:tcW w:w="1890" w:type="dxa"/>
            <w:vAlign w:val="center"/>
            <w:hideMark/>
          </w:tcPr>
          <w:p w14:paraId="43CAA0F4"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2DA730DC" w14:textId="77777777" w:rsidTr="0093337B">
        <w:trPr>
          <w:trHeight w:val="35"/>
        </w:trPr>
        <w:tc>
          <w:tcPr>
            <w:tcW w:w="3528" w:type="dxa"/>
            <w:vAlign w:val="center"/>
            <w:hideMark/>
          </w:tcPr>
          <w:p w14:paraId="05177613"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can distinguish between similar concepts and explain their distinct differences.</w:t>
            </w:r>
          </w:p>
        </w:tc>
        <w:tc>
          <w:tcPr>
            <w:tcW w:w="1116" w:type="dxa"/>
            <w:vAlign w:val="center"/>
            <w:hideMark/>
          </w:tcPr>
          <w:p w14:paraId="7019620F"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3.46</w:t>
            </w:r>
          </w:p>
        </w:tc>
        <w:tc>
          <w:tcPr>
            <w:tcW w:w="1404" w:type="dxa"/>
            <w:vAlign w:val="center"/>
            <w:hideMark/>
          </w:tcPr>
          <w:p w14:paraId="18D3CB45"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0.91</w:t>
            </w:r>
          </w:p>
        </w:tc>
        <w:tc>
          <w:tcPr>
            <w:tcW w:w="1890" w:type="dxa"/>
            <w:vAlign w:val="center"/>
            <w:hideMark/>
          </w:tcPr>
          <w:p w14:paraId="1029C640"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08C11866" w14:textId="77777777" w:rsidTr="0093337B">
        <w:trPr>
          <w:trHeight w:val="35"/>
        </w:trPr>
        <w:tc>
          <w:tcPr>
            <w:tcW w:w="3528" w:type="dxa"/>
            <w:tcBorders>
              <w:bottom w:val="single" w:sz="4" w:space="0" w:color="auto"/>
            </w:tcBorders>
            <w:vAlign w:val="center"/>
            <w:hideMark/>
          </w:tcPr>
          <w:p w14:paraId="020A36D3"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Students can provide original examples of a concept that were not mentioned in the textbook.</w:t>
            </w:r>
          </w:p>
        </w:tc>
        <w:tc>
          <w:tcPr>
            <w:tcW w:w="1116" w:type="dxa"/>
            <w:tcBorders>
              <w:bottom w:val="single" w:sz="4" w:space="0" w:color="auto"/>
            </w:tcBorders>
            <w:vAlign w:val="center"/>
            <w:hideMark/>
          </w:tcPr>
          <w:p w14:paraId="5CE5FA64"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3.43</w:t>
            </w:r>
          </w:p>
        </w:tc>
        <w:tc>
          <w:tcPr>
            <w:tcW w:w="1404" w:type="dxa"/>
            <w:tcBorders>
              <w:bottom w:val="single" w:sz="4" w:space="0" w:color="auto"/>
            </w:tcBorders>
            <w:vAlign w:val="center"/>
            <w:hideMark/>
          </w:tcPr>
          <w:p w14:paraId="7DC3C1F1"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0.95</w:t>
            </w:r>
          </w:p>
        </w:tc>
        <w:tc>
          <w:tcPr>
            <w:tcW w:w="1890" w:type="dxa"/>
            <w:tcBorders>
              <w:bottom w:val="single" w:sz="4" w:space="0" w:color="auto"/>
            </w:tcBorders>
            <w:vAlign w:val="center"/>
            <w:hideMark/>
          </w:tcPr>
          <w:p w14:paraId="59F435C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320497A5" w14:textId="77777777" w:rsidTr="0093337B">
        <w:trPr>
          <w:trHeight w:val="35"/>
        </w:trPr>
        <w:tc>
          <w:tcPr>
            <w:tcW w:w="3528" w:type="dxa"/>
            <w:tcBorders>
              <w:top w:val="single" w:sz="4" w:space="0" w:color="auto"/>
              <w:bottom w:val="single" w:sz="4" w:space="0" w:color="auto"/>
            </w:tcBorders>
            <w:vAlign w:val="center"/>
            <w:hideMark/>
          </w:tcPr>
          <w:p w14:paraId="72D1BE7E"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116" w:type="dxa"/>
            <w:tcBorders>
              <w:top w:val="single" w:sz="4" w:space="0" w:color="auto"/>
              <w:bottom w:val="single" w:sz="4" w:space="0" w:color="auto"/>
            </w:tcBorders>
            <w:vAlign w:val="center"/>
            <w:hideMark/>
          </w:tcPr>
          <w:p w14:paraId="7385E5E0"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3.35</w:t>
            </w:r>
          </w:p>
        </w:tc>
        <w:tc>
          <w:tcPr>
            <w:tcW w:w="1404" w:type="dxa"/>
            <w:tcBorders>
              <w:top w:val="single" w:sz="4" w:space="0" w:color="auto"/>
              <w:bottom w:val="single" w:sz="4" w:space="0" w:color="auto"/>
            </w:tcBorders>
            <w:vAlign w:val="center"/>
            <w:hideMark/>
          </w:tcPr>
          <w:p w14:paraId="72D0B72F" w14:textId="77777777" w:rsidR="001E51D5" w:rsidRPr="008A6B6D" w:rsidRDefault="001E51D5" w:rsidP="001E51D5">
            <w:pPr>
              <w:jc w:val="center"/>
              <w:rPr>
                <w:rFonts w:ascii="Arial" w:hAnsi="Arial" w:cs="Arial"/>
                <w:b/>
                <w:color w:val="1F1F1F"/>
                <w:lang w:eastAsia="en-PH"/>
              </w:rPr>
            </w:pPr>
          </w:p>
        </w:tc>
        <w:tc>
          <w:tcPr>
            <w:tcW w:w="1890" w:type="dxa"/>
            <w:tcBorders>
              <w:top w:val="single" w:sz="4" w:space="0" w:color="auto"/>
              <w:bottom w:val="single" w:sz="4" w:space="0" w:color="auto"/>
            </w:tcBorders>
            <w:vAlign w:val="center"/>
            <w:hideMark/>
          </w:tcPr>
          <w:p w14:paraId="4C108D2B"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Neither Agree Nor Disagree</w:t>
            </w:r>
          </w:p>
        </w:tc>
      </w:tr>
    </w:tbl>
    <w:p w14:paraId="753A536E" w14:textId="77777777" w:rsidR="001E51D5" w:rsidRPr="008A6B6D" w:rsidRDefault="001E51D5" w:rsidP="0093337B">
      <w:pPr>
        <w:jc w:val="both"/>
        <w:rPr>
          <w:rFonts w:ascii="Arial" w:hAnsi="Arial" w:cs="Arial"/>
          <w:bCs/>
          <w:lang w:eastAsia="en-PH"/>
        </w:rPr>
      </w:pPr>
    </w:p>
    <w:p w14:paraId="599F8F88"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Table 17 shows the teacher-respondents' assessment of students' conceptual understanding as a determinant of learning retention, yielding an overall weighted mean of </w:t>
      </w:r>
      <w:r w:rsidRPr="008A6B6D">
        <w:rPr>
          <w:rFonts w:ascii="Arial" w:hAnsi="Arial" w:cs="Arial"/>
          <w:bCs/>
          <w:color w:val="1F1F1F"/>
          <w:bdr w:val="none" w:sz="0" w:space="0" w:color="auto" w:frame="1"/>
          <w:lang w:eastAsia="en-PH"/>
        </w:rPr>
        <w:t>3.35</w:t>
      </w:r>
      <w:r w:rsidRPr="008A6B6D">
        <w:rPr>
          <w:rFonts w:ascii="Arial" w:hAnsi="Arial" w:cs="Arial"/>
          <w:bCs/>
          <w:color w:val="1F1F1F"/>
          <w:lang w:eastAsia="en-PH"/>
        </w:rPr>
        <w:t xml:space="preserve">, which is </w:t>
      </w:r>
      <w:r w:rsidRPr="008A6B6D">
        <w:rPr>
          <w:rFonts w:ascii="Arial" w:hAnsi="Arial" w:cs="Arial"/>
          <w:bCs/>
          <w:color w:val="1F1F1F"/>
          <w:lang w:eastAsia="en-PH"/>
        </w:rPr>
        <w:lastRenderedPageBreak/>
        <w:t xml:space="preserve">verbally interpreted as </w:t>
      </w:r>
      <w:r w:rsidRPr="008A6B6D">
        <w:rPr>
          <w:rFonts w:ascii="Arial" w:hAnsi="Arial" w:cs="Arial"/>
          <w:bCs/>
          <w:color w:val="1F1F1F"/>
          <w:bdr w:val="none" w:sz="0" w:space="0" w:color="auto" w:frame="1"/>
          <w:lang w:eastAsia="en-PH"/>
        </w:rPr>
        <w:t>"Neither Agree Nor Disagree."</w:t>
      </w:r>
      <w:r w:rsidRPr="008A6B6D">
        <w:rPr>
          <w:rFonts w:ascii="Arial" w:hAnsi="Arial" w:cs="Arial"/>
          <w:bCs/>
          <w:color w:val="1F1F1F"/>
          <w:lang w:eastAsia="en-PH"/>
        </w:rPr>
        <w:t xml:space="preserve"> Among the specific indicators, two statements achieved a positive rating: the ability of students to distinguish between similar concepts and explain their differences, which earned the highest mean of </w:t>
      </w:r>
      <w:r w:rsidRPr="008A6B6D">
        <w:rPr>
          <w:rFonts w:ascii="Arial" w:hAnsi="Arial" w:cs="Arial"/>
          <w:bCs/>
          <w:color w:val="1F1F1F"/>
          <w:bdr w:val="none" w:sz="0" w:space="0" w:color="auto" w:frame="1"/>
          <w:lang w:eastAsia="en-PH"/>
        </w:rPr>
        <w:t>3.46</w:t>
      </w:r>
      <w:r w:rsidRPr="008A6B6D">
        <w:rPr>
          <w:rFonts w:ascii="Arial" w:hAnsi="Arial" w:cs="Arial"/>
          <w:bCs/>
          <w:color w:val="1F1F1F"/>
          <w:lang w:eastAsia="en-PH"/>
        </w:rPr>
        <w:t xml:space="preserve"> (</w:t>
      </w:r>
      <w:r w:rsidRPr="008A6B6D">
        <w:rPr>
          <w:rFonts w:ascii="Arial" w:hAnsi="Arial" w:cs="Arial"/>
          <w:bCs/>
          <w:color w:val="1F1F1F"/>
          <w:bdr w:val="none" w:sz="0" w:space="0" w:color="auto" w:frame="1"/>
          <w:lang w:eastAsia="en-PH"/>
        </w:rPr>
        <w:t>"Agree"</w:t>
      </w:r>
      <w:r w:rsidRPr="008A6B6D">
        <w:rPr>
          <w:rFonts w:ascii="Arial" w:hAnsi="Arial" w:cs="Arial"/>
          <w:bCs/>
          <w:color w:val="1F1F1F"/>
          <w:lang w:eastAsia="en-PH"/>
        </w:rPr>
        <w:t xml:space="preserve">), followed by providing original examples not found in the textbook at </w:t>
      </w:r>
      <w:r w:rsidRPr="008A6B6D">
        <w:rPr>
          <w:rFonts w:ascii="Arial" w:hAnsi="Arial" w:cs="Arial"/>
          <w:bCs/>
          <w:color w:val="1F1F1F"/>
          <w:bdr w:val="none" w:sz="0" w:space="0" w:color="auto" w:frame="1"/>
          <w:lang w:eastAsia="en-PH"/>
        </w:rPr>
        <w:t>3.43</w:t>
      </w:r>
      <w:r w:rsidRPr="008A6B6D">
        <w:rPr>
          <w:rFonts w:ascii="Arial" w:hAnsi="Arial" w:cs="Arial"/>
          <w:bCs/>
          <w:color w:val="1F1F1F"/>
          <w:lang w:eastAsia="en-PH"/>
        </w:rPr>
        <w:t xml:space="preserve"> (</w:t>
      </w:r>
      <w:r w:rsidRPr="008A6B6D">
        <w:rPr>
          <w:rFonts w:ascii="Arial" w:hAnsi="Arial" w:cs="Arial"/>
          <w:bCs/>
          <w:color w:val="1F1F1F"/>
          <w:bdr w:val="none" w:sz="0" w:space="0" w:color="auto" w:frame="1"/>
          <w:lang w:eastAsia="en-PH"/>
        </w:rPr>
        <w:t>"Agree"</w:t>
      </w:r>
      <w:r w:rsidRPr="008A6B6D">
        <w:rPr>
          <w:rFonts w:ascii="Arial" w:hAnsi="Arial" w:cs="Arial"/>
          <w:bCs/>
          <w:color w:val="1F1F1F"/>
          <w:lang w:eastAsia="en-PH"/>
        </w:rPr>
        <w:t xml:space="preserve">). However, other indicators remained in the neutral range, with students' ability to explain complex ideas in their own words at </w:t>
      </w:r>
      <w:r w:rsidRPr="008A6B6D">
        <w:rPr>
          <w:rFonts w:ascii="Arial" w:hAnsi="Arial" w:cs="Arial"/>
          <w:bCs/>
          <w:color w:val="1F1F1F"/>
          <w:bdr w:val="none" w:sz="0" w:space="0" w:color="auto" w:frame="1"/>
          <w:lang w:eastAsia="en-PH"/>
        </w:rPr>
        <w:t>3.35</w:t>
      </w:r>
      <w:r w:rsidRPr="008A6B6D">
        <w:rPr>
          <w:rFonts w:ascii="Arial" w:hAnsi="Arial" w:cs="Arial"/>
          <w:bCs/>
          <w:color w:val="1F1F1F"/>
          <w:lang w:eastAsia="en-PH"/>
        </w:rPr>
        <w:t xml:space="preserve">, their effectiveness in summarizing previous lessons at </w:t>
      </w:r>
      <w:r w:rsidRPr="008A6B6D">
        <w:rPr>
          <w:rFonts w:ascii="Arial" w:hAnsi="Arial" w:cs="Arial"/>
          <w:bCs/>
          <w:color w:val="1F1F1F"/>
          <w:bdr w:val="none" w:sz="0" w:space="0" w:color="auto" w:frame="1"/>
          <w:lang w:eastAsia="en-PH"/>
        </w:rPr>
        <w:t>3.27</w:t>
      </w:r>
      <w:r w:rsidRPr="008A6B6D">
        <w:rPr>
          <w:rFonts w:ascii="Arial" w:hAnsi="Arial" w:cs="Arial"/>
          <w:bCs/>
          <w:color w:val="1F1F1F"/>
          <w:lang w:eastAsia="en-PH"/>
        </w:rPr>
        <w:t xml:space="preserve">, and their capacity to illustrate the "how" and "why" behind principles receiving the lowest mean of </w:t>
      </w:r>
      <w:r w:rsidRPr="008A6B6D">
        <w:rPr>
          <w:rFonts w:ascii="Arial" w:hAnsi="Arial" w:cs="Arial"/>
          <w:bCs/>
          <w:color w:val="1F1F1F"/>
          <w:bdr w:val="none" w:sz="0" w:space="0" w:color="auto" w:frame="1"/>
          <w:lang w:eastAsia="en-PH"/>
        </w:rPr>
        <w:t>3.23</w:t>
      </w:r>
      <w:r w:rsidRPr="008A6B6D">
        <w:rPr>
          <w:rFonts w:ascii="Arial" w:hAnsi="Arial" w:cs="Arial"/>
          <w:bCs/>
          <w:color w:val="1F1F1F"/>
          <w:lang w:eastAsia="en-PH"/>
        </w:rPr>
        <w:t>.</w:t>
      </w:r>
    </w:p>
    <w:p w14:paraId="595235E3" w14:textId="77777777" w:rsidR="00A44D52" w:rsidRPr="008A6B6D" w:rsidRDefault="00A44D52" w:rsidP="00A44D52">
      <w:pPr>
        <w:jc w:val="both"/>
        <w:rPr>
          <w:rFonts w:ascii="Arial" w:hAnsi="Arial" w:cs="Arial"/>
          <w:bCs/>
          <w:color w:val="1F1F1F"/>
          <w:lang w:eastAsia="en-PH"/>
        </w:rPr>
      </w:pPr>
    </w:p>
    <w:p w14:paraId="41EA2B5E"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This implies that while students are beginning to develop the ability to categorise information and think creatively outside of textbook examples, they still struggle with the deep, structural processing required for long-term retention. The neutral ratings for summarizing and explaining the "how" and "why" suggest that student learning may still be leaning towards rote memorization rather than true relational understanding. Since deep conceptual clarity is a prerequisite for information to be "anchored" in long-term memory, these findings indicate that the Learning Retention Enhancement Program must prioritize strategies that move students beyond simple recognition. Specifically, the programme should incorporate more "elaborative interrogation" and "self-explanation" techniques to help students bridge the gap between reciting definitions and achieving a profound grasp of the underlying principles, thereby ensuring that knowledge remains accessible over time.</w:t>
      </w:r>
    </w:p>
    <w:p w14:paraId="4F8E9030" w14:textId="77777777" w:rsidR="00A44D52" w:rsidRPr="008A6B6D" w:rsidRDefault="00A44D52" w:rsidP="00A44D52">
      <w:pPr>
        <w:jc w:val="both"/>
        <w:rPr>
          <w:rFonts w:ascii="Arial" w:hAnsi="Arial" w:cs="Arial"/>
          <w:lang w:eastAsia="en-PH"/>
        </w:rPr>
      </w:pPr>
    </w:p>
    <w:p w14:paraId="2B3E4F84" w14:textId="77777777" w:rsidR="001E51D5" w:rsidRPr="008A6B6D" w:rsidRDefault="001E51D5" w:rsidP="00A44D52">
      <w:pPr>
        <w:jc w:val="both"/>
        <w:rPr>
          <w:rFonts w:ascii="Arial" w:hAnsi="Arial" w:cs="Arial"/>
          <w:lang w:eastAsia="en-PH"/>
        </w:rPr>
      </w:pPr>
      <w:r w:rsidRPr="008A6B6D">
        <w:rPr>
          <w:rFonts w:ascii="Arial" w:hAnsi="Arial" w:cs="Arial"/>
          <w:lang w:eastAsia="en-PH"/>
        </w:rPr>
        <w:t>This aligns with the study of how conceptual understanding supports durable learning by enabling students to distinguish between similar concepts and generate original examples, which correlates with improved long-term retention when instructional strategies promote elaborative interrogation and self-explanation. This perspective is supported by evidence that meaningful relational processing, rather than rote memorization, underpins durable conceptual knowledge and transfer (Ginting et al., 2024; Handayani &amp; Purwati, 2022).</w:t>
      </w:r>
    </w:p>
    <w:p w14:paraId="107D38C6" w14:textId="77777777" w:rsidR="001E51D5" w:rsidRPr="008A6B6D" w:rsidRDefault="001E51D5" w:rsidP="001E51D5">
      <w:pPr>
        <w:ind w:firstLine="720"/>
        <w:rPr>
          <w:rFonts w:ascii="Arial" w:hAnsi="Arial" w:cs="Arial"/>
          <w:lang w:eastAsia="en-PH"/>
        </w:rPr>
      </w:pPr>
    </w:p>
    <w:p w14:paraId="2EF7B1CA" w14:textId="77777777" w:rsidR="001E51D5" w:rsidRPr="008A6B6D" w:rsidRDefault="001E51D5" w:rsidP="001E51D5">
      <w:pPr>
        <w:rPr>
          <w:rFonts w:ascii="Arial" w:hAnsi="Arial" w:cs="Arial"/>
          <w:lang w:eastAsia="en-PH"/>
        </w:rPr>
      </w:pPr>
    </w:p>
    <w:p w14:paraId="6F6C4C26" w14:textId="77777777" w:rsidR="001E51D5" w:rsidRPr="008A6B6D" w:rsidRDefault="001E51D5" w:rsidP="001E51D5">
      <w:pPr>
        <w:rPr>
          <w:rFonts w:ascii="Arial" w:hAnsi="Arial" w:cs="Arial"/>
          <w:lang w:eastAsia="en-PH"/>
        </w:rPr>
      </w:pPr>
      <w:r w:rsidRPr="008A6B6D">
        <w:rPr>
          <w:rFonts w:ascii="Arial" w:hAnsi="Arial" w:cs="Arial"/>
          <w:b/>
          <w:lang w:eastAsia="en-PH"/>
        </w:rPr>
        <w:t>Table 18. Application of skills in new contexts</w:t>
      </w:r>
    </w:p>
    <w:tbl>
      <w:tblPr>
        <w:tblW w:w="7848" w:type="dxa"/>
        <w:tblLook w:val="04A0" w:firstRow="1" w:lastRow="0" w:firstColumn="1" w:lastColumn="0" w:noHBand="0" w:noVBand="1"/>
      </w:tblPr>
      <w:tblGrid>
        <w:gridCol w:w="3798"/>
        <w:gridCol w:w="1122"/>
        <w:gridCol w:w="1308"/>
        <w:gridCol w:w="1620"/>
      </w:tblGrid>
      <w:tr w:rsidR="001E51D5" w:rsidRPr="008A6B6D" w14:paraId="2794C63A" w14:textId="77777777" w:rsidTr="0093337B">
        <w:trPr>
          <w:trHeight w:val="113"/>
        </w:trPr>
        <w:tc>
          <w:tcPr>
            <w:tcW w:w="3798" w:type="dxa"/>
            <w:tcBorders>
              <w:top w:val="single" w:sz="4" w:space="0" w:color="auto"/>
              <w:bottom w:val="single" w:sz="4" w:space="0" w:color="auto"/>
            </w:tcBorders>
            <w:vAlign w:val="center"/>
            <w:hideMark/>
          </w:tcPr>
          <w:p w14:paraId="28B24FBB"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Statements</w:t>
            </w:r>
          </w:p>
        </w:tc>
        <w:tc>
          <w:tcPr>
            <w:tcW w:w="1122" w:type="dxa"/>
            <w:tcBorders>
              <w:top w:val="single" w:sz="4" w:space="0" w:color="auto"/>
              <w:bottom w:val="single" w:sz="4" w:space="0" w:color="auto"/>
            </w:tcBorders>
            <w:vAlign w:val="center"/>
            <w:hideMark/>
          </w:tcPr>
          <w:p w14:paraId="5BA99193"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Weighted Mean</w:t>
            </w:r>
          </w:p>
        </w:tc>
        <w:tc>
          <w:tcPr>
            <w:tcW w:w="1308" w:type="dxa"/>
            <w:tcBorders>
              <w:top w:val="single" w:sz="4" w:space="0" w:color="auto"/>
              <w:bottom w:val="single" w:sz="4" w:space="0" w:color="auto"/>
            </w:tcBorders>
            <w:vAlign w:val="center"/>
            <w:hideMark/>
          </w:tcPr>
          <w:p w14:paraId="134289AC"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Standard Deviation</w:t>
            </w:r>
          </w:p>
        </w:tc>
        <w:tc>
          <w:tcPr>
            <w:tcW w:w="1620" w:type="dxa"/>
            <w:tcBorders>
              <w:top w:val="single" w:sz="4" w:space="0" w:color="auto"/>
              <w:bottom w:val="single" w:sz="4" w:space="0" w:color="auto"/>
            </w:tcBorders>
            <w:vAlign w:val="center"/>
            <w:hideMark/>
          </w:tcPr>
          <w:p w14:paraId="7AA85A15"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Verbal Interpretation</w:t>
            </w:r>
          </w:p>
        </w:tc>
      </w:tr>
      <w:tr w:rsidR="001E51D5" w:rsidRPr="008A6B6D" w14:paraId="228EC62F" w14:textId="77777777" w:rsidTr="0093337B">
        <w:trPr>
          <w:trHeight w:val="113"/>
        </w:trPr>
        <w:tc>
          <w:tcPr>
            <w:tcW w:w="3798" w:type="dxa"/>
            <w:tcBorders>
              <w:top w:val="single" w:sz="4" w:space="0" w:color="auto"/>
            </w:tcBorders>
            <w:vAlign w:val="center"/>
            <w:hideMark/>
          </w:tcPr>
          <w:p w14:paraId="11855672"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1. Students can apply mathematical operations to solve real-world word problems.</w:t>
            </w:r>
          </w:p>
        </w:tc>
        <w:tc>
          <w:tcPr>
            <w:tcW w:w="1122" w:type="dxa"/>
            <w:tcBorders>
              <w:top w:val="single" w:sz="4" w:space="0" w:color="auto"/>
            </w:tcBorders>
            <w:vAlign w:val="center"/>
            <w:hideMark/>
          </w:tcPr>
          <w:p w14:paraId="43520FC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3.36</w:t>
            </w:r>
          </w:p>
        </w:tc>
        <w:tc>
          <w:tcPr>
            <w:tcW w:w="1308" w:type="dxa"/>
            <w:tcBorders>
              <w:top w:val="single" w:sz="4" w:space="0" w:color="auto"/>
            </w:tcBorders>
            <w:vAlign w:val="center"/>
            <w:hideMark/>
          </w:tcPr>
          <w:p w14:paraId="3E353B1C"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0.96</w:t>
            </w:r>
          </w:p>
        </w:tc>
        <w:tc>
          <w:tcPr>
            <w:tcW w:w="1620" w:type="dxa"/>
            <w:tcBorders>
              <w:top w:val="single" w:sz="4" w:space="0" w:color="auto"/>
            </w:tcBorders>
            <w:vAlign w:val="center"/>
            <w:hideMark/>
          </w:tcPr>
          <w:p w14:paraId="1B2982E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4EE44BC2" w14:textId="77777777" w:rsidTr="0093337B">
        <w:trPr>
          <w:trHeight w:val="113"/>
        </w:trPr>
        <w:tc>
          <w:tcPr>
            <w:tcW w:w="3798" w:type="dxa"/>
            <w:vAlign w:val="center"/>
            <w:hideMark/>
          </w:tcPr>
          <w:p w14:paraId="5A55C7BF"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2. Students use grammatical rules learned in previous lessons when writing original essays.</w:t>
            </w:r>
          </w:p>
        </w:tc>
        <w:tc>
          <w:tcPr>
            <w:tcW w:w="1122" w:type="dxa"/>
            <w:vAlign w:val="center"/>
            <w:hideMark/>
          </w:tcPr>
          <w:p w14:paraId="27DCDFF3"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3.20</w:t>
            </w:r>
          </w:p>
        </w:tc>
        <w:tc>
          <w:tcPr>
            <w:tcW w:w="1308" w:type="dxa"/>
            <w:vAlign w:val="center"/>
            <w:hideMark/>
          </w:tcPr>
          <w:p w14:paraId="5F8846E4"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1.02</w:t>
            </w:r>
          </w:p>
        </w:tc>
        <w:tc>
          <w:tcPr>
            <w:tcW w:w="1620" w:type="dxa"/>
            <w:vAlign w:val="center"/>
            <w:hideMark/>
          </w:tcPr>
          <w:p w14:paraId="0A147BF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39E13E3F" w14:textId="77777777" w:rsidTr="0093337B">
        <w:trPr>
          <w:trHeight w:val="113"/>
        </w:trPr>
        <w:tc>
          <w:tcPr>
            <w:tcW w:w="3798" w:type="dxa"/>
            <w:vAlign w:val="center"/>
            <w:hideMark/>
          </w:tcPr>
          <w:p w14:paraId="273B1E94"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3. Students can adapt a learned strategy to solve a problem they have never encountered before.</w:t>
            </w:r>
          </w:p>
        </w:tc>
        <w:tc>
          <w:tcPr>
            <w:tcW w:w="1122" w:type="dxa"/>
            <w:vAlign w:val="center"/>
            <w:hideMark/>
          </w:tcPr>
          <w:p w14:paraId="2210EA16"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3.38</w:t>
            </w:r>
          </w:p>
        </w:tc>
        <w:tc>
          <w:tcPr>
            <w:tcW w:w="1308" w:type="dxa"/>
            <w:vAlign w:val="center"/>
            <w:hideMark/>
          </w:tcPr>
          <w:p w14:paraId="7DF10B0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0.89</w:t>
            </w:r>
          </w:p>
        </w:tc>
        <w:tc>
          <w:tcPr>
            <w:tcW w:w="1620" w:type="dxa"/>
            <w:vAlign w:val="center"/>
            <w:hideMark/>
          </w:tcPr>
          <w:p w14:paraId="234219B7"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Neither Agree nor Disagree</w:t>
            </w:r>
          </w:p>
        </w:tc>
      </w:tr>
      <w:tr w:rsidR="001E51D5" w:rsidRPr="008A6B6D" w14:paraId="1ACC5039" w14:textId="77777777" w:rsidTr="0093337B">
        <w:trPr>
          <w:trHeight w:val="113"/>
        </w:trPr>
        <w:tc>
          <w:tcPr>
            <w:tcW w:w="3798" w:type="dxa"/>
            <w:vAlign w:val="center"/>
            <w:hideMark/>
          </w:tcPr>
          <w:p w14:paraId="111DDCA4"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4. Students connect lessons from one subject area to concepts found in a different subject.</w:t>
            </w:r>
          </w:p>
        </w:tc>
        <w:tc>
          <w:tcPr>
            <w:tcW w:w="1122" w:type="dxa"/>
            <w:vAlign w:val="center"/>
            <w:hideMark/>
          </w:tcPr>
          <w:p w14:paraId="41A64CAE"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3.61</w:t>
            </w:r>
          </w:p>
        </w:tc>
        <w:tc>
          <w:tcPr>
            <w:tcW w:w="1308" w:type="dxa"/>
            <w:vAlign w:val="center"/>
            <w:hideMark/>
          </w:tcPr>
          <w:p w14:paraId="23D8858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0.88</w:t>
            </w:r>
          </w:p>
        </w:tc>
        <w:tc>
          <w:tcPr>
            <w:tcW w:w="1620" w:type="dxa"/>
            <w:vAlign w:val="center"/>
            <w:hideMark/>
          </w:tcPr>
          <w:p w14:paraId="44876F79"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709DAF15" w14:textId="77777777" w:rsidTr="0093337B">
        <w:trPr>
          <w:trHeight w:val="113"/>
        </w:trPr>
        <w:tc>
          <w:tcPr>
            <w:tcW w:w="3798" w:type="dxa"/>
            <w:tcBorders>
              <w:bottom w:val="single" w:sz="4" w:space="0" w:color="auto"/>
            </w:tcBorders>
            <w:vAlign w:val="center"/>
            <w:hideMark/>
          </w:tcPr>
          <w:p w14:paraId="2B2E5753" w14:textId="77777777" w:rsidR="001E51D5" w:rsidRPr="008A6B6D" w:rsidRDefault="001E51D5" w:rsidP="001E51D5">
            <w:pPr>
              <w:rPr>
                <w:rFonts w:ascii="Arial" w:hAnsi="Arial" w:cs="Arial"/>
                <w:bCs/>
                <w:color w:val="1F1F1F"/>
                <w:lang w:eastAsia="en-PH"/>
              </w:rPr>
            </w:pPr>
            <w:r w:rsidRPr="008A6B6D">
              <w:rPr>
                <w:rFonts w:ascii="Arial" w:hAnsi="Arial" w:cs="Arial"/>
                <w:bCs/>
                <w:color w:val="1F1F1F"/>
                <w:lang w:eastAsia="en-PH"/>
              </w:rPr>
              <w:t>5. Students can predict the outcome of a scenario based on their understanding of past theories.</w:t>
            </w:r>
          </w:p>
        </w:tc>
        <w:tc>
          <w:tcPr>
            <w:tcW w:w="1122" w:type="dxa"/>
            <w:tcBorders>
              <w:bottom w:val="single" w:sz="4" w:space="0" w:color="auto"/>
            </w:tcBorders>
            <w:vAlign w:val="center"/>
            <w:hideMark/>
          </w:tcPr>
          <w:p w14:paraId="2BD8E2F8"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3.52</w:t>
            </w:r>
          </w:p>
        </w:tc>
        <w:tc>
          <w:tcPr>
            <w:tcW w:w="1308" w:type="dxa"/>
            <w:tcBorders>
              <w:bottom w:val="single" w:sz="4" w:space="0" w:color="auto"/>
            </w:tcBorders>
            <w:vAlign w:val="center"/>
            <w:hideMark/>
          </w:tcPr>
          <w:p w14:paraId="3A881970"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0.86</w:t>
            </w:r>
          </w:p>
        </w:tc>
        <w:tc>
          <w:tcPr>
            <w:tcW w:w="1620" w:type="dxa"/>
            <w:tcBorders>
              <w:bottom w:val="single" w:sz="4" w:space="0" w:color="auto"/>
            </w:tcBorders>
            <w:vAlign w:val="center"/>
            <w:hideMark/>
          </w:tcPr>
          <w:p w14:paraId="1244B342" w14:textId="77777777" w:rsidR="001E51D5" w:rsidRPr="008A6B6D" w:rsidRDefault="001E51D5" w:rsidP="001E51D5">
            <w:pPr>
              <w:jc w:val="center"/>
              <w:rPr>
                <w:rFonts w:ascii="Arial" w:hAnsi="Arial" w:cs="Arial"/>
                <w:bCs/>
                <w:color w:val="1F1F1F"/>
                <w:lang w:eastAsia="en-PH"/>
              </w:rPr>
            </w:pPr>
            <w:r w:rsidRPr="008A6B6D">
              <w:rPr>
                <w:rFonts w:ascii="Arial" w:hAnsi="Arial" w:cs="Arial"/>
                <w:bCs/>
                <w:color w:val="1F1F1F"/>
                <w:lang w:eastAsia="en-PH"/>
              </w:rPr>
              <w:t>Agree</w:t>
            </w:r>
          </w:p>
        </w:tc>
      </w:tr>
      <w:tr w:rsidR="001E51D5" w:rsidRPr="008A6B6D" w14:paraId="3D714584" w14:textId="77777777" w:rsidTr="0093337B">
        <w:trPr>
          <w:trHeight w:val="113"/>
        </w:trPr>
        <w:tc>
          <w:tcPr>
            <w:tcW w:w="3798" w:type="dxa"/>
            <w:tcBorders>
              <w:top w:val="single" w:sz="4" w:space="0" w:color="auto"/>
              <w:bottom w:val="single" w:sz="4" w:space="0" w:color="auto"/>
            </w:tcBorders>
            <w:vAlign w:val="center"/>
            <w:hideMark/>
          </w:tcPr>
          <w:p w14:paraId="6C52BD1A" w14:textId="77777777" w:rsidR="001E51D5" w:rsidRPr="008A6B6D" w:rsidRDefault="001E51D5" w:rsidP="001E51D5">
            <w:pPr>
              <w:rPr>
                <w:rFonts w:ascii="Arial" w:hAnsi="Arial" w:cs="Arial"/>
                <w:b/>
                <w:color w:val="1F1F1F"/>
                <w:lang w:eastAsia="en-PH"/>
              </w:rPr>
            </w:pPr>
            <w:r w:rsidRPr="008A6B6D">
              <w:rPr>
                <w:rFonts w:ascii="Arial" w:hAnsi="Arial" w:cs="Arial"/>
                <w:b/>
                <w:color w:val="1F1F1F"/>
                <w:lang w:eastAsia="en-PH"/>
              </w:rPr>
              <w:t>Overall Weighted Mean</w:t>
            </w:r>
          </w:p>
        </w:tc>
        <w:tc>
          <w:tcPr>
            <w:tcW w:w="1122" w:type="dxa"/>
            <w:tcBorders>
              <w:top w:val="single" w:sz="4" w:space="0" w:color="auto"/>
              <w:bottom w:val="single" w:sz="4" w:space="0" w:color="auto"/>
            </w:tcBorders>
            <w:vAlign w:val="center"/>
            <w:hideMark/>
          </w:tcPr>
          <w:p w14:paraId="3D2D6DAE"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3.41</w:t>
            </w:r>
          </w:p>
        </w:tc>
        <w:tc>
          <w:tcPr>
            <w:tcW w:w="1308" w:type="dxa"/>
            <w:tcBorders>
              <w:top w:val="single" w:sz="4" w:space="0" w:color="auto"/>
              <w:bottom w:val="single" w:sz="4" w:space="0" w:color="auto"/>
            </w:tcBorders>
            <w:vAlign w:val="center"/>
            <w:hideMark/>
          </w:tcPr>
          <w:p w14:paraId="12D580F5" w14:textId="77777777" w:rsidR="001E51D5" w:rsidRPr="008A6B6D" w:rsidRDefault="001E51D5" w:rsidP="001E51D5">
            <w:pPr>
              <w:jc w:val="center"/>
              <w:rPr>
                <w:rFonts w:ascii="Arial" w:hAnsi="Arial" w:cs="Arial"/>
                <w:b/>
                <w:color w:val="1F1F1F"/>
                <w:lang w:eastAsia="en-PH"/>
              </w:rPr>
            </w:pPr>
          </w:p>
        </w:tc>
        <w:tc>
          <w:tcPr>
            <w:tcW w:w="1620" w:type="dxa"/>
            <w:tcBorders>
              <w:top w:val="single" w:sz="4" w:space="0" w:color="auto"/>
              <w:bottom w:val="single" w:sz="4" w:space="0" w:color="auto"/>
            </w:tcBorders>
            <w:vAlign w:val="center"/>
            <w:hideMark/>
          </w:tcPr>
          <w:p w14:paraId="23C0FB31" w14:textId="77777777" w:rsidR="001E51D5" w:rsidRPr="008A6B6D" w:rsidRDefault="001E51D5" w:rsidP="001E51D5">
            <w:pPr>
              <w:jc w:val="center"/>
              <w:rPr>
                <w:rFonts w:ascii="Arial" w:hAnsi="Arial" w:cs="Arial"/>
                <w:b/>
                <w:color w:val="1F1F1F"/>
                <w:lang w:eastAsia="en-PH"/>
              </w:rPr>
            </w:pPr>
            <w:r w:rsidRPr="008A6B6D">
              <w:rPr>
                <w:rFonts w:ascii="Arial" w:hAnsi="Arial" w:cs="Arial"/>
                <w:b/>
                <w:color w:val="1F1F1F"/>
                <w:lang w:eastAsia="en-PH"/>
              </w:rPr>
              <w:t>Agree</w:t>
            </w:r>
          </w:p>
        </w:tc>
      </w:tr>
    </w:tbl>
    <w:p w14:paraId="3D84B411" w14:textId="77777777" w:rsidR="00A44D52" w:rsidRPr="008A6B6D" w:rsidRDefault="00A44D52" w:rsidP="00A44D52">
      <w:pPr>
        <w:jc w:val="both"/>
        <w:rPr>
          <w:rFonts w:ascii="Arial" w:hAnsi="Arial" w:cs="Arial"/>
          <w:bCs/>
          <w:color w:val="1F1F1F"/>
          <w:lang w:eastAsia="en-PH"/>
        </w:rPr>
      </w:pPr>
    </w:p>
    <w:p w14:paraId="26FCC539"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 xml:space="preserve">Table 18 shows the teacher-respondents' assessment of students' ability to apply skills in new contexts as a determinant of learning retention, yielding an overall weighted mean of 3.41, which is verbally interpreted as "Agree." The data indicate that students are most successful at connecting lessons from one subject area to concepts in another, with the highest weighted </w:t>
      </w:r>
      <w:r w:rsidRPr="008A6B6D">
        <w:rPr>
          <w:rFonts w:ascii="Arial" w:hAnsi="Arial" w:cs="Arial"/>
          <w:bCs/>
          <w:color w:val="1F1F1F"/>
          <w:lang w:eastAsia="en-PH"/>
        </w:rPr>
        <w:lastRenderedPageBreak/>
        <w:t>mean of 3.61 ("Agree"), followed by their ability to predict outcomes based on past theories at 3.52 ("Agree"). However, more technical and specific applications of knowledge—such as adapting strategies to unfamiliar problems (3.38), applying math operations to real-world word problems (3.36), and using grammatical rules in original writing (3.20)—all fell within the "Neither Agree nor Disagree" range.</w:t>
      </w:r>
    </w:p>
    <w:p w14:paraId="4A26D567" w14:textId="77777777" w:rsidR="001E51D5" w:rsidRPr="008A6B6D" w:rsidRDefault="001E51D5" w:rsidP="00A44D52">
      <w:pPr>
        <w:jc w:val="both"/>
        <w:rPr>
          <w:rFonts w:ascii="Arial" w:hAnsi="Arial" w:cs="Arial"/>
          <w:bCs/>
          <w:color w:val="1F1F1F"/>
          <w:lang w:eastAsia="en-PH"/>
        </w:rPr>
      </w:pPr>
      <w:r w:rsidRPr="008A6B6D">
        <w:rPr>
          <w:rFonts w:ascii="Arial" w:hAnsi="Arial" w:cs="Arial"/>
          <w:bCs/>
          <w:color w:val="1F1F1F"/>
          <w:lang w:eastAsia="en-PH"/>
        </w:rPr>
        <w:t>This implies that while students are beginning to develop interdisciplinary awareness and theoretical reasoning, they struggle significantly with the "near transfer" and "far transfer" of specific, technical skills into practical or novel situations. The neutral ratings in math application and grammar usage suggest that even when students "learn" a rule, it is often stored as isolated information rather than a versatile tool, which is a hallmark of weak long-term retention and shallow encoding. For the Learning Retention Enhancement Program, this highlights a critical need to shift from rote memorization to "Contextualized Teaching and Learning." The programme must explicitly incorporate "Transfer-of-Learning" exercises that force students to use classroom concepts in varied, non-routine scenarios, ensuring that knowledge is not just remembered, but is sufficiently flexible to be retrieved and applied outside the specific lesson where it was first introduced.</w:t>
      </w:r>
    </w:p>
    <w:p w14:paraId="4ED5A503" w14:textId="77777777" w:rsidR="00A44D52" w:rsidRPr="008A6B6D" w:rsidRDefault="00A44D52" w:rsidP="0093337B">
      <w:pPr>
        <w:jc w:val="both"/>
        <w:rPr>
          <w:rFonts w:ascii="Arial" w:hAnsi="Arial" w:cs="Arial"/>
          <w:lang w:eastAsia="en-PH"/>
        </w:rPr>
      </w:pPr>
    </w:p>
    <w:p w14:paraId="752840B3" w14:textId="77777777" w:rsidR="001E51D5" w:rsidRPr="008A6B6D" w:rsidRDefault="001E51D5" w:rsidP="0093337B">
      <w:pPr>
        <w:jc w:val="both"/>
        <w:rPr>
          <w:rFonts w:ascii="Arial" w:hAnsi="Arial" w:cs="Arial"/>
          <w:lang w:eastAsia="en-PH"/>
        </w:rPr>
      </w:pPr>
      <w:r w:rsidRPr="008A6B6D">
        <w:rPr>
          <w:rFonts w:ascii="Arial" w:hAnsi="Arial" w:cs="Arial"/>
          <w:lang w:eastAsia="en-PH"/>
        </w:rPr>
        <w:t>This aligns with the study of transfer-of-learning and contextualized teaching to enhance long-term retention, illustrating that learners often show strong cross-disciplinary connections while struggling with near transfer of technical skills to novel contexts. These findings corroborate that promoting explicit transfer practices and varied, non-routine scenarios can shift knowledge from remembered rules to flexible, applicable tools across subjects (Barotas &amp; Daza, 2025; Ginting et al., 2024).</w:t>
      </w:r>
    </w:p>
    <w:p w14:paraId="2447005A" w14:textId="77777777" w:rsidR="001E51D5" w:rsidRPr="008A6B6D" w:rsidRDefault="001E51D5" w:rsidP="001E51D5">
      <w:pPr>
        <w:rPr>
          <w:rFonts w:ascii="Arial" w:hAnsi="Arial" w:cs="Arial"/>
          <w:lang w:eastAsia="en-PH"/>
        </w:rPr>
      </w:pPr>
    </w:p>
    <w:p w14:paraId="52E530C5" w14:textId="77777777" w:rsidR="001E51D5" w:rsidRPr="008A6B6D" w:rsidRDefault="0093337B" w:rsidP="001E51D5">
      <w:pPr>
        <w:ind w:left="288" w:hanging="288"/>
        <w:rPr>
          <w:rFonts w:ascii="Arial" w:hAnsi="Arial" w:cs="Arial"/>
          <w:b/>
          <w:lang w:eastAsia="en-PH"/>
        </w:rPr>
      </w:pPr>
      <w:r w:rsidRPr="008A6B6D">
        <w:rPr>
          <w:rFonts w:ascii="Arial" w:hAnsi="Arial" w:cs="Arial"/>
          <w:b/>
          <w:lang w:eastAsia="en-PH"/>
        </w:rPr>
        <w:t>3</w:t>
      </w:r>
      <w:r w:rsidR="001E51D5" w:rsidRPr="008A6B6D">
        <w:rPr>
          <w:rFonts w:ascii="Arial" w:hAnsi="Arial" w:cs="Arial"/>
          <w:b/>
          <w:lang w:eastAsia="en-PH"/>
        </w:rPr>
        <w:t>.5. Significant Relationship Between the Identified Pedagogical Determinants and the Perceived Level of Learning Retention Among Junior High School Students</w:t>
      </w:r>
    </w:p>
    <w:p w14:paraId="3D8CD89F" w14:textId="77777777" w:rsidR="00A44D52" w:rsidRPr="008A6B6D" w:rsidRDefault="00A44D52" w:rsidP="00A44D52">
      <w:pPr>
        <w:rPr>
          <w:rFonts w:ascii="Arial" w:hAnsi="Arial" w:cs="Arial"/>
          <w:bCs/>
        </w:rPr>
      </w:pPr>
    </w:p>
    <w:p w14:paraId="5F5F2A8B" w14:textId="77777777" w:rsidR="001E51D5" w:rsidRPr="008A6B6D" w:rsidRDefault="001E51D5" w:rsidP="00A44D52">
      <w:pPr>
        <w:jc w:val="both"/>
        <w:rPr>
          <w:rFonts w:ascii="Arial" w:hAnsi="Arial" w:cs="Arial"/>
          <w:bCs/>
        </w:rPr>
      </w:pPr>
      <w:r w:rsidRPr="008A6B6D">
        <w:rPr>
          <w:rFonts w:ascii="Arial" w:hAnsi="Arial" w:cs="Arial"/>
          <w:bCs/>
        </w:rPr>
        <w:t>This section presents the statistical analysis of the relationship between the identified pedagogical determinants and the perceived level of learning retention among Junior High School students, using Spearman Correlation to determine the strength and significance of these associations.</w:t>
      </w:r>
    </w:p>
    <w:p w14:paraId="60F00E14" w14:textId="77777777" w:rsidR="001E51D5" w:rsidRPr="008A6B6D" w:rsidRDefault="001E51D5" w:rsidP="00A44D52">
      <w:pPr>
        <w:rPr>
          <w:rFonts w:ascii="Arial" w:hAnsi="Arial" w:cs="Arial"/>
          <w:bCs/>
          <w:lang w:eastAsia="en-PH"/>
        </w:rPr>
      </w:pPr>
    </w:p>
    <w:p w14:paraId="74591192" w14:textId="77777777" w:rsidR="001E51D5" w:rsidRPr="008A6B6D" w:rsidRDefault="001E51D5" w:rsidP="001E51D5">
      <w:pPr>
        <w:ind w:left="850" w:hanging="850"/>
        <w:rPr>
          <w:rFonts w:ascii="Arial" w:hAnsi="Arial" w:cs="Arial"/>
          <w:b/>
          <w:lang w:eastAsia="en-PH"/>
        </w:rPr>
      </w:pPr>
      <w:r w:rsidRPr="008A6B6D">
        <w:rPr>
          <w:rFonts w:ascii="Arial" w:hAnsi="Arial" w:cs="Arial"/>
          <w:b/>
          <w:lang w:eastAsia="en-PH"/>
        </w:rPr>
        <w:t>Table 19. Significant Relationship Between the Identified Pedagogical Determinants and the Perceived Level of Learning Retention Among Junior High School Students</w:t>
      </w:r>
    </w:p>
    <w:tbl>
      <w:tblPr>
        <w:tblW w:w="7668" w:type="dxa"/>
        <w:tblLook w:val="04A0" w:firstRow="1" w:lastRow="0" w:firstColumn="1" w:lastColumn="0" w:noHBand="0" w:noVBand="1"/>
      </w:tblPr>
      <w:tblGrid>
        <w:gridCol w:w="2358"/>
        <w:gridCol w:w="1620"/>
        <w:gridCol w:w="1710"/>
        <w:gridCol w:w="1980"/>
      </w:tblGrid>
      <w:tr w:rsidR="001E51D5" w:rsidRPr="008A6B6D" w14:paraId="6101BE1C" w14:textId="77777777" w:rsidTr="0093337B">
        <w:trPr>
          <w:trHeight w:val="276"/>
        </w:trPr>
        <w:tc>
          <w:tcPr>
            <w:tcW w:w="2358" w:type="dxa"/>
            <w:vMerge w:val="restart"/>
            <w:tcBorders>
              <w:top w:val="single" w:sz="4" w:space="0" w:color="auto"/>
            </w:tcBorders>
            <w:vAlign w:val="center"/>
            <w:hideMark/>
          </w:tcPr>
          <w:p w14:paraId="1803F4FE" w14:textId="77777777" w:rsidR="001E51D5" w:rsidRPr="008A6B6D" w:rsidRDefault="001E51D5" w:rsidP="001E51D5">
            <w:pPr>
              <w:rPr>
                <w:rFonts w:ascii="Arial" w:hAnsi="Arial" w:cs="Arial"/>
                <w:b/>
                <w:bCs/>
                <w:lang w:eastAsia="en-PH"/>
              </w:rPr>
            </w:pPr>
            <w:r w:rsidRPr="008A6B6D">
              <w:rPr>
                <w:rFonts w:ascii="Arial" w:hAnsi="Arial" w:cs="Arial"/>
                <w:b/>
                <w:bCs/>
                <w:lang w:eastAsia="en-PH"/>
              </w:rPr>
              <w:t> </w:t>
            </w:r>
          </w:p>
        </w:tc>
        <w:tc>
          <w:tcPr>
            <w:tcW w:w="1620" w:type="dxa"/>
            <w:vMerge w:val="restart"/>
            <w:tcBorders>
              <w:top w:val="single" w:sz="4" w:space="0" w:color="auto"/>
            </w:tcBorders>
            <w:vAlign w:val="center"/>
            <w:hideMark/>
          </w:tcPr>
          <w:p w14:paraId="6ADA7DED" w14:textId="77777777" w:rsidR="001E51D5" w:rsidRPr="008A6B6D" w:rsidRDefault="001E51D5" w:rsidP="001E51D5">
            <w:pPr>
              <w:jc w:val="center"/>
              <w:rPr>
                <w:rFonts w:ascii="Arial" w:hAnsi="Arial" w:cs="Arial"/>
                <w:b/>
                <w:bCs/>
                <w:lang w:eastAsia="en-PH"/>
              </w:rPr>
            </w:pPr>
            <w:r w:rsidRPr="008A6B6D">
              <w:rPr>
                <w:rFonts w:ascii="Arial" w:hAnsi="Arial" w:cs="Arial"/>
                <w:b/>
                <w:bCs/>
                <w:lang w:eastAsia="en-PH"/>
              </w:rPr>
              <w:t>Knowledge Recall</w:t>
            </w:r>
          </w:p>
        </w:tc>
        <w:tc>
          <w:tcPr>
            <w:tcW w:w="1710" w:type="dxa"/>
            <w:vMerge w:val="restart"/>
            <w:tcBorders>
              <w:top w:val="single" w:sz="4" w:space="0" w:color="auto"/>
            </w:tcBorders>
            <w:vAlign w:val="center"/>
            <w:hideMark/>
          </w:tcPr>
          <w:p w14:paraId="5B1DDC24" w14:textId="77777777" w:rsidR="001E51D5" w:rsidRPr="008A6B6D" w:rsidRDefault="001E51D5" w:rsidP="001E51D5">
            <w:pPr>
              <w:jc w:val="center"/>
              <w:rPr>
                <w:rFonts w:ascii="Arial" w:hAnsi="Arial" w:cs="Arial"/>
                <w:b/>
                <w:bCs/>
                <w:lang w:eastAsia="en-PH"/>
              </w:rPr>
            </w:pPr>
            <w:r w:rsidRPr="008A6B6D">
              <w:rPr>
                <w:rFonts w:ascii="Arial" w:hAnsi="Arial" w:cs="Arial"/>
                <w:b/>
                <w:bCs/>
                <w:lang w:eastAsia="en-PH"/>
              </w:rPr>
              <w:t>Conceptual Understanding</w:t>
            </w:r>
          </w:p>
        </w:tc>
        <w:tc>
          <w:tcPr>
            <w:tcW w:w="1980" w:type="dxa"/>
            <w:vMerge w:val="restart"/>
            <w:tcBorders>
              <w:top w:val="single" w:sz="4" w:space="0" w:color="auto"/>
            </w:tcBorders>
            <w:vAlign w:val="center"/>
            <w:hideMark/>
          </w:tcPr>
          <w:p w14:paraId="23933269" w14:textId="77777777" w:rsidR="001E51D5" w:rsidRPr="008A6B6D" w:rsidRDefault="001E51D5" w:rsidP="001E51D5">
            <w:pPr>
              <w:jc w:val="center"/>
              <w:rPr>
                <w:rFonts w:ascii="Arial" w:hAnsi="Arial" w:cs="Arial"/>
                <w:b/>
                <w:bCs/>
                <w:lang w:eastAsia="en-PH"/>
              </w:rPr>
            </w:pPr>
            <w:r w:rsidRPr="008A6B6D">
              <w:rPr>
                <w:rFonts w:ascii="Arial" w:hAnsi="Arial" w:cs="Arial"/>
                <w:b/>
                <w:bCs/>
                <w:lang w:eastAsia="en-PH"/>
              </w:rPr>
              <w:t>Application of Skills in New Contexts</w:t>
            </w:r>
          </w:p>
        </w:tc>
      </w:tr>
      <w:tr w:rsidR="001E51D5" w:rsidRPr="008A6B6D" w14:paraId="5C4338A4" w14:textId="77777777" w:rsidTr="0093337B">
        <w:trPr>
          <w:trHeight w:val="270"/>
        </w:trPr>
        <w:tc>
          <w:tcPr>
            <w:tcW w:w="2358" w:type="dxa"/>
            <w:vMerge/>
            <w:vAlign w:val="center"/>
            <w:hideMark/>
          </w:tcPr>
          <w:p w14:paraId="1AE71B74" w14:textId="77777777" w:rsidR="001E51D5" w:rsidRPr="008A6B6D" w:rsidRDefault="001E51D5" w:rsidP="001E51D5">
            <w:pPr>
              <w:rPr>
                <w:rFonts w:ascii="Arial" w:hAnsi="Arial" w:cs="Arial"/>
                <w:b/>
                <w:bCs/>
                <w:lang w:eastAsia="en-PH"/>
              </w:rPr>
            </w:pPr>
          </w:p>
        </w:tc>
        <w:tc>
          <w:tcPr>
            <w:tcW w:w="1620" w:type="dxa"/>
            <w:vMerge/>
            <w:vAlign w:val="center"/>
            <w:hideMark/>
          </w:tcPr>
          <w:p w14:paraId="2F14FE78" w14:textId="77777777" w:rsidR="001E51D5" w:rsidRPr="008A6B6D" w:rsidRDefault="001E51D5" w:rsidP="001E51D5">
            <w:pPr>
              <w:jc w:val="center"/>
              <w:rPr>
                <w:rFonts w:ascii="Arial" w:hAnsi="Arial" w:cs="Arial"/>
                <w:b/>
                <w:bCs/>
                <w:lang w:eastAsia="en-PH"/>
              </w:rPr>
            </w:pPr>
          </w:p>
        </w:tc>
        <w:tc>
          <w:tcPr>
            <w:tcW w:w="1710" w:type="dxa"/>
            <w:vMerge/>
            <w:vAlign w:val="center"/>
            <w:hideMark/>
          </w:tcPr>
          <w:p w14:paraId="53730674" w14:textId="77777777" w:rsidR="001E51D5" w:rsidRPr="008A6B6D" w:rsidRDefault="001E51D5" w:rsidP="001E51D5">
            <w:pPr>
              <w:jc w:val="center"/>
              <w:rPr>
                <w:rFonts w:ascii="Arial" w:hAnsi="Arial" w:cs="Arial"/>
                <w:b/>
                <w:bCs/>
                <w:lang w:eastAsia="en-PH"/>
              </w:rPr>
            </w:pPr>
          </w:p>
        </w:tc>
        <w:tc>
          <w:tcPr>
            <w:tcW w:w="1980" w:type="dxa"/>
            <w:vMerge/>
            <w:vAlign w:val="center"/>
            <w:hideMark/>
          </w:tcPr>
          <w:p w14:paraId="7ECB6734" w14:textId="77777777" w:rsidR="001E51D5" w:rsidRPr="008A6B6D" w:rsidRDefault="001E51D5" w:rsidP="001E51D5">
            <w:pPr>
              <w:jc w:val="center"/>
              <w:rPr>
                <w:rFonts w:ascii="Arial" w:hAnsi="Arial" w:cs="Arial"/>
                <w:b/>
                <w:bCs/>
                <w:lang w:eastAsia="en-PH"/>
              </w:rPr>
            </w:pPr>
          </w:p>
        </w:tc>
      </w:tr>
      <w:tr w:rsidR="001E51D5" w:rsidRPr="008A6B6D" w14:paraId="23D4636A" w14:textId="77777777" w:rsidTr="0093337B">
        <w:trPr>
          <w:trHeight w:val="270"/>
        </w:trPr>
        <w:tc>
          <w:tcPr>
            <w:tcW w:w="2358" w:type="dxa"/>
            <w:vMerge/>
            <w:vAlign w:val="center"/>
            <w:hideMark/>
          </w:tcPr>
          <w:p w14:paraId="19E0C412" w14:textId="77777777" w:rsidR="001E51D5" w:rsidRPr="008A6B6D" w:rsidRDefault="001E51D5" w:rsidP="001E51D5">
            <w:pPr>
              <w:rPr>
                <w:rFonts w:ascii="Arial" w:hAnsi="Arial" w:cs="Arial"/>
                <w:b/>
                <w:bCs/>
                <w:lang w:eastAsia="en-PH"/>
              </w:rPr>
            </w:pPr>
          </w:p>
        </w:tc>
        <w:tc>
          <w:tcPr>
            <w:tcW w:w="1620" w:type="dxa"/>
            <w:vMerge/>
            <w:vAlign w:val="center"/>
            <w:hideMark/>
          </w:tcPr>
          <w:p w14:paraId="5ECEADDF" w14:textId="77777777" w:rsidR="001E51D5" w:rsidRPr="008A6B6D" w:rsidRDefault="001E51D5" w:rsidP="001E51D5">
            <w:pPr>
              <w:jc w:val="center"/>
              <w:rPr>
                <w:rFonts w:ascii="Arial" w:hAnsi="Arial" w:cs="Arial"/>
                <w:b/>
                <w:bCs/>
                <w:lang w:eastAsia="en-PH"/>
              </w:rPr>
            </w:pPr>
          </w:p>
        </w:tc>
        <w:tc>
          <w:tcPr>
            <w:tcW w:w="1710" w:type="dxa"/>
            <w:vMerge/>
            <w:vAlign w:val="center"/>
            <w:hideMark/>
          </w:tcPr>
          <w:p w14:paraId="39F11ADB" w14:textId="77777777" w:rsidR="001E51D5" w:rsidRPr="008A6B6D" w:rsidRDefault="001E51D5" w:rsidP="001E51D5">
            <w:pPr>
              <w:jc w:val="center"/>
              <w:rPr>
                <w:rFonts w:ascii="Arial" w:hAnsi="Arial" w:cs="Arial"/>
                <w:b/>
                <w:bCs/>
                <w:lang w:eastAsia="en-PH"/>
              </w:rPr>
            </w:pPr>
          </w:p>
        </w:tc>
        <w:tc>
          <w:tcPr>
            <w:tcW w:w="1980" w:type="dxa"/>
            <w:vMerge/>
            <w:vAlign w:val="center"/>
            <w:hideMark/>
          </w:tcPr>
          <w:p w14:paraId="71A00B0A" w14:textId="77777777" w:rsidR="001E51D5" w:rsidRPr="008A6B6D" w:rsidRDefault="001E51D5" w:rsidP="001E51D5">
            <w:pPr>
              <w:jc w:val="center"/>
              <w:rPr>
                <w:rFonts w:ascii="Arial" w:hAnsi="Arial" w:cs="Arial"/>
                <w:b/>
                <w:bCs/>
                <w:lang w:eastAsia="en-PH"/>
              </w:rPr>
            </w:pPr>
          </w:p>
        </w:tc>
      </w:tr>
      <w:tr w:rsidR="001E51D5" w:rsidRPr="008A6B6D" w14:paraId="261BC71F" w14:textId="77777777" w:rsidTr="0093337B">
        <w:trPr>
          <w:trHeight w:val="295"/>
        </w:trPr>
        <w:tc>
          <w:tcPr>
            <w:tcW w:w="2358" w:type="dxa"/>
            <w:vMerge/>
            <w:tcBorders>
              <w:bottom w:val="single" w:sz="4" w:space="0" w:color="auto"/>
            </w:tcBorders>
            <w:vAlign w:val="center"/>
            <w:hideMark/>
          </w:tcPr>
          <w:p w14:paraId="25F698D3" w14:textId="77777777" w:rsidR="001E51D5" w:rsidRPr="008A6B6D" w:rsidRDefault="001E51D5" w:rsidP="001E51D5">
            <w:pPr>
              <w:rPr>
                <w:rFonts w:ascii="Arial" w:hAnsi="Arial" w:cs="Arial"/>
                <w:b/>
                <w:bCs/>
                <w:lang w:eastAsia="en-PH"/>
              </w:rPr>
            </w:pPr>
          </w:p>
        </w:tc>
        <w:tc>
          <w:tcPr>
            <w:tcW w:w="1620" w:type="dxa"/>
            <w:tcBorders>
              <w:bottom w:val="single" w:sz="4" w:space="0" w:color="auto"/>
            </w:tcBorders>
            <w:vAlign w:val="center"/>
            <w:hideMark/>
          </w:tcPr>
          <w:p w14:paraId="00519CCA" w14:textId="77777777" w:rsidR="001E51D5" w:rsidRPr="008A6B6D" w:rsidRDefault="001E51D5" w:rsidP="001E51D5">
            <w:pPr>
              <w:jc w:val="center"/>
              <w:rPr>
                <w:rFonts w:ascii="Arial" w:hAnsi="Arial" w:cs="Arial"/>
                <w:lang w:eastAsia="en-PH"/>
              </w:rPr>
            </w:pPr>
            <w:r w:rsidRPr="008A6B6D">
              <w:rPr>
                <w:rFonts w:ascii="Arial" w:hAnsi="Arial" w:cs="Arial"/>
                <w:lang w:eastAsia="en-PH"/>
              </w:rPr>
              <w:t>Spearman Correlation Value</w:t>
            </w:r>
          </w:p>
        </w:tc>
        <w:tc>
          <w:tcPr>
            <w:tcW w:w="1710" w:type="dxa"/>
            <w:tcBorders>
              <w:bottom w:val="single" w:sz="4" w:space="0" w:color="auto"/>
            </w:tcBorders>
            <w:vAlign w:val="center"/>
            <w:hideMark/>
          </w:tcPr>
          <w:p w14:paraId="55F8A575" w14:textId="77777777" w:rsidR="001E51D5" w:rsidRPr="008A6B6D" w:rsidRDefault="001E51D5" w:rsidP="001E51D5">
            <w:pPr>
              <w:jc w:val="center"/>
              <w:rPr>
                <w:rFonts w:ascii="Arial" w:hAnsi="Arial" w:cs="Arial"/>
                <w:lang w:eastAsia="en-PH"/>
              </w:rPr>
            </w:pPr>
            <w:r w:rsidRPr="008A6B6D">
              <w:rPr>
                <w:rFonts w:ascii="Arial" w:hAnsi="Arial" w:cs="Arial"/>
                <w:lang w:eastAsia="en-PH"/>
              </w:rPr>
              <w:t>Spearman Correlation Value</w:t>
            </w:r>
          </w:p>
        </w:tc>
        <w:tc>
          <w:tcPr>
            <w:tcW w:w="1980" w:type="dxa"/>
            <w:tcBorders>
              <w:bottom w:val="single" w:sz="4" w:space="0" w:color="auto"/>
            </w:tcBorders>
            <w:vAlign w:val="center"/>
            <w:hideMark/>
          </w:tcPr>
          <w:p w14:paraId="3EF05C90" w14:textId="77777777" w:rsidR="001E51D5" w:rsidRPr="008A6B6D" w:rsidRDefault="001E51D5" w:rsidP="001E51D5">
            <w:pPr>
              <w:jc w:val="center"/>
              <w:rPr>
                <w:rFonts w:ascii="Arial" w:hAnsi="Arial" w:cs="Arial"/>
                <w:lang w:eastAsia="en-PH"/>
              </w:rPr>
            </w:pPr>
            <w:r w:rsidRPr="008A6B6D">
              <w:rPr>
                <w:rFonts w:ascii="Arial" w:hAnsi="Arial" w:cs="Arial"/>
                <w:lang w:eastAsia="en-PH"/>
              </w:rPr>
              <w:t>Spearman Correlation Value</w:t>
            </w:r>
          </w:p>
        </w:tc>
      </w:tr>
      <w:tr w:rsidR="001E51D5" w:rsidRPr="008A6B6D" w14:paraId="716AEC9D" w14:textId="77777777" w:rsidTr="0093337B">
        <w:trPr>
          <w:trHeight w:val="307"/>
        </w:trPr>
        <w:tc>
          <w:tcPr>
            <w:tcW w:w="2358" w:type="dxa"/>
            <w:tcBorders>
              <w:top w:val="single" w:sz="4" w:space="0" w:color="auto"/>
            </w:tcBorders>
            <w:vAlign w:val="center"/>
            <w:hideMark/>
          </w:tcPr>
          <w:p w14:paraId="12B2BCB1" w14:textId="77777777" w:rsidR="001E51D5" w:rsidRPr="008A6B6D" w:rsidRDefault="001E51D5" w:rsidP="001E51D5">
            <w:pPr>
              <w:rPr>
                <w:rFonts w:ascii="Arial" w:hAnsi="Arial" w:cs="Arial"/>
                <w:b/>
                <w:bCs/>
                <w:lang w:eastAsia="en-PH"/>
              </w:rPr>
            </w:pPr>
            <w:r w:rsidRPr="008A6B6D">
              <w:rPr>
                <w:rFonts w:ascii="Arial" w:hAnsi="Arial" w:cs="Arial"/>
                <w:b/>
                <w:bCs/>
                <w:lang w:eastAsia="en-PH"/>
              </w:rPr>
              <w:t>Active learning strategies</w:t>
            </w:r>
          </w:p>
        </w:tc>
        <w:tc>
          <w:tcPr>
            <w:tcW w:w="1620" w:type="dxa"/>
            <w:tcBorders>
              <w:top w:val="single" w:sz="4" w:space="0" w:color="auto"/>
            </w:tcBorders>
            <w:noWrap/>
            <w:vAlign w:val="center"/>
            <w:hideMark/>
          </w:tcPr>
          <w:p w14:paraId="6DFD9044" w14:textId="77777777" w:rsidR="001E51D5" w:rsidRPr="008A6B6D" w:rsidRDefault="001E51D5" w:rsidP="001E51D5">
            <w:pPr>
              <w:jc w:val="center"/>
              <w:rPr>
                <w:rFonts w:ascii="Arial" w:hAnsi="Arial" w:cs="Arial"/>
                <w:lang w:eastAsia="en-PH"/>
              </w:rPr>
            </w:pPr>
            <w:r w:rsidRPr="008A6B6D">
              <w:rPr>
                <w:rFonts w:ascii="Arial" w:hAnsi="Arial" w:cs="Arial"/>
                <w:lang w:eastAsia="en-PH"/>
              </w:rPr>
              <w:t>0.320**</w:t>
            </w:r>
          </w:p>
        </w:tc>
        <w:tc>
          <w:tcPr>
            <w:tcW w:w="1710" w:type="dxa"/>
            <w:tcBorders>
              <w:top w:val="single" w:sz="4" w:space="0" w:color="auto"/>
            </w:tcBorders>
            <w:noWrap/>
            <w:vAlign w:val="center"/>
            <w:hideMark/>
          </w:tcPr>
          <w:p w14:paraId="339462DC" w14:textId="77777777" w:rsidR="001E51D5" w:rsidRPr="008A6B6D" w:rsidRDefault="001E51D5" w:rsidP="001E51D5">
            <w:pPr>
              <w:jc w:val="center"/>
              <w:rPr>
                <w:rFonts w:ascii="Arial" w:hAnsi="Arial" w:cs="Arial"/>
                <w:lang w:eastAsia="en-PH"/>
              </w:rPr>
            </w:pPr>
            <w:r w:rsidRPr="008A6B6D">
              <w:rPr>
                <w:rFonts w:ascii="Arial" w:hAnsi="Arial" w:cs="Arial"/>
                <w:lang w:eastAsia="en-PH"/>
              </w:rPr>
              <w:t>0.401**</w:t>
            </w:r>
          </w:p>
        </w:tc>
        <w:tc>
          <w:tcPr>
            <w:tcW w:w="1980" w:type="dxa"/>
            <w:tcBorders>
              <w:top w:val="single" w:sz="4" w:space="0" w:color="auto"/>
            </w:tcBorders>
            <w:noWrap/>
            <w:vAlign w:val="center"/>
            <w:hideMark/>
          </w:tcPr>
          <w:p w14:paraId="5EA169F6" w14:textId="77777777" w:rsidR="001E51D5" w:rsidRPr="008A6B6D" w:rsidRDefault="001E51D5" w:rsidP="001E51D5">
            <w:pPr>
              <w:jc w:val="center"/>
              <w:rPr>
                <w:rFonts w:ascii="Arial" w:hAnsi="Arial" w:cs="Arial"/>
                <w:lang w:eastAsia="en-PH"/>
              </w:rPr>
            </w:pPr>
            <w:r w:rsidRPr="008A6B6D">
              <w:rPr>
                <w:rFonts w:ascii="Arial" w:hAnsi="Arial" w:cs="Arial"/>
                <w:lang w:eastAsia="en-PH"/>
              </w:rPr>
              <w:t>0.473**</w:t>
            </w:r>
          </w:p>
        </w:tc>
      </w:tr>
      <w:tr w:rsidR="001E51D5" w:rsidRPr="008A6B6D" w14:paraId="6ACE4AC8" w14:textId="77777777" w:rsidTr="0093337B">
        <w:trPr>
          <w:trHeight w:val="384"/>
        </w:trPr>
        <w:tc>
          <w:tcPr>
            <w:tcW w:w="2358" w:type="dxa"/>
            <w:vAlign w:val="center"/>
            <w:hideMark/>
          </w:tcPr>
          <w:p w14:paraId="2E04329B" w14:textId="77777777" w:rsidR="001E51D5" w:rsidRPr="008A6B6D" w:rsidRDefault="001E51D5" w:rsidP="001E51D5">
            <w:pPr>
              <w:rPr>
                <w:rFonts w:ascii="Arial" w:hAnsi="Arial" w:cs="Arial"/>
                <w:b/>
                <w:bCs/>
                <w:lang w:eastAsia="en-PH"/>
              </w:rPr>
            </w:pPr>
            <w:r w:rsidRPr="008A6B6D">
              <w:rPr>
                <w:rFonts w:ascii="Arial" w:hAnsi="Arial" w:cs="Arial"/>
                <w:b/>
                <w:bCs/>
                <w:lang w:eastAsia="en-PH"/>
              </w:rPr>
              <w:t>Use of instructional multimedia</w:t>
            </w:r>
          </w:p>
        </w:tc>
        <w:tc>
          <w:tcPr>
            <w:tcW w:w="1620" w:type="dxa"/>
            <w:noWrap/>
            <w:vAlign w:val="center"/>
            <w:hideMark/>
          </w:tcPr>
          <w:p w14:paraId="7216299D" w14:textId="77777777" w:rsidR="001E51D5" w:rsidRPr="008A6B6D" w:rsidRDefault="001E51D5" w:rsidP="001E51D5">
            <w:pPr>
              <w:jc w:val="center"/>
              <w:rPr>
                <w:rFonts w:ascii="Arial" w:hAnsi="Arial" w:cs="Arial"/>
                <w:lang w:eastAsia="en-PH"/>
              </w:rPr>
            </w:pPr>
            <w:r w:rsidRPr="008A6B6D">
              <w:rPr>
                <w:rFonts w:ascii="Arial" w:hAnsi="Arial" w:cs="Arial"/>
                <w:lang w:eastAsia="en-PH"/>
              </w:rPr>
              <w:t>0.395**</w:t>
            </w:r>
          </w:p>
        </w:tc>
        <w:tc>
          <w:tcPr>
            <w:tcW w:w="1710" w:type="dxa"/>
            <w:noWrap/>
            <w:vAlign w:val="center"/>
            <w:hideMark/>
          </w:tcPr>
          <w:p w14:paraId="57476CE9" w14:textId="77777777" w:rsidR="001E51D5" w:rsidRPr="008A6B6D" w:rsidRDefault="001E51D5" w:rsidP="001E51D5">
            <w:pPr>
              <w:jc w:val="center"/>
              <w:rPr>
                <w:rFonts w:ascii="Arial" w:hAnsi="Arial" w:cs="Arial"/>
                <w:lang w:eastAsia="en-PH"/>
              </w:rPr>
            </w:pPr>
            <w:r w:rsidRPr="008A6B6D">
              <w:rPr>
                <w:rFonts w:ascii="Arial" w:hAnsi="Arial" w:cs="Arial"/>
                <w:lang w:eastAsia="en-PH"/>
              </w:rPr>
              <w:t>0.461**</w:t>
            </w:r>
          </w:p>
        </w:tc>
        <w:tc>
          <w:tcPr>
            <w:tcW w:w="1980" w:type="dxa"/>
            <w:noWrap/>
            <w:vAlign w:val="center"/>
            <w:hideMark/>
          </w:tcPr>
          <w:p w14:paraId="6A2A10AA" w14:textId="77777777" w:rsidR="001E51D5" w:rsidRPr="008A6B6D" w:rsidRDefault="001E51D5" w:rsidP="001E51D5">
            <w:pPr>
              <w:jc w:val="center"/>
              <w:rPr>
                <w:rFonts w:ascii="Arial" w:hAnsi="Arial" w:cs="Arial"/>
                <w:lang w:eastAsia="en-PH"/>
              </w:rPr>
            </w:pPr>
            <w:r w:rsidRPr="008A6B6D">
              <w:rPr>
                <w:rFonts w:ascii="Arial" w:hAnsi="Arial" w:cs="Arial"/>
                <w:lang w:eastAsia="en-PH"/>
              </w:rPr>
              <w:t>0.435**</w:t>
            </w:r>
          </w:p>
        </w:tc>
      </w:tr>
      <w:tr w:rsidR="001E51D5" w:rsidRPr="008A6B6D" w14:paraId="178C45EC" w14:textId="77777777" w:rsidTr="0093337B">
        <w:trPr>
          <w:trHeight w:val="460"/>
        </w:trPr>
        <w:tc>
          <w:tcPr>
            <w:tcW w:w="2358" w:type="dxa"/>
            <w:vAlign w:val="center"/>
            <w:hideMark/>
          </w:tcPr>
          <w:p w14:paraId="0717D29F" w14:textId="77777777" w:rsidR="001E51D5" w:rsidRPr="008A6B6D" w:rsidRDefault="001E51D5" w:rsidP="001E51D5">
            <w:pPr>
              <w:rPr>
                <w:rFonts w:ascii="Arial" w:hAnsi="Arial" w:cs="Arial"/>
                <w:b/>
                <w:bCs/>
                <w:lang w:eastAsia="en-PH"/>
              </w:rPr>
            </w:pPr>
            <w:r w:rsidRPr="008A6B6D">
              <w:rPr>
                <w:rFonts w:ascii="Arial" w:hAnsi="Arial" w:cs="Arial"/>
                <w:b/>
                <w:bCs/>
                <w:lang w:eastAsia="en-PH"/>
              </w:rPr>
              <w:t>Frequency of formative assessments</w:t>
            </w:r>
          </w:p>
        </w:tc>
        <w:tc>
          <w:tcPr>
            <w:tcW w:w="1620" w:type="dxa"/>
            <w:noWrap/>
            <w:vAlign w:val="center"/>
            <w:hideMark/>
          </w:tcPr>
          <w:p w14:paraId="37F7C9E5" w14:textId="77777777" w:rsidR="001E51D5" w:rsidRPr="008A6B6D" w:rsidRDefault="001E51D5" w:rsidP="001E51D5">
            <w:pPr>
              <w:jc w:val="center"/>
              <w:rPr>
                <w:rFonts w:ascii="Arial" w:hAnsi="Arial" w:cs="Arial"/>
                <w:lang w:eastAsia="en-PH"/>
              </w:rPr>
            </w:pPr>
            <w:r w:rsidRPr="008A6B6D">
              <w:rPr>
                <w:rFonts w:ascii="Arial" w:hAnsi="Arial" w:cs="Arial"/>
                <w:lang w:eastAsia="en-PH"/>
              </w:rPr>
              <w:t>0.436**</w:t>
            </w:r>
          </w:p>
        </w:tc>
        <w:tc>
          <w:tcPr>
            <w:tcW w:w="1710" w:type="dxa"/>
            <w:noWrap/>
            <w:vAlign w:val="center"/>
            <w:hideMark/>
          </w:tcPr>
          <w:p w14:paraId="38092F82" w14:textId="77777777" w:rsidR="001E51D5" w:rsidRPr="008A6B6D" w:rsidRDefault="001E51D5" w:rsidP="001E51D5">
            <w:pPr>
              <w:jc w:val="center"/>
              <w:rPr>
                <w:rFonts w:ascii="Arial" w:hAnsi="Arial" w:cs="Arial"/>
                <w:lang w:eastAsia="en-PH"/>
              </w:rPr>
            </w:pPr>
            <w:r w:rsidRPr="008A6B6D">
              <w:rPr>
                <w:rFonts w:ascii="Arial" w:hAnsi="Arial" w:cs="Arial"/>
                <w:lang w:eastAsia="en-PH"/>
              </w:rPr>
              <w:t>0.453**</w:t>
            </w:r>
          </w:p>
        </w:tc>
        <w:tc>
          <w:tcPr>
            <w:tcW w:w="1980" w:type="dxa"/>
            <w:noWrap/>
            <w:vAlign w:val="center"/>
            <w:hideMark/>
          </w:tcPr>
          <w:p w14:paraId="5370557C" w14:textId="77777777" w:rsidR="001E51D5" w:rsidRPr="008A6B6D" w:rsidRDefault="001E51D5" w:rsidP="001E51D5">
            <w:pPr>
              <w:jc w:val="center"/>
              <w:rPr>
                <w:rFonts w:ascii="Arial" w:hAnsi="Arial" w:cs="Arial"/>
                <w:lang w:eastAsia="en-PH"/>
              </w:rPr>
            </w:pPr>
            <w:r w:rsidRPr="008A6B6D">
              <w:rPr>
                <w:rFonts w:ascii="Arial" w:hAnsi="Arial" w:cs="Arial"/>
                <w:lang w:eastAsia="en-PH"/>
              </w:rPr>
              <w:t>0.515**</w:t>
            </w:r>
          </w:p>
        </w:tc>
      </w:tr>
      <w:tr w:rsidR="001E51D5" w:rsidRPr="008A6B6D" w14:paraId="0715DB9B" w14:textId="77777777" w:rsidTr="0093337B">
        <w:trPr>
          <w:trHeight w:val="307"/>
        </w:trPr>
        <w:tc>
          <w:tcPr>
            <w:tcW w:w="2358" w:type="dxa"/>
            <w:tcBorders>
              <w:bottom w:val="single" w:sz="4" w:space="0" w:color="auto"/>
            </w:tcBorders>
            <w:vAlign w:val="center"/>
            <w:hideMark/>
          </w:tcPr>
          <w:p w14:paraId="7B633A55" w14:textId="77777777" w:rsidR="001E51D5" w:rsidRPr="008A6B6D" w:rsidRDefault="001E51D5" w:rsidP="001E51D5">
            <w:pPr>
              <w:rPr>
                <w:rFonts w:ascii="Arial" w:hAnsi="Arial" w:cs="Arial"/>
                <w:b/>
                <w:bCs/>
                <w:lang w:eastAsia="en-PH"/>
              </w:rPr>
            </w:pPr>
            <w:r w:rsidRPr="008A6B6D">
              <w:rPr>
                <w:rFonts w:ascii="Arial" w:hAnsi="Arial" w:cs="Arial"/>
                <w:b/>
                <w:bCs/>
                <w:lang w:eastAsia="en-PH"/>
              </w:rPr>
              <w:t>Differentiated instruction</w:t>
            </w:r>
          </w:p>
        </w:tc>
        <w:tc>
          <w:tcPr>
            <w:tcW w:w="1620" w:type="dxa"/>
            <w:tcBorders>
              <w:bottom w:val="single" w:sz="4" w:space="0" w:color="auto"/>
            </w:tcBorders>
            <w:noWrap/>
            <w:vAlign w:val="center"/>
            <w:hideMark/>
          </w:tcPr>
          <w:p w14:paraId="28C1D9A6" w14:textId="77777777" w:rsidR="001E51D5" w:rsidRPr="008A6B6D" w:rsidRDefault="001E51D5" w:rsidP="001E51D5">
            <w:pPr>
              <w:jc w:val="center"/>
              <w:rPr>
                <w:rFonts w:ascii="Arial" w:hAnsi="Arial" w:cs="Arial"/>
                <w:lang w:eastAsia="en-PH"/>
              </w:rPr>
            </w:pPr>
            <w:r w:rsidRPr="008A6B6D">
              <w:rPr>
                <w:rFonts w:ascii="Arial" w:hAnsi="Arial" w:cs="Arial"/>
                <w:lang w:eastAsia="en-PH"/>
              </w:rPr>
              <w:t>0.416**</w:t>
            </w:r>
          </w:p>
        </w:tc>
        <w:tc>
          <w:tcPr>
            <w:tcW w:w="1710" w:type="dxa"/>
            <w:tcBorders>
              <w:bottom w:val="single" w:sz="4" w:space="0" w:color="auto"/>
            </w:tcBorders>
            <w:noWrap/>
            <w:vAlign w:val="center"/>
            <w:hideMark/>
          </w:tcPr>
          <w:p w14:paraId="2FC77811" w14:textId="77777777" w:rsidR="001E51D5" w:rsidRPr="008A6B6D" w:rsidRDefault="001E51D5" w:rsidP="001E51D5">
            <w:pPr>
              <w:jc w:val="center"/>
              <w:rPr>
                <w:rFonts w:ascii="Arial" w:hAnsi="Arial" w:cs="Arial"/>
                <w:lang w:eastAsia="en-PH"/>
              </w:rPr>
            </w:pPr>
            <w:r w:rsidRPr="008A6B6D">
              <w:rPr>
                <w:rFonts w:ascii="Arial" w:hAnsi="Arial" w:cs="Arial"/>
                <w:lang w:eastAsia="en-PH"/>
              </w:rPr>
              <w:t>0.469**</w:t>
            </w:r>
          </w:p>
        </w:tc>
        <w:tc>
          <w:tcPr>
            <w:tcW w:w="1980" w:type="dxa"/>
            <w:tcBorders>
              <w:bottom w:val="single" w:sz="4" w:space="0" w:color="auto"/>
            </w:tcBorders>
            <w:noWrap/>
            <w:vAlign w:val="center"/>
            <w:hideMark/>
          </w:tcPr>
          <w:p w14:paraId="1255F7F3" w14:textId="77777777" w:rsidR="001E51D5" w:rsidRPr="008A6B6D" w:rsidRDefault="001E51D5" w:rsidP="001E51D5">
            <w:pPr>
              <w:jc w:val="center"/>
              <w:rPr>
                <w:rFonts w:ascii="Arial" w:hAnsi="Arial" w:cs="Arial"/>
                <w:lang w:eastAsia="en-PH"/>
              </w:rPr>
            </w:pPr>
            <w:r w:rsidRPr="008A6B6D">
              <w:rPr>
                <w:rFonts w:ascii="Arial" w:hAnsi="Arial" w:cs="Arial"/>
                <w:lang w:eastAsia="en-PH"/>
              </w:rPr>
              <w:t>0.52**</w:t>
            </w:r>
          </w:p>
        </w:tc>
      </w:tr>
    </w:tbl>
    <w:p w14:paraId="6C9670DE" w14:textId="77777777" w:rsidR="001E51D5" w:rsidRPr="008A6B6D" w:rsidRDefault="001E51D5" w:rsidP="001E51D5">
      <w:pPr>
        <w:rPr>
          <w:rFonts w:ascii="Arial" w:hAnsi="Arial" w:cs="Arial"/>
          <w:bCs/>
          <w:color w:val="1F1F1F"/>
          <w:sz w:val="16"/>
          <w:szCs w:val="16"/>
          <w:lang w:eastAsia="en-PH"/>
        </w:rPr>
      </w:pPr>
      <w:r w:rsidRPr="008A6B6D">
        <w:rPr>
          <w:rFonts w:ascii="Arial" w:hAnsi="Arial" w:cs="Arial"/>
          <w:bCs/>
          <w:color w:val="1F1F1F"/>
          <w:sz w:val="16"/>
          <w:szCs w:val="16"/>
          <w:lang w:eastAsia="en-PH"/>
        </w:rPr>
        <w:t>Legend: ** highly significant        *significant                ns-not significant</w:t>
      </w:r>
    </w:p>
    <w:p w14:paraId="6274F141" w14:textId="77777777" w:rsidR="001E51D5" w:rsidRPr="008A6B6D" w:rsidRDefault="001E51D5" w:rsidP="001E51D5">
      <w:pPr>
        <w:ind w:firstLine="720"/>
        <w:rPr>
          <w:rFonts w:ascii="Arial" w:hAnsi="Arial" w:cs="Arial"/>
          <w:bCs/>
          <w:color w:val="1F1F1F"/>
          <w:lang w:eastAsia="en-PH"/>
        </w:rPr>
      </w:pPr>
    </w:p>
    <w:p w14:paraId="3B582726" w14:textId="77777777" w:rsidR="001E51D5" w:rsidRPr="008A6B6D" w:rsidRDefault="001E51D5" w:rsidP="00A44D52">
      <w:pPr>
        <w:jc w:val="both"/>
        <w:rPr>
          <w:rFonts w:ascii="Arial" w:hAnsi="Arial" w:cs="Arial"/>
          <w:lang w:eastAsia="en-PH"/>
        </w:rPr>
      </w:pPr>
      <w:r w:rsidRPr="008A6B6D">
        <w:rPr>
          <w:rFonts w:ascii="Arial" w:hAnsi="Arial" w:cs="Arial"/>
          <w:lang w:eastAsia="en-PH"/>
        </w:rPr>
        <w:lastRenderedPageBreak/>
        <w:t>Table 19 illustrates the significant relationship between the identified pedagogical determinants and the three dimensions of student learning retention. All four pedagogical factors—Active Learning Strategies, Use of Instructional Multimedia, Frequency of Formative Assessments, and Differentiated Instruction—yielded p-values of &lt; .001 or .003, all of which are substantially below the 0.05 alpha level of significance. The data reveal that Differentiated Instruction and Frequency of Formative Assessments maintain the strongest correlations with the Application of Skills in New Contexts, yielding Spearman correlation coefficients (rho) of 0.520 and 0.515, respectively. Additionally, the Use of Instructional Multimedia and Differentiated Instruction demonstrated robust positive correlations with Conceptual Understanding (0.461 and 0.469). These results indicate positive associations between the pedagogical practices and perceived student retention. Since the computed p-values for all tested variables are less than the significance level (alpha = 0.05), the null hypotheses stating that there is no significant relationship between pedagogical determinants and student learning retention are hereby rejected. The findings indicate that these pedagogical factors are significantly associated with perceived learning retention.</w:t>
      </w:r>
    </w:p>
    <w:p w14:paraId="3FE2C328" w14:textId="77777777" w:rsidR="001E51D5" w:rsidRPr="008A6B6D" w:rsidRDefault="001E51D5" w:rsidP="00A44D52">
      <w:pPr>
        <w:jc w:val="both"/>
        <w:rPr>
          <w:rFonts w:ascii="Arial" w:hAnsi="Arial" w:cs="Arial"/>
          <w:bCs/>
          <w:lang w:eastAsia="en-PH"/>
        </w:rPr>
      </w:pPr>
      <w:r w:rsidRPr="008A6B6D">
        <w:rPr>
          <w:rFonts w:ascii="Arial" w:hAnsi="Arial" w:cs="Arial"/>
          <w:bCs/>
          <w:lang w:eastAsia="en-PH"/>
        </w:rPr>
        <w:t>This implies that the instructional choices made by teachers are not merely supplementary but are associated with how well Junior High School students retain and apply information. The consistently significant results across all variables suggest that a "multi-pronged" teaching approach—one that balances digital tools, active engagement, and constant feedback—may provide a useful approach to addressing the "forgetting curve." Specifically, the high correlation between Differentiated instruction and the Application of skills implies that when teachers meet students at their individual ability levels, students may be more capable of transferring their classroom knowledge to real-world scenarios. These statistical associations suggest that the implementation of the proposed Learning Retention Enhancement Program depends heavily on the consistent and high-quality implementation of these four specific pedagogical pillars.</w:t>
      </w:r>
    </w:p>
    <w:p w14:paraId="7965B403" w14:textId="77777777" w:rsidR="00A44D52" w:rsidRPr="008A6B6D" w:rsidRDefault="00A44D52" w:rsidP="00A44D52">
      <w:pPr>
        <w:jc w:val="both"/>
        <w:rPr>
          <w:rFonts w:ascii="Arial" w:hAnsi="Arial" w:cs="Arial"/>
          <w:lang w:eastAsia="en-PH"/>
        </w:rPr>
      </w:pPr>
    </w:p>
    <w:p w14:paraId="4DB7D92A" w14:textId="77777777" w:rsidR="001E51D5" w:rsidRPr="008A6B6D" w:rsidRDefault="001E51D5" w:rsidP="00A44D52">
      <w:pPr>
        <w:jc w:val="both"/>
        <w:rPr>
          <w:rFonts w:ascii="Arial" w:hAnsi="Arial" w:cs="Arial"/>
          <w:sz w:val="16"/>
          <w:szCs w:val="16"/>
          <w:lang w:eastAsia="en-PH"/>
        </w:rPr>
      </w:pPr>
      <w:r w:rsidRPr="008A6B6D">
        <w:rPr>
          <w:rFonts w:ascii="Arial" w:hAnsi="Arial" w:cs="Arial"/>
          <w:lang w:eastAsia="en-PH"/>
        </w:rPr>
        <w:t>This aligns with literature examining how pedagogical determinants are associated with learning retention and transfer, including active learning, multimedia use, formative assessment, and differentiated instruction. The present results similarly show significant positive associations, with the strongest correlations with application of skills observed for differentiated instruction and formative assessment. Together, these findings support considering a multi-pronged approach that combines active engagement, digital tools, timely feedback, and differentiation to support retention and transfer in junior high contexts.</w:t>
      </w:r>
    </w:p>
    <w:p w14:paraId="211306B0" w14:textId="77777777" w:rsidR="001E51D5" w:rsidRPr="008A6B6D" w:rsidRDefault="001E51D5" w:rsidP="0093337B">
      <w:pPr>
        <w:jc w:val="both"/>
        <w:rPr>
          <w:rFonts w:ascii="Arial" w:eastAsia="Calibri" w:hAnsi="Arial" w:cs="Arial"/>
          <w:bCs/>
          <w:sz w:val="12"/>
          <w:szCs w:val="12"/>
          <w:shd w:val="clear" w:color="auto" w:fill="FFFFFF"/>
        </w:rPr>
      </w:pPr>
    </w:p>
    <w:p w14:paraId="71F44D06" w14:textId="77777777" w:rsidR="001E51D5" w:rsidRPr="008A6B6D" w:rsidRDefault="001E51D5" w:rsidP="001E51D5">
      <w:pPr>
        <w:rPr>
          <w:rFonts w:ascii="Arial" w:eastAsia="Calibri" w:hAnsi="Arial" w:cs="Arial"/>
          <w:bCs/>
          <w:sz w:val="16"/>
          <w:szCs w:val="16"/>
          <w:shd w:val="clear" w:color="auto" w:fill="FFFFFF"/>
        </w:rPr>
      </w:pPr>
    </w:p>
    <w:p w14:paraId="443BDD22" w14:textId="77777777" w:rsidR="001E51D5" w:rsidRPr="008A6B6D" w:rsidRDefault="0093337B" w:rsidP="001E51D5">
      <w:pPr>
        <w:rPr>
          <w:rFonts w:ascii="Arial" w:hAnsi="Arial" w:cs="Arial"/>
          <w:b/>
          <w:lang w:eastAsia="en-PH"/>
        </w:rPr>
      </w:pPr>
      <w:r w:rsidRPr="008A6B6D">
        <w:rPr>
          <w:rFonts w:ascii="Arial" w:hAnsi="Arial" w:cs="Arial"/>
          <w:b/>
          <w:lang w:eastAsia="en-PH"/>
        </w:rPr>
        <w:t>3</w:t>
      </w:r>
      <w:r w:rsidR="001E51D5" w:rsidRPr="008A6B6D">
        <w:rPr>
          <w:rFonts w:ascii="Arial" w:hAnsi="Arial" w:cs="Arial"/>
          <w:b/>
          <w:lang w:eastAsia="en-PH"/>
        </w:rPr>
        <w:t>.6. Significant Relationship Between the Level of Student-Related Determinants Affecting Learning Retention as Perceived by Teachers and the Perceived Level of Learning Retention Among Junior High School Students</w:t>
      </w:r>
    </w:p>
    <w:p w14:paraId="479F483A" w14:textId="77777777" w:rsidR="00A44D52" w:rsidRPr="008A6B6D" w:rsidRDefault="00A44D52" w:rsidP="00A44D52">
      <w:pPr>
        <w:jc w:val="both"/>
        <w:rPr>
          <w:rFonts w:ascii="Arial" w:hAnsi="Arial" w:cs="Arial"/>
          <w:bCs/>
        </w:rPr>
      </w:pPr>
    </w:p>
    <w:p w14:paraId="44A2C1F8" w14:textId="77777777" w:rsidR="001E51D5" w:rsidRPr="008A6B6D" w:rsidRDefault="001E51D5" w:rsidP="00A44D52">
      <w:pPr>
        <w:jc w:val="both"/>
        <w:rPr>
          <w:rFonts w:ascii="Arial" w:hAnsi="Arial" w:cs="Arial"/>
          <w:bCs/>
          <w:lang w:eastAsia="en-PH"/>
        </w:rPr>
      </w:pPr>
      <w:r w:rsidRPr="008A6B6D">
        <w:rPr>
          <w:rFonts w:ascii="Arial" w:hAnsi="Arial" w:cs="Arial"/>
          <w:bCs/>
        </w:rPr>
        <w:t>This section presents the statistical analysis of the relationship between student-related determinants and the perceived level of student learning retention, using the Spearman Rank Correlation Coefficient to determine the strength and significance of these associations across various cognitive dimensions.</w:t>
      </w:r>
    </w:p>
    <w:p w14:paraId="32F82C53" w14:textId="77777777" w:rsidR="001E51D5" w:rsidRPr="008A6B6D" w:rsidRDefault="001E51D5" w:rsidP="001E51D5">
      <w:pPr>
        <w:rPr>
          <w:rFonts w:ascii="Arial" w:hAnsi="Arial" w:cs="Arial"/>
          <w:b/>
          <w:lang w:eastAsia="en-PH"/>
        </w:rPr>
      </w:pPr>
    </w:p>
    <w:p w14:paraId="75C92ED6" w14:textId="77777777" w:rsidR="001E51D5" w:rsidRPr="008A6B6D" w:rsidRDefault="001E51D5" w:rsidP="001E51D5">
      <w:pPr>
        <w:ind w:left="850" w:hanging="850"/>
        <w:rPr>
          <w:rFonts w:ascii="Arial" w:hAnsi="Arial" w:cs="Arial"/>
          <w:b/>
          <w:lang w:eastAsia="en-PH"/>
        </w:rPr>
      </w:pPr>
      <w:r w:rsidRPr="008A6B6D">
        <w:rPr>
          <w:rFonts w:ascii="Arial" w:hAnsi="Arial" w:cs="Arial"/>
          <w:b/>
          <w:lang w:eastAsia="en-PH"/>
        </w:rPr>
        <w:t>Table 20. Significant Relationship Between the Level of Student-Related Determinants Affecting Learning Retention as Perceived by Teachers and the Perceived Level of Learning Retention Among Junior High School Students</w:t>
      </w:r>
    </w:p>
    <w:tbl>
      <w:tblPr>
        <w:tblW w:w="8118" w:type="dxa"/>
        <w:tblLook w:val="04A0" w:firstRow="1" w:lastRow="0" w:firstColumn="1" w:lastColumn="0" w:noHBand="0" w:noVBand="1"/>
      </w:tblPr>
      <w:tblGrid>
        <w:gridCol w:w="1818"/>
        <w:gridCol w:w="1980"/>
        <w:gridCol w:w="1800"/>
        <w:gridCol w:w="2520"/>
      </w:tblGrid>
      <w:tr w:rsidR="001E51D5" w:rsidRPr="008A6B6D" w14:paraId="70E7058F" w14:textId="77777777" w:rsidTr="0093337B">
        <w:trPr>
          <w:trHeight w:val="409"/>
        </w:trPr>
        <w:tc>
          <w:tcPr>
            <w:tcW w:w="1818" w:type="dxa"/>
            <w:vMerge w:val="restart"/>
            <w:tcBorders>
              <w:top w:val="single" w:sz="4" w:space="0" w:color="auto"/>
            </w:tcBorders>
            <w:vAlign w:val="center"/>
            <w:hideMark/>
          </w:tcPr>
          <w:p w14:paraId="4216BAE8" w14:textId="77777777" w:rsidR="001E51D5" w:rsidRPr="008A6B6D" w:rsidRDefault="001E51D5" w:rsidP="001E51D5">
            <w:pPr>
              <w:jc w:val="center"/>
              <w:rPr>
                <w:rFonts w:ascii="Arial" w:hAnsi="Arial" w:cs="Arial"/>
                <w:lang w:eastAsia="en-PH"/>
              </w:rPr>
            </w:pPr>
            <w:r w:rsidRPr="008A6B6D">
              <w:rPr>
                <w:rFonts w:ascii="Arial" w:hAnsi="Arial" w:cs="Arial"/>
                <w:lang w:eastAsia="en-PH"/>
              </w:rPr>
              <w:t>Variables</w:t>
            </w:r>
          </w:p>
          <w:p w14:paraId="7D0D3729" w14:textId="77777777" w:rsidR="001E51D5" w:rsidRPr="008A6B6D" w:rsidRDefault="001E51D5" w:rsidP="001E51D5">
            <w:pPr>
              <w:jc w:val="center"/>
              <w:rPr>
                <w:rFonts w:ascii="Arial" w:hAnsi="Arial" w:cs="Arial"/>
                <w:lang w:eastAsia="en-PH"/>
              </w:rPr>
            </w:pPr>
          </w:p>
        </w:tc>
        <w:tc>
          <w:tcPr>
            <w:tcW w:w="1980" w:type="dxa"/>
            <w:tcBorders>
              <w:top w:val="single" w:sz="4" w:space="0" w:color="auto"/>
            </w:tcBorders>
            <w:vAlign w:val="center"/>
            <w:hideMark/>
          </w:tcPr>
          <w:p w14:paraId="7F0A1AC6" w14:textId="77777777" w:rsidR="001E51D5" w:rsidRPr="008A6B6D" w:rsidRDefault="001E51D5" w:rsidP="001E51D5">
            <w:pPr>
              <w:jc w:val="center"/>
              <w:rPr>
                <w:rFonts w:ascii="Arial" w:hAnsi="Arial" w:cs="Arial"/>
                <w:b/>
                <w:bCs/>
                <w:lang w:eastAsia="en-PH"/>
              </w:rPr>
            </w:pPr>
            <w:r w:rsidRPr="008A6B6D">
              <w:rPr>
                <w:rFonts w:ascii="Arial" w:hAnsi="Arial" w:cs="Arial"/>
                <w:b/>
                <w:bCs/>
                <w:lang w:eastAsia="en-PH"/>
              </w:rPr>
              <w:t>Knowledge Recall</w:t>
            </w:r>
          </w:p>
        </w:tc>
        <w:tc>
          <w:tcPr>
            <w:tcW w:w="1800" w:type="dxa"/>
            <w:tcBorders>
              <w:top w:val="single" w:sz="4" w:space="0" w:color="auto"/>
            </w:tcBorders>
            <w:vAlign w:val="center"/>
            <w:hideMark/>
          </w:tcPr>
          <w:p w14:paraId="41B219F0" w14:textId="77777777" w:rsidR="001E51D5" w:rsidRPr="008A6B6D" w:rsidRDefault="001E51D5" w:rsidP="001E51D5">
            <w:pPr>
              <w:jc w:val="center"/>
              <w:rPr>
                <w:rFonts w:ascii="Arial" w:hAnsi="Arial" w:cs="Arial"/>
                <w:b/>
                <w:bCs/>
                <w:lang w:eastAsia="en-PH"/>
              </w:rPr>
            </w:pPr>
            <w:r w:rsidRPr="008A6B6D">
              <w:rPr>
                <w:rFonts w:ascii="Arial" w:hAnsi="Arial" w:cs="Arial"/>
                <w:b/>
                <w:bCs/>
                <w:lang w:eastAsia="en-PH"/>
              </w:rPr>
              <w:t>Conceptual Understanding</w:t>
            </w:r>
          </w:p>
        </w:tc>
        <w:tc>
          <w:tcPr>
            <w:tcW w:w="2520" w:type="dxa"/>
            <w:tcBorders>
              <w:top w:val="single" w:sz="4" w:space="0" w:color="auto"/>
            </w:tcBorders>
            <w:vAlign w:val="center"/>
            <w:hideMark/>
          </w:tcPr>
          <w:p w14:paraId="6899D757" w14:textId="77777777" w:rsidR="001E51D5" w:rsidRPr="008A6B6D" w:rsidRDefault="001E51D5" w:rsidP="001E51D5">
            <w:pPr>
              <w:jc w:val="center"/>
              <w:rPr>
                <w:rFonts w:ascii="Arial" w:hAnsi="Arial" w:cs="Arial"/>
                <w:b/>
                <w:bCs/>
                <w:lang w:eastAsia="en-PH"/>
              </w:rPr>
            </w:pPr>
            <w:r w:rsidRPr="008A6B6D">
              <w:rPr>
                <w:rFonts w:ascii="Arial" w:hAnsi="Arial" w:cs="Arial"/>
                <w:b/>
                <w:bCs/>
                <w:lang w:eastAsia="en-PH"/>
              </w:rPr>
              <w:t xml:space="preserve">Application </w:t>
            </w:r>
            <w:r w:rsidR="0093337B" w:rsidRPr="008A6B6D">
              <w:rPr>
                <w:rFonts w:ascii="Arial" w:hAnsi="Arial" w:cs="Arial"/>
                <w:b/>
                <w:bCs/>
                <w:lang w:eastAsia="en-PH"/>
              </w:rPr>
              <w:t>o</w:t>
            </w:r>
            <w:r w:rsidRPr="008A6B6D">
              <w:rPr>
                <w:rFonts w:ascii="Arial" w:hAnsi="Arial" w:cs="Arial"/>
                <w:b/>
                <w:bCs/>
                <w:lang w:eastAsia="en-PH"/>
              </w:rPr>
              <w:t>f Skills In New Contexts</w:t>
            </w:r>
          </w:p>
        </w:tc>
      </w:tr>
      <w:tr w:rsidR="001E51D5" w:rsidRPr="008A6B6D" w14:paraId="4ACC77DC" w14:textId="77777777" w:rsidTr="0093337B">
        <w:trPr>
          <w:trHeight w:val="315"/>
        </w:trPr>
        <w:tc>
          <w:tcPr>
            <w:tcW w:w="1818" w:type="dxa"/>
            <w:vMerge/>
            <w:tcBorders>
              <w:bottom w:val="single" w:sz="4" w:space="0" w:color="auto"/>
            </w:tcBorders>
            <w:vAlign w:val="bottom"/>
            <w:hideMark/>
          </w:tcPr>
          <w:p w14:paraId="69CD40CC" w14:textId="77777777" w:rsidR="001E51D5" w:rsidRPr="008A6B6D" w:rsidRDefault="001E51D5" w:rsidP="001E51D5">
            <w:pPr>
              <w:rPr>
                <w:rFonts w:ascii="Arial" w:hAnsi="Arial" w:cs="Arial"/>
                <w:lang w:eastAsia="en-PH"/>
              </w:rPr>
            </w:pPr>
          </w:p>
        </w:tc>
        <w:tc>
          <w:tcPr>
            <w:tcW w:w="1980" w:type="dxa"/>
            <w:tcBorders>
              <w:bottom w:val="single" w:sz="4" w:space="0" w:color="auto"/>
            </w:tcBorders>
            <w:vAlign w:val="center"/>
            <w:hideMark/>
          </w:tcPr>
          <w:p w14:paraId="023BCA13" w14:textId="77777777" w:rsidR="001E51D5" w:rsidRPr="008A6B6D" w:rsidRDefault="001E51D5" w:rsidP="001E51D5">
            <w:pPr>
              <w:jc w:val="center"/>
              <w:rPr>
                <w:rFonts w:ascii="Arial" w:hAnsi="Arial" w:cs="Arial"/>
                <w:lang w:eastAsia="en-PH"/>
              </w:rPr>
            </w:pPr>
            <w:r w:rsidRPr="008A6B6D">
              <w:rPr>
                <w:rFonts w:ascii="Arial" w:hAnsi="Arial" w:cs="Arial"/>
                <w:lang w:eastAsia="en-PH"/>
              </w:rPr>
              <w:t>Spearman Correlation Value</w:t>
            </w:r>
          </w:p>
        </w:tc>
        <w:tc>
          <w:tcPr>
            <w:tcW w:w="1800" w:type="dxa"/>
            <w:tcBorders>
              <w:bottom w:val="single" w:sz="4" w:space="0" w:color="auto"/>
            </w:tcBorders>
            <w:vAlign w:val="center"/>
            <w:hideMark/>
          </w:tcPr>
          <w:p w14:paraId="4AC3E6F6" w14:textId="77777777" w:rsidR="001E51D5" w:rsidRPr="008A6B6D" w:rsidRDefault="001E51D5" w:rsidP="001E51D5">
            <w:pPr>
              <w:jc w:val="center"/>
              <w:rPr>
                <w:rFonts w:ascii="Arial" w:hAnsi="Arial" w:cs="Arial"/>
                <w:lang w:eastAsia="en-PH"/>
              </w:rPr>
            </w:pPr>
            <w:r w:rsidRPr="008A6B6D">
              <w:rPr>
                <w:rFonts w:ascii="Arial" w:hAnsi="Arial" w:cs="Arial"/>
                <w:lang w:eastAsia="en-PH"/>
              </w:rPr>
              <w:t>Spearman Correlation Value</w:t>
            </w:r>
          </w:p>
        </w:tc>
        <w:tc>
          <w:tcPr>
            <w:tcW w:w="2520" w:type="dxa"/>
            <w:tcBorders>
              <w:bottom w:val="single" w:sz="4" w:space="0" w:color="auto"/>
            </w:tcBorders>
            <w:vAlign w:val="center"/>
            <w:hideMark/>
          </w:tcPr>
          <w:p w14:paraId="58803DB7" w14:textId="77777777" w:rsidR="001E51D5" w:rsidRPr="008A6B6D" w:rsidRDefault="001E51D5" w:rsidP="001E51D5">
            <w:pPr>
              <w:jc w:val="center"/>
              <w:rPr>
                <w:rFonts w:ascii="Arial" w:hAnsi="Arial" w:cs="Arial"/>
                <w:lang w:eastAsia="en-PH"/>
              </w:rPr>
            </w:pPr>
            <w:r w:rsidRPr="008A6B6D">
              <w:rPr>
                <w:rFonts w:ascii="Arial" w:hAnsi="Arial" w:cs="Arial"/>
                <w:lang w:eastAsia="en-PH"/>
              </w:rPr>
              <w:t>Spearman Correlation Value</w:t>
            </w:r>
          </w:p>
        </w:tc>
      </w:tr>
      <w:tr w:rsidR="001E51D5" w:rsidRPr="008A6B6D" w14:paraId="77A50740" w14:textId="77777777" w:rsidTr="0093337B">
        <w:trPr>
          <w:trHeight w:val="237"/>
        </w:trPr>
        <w:tc>
          <w:tcPr>
            <w:tcW w:w="1818" w:type="dxa"/>
            <w:tcBorders>
              <w:top w:val="single" w:sz="4" w:space="0" w:color="auto"/>
            </w:tcBorders>
            <w:vAlign w:val="center"/>
            <w:hideMark/>
          </w:tcPr>
          <w:p w14:paraId="211F1FB8" w14:textId="77777777" w:rsidR="001E51D5" w:rsidRPr="008A6B6D" w:rsidRDefault="001E51D5" w:rsidP="001E51D5">
            <w:pPr>
              <w:rPr>
                <w:rFonts w:ascii="Arial" w:hAnsi="Arial" w:cs="Arial"/>
                <w:lang w:eastAsia="en-PH"/>
              </w:rPr>
            </w:pPr>
            <w:r w:rsidRPr="008A6B6D">
              <w:rPr>
                <w:rFonts w:ascii="Arial" w:hAnsi="Arial" w:cs="Arial"/>
                <w:lang w:eastAsia="en-PH"/>
              </w:rPr>
              <w:t>Prior knowledge</w:t>
            </w:r>
          </w:p>
        </w:tc>
        <w:tc>
          <w:tcPr>
            <w:tcW w:w="1980" w:type="dxa"/>
            <w:tcBorders>
              <w:top w:val="single" w:sz="4" w:space="0" w:color="auto"/>
            </w:tcBorders>
            <w:noWrap/>
            <w:vAlign w:val="center"/>
            <w:hideMark/>
          </w:tcPr>
          <w:p w14:paraId="4210A5CB" w14:textId="77777777" w:rsidR="001E51D5" w:rsidRPr="008A6B6D" w:rsidRDefault="001E51D5" w:rsidP="001E51D5">
            <w:pPr>
              <w:jc w:val="center"/>
              <w:rPr>
                <w:rFonts w:ascii="Arial" w:hAnsi="Arial" w:cs="Arial"/>
                <w:lang w:eastAsia="en-PH"/>
              </w:rPr>
            </w:pPr>
            <w:r w:rsidRPr="008A6B6D">
              <w:rPr>
                <w:rFonts w:ascii="Arial" w:hAnsi="Arial" w:cs="Arial"/>
                <w:lang w:eastAsia="en-PH"/>
              </w:rPr>
              <w:t>.687</w:t>
            </w:r>
            <w:r w:rsidRPr="008A6B6D">
              <w:rPr>
                <w:rFonts w:ascii="Arial" w:hAnsi="Arial" w:cs="Arial"/>
                <w:vertAlign w:val="superscript"/>
                <w:lang w:eastAsia="en-PH"/>
              </w:rPr>
              <w:t>**</w:t>
            </w:r>
          </w:p>
        </w:tc>
        <w:tc>
          <w:tcPr>
            <w:tcW w:w="1800" w:type="dxa"/>
            <w:tcBorders>
              <w:top w:val="single" w:sz="4" w:space="0" w:color="auto"/>
            </w:tcBorders>
            <w:noWrap/>
            <w:vAlign w:val="center"/>
            <w:hideMark/>
          </w:tcPr>
          <w:p w14:paraId="13B52F52" w14:textId="77777777" w:rsidR="001E51D5" w:rsidRPr="008A6B6D" w:rsidRDefault="001E51D5" w:rsidP="001E51D5">
            <w:pPr>
              <w:jc w:val="center"/>
              <w:rPr>
                <w:rFonts w:ascii="Arial" w:hAnsi="Arial" w:cs="Arial"/>
                <w:lang w:eastAsia="en-PH"/>
              </w:rPr>
            </w:pPr>
            <w:r w:rsidRPr="008A6B6D">
              <w:rPr>
                <w:rFonts w:ascii="Arial" w:hAnsi="Arial" w:cs="Arial"/>
                <w:lang w:eastAsia="en-PH"/>
              </w:rPr>
              <w:t>.677</w:t>
            </w:r>
            <w:r w:rsidRPr="008A6B6D">
              <w:rPr>
                <w:rFonts w:ascii="Arial" w:hAnsi="Arial" w:cs="Arial"/>
                <w:vertAlign w:val="superscript"/>
                <w:lang w:eastAsia="en-PH"/>
              </w:rPr>
              <w:t>**</w:t>
            </w:r>
          </w:p>
        </w:tc>
        <w:tc>
          <w:tcPr>
            <w:tcW w:w="2520" w:type="dxa"/>
            <w:tcBorders>
              <w:top w:val="single" w:sz="4" w:space="0" w:color="auto"/>
            </w:tcBorders>
            <w:noWrap/>
            <w:vAlign w:val="center"/>
            <w:hideMark/>
          </w:tcPr>
          <w:p w14:paraId="28E516B6" w14:textId="77777777" w:rsidR="001E51D5" w:rsidRPr="008A6B6D" w:rsidRDefault="001E51D5" w:rsidP="001E51D5">
            <w:pPr>
              <w:jc w:val="center"/>
              <w:rPr>
                <w:rFonts w:ascii="Arial" w:hAnsi="Arial" w:cs="Arial"/>
                <w:lang w:eastAsia="en-PH"/>
              </w:rPr>
            </w:pPr>
            <w:r w:rsidRPr="008A6B6D">
              <w:rPr>
                <w:rFonts w:ascii="Arial" w:hAnsi="Arial" w:cs="Arial"/>
                <w:lang w:eastAsia="en-PH"/>
              </w:rPr>
              <w:t>.673</w:t>
            </w:r>
            <w:r w:rsidRPr="008A6B6D">
              <w:rPr>
                <w:rFonts w:ascii="Arial" w:hAnsi="Arial" w:cs="Arial"/>
                <w:vertAlign w:val="superscript"/>
                <w:lang w:eastAsia="en-PH"/>
              </w:rPr>
              <w:t>**</w:t>
            </w:r>
          </w:p>
        </w:tc>
      </w:tr>
      <w:tr w:rsidR="001E51D5" w:rsidRPr="008A6B6D" w14:paraId="4701BC72" w14:textId="77777777" w:rsidTr="0093337B">
        <w:trPr>
          <w:trHeight w:val="237"/>
        </w:trPr>
        <w:tc>
          <w:tcPr>
            <w:tcW w:w="1818" w:type="dxa"/>
            <w:vAlign w:val="center"/>
            <w:hideMark/>
          </w:tcPr>
          <w:p w14:paraId="111418DD" w14:textId="77777777" w:rsidR="001E51D5" w:rsidRPr="008A6B6D" w:rsidRDefault="001E51D5" w:rsidP="001E51D5">
            <w:pPr>
              <w:rPr>
                <w:rFonts w:ascii="Arial" w:hAnsi="Arial" w:cs="Arial"/>
                <w:lang w:eastAsia="en-PH"/>
              </w:rPr>
            </w:pPr>
            <w:r w:rsidRPr="008A6B6D">
              <w:rPr>
                <w:rFonts w:ascii="Arial" w:hAnsi="Arial" w:cs="Arial"/>
                <w:lang w:eastAsia="en-PH"/>
              </w:rPr>
              <w:lastRenderedPageBreak/>
              <w:t>Intrinsic motivation</w:t>
            </w:r>
          </w:p>
        </w:tc>
        <w:tc>
          <w:tcPr>
            <w:tcW w:w="1980" w:type="dxa"/>
            <w:noWrap/>
            <w:vAlign w:val="center"/>
            <w:hideMark/>
          </w:tcPr>
          <w:p w14:paraId="4B0A9E71" w14:textId="77777777" w:rsidR="001E51D5" w:rsidRPr="008A6B6D" w:rsidRDefault="001E51D5" w:rsidP="001E51D5">
            <w:pPr>
              <w:jc w:val="center"/>
              <w:rPr>
                <w:rFonts w:ascii="Arial" w:hAnsi="Arial" w:cs="Arial"/>
                <w:lang w:eastAsia="en-PH"/>
              </w:rPr>
            </w:pPr>
            <w:r w:rsidRPr="008A6B6D">
              <w:rPr>
                <w:rFonts w:ascii="Arial" w:hAnsi="Arial" w:cs="Arial"/>
                <w:lang w:eastAsia="en-PH"/>
              </w:rPr>
              <w:t>.649</w:t>
            </w:r>
            <w:r w:rsidRPr="008A6B6D">
              <w:rPr>
                <w:rFonts w:ascii="Arial" w:hAnsi="Arial" w:cs="Arial"/>
                <w:vertAlign w:val="superscript"/>
                <w:lang w:eastAsia="en-PH"/>
              </w:rPr>
              <w:t>**</w:t>
            </w:r>
          </w:p>
        </w:tc>
        <w:tc>
          <w:tcPr>
            <w:tcW w:w="1800" w:type="dxa"/>
            <w:noWrap/>
            <w:vAlign w:val="center"/>
            <w:hideMark/>
          </w:tcPr>
          <w:p w14:paraId="716D2BD1" w14:textId="77777777" w:rsidR="001E51D5" w:rsidRPr="008A6B6D" w:rsidRDefault="001E51D5" w:rsidP="001E51D5">
            <w:pPr>
              <w:jc w:val="center"/>
              <w:rPr>
                <w:rFonts w:ascii="Arial" w:hAnsi="Arial" w:cs="Arial"/>
                <w:lang w:eastAsia="en-PH"/>
              </w:rPr>
            </w:pPr>
            <w:r w:rsidRPr="008A6B6D">
              <w:rPr>
                <w:rFonts w:ascii="Arial" w:hAnsi="Arial" w:cs="Arial"/>
                <w:lang w:eastAsia="en-PH"/>
              </w:rPr>
              <w:t>.618</w:t>
            </w:r>
            <w:r w:rsidRPr="008A6B6D">
              <w:rPr>
                <w:rFonts w:ascii="Arial" w:hAnsi="Arial" w:cs="Arial"/>
                <w:vertAlign w:val="superscript"/>
                <w:lang w:eastAsia="en-PH"/>
              </w:rPr>
              <w:t>**</w:t>
            </w:r>
          </w:p>
        </w:tc>
        <w:tc>
          <w:tcPr>
            <w:tcW w:w="2520" w:type="dxa"/>
            <w:noWrap/>
            <w:vAlign w:val="center"/>
            <w:hideMark/>
          </w:tcPr>
          <w:p w14:paraId="0436D7CE" w14:textId="77777777" w:rsidR="001E51D5" w:rsidRPr="008A6B6D" w:rsidRDefault="001E51D5" w:rsidP="001E51D5">
            <w:pPr>
              <w:jc w:val="center"/>
              <w:rPr>
                <w:rFonts w:ascii="Arial" w:hAnsi="Arial" w:cs="Arial"/>
                <w:lang w:eastAsia="en-PH"/>
              </w:rPr>
            </w:pPr>
            <w:r w:rsidRPr="008A6B6D">
              <w:rPr>
                <w:rFonts w:ascii="Arial" w:hAnsi="Arial" w:cs="Arial"/>
                <w:lang w:eastAsia="en-PH"/>
              </w:rPr>
              <w:t>.650</w:t>
            </w:r>
            <w:r w:rsidRPr="008A6B6D">
              <w:rPr>
                <w:rFonts w:ascii="Arial" w:hAnsi="Arial" w:cs="Arial"/>
                <w:vertAlign w:val="superscript"/>
                <w:lang w:eastAsia="en-PH"/>
              </w:rPr>
              <w:t>**</w:t>
            </w:r>
          </w:p>
        </w:tc>
      </w:tr>
      <w:tr w:rsidR="001E51D5" w:rsidRPr="008A6B6D" w14:paraId="1240F32C" w14:textId="77777777" w:rsidTr="0093337B">
        <w:trPr>
          <w:trHeight w:val="159"/>
        </w:trPr>
        <w:tc>
          <w:tcPr>
            <w:tcW w:w="1818" w:type="dxa"/>
            <w:tcBorders>
              <w:bottom w:val="single" w:sz="4" w:space="0" w:color="auto"/>
            </w:tcBorders>
            <w:vAlign w:val="center"/>
            <w:hideMark/>
          </w:tcPr>
          <w:p w14:paraId="28A74D9D" w14:textId="77777777" w:rsidR="001E51D5" w:rsidRPr="008A6B6D" w:rsidRDefault="001E51D5" w:rsidP="001E51D5">
            <w:pPr>
              <w:rPr>
                <w:rFonts w:ascii="Arial" w:hAnsi="Arial" w:cs="Arial"/>
                <w:lang w:eastAsia="en-PH"/>
              </w:rPr>
            </w:pPr>
            <w:r w:rsidRPr="008A6B6D">
              <w:rPr>
                <w:rFonts w:ascii="Arial" w:hAnsi="Arial" w:cs="Arial"/>
                <w:lang w:eastAsia="en-PH"/>
              </w:rPr>
              <w:t>Study habits</w:t>
            </w:r>
          </w:p>
        </w:tc>
        <w:tc>
          <w:tcPr>
            <w:tcW w:w="1980" w:type="dxa"/>
            <w:tcBorders>
              <w:bottom w:val="single" w:sz="4" w:space="0" w:color="auto"/>
            </w:tcBorders>
            <w:noWrap/>
            <w:vAlign w:val="center"/>
            <w:hideMark/>
          </w:tcPr>
          <w:p w14:paraId="35593E9A" w14:textId="77777777" w:rsidR="001E51D5" w:rsidRPr="008A6B6D" w:rsidRDefault="001E51D5" w:rsidP="001E51D5">
            <w:pPr>
              <w:jc w:val="center"/>
              <w:rPr>
                <w:rFonts w:ascii="Arial" w:hAnsi="Arial" w:cs="Arial"/>
                <w:lang w:eastAsia="en-PH"/>
              </w:rPr>
            </w:pPr>
            <w:r w:rsidRPr="008A6B6D">
              <w:rPr>
                <w:rFonts w:ascii="Arial" w:hAnsi="Arial" w:cs="Arial"/>
                <w:lang w:eastAsia="en-PH"/>
              </w:rPr>
              <w:t>.810</w:t>
            </w:r>
            <w:r w:rsidRPr="008A6B6D">
              <w:rPr>
                <w:rFonts w:ascii="Arial" w:hAnsi="Arial" w:cs="Arial"/>
                <w:vertAlign w:val="superscript"/>
                <w:lang w:eastAsia="en-PH"/>
              </w:rPr>
              <w:t>**</w:t>
            </w:r>
          </w:p>
        </w:tc>
        <w:tc>
          <w:tcPr>
            <w:tcW w:w="1800" w:type="dxa"/>
            <w:tcBorders>
              <w:bottom w:val="single" w:sz="4" w:space="0" w:color="auto"/>
            </w:tcBorders>
            <w:noWrap/>
            <w:vAlign w:val="center"/>
            <w:hideMark/>
          </w:tcPr>
          <w:p w14:paraId="3BC3671F" w14:textId="77777777" w:rsidR="001E51D5" w:rsidRPr="008A6B6D" w:rsidRDefault="001E51D5" w:rsidP="001E51D5">
            <w:pPr>
              <w:jc w:val="center"/>
              <w:rPr>
                <w:rFonts w:ascii="Arial" w:hAnsi="Arial" w:cs="Arial"/>
                <w:lang w:eastAsia="en-PH"/>
              </w:rPr>
            </w:pPr>
            <w:r w:rsidRPr="008A6B6D">
              <w:rPr>
                <w:rFonts w:ascii="Arial" w:hAnsi="Arial" w:cs="Arial"/>
                <w:lang w:eastAsia="en-PH"/>
              </w:rPr>
              <w:t>.782</w:t>
            </w:r>
            <w:r w:rsidRPr="008A6B6D">
              <w:rPr>
                <w:rFonts w:ascii="Arial" w:hAnsi="Arial" w:cs="Arial"/>
                <w:vertAlign w:val="superscript"/>
                <w:lang w:eastAsia="en-PH"/>
              </w:rPr>
              <w:t>**</w:t>
            </w:r>
          </w:p>
        </w:tc>
        <w:tc>
          <w:tcPr>
            <w:tcW w:w="2520" w:type="dxa"/>
            <w:tcBorders>
              <w:bottom w:val="single" w:sz="4" w:space="0" w:color="auto"/>
            </w:tcBorders>
            <w:noWrap/>
            <w:vAlign w:val="center"/>
            <w:hideMark/>
          </w:tcPr>
          <w:p w14:paraId="5257ED8C" w14:textId="77777777" w:rsidR="001E51D5" w:rsidRPr="008A6B6D" w:rsidRDefault="001E51D5" w:rsidP="001E51D5">
            <w:pPr>
              <w:jc w:val="center"/>
              <w:rPr>
                <w:rFonts w:ascii="Arial" w:hAnsi="Arial" w:cs="Arial"/>
                <w:lang w:eastAsia="en-PH"/>
              </w:rPr>
            </w:pPr>
            <w:r w:rsidRPr="008A6B6D">
              <w:rPr>
                <w:rFonts w:ascii="Arial" w:hAnsi="Arial" w:cs="Arial"/>
                <w:lang w:eastAsia="en-PH"/>
              </w:rPr>
              <w:t>.790</w:t>
            </w:r>
            <w:r w:rsidRPr="008A6B6D">
              <w:rPr>
                <w:rFonts w:ascii="Arial" w:hAnsi="Arial" w:cs="Arial"/>
                <w:vertAlign w:val="superscript"/>
                <w:lang w:eastAsia="en-PH"/>
              </w:rPr>
              <w:t>**</w:t>
            </w:r>
          </w:p>
        </w:tc>
      </w:tr>
      <w:tr w:rsidR="001E51D5" w:rsidRPr="008A6B6D" w14:paraId="19DA8BE4" w14:textId="77777777" w:rsidTr="0093337B">
        <w:trPr>
          <w:trHeight w:val="159"/>
        </w:trPr>
        <w:tc>
          <w:tcPr>
            <w:tcW w:w="1818" w:type="dxa"/>
            <w:tcBorders>
              <w:top w:val="single" w:sz="4" w:space="0" w:color="auto"/>
              <w:bottom w:val="single" w:sz="4" w:space="0" w:color="auto"/>
            </w:tcBorders>
            <w:vAlign w:val="center"/>
            <w:hideMark/>
          </w:tcPr>
          <w:p w14:paraId="60BD9442" w14:textId="77777777" w:rsidR="001E51D5" w:rsidRPr="008A6B6D" w:rsidRDefault="001E51D5" w:rsidP="001E51D5">
            <w:pPr>
              <w:rPr>
                <w:rFonts w:ascii="Arial" w:hAnsi="Arial" w:cs="Arial"/>
                <w:lang w:eastAsia="en-PH"/>
              </w:rPr>
            </w:pPr>
            <w:r w:rsidRPr="008A6B6D">
              <w:rPr>
                <w:rFonts w:ascii="Arial" w:hAnsi="Arial" w:cs="Arial"/>
                <w:lang w:eastAsia="en-PH"/>
              </w:rPr>
              <w:t>Attention span</w:t>
            </w:r>
          </w:p>
        </w:tc>
        <w:tc>
          <w:tcPr>
            <w:tcW w:w="1980" w:type="dxa"/>
            <w:tcBorders>
              <w:top w:val="single" w:sz="4" w:space="0" w:color="auto"/>
              <w:bottom w:val="single" w:sz="4" w:space="0" w:color="auto"/>
            </w:tcBorders>
            <w:noWrap/>
            <w:vAlign w:val="center"/>
            <w:hideMark/>
          </w:tcPr>
          <w:p w14:paraId="63ED876F" w14:textId="77777777" w:rsidR="001E51D5" w:rsidRPr="008A6B6D" w:rsidRDefault="001E51D5" w:rsidP="001E51D5">
            <w:pPr>
              <w:jc w:val="center"/>
              <w:rPr>
                <w:rFonts w:ascii="Arial" w:hAnsi="Arial" w:cs="Arial"/>
                <w:lang w:eastAsia="en-PH"/>
              </w:rPr>
            </w:pPr>
            <w:r w:rsidRPr="008A6B6D">
              <w:rPr>
                <w:rFonts w:ascii="Arial" w:hAnsi="Arial" w:cs="Arial"/>
                <w:lang w:eastAsia="en-PH"/>
              </w:rPr>
              <w:t>.868</w:t>
            </w:r>
            <w:r w:rsidRPr="008A6B6D">
              <w:rPr>
                <w:rFonts w:ascii="Arial" w:hAnsi="Arial" w:cs="Arial"/>
                <w:vertAlign w:val="superscript"/>
                <w:lang w:eastAsia="en-PH"/>
              </w:rPr>
              <w:t>**</w:t>
            </w:r>
          </w:p>
        </w:tc>
        <w:tc>
          <w:tcPr>
            <w:tcW w:w="1800" w:type="dxa"/>
            <w:tcBorders>
              <w:top w:val="single" w:sz="4" w:space="0" w:color="auto"/>
              <w:bottom w:val="single" w:sz="4" w:space="0" w:color="auto"/>
            </w:tcBorders>
            <w:noWrap/>
            <w:vAlign w:val="center"/>
            <w:hideMark/>
          </w:tcPr>
          <w:p w14:paraId="2A7196E6" w14:textId="77777777" w:rsidR="001E51D5" w:rsidRPr="008A6B6D" w:rsidRDefault="001E51D5" w:rsidP="001E51D5">
            <w:pPr>
              <w:jc w:val="center"/>
              <w:rPr>
                <w:rFonts w:ascii="Arial" w:hAnsi="Arial" w:cs="Arial"/>
                <w:lang w:eastAsia="en-PH"/>
              </w:rPr>
            </w:pPr>
            <w:r w:rsidRPr="008A6B6D">
              <w:rPr>
                <w:rFonts w:ascii="Arial" w:hAnsi="Arial" w:cs="Arial"/>
                <w:lang w:eastAsia="en-PH"/>
              </w:rPr>
              <w:t>.769</w:t>
            </w:r>
            <w:r w:rsidRPr="008A6B6D">
              <w:rPr>
                <w:rFonts w:ascii="Arial" w:hAnsi="Arial" w:cs="Arial"/>
                <w:vertAlign w:val="superscript"/>
                <w:lang w:eastAsia="en-PH"/>
              </w:rPr>
              <w:t>**</w:t>
            </w:r>
          </w:p>
        </w:tc>
        <w:tc>
          <w:tcPr>
            <w:tcW w:w="2520" w:type="dxa"/>
            <w:tcBorders>
              <w:top w:val="single" w:sz="4" w:space="0" w:color="auto"/>
              <w:bottom w:val="single" w:sz="4" w:space="0" w:color="auto"/>
            </w:tcBorders>
            <w:noWrap/>
            <w:vAlign w:val="center"/>
            <w:hideMark/>
          </w:tcPr>
          <w:p w14:paraId="62B6CCC5" w14:textId="77777777" w:rsidR="001E51D5" w:rsidRPr="008A6B6D" w:rsidRDefault="001E51D5" w:rsidP="001E51D5">
            <w:pPr>
              <w:jc w:val="center"/>
              <w:rPr>
                <w:rFonts w:ascii="Arial" w:hAnsi="Arial" w:cs="Arial"/>
                <w:lang w:eastAsia="en-PH"/>
              </w:rPr>
            </w:pPr>
            <w:r w:rsidRPr="008A6B6D">
              <w:rPr>
                <w:rFonts w:ascii="Arial" w:hAnsi="Arial" w:cs="Arial"/>
                <w:lang w:eastAsia="en-PH"/>
              </w:rPr>
              <w:t>.816</w:t>
            </w:r>
            <w:r w:rsidRPr="008A6B6D">
              <w:rPr>
                <w:rFonts w:ascii="Arial" w:hAnsi="Arial" w:cs="Arial"/>
                <w:vertAlign w:val="superscript"/>
                <w:lang w:eastAsia="en-PH"/>
              </w:rPr>
              <w:t>**</w:t>
            </w:r>
          </w:p>
        </w:tc>
      </w:tr>
    </w:tbl>
    <w:p w14:paraId="70357A00" w14:textId="77777777" w:rsidR="001E51D5" w:rsidRPr="008A6B6D" w:rsidRDefault="001E51D5" w:rsidP="00A44D52">
      <w:pPr>
        <w:jc w:val="both"/>
        <w:rPr>
          <w:rFonts w:ascii="Arial" w:hAnsi="Arial" w:cs="Arial"/>
          <w:lang w:eastAsia="en-PH"/>
        </w:rPr>
      </w:pPr>
      <w:r w:rsidRPr="008A6B6D">
        <w:rPr>
          <w:rFonts w:ascii="Arial" w:hAnsi="Arial" w:cs="Arial"/>
          <w:lang w:eastAsia="en-PH"/>
        </w:rPr>
        <w:t>Table 20 presents the significant relationship between the level of student-related determinants and the perceived level of learning retention among Junior High School students. All tested variables—prior knowledge, intrinsic motivation, study habits, and attention span—yielded p-values of &lt; .001, indicating a statistically significant relationship with knowledge recall, conceptual understanding, and the application of skills at the 0.01 level. Notably, attention span showed the strongest correlation with knowledge recall (r = 0.868) and the application of skills (r = 0.816), while study habits demonstrated a very high correlation across all three dimensions, particularly with knowledge recall (r = 0.810). Even the variables with slightly lower coefficients, such as intrinsic motivation and prior knowledge, showed strong positive correlations ranging from 0.618 to 0.687. Given that the computed p-values for all student-related determinants were &lt; .001, which is significantly lower than the alpha level of 0.05 (and even 0.01), the null hypotheses stating that there is no significant relationship between student-related determinants and the level of learning retention are rejected. The findings indicate strong positive associations between these student-related factors and perceived academic retention.</w:t>
      </w:r>
    </w:p>
    <w:p w14:paraId="4E96397A" w14:textId="77777777" w:rsidR="00A44D52" w:rsidRPr="008A6B6D" w:rsidRDefault="00A44D52" w:rsidP="00A44D52">
      <w:pPr>
        <w:jc w:val="both"/>
        <w:rPr>
          <w:rFonts w:ascii="Arial" w:hAnsi="Arial" w:cs="Arial"/>
          <w:bCs/>
          <w:lang w:eastAsia="en-PH"/>
        </w:rPr>
      </w:pPr>
    </w:p>
    <w:p w14:paraId="7427D150" w14:textId="77777777" w:rsidR="001E51D5" w:rsidRPr="008A6B6D" w:rsidRDefault="001E51D5" w:rsidP="00A44D52">
      <w:pPr>
        <w:jc w:val="both"/>
        <w:rPr>
          <w:rFonts w:ascii="Arial" w:hAnsi="Arial" w:cs="Arial"/>
          <w:bCs/>
          <w:lang w:eastAsia="en-PH"/>
        </w:rPr>
      </w:pPr>
      <w:r w:rsidRPr="008A6B6D">
        <w:rPr>
          <w:rFonts w:ascii="Arial" w:hAnsi="Arial" w:cs="Arial"/>
          <w:bCs/>
          <w:lang w:eastAsia="en-PH"/>
        </w:rPr>
        <w:t>This implies that student-related psychological and behavioural factors are strongly associated with learning retention. The exceptionally high correlation values for attention span and study habits suggest that a student's ability to remain focused and their disciplined approach to review are among the factors most strongly associated with perceived knowledge recall and application. These associations suggest that instructional interventions, such as the Learning Retention Enhancement Program, should address the students' internal capacity to focus and their external habits of consistent study. Overall, the data indicate that strengthening a student's "learning discipline" is just as important as the teacher's delivery of the subject matter.</w:t>
      </w:r>
    </w:p>
    <w:p w14:paraId="3695DBA8" w14:textId="77777777" w:rsidR="00A44D52" w:rsidRPr="008A6B6D" w:rsidRDefault="00A44D52" w:rsidP="00A44D52">
      <w:pPr>
        <w:jc w:val="both"/>
        <w:rPr>
          <w:rFonts w:ascii="Arial" w:hAnsi="Arial" w:cs="Arial"/>
          <w:lang w:eastAsia="en-PH"/>
        </w:rPr>
      </w:pPr>
    </w:p>
    <w:p w14:paraId="2E187D98" w14:textId="77777777" w:rsidR="001E51D5" w:rsidRPr="008A6B6D" w:rsidRDefault="001E51D5" w:rsidP="00A44D52">
      <w:pPr>
        <w:jc w:val="both"/>
        <w:rPr>
          <w:rFonts w:ascii="Arial" w:hAnsi="Arial" w:cs="Arial"/>
          <w:lang w:eastAsia="en-PH"/>
        </w:rPr>
      </w:pPr>
      <w:r w:rsidRPr="008A6B6D">
        <w:rPr>
          <w:rFonts w:ascii="Arial" w:hAnsi="Arial" w:cs="Arial"/>
          <w:lang w:eastAsia="en-PH"/>
        </w:rPr>
        <w:t>This aligns with literature describing associations between student-centred determinants and learning retention, particularly the overlapping roles of prior knowledge, intrinsic motivation, study habits, and attention span across knowledge recall, conceptual understanding, and application of skills. The strong correlations for attention span and study habits in the present study, together with the significant p-values, support addressing attentional control and consistent study behaviours alongside content delivery in retention-focused interventions.</w:t>
      </w:r>
    </w:p>
    <w:p w14:paraId="7C970795" w14:textId="77777777" w:rsidR="001E51D5" w:rsidRPr="008A6B6D" w:rsidRDefault="001E51D5" w:rsidP="0093337B">
      <w:pPr>
        <w:jc w:val="both"/>
        <w:rPr>
          <w:rFonts w:ascii="Arial" w:hAnsi="Arial" w:cs="Arial"/>
          <w:lang w:eastAsia="en-PH"/>
        </w:rPr>
      </w:pPr>
    </w:p>
    <w:p w14:paraId="490AD763" w14:textId="77777777" w:rsidR="001E51D5" w:rsidRPr="008A6B6D" w:rsidRDefault="0093337B" w:rsidP="001E51D5">
      <w:pPr>
        <w:rPr>
          <w:rFonts w:ascii="Arial" w:hAnsi="Arial" w:cs="Arial"/>
          <w:b/>
          <w:lang w:eastAsia="en-PH"/>
        </w:rPr>
      </w:pPr>
      <w:r w:rsidRPr="008A6B6D">
        <w:rPr>
          <w:rFonts w:ascii="Arial" w:hAnsi="Arial" w:cs="Arial"/>
          <w:b/>
          <w:lang w:eastAsia="en-PH"/>
        </w:rPr>
        <w:t>3</w:t>
      </w:r>
      <w:r w:rsidR="001E51D5" w:rsidRPr="008A6B6D">
        <w:rPr>
          <w:rFonts w:ascii="Arial" w:hAnsi="Arial" w:cs="Arial"/>
          <w:b/>
          <w:lang w:eastAsia="en-PH"/>
        </w:rPr>
        <w:t>.7. Differences in the Perceived Determinants of Learning Retention When Respondents are Grouped According to their Profile Variables</w:t>
      </w:r>
    </w:p>
    <w:p w14:paraId="3FF5DF56" w14:textId="77777777" w:rsidR="00A44D52" w:rsidRPr="008A6B6D" w:rsidRDefault="00A44D52" w:rsidP="00A44D52">
      <w:pPr>
        <w:jc w:val="both"/>
        <w:rPr>
          <w:rFonts w:ascii="Arial" w:hAnsi="Arial" w:cs="Arial"/>
          <w:bCs/>
        </w:rPr>
      </w:pPr>
    </w:p>
    <w:p w14:paraId="5685AF12" w14:textId="77777777" w:rsidR="001E51D5" w:rsidRPr="008A6B6D" w:rsidRDefault="001E51D5" w:rsidP="00A44D52">
      <w:pPr>
        <w:jc w:val="both"/>
        <w:rPr>
          <w:rFonts w:ascii="Arial" w:hAnsi="Arial" w:cs="Arial"/>
          <w:bCs/>
        </w:rPr>
      </w:pPr>
      <w:r w:rsidRPr="008A6B6D">
        <w:rPr>
          <w:rFonts w:ascii="Arial" w:hAnsi="Arial" w:cs="Arial"/>
          <w:bCs/>
        </w:rPr>
        <w:t>This section presents the statistical analysis of the differences in the perceived determinants of learning retention when respondents are grouped according to their profile variables, using the Kruskal-Wallis test to determine if demographic factors like age, gender, and experience significantly influence these perceptions.</w:t>
      </w:r>
    </w:p>
    <w:p w14:paraId="619A34A8" w14:textId="77777777" w:rsidR="00A44D52" w:rsidRPr="008A6B6D" w:rsidRDefault="00A44D52" w:rsidP="00A44D52">
      <w:pPr>
        <w:jc w:val="both"/>
        <w:rPr>
          <w:rFonts w:ascii="Arial" w:hAnsi="Arial" w:cs="Arial"/>
          <w:bCs/>
          <w:lang w:eastAsia="en-PH"/>
        </w:rPr>
      </w:pPr>
    </w:p>
    <w:p w14:paraId="73E2F92E" w14:textId="77777777" w:rsidR="00A44D52" w:rsidRPr="008A6B6D" w:rsidRDefault="00A44D52" w:rsidP="00A44D52">
      <w:pPr>
        <w:jc w:val="both"/>
        <w:rPr>
          <w:rFonts w:ascii="Arial" w:hAnsi="Arial" w:cs="Arial"/>
          <w:bCs/>
          <w:lang w:eastAsia="en-PH"/>
        </w:rPr>
      </w:pPr>
    </w:p>
    <w:p w14:paraId="657E45FB" w14:textId="77777777" w:rsidR="00A44D52" w:rsidRPr="008A6B6D" w:rsidRDefault="00A44D52" w:rsidP="00A44D52">
      <w:pPr>
        <w:jc w:val="both"/>
        <w:rPr>
          <w:rFonts w:ascii="Arial" w:hAnsi="Arial" w:cs="Arial"/>
          <w:bCs/>
          <w:lang w:eastAsia="en-PH"/>
        </w:rPr>
      </w:pPr>
    </w:p>
    <w:p w14:paraId="384F9A28" w14:textId="77777777" w:rsidR="00A44D52" w:rsidRPr="008A6B6D" w:rsidRDefault="00A44D52" w:rsidP="00A44D52">
      <w:pPr>
        <w:jc w:val="both"/>
        <w:rPr>
          <w:rFonts w:ascii="Arial" w:hAnsi="Arial" w:cs="Arial"/>
          <w:bCs/>
          <w:lang w:eastAsia="en-PH"/>
        </w:rPr>
      </w:pPr>
    </w:p>
    <w:p w14:paraId="60D9C08E" w14:textId="77777777" w:rsidR="00A44D52" w:rsidRPr="008A6B6D" w:rsidRDefault="00A44D52" w:rsidP="00A44D52">
      <w:pPr>
        <w:jc w:val="both"/>
        <w:rPr>
          <w:rFonts w:ascii="Arial" w:hAnsi="Arial" w:cs="Arial"/>
          <w:bCs/>
          <w:lang w:eastAsia="en-PH"/>
        </w:rPr>
      </w:pPr>
    </w:p>
    <w:p w14:paraId="1CBCE121" w14:textId="77777777" w:rsidR="00A44D52" w:rsidRPr="008A6B6D" w:rsidRDefault="00A44D52" w:rsidP="00A44D52">
      <w:pPr>
        <w:jc w:val="both"/>
        <w:rPr>
          <w:rFonts w:ascii="Arial" w:hAnsi="Arial" w:cs="Arial"/>
          <w:bCs/>
          <w:lang w:eastAsia="en-PH"/>
        </w:rPr>
      </w:pPr>
    </w:p>
    <w:p w14:paraId="151564CA" w14:textId="77777777" w:rsidR="00A44D52" w:rsidRPr="008A6B6D" w:rsidRDefault="00A44D52" w:rsidP="00A44D52">
      <w:pPr>
        <w:jc w:val="both"/>
        <w:rPr>
          <w:rFonts w:ascii="Arial" w:hAnsi="Arial" w:cs="Arial"/>
          <w:bCs/>
          <w:lang w:eastAsia="en-PH"/>
        </w:rPr>
      </w:pPr>
    </w:p>
    <w:p w14:paraId="70C85CE4" w14:textId="77777777" w:rsidR="00A44D52" w:rsidRPr="008A6B6D" w:rsidRDefault="00A44D52" w:rsidP="00A44D52">
      <w:pPr>
        <w:jc w:val="both"/>
        <w:rPr>
          <w:rFonts w:ascii="Arial" w:hAnsi="Arial" w:cs="Arial"/>
          <w:bCs/>
          <w:lang w:eastAsia="en-PH"/>
        </w:rPr>
      </w:pPr>
    </w:p>
    <w:p w14:paraId="51A089EB" w14:textId="77777777" w:rsidR="001E51D5" w:rsidRPr="008A6B6D" w:rsidRDefault="001E51D5" w:rsidP="0093337B">
      <w:pPr>
        <w:jc w:val="both"/>
        <w:rPr>
          <w:rFonts w:ascii="Arial" w:hAnsi="Arial" w:cs="Arial"/>
          <w:b/>
          <w:lang w:eastAsia="en-PH"/>
        </w:rPr>
      </w:pPr>
    </w:p>
    <w:p w14:paraId="16D7D637" w14:textId="77777777" w:rsidR="001E51D5" w:rsidRPr="008A6B6D" w:rsidRDefault="001E51D5" w:rsidP="001E51D5">
      <w:pPr>
        <w:ind w:left="850" w:hanging="850"/>
        <w:rPr>
          <w:rFonts w:ascii="Arial" w:hAnsi="Arial" w:cs="Arial"/>
          <w:b/>
          <w:lang w:eastAsia="en-PH"/>
        </w:rPr>
      </w:pPr>
      <w:r w:rsidRPr="008A6B6D">
        <w:rPr>
          <w:rFonts w:ascii="Arial" w:hAnsi="Arial" w:cs="Arial"/>
          <w:b/>
          <w:lang w:eastAsia="en-PH"/>
        </w:rPr>
        <w:lastRenderedPageBreak/>
        <w:t>Table 21. Differences in the Perceived Determinants of Learning Retention When Respondents Are Grouped According to Their Profile Variables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7"/>
        <w:gridCol w:w="808"/>
        <w:gridCol w:w="938"/>
        <w:gridCol w:w="1026"/>
        <w:gridCol w:w="1028"/>
        <w:gridCol w:w="941"/>
        <w:gridCol w:w="856"/>
        <w:gridCol w:w="685"/>
        <w:gridCol w:w="759"/>
      </w:tblGrid>
      <w:tr w:rsidR="001E51D5" w:rsidRPr="008A6B6D" w14:paraId="0F7CCABC" w14:textId="77777777" w:rsidTr="0093337B">
        <w:trPr>
          <w:trHeight w:val="314"/>
        </w:trPr>
        <w:tc>
          <w:tcPr>
            <w:tcW w:w="705" w:type="pct"/>
            <w:noWrap/>
            <w:vAlign w:val="center"/>
            <w:hideMark/>
          </w:tcPr>
          <w:p w14:paraId="7141A749" w14:textId="77777777" w:rsidR="001E51D5" w:rsidRPr="008A6B6D" w:rsidRDefault="001E51D5" w:rsidP="001E51D5">
            <w:pPr>
              <w:jc w:val="center"/>
              <w:rPr>
                <w:rFonts w:ascii="Arial" w:hAnsi="Arial" w:cs="Arial"/>
                <w:b/>
                <w:sz w:val="16"/>
                <w:lang w:eastAsia="en-PH"/>
              </w:rPr>
            </w:pPr>
          </w:p>
        </w:tc>
        <w:tc>
          <w:tcPr>
            <w:tcW w:w="2318" w:type="pct"/>
            <w:gridSpan w:val="4"/>
            <w:noWrap/>
            <w:vAlign w:val="center"/>
            <w:hideMark/>
          </w:tcPr>
          <w:p w14:paraId="7EBB9B45"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Level of Teacher-Identified Pedagogical Determinants</w:t>
            </w:r>
          </w:p>
        </w:tc>
        <w:tc>
          <w:tcPr>
            <w:tcW w:w="1976" w:type="pct"/>
            <w:gridSpan w:val="4"/>
            <w:noWrap/>
            <w:vAlign w:val="center"/>
            <w:hideMark/>
          </w:tcPr>
          <w:p w14:paraId="7E409ABA"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Level of Student-Related Determinants</w:t>
            </w:r>
          </w:p>
        </w:tc>
      </w:tr>
      <w:tr w:rsidR="001E51D5" w:rsidRPr="008A6B6D" w14:paraId="03CAC45C" w14:textId="77777777" w:rsidTr="0093337B">
        <w:trPr>
          <w:trHeight w:val="314"/>
        </w:trPr>
        <w:tc>
          <w:tcPr>
            <w:tcW w:w="705" w:type="pct"/>
            <w:vMerge w:val="restart"/>
            <w:vAlign w:val="center"/>
            <w:hideMark/>
          </w:tcPr>
          <w:p w14:paraId="417A36D5" w14:textId="77777777" w:rsidR="001E51D5" w:rsidRPr="008A6B6D" w:rsidRDefault="001E51D5" w:rsidP="001E51D5">
            <w:pPr>
              <w:jc w:val="center"/>
              <w:rPr>
                <w:rFonts w:ascii="Arial" w:hAnsi="Arial" w:cs="Arial"/>
                <w:b/>
                <w:color w:val="1F1F1F"/>
                <w:sz w:val="16"/>
                <w:lang w:eastAsia="en-PH"/>
              </w:rPr>
            </w:pPr>
            <w:r w:rsidRPr="008A6B6D">
              <w:rPr>
                <w:rFonts w:ascii="Arial" w:hAnsi="Arial" w:cs="Arial"/>
                <w:b/>
                <w:color w:val="1F1F1F"/>
                <w:sz w:val="16"/>
                <w:lang w:eastAsia="en-PH"/>
              </w:rPr>
              <w:t>Variables</w:t>
            </w:r>
          </w:p>
          <w:p w14:paraId="08966D7D" w14:textId="77777777" w:rsidR="001E51D5" w:rsidRPr="008A6B6D" w:rsidRDefault="001E51D5" w:rsidP="001E51D5">
            <w:pPr>
              <w:jc w:val="center"/>
              <w:rPr>
                <w:rFonts w:ascii="Arial" w:hAnsi="Arial" w:cs="Arial"/>
                <w:b/>
                <w:color w:val="1F1F1F"/>
                <w:sz w:val="16"/>
                <w:lang w:eastAsia="en-PH"/>
              </w:rPr>
            </w:pPr>
          </w:p>
        </w:tc>
        <w:tc>
          <w:tcPr>
            <w:tcW w:w="493" w:type="pct"/>
            <w:noWrap/>
            <w:vAlign w:val="center"/>
            <w:hideMark/>
          </w:tcPr>
          <w:p w14:paraId="0DF2FB4D"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Active Learning Strategies</w:t>
            </w:r>
          </w:p>
        </w:tc>
        <w:tc>
          <w:tcPr>
            <w:tcW w:w="572" w:type="pct"/>
            <w:noWrap/>
            <w:vAlign w:val="center"/>
            <w:hideMark/>
          </w:tcPr>
          <w:p w14:paraId="3D9F76DD"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Use of Instructional Multimedia</w:t>
            </w:r>
          </w:p>
        </w:tc>
        <w:tc>
          <w:tcPr>
            <w:tcW w:w="626" w:type="pct"/>
            <w:noWrap/>
            <w:vAlign w:val="center"/>
            <w:hideMark/>
          </w:tcPr>
          <w:p w14:paraId="299FD779"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Frequency of Formative Assessments</w:t>
            </w:r>
          </w:p>
        </w:tc>
        <w:tc>
          <w:tcPr>
            <w:tcW w:w="627" w:type="pct"/>
            <w:noWrap/>
            <w:vAlign w:val="center"/>
            <w:hideMark/>
          </w:tcPr>
          <w:p w14:paraId="741A18F7"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Differentiated Instruction</w:t>
            </w:r>
          </w:p>
        </w:tc>
        <w:tc>
          <w:tcPr>
            <w:tcW w:w="574" w:type="pct"/>
            <w:noWrap/>
            <w:vAlign w:val="center"/>
            <w:hideMark/>
          </w:tcPr>
          <w:p w14:paraId="283CBE08"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Prior Knowledge</w:t>
            </w:r>
          </w:p>
        </w:tc>
        <w:tc>
          <w:tcPr>
            <w:tcW w:w="522" w:type="pct"/>
            <w:noWrap/>
            <w:vAlign w:val="center"/>
            <w:hideMark/>
          </w:tcPr>
          <w:p w14:paraId="3D530DF3"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Intrinsic Motivation</w:t>
            </w:r>
          </w:p>
        </w:tc>
        <w:tc>
          <w:tcPr>
            <w:tcW w:w="418" w:type="pct"/>
            <w:noWrap/>
            <w:vAlign w:val="center"/>
            <w:hideMark/>
          </w:tcPr>
          <w:p w14:paraId="364B0356"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Study Habits</w:t>
            </w:r>
          </w:p>
        </w:tc>
        <w:tc>
          <w:tcPr>
            <w:tcW w:w="463" w:type="pct"/>
            <w:noWrap/>
            <w:vAlign w:val="center"/>
            <w:hideMark/>
          </w:tcPr>
          <w:p w14:paraId="76CBCED5" w14:textId="77777777" w:rsidR="001E51D5" w:rsidRPr="008A6B6D" w:rsidRDefault="001E51D5" w:rsidP="001E51D5">
            <w:pPr>
              <w:jc w:val="center"/>
              <w:rPr>
                <w:rFonts w:ascii="Arial" w:hAnsi="Arial" w:cs="Arial"/>
                <w:b/>
                <w:sz w:val="16"/>
                <w:lang w:eastAsia="en-PH"/>
              </w:rPr>
            </w:pPr>
            <w:r w:rsidRPr="008A6B6D">
              <w:rPr>
                <w:rFonts w:ascii="Arial" w:hAnsi="Arial" w:cs="Arial"/>
                <w:b/>
                <w:sz w:val="16"/>
                <w:lang w:eastAsia="en-PH"/>
              </w:rPr>
              <w:t>Attention Span</w:t>
            </w:r>
          </w:p>
        </w:tc>
      </w:tr>
      <w:tr w:rsidR="001E51D5" w:rsidRPr="008A6B6D" w14:paraId="7E70FD2C" w14:textId="77777777" w:rsidTr="0093337B">
        <w:trPr>
          <w:trHeight w:val="314"/>
        </w:trPr>
        <w:tc>
          <w:tcPr>
            <w:tcW w:w="705" w:type="pct"/>
            <w:vMerge/>
            <w:vAlign w:val="center"/>
            <w:hideMark/>
          </w:tcPr>
          <w:p w14:paraId="14DB9E05" w14:textId="77777777" w:rsidR="001E51D5" w:rsidRPr="008A6B6D" w:rsidRDefault="001E51D5" w:rsidP="001E51D5">
            <w:pPr>
              <w:rPr>
                <w:rFonts w:ascii="Arial" w:hAnsi="Arial" w:cs="Arial"/>
                <w:bCs/>
                <w:color w:val="1F1F1F"/>
                <w:sz w:val="16"/>
                <w:lang w:eastAsia="en-PH"/>
              </w:rPr>
            </w:pPr>
          </w:p>
        </w:tc>
        <w:tc>
          <w:tcPr>
            <w:tcW w:w="493" w:type="pct"/>
            <w:noWrap/>
            <w:vAlign w:val="center"/>
            <w:hideMark/>
          </w:tcPr>
          <w:p w14:paraId="4849D9D1" w14:textId="77777777" w:rsidR="001E51D5" w:rsidRPr="008A6B6D" w:rsidRDefault="001E51D5" w:rsidP="001E51D5">
            <w:pPr>
              <w:rPr>
                <w:rFonts w:ascii="Arial" w:hAnsi="Arial" w:cs="Arial"/>
                <w:bCs/>
                <w:sz w:val="16"/>
                <w:lang w:eastAsia="en-PH"/>
              </w:rPr>
            </w:pPr>
            <w:r w:rsidRPr="008A6B6D">
              <w:rPr>
                <w:rFonts w:ascii="Arial" w:hAnsi="Arial" w:cs="Arial"/>
                <w:bCs/>
                <w:sz w:val="16"/>
                <w:lang w:eastAsia="en-PH"/>
              </w:rPr>
              <w:t>P-value</w:t>
            </w:r>
          </w:p>
        </w:tc>
        <w:tc>
          <w:tcPr>
            <w:tcW w:w="572" w:type="pct"/>
            <w:noWrap/>
            <w:vAlign w:val="center"/>
            <w:hideMark/>
          </w:tcPr>
          <w:p w14:paraId="54360303" w14:textId="77777777" w:rsidR="001E51D5" w:rsidRPr="008A6B6D" w:rsidRDefault="001E51D5" w:rsidP="001E51D5">
            <w:pPr>
              <w:rPr>
                <w:rFonts w:ascii="Arial" w:hAnsi="Arial" w:cs="Arial"/>
                <w:bCs/>
                <w:sz w:val="16"/>
                <w:lang w:eastAsia="en-PH"/>
              </w:rPr>
            </w:pPr>
            <w:r w:rsidRPr="008A6B6D">
              <w:rPr>
                <w:rFonts w:ascii="Arial" w:hAnsi="Arial" w:cs="Arial"/>
                <w:bCs/>
                <w:sz w:val="16"/>
                <w:lang w:eastAsia="en-PH"/>
              </w:rPr>
              <w:t>P-value</w:t>
            </w:r>
          </w:p>
        </w:tc>
        <w:tc>
          <w:tcPr>
            <w:tcW w:w="626" w:type="pct"/>
            <w:noWrap/>
            <w:vAlign w:val="center"/>
            <w:hideMark/>
          </w:tcPr>
          <w:p w14:paraId="371E6CFF" w14:textId="77777777" w:rsidR="001E51D5" w:rsidRPr="008A6B6D" w:rsidRDefault="001E51D5" w:rsidP="001E51D5">
            <w:pPr>
              <w:rPr>
                <w:rFonts w:ascii="Arial" w:hAnsi="Arial" w:cs="Arial"/>
                <w:bCs/>
                <w:sz w:val="16"/>
                <w:lang w:eastAsia="en-PH"/>
              </w:rPr>
            </w:pPr>
            <w:r w:rsidRPr="008A6B6D">
              <w:rPr>
                <w:rFonts w:ascii="Arial" w:hAnsi="Arial" w:cs="Arial"/>
                <w:bCs/>
                <w:sz w:val="16"/>
                <w:lang w:eastAsia="en-PH"/>
              </w:rPr>
              <w:t>P-value</w:t>
            </w:r>
          </w:p>
        </w:tc>
        <w:tc>
          <w:tcPr>
            <w:tcW w:w="627" w:type="pct"/>
            <w:noWrap/>
            <w:vAlign w:val="center"/>
            <w:hideMark/>
          </w:tcPr>
          <w:p w14:paraId="2548437C" w14:textId="77777777" w:rsidR="001E51D5" w:rsidRPr="008A6B6D" w:rsidRDefault="001E51D5" w:rsidP="001E51D5">
            <w:pPr>
              <w:rPr>
                <w:rFonts w:ascii="Arial" w:hAnsi="Arial" w:cs="Arial"/>
                <w:bCs/>
                <w:sz w:val="16"/>
                <w:lang w:eastAsia="en-PH"/>
              </w:rPr>
            </w:pPr>
            <w:r w:rsidRPr="008A6B6D">
              <w:rPr>
                <w:rFonts w:ascii="Arial" w:hAnsi="Arial" w:cs="Arial"/>
                <w:bCs/>
                <w:sz w:val="16"/>
                <w:lang w:eastAsia="en-PH"/>
              </w:rPr>
              <w:t>P-value</w:t>
            </w:r>
          </w:p>
        </w:tc>
        <w:tc>
          <w:tcPr>
            <w:tcW w:w="574" w:type="pct"/>
            <w:noWrap/>
            <w:vAlign w:val="center"/>
            <w:hideMark/>
          </w:tcPr>
          <w:p w14:paraId="6051C582" w14:textId="77777777" w:rsidR="001E51D5" w:rsidRPr="008A6B6D" w:rsidRDefault="001E51D5" w:rsidP="001E51D5">
            <w:pPr>
              <w:rPr>
                <w:rFonts w:ascii="Arial" w:hAnsi="Arial" w:cs="Arial"/>
                <w:bCs/>
                <w:sz w:val="16"/>
                <w:lang w:eastAsia="en-PH"/>
              </w:rPr>
            </w:pPr>
            <w:r w:rsidRPr="008A6B6D">
              <w:rPr>
                <w:rFonts w:ascii="Arial" w:hAnsi="Arial" w:cs="Arial"/>
                <w:bCs/>
                <w:sz w:val="16"/>
                <w:lang w:eastAsia="en-PH"/>
              </w:rPr>
              <w:t>P-value</w:t>
            </w:r>
          </w:p>
        </w:tc>
        <w:tc>
          <w:tcPr>
            <w:tcW w:w="522" w:type="pct"/>
            <w:noWrap/>
            <w:vAlign w:val="center"/>
            <w:hideMark/>
          </w:tcPr>
          <w:p w14:paraId="3C1307C9" w14:textId="77777777" w:rsidR="001E51D5" w:rsidRPr="008A6B6D" w:rsidRDefault="001E51D5" w:rsidP="001E51D5">
            <w:pPr>
              <w:rPr>
                <w:rFonts w:ascii="Arial" w:hAnsi="Arial" w:cs="Arial"/>
                <w:bCs/>
                <w:sz w:val="16"/>
                <w:lang w:eastAsia="en-PH"/>
              </w:rPr>
            </w:pPr>
            <w:r w:rsidRPr="008A6B6D">
              <w:rPr>
                <w:rFonts w:ascii="Arial" w:hAnsi="Arial" w:cs="Arial"/>
                <w:bCs/>
                <w:sz w:val="16"/>
                <w:lang w:eastAsia="en-PH"/>
              </w:rPr>
              <w:t>P-value</w:t>
            </w:r>
          </w:p>
        </w:tc>
        <w:tc>
          <w:tcPr>
            <w:tcW w:w="418" w:type="pct"/>
            <w:noWrap/>
            <w:vAlign w:val="center"/>
            <w:hideMark/>
          </w:tcPr>
          <w:p w14:paraId="411E71A7" w14:textId="77777777" w:rsidR="001E51D5" w:rsidRPr="008A6B6D" w:rsidRDefault="001E51D5" w:rsidP="001E51D5">
            <w:pPr>
              <w:rPr>
                <w:rFonts w:ascii="Arial" w:hAnsi="Arial" w:cs="Arial"/>
                <w:bCs/>
                <w:sz w:val="16"/>
                <w:lang w:eastAsia="en-PH"/>
              </w:rPr>
            </w:pPr>
            <w:r w:rsidRPr="008A6B6D">
              <w:rPr>
                <w:rFonts w:ascii="Arial" w:hAnsi="Arial" w:cs="Arial"/>
                <w:bCs/>
                <w:sz w:val="16"/>
                <w:lang w:eastAsia="en-PH"/>
              </w:rPr>
              <w:t>P-value</w:t>
            </w:r>
          </w:p>
        </w:tc>
        <w:tc>
          <w:tcPr>
            <w:tcW w:w="463" w:type="pct"/>
            <w:noWrap/>
            <w:vAlign w:val="center"/>
            <w:hideMark/>
          </w:tcPr>
          <w:p w14:paraId="47FAE005" w14:textId="77777777" w:rsidR="001E51D5" w:rsidRPr="008A6B6D" w:rsidRDefault="001E51D5" w:rsidP="001E51D5">
            <w:pPr>
              <w:rPr>
                <w:rFonts w:ascii="Arial" w:hAnsi="Arial" w:cs="Arial"/>
                <w:bCs/>
                <w:sz w:val="16"/>
                <w:lang w:eastAsia="en-PH"/>
              </w:rPr>
            </w:pPr>
            <w:r w:rsidRPr="008A6B6D">
              <w:rPr>
                <w:rFonts w:ascii="Arial" w:hAnsi="Arial" w:cs="Arial"/>
                <w:bCs/>
                <w:sz w:val="16"/>
                <w:lang w:eastAsia="en-PH"/>
              </w:rPr>
              <w:t>P-value</w:t>
            </w:r>
          </w:p>
        </w:tc>
      </w:tr>
      <w:tr w:rsidR="001E51D5" w:rsidRPr="008A6B6D" w14:paraId="147E65D5" w14:textId="77777777" w:rsidTr="0093337B">
        <w:trPr>
          <w:trHeight w:val="294"/>
        </w:trPr>
        <w:tc>
          <w:tcPr>
            <w:tcW w:w="705" w:type="pct"/>
            <w:vAlign w:val="center"/>
            <w:hideMark/>
          </w:tcPr>
          <w:p w14:paraId="4FAD8DA0" w14:textId="77777777" w:rsidR="001E51D5" w:rsidRPr="008A6B6D" w:rsidRDefault="001E51D5" w:rsidP="001E51D5">
            <w:pPr>
              <w:rPr>
                <w:rFonts w:ascii="Arial" w:hAnsi="Arial" w:cs="Arial"/>
                <w:bCs/>
                <w:color w:val="1F1F1F"/>
                <w:sz w:val="16"/>
                <w:lang w:eastAsia="en-PH"/>
              </w:rPr>
            </w:pPr>
            <w:r w:rsidRPr="008A6B6D">
              <w:rPr>
                <w:rFonts w:ascii="Arial" w:hAnsi="Arial" w:cs="Arial"/>
                <w:bCs/>
                <w:color w:val="1F1F1F"/>
                <w:sz w:val="16"/>
                <w:lang w:eastAsia="en-PH"/>
              </w:rPr>
              <w:t>Age</w:t>
            </w:r>
          </w:p>
        </w:tc>
        <w:tc>
          <w:tcPr>
            <w:tcW w:w="493" w:type="pct"/>
            <w:vAlign w:val="center"/>
            <w:hideMark/>
          </w:tcPr>
          <w:p w14:paraId="501F0AB7"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0.251</w:t>
            </w:r>
            <w:r w:rsidRPr="008A6B6D">
              <w:rPr>
                <w:rFonts w:ascii="Arial" w:hAnsi="Arial" w:cs="Arial"/>
                <w:bCs/>
                <w:color w:val="1F1F1F"/>
                <w:sz w:val="16"/>
                <w:vertAlign w:val="superscript"/>
                <w:lang w:eastAsia="en-PH"/>
              </w:rPr>
              <w:t>ns</w:t>
            </w:r>
          </w:p>
        </w:tc>
        <w:tc>
          <w:tcPr>
            <w:tcW w:w="572" w:type="pct"/>
            <w:vAlign w:val="center"/>
            <w:hideMark/>
          </w:tcPr>
          <w:p w14:paraId="51EAF548"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0.322</w:t>
            </w:r>
            <w:r w:rsidRPr="008A6B6D">
              <w:rPr>
                <w:rFonts w:ascii="Arial" w:hAnsi="Arial" w:cs="Arial"/>
                <w:bCs/>
                <w:color w:val="1F1F1F"/>
                <w:sz w:val="16"/>
                <w:vertAlign w:val="superscript"/>
                <w:lang w:eastAsia="en-PH"/>
              </w:rPr>
              <w:t>ns</w:t>
            </w:r>
          </w:p>
        </w:tc>
        <w:tc>
          <w:tcPr>
            <w:tcW w:w="626" w:type="pct"/>
            <w:vAlign w:val="center"/>
            <w:hideMark/>
          </w:tcPr>
          <w:p w14:paraId="3DD0AD17"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0.461</w:t>
            </w:r>
            <w:r w:rsidRPr="008A6B6D">
              <w:rPr>
                <w:rFonts w:ascii="Arial" w:hAnsi="Arial" w:cs="Arial"/>
                <w:bCs/>
                <w:color w:val="1F1F1F"/>
                <w:sz w:val="16"/>
                <w:vertAlign w:val="superscript"/>
                <w:lang w:eastAsia="en-PH"/>
              </w:rPr>
              <w:t>ns</w:t>
            </w:r>
          </w:p>
        </w:tc>
        <w:tc>
          <w:tcPr>
            <w:tcW w:w="627" w:type="pct"/>
            <w:vAlign w:val="center"/>
            <w:hideMark/>
          </w:tcPr>
          <w:p w14:paraId="098D0E58"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0.432</w:t>
            </w:r>
            <w:r w:rsidRPr="008A6B6D">
              <w:rPr>
                <w:rFonts w:ascii="Arial" w:hAnsi="Arial" w:cs="Arial"/>
                <w:bCs/>
                <w:color w:val="1F1F1F"/>
                <w:sz w:val="16"/>
                <w:vertAlign w:val="superscript"/>
                <w:lang w:eastAsia="en-PH"/>
              </w:rPr>
              <w:t>ns</w:t>
            </w:r>
          </w:p>
        </w:tc>
        <w:tc>
          <w:tcPr>
            <w:tcW w:w="574" w:type="pct"/>
            <w:vAlign w:val="center"/>
            <w:hideMark/>
          </w:tcPr>
          <w:p w14:paraId="036C0849"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0.162</w:t>
            </w:r>
            <w:r w:rsidRPr="008A6B6D">
              <w:rPr>
                <w:rFonts w:ascii="Arial" w:hAnsi="Arial" w:cs="Arial"/>
                <w:bCs/>
                <w:color w:val="1F1F1F"/>
                <w:sz w:val="16"/>
                <w:vertAlign w:val="superscript"/>
                <w:lang w:eastAsia="en-PH"/>
              </w:rPr>
              <w:t>ns</w:t>
            </w:r>
          </w:p>
        </w:tc>
        <w:tc>
          <w:tcPr>
            <w:tcW w:w="522" w:type="pct"/>
            <w:vAlign w:val="center"/>
            <w:hideMark/>
          </w:tcPr>
          <w:p w14:paraId="6286827A"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0.526</w:t>
            </w:r>
            <w:r w:rsidRPr="008A6B6D">
              <w:rPr>
                <w:rFonts w:ascii="Arial" w:hAnsi="Arial" w:cs="Arial"/>
                <w:bCs/>
                <w:color w:val="1F1F1F"/>
                <w:sz w:val="16"/>
                <w:vertAlign w:val="superscript"/>
                <w:lang w:eastAsia="en-PH"/>
              </w:rPr>
              <w:t>ns</w:t>
            </w:r>
          </w:p>
        </w:tc>
        <w:tc>
          <w:tcPr>
            <w:tcW w:w="418" w:type="pct"/>
            <w:vAlign w:val="center"/>
            <w:hideMark/>
          </w:tcPr>
          <w:p w14:paraId="5D4877BB"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0.574</w:t>
            </w:r>
            <w:r w:rsidRPr="008A6B6D">
              <w:rPr>
                <w:rFonts w:ascii="Arial" w:hAnsi="Arial" w:cs="Arial"/>
                <w:bCs/>
                <w:color w:val="1F1F1F"/>
                <w:sz w:val="16"/>
                <w:vertAlign w:val="superscript"/>
                <w:lang w:eastAsia="en-PH"/>
              </w:rPr>
              <w:t>ns</w:t>
            </w:r>
          </w:p>
        </w:tc>
        <w:tc>
          <w:tcPr>
            <w:tcW w:w="463" w:type="pct"/>
            <w:vAlign w:val="center"/>
            <w:hideMark/>
          </w:tcPr>
          <w:p w14:paraId="402632FA"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0.77</w:t>
            </w:r>
            <w:r w:rsidRPr="008A6B6D">
              <w:rPr>
                <w:rFonts w:ascii="Arial" w:hAnsi="Arial" w:cs="Arial"/>
                <w:bCs/>
                <w:color w:val="1F1F1F"/>
                <w:sz w:val="16"/>
                <w:vertAlign w:val="superscript"/>
                <w:lang w:eastAsia="en-PH"/>
              </w:rPr>
              <w:t>ns</w:t>
            </w:r>
          </w:p>
        </w:tc>
      </w:tr>
      <w:tr w:rsidR="001E51D5" w:rsidRPr="008A6B6D" w14:paraId="2CEDA05A" w14:textId="77777777" w:rsidTr="0093337B">
        <w:trPr>
          <w:trHeight w:val="294"/>
        </w:trPr>
        <w:tc>
          <w:tcPr>
            <w:tcW w:w="705" w:type="pct"/>
            <w:vAlign w:val="center"/>
            <w:hideMark/>
          </w:tcPr>
          <w:p w14:paraId="50155B05" w14:textId="77777777" w:rsidR="001E51D5" w:rsidRPr="008A6B6D" w:rsidRDefault="001E51D5" w:rsidP="001E51D5">
            <w:pPr>
              <w:rPr>
                <w:rFonts w:ascii="Arial" w:hAnsi="Arial" w:cs="Arial"/>
                <w:bCs/>
                <w:color w:val="1F1F1F"/>
                <w:sz w:val="16"/>
                <w:lang w:eastAsia="en-PH"/>
              </w:rPr>
            </w:pPr>
            <w:r w:rsidRPr="008A6B6D">
              <w:rPr>
                <w:rFonts w:ascii="Arial" w:hAnsi="Arial" w:cs="Arial"/>
                <w:bCs/>
                <w:color w:val="1F1F1F"/>
                <w:sz w:val="16"/>
                <w:lang w:eastAsia="en-PH"/>
              </w:rPr>
              <w:t>Gender</w:t>
            </w:r>
          </w:p>
        </w:tc>
        <w:tc>
          <w:tcPr>
            <w:tcW w:w="493" w:type="pct"/>
            <w:vAlign w:val="center"/>
            <w:hideMark/>
          </w:tcPr>
          <w:p w14:paraId="5E51A2F6"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0.473</w:t>
            </w:r>
            <w:r w:rsidRPr="008A6B6D">
              <w:rPr>
                <w:rFonts w:ascii="Arial" w:hAnsi="Arial" w:cs="Arial"/>
                <w:bCs/>
                <w:color w:val="1F1F1F"/>
                <w:sz w:val="16"/>
                <w:vertAlign w:val="superscript"/>
                <w:lang w:eastAsia="en-PH"/>
              </w:rPr>
              <w:t>ns</w:t>
            </w:r>
          </w:p>
        </w:tc>
        <w:tc>
          <w:tcPr>
            <w:tcW w:w="572" w:type="pct"/>
            <w:vAlign w:val="center"/>
            <w:hideMark/>
          </w:tcPr>
          <w:p w14:paraId="7CE59087"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0.907</w:t>
            </w:r>
            <w:r w:rsidRPr="008A6B6D">
              <w:rPr>
                <w:rFonts w:ascii="Arial" w:hAnsi="Arial" w:cs="Arial"/>
                <w:bCs/>
                <w:color w:val="1F1F1F"/>
                <w:sz w:val="16"/>
                <w:vertAlign w:val="superscript"/>
                <w:lang w:eastAsia="en-PH"/>
              </w:rPr>
              <w:t>ns</w:t>
            </w:r>
          </w:p>
        </w:tc>
        <w:tc>
          <w:tcPr>
            <w:tcW w:w="626" w:type="pct"/>
            <w:vAlign w:val="center"/>
            <w:hideMark/>
          </w:tcPr>
          <w:p w14:paraId="0DE69118"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0.791</w:t>
            </w:r>
            <w:r w:rsidRPr="008A6B6D">
              <w:rPr>
                <w:rFonts w:ascii="Arial" w:hAnsi="Arial" w:cs="Arial"/>
                <w:bCs/>
                <w:color w:val="1F1F1F"/>
                <w:sz w:val="16"/>
                <w:vertAlign w:val="superscript"/>
                <w:lang w:eastAsia="en-PH"/>
              </w:rPr>
              <w:t>ns</w:t>
            </w:r>
          </w:p>
        </w:tc>
        <w:tc>
          <w:tcPr>
            <w:tcW w:w="627" w:type="pct"/>
            <w:vAlign w:val="center"/>
            <w:hideMark/>
          </w:tcPr>
          <w:p w14:paraId="6158F78B"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0.348</w:t>
            </w:r>
            <w:r w:rsidRPr="008A6B6D">
              <w:rPr>
                <w:rFonts w:ascii="Arial" w:hAnsi="Arial" w:cs="Arial"/>
                <w:bCs/>
                <w:color w:val="1F1F1F"/>
                <w:sz w:val="16"/>
                <w:vertAlign w:val="superscript"/>
                <w:lang w:eastAsia="en-PH"/>
              </w:rPr>
              <w:t>ns</w:t>
            </w:r>
          </w:p>
        </w:tc>
        <w:tc>
          <w:tcPr>
            <w:tcW w:w="574" w:type="pct"/>
            <w:vAlign w:val="center"/>
            <w:hideMark/>
          </w:tcPr>
          <w:p w14:paraId="2D1D87AF"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0.778</w:t>
            </w:r>
            <w:r w:rsidRPr="008A6B6D">
              <w:rPr>
                <w:rFonts w:ascii="Arial" w:hAnsi="Arial" w:cs="Arial"/>
                <w:bCs/>
                <w:color w:val="1F1F1F"/>
                <w:sz w:val="16"/>
                <w:vertAlign w:val="superscript"/>
                <w:lang w:eastAsia="en-PH"/>
              </w:rPr>
              <w:t>ns</w:t>
            </w:r>
          </w:p>
        </w:tc>
        <w:tc>
          <w:tcPr>
            <w:tcW w:w="522" w:type="pct"/>
            <w:vAlign w:val="center"/>
            <w:hideMark/>
          </w:tcPr>
          <w:p w14:paraId="60EB0589"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0.925</w:t>
            </w:r>
            <w:r w:rsidRPr="008A6B6D">
              <w:rPr>
                <w:rFonts w:ascii="Arial" w:hAnsi="Arial" w:cs="Arial"/>
                <w:bCs/>
                <w:color w:val="1F1F1F"/>
                <w:sz w:val="16"/>
                <w:vertAlign w:val="superscript"/>
                <w:lang w:eastAsia="en-PH"/>
              </w:rPr>
              <w:t>ns</w:t>
            </w:r>
          </w:p>
        </w:tc>
        <w:tc>
          <w:tcPr>
            <w:tcW w:w="418" w:type="pct"/>
            <w:vAlign w:val="center"/>
            <w:hideMark/>
          </w:tcPr>
          <w:p w14:paraId="3340451E"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0.935</w:t>
            </w:r>
            <w:r w:rsidRPr="008A6B6D">
              <w:rPr>
                <w:rFonts w:ascii="Arial" w:hAnsi="Arial" w:cs="Arial"/>
                <w:bCs/>
                <w:color w:val="1F1F1F"/>
                <w:sz w:val="16"/>
                <w:vertAlign w:val="superscript"/>
                <w:lang w:eastAsia="en-PH"/>
              </w:rPr>
              <w:t>ns</w:t>
            </w:r>
          </w:p>
        </w:tc>
        <w:tc>
          <w:tcPr>
            <w:tcW w:w="463" w:type="pct"/>
            <w:vAlign w:val="center"/>
            <w:hideMark/>
          </w:tcPr>
          <w:p w14:paraId="43A85C66"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0.69</w:t>
            </w:r>
            <w:r w:rsidRPr="008A6B6D">
              <w:rPr>
                <w:rFonts w:ascii="Arial" w:hAnsi="Arial" w:cs="Arial"/>
                <w:bCs/>
                <w:color w:val="1F1F1F"/>
                <w:sz w:val="16"/>
                <w:vertAlign w:val="superscript"/>
                <w:lang w:eastAsia="en-PH"/>
              </w:rPr>
              <w:t>ns</w:t>
            </w:r>
          </w:p>
        </w:tc>
      </w:tr>
      <w:tr w:rsidR="001E51D5" w:rsidRPr="008A6B6D" w14:paraId="7C7F0858" w14:textId="77777777" w:rsidTr="0093337B">
        <w:trPr>
          <w:trHeight w:val="567"/>
        </w:trPr>
        <w:tc>
          <w:tcPr>
            <w:tcW w:w="705" w:type="pct"/>
            <w:vAlign w:val="center"/>
            <w:hideMark/>
          </w:tcPr>
          <w:p w14:paraId="332D7ABB" w14:textId="77777777" w:rsidR="001E51D5" w:rsidRPr="008A6B6D" w:rsidRDefault="001E51D5" w:rsidP="001E51D5">
            <w:pPr>
              <w:rPr>
                <w:rFonts w:ascii="Arial" w:hAnsi="Arial" w:cs="Arial"/>
                <w:bCs/>
                <w:color w:val="1F1F1F"/>
                <w:sz w:val="16"/>
                <w:lang w:eastAsia="en-PH"/>
              </w:rPr>
            </w:pPr>
            <w:r w:rsidRPr="008A6B6D">
              <w:rPr>
                <w:rFonts w:ascii="Arial" w:hAnsi="Arial" w:cs="Arial"/>
                <w:bCs/>
                <w:color w:val="1F1F1F"/>
                <w:sz w:val="16"/>
                <w:lang w:eastAsia="en-PH"/>
              </w:rPr>
              <w:t>Teaching Experience</w:t>
            </w:r>
          </w:p>
        </w:tc>
        <w:tc>
          <w:tcPr>
            <w:tcW w:w="493" w:type="pct"/>
            <w:vAlign w:val="center"/>
            <w:hideMark/>
          </w:tcPr>
          <w:p w14:paraId="72CA3032"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0.325</w:t>
            </w:r>
            <w:r w:rsidRPr="008A6B6D">
              <w:rPr>
                <w:rFonts w:ascii="Arial" w:hAnsi="Arial" w:cs="Arial"/>
                <w:bCs/>
                <w:color w:val="1F1F1F"/>
                <w:sz w:val="16"/>
                <w:vertAlign w:val="superscript"/>
                <w:lang w:eastAsia="en-PH"/>
              </w:rPr>
              <w:t>ns</w:t>
            </w:r>
          </w:p>
        </w:tc>
        <w:tc>
          <w:tcPr>
            <w:tcW w:w="572" w:type="pct"/>
            <w:vAlign w:val="center"/>
            <w:hideMark/>
          </w:tcPr>
          <w:p w14:paraId="51A7ED51"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0.225</w:t>
            </w:r>
            <w:r w:rsidRPr="008A6B6D">
              <w:rPr>
                <w:rFonts w:ascii="Arial" w:hAnsi="Arial" w:cs="Arial"/>
                <w:bCs/>
                <w:color w:val="1F1F1F"/>
                <w:sz w:val="16"/>
                <w:vertAlign w:val="superscript"/>
                <w:lang w:eastAsia="en-PH"/>
              </w:rPr>
              <w:t>ns</w:t>
            </w:r>
          </w:p>
        </w:tc>
        <w:tc>
          <w:tcPr>
            <w:tcW w:w="626" w:type="pct"/>
            <w:vAlign w:val="center"/>
            <w:hideMark/>
          </w:tcPr>
          <w:p w14:paraId="32481FB5"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0.631</w:t>
            </w:r>
            <w:r w:rsidRPr="008A6B6D">
              <w:rPr>
                <w:rFonts w:ascii="Arial" w:hAnsi="Arial" w:cs="Arial"/>
                <w:bCs/>
                <w:color w:val="1F1F1F"/>
                <w:sz w:val="16"/>
                <w:vertAlign w:val="superscript"/>
                <w:lang w:eastAsia="en-PH"/>
              </w:rPr>
              <w:t>ns</w:t>
            </w:r>
          </w:p>
        </w:tc>
        <w:tc>
          <w:tcPr>
            <w:tcW w:w="627" w:type="pct"/>
            <w:vAlign w:val="center"/>
            <w:hideMark/>
          </w:tcPr>
          <w:p w14:paraId="13F53015"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0.348</w:t>
            </w:r>
            <w:r w:rsidRPr="008A6B6D">
              <w:rPr>
                <w:rFonts w:ascii="Arial" w:hAnsi="Arial" w:cs="Arial"/>
                <w:bCs/>
                <w:color w:val="1F1F1F"/>
                <w:sz w:val="16"/>
                <w:vertAlign w:val="superscript"/>
                <w:lang w:eastAsia="en-PH"/>
              </w:rPr>
              <w:t>ns</w:t>
            </w:r>
          </w:p>
        </w:tc>
        <w:tc>
          <w:tcPr>
            <w:tcW w:w="574" w:type="pct"/>
            <w:vAlign w:val="center"/>
            <w:hideMark/>
          </w:tcPr>
          <w:p w14:paraId="40425A7D"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0.669</w:t>
            </w:r>
            <w:r w:rsidRPr="008A6B6D">
              <w:rPr>
                <w:rFonts w:ascii="Arial" w:hAnsi="Arial" w:cs="Arial"/>
                <w:bCs/>
                <w:color w:val="1F1F1F"/>
                <w:sz w:val="16"/>
                <w:vertAlign w:val="superscript"/>
                <w:lang w:eastAsia="en-PH"/>
              </w:rPr>
              <w:t>ns</w:t>
            </w:r>
          </w:p>
        </w:tc>
        <w:tc>
          <w:tcPr>
            <w:tcW w:w="522" w:type="pct"/>
            <w:vAlign w:val="center"/>
            <w:hideMark/>
          </w:tcPr>
          <w:p w14:paraId="4C96447A"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0.699</w:t>
            </w:r>
            <w:r w:rsidRPr="008A6B6D">
              <w:rPr>
                <w:rFonts w:ascii="Arial" w:hAnsi="Arial" w:cs="Arial"/>
                <w:bCs/>
                <w:color w:val="1F1F1F"/>
                <w:sz w:val="16"/>
                <w:vertAlign w:val="superscript"/>
                <w:lang w:eastAsia="en-PH"/>
              </w:rPr>
              <w:t>ns</w:t>
            </w:r>
          </w:p>
        </w:tc>
        <w:tc>
          <w:tcPr>
            <w:tcW w:w="418" w:type="pct"/>
            <w:vAlign w:val="center"/>
            <w:hideMark/>
          </w:tcPr>
          <w:p w14:paraId="3BCDD8B5"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0.724</w:t>
            </w:r>
            <w:r w:rsidRPr="008A6B6D">
              <w:rPr>
                <w:rFonts w:ascii="Arial" w:hAnsi="Arial" w:cs="Arial"/>
                <w:bCs/>
                <w:color w:val="1F1F1F"/>
                <w:sz w:val="16"/>
                <w:vertAlign w:val="superscript"/>
                <w:lang w:eastAsia="en-PH"/>
              </w:rPr>
              <w:t>ns</w:t>
            </w:r>
          </w:p>
        </w:tc>
        <w:tc>
          <w:tcPr>
            <w:tcW w:w="463" w:type="pct"/>
            <w:vAlign w:val="center"/>
            <w:hideMark/>
          </w:tcPr>
          <w:p w14:paraId="62FF702B"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0.976</w:t>
            </w:r>
            <w:r w:rsidRPr="008A6B6D">
              <w:rPr>
                <w:rFonts w:ascii="Arial" w:hAnsi="Arial" w:cs="Arial"/>
                <w:bCs/>
                <w:color w:val="1F1F1F"/>
                <w:sz w:val="16"/>
                <w:vertAlign w:val="superscript"/>
                <w:lang w:eastAsia="en-PH"/>
              </w:rPr>
              <w:t>ns</w:t>
            </w:r>
          </w:p>
        </w:tc>
      </w:tr>
      <w:tr w:rsidR="001E51D5" w:rsidRPr="008A6B6D" w14:paraId="5B5FB5D5" w14:textId="77777777" w:rsidTr="0093337B">
        <w:trPr>
          <w:trHeight w:val="567"/>
        </w:trPr>
        <w:tc>
          <w:tcPr>
            <w:tcW w:w="705" w:type="pct"/>
            <w:vAlign w:val="center"/>
            <w:hideMark/>
          </w:tcPr>
          <w:p w14:paraId="3070194C" w14:textId="77777777" w:rsidR="001E51D5" w:rsidRPr="008A6B6D" w:rsidRDefault="001E51D5" w:rsidP="001E51D5">
            <w:pPr>
              <w:rPr>
                <w:rFonts w:ascii="Arial" w:hAnsi="Arial" w:cs="Arial"/>
                <w:bCs/>
                <w:color w:val="1F1F1F"/>
                <w:sz w:val="16"/>
                <w:lang w:eastAsia="en-PH"/>
              </w:rPr>
            </w:pPr>
            <w:r w:rsidRPr="008A6B6D">
              <w:rPr>
                <w:rFonts w:ascii="Arial" w:hAnsi="Arial" w:cs="Arial"/>
                <w:bCs/>
                <w:color w:val="1F1F1F"/>
                <w:sz w:val="16"/>
                <w:lang w:eastAsia="en-PH"/>
              </w:rPr>
              <w:t>Educational Attainment</w:t>
            </w:r>
          </w:p>
        </w:tc>
        <w:tc>
          <w:tcPr>
            <w:tcW w:w="493" w:type="pct"/>
            <w:vAlign w:val="center"/>
            <w:hideMark/>
          </w:tcPr>
          <w:p w14:paraId="57873FDD"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0.743</w:t>
            </w:r>
            <w:r w:rsidRPr="008A6B6D">
              <w:rPr>
                <w:rFonts w:ascii="Arial" w:hAnsi="Arial" w:cs="Arial"/>
                <w:bCs/>
                <w:color w:val="1F1F1F"/>
                <w:sz w:val="16"/>
                <w:vertAlign w:val="superscript"/>
                <w:lang w:eastAsia="en-PH"/>
              </w:rPr>
              <w:t>ns</w:t>
            </w:r>
          </w:p>
        </w:tc>
        <w:tc>
          <w:tcPr>
            <w:tcW w:w="572" w:type="pct"/>
            <w:vAlign w:val="center"/>
            <w:hideMark/>
          </w:tcPr>
          <w:p w14:paraId="7AA9F785"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0.898</w:t>
            </w:r>
            <w:r w:rsidRPr="008A6B6D">
              <w:rPr>
                <w:rFonts w:ascii="Arial" w:hAnsi="Arial" w:cs="Arial"/>
                <w:bCs/>
                <w:color w:val="1F1F1F"/>
                <w:sz w:val="16"/>
                <w:vertAlign w:val="superscript"/>
                <w:lang w:eastAsia="en-PH"/>
              </w:rPr>
              <w:t>ns</w:t>
            </w:r>
          </w:p>
        </w:tc>
        <w:tc>
          <w:tcPr>
            <w:tcW w:w="626" w:type="pct"/>
            <w:vAlign w:val="center"/>
            <w:hideMark/>
          </w:tcPr>
          <w:p w14:paraId="65899B48"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0.388</w:t>
            </w:r>
            <w:r w:rsidRPr="008A6B6D">
              <w:rPr>
                <w:rFonts w:ascii="Arial" w:hAnsi="Arial" w:cs="Arial"/>
                <w:bCs/>
                <w:color w:val="1F1F1F"/>
                <w:sz w:val="16"/>
                <w:vertAlign w:val="superscript"/>
                <w:lang w:eastAsia="en-PH"/>
              </w:rPr>
              <w:t>ns</w:t>
            </w:r>
          </w:p>
        </w:tc>
        <w:tc>
          <w:tcPr>
            <w:tcW w:w="627" w:type="pct"/>
            <w:vAlign w:val="center"/>
            <w:hideMark/>
          </w:tcPr>
          <w:p w14:paraId="6B16FDA2"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0.311</w:t>
            </w:r>
            <w:r w:rsidRPr="008A6B6D">
              <w:rPr>
                <w:rFonts w:ascii="Arial" w:hAnsi="Arial" w:cs="Arial"/>
                <w:bCs/>
                <w:color w:val="1F1F1F"/>
                <w:sz w:val="16"/>
                <w:vertAlign w:val="superscript"/>
                <w:lang w:eastAsia="en-PH"/>
              </w:rPr>
              <w:t>ns</w:t>
            </w:r>
          </w:p>
        </w:tc>
        <w:tc>
          <w:tcPr>
            <w:tcW w:w="574" w:type="pct"/>
            <w:vAlign w:val="center"/>
            <w:hideMark/>
          </w:tcPr>
          <w:p w14:paraId="6C0D1FF1"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0.487</w:t>
            </w:r>
            <w:r w:rsidRPr="008A6B6D">
              <w:rPr>
                <w:rFonts w:ascii="Arial" w:hAnsi="Arial" w:cs="Arial"/>
                <w:bCs/>
                <w:color w:val="1F1F1F"/>
                <w:sz w:val="16"/>
                <w:vertAlign w:val="superscript"/>
                <w:lang w:eastAsia="en-PH"/>
              </w:rPr>
              <w:t>ns</w:t>
            </w:r>
          </w:p>
        </w:tc>
        <w:tc>
          <w:tcPr>
            <w:tcW w:w="522" w:type="pct"/>
            <w:vAlign w:val="center"/>
            <w:hideMark/>
          </w:tcPr>
          <w:p w14:paraId="4E8F5690"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0.545</w:t>
            </w:r>
            <w:r w:rsidRPr="008A6B6D">
              <w:rPr>
                <w:rFonts w:ascii="Arial" w:hAnsi="Arial" w:cs="Arial"/>
                <w:bCs/>
                <w:color w:val="1F1F1F"/>
                <w:sz w:val="16"/>
                <w:vertAlign w:val="superscript"/>
                <w:lang w:eastAsia="en-PH"/>
              </w:rPr>
              <w:t>ns</w:t>
            </w:r>
          </w:p>
        </w:tc>
        <w:tc>
          <w:tcPr>
            <w:tcW w:w="418" w:type="pct"/>
            <w:vAlign w:val="center"/>
            <w:hideMark/>
          </w:tcPr>
          <w:p w14:paraId="6BF8AF72"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0.434</w:t>
            </w:r>
            <w:r w:rsidRPr="008A6B6D">
              <w:rPr>
                <w:rFonts w:ascii="Arial" w:hAnsi="Arial" w:cs="Arial"/>
                <w:bCs/>
                <w:color w:val="1F1F1F"/>
                <w:sz w:val="16"/>
                <w:vertAlign w:val="superscript"/>
                <w:lang w:eastAsia="en-PH"/>
              </w:rPr>
              <w:t>ns</w:t>
            </w:r>
          </w:p>
        </w:tc>
        <w:tc>
          <w:tcPr>
            <w:tcW w:w="463" w:type="pct"/>
            <w:vAlign w:val="center"/>
            <w:hideMark/>
          </w:tcPr>
          <w:p w14:paraId="3E6FA026"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0.392</w:t>
            </w:r>
            <w:r w:rsidRPr="008A6B6D">
              <w:rPr>
                <w:rFonts w:ascii="Arial" w:hAnsi="Arial" w:cs="Arial"/>
                <w:bCs/>
                <w:color w:val="1F1F1F"/>
                <w:sz w:val="16"/>
                <w:vertAlign w:val="superscript"/>
                <w:lang w:eastAsia="en-PH"/>
              </w:rPr>
              <w:t>ns</w:t>
            </w:r>
          </w:p>
        </w:tc>
      </w:tr>
      <w:tr w:rsidR="001E51D5" w:rsidRPr="008A6B6D" w14:paraId="7793C001" w14:textId="77777777" w:rsidTr="0093337B">
        <w:trPr>
          <w:trHeight w:val="314"/>
        </w:trPr>
        <w:tc>
          <w:tcPr>
            <w:tcW w:w="705" w:type="pct"/>
            <w:noWrap/>
            <w:vAlign w:val="bottom"/>
            <w:hideMark/>
          </w:tcPr>
          <w:p w14:paraId="01CF9907" w14:textId="77777777" w:rsidR="001E51D5" w:rsidRPr="008A6B6D" w:rsidRDefault="001E51D5" w:rsidP="001E51D5">
            <w:pPr>
              <w:rPr>
                <w:rFonts w:ascii="Arial" w:hAnsi="Arial" w:cs="Arial"/>
                <w:bCs/>
                <w:sz w:val="16"/>
                <w:lang w:eastAsia="en-PH"/>
              </w:rPr>
            </w:pPr>
            <w:r w:rsidRPr="008A6B6D">
              <w:rPr>
                <w:rFonts w:ascii="Arial" w:hAnsi="Arial" w:cs="Arial"/>
                <w:bCs/>
                <w:sz w:val="16"/>
                <w:lang w:eastAsia="en-PH"/>
              </w:rPr>
              <w:t>Subject specialization</w:t>
            </w:r>
          </w:p>
        </w:tc>
        <w:tc>
          <w:tcPr>
            <w:tcW w:w="493" w:type="pct"/>
            <w:vAlign w:val="center"/>
            <w:hideMark/>
          </w:tcPr>
          <w:p w14:paraId="142E638F"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0.666</w:t>
            </w:r>
            <w:r w:rsidRPr="008A6B6D">
              <w:rPr>
                <w:rFonts w:ascii="Arial" w:hAnsi="Arial" w:cs="Arial"/>
                <w:bCs/>
                <w:color w:val="1F1F1F"/>
                <w:sz w:val="16"/>
                <w:vertAlign w:val="superscript"/>
                <w:lang w:eastAsia="en-PH"/>
              </w:rPr>
              <w:t>ns</w:t>
            </w:r>
          </w:p>
        </w:tc>
        <w:tc>
          <w:tcPr>
            <w:tcW w:w="572" w:type="pct"/>
            <w:vAlign w:val="center"/>
            <w:hideMark/>
          </w:tcPr>
          <w:p w14:paraId="52AE1967"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0.388</w:t>
            </w:r>
            <w:r w:rsidRPr="008A6B6D">
              <w:rPr>
                <w:rFonts w:ascii="Arial" w:hAnsi="Arial" w:cs="Arial"/>
                <w:bCs/>
                <w:color w:val="1F1F1F"/>
                <w:sz w:val="16"/>
                <w:vertAlign w:val="superscript"/>
                <w:lang w:eastAsia="en-PH"/>
              </w:rPr>
              <w:t>ns</w:t>
            </w:r>
          </w:p>
        </w:tc>
        <w:tc>
          <w:tcPr>
            <w:tcW w:w="626" w:type="pct"/>
            <w:vAlign w:val="center"/>
            <w:hideMark/>
          </w:tcPr>
          <w:p w14:paraId="7C115497"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0.607</w:t>
            </w:r>
            <w:r w:rsidRPr="008A6B6D">
              <w:rPr>
                <w:rFonts w:ascii="Arial" w:hAnsi="Arial" w:cs="Arial"/>
                <w:bCs/>
                <w:color w:val="1F1F1F"/>
                <w:sz w:val="16"/>
                <w:vertAlign w:val="superscript"/>
                <w:lang w:eastAsia="en-PH"/>
              </w:rPr>
              <w:t>ns</w:t>
            </w:r>
          </w:p>
        </w:tc>
        <w:tc>
          <w:tcPr>
            <w:tcW w:w="627" w:type="pct"/>
            <w:vAlign w:val="center"/>
            <w:hideMark/>
          </w:tcPr>
          <w:p w14:paraId="3FE70C55"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0.499</w:t>
            </w:r>
            <w:r w:rsidRPr="008A6B6D">
              <w:rPr>
                <w:rFonts w:ascii="Arial" w:hAnsi="Arial" w:cs="Arial"/>
                <w:bCs/>
                <w:color w:val="1F1F1F"/>
                <w:sz w:val="16"/>
                <w:vertAlign w:val="superscript"/>
                <w:lang w:eastAsia="en-PH"/>
              </w:rPr>
              <w:t>ns</w:t>
            </w:r>
          </w:p>
        </w:tc>
        <w:tc>
          <w:tcPr>
            <w:tcW w:w="574" w:type="pct"/>
            <w:vAlign w:val="center"/>
            <w:hideMark/>
          </w:tcPr>
          <w:p w14:paraId="1DD0ECE0"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0.72</w:t>
            </w:r>
            <w:r w:rsidRPr="008A6B6D">
              <w:rPr>
                <w:rFonts w:ascii="Arial" w:hAnsi="Arial" w:cs="Arial"/>
                <w:bCs/>
                <w:color w:val="1F1F1F"/>
                <w:sz w:val="16"/>
                <w:vertAlign w:val="superscript"/>
                <w:lang w:eastAsia="en-PH"/>
              </w:rPr>
              <w:t>ns</w:t>
            </w:r>
          </w:p>
        </w:tc>
        <w:tc>
          <w:tcPr>
            <w:tcW w:w="522" w:type="pct"/>
            <w:vAlign w:val="center"/>
            <w:hideMark/>
          </w:tcPr>
          <w:p w14:paraId="731C189A"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0.455</w:t>
            </w:r>
            <w:r w:rsidRPr="008A6B6D">
              <w:rPr>
                <w:rFonts w:ascii="Arial" w:hAnsi="Arial" w:cs="Arial"/>
                <w:bCs/>
                <w:color w:val="1F1F1F"/>
                <w:sz w:val="16"/>
                <w:vertAlign w:val="superscript"/>
                <w:lang w:eastAsia="en-PH"/>
              </w:rPr>
              <w:t>ns</w:t>
            </w:r>
          </w:p>
        </w:tc>
        <w:tc>
          <w:tcPr>
            <w:tcW w:w="418" w:type="pct"/>
            <w:vAlign w:val="center"/>
            <w:hideMark/>
          </w:tcPr>
          <w:p w14:paraId="17E8B3E0"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0.694</w:t>
            </w:r>
            <w:r w:rsidRPr="008A6B6D">
              <w:rPr>
                <w:rFonts w:ascii="Arial" w:hAnsi="Arial" w:cs="Arial"/>
                <w:bCs/>
                <w:color w:val="1F1F1F"/>
                <w:sz w:val="16"/>
                <w:vertAlign w:val="superscript"/>
                <w:lang w:eastAsia="en-PH"/>
              </w:rPr>
              <w:t>ns</w:t>
            </w:r>
          </w:p>
        </w:tc>
        <w:tc>
          <w:tcPr>
            <w:tcW w:w="463" w:type="pct"/>
            <w:vAlign w:val="center"/>
            <w:hideMark/>
          </w:tcPr>
          <w:p w14:paraId="55494974" w14:textId="77777777" w:rsidR="001E51D5" w:rsidRPr="008A6B6D" w:rsidRDefault="001E51D5" w:rsidP="001E51D5">
            <w:pPr>
              <w:rPr>
                <w:rFonts w:ascii="Arial" w:hAnsi="Arial" w:cs="Arial"/>
                <w:bCs/>
                <w:color w:val="1F1F1F"/>
                <w:sz w:val="16"/>
                <w:vertAlign w:val="superscript"/>
                <w:lang w:eastAsia="en-PH"/>
              </w:rPr>
            </w:pPr>
            <w:r w:rsidRPr="008A6B6D">
              <w:rPr>
                <w:rFonts w:ascii="Arial" w:hAnsi="Arial" w:cs="Arial"/>
                <w:bCs/>
                <w:color w:val="1F1F1F"/>
                <w:sz w:val="16"/>
                <w:lang w:eastAsia="en-PH"/>
              </w:rPr>
              <w:t>0.344</w:t>
            </w:r>
            <w:r w:rsidRPr="008A6B6D">
              <w:rPr>
                <w:rFonts w:ascii="Arial" w:hAnsi="Arial" w:cs="Arial"/>
                <w:bCs/>
                <w:color w:val="1F1F1F"/>
                <w:sz w:val="16"/>
                <w:vertAlign w:val="superscript"/>
                <w:lang w:eastAsia="en-PH"/>
              </w:rPr>
              <w:t>ns</w:t>
            </w:r>
          </w:p>
        </w:tc>
      </w:tr>
    </w:tbl>
    <w:p w14:paraId="7A39D089" w14:textId="77777777" w:rsidR="001E51D5" w:rsidRPr="008A6B6D" w:rsidRDefault="001E51D5" w:rsidP="001E51D5">
      <w:pPr>
        <w:rPr>
          <w:rFonts w:ascii="Arial" w:hAnsi="Arial" w:cs="Arial"/>
          <w:bCs/>
          <w:lang w:eastAsia="en-PH"/>
        </w:rPr>
      </w:pPr>
      <w:r w:rsidRPr="008A6B6D">
        <w:rPr>
          <w:rFonts w:ascii="Arial" w:hAnsi="Arial" w:cs="Arial"/>
          <w:bCs/>
          <w:lang w:eastAsia="en-PH"/>
        </w:rPr>
        <w:t>Legend: ** Highly Significant                  *Significant                            ns-not significant</w:t>
      </w:r>
    </w:p>
    <w:p w14:paraId="17020072" w14:textId="77777777" w:rsidR="00A44D52" w:rsidRPr="008A6B6D" w:rsidRDefault="00A44D52" w:rsidP="00A44D52">
      <w:pPr>
        <w:jc w:val="both"/>
        <w:rPr>
          <w:rFonts w:ascii="Arial" w:eastAsia="Calibri" w:hAnsi="Arial" w:cs="Arial"/>
          <w:bCs/>
          <w:sz w:val="16"/>
          <w:szCs w:val="16"/>
          <w:shd w:val="clear" w:color="auto" w:fill="FFFFFF"/>
        </w:rPr>
      </w:pPr>
    </w:p>
    <w:p w14:paraId="42D7E5D0" w14:textId="77777777" w:rsidR="001E51D5" w:rsidRPr="008A6B6D" w:rsidRDefault="001E51D5" w:rsidP="00A44D52">
      <w:pPr>
        <w:jc w:val="both"/>
        <w:rPr>
          <w:rFonts w:ascii="Arial" w:hAnsi="Arial" w:cs="Arial"/>
          <w:color w:val="1F1F1F"/>
          <w:lang w:eastAsia="en-PH"/>
        </w:rPr>
      </w:pPr>
      <w:r w:rsidRPr="008A6B6D">
        <w:rPr>
          <w:rFonts w:ascii="Arial" w:hAnsi="Arial" w:cs="Arial"/>
          <w:color w:val="1F1F1F"/>
          <w:lang w:eastAsia="en-PH"/>
        </w:rPr>
        <w:t>Table 21 presents the results of the Kruskal-Wallis test, which was employed to determine if significant differences exist in the perceived determinants of learning retention when teachers are grouped according to their demographic profiles. The analysis reveals that across all categories—Age, Gender, Teaching Experience, Educational Attainment, and Subject Specialization—the computed p-values consistently exceeded the .05 significance level. Specifically, the p-values for pedagogical determinants ranged from .225 to .907, while those for student-related determinants ranged from .162 to .976. Because these values are all higher than the established threshold, the results were interpreted as not significant. This suggests that the respondents’ perceptions regarding the factors affecting student learning retention remain consistent, regardless of their professional background or personal demographics. Because the p-values for all profile variables were greater than the significance level (α = .05), the null hypotheses stating that there were no significant differences in perceived determinants by teacher profile were not rejected. Consequently, the analysis did not identify statistically significant differences in how teachers evaluated these determinants across the demographic groups examined.</w:t>
      </w:r>
    </w:p>
    <w:p w14:paraId="6F983294" w14:textId="77777777" w:rsidR="00A44D52" w:rsidRPr="008A6B6D" w:rsidRDefault="00A44D52" w:rsidP="00A44D52">
      <w:pPr>
        <w:jc w:val="both"/>
        <w:rPr>
          <w:rFonts w:ascii="Arial" w:hAnsi="Arial" w:cs="Arial"/>
          <w:bCs/>
        </w:rPr>
      </w:pPr>
    </w:p>
    <w:p w14:paraId="3CD945B0" w14:textId="77777777" w:rsidR="001E51D5" w:rsidRPr="008A6B6D" w:rsidRDefault="001E51D5" w:rsidP="00A44D52">
      <w:pPr>
        <w:jc w:val="both"/>
        <w:rPr>
          <w:rFonts w:ascii="Arial" w:hAnsi="Arial" w:cs="Arial"/>
          <w:bCs/>
        </w:rPr>
      </w:pPr>
      <w:r w:rsidRPr="008A6B6D">
        <w:rPr>
          <w:rFonts w:ascii="Arial" w:hAnsi="Arial" w:cs="Arial"/>
          <w:bCs/>
        </w:rPr>
        <w:t>This implies that the challenges and perceptions regarding learning retention were broadly consistent among the teaching faculty, regardless of their individual backgrounds or professional standing. The lack of significant difference suggests that whether a teacher is a seasoned veteran or a new professional, or whether they specialize in TLE or Mathematics, they observe the same patterns in student attention, study habits, and the effectiveness of active learning. This consensus supports consideration for a unified school-wide intervention, as a single, standardised Learning Retention Enhancement Program may be applicable to all departments and age brackets within the institution without needing heavy demographic customization.</w:t>
      </w:r>
    </w:p>
    <w:p w14:paraId="76533665" w14:textId="77777777" w:rsidR="00A44D52" w:rsidRPr="008A6B6D" w:rsidRDefault="00A44D52" w:rsidP="00A44D52">
      <w:pPr>
        <w:jc w:val="both"/>
        <w:rPr>
          <w:rFonts w:ascii="Arial" w:hAnsi="Arial" w:cs="Arial"/>
          <w:lang w:eastAsia="en-PH"/>
        </w:rPr>
      </w:pPr>
    </w:p>
    <w:p w14:paraId="715AA924" w14:textId="77777777" w:rsidR="001E51D5" w:rsidRPr="008A6B6D" w:rsidRDefault="001E51D5" w:rsidP="00A44D52">
      <w:pPr>
        <w:jc w:val="both"/>
        <w:rPr>
          <w:rFonts w:ascii="Arial" w:hAnsi="Arial" w:cs="Arial"/>
          <w:lang w:eastAsia="en-PH"/>
        </w:rPr>
      </w:pPr>
      <w:r w:rsidRPr="008A6B6D">
        <w:rPr>
          <w:rFonts w:ascii="Arial" w:hAnsi="Arial" w:cs="Arial"/>
          <w:lang w:eastAsia="en-PH"/>
        </w:rPr>
        <w:t xml:space="preserve">This finding is consistent with evidence from teacher-perception research in which no statistically significant differences were identified by gender, academic qualification, or years of experience (Salha &amp; Abu Karash, 2024). In the present study, the non-significant Kruskal-Wallis results across age, gender, teaching experience, educational attainment, and subject </w:t>
      </w:r>
      <w:r w:rsidRPr="008A6B6D">
        <w:rPr>
          <w:rFonts w:ascii="Arial" w:hAnsi="Arial" w:cs="Arial"/>
          <w:lang w:eastAsia="en-PH"/>
        </w:rPr>
        <w:lastRenderedPageBreak/>
        <w:t>specialisation similarly indicate broadly consistent perceptions among the teacher groups examined.</w:t>
      </w:r>
    </w:p>
    <w:p w14:paraId="3E17AC03" w14:textId="77777777" w:rsidR="001E51D5" w:rsidRPr="008A6B6D" w:rsidRDefault="001E51D5" w:rsidP="001E51D5">
      <w:pPr>
        <w:rPr>
          <w:rFonts w:ascii="Arial" w:eastAsia="Calibri" w:hAnsi="Arial" w:cs="Arial"/>
          <w:bCs/>
          <w:shd w:val="clear" w:color="auto" w:fill="FFFFFF"/>
        </w:rPr>
      </w:pPr>
    </w:p>
    <w:p w14:paraId="2D2EB227" w14:textId="77777777" w:rsidR="001E51D5" w:rsidRPr="008A6B6D" w:rsidRDefault="001E51D5" w:rsidP="00441B6F">
      <w:pPr>
        <w:pStyle w:val="Head1"/>
        <w:spacing w:after="0"/>
        <w:jc w:val="both"/>
        <w:rPr>
          <w:rFonts w:ascii="Arial" w:hAnsi="Arial" w:cs="Arial"/>
        </w:rPr>
      </w:pPr>
    </w:p>
    <w:p w14:paraId="73754B72" w14:textId="77777777" w:rsidR="00B01FCD" w:rsidRPr="008A6B6D" w:rsidRDefault="00000F8F" w:rsidP="00441B6F">
      <w:pPr>
        <w:pStyle w:val="ConcHead"/>
        <w:spacing w:after="0"/>
        <w:jc w:val="both"/>
        <w:rPr>
          <w:rFonts w:ascii="Arial" w:hAnsi="Arial" w:cs="Arial"/>
        </w:rPr>
      </w:pPr>
      <w:r w:rsidRPr="008A6B6D">
        <w:rPr>
          <w:rFonts w:ascii="Arial" w:hAnsi="Arial" w:cs="Arial"/>
        </w:rPr>
        <w:t xml:space="preserve">4. </w:t>
      </w:r>
      <w:r w:rsidR="00B01FCD" w:rsidRPr="008A6B6D">
        <w:rPr>
          <w:rFonts w:ascii="Arial" w:hAnsi="Arial" w:cs="Arial"/>
        </w:rPr>
        <w:t>Conclusion</w:t>
      </w:r>
    </w:p>
    <w:p w14:paraId="75DC46FA" w14:textId="77777777" w:rsidR="00790ADA" w:rsidRPr="008A6B6D" w:rsidRDefault="00790ADA" w:rsidP="00441B6F">
      <w:pPr>
        <w:pStyle w:val="ConcHead"/>
        <w:spacing w:after="0"/>
        <w:jc w:val="both"/>
        <w:rPr>
          <w:rFonts w:ascii="Arial" w:hAnsi="Arial" w:cs="Arial"/>
        </w:rPr>
      </w:pPr>
    </w:p>
    <w:p w14:paraId="1E9BDAAF" w14:textId="77777777" w:rsidR="00790ADA" w:rsidRPr="008A6B6D" w:rsidRDefault="00071BD5" w:rsidP="00441B6F">
      <w:pPr>
        <w:pStyle w:val="Body"/>
        <w:spacing w:after="0"/>
        <w:rPr>
          <w:rFonts w:ascii="Arial" w:hAnsi="Arial" w:cs="Arial"/>
        </w:rPr>
      </w:pPr>
      <w:r w:rsidRPr="008A6B6D">
        <w:rPr>
          <w:rFonts w:ascii="Arial" w:hAnsi="Arial" w:cs="Arial"/>
        </w:rPr>
        <w:t>The findings indicate that the teaching workforce was predominantly female and included a substantial proportion of early-career educators, with Technology and Livelihood Education (TLE) as the largest specialisation group and many respondents pursuing graduate studies. Teachers commonly reported using interactive instructional approaches, such as problem-solving activities, while digital gamification and student-led metacognitive strategies were less frequently used. Students were perceived as showing strong intrinsic motivation, but study habits and attention span were less consistent. Perceived learning retention was also uneven, particularly for independent recall and the application of technical skills. Differentiated instruction and formative assessment were significantly associated with retention measures, while attention span and study habits showed the strongest associations with knowledge recall. Teachers’ perceptions did not differ significantly across the demographic groups examined. Reported systemic challenges, including limited resources and time constraints, may contribute to continued reliance on lecture-based teaching methods rather than more varied retention-focused strategies.</w:t>
      </w:r>
    </w:p>
    <w:p w14:paraId="5C213AC6" w14:textId="77777777" w:rsidR="001365F4" w:rsidRPr="008A6B6D" w:rsidRDefault="001365F4" w:rsidP="00441B6F">
      <w:pPr>
        <w:pStyle w:val="Body"/>
        <w:spacing w:after="0"/>
        <w:rPr>
          <w:rFonts w:ascii="Arial" w:hAnsi="Arial" w:cs="Arial"/>
        </w:rPr>
      </w:pPr>
    </w:p>
    <w:p w14:paraId="7B406CD9" w14:textId="77777777" w:rsidR="008A6B6D" w:rsidRPr="008A6B6D" w:rsidRDefault="008A6B6D" w:rsidP="008A6B6D">
      <w:pPr>
        <w:spacing w:before="100" w:beforeAutospacing="1" w:after="100" w:afterAutospacing="1"/>
        <w:outlineLvl w:val="2"/>
        <w:rPr>
          <w:rFonts w:ascii="Times New Roman" w:hAnsi="Times New Roman"/>
          <w:b/>
          <w:bCs/>
          <w:sz w:val="27"/>
          <w:szCs w:val="27"/>
        </w:rPr>
      </w:pPr>
      <w:r w:rsidRPr="008A6B6D">
        <w:rPr>
          <w:rFonts w:ascii="Times New Roman" w:hAnsi="Times New Roman"/>
          <w:b/>
          <w:bCs/>
          <w:sz w:val="27"/>
          <w:szCs w:val="27"/>
        </w:rPr>
        <w:t>Limitations</w:t>
      </w:r>
    </w:p>
    <w:p w14:paraId="3F7A1BE7" w14:textId="228F39EB" w:rsidR="008A6B6D" w:rsidRPr="008A6B6D" w:rsidRDefault="008A6B6D" w:rsidP="008A6B6D">
      <w:pPr>
        <w:spacing w:before="100" w:beforeAutospacing="1" w:after="100" w:afterAutospacing="1"/>
        <w:rPr>
          <w:rFonts w:ascii="Arial" w:hAnsi="Arial" w:cs="Arial"/>
        </w:rPr>
      </w:pPr>
      <w:r w:rsidRPr="008A6B6D">
        <w:rPr>
          <w:rFonts w:ascii="Times New Roman" w:hAnsi="Times New Roman"/>
          <w:sz w:val="24"/>
          <w:szCs w:val="24"/>
        </w:rPr>
        <w:t xml:space="preserve">The study was conducted in one secondary school and relied primarily on teachers’ perceptions of student learning retention; therefore, the findings may not directly represent students’ measured retention or experiences in other settings. Although 84 of 95 teachers participated, the single-school context limits broader </w:t>
      </w:r>
      <w:proofErr w:type="spellStart"/>
      <w:r w:rsidRPr="008A6B6D">
        <w:rPr>
          <w:rFonts w:ascii="Times New Roman" w:hAnsi="Times New Roman"/>
          <w:sz w:val="24"/>
          <w:szCs w:val="24"/>
        </w:rPr>
        <w:t>generalisation</w:t>
      </w:r>
      <w:proofErr w:type="spellEnd"/>
      <w:r w:rsidRPr="008A6B6D">
        <w:rPr>
          <w:rFonts w:ascii="Times New Roman" w:hAnsi="Times New Roman"/>
          <w:sz w:val="24"/>
          <w:szCs w:val="24"/>
        </w:rPr>
        <w:t xml:space="preserve">. The correlational analyses identify associations but do not establish causal relationships. </w:t>
      </w:r>
    </w:p>
    <w:p w14:paraId="01D8978C" w14:textId="77777777" w:rsidR="00860000" w:rsidRPr="008A6B6D" w:rsidRDefault="00860000" w:rsidP="00441B6F">
      <w:pPr>
        <w:pStyle w:val="ReferHead"/>
        <w:spacing w:after="0"/>
        <w:jc w:val="both"/>
        <w:rPr>
          <w:rFonts w:ascii="Arial" w:hAnsi="Arial" w:cs="Arial"/>
          <w:bCs/>
        </w:rPr>
      </w:pPr>
      <w:r w:rsidRPr="008A6B6D">
        <w:rPr>
          <w:rFonts w:ascii="Arial" w:hAnsi="Arial" w:cs="Arial"/>
          <w:bCs/>
        </w:rPr>
        <w:t>Competing interests</w:t>
      </w:r>
    </w:p>
    <w:p w14:paraId="6D3A92A0" w14:textId="77777777" w:rsidR="00860000" w:rsidRPr="008A6B6D" w:rsidRDefault="00860000" w:rsidP="00441B6F">
      <w:pPr>
        <w:pStyle w:val="ReferHead"/>
        <w:spacing w:after="0"/>
        <w:jc w:val="both"/>
        <w:rPr>
          <w:rFonts w:ascii="Arial" w:hAnsi="Arial" w:cs="Arial"/>
          <w:sz w:val="24"/>
        </w:rPr>
      </w:pPr>
    </w:p>
    <w:p w14:paraId="7B17E9E0" w14:textId="77777777" w:rsidR="005C2B64" w:rsidRPr="008A6B6D" w:rsidRDefault="005C2B64" w:rsidP="00441B6F">
      <w:pPr>
        <w:pStyle w:val="ReferHead"/>
        <w:spacing w:after="0"/>
        <w:jc w:val="both"/>
        <w:rPr>
          <w:rFonts w:ascii="Arial" w:hAnsi="Arial" w:cs="Arial"/>
          <w:b w:val="0"/>
          <w:sz w:val="20"/>
        </w:rPr>
      </w:pPr>
      <w:r w:rsidRPr="008A6B6D">
        <w:rPr>
          <w:rFonts w:ascii="Arial" w:hAnsi="Arial" w:cs="Arial"/>
          <w:b w:val="0"/>
          <w:caps w:val="0"/>
          <w:sz w:val="20"/>
        </w:rPr>
        <w:t>Authors have declared that no competing interests exist</w:t>
      </w:r>
      <w:r w:rsidRPr="008A6B6D">
        <w:rPr>
          <w:rFonts w:ascii="Arial" w:hAnsi="Arial" w:cs="Arial"/>
          <w:b w:val="0"/>
          <w:sz w:val="20"/>
        </w:rPr>
        <w:t>.</w:t>
      </w:r>
    </w:p>
    <w:p w14:paraId="5F7440EA" w14:textId="77777777" w:rsidR="00371FB6" w:rsidRPr="008A6B6D" w:rsidRDefault="00371FB6" w:rsidP="00441B6F">
      <w:pPr>
        <w:pStyle w:val="ReferHead"/>
        <w:spacing w:after="0"/>
        <w:jc w:val="both"/>
        <w:rPr>
          <w:rFonts w:ascii="Arial" w:hAnsi="Arial" w:cs="Arial"/>
          <w:b w:val="0"/>
          <w:caps w:val="0"/>
          <w:sz w:val="20"/>
        </w:rPr>
      </w:pPr>
    </w:p>
    <w:p w14:paraId="09EB4BAB" w14:textId="77777777" w:rsidR="005C2B64" w:rsidRPr="008A6B6D" w:rsidRDefault="005C2B64" w:rsidP="00441B6F">
      <w:pPr>
        <w:pStyle w:val="ReferHead"/>
        <w:spacing w:after="0"/>
        <w:jc w:val="both"/>
        <w:rPr>
          <w:rFonts w:ascii="Arial" w:hAnsi="Arial" w:cs="Arial"/>
          <w:b w:val="0"/>
          <w:caps w:val="0"/>
          <w:sz w:val="20"/>
        </w:rPr>
      </w:pPr>
    </w:p>
    <w:p w14:paraId="22C29FDC" w14:textId="77777777" w:rsidR="005C784C" w:rsidRPr="008A6B6D" w:rsidRDefault="005C784C" w:rsidP="00441B6F">
      <w:pPr>
        <w:pStyle w:val="ReferHead"/>
        <w:spacing w:after="0"/>
        <w:jc w:val="both"/>
        <w:rPr>
          <w:rFonts w:ascii="Arial" w:hAnsi="Arial" w:cs="Arial"/>
          <w:b w:val="0"/>
          <w:caps w:val="0"/>
          <w:sz w:val="20"/>
        </w:rPr>
      </w:pPr>
    </w:p>
    <w:p w14:paraId="1F7B925E" w14:textId="180CB224" w:rsidR="005C784C" w:rsidRPr="008A6B6D" w:rsidRDefault="005C784C" w:rsidP="00441B6F">
      <w:pPr>
        <w:pStyle w:val="ReferHead"/>
        <w:spacing w:after="0"/>
        <w:jc w:val="both"/>
        <w:rPr>
          <w:rFonts w:ascii="Arial" w:hAnsi="Arial" w:cs="Arial"/>
          <w:bCs/>
        </w:rPr>
      </w:pPr>
      <w:r w:rsidRPr="008A6B6D">
        <w:rPr>
          <w:rFonts w:ascii="Arial" w:hAnsi="Arial" w:cs="Arial"/>
          <w:bCs/>
        </w:rPr>
        <w:t>Ethical approval</w:t>
      </w:r>
      <w:r w:rsidR="007F4C1F">
        <w:rPr>
          <w:rFonts w:ascii="Arial" w:hAnsi="Arial" w:cs="Arial"/>
          <w:bCs/>
        </w:rPr>
        <w:t xml:space="preserve"> and consent </w:t>
      </w:r>
    </w:p>
    <w:p w14:paraId="62AAD2A6" w14:textId="77777777" w:rsidR="003A217D" w:rsidRPr="008A6B6D" w:rsidRDefault="003A217D" w:rsidP="003A217D">
      <w:pPr>
        <w:rPr>
          <w:rFonts w:ascii="Arial" w:hAnsi="Arial" w:cs="Arial"/>
          <w:b/>
          <w:bCs/>
          <w:lang w:eastAsia="en-PH"/>
        </w:rPr>
      </w:pPr>
    </w:p>
    <w:p w14:paraId="4E60147A" w14:textId="77777777" w:rsidR="003A217D" w:rsidRPr="008A6B6D" w:rsidRDefault="003A217D" w:rsidP="00071BD5">
      <w:pPr>
        <w:jc w:val="both"/>
        <w:rPr>
          <w:rFonts w:ascii="Arial" w:hAnsi="Arial" w:cs="Arial"/>
          <w:lang w:eastAsia="en-PH"/>
        </w:rPr>
      </w:pPr>
      <w:r w:rsidRPr="008A6B6D">
        <w:rPr>
          <w:rFonts w:ascii="Arial" w:hAnsi="Arial" w:cs="Arial"/>
          <w:lang w:eastAsia="en-PH"/>
        </w:rPr>
        <w:t xml:space="preserve">In conducting this study, the researcher must adhere to strict ethical standards to ensure the protection and dignity of all participants. The principle of informed consent is paramount; every teacher-respondent must be fully briefed on the study's objectives, the nature of their involvement, and how the data will be utilized before they voluntarily agree to participate. Because the study explores perceptions within a professional workplace, anonymity and confidentiality must be guaranteed to protect the teachers from any potential administrative repercussions or social discomfort. All personal identifiers will be removed during the data analysis phase, and findings will be reported in an aggregate or coded format to ensure that specific individuals or their professional standing at Bartolome and Manuela </w:t>
      </w:r>
      <w:proofErr w:type="spellStart"/>
      <w:r w:rsidRPr="008A6B6D">
        <w:rPr>
          <w:rFonts w:ascii="Arial" w:hAnsi="Arial" w:cs="Arial"/>
          <w:lang w:eastAsia="en-PH"/>
        </w:rPr>
        <w:t>Pañares</w:t>
      </w:r>
      <w:proofErr w:type="spellEnd"/>
      <w:r w:rsidRPr="008A6B6D">
        <w:rPr>
          <w:rFonts w:ascii="Arial" w:hAnsi="Arial" w:cs="Arial"/>
          <w:lang w:eastAsia="en-PH"/>
        </w:rPr>
        <w:t xml:space="preserve"> Memorial National High School cannot be compromised.</w:t>
      </w:r>
    </w:p>
    <w:p w14:paraId="56FE74EB" w14:textId="77777777" w:rsidR="00071BD5" w:rsidRPr="008A6B6D" w:rsidRDefault="00071BD5" w:rsidP="00071BD5">
      <w:pPr>
        <w:jc w:val="both"/>
        <w:rPr>
          <w:rFonts w:ascii="Arial" w:hAnsi="Arial" w:cs="Arial"/>
          <w:lang w:eastAsia="en-PH"/>
        </w:rPr>
      </w:pPr>
    </w:p>
    <w:p w14:paraId="7AD84B16" w14:textId="77777777" w:rsidR="003A217D" w:rsidRPr="008A6B6D" w:rsidRDefault="003A217D" w:rsidP="00071BD5">
      <w:pPr>
        <w:jc w:val="both"/>
        <w:rPr>
          <w:rFonts w:ascii="Arial" w:hAnsi="Arial" w:cs="Arial"/>
          <w:lang w:eastAsia="en-PH"/>
        </w:rPr>
      </w:pPr>
      <w:r w:rsidRPr="008A6B6D">
        <w:rPr>
          <w:rFonts w:ascii="Arial" w:hAnsi="Arial" w:cs="Arial"/>
          <w:lang w:eastAsia="en-PH"/>
        </w:rPr>
        <w:lastRenderedPageBreak/>
        <w:t>Furthermore, the researchers must uphold the principle of beneficence and non-maleficence, ensuring that the study poses no psychological or professional risk to the participants. The data collection process, whether through interviews or surveys, should be conducted at the convenience of the teachers to respect their instructional time and prevent "research fatigue." To maintain integrity and transparency, the researchers are obligated to present the findings honestly, avoiding any manipulation of data to fit a specific theoretical bias. Finally, the proposed Learning Retention Enhancement Program resulting from the study should be shared with the school community, ensuring that the research serves a reciprocal purpose of providing practical benefits to the institution and its students rather than being a purely extractive academic exercise.</w:t>
      </w:r>
    </w:p>
    <w:p w14:paraId="56C58486" w14:textId="77777777" w:rsidR="00821973" w:rsidRPr="008A6B6D" w:rsidRDefault="00821973" w:rsidP="00071BD5">
      <w:pPr>
        <w:jc w:val="both"/>
        <w:rPr>
          <w:rFonts w:ascii="Arial" w:hAnsi="Arial" w:cs="Arial"/>
          <w:lang w:eastAsia="en-PH"/>
        </w:rPr>
      </w:pPr>
    </w:p>
    <w:p w14:paraId="7279FA7E" w14:textId="77777777" w:rsidR="009179E3" w:rsidRPr="008A6B6D" w:rsidRDefault="009179E3" w:rsidP="00450144">
      <w:pPr>
        <w:rPr>
          <w:rFonts w:ascii="Times New Roman" w:hAnsi="Times New Roman"/>
          <w:b/>
        </w:rPr>
      </w:pPr>
    </w:p>
    <w:p w14:paraId="4C8BB09B" w14:textId="77777777" w:rsidR="00450144" w:rsidRPr="008A6B6D" w:rsidRDefault="00450144" w:rsidP="00450144">
      <w:pPr>
        <w:rPr>
          <w:rFonts w:ascii="Times New Roman" w:hAnsi="Times New Roman"/>
          <w:b/>
        </w:rPr>
      </w:pPr>
      <w:r w:rsidRPr="008A6B6D">
        <w:rPr>
          <w:rFonts w:ascii="Times New Roman" w:hAnsi="Times New Roman"/>
          <w:b/>
        </w:rPr>
        <w:t>Declaration of AI Use</w:t>
      </w:r>
    </w:p>
    <w:p w14:paraId="2602F577" w14:textId="77777777" w:rsidR="00450144" w:rsidRPr="008A6B6D" w:rsidRDefault="00450144" w:rsidP="00450144">
      <w:pPr>
        <w:rPr>
          <w:rFonts w:ascii="Times New Roman" w:hAnsi="Times New Roman"/>
          <w:b/>
        </w:rPr>
      </w:pPr>
    </w:p>
    <w:p w14:paraId="5A8F90D3" w14:textId="77777777" w:rsidR="00450144" w:rsidRPr="008A6B6D" w:rsidRDefault="00450144" w:rsidP="00450144">
      <w:pPr>
        <w:rPr>
          <w:rFonts w:ascii="Arial" w:hAnsi="Arial" w:cs="Arial"/>
        </w:rPr>
      </w:pPr>
      <w:r w:rsidRPr="008A6B6D">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0B3CA24" w14:textId="77777777" w:rsidR="00450144" w:rsidRPr="008A6B6D" w:rsidRDefault="00450144" w:rsidP="00071BD5">
      <w:pPr>
        <w:jc w:val="both"/>
        <w:rPr>
          <w:rFonts w:ascii="Arial" w:hAnsi="Arial" w:cs="Arial"/>
          <w:lang w:eastAsia="en-PH"/>
        </w:rPr>
      </w:pPr>
    </w:p>
    <w:p w14:paraId="1C5E989A" w14:textId="77777777" w:rsidR="00860000" w:rsidRPr="008A6B6D" w:rsidRDefault="00860000" w:rsidP="00441B6F">
      <w:pPr>
        <w:pStyle w:val="ReferHead"/>
        <w:spacing w:after="0"/>
        <w:jc w:val="both"/>
        <w:rPr>
          <w:rFonts w:ascii="Arial" w:hAnsi="Arial" w:cs="Arial"/>
        </w:rPr>
      </w:pPr>
    </w:p>
    <w:p w14:paraId="74111765" w14:textId="77777777" w:rsidR="00B01FCD" w:rsidRPr="008A6B6D" w:rsidRDefault="00B01FCD" w:rsidP="00441B6F">
      <w:pPr>
        <w:pStyle w:val="ReferHead"/>
        <w:spacing w:after="0"/>
        <w:jc w:val="both"/>
        <w:rPr>
          <w:rFonts w:ascii="Arial" w:hAnsi="Arial" w:cs="Arial"/>
        </w:rPr>
      </w:pPr>
      <w:r w:rsidRPr="008A6B6D">
        <w:rPr>
          <w:rFonts w:ascii="Arial" w:hAnsi="Arial" w:cs="Arial"/>
        </w:rPr>
        <w:t>References</w:t>
      </w:r>
    </w:p>
    <w:p w14:paraId="4EBB7A85" w14:textId="77777777" w:rsidR="00790ADA" w:rsidRPr="008A6B6D" w:rsidRDefault="00790ADA" w:rsidP="00441B6F">
      <w:pPr>
        <w:pStyle w:val="ReferHead"/>
        <w:spacing w:after="0"/>
        <w:jc w:val="both"/>
        <w:rPr>
          <w:rFonts w:ascii="Arial" w:hAnsi="Arial" w:cs="Arial"/>
        </w:rPr>
      </w:pPr>
    </w:p>
    <w:p w14:paraId="2E22551B"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Akinbobola</w:t>
      </w:r>
      <w:proofErr w:type="spellEnd"/>
      <w:r w:rsidRPr="0048448D">
        <w:rPr>
          <w:rFonts w:ascii="Times New Roman" w:hAnsi="Times New Roman"/>
          <w:sz w:val="24"/>
          <w:szCs w:val="24"/>
        </w:rPr>
        <w:t xml:space="preserve">, A. O. (2018). Mastery and action learning as strategies to sustain physics students’ retention in Nigerian senior secondary schools. </w:t>
      </w:r>
      <w:r w:rsidRPr="0048448D">
        <w:rPr>
          <w:rFonts w:ascii="Times New Roman" w:hAnsi="Times New Roman"/>
          <w:i/>
          <w:iCs/>
          <w:sz w:val="24"/>
          <w:szCs w:val="24"/>
        </w:rPr>
        <w:t>Asian Journal of Arts, Humanities and Social Studies, 1</w:t>
      </w:r>
      <w:r w:rsidRPr="0048448D">
        <w:rPr>
          <w:rFonts w:ascii="Times New Roman" w:hAnsi="Times New Roman"/>
          <w:sz w:val="24"/>
          <w:szCs w:val="24"/>
        </w:rPr>
        <w:t xml:space="preserve">(1), 9–18. </w:t>
      </w:r>
      <w:hyperlink r:id="rId14" w:history="1">
        <w:r w:rsidRPr="0048448D">
          <w:rPr>
            <w:rFonts w:ascii="Times New Roman" w:hAnsi="Times New Roman"/>
            <w:color w:val="0000FF"/>
            <w:sz w:val="24"/>
            <w:szCs w:val="24"/>
            <w:u w:val="single"/>
          </w:rPr>
          <w:t>https://doi.org/10.56557/ajahss/2018/v1i14</w:t>
        </w:r>
      </w:hyperlink>
    </w:p>
    <w:p w14:paraId="7627C05A"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Alfajaro, J. R. A., &amp; </w:t>
      </w:r>
      <w:proofErr w:type="spellStart"/>
      <w:r w:rsidRPr="0048448D">
        <w:rPr>
          <w:rFonts w:ascii="Times New Roman" w:hAnsi="Times New Roman"/>
          <w:sz w:val="24"/>
          <w:szCs w:val="24"/>
        </w:rPr>
        <w:t>Alfajaro</w:t>
      </w:r>
      <w:proofErr w:type="spellEnd"/>
      <w:r w:rsidRPr="0048448D">
        <w:rPr>
          <w:rFonts w:ascii="Times New Roman" w:hAnsi="Times New Roman"/>
          <w:sz w:val="24"/>
          <w:szCs w:val="24"/>
        </w:rPr>
        <w:t xml:space="preserve">, J. C. (2023). Teachers’ working conditions and engagement in their productivity. </w:t>
      </w:r>
      <w:r w:rsidRPr="0048448D">
        <w:rPr>
          <w:rFonts w:ascii="Times New Roman" w:hAnsi="Times New Roman"/>
          <w:i/>
          <w:iCs/>
          <w:sz w:val="24"/>
          <w:szCs w:val="24"/>
        </w:rPr>
        <w:t>International Journal of Research Publications, 122</w:t>
      </w:r>
      <w:r w:rsidRPr="0048448D">
        <w:rPr>
          <w:rFonts w:ascii="Times New Roman" w:hAnsi="Times New Roman"/>
          <w:sz w:val="24"/>
          <w:szCs w:val="24"/>
        </w:rPr>
        <w:t xml:space="preserve">(1), 126–133. </w:t>
      </w:r>
      <w:hyperlink r:id="rId15" w:history="1">
        <w:r w:rsidRPr="0048448D">
          <w:rPr>
            <w:rFonts w:ascii="Times New Roman" w:hAnsi="Times New Roman"/>
            <w:color w:val="0000FF"/>
            <w:sz w:val="24"/>
            <w:szCs w:val="24"/>
            <w:u w:val="single"/>
          </w:rPr>
          <w:t>https://doi.org/10.47119/IJRP1001221420234624</w:t>
        </w:r>
      </w:hyperlink>
    </w:p>
    <w:p w14:paraId="6E0B2AD6"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Balatero, M. F. T., &amp; </w:t>
      </w:r>
      <w:proofErr w:type="spellStart"/>
      <w:r w:rsidRPr="0048448D">
        <w:rPr>
          <w:rFonts w:ascii="Times New Roman" w:hAnsi="Times New Roman"/>
          <w:sz w:val="24"/>
          <w:szCs w:val="24"/>
        </w:rPr>
        <w:t>Bauyot</w:t>
      </w:r>
      <w:proofErr w:type="spellEnd"/>
      <w:r w:rsidRPr="0048448D">
        <w:rPr>
          <w:rFonts w:ascii="Times New Roman" w:hAnsi="Times New Roman"/>
          <w:sz w:val="24"/>
          <w:szCs w:val="24"/>
        </w:rPr>
        <w:t xml:space="preserve">, M. M. (2024). Enhancing teacher motivation: Leadership strategies in </w:t>
      </w:r>
      <w:proofErr w:type="spellStart"/>
      <w:r w:rsidRPr="0048448D">
        <w:rPr>
          <w:rFonts w:ascii="Times New Roman" w:hAnsi="Times New Roman"/>
          <w:sz w:val="24"/>
          <w:szCs w:val="24"/>
        </w:rPr>
        <w:t>Panabo</w:t>
      </w:r>
      <w:proofErr w:type="spellEnd"/>
      <w:r w:rsidRPr="0048448D">
        <w:rPr>
          <w:rFonts w:ascii="Times New Roman" w:hAnsi="Times New Roman"/>
          <w:sz w:val="24"/>
          <w:szCs w:val="24"/>
        </w:rPr>
        <w:t xml:space="preserve"> City public senior high schools. </w:t>
      </w:r>
      <w:r w:rsidRPr="0048448D">
        <w:rPr>
          <w:rFonts w:ascii="Times New Roman" w:hAnsi="Times New Roman"/>
          <w:i/>
          <w:iCs/>
          <w:sz w:val="24"/>
          <w:szCs w:val="24"/>
        </w:rPr>
        <w:t>Asian Journal of Education and Social Studies, 50</w:t>
      </w:r>
      <w:r w:rsidRPr="0048448D">
        <w:rPr>
          <w:rFonts w:ascii="Times New Roman" w:hAnsi="Times New Roman"/>
          <w:sz w:val="24"/>
          <w:szCs w:val="24"/>
        </w:rPr>
        <w:t xml:space="preserve">(7), 286–299. </w:t>
      </w:r>
      <w:hyperlink r:id="rId16" w:history="1">
        <w:r w:rsidRPr="0048448D">
          <w:rPr>
            <w:rFonts w:ascii="Times New Roman" w:hAnsi="Times New Roman"/>
            <w:color w:val="0000FF"/>
            <w:sz w:val="24"/>
            <w:szCs w:val="24"/>
            <w:u w:val="single"/>
          </w:rPr>
          <w:t>https://doi.org/10.9734/ajess/2024/v50i71463</w:t>
        </w:r>
      </w:hyperlink>
    </w:p>
    <w:p w14:paraId="3D77548B"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Barotas</w:t>
      </w:r>
      <w:proofErr w:type="spellEnd"/>
      <w:r w:rsidRPr="0048448D">
        <w:rPr>
          <w:rFonts w:ascii="Times New Roman" w:hAnsi="Times New Roman"/>
          <w:sz w:val="24"/>
          <w:szCs w:val="24"/>
        </w:rPr>
        <w:t xml:space="preserve">, C. C., &amp; Daza, S. (2025). Chemistry learning and inquiry through real-world exploration (CLAIRE) approach and Grade 9 critical thinking skills and knowledge retention. </w:t>
      </w:r>
      <w:r w:rsidRPr="0048448D">
        <w:rPr>
          <w:rFonts w:ascii="Times New Roman" w:hAnsi="Times New Roman"/>
          <w:i/>
          <w:iCs/>
          <w:sz w:val="24"/>
          <w:szCs w:val="24"/>
        </w:rPr>
        <w:t>Journal of Interdisciplinary Perspectives, 3</w:t>
      </w:r>
      <w:r w:rsidRPr="0048448D">
        <w:rPr>
          <w:rFonts w:ascii="Times New Roman" w:hAnsi="Times New Roman"/>
          <w:sz w:val="24"/>
          <w:szCs w:val="24"/>
        </w:rPr>
        <w:t xml:space="preserve">(8), 97–104. </w:t>
      </w:r>
      <w:hyperlink r:id="rId17" w:history="1">
        <w:r w:rsidRPr="0048448D">
          <w:rPr>
            <w:rFonts w:ascii="Times New Roman" w:hAnsi="Times New Roman"/>
            <w:color w:val="0000FF"/>
            <w:sz w:val="24"/>
            <w:szCs w:val="24"/>
            <w:u w:val="single"/>
          </w:rPr>
          <w:t>https://doi.org/10.69569/jip.2025.351</w:t>
        </w:r>
      </w:hyperlink>
    </w:p>
    <w:p w14:paraId="25F33BA1"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Chen, S., Sermeno, R., Hodge, K., Murphy, S., Agenbroad, A., Schweitzer, A., Tsao, L. L., &amp; Roe, A. J. (2024). Young children’s self-regulated learning benefited from a metacognition-driven science education intervention for early childhood </w:t>
      </w:r>
      <w:r w:rsidRPr="0048448D">
        <w:rPr>
          <w:rFonts w:ascii="Times New Roman" w:hAnsi="Times New Roman"/>
          <w:sz w:val="24"/>
          <w:szCs w:val="24"/>
        </w:rPr>
        <w:lastRenderedPageBreak/>
        <w:t xml:space="preserve">teachers. </w:t>
      </w:r>
      <w:r w:rsidRPr="0048448D">
        <w:rPr>
          <w:rFonts w:ascii="Times New Roman" w:hAnsi="Times New Roman"/>
          <w:i/>
          <w:iCs/>
          <w:sz w:val="24"/>
          <w:szCs w:val="24"/>
        </w:rPr>
        <w:t>Education Sciences, 14</w:t>
      </w:r>
      <w:r w:rsidRPr="0048448D">
        <w:rPr>
          <w:rFonts w:ascii="Times New Roman" w:hAnsi="Times New Roman"/>
          <w:sz w:val="24"/>
          <w:szCs w:val="24"/>
        </w:rPr>
        <w:t xml:space="preserve">(6), 565. </w:t>
      </w:r>
      <w:hyperlink r:id="rId18" w:history="1">
        <w:r w:rsidRPr="0048448D">
          <w:rPr>
            <w:rFonts w:ascii="Times New Roman" w:hAnsi="Times New Roman"/>
            <w:color w:val="0000FF"/>
            <w:sz w:val="24"/>
            <w:szCs w:val="24"/>
            <w:u w:val="single"/>
          </w:rPr>
          <w:t>https://doi.org/10.3390/educsci14060565</w:t>
        </w:r>
      </w:hyperlink>
    </w:p>
    <w:p w14:paraId="7F434EE0"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Clores, L. J., &amp; Nueva España, R. C. (2023). Assessment of teachers’ instructional practices: Towards proposing an innovative instructional model for teaching-learning material in chemistry. </w:t>
      </w:r>
      <w:r w:rsidRPr="0048448D">
        <w:rPr>
          <w:rFonts w:ascii="Times New Roman" w:hAnsi="Times New Roman"/>
          <w:i/>
          <w:iCs/>
          <w:sz w:val="24"/>
          <w:szCs w:val="24"/>
        </w:rPr>
        <w:t>Journal of Practical Studies in Education, 4</w:t>
      </w:r>
      <w:r w:rsidRPr="0048448D">
        <w:rPr>
          <w:rFonts w:ascii="Times New Roman" w:hAnsi="Times New Roman"/>
          <w:sz w:val="24"/>
          <w:szCs w:val="24"/>
        </w:rPr>
        <w:t xml:space="preserve">(4), 1–19. </w:t>
      </w:r>
      <w:hyperlink r:id="rId19" w:history="1">
        <w:r w:rsidRPr="0048448D">
          <w:rPr>
            <w:rFonts w:ascii="Times New Roman" w:hAnsi="Times New Roman"/>
            <w:color w:val="0000FF"/>
            <w:sz w:val="24"/>
            <w:szCs w:val="24"/>
            <w:u w:val="single"/>
          </w:rPr>
          <w:t>https://doi.org/10.46809/jpse.v4i4.69</w:t>
        </w:r>
      </w:hyperlink>
    </w:p>
    <w:p w14:paraId="5435DAD7"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Corral, D., &amp; Carpenter, S. K. (2025). Effects of retrieval practice on retention and application of complex educational concepts. </w:t>
      </w:r>
      <w:r w:rsidRPr="0048448D">
        <w:rPr>
          <w:rFonts w:ascii="Times New Roman" w:hAnsi="Times New Roman"/>
          <w:i/>
          <w:iCs/>
          <w:sz w:val="24"/>
          <w:szCs w:val="24"/>
        </w:rPr>
        <w:t>Learning and Instruction, 100</w:t>
      </w:r>
      <w:r w:rsidRPr="0048448D">
        <w:rPr>
          <w:rFonts w:ascii="Times New Roman" w:hAnsi="Times New Roman"/>
          <w:sz w:val="24"/>
          <w:szCs w:val="24"/>
        </w:rPr>
        <w:t xml:space="preserve">, 102219. </w:t>
      </w:r>
      <w:hyperlink r:id="rId20" w:history="1">
        <w:r w:rsidRPr="0048448D">
          <w:rPr>
            <w:rFonts w:ascii="Times New Roman" w:hAnsi="Times New Roman"/>
            <w:color w:val="0000FF"/>
            <w:sz w:val="24"/>
            <w:szCs w:val="24"/>
            <w:u w:val="single"/>
          </w:rPr>
          <w:t>https://doi.org/10.1016/j.learninstruc.2025.102219</w:t>
        </w:r>
      </w:hyperlink>
    </w:p>
    <w:p w14:paraId="31194080"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Cortés-Pérez, I., </w:t>
      </w:r>
      <w:proofErr w:type="spellStart"/>
      <w:r w:rsidRPr="0048448D">
        <w:rPr>
          <w:rFonts w:ascii="Times New Roman" w:hAnsi="Times New Roman"/>
          <w:sz w:val="24"/>
          <w:szCs w:val="24"/>
        </w:rPr>
        <w:t>Zagalaz</w:t>
      </w:r>
      <w:proofErr w:type="spellEnd"/>
      <w:r w:rsidRPr="0048448D">
        <w:rPr>
          <w:rFonts w:ascii="Times New Roman" w:hAnsi="Times New Roman"/>
          <w:sz w:val="24"/>
          <w:szCs w:val="24"/>
        </w:rPr>
        <w:t xml:space="preserve">-Anula, N., López-Ruiz, M. del C., Díaz-Fernández, Á., Obrero-Gaitán, E., &amp; Osuna-Pérez, M. C. (2023). Study based on gamification of tests through Kahoot!™ and reward game cards as an innovative tool in physiotherapy students: A preliminary study. </w:t>
      </w:r>
      <w:r w:rsidRPr="0048448D">
        <w:rPr>
          <w:rFonts w:ascii="Times New Roman" w:hAnsi="Times New Roman"/>
          <w:i/>
          <w:iCs/>
          <w:sz w:val="24"/>
          <w:szCs w:val="24"/>
        </w:rPr>
        <w:t>Healthcare, 11</w:t>
      </w:r>
      <w:r w:rsidRPr="0048448D">
        <w:rPr>
          <w:rFonts w:ascii="Times New Roman" w:hAnsi="Times New Roman"/>
          <w:sz w:val="24"/>
          <w:szCs w:val="24"/>
        </w:rPr>
        <w:t xml:space="preserve">(4), 578. </w:t>
      </w:r>
      <w:hyperlink r:id="rId21" w:history="1">
        <w:r w:rsidRPr="0048448D">
          <w:rPr>
            <w:rFonts w:ascii="Times New Roman" w:hAnsi="Times New Roman"/>
            <w:color w:val="0000FF"/>
            <w:sz w:val="24"/>
            <w:szCs w:val="24"/>
            <w:u w:val="single"/>
          </w:rPr>
          <w:t>https://doi.org/10.3390/healthcare11040578</w:t>
        </w:r>
      </w:hyperlink>
    </w:p>
    <w:p w14:paraId="30CC3289"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Datnow</w:t>
      </w:r>
      <w:proofErr w:type="spellEnd"/>
      <w:r w:rsidRPr="0048448D">
        <w:rPr>
          <w:rFonts w:ascii="Times New Roman" w:hAnsi="Times New Roman"/>
          <w:sz w:val="24"/>
          <w:szCs w:val="24"/>
        </w:rPr>
        <w:t xml:space="preserve">, A., Guerra, A. W., Cohen, S. R., Kennedy, B. C., &amp; Lee, J. (2023). Teacher sensemaking in an early education research–practice partnership. </w:t>
      </w:r>
      <w:r w:rsidRPr="0048448D">
        <w:rPr>
          <w:rFonts w:ascii="Times New Roman" w:hAnsi="Times New Roman"/>
          <w:i/>
          <w:iCs/>
          <w:sz w:val="24"/>
          <w:szCs w:val="24"/>
        </w:rPr>
        <w:t>Teachers College Record, 125</w:t>
      </w:r>
      <w:r w:rsidRPr="0048448D">
        <w:rPr>
          <w:rFonts w:ascii="Times New Roman" w:hAnsi="Times New Roman"/>
          <w:sz w:val="24"/>
          <w:szCs w:val="24"/>
        </w:rPr>
        <w:t xml:space="preserve">(2), 66–98. </w:t>
      </w:r>
      <w:hyperlink r:id="rId22" w:history="1">
        <w:r w:rsidRPr="0048448D">
          <w:rPr>
            <w:rFonts w:ascii="Times New Roman" w:hAnsi="Times New Roman"/>
            <w:color w:val="0000FF"/>
            <w:sz w:val="24"/>
            <w:szCs w:val="24"/>
            <w:u w:val="single"/>
          </w:rPr>
          <w:t>https://doi.org/10.1177/01614681231161391</w:t>
        </w:r>
      </w:hyperlink>
    </w:p>
    <w:p w14:paraId="24BB88EA"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Dicdiquin, J. B., </w:t>
      </w:r>
      <w:proofErr w:type="spellStart"/>
      <w:r w:rsidRPr="0048448D">
        <w:rPr>
          <w:rFonts w:ascii="Times New Roman" w:hAnsi="Times New Roman"/>
          <w:sz w:val="24"/>
          <w:szCs w:val="24"/>
        </w:rPr>
        <w:t>Mobo</w:t>
      </w:r>
      <w:proofErr w:type="spellEnd"/>
      <w:r w:rsidRPr="0048448D">
        <w:rPr>
          <w:rFonts w:ascii="Times New Roman" w:hAnsi="Times New Roman"/>
          <w:sz w:val="24"/>
          <w:szCs w:val="24"/>
        </w:rPr>
        <w:t xml:space="preserve">, F. D., &amp; </w:t>
      </w:r>
      <w:proofErr w:type="spellStart"/>
      <w:r w:rsidRPr="0048448D">
        <w:rPr>
          <w:rFonts w:ascii="Times New Roman" w:hAnsi="Times New Roman"/>
          <w:sz w:val="24"/>
          <w:szCs w:val="24"/>
        </w:rPr>
        <w:t>Cutillas</w:t>
      </w:r>
      <w:proofErr w:type="spellEnd"/>
      <w:r w:rsidRPr="0048448D">
        <w:rPr>
          <w:rFonts w:ascii="Times New Roman" w:hAnsi="Times New Roman"/>
          <w:sz w:val="24"/>
          <w:szCs w:val="24"/>
        </w:rPr>
        <w:t xml:space="preserve">, A. L. (2023). Evaluating the effectiveness of professional development programs for junior high school mathematics teachers in improving mathematics instruction in the K to 12 curriculum in the Philippines. </w:t>
      </w:r>
      <w:r w:rsidRPr="0048448D">
        <w:rPr>
          <w:rFonts w:ascii="Times New Roman" w:hAnsi="Times New Roman"/>
          <w:i/>
          <w:iCs/>
          <w:sz w:val="24"/>
          <w:szCs w:val="24"/>
        </w:rPr>
        <w:t>International Journal of Multidisciplinary: Applied Business and Education Research, 4</w:t>
      </w:r>
      <w:r w:rsidRPr="0048448D">
        <w:rPr>
          <w:rFonts w:ascii="Times New Roman" w:hAnsi="Times New Roman"/>
          <w:sz w:val="24"/>
          <w:szCs w:val="24"/>
        </w:rPr>
        <w:t xml:space="preserve">(4), 1143–1153. </w:t>
      </w:r>
      <w:hyperlink r:id="rId23" w:history="1">
        <w:r w:rsidRPr="0048448D">
          <w:rPr>
            <w:rFonts w:ascii="Times New Roman" w:hAnsi="Times New Roman"/>
            <w:color w:val="0000FF"/>
            <w:sz w:val="24"/>
            <w:szCs w:val="24"/>
            <w:u w:val="single"/>
          </w:rPr>
          <w:t>https://doi.org/10.11594/ijmaber.04.04.12</w:t>
        </w:r>
      </w:hyperlink>
    </w:p>
    <w:p w14:paraId="49803600"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Dionglay</w:t>
      </w:r>
      <w:proofErr w:type="spellEnd"/>
      <w:r w:rsidRPr="0048448D">
        <w:rPr>
          <w:rFonts w:ascii="Times New Roman" w:hAnsi="Times New Roman"/>
          <w:sz w:val="24"/>
          <w:szCs w:val="24"/>
        </w:rPr>
        <w:t xml:space="preserve">, P. V., &amp; Callo, E. C. (2024). Learning Recovery Plan (LRP) in addressing learning gaps of effective and efficient learning outcomes after pandemic among different school in the Division of San Pablo. </w:t>
      </w:r>
      <w:r w:rsidRPr="0048448D">
        <w:rPr>
          <w:rFonts w:ascii="Times New Roman" w:hAnsi="Times New Roman"/>
          <w:i/>
          <w:iCs/>
          <w:sz w:val="24"/>
          <w:szCs w:val="24"/>
        </w:rPr>
        <w:t>International Journal of Multidisciplinary: Applied Business and Education Research, 5</w:t>
      </w:r>
      <w:r w:rsidRPr="0048448D">
        <w:rPr>
          <w:rFonts w:ascii="Times New Roman" w:hAnsi="Times New Roman"/>
          <w:sz w:val="24"/>
          <w:szCs w:val="24"/>
        </w:rPr>
        <w:t xml:space="preserve">(10), 3933–3944. </w:t>
      </w:r>
      <w:hyperlink r:id="rId24" w:history="1">
        <w:r w:rsidRPr="0048448D">
          <w:rPr>
            <w:rFonts w:ascii="Times New Roman" w:hAnsi="Times New Roman"/>
            <w:color w:val="0000FF"/>
            <w:sz w:val="24"/>
            <w:szCs w:val="24"/>
            <w:u w:val="single"/>
          </w:rPr>
          <w:t>https://doi.org/10.11594/ijmaber.05.10.12</w:t>
        </w:r>
      </w:hyperlink>
    </w:p>
    <w:p w14:paraId="56A4724B"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Dorimana</w:t>
      </w:r>
      <w:proofErr w:type="spellEnd"/>
      <w:r w:rsidRPr="0048448D">
        <w:rPr>
          <w:rFonts w:ascii="Times New Roman" w:hAnsi="Times New Roman"/>
          <w:sz w:val="24"/>
          <w:szCs w:val="24"/>
        </w:rPr>
        <w:t xml:space="preserve">, A., </w:t>
      </w:r>
      <w:proofErr w:type="spellStart"/>
      <w:r w:rsidRPr="0048448D">
        <w:rPr>
          <w:rFonts w:ascii="Times New Roman" w:hAnsi="Times New Roman"/>
          <w:sz w:val="24"/>
          <w:szCs w:val="24"/>
        </w:rPr>
        <w:t>Uworwabayeho</w:t>
      </w:r>
      <w:proofErr w:type="spellEnd"/>
      <w:r w:rsidRPr="0048448D">
        <w:rPr>
          <w:rFonts w:ascii="Times New Roman" w:hAnsi="Times New Roman"/>
          <w:sz w:val="24"/>
          <w:szCs w:val="24"/>
        </w:rPr>
        <w:t xml:space="preserve">, A., &amp; </w:t>
      </w:r>
      <w:proofErr w:type="spellStart"/>
      <w:r w:rsidRPr="0048448D">
        <w:rPr>
          <w:rFonts w:ascii="Times New Roman" w:hAnsi="Times New Roman"/>
          <w:sz w:val="24"/>
          <w:szCs w:val="24"/>
        </w:rPr>
        <w:t>Nizeyimana</w:t>
      </w:r>
      <w:proofErr w:type="spellEnd"/>
      <w:r w:rsidRPr="0048448D">
        <w:rPr>
          <w:rFonts w:ascii="Times New Roman" w:hAnsi="Times New Roman"/>
          <w:sz w:val="24"/>
          <w:szCs w:val="24"/>
        </w:rPr>
        <w:t xml:space="preserve">, G. (2022). Teacher-student interactions for enhanced learning in upper secondary mathematics classroom. </w:t>
      </w:r>
      <w:r w:rsidRPr="0048448D">
        <w:rPr>
          <w:rFonts w:ascii="Times New Roman" w:hAnsi="Times New Roman"/>
          <w:i/>
          <w:iCs/>
          <w:sz w:val="24"/>
          <w:szCs w:val="24"/>
        </w:rPr>
        <w:t>International Journal of Evaluation and Research in Education, 11</w:t>
      </w:r>
      <w:r w:rsidRPr="0048448D">
        <w:rPr>
          <w:rFonts w:ascii="Times New Roman" w:hAnsi="Times New Roman"/>
          <w:sz w:val="24"/>
          <w:szCs w:val="24"/>
        </w:rPr>
        <w:t xml:space="preserve">(2), 507–515. </w:t>
      </w:r>
      <w:hyperlink r:id="rId25" w:history="1">
        <w:r w:rsidRPr="0048448D">
          <w:rPr>
            <w:rFonts w:ascii="Times New Roman" w:hAnsi="Times New Roman"/>
            <w:color w:val="0000FF"/>
            <w:sz w:val="24"/>
            <w:szCs w:val="24"/>
            <w:u w:val="single"/>
          </w:rPr>
          <w:t>https://doi.org/10.11591/ijere.v11i2.22152</w:t>
        </w:r>
      </w:hyperlink>
    </w:p>
    <w:p w14:paraId="7DC18E58"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Falode</w:t>
      </w:r>
      <w:proofErr w:type="spellEnd"/>
      <w:r w:rsidRPr="0048448D">
        <w:rPr>
          <w:rFonts w:ascii="Times New Roman" w:hAnsi="Times New Roman"/>
          <w:sz w:val="24"/>
          <w:szCs w:val="24"/>
        </w:rPr>
        <w:t xml:space="preserve">, O. C., &amp; Mohammed, I. A. (2023). Improving students’ geography achievement using computer simulation and animation packages in flipped classroom settings. </w:t>
      </w:r>
      <w:r w:rsidRPr="0048448D">
        <w:rPr>
          <w:rFonts w:ascii="Times New Roman" w:hAnsi="Times New Roman"/>
          <w:i/>
          <w:iCs/>
          <w:sz w:val="24"/>
          <w:szCs w:val="24"/>
        </w:rPr>
        <w:t>Journal of Digital Educational Technology, 3</w:t>
      </w:r>
      <w:r w:rsidRPr="0048448D">
        <w:rPr>
          <w:rFonts w:ascii="Times New Roman" w:hAnsi="Times New Roman"/>
          <w:sz w:val="24"/>
          <w:szCs w:val="24"/>
        </w:rPr>
        <w:t xml:space="preserve">(2), ep2303. </w:t>
      </w:r>
      <w:hyperlink r:id="rId26" w:history="1">
        <w:r w:rsidRPr="0048448D">
          <w:rPr>
            <w:rFonts w:ascii="Times New Roman" w:hAnsi="Times New Roman"/>
            <w:color w:val="0000FF"/>
            <w:sz w:val="24"/>
            <w:szCs w:val="24"/>
            <w:u w:val="single"/>
          </w:rPr>
          <w:t>https://doi.org/10.30935/jdet/13106</w:t>
        </w:r>
      </w:hyperlink>
    </w:p>
    <w:p w14:paraId="057EC3C7"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lastRenderedPageBreak/>
        <w:t xml:space="preserve">Franzoi, L., </w:t>
      </w:r>
      <w:proofErr w:type="spellStart"/>
      <w:r w:rsidRPr="0048448D">
        <w:rPr>
          <w:rFonts w:ascii="Times New Roman" w:hAnsi="Times New Roman"/>
          <w:sz w:val="24"/>
          <w:szCs w:val="24"/>
        </w:rPr>
        <w:t>Cembrani</w:t>
      </w:r>
      <w:proofErr w:type="spellEnd"/>
      <w:r w:rsidRPr="0048448D">
        <w:rPr>
          <w:rFonts w:ascii="Times New Roman" w:hAnsi="Times New Roman"/>
          <w:sz w:val="24"/>
          <w:szCs w:val="24"/>
        </w:rPr>
        <w:t xml:space="preserve">, V., Mulatti, C., &amp; </w:t>
      </w:r>
      <w:proofErr w:type="spellStart"/>
      <w:r w:rsidRPr="0048448D">
        <w:rPr>
          <w:rFonts w:ascii="Times New Roman" w:hAnsi="Times New Roman"/>
          <w:sz w:val="24"/>
          <w:szCs w:val="24"/>
        </w:rPr>
        <w:t>Treccani</w:t>
      </w:r>
      <w:proofErr w:type="spellEnd"/>
      <w:r w:rsidRPr="0048448D">
        <w:rPr>
          <w:rFonts w:ascii="Times New Roman" w:hAnsi="Times New Roman"/>
          <w:sz w:val="24"/>
          <w:szCs w:val="24"/>
        </w:rPr>
        <w:t xml:space="preserve">, B. (2025). Retrieval practice enhances learning in real primary school settings, whether distributed or not. </w:t>
      </w:r>
      <w:r w:rsidRPr="0048448D">
        <w:rPr>
          <w:rFonts w:ascii="Times New Roman" w:hAnsi="Times New Roman"/>
          <w:i/>
          <w:iCs/>
          <w:sz w:val="24"/>
          <w:szCs w:val="24"/>
        </w:rPr>
        <w:t>Frontiers in Psychology, 16</w:t>
      </w:r>
      <w:r w:rsidRPr="0048448D">
        <w:rPr>
          <w:rFonts w:ascii="Times New Roman" w:hAnsi="Times New Roman"/>
          <w:sz w:val="24"/>
          <w:szCs w:val="24"/>
        </w:rPr>
        <w:t xml:space="preserve">, 1632206. </w:t>
      </w:r>
      <w:hyperlink r:id="rId27" w:history="1">
        <w:r w:rsidRPr="0048448D">
          <w:rPr>
            <w:rFonts w:ascii="Times New Roman" w:hAnsi="Times New Roman"/>
            <w:color w:val="0000FF"/>
            <w:sz w:val="24"/>
            <w:szCs w:val="24"/>
            <w:u w:val="single"/>
          </w:rPr>
          <w:t>https://doi.org/10.3389/fpsyg.2025.1632206</w:t>
        </w:r>
      </w:hyperlink>
    </w:p>
    <w:p w14:paraId="6B295BDE"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Ginting, D., Woods, R., Barella, Y., </w:t>
      </w:r>
      <w:proofErr w:type="spellStart"/>
      <w:r w:rsidRPr="0048448D">
        <w:rPr>
          <w:rFonts w:ascii="Times New Roman" w:hAnsi="Times New Roman"/>
          <w:sz w:val="24"/>
          <w:szCs w:val="24"/>
        </w:rPr>
        <w:t>Limanta</w:t>
      </w:r>
      <w:proofErr w:type="spellEnd"/>
      <w:r w:rsidRPr="0048448D">
        <w:rPr>
          <w:rFonts w:ascii="Times New Roman" w:hAnsi="Times New Roman"/>
          <w:sz w:val="24"/>
          <w:szCs w:val="24"/>
        </w:rPr>
        <w:t xml:space="preserve">, L. S., </w:t>
      </w:r>
      <w:proofErr w:type="spellStart"/>
      <w:r w:rsidRPr="0048448D">
        <w:rPr>
          <w:rFonts w:ascii="Times New Roman" w:hAnsi="Times New Roman"/>
          <w:sz w:val="24"/>
          <w:szCs w:val="24"/>
        </w:rPr>
        <w:t>Madkur</w:t>
      </w:r>
      <w:proofErr w:type="spellEnd"/>
      <w:r w:rsidRPr="0048448D">
        <w:rPr>
          <w:rFonts w:ascii="Times New Roman" w:hAnsi="Times New Roman"/>
          <w:sz w:val="24"/>
          <w:szCs w:val="24"/>
        </w:rPr>
        <w:t xml:space="preserve">, A., &amp; How, H. E. (2024). The effects of digital storytelling on the retention and transferability of student knowledge. </w:t>
      </w:r>
      <w:r w:rsidRPr="0048448D">
        <w:rPr>
          <w:rFonts w:ascii="Times New Roman" w:hAnsi="Times New Roman"/>
          <w:i/>
          <w:iCs/>
          <w:sz w:val="24"/>
          <w:szCs w:val="24"/>
        </w:rPr>
        <w:t>SAGE Open, 14</w:t>
      </w:r>
      <w:r w:rsidRPr="0048448D">
        <w:rPr>
          <w:rFonts w:ascii="Times New Roman" w:hAnsi="Times New Roman"/>
          <w:sz w:val="24"/>
          <w:szCs w:val="24"/>
        </w:rPr>
        <w:t xml:space="preserve">(3). </w:t>
      </w:r>
      <w:hyperlink r:id="rId28" w:history="1">
        <w:r w:rsidRPr="0048448D">
          <w:rPr>
            <w:rFonts w:ascii="Times New Roman" w:hAnsi="Times New Roman"/>
            <w:color w:val="0000FF"/>
            <w:sz w:val="24"/>
            <w:szCs w:val="24"/>
            <w:u w:val="single"/>
          </w:rPr>
          <w:t>https://doi.org/10.1177/21582440241271267</w:t>
        </w:r>
      </w:hyperlink>
    </w:p>
    <w:p w14:paraId="2CB644CB"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Glaser, J., &amp; Richter, T. (2025). The testing effect in the lecture hall: Does it transfer to content studied but not practiced? </w:t>
      </w:r>
      <w:r w:rsidRPr="0048448D">
        <w:rPr>
          <w:rFonts w:ascii="Times New Roman" w:hAnsi="Times New Roman"/>
          <w:i/>
          <w:iCs/>
          <w:sz w:val="24"/>
          <w:szCs w:val="24"/>
        </w:rPr>
        <w:t>Teaching of Psychology, 52</w:t>
      </w:r>
      <w:r w:rsidRPr="0048448D">
        <w:rPr>
          <w:rFonts w:ascii="Times New Roman" w:hAnsi="Times New Roman"/>
          <w:sz w:val="24"/>
          <w:szCs w:val="24"/>
        </w:rPr>
        <w:t xml:space="preserve">(1), 17–26. </w:t>
      </w:r>
      <w:hyperlink r:id="rId29" w:history="1">
        <w:r w:rsidRPr="0048448D">
          <w:rPr>
            <w:rFonts w:ascii="Times New Roman" w:hAnsi="Times New Roman"/>
            <w:color w:val="0000FF"/>
            <w:sz w:val="24"/>
            <w:szCs w:val="24"/>
            <w:u w:val="single"/>
          </w:rPr>
          <w:t>https://doi.org/10.1177/00986283231218943</w:t>
        </w:r>
      </w:hyperlink>
    </w:p>
    <w:p w14:paraId="6779DE02"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b/>
          <w:bCs/>
          <w:sz w:val="24"/>
          <w:szCs w:val="24"/>
        </w:rPr>
        <w:t>[Year changed from 2023 to 2025]</w:t>
      </w:r>
    </w:p>
    <w:p w14:paraId="4946F0C1"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Goyal, N. (2026). The interaction effect of multiple intelligence profiles and multimodal instructional design on long-term retention: A quantitative research review. </w:t>
      </w:r>
      <w:r w:rsidRPr="0048448D">
        <w:rPr>
          <w:rFonts w:ascii="Times New Roman" w:hAnsi="Times New Roman"/>
          <w:i/>
          <w:iCs/>
          <w:sz w:val="24"/>
          <w:szCs w:val="24"/>
        </w:rPr>
        <w:t>Asian Journal of Education and Social Studies, 52</w:t>
      </w:r>
      <w:r w:rsidRPr="0048448D">
        <w:rPr>
          <w:rFonts w:ascii="Times New Roman" w:hAnsi="Times New Roman"/>
          <w:sz w:val="24"/>
          <w:szCs w:val="24"/>
        </w:rPr>
        <w:t xml:space="preserve">(5), 861–877. </w:t>
      </w:r>
      <w:hyperlink r:id="rId30" w:history="1">
        <w:r w:rsidRPr="0048448D">
          <w:rPr>
            <w:rFonts w:ascii="Times New Roman" w:hAnsi="Times New Roman"/>
            <w:color w:val="0000FF"/>
            <w:sz w:val="24"/>
            <w:szCs w:val="24"/>
            <w:u w:val="single"/>
          </w:rPr>
          <w:t>https://doi.org/10.9734/ajess/2026/v52i53064</w:t>
        </w:r>
      </w:hyperlink>
    </w:p>
    <w:p w14:paraId="418F09E2"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Handayani</w:t>
      </w:r>
      <w:proofErr w:type="spellEnd"/>
      <w:r w:rsidRPr="0048448D">
        <w:rPr>
          <w:rFonts w:ascii="Times New Roman" w:hAnsi="Times New Roman"/>
          <w:sz w:val="24"/>
          <w:szCs w:val="24"/>
        </w:rPr>
        <w:t xml:space="preserve">, B. S., &amp; Purwati, N. (2022). The effectiveness of brain-based learning model (BBL) integrated with the whole brain teaching (WBT) model toward students’ retention. </w:t>
      </w:r>
      <w:proofErr w:type="spellStart"/>
      <w:r w:rsidRPr="0048448D">
        <w:rPr>
          <w:rFonts w:ascii="Times New Roman" w:hAnsi="Times New Roman"/>
          <w:i/>
          <w:iCs/>
          <w:sz w:val="24"/>
          <w:szCs w:val="24"/>
        </w:rPr>
        <w:t>Biosfer</w:t>
      </w:r>
      <w:proofErr w:type="spellEnd"/>
      <w:r w:rsidRPr="0048448D">
        <w:rPr>
          <w:rFonts w:ascii="Times New Roman" w:hAnsi="Times New Roman"/>
          <w:i/>
          <w:iCs/>
          <w:sz w:val="24"/>
          <w:szCs w:val="24"/>
        </w:rPr>
        <w:t xml:space="preserve">: </w:t>
      </w:r>
      <w:proofErr w:type="spellStart"/>
      <w:r w:rsidRPr="0048448D">
        <w:rPr>
          <w:rFonts w:ascii="Times New Roman" w:hAnsi="Times New Roman"/>
          <w:i/>
          <w:iCs/>
          <w:sz w:val="24"/>
          <w:szCs w:val="24"/>
        </w:rPr>
        <w:t>Jurnal</w:t>
      </w:r>
      <w:proofErr w:type="spellEnd"/>
      <w:r w:rsidRPr="0048448D">
        <w:rPr>
          <w:rFonts w:ascii="Times New Roman" w:hAnsi="Times New Roman"/>
          <w:i/>
          <w:iCs/>
          <w:sz w:val="24"/>
          <w:szCs w:val="24"/>
        </w:rPr>
        <w:t xml:space="preserve"> Pendidikan </w:t>
      </w:r>
      <w:proofErr w:type="spellStart"/>
      <w:r w:rsidRPr="0048448D">
        <w:rPr>
          <w:rFonts w:ascii="Times New Roman" w:hAnsi="Times New Roman"/>
          <w:i/>
          <w:iCs/>
          <w:sz w:val="24"/>
          <w:szCs w:val="24"/>
        </w:rPr>
        <w:t>Biologi</w:t>
      </w:r>
      <w:proofErr w:type="spellEnd"/>
      <w:r w:rsidRPr="0048448D">
        <w:rPr>
          <w:rFonts w:ascii="Times New Roman" w:hAnsi="Times New Roman"/>
          <w:i/>
          <w:iCs/>
          <w:sz w:val="24"/>
          <w:szCs w:val="24"/>
        </w:rPr>
        <w:t>, 15</w:t>
      </w:r>
      <w:r w:rsidRPr="0048448D">
        <w:rPr>
          <w:rFonts w:ascii="Times New Roman" w:hAnsi="Times New Roman"/>
          <w:sz w:val="24"/>
          <w:szCs w:val="24"/>
        </w:rPr>
        <w:t xml:space="preserve">(1), 36–43. </w:t>
      </w:r>
      <w:hyperlink r:id="rId31" w:history="1">
        <w:r w:rsidRPr="0048448D">
          <w:rPr>
            <w:rFonts w:ascii="Times New Roman" w:hAnsi="Times New Roman"/>
            <w:color w:val="0000FF"/>
            <w:sz w:val="24"/>
            <w:szCs w:val="24"/>
            <w:u w:val="single"/>
          </w:rPr>
          <w:t>https://doi.org/10.21009/biosferjpb.26030</w:t>
        </w:r>
      </w:hyperlink>
    </w:p>
    <w:p w14:paraId="277B00EA"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Howley, D., Dyson, B., &amp; Baek, S. (2025). All the better for it: Exploring one teacher-researcher’s evolving efforts to promote meaningful physical education. </w:t>
      </w:r>
      <w:r w:rsidRPr="0048448D">
        <w:rPr>
          <w:rFonts w:ascii="Times New Roman" w:hAnsi="Times New Roman"/>
          <w:i/>
          <w:iCs/>
          <w:sz w:val="24"/>
          <w:szCs w:val="24"/>
        </w:rPr>
        <w:t>European Physical Education Review, 31</w:t>
      </w:r>
      <w:r w:rsidRPr="0048448D">
        <w:rPr>
          <w:rFonts w:ascii="Times New Roman" w:hAnsi="Times New Roman"/>
          <w:sz w:val="24"/>
          <w:szCs w:val="24"/>
        </w:rPr>
        <w:t xml:space="preserve">(1), 70–86. </w:t>
      </w:r>
      <w:hyperlink r:id="rId32" w:history="1">
        <w:r w:rsidRPr="0048448D">
          <w:rPr>
            <w:rFonts w:ascii="Times New Roman" w:hAnsi="Times New Roman"/>
            <w:color w:val="0000FF"/>
            <w:sz w:val="24"/>
            <w:szCs w:val="24"/>
            <w:u w:val="single"/>
          </w:rPr>
          <w:t>https://doi.org/10.1177/1356336X241247757</w:t>
        </w:r>
      </w:hyperlink>
    </w:p>
    <w:p w14:paraId="6385FF4D"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Kurniawan, D. D., </w:t>
      </w:r>
      <w:proofErr w:type="spellStart"/>
      <w:r w:rsidRPr="0048448D">
        <w:rPr>
          <w:rFonts w:ascii="Times New Roman" w:hAnsi="Times New Roman"/>
          <w:sz w:val="24"/>
          <w:szCs w:val="24"/>
        </w:rPr>
        <w:t>Nopembri</w:t>
      </w:r>
      <w:proofErr w:type="spellEnd"/>
      <w:r w:rsidRPr="0048448D">
        <w:rPr>
          <w:rFonts w:ascii="Times New Roman" w:hAnsi="Times New Roman"/>
          <w:sz w:val="24"/>
          <w:szCs w:val="24"/>
        </w:rPr>
        <w:t xml:space="preserve">, S., &amp; Purnomo, E. (2022). Survey of junior high school athletic learning quality. </w:t>
      </w:r>
      <w:r w:rsidRPr="0048448D">
        <w:rPr>
          <w:rFonts w:ascii="Times New Roman" w:hAnsi="Times New Roman"/>
          <w:i/>
          <w:iCs/>
          <w:sz w:val="24"/>
          <w:szCs w:val="24"/>
        </w:rPr>
        <w:t>International Journal of Human Movement and Sports Sciences, 10</w:t>
      </w:r>
      <w:r w:rsidRPr="0048448D">
        <w:rPr>
          <w:rFonts w:ascii="Times New Roman" w:hAnsi="Times New Roman"/>
          <w:sz w:val="24"/>
          <w:szCs w:val="24"/>
        </w:rPr>
        <w:t xml:space="preserve">(5), 1075–1084. </w:t>
      </w:r>
      <w:hyperlink r:id="rId33" w:history="1">
        <w:r w:rsidRPr="0048448D">
          <w:rPr>
            <w:rFonts w:ascii="Times New Roman" w:hAnsi="Times New Roman"/>
            <w:color w:val="0000FF"/>
            <w:sz w:val="24"/>
            <w:szCs w:val="24"/>
            <w:u w:val="single"/>
          </w:rPr>
          <w:t>https://doi.org/10.13189/saj.2022.100526</w:t>
        </w:r>
      </w:hyperlink>
    </w:p>
    <w:p w14:paraId="26A00F0E"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Kwarteng, M. (2025). Practical application of Piaget’s cognitive theory and Vygotsky’s sociocultural theory in classroom pedagogy. </w:t>
      </w:r>
      <w:r w:rsidRPr="0048448D">
        <w:rPr>
          <w:rFonts w:ascii="Times New Roman" w:hAnsi="Times New Roman"/>
          <w:i/>
          <w:iCs/>
          <w:sz w:val="24"/>
          <w:szCs w:val="24"/>
        </w:rPr>
        <w:t>Journal of Studies in Education, 15</w:t>
      </w:r>
      <w:r w:rsidRPr="0048448D">
        <w:rPr>
          <w:rFonts w:ascii="Times New Roman" w:hAnsi="Times New Roman"/>
          <w:sz w:val="24"/>
          <w:szCs w:val="24"/>
        </w:rPr>
        <w:t xml:space="preserve">(2), 68. </w:t>
      </w:r>
      <w:hyperlink r:id="rId34" w:history="1">
        <w:r w:rsidRPr="0048448D">
          <w:rPr>
            <w:rFonts w:ascii="Times New Roman" w:hAnsi="Times New Roman"/>
            <w:color w:val="0000FF"/>
            <w:sz w:val="24"/>
            <w:szCs w:val="24"/>
            <w:u w:val="single"/>
          </w:rPr>
          <w:t>https://doi.org/10.5296/jse.v15i2.22703</w:t>
        </w:r>
      </w:hyperlink>
    </w:p>
    <w:p w14:paraId="656E5D02"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Lasut</w:t>
      </w:r>
      <w:proofErr w:type="spellEnd"/>
      <w:r w:rsidRPr="0048448D">
        <w:rPr>
          <w:rFonts w:ascii="Times New Roman" w:hAnsi="Times New Roman"/>
          <w:sz w:val="24"/>
          <w:szCs w:val="24"/>
        </w:rPr>
        <w:t xml:space="preserve">, E. M. M., &amp; </w:t>
      </w:r>
      <w:proofErr w:type="spellStart"/>
      <w:r w:rsidRPr="0048448D">
        <w:rPr>
          <w:rFonts w:ascii="Times New Roman" w:hAnsi="Times New Roman"/>
          <w:sz w:val="24"/>
          <w:szCs w:val="24"/>
        </w:rPr>
        <w:t>Maramis</w:t>
      </w:r>
      <w:proofErr w:type="spellEnd"/>
      <w:r w:rsidRPr="0048448D">
        <w:rPr>
          <w:rFonts w:ascii="Times New Roman" w:hAnsi="Times New Roman"/>
          <w:sz w:val="24"/>
          <w:szCs w:val="24"/>
        </w:rPr>
        <w:t xml:space="preserve">, J. G. (2024). Parents’ involvement during science online learning of junior high school students and their learning outcome. </w:t>
      </w:r>
      <w:proofErr w:type="spellStart"/>
      <w:r w:rsidRPr="0048448D">
        <w:rPr>
          <w:rFonts w:ascii="Times New Roman" w:hAnsi="Times New Roman"/>
          <w:i/>
          <w:iCs/>
          <w:sz w:val="24"/>
          <w:szCs w:val="24"/>
        </w:rPr>
        <w:t>Jurnal</w:t>
      </w:r>
      <w:proofErr w:type="spellEnd"/>
      <w:r w:rsidRPr="0048448D">
        <w:rPr>
          <w:rFonts w:ascii="Times New Roman" w:hAnsi="Times New Roman"/>
          <w:i/>
          <w:iCs/>
          <w:sz w:val="24"/>
          <w:szCs w:val="24"/>
        </w:rPr>
        <w:t xml:space="preserve"> </w:t>
      </w:r>
      <w:proofErr w:type="spellStart"/>
      <w:r w:rsidRPr="0048448D">
        <w:rPr>
          <w:rFonts w:ascii="Times New Roman" w:hAnsi="Times New Roman"/>
          <w:i/>
          <w:iCs/>
          <w:sz w:val="24"/>
          <w:szCs w:val="24"/>
        </w:rPr>
        <w:t>Penelitian</w:t>
      </w:r>
      <w:proofErr w:type="spellEnd"/>
      <w:r w:rsidRPr="0048448D">
        <w:rPr>
          <w:rFonts w:ascii="Times New Roman" w:hAnsi="Times New Roman"/>
          <w:i/>
          <w:iCs/>
          <w:sz w:val="24"/>
          <w:szCs w:val="24"/>
        </w:rPr>
        <w:t xml:space="preserve"> Pendidikan IPA, 10</w:t>
      </w:r>
      <w:r w:rsidRPr="0048448D">
        <w:rPr>
          <w:rFonts w:ascii="Times New Roman" w:hAnsi="Times New Roman"/>
          <w:sz w:val="24"/>
          <w:szCs w:val="24"/>
        </w:rPr>
        <w:t>(</w:t>
      </w:r>
      <w:proofErr w:type="spellStart"/>
      <w:r w:rsidRPr="0048448D">
        <w:rPr>
          <w:rFonts w:ascii="Times New Roman" w:hAnsi="Times New Roman"/>
          <w:sz w:val="24"/>
          <w:szCs w:val="24"/>
        </w:rPr>
        <w:t>SpecialIssue</w:t>
      </w:r>
      <w:proofErr w:type="spellEnd"/>
      <w:r w:rsidRPr="0048448D">
        <w:rPr>
          <w:rFonts w:ascii="Times New Roman" w:hAnsi="Times New Roman"/>
          <w:sz w:val="24"/>
          <w:szCs w:val="24"/>
        </w:rPr>
        <w:t xml:space="preserve">), 514–520. </w:t>
      </w:r>
      <w:hyperlink r:id="rId35" w:history="1">
        <w:r w:rsidRPr="0048448D">
          <w:rPr>
            <w:rFonts w:ascii="Times New Roman" w:hAnsi="Times New Roman"/>
            <w:color w:val="0000FF"/>
            <w:sz w:val="24"/>
            <w:szCs w:val="24"/>
            <w:u w:val="single"/>
          </w:rPr>
          <w:t>https://doi.org/10.29303/jppipa.v10iSpecialIssue.8317</w:t>
        </w:r>
      </w:hyperlink>
    </w:p>
    <w:p w14:paraId="55F2F629"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lastRenderedPageBreak/>
        <w:t xml:space="preserve">Ledesma, J. T. (2025). Implementation and effectiveness of National Learning Camp (NLC): Their influence on learners’ performance. </w:t>
      </w:r>
      <w:r w:rsidRPr="0048448D">
        <w:rPr>
          <w:rFonts w:ascii="Times New Roman" w:hAnsi="Times New Roman"/>
          <w:i/>
          <w:iCs/>
          <w:sz w:val="24"/>
          <w:szCs w:val="24"/>
        </w:rPr>
        <w:t>International Journal of Educational Contemporary Explorations, 2</w:t>
      </w:r>
      <w:r w:rsidRPr="0048448D">
        <w:rPr>
          <w:rFonts w:ascii="Times New Roman" w:hAnsi="Times New Roman"/>
          <w:sz w:val="24"/>
          <w:szCs w:val="24"/>
        </w:rPr>
        <w:t xml:space="preserve">(1), 1–10. </w:t>
      </w:r>
      <w:hyperlink r:id="rId36" w:history="1">
        <w:r w:rsidRPr="0048448D">
          <w:rPr>
            <w:rFonts w:ascii="Times New Roman" w:hAnsi="Times New Roman"/>
            <w:color w:val="0000FF"/>
            <w:sz w:val="24"/>
            <w:szCs w:val="24"/>
            <w:u w:val="single"/>
          </w:rPr>
          <w:t>https://doi.org/10.69481/OLDP2064</w:t>
        </w:r>
      </w:hyperlink>
    </w:p>
    <w:p w14:paraId="31D3C347"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Martin, N. A., Jr., </w:t>
      </w:r>
      <w:proofErr w:type="spellStart"/>
      <w:r w:rsidRPr="0048448D">
        <w:rPr>
          <w:rFonts w:ascii="Times New Roman" w:hAnsi="Times New Roman"/>
          <w:sz w:val="24"/>
          <w:szCs w:val="24"/>
        </w:rPr>
        <w:t>Ventayen</w:t>
      </w:r>
      <w:proofErr w:type="spellEnd"/>
      <w:r w:rsidRPr="0048448D">
        <w:rPr>
          <w:rFonts w:ascii="Times New Roman" w:hAnsi="Times New Roman"/>
          <w:sz w:val="24"/>
          <w:szCs w:val="24"/>
        </w:rPr>
        <w:t xml:space="preserve">, R. J. M., Patacsil, D. H., &amp; Patacsil, E. H. (2021). The development of game </w:t>
      </w:r>
      <w:proofErr w:type="spellStart"/>
      <w:r w:rsidRPr="0048448D">
        <w:rPr>
          <w:rFonts w:ascii="Times New Roman" w:hAnsi="Times New Roman"/>
          <w:sz w:val="24"/>
          <w:szCs w:val="24"/>
        </w:rPr>
        <w:t>estrategia</w:t>
      </w:r>
      <w:proofErr w:type="spellEnd"/>
      <w:r w:rsidRPr="0048448D">
        <w:rPr>
          <w:rFonts w:ascii="Times New Roman" w:hAnsi="Times New Roman"/>
          <w:sz w:val="24"/>
          <w:szCs w:val="24"/>
        </w:rPr>
        <w:t xml:space="preserve"> in the senior high school learning competencies: Basis for digital intelligence (phase one). </w:t>
      </w:r>
      <w:r w:rsidRPr="0048448D">
        <w:rPr>
          <w:rFonts w:ascii="Times New Roman" w:hAnsi="Times New Roman"/>
          <w:i/>
          <w:iCs/>
          <w:sz w:val="24"/>
          <w:szCs w:val="24"/>
        </w:rPr>
        <w:t>Journal of Physics: Conference Series, 1860</w:t>
      </w:r>
      <w:r w:rsidRPr="0048448D">
        <w:rPr>
          <w:rFonts w:ascii="Times New Roman" w:hAnsi="Times New Roman"/>
          <w:sz w:val="24"/>
          <w:szCs w:val="24"/>
        </w:rPr>
        <w:t xml:space="preserve">(1), 012021. </w:t>
      </w:r>
      <w:hyperlink r:id="rId37" w:history="1">
        <w:r w:rsidRPr="0048448D">
          <w:rPr>
            <w:rFonts w:ascii="Times New Roman" w:hAnsi="Times New Roman"/>
            <w:color w:val="0000FF"/>
            <w:sz w:val="24"/>
            <w:szCs w:val="24"/>
            <w:u w:val="single"/>
          </w:rPr>
          <w:t>https://doi.org/10.1088/1742-6596/1860/1/012021</w:t>
        </w:r>
      </w:hyperlink>
    </w:p>
    <w:p w14:paraId="5FE73A02"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Michalsky, T. (2021). Preservice and </w:t>
      </w:r>
      <w:proofErr w:type="spellStart"/>
      <w:r w:rsidRPr="0048448D">
        <w:rPr>
          <w:rFonts w:ascii="Times New Roman" w:hAnsi="Times New Roman"/>
          <w:sz w:val="24"/>
          <w:szCs w:val="24"/>
        </w:rPr>
        <w:t>inservice</w:t>
      </w:r>
      <w:proofErr w:type="spellEnd"/>
      <w:r w:rsidRPr="0048448D">
        <w:rPr>
          <w:rFonts w:ascii="Times New Roman" w:hAnsi="Times New Roman"/>
          <w:sz w:val="24"/>
          <w:szCs w:val="24"/>
        </w:rPr>
        <w:t xml:space="preserve"> teachers’ noticing of explicit instruction for self-regulated learning strategies. </w:t>
      </w:r>
      <w:r w:rsidRPr="0048448D">
        <w:rPr>
          <w:rFonts w:ascii="Times New Roman" w:hAnsi="Times New Roman"/>
          <w:i/>
          <w:iCs/>
          <w:sz w:val="24"/>
          <w:szCs w:val="24"/>
        </w:rPr>
        <w:t>Frontiers in Psychology, 12</w:t>
      </w:r>
      <w:r w:rsidRPr="0048448D">
        <w:rPr>
          <w:rFonts w:ascii="Times New Roman" w:hAnsi="Times New Roman"/>
          <w:sz w:val="24"/>
          <w:szCs w:val="24"/>
        </w:rPr>
        <w:t xml:space="preserve">, 630197. </w:t>
      </w:r>
      <w:hyperlink r:id="rId38" w:history="1">
        <w:r w:rsidRPr="0048448D">
          <w:rPr>
            <w:rFonts w:ascii="Times New Roman" w:hAnsi="Times New Roman"/>
            <w:color w:val="0000FF"/>
            <w:sz w:val="24"/>
            <w:szCs w:val="24"/>
            <w:u w:val="single"/>
          </w:rPr>
          <w:t>https://doi.org/10.3389/fpsyg.2021.630197</w:t>
        </w:r>
      </w:hyperlink>
    </w:p>
    <w:p w14:paraId="44A94AFF"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Monteiro, V., Carvalho, C., &amp; Santos, N. N. (2021). Creating a supportive classroom environment through effective feedback: Effects on students’ school identification and behavioral engagement. </w:t>
      </w:r>
      <w:r w:rsidRPr="0048448D">
        <w:rPr>
          <w:rFonts w:ascii="Times New Roman" w:hAnsi="Times New Roman"/>
          <w:i/>
          <w:iCs/>
          <w:sz w:val="24"/>
          <w:szCs w:val="24"/>
        </w:rPr>
        <w:t>Frontiers in Education, 6</w:t>
      </w:r>
      <w:r w:rsidRPr="0048448D">
        <w:rPr>
          <w:rFonts w:ascii="Times New Roman" w:hAnsi="Times New Roman"/>
          <w:sz w:val="24"/>
          <w:szCs w:val="24"/>
        </w:rPr>
        <w:t xml:space="preserve">, 661736. </w:t>
      </w:r>
      <w:hyperlink r:id="rId39" w:history="1">
        <w:r w:rsidRPr="0048448D">
          <w:rPr>
            <w:rFonts w:ascii="Times New Roman" w:hAnsi="Times New Roman"/>
            <w:color w:val="0000FF"/>
            <w:sz w:val="24"/>
            <w:szCs w:val="24"/>
            <w:u w:val="single"/>
          </w:rPr>
          <w:t>https://doi.org/10.3389/feduc.2021.661736</w:t>
        </w:r>
      </w:hyperlink>
    </w:p>
    <w:p w14:paraId="2DAF0489"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Naidoo, D., &amp; Mabaso, M. (2023). Social constructivist pedagogy in business studies classrooms – Teachers’ experiences and practices. </w:t>
      </w:r>
      <w:r w:rsidRPr="0048448D">
        <w:rPr>
          <w:rFonts w:ascii="Times New Roman" w:hAnsi="Times New Roman"/>
          <w:i/>
          <w:iCs/>
          <w:sz w:val="24"/>
          <w:szCs w:val="24"/>
        </w:rPr>
        <w:t>Perspectives in Education, 41</w:t>
      </w:r>
      <w:r w:rsidRPr="0048448D">
        <w:rPr>
          <w:rFonts w:ascii="Times New Roman" w:hAnsi="Times New Roman"/>
          <w:sz w:val="24"/>
          <w:szCs w:val="24"/>
        </w:rPr>
        <w:t xml:space="preserve">(2), 62–76. </w:t>
      </w:r>
      <w:hyperlink r:id="rId40" w:history="1">
        <w:r w:rsidRPr="0048448D">
          <w:rPr>
            <w:rFonts w:ascii="Times New Roman" w:hAnsi="Times New Roman"/>
            <w:color w:val="0000FF"/>
            <w:sz w:val="24"/>
            <w:szCs w:val="24"/>
            <w:u w:val="single"/>
          </w:rPr>
          <w:t>https://doi.org/10.38140/pie.v41i2.7151</w:t>
        </w:r>
      </w:hyperlink>
    </w:p>
    <w:p w14:paraId="2E4DC4D3"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Novitasari</w:t>
      </w:r>
      <w:proofErr w:type="spellEnd"/>
      <w:r w:rsidRPr="0048448D">
        <w:rPr>
          <w:rFonts w:ascii="Times New Roman" w:hAnsi="Times New Roman"/>
          <w:sz w:val="24"/>
          <w:szCs w:val="24"/>
        </w:rPr>
        <w:t xml:space="preserve">, D., Petrus, I., &amp; </w:t>
      </w:r>
      <w:proofErr w:type="spellStart"/>
      <w:r w:rsidRPr="0048448D">
        <w:rPr>
          <w:rFonts w:ascii="Times New Roman" w:hAnsi="Times New Roman"/>
          <w:sz w:val="24"/>
          <w:szCs w:val="24"/>
        </w:rPr>
        <w:t>Vianty</w:t>
      </w:r>
      <w:proofErr w:type="spellEnd"/>
      <w:r w:rsidRPr="0048448D">
        <w:rPr>
          <w:rFonts w:ascii="Times New Roman" w:hAnsi="Times New Roman"/>
          <w:sz w:val="24"/>
          <w:szCs w:val="24"/>
        </w:rPr>
        <w:t xml:space="preserve">, M. (2022). The implementation of scientific approach of the 2013 curriculum at state junior high schools. </w:t>
      </w:r>
      <w:r w:rsidRPr="0048448D">
        <w:rPr>
          <w:rFonts w:ascii="Times New Roman" w:hAnsi="Times New Roman"/>
          <w:i/>
          <w:iCs/>
          <w:sz w:val="24"/>
          <w:szCs w:val="24"/>
        </w:rPr>
        <w:t>English Review: Journal of English Education, 10</w:t>
      </w:r>
      <w:r w:rsidRPr="0048448D">
        <w:rPr>
          <w:rFonts w:ascii="Times New Roman" w:hAnsi="Times New Roman"/>
          <w:sz w:val="24"/>
          <w:szCs w:val="24"/>
        </w:rPr>
        <w:t xml:space="preserve">(2), 521–532. </w:t>
      </w:r>
      <w:hyperlink r:id="rId41" w:history="1">
        <w:r w:rsidRPr="0048448D">
          <w:rPr>
            <w:rFonts w:ascii="Times New Roman" w:hAnsi="Times New Roman"/>
            <w:color w:val="0000FF"/>
            <w:sz w:val="24"/>
            <w:szCs w:val="24"/>
            <w:u w:val="single"/>
          </w:rPr>
          <w:t>https://doi.org/10.25134/erjee.v10i2.6252</w:t>
        </w:r>
      </w:hyperlink>
    </w:p>
    <w:p w14:paraId="7884B04F"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Pan, H.-L. W. (2023). Advancing student learning power by operating classrooms as learning communities: Mediated effects of engagement activities and social relations. </w:t>
      </w:r>
      <w:r w:rsidRPr="0048448D">
        <w:rPr>
          <w:rFonts w:ascii="Times New Roman" w:hAnsi="Times New Roman"/>
          <w:i/>
          <w:iCs/>
          <w:sz w:val="24"/>
          <w:szCs w:val="24"/>
        </w:rPr>
        <w:t>Sustainability, 15</w:t>
      </w:r>
      <w:r w:rsidRPr="0048448D">
        <w:rPr>
          <w:rFonts w:ascii="Times New Roman" w:hAnsi="Times New Roman"/>
          <w:sz w:val="24"/>
          <w:szCs w:val="24"/>
        </w:rPr>
        <w:t xml:space="preserve">(3), 2461. </w:t>
      </w:r>
      <w:hyperlink r:id="rId42" w:history="1">
        <w:r w:rsidRPr="0048448D">
          <w:rPr>
            <w:rFonts w:ascii="Times New Roman" w:hAnsi="Times New Roman"/>
            <w:color w:val="0000FF"/>
            <w:sz w:val="24"/>
            <w:szCs w:val="24"/>
            <w:u w:val="single"/>
          </w:rPr>
          <w:t>https://doi.org/10.3390/su15032461</w:t>
        </w:r>
      </w:hyperlink>
    </w:p>
    <w:p w14:paraId="156CC8DA"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Pangan, E. T., Belches, H., &amp; Fernandez, E. (2025). Adaptation to curriculum revisions: A phenomenological study. </w:t>
      </w:r>
      <w:r w:rsidRPr="0048448D">
        <w:rPr>
          <w:rFonts w:ascii="Times New Roman" w:hAnsi="Times New Roman"/>
          <w:i/>
          <w:iCs/>
          <w:sz w:val="24"/>
          <w:szCs w:val="24"/>
        </w:rPr>
        <w:t>Psychology and Education: A Multidisciplinary Journal, 45</w:t>
      </w:r>
      <w:r w:rsidRPr="0048448D">
        <w:rPr>
          <w:rFonts w:ascii="Times New Roman" w:hAnsi="Times New Roman"/>
          <w:sz w:val="24"/>
          <w:szCs w:val="24"/>
        </w:rPr>
        <w:t xml:space="preserve">(5), 593–608. </w:t>
      </w:r>
      <w:hyperlink r:id="rId43" w:history="1">
        <w:r w:rsidRPr="0048448D">
          <w:rPr>
            <w:rFonts w:ascii="Times New Roman" w:hAnsi="Times New Roman"/>
            <w:color w:val="0000FF"/>
            <w:sz w:val="24"/>
            <w:szCs w:val="24"/>
            <w:u w:val="single"/>
          </w:rPr>
          <w:t>https://doi.org/10.70838/pemj.450503</w:t>
        </w:r>
      </w:hyperlink>
    </w:p>
    <w:p w14:paraId="09621A4E"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lang w:val="nl-BE"/>
        </w:rPr>
        <w:t xml:space="preserve">Ruitenburg, S. K., Guldemont, P., Kirschner, P. A., Jarodzka, H., &amp; Camp, G. (2025). </w:t>
      </w:r>
      <w:r w:rsidRPr="0048448D">
        <w:rPr>
          <w:rFonts w:ascii="Times New Roman" w:hAnsi="Times New Roman"/>
          <w:sz w:val="24"/>
          <w:szCs w:val="24"/>
        </w:rPr>
        <w:t xml:space="preserve">Initial practice performance moderates the distributed practice effect in complex procedural knowledge. </w:t>
      </w:r>
      <w:r w:rsidRPr="0048448D">
        <w:rPr>
          <w:rFonts w:ascii="Times New Roman" w:hAnsi="Times New Roman"/>
          <w:i/>
          <w:iCs/>
          <w:sz w:val="24"/>
          <w:szCs w:val="24"/>
        </w:rPr>
        <w:t>Applied Cognitive Psychology, 39</w:t>
      </w:r>
      <w:r w:rsidRPr="0048448D">
        <w:rPr>
          <w:rFonts w:ascii="Times New Roman" w:hAnsi="Times New Roman"/>
          <w:sz w:val="24"/>
          <w:szCs w:val="24"/>
        </w:rPr>
        <w:t xml:space="preserve">(1), e70032. </w:t>
      </w:r>
      <w:hyperlink r:id="rId44" w:history="1">
        <w:r w:rsidRPr="0048448D">
          <w:rPr>
            <w:rFonts w:ascii="Times New Roman" w:hAnsi="Times New Roman"/>
            <w:color w:val="0000FF"/>
            <w:sz w:val="24"/>
            <w:szCs w:val="24"/>
            <w:u w:val="single"/>
          </w:rPr>
          <w:t>https://doi.org/10.1002/acp.70032</w:t>
        </w:r>
      </w:hyperlink>
    </w:p>
    <w:p w14:paraId="1397E447"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Rustia, C. D. (2025). Unpacking Learning Action Cell: A systematic review of challenges and opportunities of key players in basic education. </w:t>
      </w:r>
      <w:r w:rsidRPr="0048448D">
        <w:rPr>
          <w:rFonts w:ascii="Times New Roman" w:hAnsi="Times New Roman"/>
          <w:i/>
          <w:iCs/>
          <w:sz w:val="24"/>
          <w:szCs w:val="24"/>
        </w:rPr>
        <w:t xml:space="preserve">International </w:t>
      </w:r>
      <w:r w:rsidRPr="0048448D">
        <w:rPr>
          <w:rFonts w:ascii="Times New Roman" w:hAnsi="Times New Roman"/>
          <w:i/>
          <w:iCs/>
          <w:sz w:val="24"/>
          <w:szCs w:val="24"/>
        </w:rPr>
        <w:lastRenderedPageBreak/>
        <w:t>Journal of Educational Contemporary Explorations, 2</w:t>
      </w:r>
      <w:r w:rsidRPr="0048448D">
        <w:rPr>
          <w:rFonts w:ascii="Times New Roman" w:hAnsi="Times New Roman"/>
          <w:sz w:val="24"/>
          <w:szCs w:val="24"/>
        </w:rPr>
        <w:t xml:space="preserve">(2), 305–315. </w:t>
      </w:r>
      <w:hyperlink r:id="rId45" w:history="1">
        <w:r w:rsidRPr="0048448D">
          <w:rPr>
            <w:rFonts w:ascii="Times New Roman" w:hAnsi="Times New Roman"/>
            <w:color w:val="0000FF"/>
            <w:sz w:val="24"/>
            <w:szCs w:val="24"/>
            <w:u w:val="single"/>
          </w:rPr>
          <w:t>https://doi.org/10.69481/XCBA8002</w:t>
        </w:r>
      </w:hyperlink>
    </w:p>
    <w:p w14:paraId="4E275FCC"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Salha, M. O., &amp; Abu Karash, N. N. (2024). The degree of effectiveness of alternative evaluation in public schools in Ramallah and Al-Bireh Governorate from the teachers’ point of view. </w:t>
      </w:r>
      <w:r w:rsidRPr="0048448D">
        <w:rPr>
          <w:rFonts w:ascii="Times New Roman" w:hAnsi="Times New Roman"/>
          <w:i/>
          <w:iCs/>
          <w:sz w:val="24"/>
          <w:szCs w:val="24"/>
        </w:rPr>
        <w:t>Jordanian Educational Journal, 9</w:t>
      </w:r>
      <w:r w:rsidRPr="0048448D">
        <w:rPr>
          <w:rFonts w:ascii="Times New Roman" w:hAnsi="Times New Roman"/>
          <w:sz w:val="24"/>
          <w:szCs w:val="24"/>
        </w:rPr>
        <w:t xml:space="preserve">(1), 150–173. </w:t>
      </w:r>
      <w:hyperlink r:id="rId46" w:history="1">
        <w:r w:rsidRPr="0048448D">
          <w:rPr>
            <w:rFonts w:ascii="Times New Roman" w:hAnsi="Times New Roman"/>
            <w:color w:val="0000FF"/>
            <w:sz w:val="24"/>
            <w:szCs w:val="24"/>
            <w:u w:val="single"/>
          </w:rPr>
          <w:t>https://doi.org/10.46515/jaes.v9i1.549</w:t>
        </w:r>
      </w:hyperlink>
    </w:p>
    <w:p w14:paraId="5792EBBA"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Sanchez, J. C., &amp; </w:t>
      </w:r>
      <w:proofErr w:type="spellStart"/>
      <w:r w:rsidRPr="0048448D">
        <w:rPr>
          <w:rFonts w:ascii="Times New Roman" w:hAnsi="Times New Roman"/>
          <w:sz w:val="24"/>
          <w:szCs w:val="24"/>
        </w:rPr>
        <w:t>Dagondon</w:t>
      </w:r>
      <w:proofErr w:type="spellEnd"/>
      <w:r w:rsidRPr="0048448D">
        <w:rPr>
          <w:rFonts w:ascii="Times New Roman" w:hAnsi="Times New Roman"/>
          <w:sz w:val="24"/>
          <w:szCs w:val="24"/>
        </w:rPr>
        <w:t xml:space="preserve">, L. M. B. (2025). Unfulfilled potential: A document analysis of spiral progression and curriculum coherence in Philippine junior high school science. </w:t>
      </w:r>
      <w:r w:rsidRPr="0048448D">
        <w:rPr>
          <w:rFonts w:ascii="Times New Roman" w:hAnsi="Times New Roman"/>
          <w:i/>
          <w:iCs/>
          <w:sz w:val="24"/>
          <w:szCs w:val="24"/>
        </w:rPr>
        <w:t>Journal of Education and Learning Reviews, 2</w:t>
      </w:r>
      <w:r w:rsidRPr="0048448D">
        <w:rPr>
          <w:rFonts w:ascii="Times New Roman" w:hAnsi="Times New Roman"/>
          <w:sz w:val="24"/>
          <w:szCs w:val="24"/>
        </w:rPr>
        <w:t xml:space="preserve">(6), 89–102. </w:t>
      </w:r>
      <w:hyperlink r:id="rId47" w:history="1">
        <w:r w:rsidRPr="0048448D">
          <w:rPr>
            <w:rFonts w:ascii="Times New Roman" w:hAnsi="Times New Roman"/>
            <w:color w:val="0000FF"/>
            <w:sz w:val="24"/>
            <w:szCs w:val="24"/>
            <w:u w:val="single"/>
          </w:rPr>
          <w:t>https://doi.org/10.60027/jelr.2025.2206</w:t>
        </w:r>
      </w:hyperlink>
    </w:p>
    <w:p w14:paraId="3A6A1783"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Sathio, A. A., Shaikh, M. U. R., </w:t>
      </w:r>
      <w:proofErr w:type="spellStart"/>
      <w:r w:rsidRPr="0048448D">
        <w:rPr>
          <w:rFonts w:ascii="Times New Roman" w:hAnsi="Times New Roman"/>
          <w:sz w:val="24"/>
          <w:szCs w:val="24"/>
        </w:rPr>
        <w:t>Panhwar</w:t>
      </w:r>
      <w:proofErr w:type="spellEnd"/>
      <w:r w:rsidRPr="0048448D">
        <w:rPr>
          <w:rFonts w:ascii="Times New Roman" w:hAnsi="Times New Roman"/>
          <w:sz w:val="24"/>
          <w:szCs w:val="24"/>
        </w:rPr>
        <w:t xml:space="preserve">, A. O., Rehman, U., </w:t>
      </w:r>
      <w:proofErr w:type="spellStart"/>
      <w:r w:rsidRPr="0048448D">
        <w:rPr>
          <w:rFonts w:ascii="Times New Roman" w:hAnsi="Times New Roman"/>
          <w:sz w:val="24"/>
          <w:szCs w:val="24"/>
        </w:rPr>
        <w:t>Sahito</w:t>
      </w:r>
      <w:proofErr w:type="spellEnd"/>
      <w:r w:rsidRPr="0048448D">
        <w:rPr>
          <w:rFonts w:ascii="Times New Roman" w:hAnsi="Times New Roman"/>
          <w:sz w:val="24"/>
          <w:szCs w:val="24"/>
        </w:rPr>
        <w:t xml:space="preserve">, M. A., &amp; Lakhan, A. (2021). A review on state of the art in flipped classroom technology: A blended e-learning. </w:t>
      </w:r>
      <w:r w:rsidRPr="0048448D">
        <w:rPr>
          <w:rFonts w:ascii="Times New Roman" w:hAnsi="Times New Roman"/>
          <w:i/>
          <w:iCs/>
          <w:sz w:val="24"/>
          <w:szCs w:val="24"/>
        </w:rPr>
        <w:t>International Journal of Emerging Trends in Engineering Research, 9</w:t>
      </w:r>
      <w:r w:rsidRPr="0048448D">
        <w:rPr>
          <w:rFonts w:ascii="Times New Roman" w:hAnsi="Times New Roman"/>
          <w:sz w:val="24"/>
          <w:szCs w:val="24"/>
        </w:rPr>
        <w:t xml:space="preserve">(7), 973–982. </w:t>
      </w:r>
      <w:hyperlink r:id="rId48" w:history="1">
        <w:r w:rsidRPr="0048448D">
          <w:rPr>
            <w:rFonts w:ascii="Times New Roman" w:hAnsi="Times New Roman"/>
            <w:color w:val="0000FF"/>
            <w:sz w:val="24"/>
            <w:szCs w:val="24"/>
            <w:u w:val="single"/>
          </w:rPr>
          <w:t>https://doi.org/10.30534/ijeter/2021/22972021</w:t>
        </w:r>
      </w:hyperlink>
    </w:p>
    <w:p w14:paraId="1314C75F"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Slamet, Yanto, H., Wardani, S., &amp; Yulianto, A. (2024). Implementation of quality assurance in SMP with school committees and participatory management: A case study in junior high schools in Indonesia. </w:t>
      </w:r>
      <w:r w:rsidRPr="0048448D">
        <w:rPr>
          <w:rFonts w:ascii="Times New Roman" w:hAnsi="Times New Roman"/>
          <w:i/>
          <w:iCs/>
          <w:sz w:val="24"/>
          <w:szCs w:val="24"/>
        </w:rPr>
        <w:t xml:space="preserve">Revista de </w:t>
      </w:r>
      <w:proofErr w:type="spellStart"/>
      <w:r w:rsidRPr="0048448D">
        <w:rPr>
          <w:rFonts w:ascii="Times New Roman" w:hAnsi="Times New Roman"/>
          <w:i/>
          <w:iCs/>
          <w:sz w:val="24"/>
          <w:szCs w:val="24"/>
        </w:rPr>
        <w:t>Gestão</w:t>
      </w:r>
      <w:proofErr w:type="spellEnd"/>
      <w:r w:rsidRPr="0048448D">
        <w:rPr>
          <w:rFonts w:ascii="Times New Roman" w:hAnsi="Times New Roman"/>
          <w:i/>
          <w:iCs/>
          <w:sz w:val="24"/>
          <w:szCs w:val="24"/>
        </w:rPr>
        <w:t xml:space="preserve"> Social e Ambiental, 18</w:t>
      </w:r>
      <w:r w:rsidRPr="0048448D">
        <w:rPr>
          <w:rFonts w:ascii="Times New Roman" w:hAnsi="Times New Roman"/>
          <w:sz w:val="24"/>
          <w:szCs w:val="24"/>
        </w:rPr>
        <w:t xml:space="preserve">(2), e03715. </w:t>
      </w:r>
      <w:hyperlink r:id="rId49" w:history="1">
        <w:r w:rsidRPr="0048448D">
          <w:rPr>
            <w:rFonts w:ascii="Times New Roman" w:hAnsi="Times New Roman"/>
            <w:color w:val="0000FF"/>
            <w:sz w:val="24"/>
            <w:szCs w:val="24"/>
            <w:u w:val="single"/>
          </w:rPr>
          <w:t>https://doi.org/10.24857/rgsa.v18n2-043</w:t>
        </w:r>
      </w:hyperlink>
    </w:p>
    <w:p w14:paraId="4ADA62FE"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Suryati</w:t>
      </w:r>
      <w:proofErr w:type="spellEnd"/>
      <w:r w:rsidRPr="0048448D">
        <w:rPr>
          <w:rFonts w:ascii="Times New Roman" w:hAnsi="Times New Roman"/>
          <w:sz w:val="24"/>
          <w:szCs w:val="24"/>
        </w:rPr>
        <w:t xml:space="preserve">, I., Ratih, K., &amp; </w:t>
      </w:r>
      <w:proofErr w:type="spellStart"/>
      <w:r w:rsidRPr="0048448D">
        <w:rPr>
          <w:rFonts w:ascii="Times New Roman" w:hAnsi="Times New Roman"/>
          <w:sz w:val="24"/>
          <w:szCs w:val="24"/>
        </w:rPr>
        <w:t>Maryadi</w:t>
      </w:r>
      <w:proofErr w:type="spellEnd"/>
      <w:r w:rsidRPr="0048448D">
        <w:rPr>
          <w:rFonts w:ascii="Times New Roman" w:hAnsi="Times New Roman"/>
          <w:sz w:val="24"/>
          <w:szCs w:val="24"/>
        </w:rPr>
        <w:t xml:space="preserve">, M. (2023). Teachers’ challenges in implementing differentiated instruction in teaching English at junior high school. </w:t>
      </w:r>
      <w:proofErr w:type="spellStart"/>
      <w:r w:rsidRPr="0048448D">
        <w:rPr>
          <w:rFonts w:ascii="Times New Roman" w:hAnsi="Times New Roman"/>
          <w:i/>
          <w:iCs/>
          <w:sz w:val="24"/>
          <w:szCs w:val="24"/>
        </w:rPr>
        <w:t>Eduvest</w:t>
      </w:r>
      <w:proofErr w:type="spellEnd"/>
      <w:r w:rsidRPr="0048448D">
        <w:rPr>
          <w:rFonts w:ascii="Times New Roman" w:hAnsi="Times New Roman"/>
          <w:i/>
          <w:iCs/>
          <w:sz w:val="24"/>
          <w:szCs w:val="24"/>
        </w:rPr>
        <w:t xml:space="preserve"> – Journal of Universal Studies, 3</w:t>
      </w:r>
      <w:r w:rsidRPr="0048448D">
        <w:rPr>
          <w:rFonts w:ascii="Times New Roman" w:hAnsi="Times New Roman"/>
          <w:sz w:val="24"/>
          <w:szCs w:val="24"/>
        </w:rPr>
        <w:t xml:space="preserve">(9), 1693–1708. </w:t>
      </w:r>
      <w:hyperlink r:id="rId50" w:history="1">
        <w:r w:rsidRPr="0048448D">
          <w:rPr>
            <w:rFonts w:ascii="Times New Roman" w:hAnsi="Times New Roman"/>
            <w:color w:val="0000FF"/>
            <w:sz w:val="24"/>
            <w:szCs w:val="24"/>
            <w:u w:val="single"/>
          </w:rPr>
          <w:t>https://doi.org/10.59188/eduvest.v3i9.871</w:t>
        </w:r>
      </w:hyperlink>
    </w:p>
    <w:p w14:paraId="37148756"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r w:rsidRPr="0048448D">
        <w:rPr>
          <w:rFonts w:ascii="Times New Roman" w:hAnsi="Times New Roman"/>
          <w:sz w:val="24"/>
          <w:szCs w:val="24"/>
        </w:rPr>
        <w:t xml:space="preserve">Wati, K. R. L., </w:t>
      </w:r>
      <w:proofErr w:type="spellStart"/>
      <w:r w:rsidRPr="0048448D">
        <w:rPr>
          <w:rFonts w:ascii="Times New Roman" w:hAnsi="Times New Roman"/>
          <w:sz w:val="24"/>
          <w:szCs w:val="24"/>
        </w:rPr>
        <w:t>Distrik</w:t>
      </w:r>
      <w:proofErr w:type="spellEnd"/>
      <w:r w:rsidRPr="0048448D">
        <w:rPr>
          <w:rFonts w:ascii="Times New Roman" w:hAnsi="Times New Roman"/>
          <w:sz w:val="24"/>
          <w:szCs w:val="24"/>
        </w:rPr>
        <w:t xml:space="preserve">, I. W., &amp; </w:t>
      </w:r>
      <w:proofErr w:type="spellStart"/>
      <w:r w:rsidRPr="0048448D">
        <w:rPr>
          <w:rFonts w:ascii="Times New Roman" w:hAnsi="Times New Roman"/>
          <w:sz w:val="24"/>
          <w:szCs w:val="24"/>
        </w:rPr>
        <w:t>Viyanti</w:t>
      </w:r>
      <w:proofErr w:type="spellEnd"/>
      <w:r w:rsidRPr="0048448D">
        <w:rPr>
          <w:rFonts w:ascii="Times New Roman" w:hAnsi="Times New Roman"/>
          <w:sz w:val="24"/>
          <w:szCs w:val="24"/>
        </w:rPr>
        <w:t xml:space="preserve">. (2025). A needs analysis of E-LKPD (electronic student worksheets) in dynamic electricity learning to stimulate critical and creative thinking skills. </w:t>
      </w:r>
      <w:proofErr w:type="spellStart"/>
      <w:r w:rsidRPr="0048448D">
        <w:rPr>
          <w:rFonts w:ascii="Times New Roman" w:hAnsi="Times New Roman"/>
          <w:i/>
          <w:iCs/>
          <w:sz w:val="24"/>
          <w:szCs w:val="24"/>
        </w:rPr>
        <w:t>Jurnal</w:t>
      </w:r>
      <w:proofErr w:type="spellEnd"/>
      <w:r w:rsidRPr="0048448D">
        <w:rPr>
          <w:rFonts w:ascii="Times New Roman" w:hAnsi="Times New Roman"/>
          <w:i/>
          <w:iCs/>
          <w:sz w:val="24"/>
          <w:szCs w:val="24"/>
        </w:rPr>
        <w:t xml:space="preserve"> </w:t>
      </w:r>
      <w:proofErr w:type="spellStart"/>
      <w:r w:rsidRPr="0048448D">
        <w:rPr>
          <w:rFonts w:ascii="Times New Roman" w:hAnsi="Times New Roman"/>
          <w:i/>
          <w:iCs/>
          <w:sz w:val="24"/>
          <w:szCs w:val="24"/>
        </w:rPr>
        <w:t>Penelitian</w:t>
      </w:r>
      <w:proofErr w:type="spellEnd"/>
      <w:r w:rsidRPr="0048448D">
        <w:rPr>
          <w:rFonts w:ascii="Times New Roman" w:hAnsi="Times New Roman"/>
          <w:i/>
          <w:iCs/>
          <w:sz w:val="24"/>
          <w:szCs w:val="24"/>
        </w:rPr>
        <w:t xml:space="preserve"> Pendidikan IPA, 11</w:t>
      </w:r>
      <w:r w:rsidRPr="0048448D">
        <w:rPr>
          <w:rFonts w:ascii="Times New Roman" w:hAnsi="Times New Roman"/>
          <w:sz w:val="24"/>
          <w:szCs w:val="24"/>
        </w:rPr>
        <w:t xml:space="preserve">(9), 620–631. </w:t>
      </w:r>
      <w:hyperlink r:id="rId51" w:history="1">
        <w:r w:rsidRPr="0048448D">
          <w:rPr>
            <w:rFonts w:ascii="Times New Roman" w:hAnsi="Times New Roman"/>
            <w:color w:val="0000FF"/>
            <w:sz w:val="24"/>
            <w:szCs w:val="24"/>
            <w:u w:val="single"/>
          </w:rPr>
          <w:t>https://doi.org/10.29303/jppipa.v11i9.11095</w:t>
        </w:r>
      </w:hyperlink>
    </w:p>
    <w:p w14:paraId="2998B8A6" w14:textId="77777777" w:rsidR="0048448D" w:rsidRPr="0048448D" w:rsidRDefault="0048448D" w:rsidP="0048448D">
      <w:pPr>
        <w:spacing w:before="100" w:beforeAutospacing="1" w:after="100" w:afterAutospacing="1"/>
        <w:ind w:left="540" w:hanging="540"/>
        <w:jc w:val="both"/>
        <w:rPr>
          <w:rFonts w:ascii="Times New Roman" w:hAnsi="Times New Roman"/>
          <w:sz w:val="24"/>
          <w:szCs w:val="24"/>
        </w:rPr>
      </w:pPr>
      <w:proofErr w:type="spellStart"/>
      <w:r w:rsidRPr="0048448D">
        <w:rPr>
          <w:rFonts w:ascii="Times New Roman" w:hAnsi="Times New Roman"/>
          <w:sz w:val="24"/>
          <w:szCs w:val="24"/>
        </w:rPr>
        <w:t>Widiyawati</w:t>
      </w:r>
      <w:proofErr w:type="spellEnd"/>
      <w:r w:rsidRPr="0048448D">
        <w:rPr>
          <w:rFonts w:ascii="Times New Roman" w:hAnsi="Times New Roman"/>
          <w:sz w:val="24"/>
          <w:szCs w:val="24"/>
        </w:rPr>
        <w:t xml:space="preserve">, Y., </w:t>
      </w:r>
      <w:proofErr w:type="spellStart"/>
      <w:r w:rsidRPr="0048448D">
        <w:rPr>
          <w:rFonts w:ascii="Times New Roman" w:hAnsi="Times New Roman"/>
          <w:sz w:val="24"/>
          <w:szCs w:val="24"/>
        </w:rPr>
        <w:t>Nurwahidah</w:t>
      </w:r>
      <w:proofErr w:type="spellEnd"/>
      <w:r w:rsidRPr="0048448D">
        <w:rPr>
          <w:rFonts w:ascii="Times New Roman" w:hAnsi="Times New Roman"/>
          <w:sz w:val="24"/>
          <w:szCs w:val="24"/>
        </w:rPr>
        <w:t xml:space="preserve">, I., Sari, D. S., </w:t>
      </w:r>
      <w:proofErr w:type="spellStart"/>
      <w:r w:rsidRPr="0048448D">
        <w:rPr>
          <w:rFonts w:ascii="Times New Roman" w:hAnsi="Times New Roman"/>
          <w:sz w:val="24"/>
          <w:szCs w:val="24"/>
        </w:rPr>
        <w:t>Masykuri</w:t>
      </w:r>
      <w:proofErr w:type="spellEnd"/>
      <w:r w:rsidRPr="0048448D">
        <w:rPr>
          <w:rFonts w:ascii="Times New Roman" w:hAnsi="Times New Roman"/>
          <w:sz w:val="24"/>
          <w:szCs w:val="24"/>
        </w:rPr>
        <w:t xml:space="preserve">, M., &amp; </w:t>
      </w:r>
      <w:proofErr w:type="spellStart"/>
      <w:r w:rsidRPr="0048448D">
        <w:rPr>
          <w:rFonts w:ascii="Times New Roman" w:hAnsi="Times New Roman"/>
          <w:sz w:val="24"/>
          <w:szCs w:val="24"/>
        </w:rPr>
        <w:t>Budiyanto</w:t>
      </w:r>
      <w:proofErr w:type="spellEnd"/>
      <w:r w:rsidRPr="0048448D">
        <w:rPr>
          <w:rFonts w:ascii="Times New Roman" w:hAnsi="Times New Roman"/>
          <w:sz w:val="24"/>
          <w:szCs w:val="24"/>
        </w:rPr>
        <w:t xml:space="preserve">, C. W. (2021). The 21st century science learning: HOTS and digital literacy among junior high school students in Semarang, Indonesia. </w:t>
      </w:r>
      <w:r w:rsidRPr="0048448D">
        <w:rPr>
          <w:rFonts w:ascii="Times New Roman" w:hAnsi="Times New Roman"/>
          <w:i/>
          <w:iCs/>
          <w:sz w:val="24"/>
          <w:szCs w:val="24"/>
        </w:rPr>
        <w:t>Journal of Physics: Conference Series, 1842</w:t>
      </w:r>
      <w:r w:rsidRPr="0048448D">
        <w:rPr>
          <w:rFonts w:ascii="Times New Roman" w:hAnsi="Times New Roman"/>
          <w:sz w:val="24"/>
          <w:szCs w:val="24"/>
        </w:rPr>
        <w:t xml:space="preserve">(1), 012081. </w:t>
      </w:r>
      <w:hyperlink r:id="rId52" w:history="1">
        <w:r w:rsidRPr="0048448D">
          <w:rPr>
            <w:rFonts w:ascii="Times New Roman" w:hAnsi="Times New Roman"/>
            <w:color w:val="0000FF"/>
            <w:sz w:val="24"/>
            <w:szCs w:val="24"/>
            <w:u w:val="single"/>
          </w:rPr>
          <w:t>https://doi.org/10.1088/1742-6596/1842/1/012081</w:t>
        </w:r>
      </w:hyperlink>
    </w:p>
    <w:p w14:paraId="2F224CE7" w14:textId="20D5336B" w:rsidR="004C62AA" w:rsidRDefault="004C62AA" w:rsidP="0048448D">
      <w:pPr>
        <w:pStyle w:val="ListParagraph"/>
        <w:ind w:hanging="720"/>
      </w:pPr>
    </w:p>
    <w:sectPr w:rsidR="004C62AA" w:rsidSect="009179E3">
      <w:headerReference w:type="even" r:id="rId53"/>
      <w:headerReference w:type="default" r:id="rId54"/>
      <w:footerReference w:type="default" r:id="rId55"/>
      <w:headerReference w:type="first" r:id="rId5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E5CB4" w14:textId="77777777" w:rsidR="00C46125" w:rsidRDefault="00C46125" w:rsidP="00C37E61">
      <w:r>
        <w:separator/>
      </w:r>
    </w:p>
  </w:endnote>
  <w:endnote w:type="continuationSeparator" w:id="0">
    <w:p w14:paraId="0DF1774E" w14:textId="77777777" w:rsidR="00C46125" w:rsidRDefault="00C4612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9C1FA" w14:textId="77777777" w:rsidR="009179E3" w:rsidRDefault="009179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DF0EE" w14:textId="77777777" w:rsidR="009179E3" w:rsidRDefault="009179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13B5" w14:textId="77777777" w:rsidR="005C2B64" w:rsidRPr="009179E3" w:rsidRDefault="005C2B64" w:rsidP="009179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CD391" w14:textId="77777777" w:rsidR="005C2B64" w:rsidRPr="00C37E61" w:rsidRDefault="005C2B64"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28811" w14:textId="77777777" w:rsidR="00C46125" w:rsidRDefault="00C46125" w:rsidP="00C37E61">
      <w:r>
        <w:separator/>
      </w:r>
    </w:p>
  </w:footnote>
  <w:footnote w:type="continuationSeparator" w:id="0">
    <w:p w14:paraId="5F76C187" w14:textId="77777777" w:rsidR="00C46125" w:rsidRDefault="00C4612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41B66" w14:textId="77777777" w:rsidR="009179E3" w:rsidRDefault="00000000">
    <w:pPr>
      <w:pStyle w:val="Header"/>
    </w:pPr>
    <w:r>
      <w:rPr>
        <w:noProof/>
      </w:rPr>
      <w:pict w14:anchorId="13122F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C9211" w14:textId="77777777" w:rsidR="009179E3" w:rsidRDefault="00000000">
    <w:pPr>
      <w:pStyle w:val="Header"/>
    </w:pPr>
    <w:r>
      <w:rPr>
        <w:noProof/>
      </w:rPr>
      <w:pict w14:anchorId="61B1AB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BEAC" w14:textId="77777777" w:rsidR="005C2B64" w:rsidRPr="00296529" w:rsidRDefault="00000000" w:rsidP="00296529">
    <w:pPr>
      <w:ind w:left="2160"/>
      <w:jc w:val="center"/>
      <w:rPr>
        <w:rFonts w:ascii="Times New Roman" w:eastAsia="Calibri" w:hAnsi="Times New Roman"/>
        <w:i/>
        <w:sz w:val="18"/>
        <w:szCs w:val="22"/>
      </w:rPr>
    </w:pPr>
    <w:r>
      <w:rPr>
        <w:noProof/>
      </w:rPr>
      <w:pict w14:anchorId="3DF41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4557074" w14:textId="77777777" w:rsidR="005C2B64" w:rsidRPr="00296529" w:rsidRDefault="005C2B6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CC7CCCF" w14:textId="77777777" w:rsidR="005C2B64" w:rsidRPr="00296529" w:rsidRDefault="005C2B6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80903A7" w14:textId="77777777" w:rsidR="005C2B64" w:rsidRPr="00296529" w:rsidRDefault="005C2B6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CDE1170" w14:textId="77777777" w:rsidR="005C2B64" w:rsidRDefault="005C2B6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E4F9B3A" w14:textId="77777777" w:rsidR="005C2B64" w:rsidRDefault="005C2B6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F02D9FD" w14:textId="77777777" w:rsidR="005C2B64" w:rsidRDefault="005C2B64">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8C09" w14:textId="77777777" w:rsidR="009179E3" w:rsidRDefault="00000000">
    <w:pPr>
      <w:pStyle w:val="Header"/>
    </w:pPr>
    <w:r>
      <w:rPr>
        <w:noProof/>
      </w:rPr>
      <w:pict w14:anchorId="092C47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45ACAEF">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2008F" w14:textId="77777777" w:rsidR="009179E3" w:rsidRDefault="00000000">
    <w:pPr>
      <w:pStyle w:val="Header"/>
    </w:pPr>
    <w:r>
      <w:rPr>
        <w:noProof/>
      </w:rPr>
      <w:pict w14:anchorId="003299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2D986DF">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8941" w14:textId="77777777" w:rsidR="009179E3" w:rsidRPr="00296529" w:rsidRDefault="00000000" w:rsidP="00296529">
    <w:pPr>
      <w:ind w:left="2160"/>
      <w:jc w:val="center"/>
      <w:rPr>
        <w:rFonts w:ascii="Times New Roman" w:eastAsia="Calibri" w:hAnsi="Times New Roman"/>
        <w:i/>
        <w:sz w:val="18"/>
        <w:szCs w:val="22"/>
      </w:rPr>
    </w:pPr>
    <w:r>
      <w:rPr>
        <w:noProof/>
      </w:rPr>
      <w:pict w14:anchorId="7A1042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BDE6B6B">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B0B69F1" w14:textId="77777777" w:rsidR="009179E3" w:rsidRPr="00296529" w:rsidRDefault="009179E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FEC0889" w14:textId="77777777" w:rsidR="009179E3" w:rsidRPr="00296529" w:rsidRDefault="009179E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D103C46" w14:textId="77777777" w:rsidR="009179E3" w:rsidRPr="00296529" w:rsidRDefault="009179E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2E50E5D" w14:textId="77777777" w:rsidR="009179E3" w:rsidRDefault="009179E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864E3D3" w14:textId="77777777" w:rsidR="009179E3" w:rsidRDefault="009179E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184C78D" w14:textId="77777777" w:rsidR="009179E3" w:rsidRDefault="009179E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656DE24"/>
    <w:multiLevelType w:val="singleLevel"/>
    <w:tmpl w:val="0656DE24"/>
    <w:lvl w:ilvl="0">
      <w:start w:val="4"/>
      <w:numFmt w:val="decimal"/>
      <w:suff w:val="space"/>
      <w:lvlText w:val="%1."/>
      <w:lvlJc w:val="left"/>
      <w:pPr>
        <w:ind w:left="-720"/>
      </w:pPr>
    </w:lvl>
  </w:abstractNum>
  <w:abstractNum w:abstractNumId="4" w15:restartNumberingAfterBreak="0">
    <w:nsid w:val="070BBDE2"/>
    <w:multiLevelType w:val="multilevel"/>
    <w:tmpl w:val="070BBDE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0C0A0C6F"/>
    <w:multiLevelType w:val="multilevel"/>
    <w:tmpl w:val="607C00D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0F4B50D0"/>
    <w:multiLevelType w:val="multilevel"/>
    <w:tmpl w:val="0C64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FE1BE1"/>
    <w:multiLevelType w:val="hybridMultilevel"/>
    <w:tmpl w:val="5854F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1F715852"/>
    <w:multiLevelType w:val="multilevel"/>
    <w:tmpl w:val="8A30D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365A67"/>
    <w:multiLevelType w:val="hybridMultilevel"/>
    <w:tmpl w:val="B8B6CCB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5B957D8"/>
    <w:multiLevelType w:val="multilevel"/>
    <w:tmpl w:val="883CC6E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2E0C4344"/>
    <w:multiLevelType w:val="hybridMultilevel"/>
    <w:tmpl w:val="4AFE6DF8"/>
    <w:lvl w:ilvl="0" w:tplc="34090001">
      <w:start w:val="1"/>
      <w:numFmt w:val="bullet"/>
      <w:lvlText w:val=""/>
      <w:lvlJc w:val="left"/>
      <w:pPr>
        <w:ind w:left="2910" w:hanging="360"/>
      </w:pPr>
      <w:rPr>
        <w:rFonts w:ascii="Symbol" w:hAnsi="Symbol" w:hint="default"/>
      </w:rPr>
    </w:lvl>
    <w:lvl w:ilvl="1" w:tplc="34090003" w:tentative="1">
      <w:start w:val="1"/>
      <w:numFmt w:val="bullet"/>
      <w:lvlText w:val="o"/>
      <w:lvlJc w:val="left"/>
      <w:pPr>
        <w:ind w:left="3630" w:hanging="360"/>
      </w:pPr>
      <w:rPr>
        <w:rFonts w:ascii="Courier New" w:hAnsi="Courier New" w:cs="Courier New" w:hint="default"/>
      </w:rPr>
    </w:lvl>
    <w:lvl w:ilvl="2" w:tplc="34090005" w:tentative="1">
      <w:start w:val="1"/>
      <w:numFmt w:val="bullet"/>
      <w:lvlText w:val=""/>
      <w:lvlJc w:val="left"/>
      <w:pPr>
        <w:ind w:left="4350" w:hanging="360"/>
      </w:pPr>
      <w:rPr>
        <w:rFonts w:ascii="Wingdings" w:hAnsi="Wingdings" w:hint="default"/>
      </w:rPr>
    </w:lvl>
    <w:lvl w:ilvl="3" w:tplc="34090001" w:tentative="1">
      <w:start w:val="1"/>
      <w:numFmt w:val="bullet"/>
      <w:lvlText w:val=""/>
      <w:lvlJc w:val="left"/>
      <w:pPr>
        <w:ind w:left="5070" w:hanging="360"/>
      </w:pPr>
      <w:rPr>
        <w:rFonts w:ascii="Symbol" w:hAnsi="Symbol" w:hint="default"/>
      </w:rPr>
    </w:lvl>
    <w:lvl w:ilvl="4" w:tplc="34090003" w:tentative="1">
      <w:start w:val="1"/>
      <w:numFmt w:val="bullet"/>
      <w:lvlText w:val="o"/>
      <w:lvlJc w:val="left"/>
      <w:pPr>
        <w:ind w:left="5790" w:hanging="360"/>
      </w:pPr>
      <w:rPr>
        <w:rFonts w:ascii="Courier New" w:hAnsi="Courier New" w:cs="Courier New" w:hint="default"/>
      </w:rPr>
    </w:lvl>
    <w:lvl w:ilvl="5" w:tplc="34090005" w:tentative="1">
      <w:start w:val="1"/>
      <w:numFmt w:val="bullet"/>
      <w:lvlText w:val=""/>
      <w:lvlJc w:val="left"/>
      <w:pPr>
        <w:ind w:left="6510" w:hanging="360"/>
      </w:pPr>
      <w:rPr>
        <w:rFonts w:ascii="Wingdings" w:hAnsi="Wingdings" w:hint="default"/>
      </w:rPr>
    </w:lvl>
    <w:lvl w:ilvl="6" w:tplc="34090001" w:tentative="1">
      <w:start w:val="1"/>
      <w:numFmt w:val="bullet"/>
      <w:lvlText w:val=""/>
      <w:lvlJc w:val="left"/>
      <w:pPr>
        <w:ind w:left="7230" w:hanging="360"/>
      </w:pPr>
      <w:rPr>
        <w:rFonts w:ascii="Symbol" w:hAnsi="Symbol" w:hint="default"/>
      </w:rPr>
    </w:lvl>
    <w:lvl w:ilvl="7" w:tplc="34090003" w:tentative="1">
      <w:start w:val="1"/>
      <w:numFmt w:val="bullet"/>
      <w:lvlText w:val="o"/>
      <w:lvlJc w:val="left"/>
      <w:pPr>
        <w:ind w:left="7950" w:hanging="360"/>
      </w:pPr>
      <w:rPr>
        <w:rFonts w:ascii="Courier New" w:hAnsi="Courier New" w:cs="Courier New" w:hint="default"/>
      </w:rPr>
    </w:lvl>
    <w:lvl w:ilvl="8" w:tplc="34090005" w:tentative="1">
      <w:start w:val="1"/>
      <w:numFmt w:val="bullet"/>
      <w:lvlText w:val=""/>
      <w:lvlJc w:val="left"/>
      <w:pPr>
        <w:ind w:left="8670" w:hanging="360"/>
      </w:pPr>
      <w:rPr>
        <w:rFonts w:ascii="Wingdings" w:hAnsi="Wingdings" w:hint="default"/>
      </w:rPr>
    </w:lvl>
  </w:abstractNum>
  <w:abstractNum w:abstractNumId="22"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34E4471D"/>
    <w:multiLevelType w:val="multilevel"/>
    <w:tmpl w:val="B64E7F7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454FFB"/>
    <w:multiLevelType w:val="multilevel"/>
    <w:tmpl w:val="2F9AB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AC60EFB"/>
    <w:multiLevelType w:val="multilevel"/>
    <w:tmpl w:val="E51E4B3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206130E"/>
    <w:multiLevelType w:val="hybridMultilevel"/>
    <w:tmpl w:val="82C65FB2"/>
    <w:lvl w:ilvl="0" w:tplc="34090001">
      <w:start w:val="1"/>
      <w:numFmt w:val="bullet"/>
      <w:lvlText w:val=""/>
      <w:lvlJc w:val="left"/>
      <w:pPr>
        <w:ind w:left="720" w:hanging="360"/>
      </w:pPr>
      <w:rPr>
        <w:rFonts w:ascii="Symbol" w:hAnsi="Symbol"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E0640F"/>
    <w:multiLevelType w:val="hybridMultilevel"/>
    <w:tmpl w:val="89AE3BB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1" w15:restartNumberingAfterBreak="0">
    <w:nsid w:val="5C92115E"/>
    <w:multiLevelType w:val="hybridMultilevel"/>
    <w:tmpl w:val="3984E50A"/>
    <w:lvl w:ilvl="0" w:tplc="FDAC4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66895528"/>
    <w:multiLevelType w:val="multilevel"/>
    <w:tmpl w:val="4830C24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881D8C"/>
    <w:multiLevelType w:val="multilevel"/>
    <w:tmpl w:val="67881D8C"/>
    <w:lvl w:ilvl="0">
      <w:start w:val="2"/>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35" w15:restartNumberingAfterBreak="0">
    <w:nsid w:val="685260DB"/>
    <w:multiLevelType w:val="multilevel"/>
    <w:tmpl w:val="0082B5FA"/>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7" w15:restartNumberingAfterBreak="0">
    <w:nsid w:val="6C8C061E"/>
    <w:multiLevelType w:val="multilevel"/>
    <w:tmpl w:val="DB58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39"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41"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2"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43"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5"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A32103"/>
    <w:multiLevelType w:val="multilevel"/>
    <w:tmpl w:val="7DA32103"/>
    <w:lvl w:ilvl="0">
      <w:start w:val="1"/>
      <w:numFmt w:val="decimal"/>
      <w:pStyle w:val="MDPI37itemize"/>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870462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18260222">
    <w:abstractNumId w:val="28"/>
  </w:num>
  <w:num w:numId="3" w16cid:durableId="2002809958">
    <w:abstractNumId w:val="42"/>
  </w:num>
  <w:num w:numId="4" w16cid:durableId="137947101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44446402">
    <w:abstractNumId w:val="12"/>
  </w:num>
  <w:num w:numId="6" w16cid:durableId="1872112429">
    <w:abstractNumId w:val="9"/>
  </w:num>
  <w:num w:numId="7" w16cid:durableId="825705188">
    <w:abstractNumId w:val="1"/>
  </w:num>
  <w:num w:numId="8" w16cid:durableId="603079190">
    <w:abstractNumId w:val="20"/>
  </w:num>
  <w:num w:numId="9" w16cid:durableId="335571128">
    <w:abstractNumId w:val="44"/>
  </w:num>
  <w:num w:numId="10" w16cid:durableId="1984845727">
    <w:abstractNumId w:val="2"/>
  </w:num>
  <w:num w:numId="11" w16cid:durableId="269893661">
    <w:abstractNumId w:val="36"/>
  </w:num>
  <w:num w:numId="12" w16cid:durableId="1699046676">
    <w:abstractNumId w:val="5"/>
  </w:num>
  <w:num w:numId="13" w16cid:durableId="1698853621">
    <w:abstractNumId w:val="32"/>
  </w:num>
  <w:num w:numId="14" w16cid:durableId="2083529590">
    <w:abstractNumId w:val="13"/>
  </w:num>
  <w:num w:numId="15" w16cid:durableId="2056394397">
    <w:abstractNumId w:val="40"/>
  </w:num>
  <w:num w:numId="16" w16cid:durableId="1263953111">
    <w:abstractNumId w:val="7"/>
  </w:num>
  <w:num w:numId="17" w16cid:durableId="214395766">
    <w:abstractNumId w:val="41"/>
  </w:num>
  <w:num w:numId="18" w16cid:durableId="351155033">
    <w:abstractNumId w:val="23"/>
  </w:num>
  <w:num w:numId="19" w16cid:durableId="1628002570">
    <w:abstractNumId w:val="48"/>
  </w:num>
  <w:num w:numId="20" w16cid:durableId="1985037596">
    <w:abstractNumId w:val="19"/>
  </w:num>
  <w:num w:numId="21" w16cid:durableId="242569354">
    <w:abstractNumId w:val="15"/>
  </w:num>
  <w:num w:numId="22" w16cid:durableId="894240658">
    <w:abstractNumId w:val="22"/>
  </w:num>
  <w:num w:numId="23" w16cid:durableId="1909537465">
    <w:abstractNumId w:val="38"/>
  </w:num>
  <w:num w:numId="24" w16cid:durableId="795568445">
    <w:abstractNumId w:val="45"/>
  </w:num>
  <w:num w:numId="25" w16cid:durableId="1116556189">
    <w:abstractNumId w:val="6"/>
  </w:num>
  <w:num w:numId="26" w16cid:durableId="901447769">
    <w:abstractNumId w:val="29"/>
  </w:num>
  <w:num w:numId="27" w16cid:durableId="761876710">
    <w:abstractNumId w:val="39"/>
  </w:num>
  <w:num w:numId="28" w16cid:durableId="1510490054">
    <w:abstractNumId w:val="46"/>
  </w:num>
  <w:num w:numId="29" w16cid:durableId="1619871997">
    <w:abstractNumId w:val="43"/>
  </w:num>
  <w:num w:numId="30" w16cid:durableId="260457472">
    <w:abstractNumId w:val="16"/>
  </w:num>
  <w:num w:numId="31" w16cid:durableId="521016156">
    <w:abstractNumId w:val="47"/>
  </w:num>
  <w:num w:numId="32" w16cid:durableId="1476070234">
    <w:abstractNumId w:val="3"/>
  </w:num>
  <w:num w:numId="33" w16cid:durableId="1196040423">
    <w:abstractNumId w:val="34"/>
  </w:num>
  <w:num w:numId="34" w16cid:durableId="410279412">
    <w:abstractNumId w:val="4"/>
  </w:num>
  <w:num w:numId="35" w16cid:durableId="1537541623">
    <w:abstractNumId w:val="21"/>
  </w:num>
  <w:num w:numId="36" w16cid:durableId="236061156">
    <w:abstractNumId w:val="37"/>
  </w:num>
  <w:num w:numId="37" w16cid:durableId="1856770342">
    <w:abstractNumId w:val="31"/>
  </w:num>
  <w:num w:numId="38" w16cid:durableId="1749615185">
    <w:abstractNumId w:val="10"/>
  </w:num>
  <w:num w:numId="39" w16cid:durableId="1609848797">
    <w:abstractNumId w:val="14"/>
  </w:num>
  <w:num w:numId="40" w16cid:durableId="106048023">
    <w:abstractNumId w:val="30"/>
  </w:num>
  <w:num w:numId="41" w16cid:durableId="1277369278">
    <w:abstractNumId w:val="27"/>
  </w:num>
  <w:num w:numId="42" w16cid:durableId="1461150820">
    <w:abstractNumId w:val="17"/>
  </w:num>
  <w:num w:numId="43" w16cid:durableId="1579292563">
    <w:abstractNumId w:val="25"/>
  </w:num>
  <w:num w:numId="44" w16cid:durableId="376200973">
    <w:abstractNumId w:val="18"/>
  </w:num>
  <w:num w:numId="45" w16cid:durableId="318853432">
    <w:abstractNumId w:val="24"/>
  </w:num>
  <w:num w:numId="46" w16cid:durableId="1702170849">
    <w:abstractNumId w:val="8"/>
  </w:num>
  <w:num w:numId="47" w16cid:durableId="1457523471">
    <w:abstractNumId w:val="26"/>
  </w:num>
  <w:num w:numId="48" w16cid:durableId="1806386753">
    <w:abstractNumId w:val="35"/>
  </w:num>
  <w:num w:numId="49" w16cid:durableId="1174879112">
    <w:abstractNumId w:val="33"/>
  </w:num>
  <w:num w:numId="50" w16cid:durableId="12674954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54A5F"/>
    <w:rsid w:val="00070630"/>
    <w:rsid w:val="00071BD5"/>
    <w:rsid w:val="000A47FA"/>
    <w:rsid w:val="000A65D3"/>
    <w:rsid w:val="000B0782"/>
    <w:rsid w:val="000B1E33"/>
    <w:rsid w:val="000D689F"/>
    <w:rsid w:val="000E7A9F"/>
    <w:rsid w:val="000E7B7B"/>
    <w:rsid w:val="000E7D62"/>
    <w:rsid w:val="00103357"/>
    <w:rsid w:val="00112E5B"/>
    <w:rsid w:val="00123C9F"/>
    <w:rsid w:val="00126190"/>
    <w:rsid w:val="00130F17"/>
    <w:rsid w:val="001320BF"/>
    <w:rsid w:val="001365F4"/>
    <w:rsid w:val="00163BC4"/>
    <w:rsid w:val="00191062"/>
    <w:rsid w:val="00192B72"/>
    <w:rsid w:val="001A29D8"/>
    <w:rsid w:val="001A5CAA"/>
    <w:rsid w:val="001B0427"/>
    <w:rsid w:val="001B48F2"/>
    <w:rsid w:val="001D3A51"/>
    <w:rsid w:val="001E10D2"/>
    <w:rsid w:val="001E25B4"/>
    <w:rsid w:val="001E44FE"/>
    <w:rsid w:val="001E51D5"/>
    <w:rsid w:val="00200595"/>
    <w:rsid w:val="00204835"/>
    <w:rsid w:val="00212F7C"/>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21E98"/>
    <w:rsid w:val="0033343E"/>
    <w:rsid w:val="003512C2"/>
    <w:rsid w:val="00361707"/>
    <w:rsid w:val="00371FB6"/>
    <w:rsid w:val="003763C1"/>
    <w:rsid w:val="00376BBE"/>
    <w:rsid w:val="0039224F"/>
    <w:rsid w:val="003A217D"/>
    <w:rsid w:val="003A43A4"/>
    <w:rsid w:val="003A7E18"/>
    <w:rsid w:val="003C4C86"/>
    <w:rsid w:val="003C6258"/>
    <w:rsid w:val="003E2904"/>
    <w:rsid w:val="00401927"/>
    <w:rsid w:val="0041027F"/>
    <w:rsid w:val="00412475"/>
    <w:rsid w:val="00423789"/>
    <w:rsid w:val="00440F43"/>
    <w:rsid w:val="00441B6F"/>
    <w:rsid w:val="00446221"/>
    <w:rsid w:val="00450144"/>
    <w:rsid w:val="00450E62"/>
    <w:rsid w:val="004539DB"/>
    <w:rsid w:val="00471A80"/>
    <w:rsid w:val="0048448D"/>
    <w:rsid w:val="004C62AA"/>
    <w:rsid w:val="004D305E"/>
    <w:rsid w:val="004D4277"/>
    <w:rsid w:val="00502516"/>
    <w:rsid w:val="00503904"/>
    <w:rsid w:val="00505F06"/>
    <w:rsid w:val="00506828"/>
    <w:rsid w:val="0053056E"/>
    <w:rsid w:val="00554FDA"/>
    <w:rsid w:val="005732C5"/>
    <w:rsid w:val="005812AE"/>
    <w:rsid w:val="005B18FD"/>
    <w:rsid w:val="005C2B64"/>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04201"/>
    <w:rsid w:val="007369E6"/>
    <w:rsid w:val="00746E59"/>
    <w:rsid w:val="00754C9A"/>
    <w:rsid w:val="0075599A"/>
    <w:rsid w:val="00761D52"/>
    <w:rsid w:val="0077749E"/>
    <w:rsid w:val="00790ADA"/>
    <w:rsid w:val="007B0332"/>
    <w:rsid w:val="007D2288"/>
    <w:rsid w:val="007D5DA0"/>
    <w:rsid w:val="007E088F"/>
    <w:rsid w:val="007F4C1F"/>
    <w:rsid w:val="007F7B32"/>
    <w:rsid w:val="00804BC2"/>
    <w:rsid w:val="0081431A"/>
    <w:rsid w:val="00821973"/>
    <w:rsid w:val="0083216F"/>
    <w:rsid w:val="00860000"/>
    <w:rsid w:val="00863BD3"/>
    <w:rsid w:val="008641ED"/>
    <w:rsid w:val="00866D66"/>
    <w:rsid w:val="008671C6"/>
    <w:rsid w:val="00875803"/>
    <w:rsid w:val="00877601"/>
    <w:rsid w:val="00896F73"/>
    <w:rsid w:val="008A6B6D"/>
    <w:rsid w:val="008B459E"/>
    <w:rsid w:val="008E13AE"/>
    <w:rsid w:val="008E1506"/>
    <w:rsid w:val="008E710C"/>
    <w:rsid w:val="008F69D6"/>
    <w:rsid w:val="00902823"/>
    <w:rsid w:val="00915CA6"/>
    <w:rsid w:val="009179E3"/>
    <w:rsid w:val="00927834"/>
    <w:rsid w:val="0093337B"/>
    <w:rsid w:val="009500A6"/>
    <w:rsid w:val="00952F60"/>
    <w:rsid w:val="00957C18"/>
    <w:rsid w:val="009659BA"/>
    <w:rsid w:val="00983040"/>
    <w:rsid w:val="009A7909"/>
    <w:rsid w:val="009B3FB9"/>
    <w:rsid w:val="009C2465"/>
    <w:rsid w:val="009D35A0"/>
    <w:rsid w:val="009D7EB7"/>
    <w:rsid w:val="009E048A"/>
    <w:rsid w:val="009E08E9"/>
    <w:rsid w:val="009E169A"/>
    <w:rsid w:val="009E3DB9"/>
    <w:rsid w:val="009E6E35"/>
    <w:rsid w:val="009F0EDA"/>
    <w:rsid w:val="00A03B96"/>
    <w:rsid w:val="00A05B19"/>
    <w:rsid w:val="00A1134E"/>
    <w:rsid w:val="00A24E7E"/>
    <w:rsid w:val="00A258C3"/>
    <w:rsid w:val="00A347C0"/>
    <w:rsid w:val="00A44D52"/>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0616"/>
    <w:rsid w:val="00C27F5F"/>
    <w:rsid w:val="00C30A0F"/>
    <w:rsid w:val="00C37E61"/>
    <w:rsid w:val="00C46125"/>
    <w:rsid w:val="00C70F1B"/>
    <w:rsid w:val="00C71A47"/>
    <w:rsid w:val="00C7464C"/>
    <w:rsid w:val="00C85588"/>
    <w:rsid w:val="00CD6755"/>
    <w:rsid w:val="00CD6856"/>
    <w:rsid w:val="00CE0089"/>
    <w:rsid w:val="00CE793C"/>
    <w:rsid w:val="00CF193C"/>
    <w:rsid w:val="00CF4E4F"/>
    <w:rsid w:val="00D173F1"/>
    <w:rsid w:val="00D74CB0"/>
    <w:rsid w:val="00D8295D"/>
    <w:rsid w:val="00DC2A65"/>
    <w:rsid w:val="00DE15F0"/>
    <w:rsid w:val="00DE5663"/>
    <w:rsid w:val="00DE78AA"/>
    <w:rsid w:val="00DF42E7"/>
    <w:rsid w:val="00E053D0"/>
    <w:rsid w:val="00E15994"/>
    <w:rsid w:val="00E3114E"/>
    <w:rsid w:val="00E31A70"/>
    <w:rsid w:val="00E35B02"/>
    <w:rsid w:val="00E56B0B"/>
    <w:rsid w:val="00E66496"/>
    <w:rsid w:val="00E66B35"/>
    <w:rsid w:val="00E66E10"/>
    <w:rsid w:val="00E769F6"/>
    <w:rsid w:val="00E8407C"/>
    <w:rsid w:val="00E84F3C"/>
    <w:rsid w:val="00EA012C"/>
    <w:rsid w:val="00EC6A55"/>
    <w:rsid w:val="00ED0288"/>
    <w:rsid w:val="00EE52CB"/>
    <w:rsid w:val="00EF581D"/>
    <w:rsid w:val="00EF7A6D"/>
    <w:rsid w:val="00EF7FD8"/>
    <w:rsid w:val="00F03028"/>
    <w:rsid w:val="00F06F59"/>
    <w:rsid w:val="00F17988"/>
    <w:rsid w:val="00F469F0"/>
    <w:rsid w:val="00F53273"/>
    <w:rsid w:val="00F53BBF"/>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79098"/>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1E51D5"/>
    <w:pPr>
      <w:keepNext/>
      <w:keepLines/>
      <w:spacing w:before="360" w:after="80" w:line="260" w:lineRule="atLeast"/>
      <w:jc w:val="both"/>
      <w:outlineLvl w:val="1"/>
    </w:pPr>
    <w:rPr>
      <w:rFonts w:ascii="Palatino Linotype" w:eastAsia="Palatino Linotype" w:hAnsi="Palatino Linotype" w:cs="Palatino Linotype"/>
      <w:b/>
      <w:color w:val="000000"/>
      <w:sz w:val="36"/>
      <w:szCs w:val="36"/>
      <w:lang w:eastAsia="zh-CN"/>
    </w:rPr>
  </w:style>
  <w:style w:type="paragraph" w:styleId="Heading3">
    <w:name w:val="heading 3"/>
    <w:basedOn w:val="Normal"/>
    <w:next w:val="Normal"/>
    <w:link w:val="Heading3Char"/>
    <w:uiPriority w:val="9"/>
    <w:semiHidden/>
    <w:unhideWhenUsed/>
    <w:qFormat/>
    <w:rsid w:val="001E51D5"/>
    <w:pPr>
      <w:keepNext/>
      <w:keepLines/>
      <w:spacing w:before="280" w:after="80" w:line="260" w:lineRule="atLeast"/>
      <w:jc w:val="both"/>
      <w:outlineLvl w:val="2"/>
    </w:pPr>
    <w:rPr>
      <w:rFonts w:ascii="Palatino Linotype" w:eastAsia="Palatino Linotype" w:hAnsi="Palatino Linotype" w:cs="Palatino Linotype"/>
      <w:b/>
      <w:color w:val="000000"/>
      <w:sz w:val="28"/>
      <w:szCs w:val="28"/>
      <w:lang w:eastAsia="zh-CN"/>
    </w:rPr>
  </w:style>
  <w:style w:type="paragraph" w:styleId="Heading4">
    <w:name w:val="heading 4"/>
    <w:basedOn w:val="Normal"/>
    <w:next w:val="Normal"/>
    <w:link w:val="Heading4Char"/>
    <w:uiPriority w:val="9"/>
    <w:semiHidden/>
    <w:unhideWhenUsed/>
    <w:qFormat/>
    <w:rsid w:val="001E51D5"/>
    <w:pPr>
      <w:keepNext/>
      <w:keepLines/>
      <w:spacing w:before="240" w:after="40" w:line="260" w:lineRule="atLeast"/>
      <w:jc w:val="both"/>
      <w:outlineLvl w:val="3"/>
    </w:pPr>
    <w:rPr>
      <w:rFonts w:ascii="Palatino Linotype" w:eastAsia="Palatino Linotype" w:hAnsi="Palatino Linotype" w:cs="Palatino Linotype"/>
      <w:b/>
      <w:color w:val="000000"/>
      <w:sz w:val="24"/>
      <w:szCs w:val="24"/>
      <w:lang w:eastAsia="zh-CN"/>
    </w:rPr>
  </w:style>
  <w:style w:type="paragraph" w:styleId="Heading5">
    <w:name w:val="heading 5"/>
    <w:basedOn w:val="Normal"/>
    <w:next w:val="Normal"/>
    <w:link w:val="Heading5Char"/>
    <w:uiPriority w:val="9"/>
    <w:semiHidden/>
    <w:unhideWhenUsed/>
    <w:qFormat/>
    <w:rsid w:val="001E51D5"/>
    <w:pPr>
      <w:keepNext/>
      <w:keepLines/>
      <w:spacing w:before="220" w:after="40" w:line="260" w:lineRule="atLeast"/>
      <w:jc w:val="both"/>
      <w:outlineLvl w:val="4"/>
    </w:pPr>
    <w:rPr>
      <w:rFonts w:ascii="Palatino Linotype" w:eastAsia="Palatino Linotype" w:hAnsi="Palatino Linotype" w:cs="Palatino Linotype"/>
      <w:b/>
      <w:color w:val="000000"/>
      <w:sz w:val="22"/>
      <w:szCs w:val="22"/>
      <w:lang w:eastAsia="zh-CN"/>
    </w:rPr>
  </w:style>
  <w:style w:type="paragraph" w:styleId="Heading6">
    <w:name w:val="heading 6"/>
    <w:basedOn w:val="Normal"/>
    <w:next w:val="Normal"/>
    <w:link w:val="Heading6Char"/>
    <w:uiPriority w:val="9"/>
    <w:semiHidden/>
    <w:unhideWhenUsed/>
    <w:qFormat/>
    <w:rsid w:val="001E51D5"/>
    <w:pPr>
      <w:keepNext/>
      <w:keepLines/>
      <w:spacing w:before="200" w:after="40" w:line="260" w:lineRule="atLeast"/>
      <w:jc w:val="both"/>
      <w:outlineLvl w:val="5"/>
    </w:pPr>
    <w:rPr>
      <w:rFonts w:ascii="Palatino Linotype" w:eastAsia="Palatino Linotype" w:hAnsi="Palatino Linotype" w:cs="Palatino Linotype"/>
      <w:b/>
      <w:color w:val="00000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MainHead">
    <w:name w:val="Main Head"/>
    <w:basedOn w:val="Normal"/>
    <w:rsid w:val="00423789"/>
    <w:pPr>
      <w:keepNext/>
      <w:spacing w:after="240"/>
    </w:pPr>
    <w:rPr>
      <w:b/>
      <w:caps/>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uiPriority w:val="10"/>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2">
    <w:name w:val="Head2"/>
    <w:basedOn w:val="Normal"/>
    <w:next w:val="Body"/>
    <w:rsid w:val="00423789"/>
    <w:pPr>
      <w:keepNext/>
      <w:spacing w:after="240"/>
    </w:pPr>
    <w:rPr>
      <w:caps/>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uiPriority w:val="99"/>
    <w:qFormat/>
    <w:rsid w:val="00423789"/>
    <w:pPr>
      <w:tabs>
        <w:tab w:val="center" w:pos="4320"/>
        <w:tab w:val="right" w:pos="8640"/>
      </w:tabs>
    </w:pPr>
  </w:style>
  <w:style w:type="character" w:customStyle="1" w:styleId="FooterChar">
    <w:name w:val="Footer Char"/>
    <w:link w:val="Footer"/>
    <w:uiPriority w:val="99"/>
    <w:qFormat/>
    <w:rsid w:val="001E51D5"/>
    <w:rPr>
      <w:rFonts w:ascii="Helvetica" w:hAnsi="Helvetica"/>
    </w:rPr>
  </w:style>
  <w:style w:type="paragraph" w:customStyle="1" w:styleId="Head40">
    <w:name w:val="Head 4"/>
    <w:basedOn w:val="Head3"/>
    <w:rsid w:val="00423789"/>
    <w:rPr>
      <w:u w:val="none"/>
    </w:rPr>
  </w:style>
  <w:style w:type="paragraph" w:styleId="Header">
    <w:name w:val="header"/>
    <w:basedOn w:val="Normal"/>
    <w:link w:val="HeaderChar"/>
    <w:uiPriority w:val="99"/>
    <w:qFormat/>
    <w:rsid w:val="00423789"/>
    <w:pPr>
      <w:tabs>
        <w:tab w:val="center" w:pos="4320"/>
        <w:tab w:val="right" w:pos="8640"/>
      </w:tabs>
    </w:pPr>
  </w:style>
  <w:style w:type="character" w:customStyle="1" w:styleId="HeaderChar">
    <w:name w:val="Header Char"/>
    <w:link w:val="Header"/>
    <w:uiPriority w:val="99"/>
    <w:qFormat/>
    <w:rsid w:val="001E51D5"/>
    <w:rPr>
      <w:rFonts w:ascii="Helvetica" w:hAnsi="Helvetica"/>
    </w:r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qForma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qFormat/>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nhideWhenUsed/>
    <w:rsid w:val="00746E59"/>
    <w:rPr>
      <w:sz w:val="16"/>
      <w:szCs w:val="16"/>
    </w:rPr>
  </w:style>
  <w:style w:type="paragraph" w:styleId="CommentText">
    <w:name w:val="annotation text"/>
    <w:basedOn w:val="Normal"/>
    <w:link w:val="CommentTextChar"/>
    <w:unhideWhenUsed/>
    <w:rsid w:val="00746E59"/>
    <w:rPr>
      <w:rFonts w:ascii="Times New Roman" w:hAnsi="Times New Roman"/>
      <w:lang w:val="nb-NO" w:eastAsia="nb-NO"/>
    </w:rPr>
  </w:style>
  <w:style w:type="character" w:customStyle="1" w:styleId="CommentTextChar">
    <w:name w:val="Comment Text Char"/>
    <w:basedOn w:val="DefaultParagraphFont"/>
    <w:link w:val="CommentText"/>
    <w:rsid w:val="00746E59"/>
    <w:rPr>
      <w:lang w:val="nb-NO" w:eastAsia="nb-NO"/>
    </w:rPr>
  </w:style>
  <w:style w:type="paragraph" w:styleId="BalloonText">
    <w:name w:val="Balloon Text"/>
    <w:basedOn w:val="Normal"/>
    <w:link w:val="BalloonTextChar"/>
    <w:uiPriority w:val="99"/>
    <w:qFormat/>
    <w:rsid w:val="00746E59"/>
    <w:rPr>
      <w:rFonts w:ascii="Tahoma" w:hAnsi="Tahoma" w:cs="Tahoma"/>
      <w:sz w:val="16"/>
      <w:szCs w:val="16"/>
    </w:rPr>
  </w:style>
  <w:style w:type="character" w:customStyle="1" w:styleId="BalloonTextChar">
    <w:name w:val="Balloon Text Char"/>
    <w:basedOn w:val="DefaultParagraphFont"/>
    <w:link w:val="BalloonText"/>
    <w:uiPriority w:val="99"/>
    <w:qForma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uiPriority w:val="99"/>
    <w:qForma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MDPI21heading1">
    <w:name w:val="MDPI_2.1_heading1"/>
    <w:qFormat/>
    <w:rsid w:val="00503904"/>
    <w:pPr>
      <w:adjustRightInd w:val="0"/>
      <w:snapToGrid w:val="0"/>
      <w:spacing w:before="240" w:after="60" w:line="228" w:lineRule="auto"/>
      <w:ind w:left="2608"/>
      <w:jc w:val="both"/>
      <w:outlineLvl w:val="0"/>
    </w:pPr>
    <w:rPr>
      <w:rFonts w:ascii="Palatino Linotype" w:hAnsi="Palatino Linotype" w:cs="Palatino Linotype"/>
      <w:b/>
      <w:snapToGrid w:val="0"/>
      <w:color w:val="000000"/>
      <w:szCs w:val="22"/>
      <w:lang w:eastAsia="de-DE" w:bidi="en-US"/>
    </w:rPr>
  </w:style>
  <w:style w:type="paragraph" w:styleId="Caption">
    <w:name w:val="caption"/>
    <w:basedOn w:val="Normal"/>
    <w:next w:val="Normal"/>
    <w:uiPriority w:val="35"/>
    <w:unhideWhenUsed/>
    <w:qFormat/>
    <w:rsid w:val="001E51D5"/>
    <w:pPr>
      <w:spacing w:after="200"/>
    </w:pPr>
    <w:rPr>
      <w:rFonts w:asciiTheme="minorHAnsi" w:eastAsiaTheme="minorHAnsi" w:hAnsiTheme="minorHAnsi" w:cstheme="minorBidi"/>
      <w:i/>
      <w:iCs/>
      <w:color w:val="1F497D" w:themeColor="text2"/>
      <w:kern w:val="2"/>
      <w:sz w:val="18"/>
      <w:szCs w:val="18"/>
      <w:lang w:val="en-PH"/>
    </w:rPr>
  </w:style>
  <w:style w:type="character" w:customStyle="1" w:styleId="Heading2Char">
    <w:name w:val="Heading 2 Char"/>
    <w:basedOn w:val="DefaultParagraphFont"/>
    <w:link w:val="Heading2"/>
    <w:uiPriority w:val="9"/>
    <w:semiHidden/>
    <w:rsid w:val="001E51D5"/>
    <w:rPr>
      <w:rFonts w:ascii="Palatino Linotype" w:eastAsia="Palatino Linotype" w:hAnsi="Palatino Linotype" w:cs="Palatino Linotype"/>
      <w:b/>
      <w:color w:val="000000"/>
      <w:sz w:val="36"/>
      <w:szCs w:val="36"/>
      <w:lang w:eastAsia="zh-CN"/>
    </w:rPr>
  </w:style>
  <w:style w:type="character" w:customStyle="1" w:styleId="Heading3Char">
    <w:name w:val="Heading 3 Char"/>
    <w:basedOn w:val="DefaultParagraphFont"/>
    <w:link w:val="Heading3"/>
    <w:uiPriority w:val="9"/>
    <w:semiHidden/>
    <w:rsid w:val="001E51D5"/>
    <w:rPr>
      <w:rFonts w:ascii="Palatino Linotype" w:eastAsia="Palatino Linotype" w:hAnsi="Palatino Linotype" w:cs="Palatino Linotype"/>
      <w:b/>
      <w:color w:val="000000"/>
      <w:sz w:val="28"/>
      <w:szCs w:val="28"/>
      <w:lang w:eastAsia="zh-CN"/>
    </w:rPr>
  </w:style>
  <w:style w:type="character" w:customStyle="1" w:styleId="Heading4Char">
    <w:name w:val="Heading 4 Char"/>
    <w:basedOn w:val="DefaultParagraphFont"/>
    <w:link w:val="Heading4"/>
    <w:uiPriority w:val="9"/>
    <w:semiHidden/>
    <w:rsid w:val="001E51D5"/>
    <w:rPr>
      <w:rFonts w:ascii="Palatino Linotype" w:eastAsia="Palatino Linotype" w:hAnsi="Palatino Linotype" w:cs="Palatino Linotype"/>
      <w:b/>
      <w:color w:val="000000"/>
      <w:sz w:val="24"/>
      <w:szCs w:val="24"/>
      <w:lang w:eastAsia="zh-CN"/>
    </w:rPr>
  </w:style>
  <w:style w:type="character" w:customStyle="1" w:styleId="Heading5Char">
    <w:name w:val="Heading 5 Char"/>
    <w:basedOn w:val="DefaultParagraphFont"/>
    <w:link w:val="Heading5"/>
    <w:uiPriority w:val="9"/>
    <w:semiHidden/>
    <w:rsid w:val="001E51D5"/>
    <w:rPr>
      <w:rFonts w:ascii="Palatino Linotype" w:eastAsia="Palatino Linotype" w:hAnsi="Palatino Linotype" w:cs="Palatino Linotype"/>
      <w:b/>
      <w:color w:val="000000"/>
      <w:sz w:val="22"/>
      <w:szCs w:val="22"/>
      <w:lang w:eastAsia="zh-CN"/>
    </w:rPr>
  </w:style>
  <w:style w:type="character" w:customStyle="1" w:styleId="Heading6Char">
    <w:name w:val="Heading 6 Char"/>
    <w:basedOn w:val="DefaultParagraphFont"/>
    <w:link w:val="Heading6"/>
    <w:uiPriority w:val="9"/>
    <w:semiHidden/>
    <w:rsid w:val="001E51D5"/>
    <w:rPr>
      <w:rFonts w:ascii="Palatino Linotype" w:eastAsia="Palatino Linotype" w:hAnsi="Palatino Linotype" w:cs="Palatino Linotype"/>
      <w:b/>
      <w:color w:val="000000"/>
      <w:lang w:eastAsia="zh-CN"/>
    </w:rPr>
  </w:style>
  <w:style w:type="paragraph" w:styleId="BodyText">
    <w:name w:val="Body Text"/>
    <w:link w:val="BodyTextChar"/>
    <w:rsid w:val="001E51D5"/>
    <w:pPr>
      <w:spacing w:after="120" w:line="340" w:lineRule="atLeast"/>
      <w:jc w:val="both"/>
    </w:pPr>
    <w:rPr>
      <w:rFonts w:ascii="Palatino Linotype" w:eastAsia="Palatino Linotype" w:hAnsi="Palatino Linotype" w:cs="Palatino Linotype"/>
      <w:color w:val="000000"/>
      <w:sz w:val="24"/>
      <w:lang w:eastAsia="de-DE"/>
    </w:rPr>
  </w:style>
  <w:style w:type="character" w:customStyle="1" w:styleId="BodyTextChar">
    <w:name w:val="Body Text Char"/>
    <w:basedOn w:val="DefaultParagraphFont"/>
    <w:link w:val="BodyText"/>
    <w:rsid w:val="001E51D5"/>
    <w:rPr>
      <w:rFonts w:ascii="Palatino Linotype" w:eastAsia="Palatino Linotype" w:hAnsi="Palatino Linotype" w:cs="Palatino Linotype"/>
      <w:color w:val="000000"/>
      <w:sz w:val="24"/>
      <w:lang w:eastAsia="de-DE"/>
    </w:rPr>
  </w:style>
  <w:style w:type="paragraph" w:styleId="CommentSubject">
    <w:name w:val="annotation subject"/>
    <w:basedOn w:val="CommentText"/>
    <w:next w:val="CommentText"/>
    <w:link w:val="CommentSubjectChar"/>
    <w:rsid w:val="001E51D5"/>
    <w:pPr>
      <w:spacing w:line="260" w:lineRule="atLeast"/>
      <w:jc w:val="both"/>
    </w:pPr>
    <w:rPr>
      <w:rFonts w:ascii="Palatino Linotype" w:eastAsia="Palatino Linotype" w:hAnsi="Palatino Linotype" w:cs="Palatino Linotype"/>
      <w:b/>
      <w:bCs/>
      <w:color w:val="000000"/>
      <w:lang w:val="en-US" w:eastAsia="zh-CN"/>
    </w:rPr>
  </w:style>
  <w:style w:type="character" w:customStyle="1" w:styleId="CommentSubjectChar">
    <w:name w:val="Comment Subject Char"/>
    <w:basedOn w:val="CommentTextChar"/>
    <w:link w:val="CommentSubject"/>
    <w:rsid w:val="001E51D5"/>
    <w:rPr>
      <w:rFonts w:ascii="Palatino Linotype" w:eastAsia="Palatino Linotype" w:hAnsi="Palatino Linotype" w:cs="Palatino Linotype"/>
      <w:b/>
      <w:bCs/>
      <w:color w:val="000000"/>
      <w:lang w:val="nb-NO" w:eastAsia="zh-CN"/>
    </w:rPr>
  </w:style>
  <w:style w:type="character" w:styleId="EndnoteReference">
    <w:name w:val="endnote reference"/>
    <w:rsid w:val="001E51D5"/>
    <w:rPr>
      <w:vertAlign w:val="superscript"/>
    </w:rPr>
  </w:style>
  <w:style w:type="character" w:customStyle="1" w:styleId="EndnoteTextChar">
    <w:name w:val="Endnote Text Char"/>
    <w:basedOn w:val="DefaultParagraphFont"/>
    <w:link w:val="EndnoteText"/>
    <w:semiHidden/>
    <w:rsid w:val="001E51D5"/>
    <w:rPr>
      <w:rFonts w:ascii="Palatino Linotype" w:eastAsia="Palatino Linotype" w:hAnsi="Palatino Linotype" w:cs="Palatino Linotype"/>
      <w:color w:val="000000"/>
      <w:lang w:eastAsia="zh-CN"/>
    </w:rPr>
  </w:style>
  <w:style w:type="paragraph" w:styleId="EndnoteText">
    <w:name w:val="endnote text"/>
    <w:basedOn w:val="Normal"/>
    <w:link w:val="EndnoteTextChar"/>
    <w:semiHidden/>
    <w:unhideWhenUsed/>
    <w:rsid w:val="001E51D5"/>
    <w:pPr>
      <w:jc w:val="both"/>
    </w:pPr>
    <w:rPr>
      <w:rFonts w:ascii="Palatino Linotype" w:eastAsia="Palatino Linotype" w:hAnsi="Palatino Linotype" w:cs="Palatino Linotype"/>
      <w:color w:val="000000"/>
      <w:lang w:eastAsia="zh-CN"/>
    </w:rPr>
  </w:style>
  <w:style w:type="character" w:customStyle="1" w:styleId="FootnoteTextChar">
    <w:name w:val="Footnote Text Char"/>
    <w:basedOn w:val="DefaultParagraphFont"/>
    <w:link w:val="FootnoteText"/>
    <w:semiHidden/>
    <w:rsid w:val="001E51D5"/>
    <w:rPr>
      <w:rFonts w:ascii="Palatino Linotype" w:eastAsia="Palatino Linotype" w:hAnsi="Palatino Linotype" w:cs="Palatino Linotype"/>
      <w:color w:val="000000"/>
      <w:lang w:eastAsia="zh-CN"/>
    </w:rPr>
  </w:style>
  <w:style w:type="paragraph" w:styleId="FootnoteText">
    <w:name w:val="footnote text"/>
    <w:basedOn w:val="Normal"/>
    <w:link w:val="FootnoteTextChar"/>
    <w:semiHidden/>
    <w:unhideWhenUsed/>
    <w:rsid w:val="001E51D5"/>
    <w:pPr>
      <w:jc w:val="both"/>
    </w:pPr>
    <w:rPr>
      <w:rFonts w:ascii="Palatino Linotype" w:eastAsia="Palatino Linotype" w:hAnsi="Palatino Linotype" w:cs="Palatino Linotype"/>
      <w:color w:val="000000"/>
      <w:lang w:eastAsia="zh-CN"/>
    </w:rPr>
  </w:style>
  <w:style w:type="paragraph" w:styleId="NormalWeb">
    <w:name w:val="Normal (Web)"/>
    <w:basedOn w:val="Normal"/>
    <w:uiPriority w:val="99"/>
    <w:rsid w:val="001E51D5"/>
    <w:pPr>
      <w:spacing w:line="260" w:lineRule="atLeast"/>
      <w:jc w:val="both"/>
    </w:pPr>
    <w:rPr>
      <w:rFonts w:ascii="Palatino Linotype" w:eastAsia="Palatino Linotype" w:hAnsi="Palatino Linotype" w:cs="Palatino Linotype"/>
      <w:color w:val="000000"/>
      <w:szCs w:val="24"/>
      <w:lang w:eastAsia="zh-CN"/>
    </w:rPr>
  </w:style>
  <w:style w:type="character" w:styleId="PageNumber">
    <w:name w:val="page number"/>
    <w:rsid w:val="001E51D5"/>
  </w:style>
  <w:style w:type="character" w:styleId="Strong">
    <w:name w:val="Strong"/>
    <w:basedOn w:val="DefaultParagraphFont"/>
    <w:uiPriority w:val="22"/>
    <w:qFormat/>
    <w:rsid w:val="001E51D5"/>
    <w:rPr>
      <w:b/>
      <w:bCs/>
    </w:rPr>
  </w:style>
  <w:style w:type="paragraph" w:styleId="Subtitle">
    <w:name w:val="Subtitle"/>
    <w:basedOn w:val="Normal"/>
    <w:next w:val="Normal"/>
    <w:link w:val="SubtitleChar"/>
    <w:uiPriority w:val="11"/>
    <w:qFormat/>
    <w:rsid w:val="001E51D5"/>
    <w:pPr>
      <w:keepNext/>
      <w:keepLines/>
      <w:spacing w:before="360" w:after="80" w:line="260" w:lineRule="atLeast"/>
      <w:jc w:val="both"/>
    </w:pPr>
    <w:rPr>
      <w:rFonts w:ascii="Georgia" w:eastAsia="Georgia" w:hAnsi="Georgia" w:cs="Georgia"/>
      <w:i/>
      <w:color w:val="666666"/>
      <w:sz w:val="48"/>
      <w:szCs w:val="48"/>
      <w:lang w:eastAsia="zh-CN"/>
    </w:rPr>
  </w:style>
  <w:style w:type="character" w:customStyle="1" w:styleId="SubtitleChar">
    <w:name w:val="Subtitle Char"/>
    <w:basedOn w:val="DefaultParagraphFont"/>
    <w:link w:val="Subtitle"/>
    <w:uiPriority w:val="11"/>
    <w:rsid w:val="001E51D5"/>
    <w:rPr>
      <w:rFonts w:ascii="Georgia" w:eastAsia="Georgia" w:hAnsi="Georgia" w:cs="Georgia"/>
      <w:i/>
      <w:color w:val="666666"/>
      <w:sz w:val="48"/>
      <w:szCs w:val="48"/>
      <w:lang w:eastAsia="zh-CN"/>
    </w:rPr>
  </w:style>
  <w:style w:type="paragraph" w:customStyle="1" w:styleId="MDPI11articletype">
    <w:name w:val="MDPI_1.1_article_type"/>
    <w:next w:val="Normal"/>
    <w:qFormat/>
    <w:rsid w:val="001E51D5"/>
    <w:pPr>
      <w:adjustRightInd w:val="0"/>
      <w:snapToGrid w:val="0"/>
      <w:spacing w:before="240"/>
      <w:jc w:val="both"/>
    </w:pPr>
    <w:rPr>
      <w:rFonts w:ascii="Palatino Linotype" w:hAnsi="Palatino Linotype" w:cs="Palatino Linotype"/>
      <w:i/>
      <w:snapToGrid w:val="0"/>
      <w:color w:val="000000"/>
      <w:szCs w:val="22"/>
      <w:lang w:eastAsia="de-DE" w:bidi="en-US"/>
    </w:rPr>
  </w:style>
  <w:style w:type="paragraph" w:customStyle="1" w:styleId="MDPI12title">
    <w:name w:val="MDPI_1.2_title"/>
    <w:next w:val="Normal"/>
    <w:qFormat/>
    <w:rsid w:val="001E51D5"/>
    <w:pPr>
      <w:adjustRightInd w:val="0"/>
      <w:snapToGrid w:val="0"/>
      <w:spacing w:after="240" w:line="240" w:lineRule="atLeast"/>
      <w:jc w:val="both"/>
    </w:pPr>
    <w:rPr>
      <w:rFonts w:ascii="Palatino Linotype" w:hAnsi="Palatino Linotype" w:cs="Palatino Linotype"/>
      <w:b/>
      <w:snapToGrid w:val="0"/>
      <w:color w:val="000000"/>
      <w:sz w:val="36"/>
      <w:lang w:eastAsia="de-DE" w:bidi="en-US"/>
    </w:rPr>
  </w:style>
  <w:style w:type="paragraph" w:customStyle="1" w:styleId="MDPI13authornames">
    <w:name w:val="MDPI_1.3_authornames"/>
    <w:next w:val="Normal"/>
    <w:qFormat/>
    <w:rsid w:val="001E51D5"/>
    <w:pPr>
      <w:adjustRightInd w:val="0"/>
      <w:snapToGrid w:val="0"/>
      <w:spacing w:after="360" w:line="260" w:lineRule="atLeast"/>
      <w:jc w:val="both"/>
    </w:pPr>
    <w:rPr>
      <w:rFonts w:ascii="Palatino Linotype" w:hAnsi="Palatino Linotype" w:cs="Palatino Linotype"/>
      <w:b/>
      <w:color w:val="000000"/>
      <w:szCs w:val="22"/>
      <w:lang w:eastAsia="de-DE" w:bidi="en-US"/>
    </w:rPr>
  </w:style>
  <w:style w:type="paragraph" w:customStyle="1" w:styleId="MDPI14history">
    <w:name w:val="MDPI_1.4_history"/>
    <w:basedOn w:val="Normal"/>
    <w:next w:val="Normal"/>
    <w:qFormat/>
    <w:rsid w:val="001E51D5"/>
    <w:pPr>
      <w:adjustRightInd w:val="0"/>
      <w:snapToGrid w:val="0"/>
      <w:spacing w:line="240" w:lineRule="atLeast"/>
      <w:ind w:right="113"/>
    </w:pPr>
    <w:rPr>
      <w:rFonts w:ascii="Palatino Linotype" w:hAnsi="Palatino Linotype" w:cs="Palatino Linotype"/>
      <w:color w:val="000000"/>
      <w:sz w:val="14"/>
      <w:lang w:eastAsia="de-DE" w:bidi="en-US"/>
    </w:rPr>
  </w:style>
  <w:style w:type="paragraph" w:customStyle="1" w:styleId="MDPI16affiliation">
    <w:name w:val="MDPI_1.6_affiliation"/>
    <w:qFormat/>
    <w:rsid w:val="001E51D5"/>
    <w:pPr>
      <w:adjustRightInd w:val="0"/>
      <w:snapToGrid w:val="0"/>
      <w:spacing w:line="200" w:lineRule="atLeast"/>
      <w:ind w:left="2806" w:hanging="198"/>
      <w:jc w:val="both"/>
    </w:pPr>
    <w:rPr>
      <w:rFonts w:ascii="Palatino Linotype" w:hAnsi="Palatino Linotype" w:cs="Palatino Linotype"/>
      <w:color w:val="000000"/>
      <w:sz w:val="16"/>
      <w:szCs w:val="18"/>
      <w:lang w:eastAsia="de-DE" w:bidi="en-US"/>
    </w:rPr>
  </w:style>
  <w:style w:type="paragraph" w:customStyle="1" w:styleId="MDPI17abstract">
    <w:name w:val="MDPI_1.7_abstract"/>
    <w:next w:val="Normal"/>
    <w:qFormat/>
    <w:rsid w:val="001E51D5"/>
    <w:pPr>
      <w:adjustRightInd w:val="0"/>
      <w:snapToGrid w:val="0"/>
      <w:spacing w:before="240" w:line="260" w:lineRule="atLeast"/>
      <w:ind w:left="2608"/>
      <w:jc w:val="both"/>
    </w:pPr>
    <w:rPr>
      <w:rFonts w:ascii="Palatino Linotype" w:hAnsi="Palatino Linotype" w:cs="Palatino Linotype"/>
      <w:color w:val="000000"/>
      <w:sz w:val="18"/>
      <w:szCs w:val="22"/>
      <w:lang w:eastAsia="de-DE" w:bidi="en-US"/>
    </w:rPr>
  </w:style>
  <w:style w:type="paragraph" w:customStyle="1" w:styleId="MDPI18keywords">
    <w:name w:val="MDPI_1.8_keywords"/>
    <w:next w:val="Normal"/>
    <w:qFormat/>
    <w:rsid w:val="001E51D5"/>
    <w:pPr>
      <w:adjustRightInd w:val="0"/>
      <w:snapToGrid w:val="0"/>
      <w:spacing w:before="240" w:line="260" w:lineRule="atLeast"/>
      <w:ind w:left="2608"/>
      <w:jc w:val="both"/>
    </w:pPr>
    <w:rPr>
      <w:rFonts w:ascii="Palatino Linotype" w:hAnsi="Palatino Linotype" w:cs="Palatino Linotype"/>
      <w:snapToGrid w:val="0"/>
      <w:color w:val="000000"/>
      <w:sz w:val="18"/>
      <w:szCs w:val="22"/>
      <w:lang w:eastAsia="de-DE" w:bidi="en-US"/>
    </w:rPr>
  </w:style>
  <w:style w:type="paragraph" w:customStyle="1" w:styleId="MDPI19line">
    <w:name w:val="MDPI_1.9_line"/>
    <w:qFormat/>
    <w:rsid w:val="001E51D5"/>
    <w:pPr>
      <w:pBdr>
        <w:bottom w:val="single" w:sz="6" w:space="1" w:color="auto"/>
      </w:pBdr>
      <w:adjustRightInd w:val="0"/>
      <w:snapToGrid w:val="0"/>
      <w:spacing w:after="480" w:line="260" w:lineRule="atLeast"/>
      <w:ind w:left="2608"/>
      <w:jc w:val="both"/>
    </w:pPr>
    <w:rPr>
      <w:rFonts w:ascii="Palatino Linotype" w:hAnsi="Palatino Linotype" w:cs="Cordia New"/>
      <w:color w:val="000000"/>
      <w:szCs w:val="24"/>
      <w:lang w:eastAsia="de-DE" w:bidi="en-US"/>
    </w:rPr>
  </w:style>
  <w:style w:type="paragraph" w:customStyle="1" w:styleId="MDPIheaderjournallogo">
    <w:name w:val="MDPI_header_journal_logo"/>
    <w:qFormat/>
    <w:rsid w:val="001E51D5"/>
    <w:pPr>
      <w:adjustRightInd w:val="0"/>
      <w:snapToGrid w:val="0"/>
      <w:spacing w:line="260" w:lineRule="atLeast"/>
      <w:jc w:val="both"/>
    </w:pPr>
    <w:rPr>
      <w:rFonts w:ascii="Palatino Linotype" w:hAnsi="Palatino Linotype" w:cs="Palatino Linotype"/>
      <w:i/>
      <w:color w:val="000000"/>
      <w:sz w:val="24"/>
      <w:szCs w:val="22"/>
      <w:lang w:eastAsia="de-CH"/>
    </w:rPr>
  </w:style>
  <w:style w:type="paragraph" w:customStyle="1" w:styleId="MDPI32textnoindent">
    <w:name w:val="MDPI_3.2_text_no_indent"/>
    <w:basedOn w:val="MDPI31text"/>
    <w:qFormat/>
    <w:rsid w:val="001E51D5"/>
    <w:pPr>
      <w:ind w:firstLine="0"/>
    </w:pPr>
  </w:style>
  <w:style w:type="paragraph" w:customStyle="1" w:styleId="MDPI31text">
    <w:name w:val="MDPI_3.1_text"/>
    <w:qFormat/>
    <w:rsid w:val="001E51D5"/>
    <w:pPr>
      <w:adjustRightInd w:val="0"/>
      <w:snapToGrid w:val="0"/>
      <w:spacing w:line="228" w:lineRule="auto"/>
      <w:ind w:left="2608" w:firstLine="425"/>
      <w:jc w:val="both"/>
    </w:pPr>
    <w:rPr>
      <w:rFonts w:ascii="Palatino Linotype" w:hAnsi="Palatino Linotype" w:cs="Palatino Linotype"/>
      <w:snapToGrid w:val="0"/>
      <w:color w:val="000000"/>
      <w:szCs w:val="22"/>
      <w:lang w:eastAsia="de-DE" w:bidi="en-US"/>
    </w:rPr>
  </w:style>
  <w:style w:type="paragraph" w:customStyle="1" w:styleId="MDPI33textspaceafter">
    <w:name w:val="MDPI_3.3_text_space_after"/>
    <w:qFormat/>
    <w:rsid w:val="001E51D5"/>
    <w:pPr>
      <w:adjustRightInd w:val="0"/>
      <w:snapToGrid w:val="0"/>
      <w:spacing w:after="240" w:line="228" w:lineRule="auto"/>
      <w:ind w:left="2608"/>
      <w:jc w:val="both"/>
    </w:pPr>
    <w:rPr>
      <w:rFonts w:ascii="Palatino Linotype" w:hAnsi="Palatino Linotype" w:cs="Palatino Linotype"/>
      <w:snapToGrid w:val="0"/>
      <w:color w:val="000000"/>
      <w:szCs w:val="22"/>
      <w:lang w:eastAsia="de-DE" w:bidi="en-US"/>
    </w:rPr>
  </w:style>
  <w:style w:type="paragraph" w:customStyle="1" w:styleId="MDPI35textbeforelist">
    <w:name w:val="MDPI_3.5_text_before_list"/>
    <w:qFormat/>
    <w:rsid w:val="001E51D5"/>
    <w:pPr>
      <w:adjustRightInd w:val="0"/>
      <w:snapToGrid w:val="0"/>
      <w:spacing w:line="228" w:lineRule="auto"/>
      <w:ind w:left="2608" w:firstLine="425"/>
      <w:jc w:val="both"/>
    </w:pPr>
    <w:rPr>
      <w:rFonts w:ascii="Palatino Linotype" w:hAnsi="Palatino Linotype" w:cs="Palatino Linotype"/>
      <w:snapToGrid w:val="0"/>
      <w:color w:val="000000"/>
      <w:szCs w:val="22"/>
      <w:lang w:eastAsia="de-DE" w:bidi="en-US"/>
    </w:rPr>
  </w:style>
  <w:style w:type="paragraph" w:customStyle="1" w:styleId="MDPI36textafterlist">
    <w:name w:val="MDPI_3.6_text_after_list"/>
    <w:qFormat/>
    <w:rsid w:val="001E51D5"/>
    <w:pPr>
      <w:adjustRightInd w:val="0"/>
      <w:snapToGrid w:val="0"/>
      <w:spacing w:before="120" w:line="228" w:lineRule="auto"/>
      <w:ind w:left="2608"/>
      <w:jc w:val="both"/>
    </w:pPr>
    <w:rPr>
      <w:rFonts w:ascii="Palatino Linotype" w:hAnsi="Palatino Linotype" w:cs="Palatino Linotype"/>
      <w:snapToGrid w:val="0"/>
      <w:color w:val="000000"/>
      <w:szCs w:val="22"/>
      <w:lang w:eastAsia="de-DE" w:bidi="en-US"/>
    </w:rPr>
  </w:style>
  <w:style w:type="paragraph" w:customStyle="1" w:styleId="MDPI37itemize">
    <w:name w:val="MDPI_3.7_itemize"/>
    <w:qFormat/>
    <w:rsid w:val="001E51D5"/>
    <w:pPr>
      <w:numPr>
        <w:numId w:val="31"/>
      </w:numPr>
      <w:adjustRightInd w:val="0"/>
      <w:snapToGrid w:val="0"/>
      <w:spacing w:line="228" w:lineRule="auto"/>
      <w:jc w:val="both"/>
    </w:pPr>
    <w:rPr>
      <w:rFonts w:ascii="Palatino Linotype" w:hAnsi="Palatino Linotype" w:cs="Palatino Linotype"/>
      <w:color w:val="000000"/>
      <w:szCs w:val="22"/>
      <w:lang w:eastAsia="de-DE" w:bidi="en-US"/>
    </w:rPr>
  </w:style>
  <w:style w:type="paragraph" w:customStyle="1" w:styleId="MDPI38bullet">
    <w:name w:val="MDPI_3.8_bullet"/>
    <w:qFormat/>
    <w:rsid w:val="001E51D5"/>
    <w:pPr>
      <w:tabs>
        <w:tab w:val="left" w:pos="720"/>
      </w:tabs>
      <w:adjustRightInd w:val="0"/>
      <w:snapToGrid w:val="0"/>
      <w:spacing w:line="228" w:lineRule="auto"/>
      <w:ind w:left="720" w:hanging="720"/>
      <w:jc w:val="both"/>
    </w:pPr>
    <w:rPr>
      <w:rFonts w:ascii="Palatino Linotype" w:hAnsi="Palatino Linotype" w:cs="Palatino Linotype"/>
      <w:color w:val="000000"/>
      <w:szCs w:val="22"/>
      <w:lang w:eastAsia="de-DE" w:bidi="en-US"/>
    </w:rPr>
  </w:style>
  <w:style w:type="paragraph" w:customStyle="1" w:styleId="MDPI39equation">
    <w:name w:val="MDPI_3.9_equation"/>
    <w:qFormat/>
    <w:rsid w:val="001E51D5"/>
    <w:pPr>
      <w:adjustRightInd w:val="0"/>
      <w:snapToGrid w:val="0"/>
      <w:spacing w:before="120" w:after="120" w:line="260" w:lineRule="atLeast"/>
      <w:ind w:left="709"/>
      <w:jc w:val="center"/>
    </w:pPr>
    <w:rPr>
      <w:rFonts w:ascii="Palatino Linotype" w:hAnsi="Palatino Linotype" w:cs="Palatino Linotype"/>
      <w:snapToGrid w:val="0"/>
      <w:color w:val="000000"/>
      <w:szCs w:val="22"/>
      <w:lang w:eastAsia="de-DE" w:bidi="en-US"/>
    </w:rPr>
  </w:style>
  <w:style w:type="paragraph" w:customStyle="1" w:styleId="MDPI3aequationnumber">
    <w:name w:val="MDPI_3.a_equation_number"/>
    <w:qFormat/>
    <w:rsid w:val="001E51D5"/>
    <w:pPr>
      <w:spacing w:before="120" w:after="120"/>
      <w:jc w:val="right"/>
    </w:pPr>
    <w:rPr>
      <w:rFonts w:ascii="Palatino Linotype" w:hAnsi="Palatino Linotype" w:cs="Palatino Linotype"/>
      <w:snapToGrid w:val="0"/>
      <w:color w:val="000000"/>
      <w:szCs w:val="22"/>
      <w:lang w:eastAsia="de-DE" w:bidi="en-US"/>
    </w:rPr>
  </w:style>
  <w:style w:type="paragraph" w:customStyle="1" w:styleId="MDPI41tablecaption">
    <w:name w:val="MDPI_4.1_table_caption"/>
    <w:qFormat/>
    <w:rsid w:val="001E51D5"/>
    <w:pPr>
      <w:adjustRightInd w:val="0"/>
      <w:snapToGrid w:val="0"/>
      <w:spacing w:before="240" w:after="120" w:line="228" w:lineRule="auto"/>
      <w:ind w:left="2608"/>
      <w:jc w:val="both"/>
    </w:pPr>
    <w:rPr>
      <w:rFonts w:ascii="Palatino Linotype" w:hAnsi="Palatino Linotype" w:cs="Cordia New"/>
      <w:color w:val="000000"/>
      <w:sz w:val="18"/>
      <w:szCs w:val="22"/>
      <w:lang w:eastAsia="de-DE" w:bidi="en-US"/>
    </w:rPr>
  </w:style>
  <w:style w:type="paragraph" w:customStyle="1" w:styleId="MDPI42tablebody">
    <w:name w:val="MDPI_4.2_table_body"/>
    <w:qFormat/>
    <w:rsid w:val="001E51D5"/>
    <w:pPr>
      <w:adjustRightInd w:val="0"/>
      <w:snapToGrid w:val="0"/>
      <w:spacing w:line="260" w:lineRule="atLeast"/>
      <w:jc w:val="center"/>
    </w:pPr>
    <w:rPr>
      <w:rFonts w:ascii="Palatino Linotype" w:hAnsi="Palatino Linotype" w:cs="Palatino Linotype"/>
      <w:snapToGrid w:val="0"/>
      <w:color w:val="000000"/>
      <w:lang w:eastAsia="de-DE" w:bidi="en-US"/>
    </w:rPr>
  </w:style>
  <w:style w:type="paragraph" w:customStyle="1" w:styleId="MDPI43tablefooter">
    <w:name w:val="MDPI_4.3_table_footer"/>
    <w:next w:val="MDPI31text"/>
    <w:qFormat/>
    <w:rsid w:val="001E51D5"/>
    <w:pPr>
      <w:adjustRightInd w:val="0"/>
      <w:snapToGrid w:val="0"/>
      <w:spacing w:line="228" w:lineRule="auto"/>
      <w:ind w:left="2608"/>
      <w:jc w:val="both"/>
    </w:pPr>
    <w:rPr>
      <w:rFonts w:ascii="Palatino Linotype" w:hAnsi="Palatino Linotype" w:cs="Cordia New"/>
      <w:color w:val="000000"/>
      <w:sz w:val="18"/>
      <w:szCs w:val="22"/>
      <w:lang w:eastAsia="de-DE" w:bidi="en-US"/>
    </w:rPr>
  </w:style>
  <w:style w:type="paragraph" w:customStyle="1" w:styleId="MDPI51figurecaption">
    <w:name w:val="MDPI_5.1_figure_caption"/>
    <w:qFormat/>
    <w:rsid w:val="001E51D5"/>
    <w:pPr>
      <w:adjustRightInd w:val="0"/>
      <w:snapToGrid w:val="0"/>
      <w:spacing w:before="120" w:after="240" w:line="228" w:lineRule="auto"/>
      <w:ind w:left="2608"/>
      <w:jc w:val="both"/>
    </w:pPr>
    <w:rPr>
      <w:rFonts w:ascii="Palatino Linotype" w:hAnsi="Palatino Linotype" w:cs="Palatino Linotype"/>
      <w:color w:val="000000"/>
      <w:sz w:val="18"/>
      <w:lang w:eastAsia="de-DE" w:bidi="en-US"/>
    </w:rPr>
  </w:style>
  <w:style w:type="paragraph" w:customStyle="1" w:styleId="MDPI52figure">
    <w:name w:val="MDPI_5.2_figure"/>
    <w:qFormat/>
    <w:rsid w:val="001E51D5"/>
    <w:pPr>
      <w:adjustRightInd w:val="0"/>
      <w:snapToGrid w:val="0"/>
      <w:spacing w:before="240" w:after="120"/>
      <w:jc w:val="center"/>
    </w:pPr>
    <w:rPr>
      <w:rFonts w:ascii="Palatino Linotype" w:hAnsi="Palatino Linotype" w:cs="Palatino Linotype"/>
      <w:snapToGrid w:val="0"/>
      <w:color w:val="000000"/>
      <w:lang w:eastAsia="de-DE" w:bidi="en-US"/>
    </w:rPr>
  </w:style>
  <w:style w:type="paragraph" w:customStyle="1" w:styleId="MDPI23heading3">
    <w:name w:val="MDPI_2.3_heading3"/>
    <w:qFormat/>
    <w:rsid w:val="001E51D5"/>
    <w:pPr>
      <w:adjustRightInd w:val="0"/>
      <w:snapToGrid w:val="0"/>
      <w:spacing w:before="60" w:after="60" w:line="228" w:lineRule="auto"/>
      <w:ind w:left="2608"/>
      <w:jc w:val="both"/>
      <w:outlineLvl w:val="2"/>
    </w:pPr>
    <w:rPr>
      <w:rFonts w:ascii="Palatino Linotype" w:hAnsi="Palatino Linotype" w:cs="Palatino Linotype"/>
      <w:snapToGrid w:val="0"/>
      <w:color w:val="000000"/>
      <w:szCs w:val="22"/>
      <w:lang w:eastAsia="de-DE" w:bidi="en-US"/>
    </w:rPr>
  </w:style>
  <w:style w:type="paragraph" w:customStyle="1" w:styleId="MDPI22heading2">
    <w:name w:val="MDPI_2.2_heading2"/>
    <w:qFormat/>
    <w:rsid w:val="001E51D5"/>
    <w:pPr>
      <w:adjustRightInd w:val="0"/>
      <w:snapToGrid w:val="0"/>
      <w:spacing w:before="60" w:after="60" w:line="228" w:lineRule="auto"/>
      <w:ind w:left="2608"/>
      <w:jc w:val="both"/>
      <w:outlineLvl w:val="1"/>
    </w:pPr>
    <w:rPr>
      <w:rFonts w:ascii="Palatino Linotype" w:hAnsi="Palatino Linotype" w:cs="Palatino Linotype"/>
      <w:i/>
      <w:snapToGrid w:val="0"/>
      <w:color w:val="000000"/>
      <w:szCs w:val="22"/>
      <w:lang w:eastAsia="de-DE" w:bidi="en-US"/>
    </w:rPr>
  </w:style>
  <w:style w:type="paragraph" w:customStyle="1" w:styleId="MDPI71References">
    <w:name w:val="MDPI_7.1_References"/>
    <w:qFormat/>
    <w:rsid w:val="001E51D5"/>
    <w:pPr>
      <w:tabs>
        <w:tab w:val="left" w:pos="720"/>
      </w:tabs>
      <w:adjustRightInd w:val="0"/>
      <w:snapToGrid w:val="0"/>
      <w:spacing w:line="228" w:lineRule="auto"/>
      <w:ind w:left="720" w:hanging="720"/>
      <w:jc w:val="both"/>
    </w:pPr>
    <w:rPr>
      <w:rFonts w:ascii="Palatino Linotype" w:hAnsi="Palatino Linotype" w:cs="Palatino Linotype"/>
      <w:color w:val="000000"/>
      <w:sz w:val="18"/>
      <w:lang w:eastAsia="de-DE" w:bidi="en-US"/>
    </w:rPr>
  </w:style>
  <w:style w:type="paragraph" w:customStyle="1" w:styleId="MDPI34textspacebefore">
    <w:name w:val="MDPI_3.4_text_space_before"/>
    <w:qFormat/>
    <w:rsid w:val="001E51D5"/>
    <w:pPr>
      <w:adjustRightInd w:val="0"/>
      <w:snapToGrid w:val="0"/>
      <w:spacing w:before="240" w:line="228" w:lineRule="auto"/>
      <w:ind w:left="2608"/>
      <w:jc w:val="both"/>
    </w:pPr>
    <w:rPr>
      <w:rFonts w:ascii="Palatino Linotype" w:hAnsi="Palatino Linotype" w:cs="Palatino Linotype"/>
      <w:snapToGrid w:val="0"/>
      <w:color w:val="000000"/>
      <w:szCs w:val="22"/>
      <w:lang w:eastAsia="de-DE" w:bidi="en-US"/>
    </w:rPr>
  </w:style>
  <w:style w:type="paragraph" w:customStyle="1" w:styleId="MDPI81theorem">
    <w:name w:val="MDPI_8.1_theorem"/>
    <w:qFormat/>
    <w:rsid w:val="001E51D5"/>
    <w:pPr>
      <w:adjustRightInd w:val="0"/>
      <w:snapToGrid w:val="0"/>
      <w:spacing w:line="228" w:lineRule="auto"/>
      <w:ind w:left="2608"/>
      <w:jc w:val="both"/>
    </w:pPr>
    <w:rPr>
      <w:rFonts w:ascii="Palatino Linotype" w:hAnsi="Palatino Linotype" w:cs="Palatino Linotype"/>
      <w:i/>
      <w:snapToGrid w:val="0"/>
      <w:color w:val="000000"/>
      <w:szCs w:val="22"/>
      <w:lang w:eastAsia="de-DE" w:bidi="en-US"/>
    </w:rPr>
  </w:style>
  <w:style w:type="paragraph" w:customStyle="1" w:styleId="MDPI82proof">
    <w:name w:val="MDPI_8.2_proof"/>
    <w:qFormat/>
    <w:rsid w:val="001E51D5"/>
    <w:pPr>
      <w:adjustRightInd w:val="0"/>
      <w:snapToGrid w:val="0"/>
      <w:spacing w:line="228" w:lineRule="auto"/>
      <w:ind w:left="2608"/>
      <w:jc w:val="both"/>
    </w:pPr>
    <w:rPr>
      <w:rFonts w:ascii="Palatino Linotype" w:hAnsi="Palatino Linotype" w:cs="Palatino Linotype"/>
      <w:snapToGrid w:val="0"/>
      <w:color w:val="000000"/>
      <w:szCs w:val="22"/>
      <w:lang w:eastAsia="de-DE" w:bidi="en-US"/>
    </w:rPr>
  </w:style>
  <w:style w:type="paragraph" w:customStyle="1" w:styleId="MDPI61Citation">
    <w:name w:val="MDPI_6.1_Citation"/>
    <w:qFormat/>
    <w:rsid w:val="001E51D5"/>
    <w:pPr>
      <w:adjustRightInd w:val="0"/>
      <w:snapToGrid w:val="0"/>
      <w:spacing w:line="240" w:lineRule="atLeast"/>
      <w:ind w:right="113"/>
      <w:jc w:val="both"/>
    </w:pPr>
    <w:rPr>
      <w:rFonts w:ascii="Palatino Linotype" w:eastAsia="Palatino Linotype" w:hAnsi="Palatino Linotype" w:cs="Cordia New"/>
      <w:sz w:val="14"/>
      <w:szCs w:val="22"/>
      <w:lang w:eastAsia="zh-CN"/>
    </w:rPr>
  </w:style>
  <w:style w:type="paragraph" w:customStyle="1" w:styleId="MDPI62BackMatter">
    <w:name w:val="MDPI_6.2_BackMatter"/>
    <w:qFormat/>
    <w:rsid w:val="001E51D5"/>
    <w:pPr>
      <w:adjustRightInd w:val="0"/>
      <w:snapToGrid w:val="0"/>
      <w:spacing w:after="120" w:line="228" w:lineRule="auto"/>
      <w:ind w:left="2608"/>
      <w:jc w:val="both"/>
    </w:pPr>
    <w:rPr>
      <w:rFonts w:ascii="Palatino Linotype" w:hAnsi="Palatino Linotype" w:cs="Palatino Linotype"/>
      <w:snapToGrid w:val="0"/>
      <w:color w:val="000000"/>
      <w:sz w:val="18"/>
      <w:lang w:bidi="en-US"/>
    </w:rPr>
  </w:style>
  <w:style w:type="paragraph" w:customStyle="1" w:styleId="MDPI63Notes">
    <w:name w:val="MDPI_6.3_Notes"/>
    <w:qFormat/>
    <w:rsid w:val="001E51D5"/>
    <w:pPr>
      <w:adjustRightInd w:val="0"/>
      <w:snapToGrid w:val="0"/>
      <w:spacing w:after="120" w:line="240" w:lineRule="atLeast"/>
      <w:ind w:right="113"/>
      <w:jc w:val="both"/>
    </w:pPr>
    <w:rPr>
      <w:rFonts w:ascii="Palatino Linotype" w:eastAsia="Palatino Linotype" w:hAnsi="Palatino Linotype" w:cs="Palatino Linotype"/>
      <w:snapToGrid w:val="0"/>
      <w:color w:val="000000"/>
      <w:sz w:val="14"/>
      <w:lang w:bidi="en-US"/>
    </w:rPr>
  </w:style>
  <w:style w:type="paragraph" w:customStyle="1" w:styleId="MDPI15academiceditor">
    <w:name w:val="MDPI_1.5_academic_editor"/>
    <w:qFormat/>
    <w:rsid w:val="001E51D5"/>
    <w:pPr>
      <w:adjustRightInd w:val="0"/>
      <w:snapToGrid w:val="0"/>
      <w:spacing w:before="240" w:line="240" w:lineRule="atLeast"/>
      <w:ind w:right="113"/>
      <w:jc w:val="both"/>
    </w:pPr>
    <w:rPr>
      <w:rFonts w:ascii="Palatino Linotype" w:hAnsi="Palatino Linotype" w:cs="Palatino Linotype"/>
      <w:color w:val="000000"/>
      <w:sz w:val="14"/>
      <w:szCs w:val="22"/>
      <w:lang w:eastAsia="de-DE" w:bidi="en-US"/>
    </w:rPr>
  </w:style>
  <w:style w:type="paragraph" w:customStyle="1" w:styleId="MDPI19classification">
    <w:name w:val="MDPI_1.9_classification"/>
    <w:qFormat/>
    <w:rsid w:val="001E51D5"/>
    <w:pPr>
      <w:spacing w:before="240" w:line="260" w:lineRule="atLeast"/>
      <w:ind w:left="113"/>
      <w:jc w:val="both"/>
    </w:pPr>
    <w:rPr>
      <w:rFonts w:ascii="Palatino Linotype" w:hAnsi="Palatino Linotype" w:cs="Palatino Linotype"/>
      <w:b/>
      <w:color w:val="000000"/>
      <w:szCs w:val="22"/>
      <w:lang w:eastAsia="de-DE" w:bidi="en-US"/>
    </w:rPr>
  </w:style>
  <w:style w:type="paragraph" w:customStyle="1" w:styleId="MDPI411onetablecaption">
    <w:name w:val="MDPI_4.1.1_one_table_caption"/>
    <w:qFormat/>
    <w:rsid w:val="001E51D5"/>
    <w:pPr>
      <w:adjustRightInd w:val="0"/>
      <w:snapToGrid w:val="0"/>
      <w:spacing w:before="240" w:after="120" w:line="260" w:lineRule="atLeast"/>
      <w:jc w:val="center"/>
    </w:pPr>
    <w:rPr>
      <w:rFonts w:ascii="Palatino Linotype" w:eastAsia="Palatino Linotype" w:hAnsi="Palatino Linotype" w:cs="Cordia New"/>
      <w:color w:val="000000"/>
      <w:sz w:val="18"/>
      <w:szCs w:val="22"/>
      <w:lang w:eastAsia="zh-CN" w:bidi="en-US"/>
    </w:rPr>
  </w:style>
  <w:style w:type="paragraph" w:customStyle="1" w:styleId="MDPI511onefigurecaption">
    <w:name w:val="MDPI_5.1.1_one_figure_caption"/>
    <w:qFormat/>
    <w:rsid w:val="001E51D5"/>
    <w:pPr>
      <w:adjustRightInd w:val="0"/>
      <w:snapToGrid w:val="0"/>
      <w:spacing w:before="240" w:after="120" w:line="260" w:lineRule="atLeast"/>
      <w:jc w:val="center"/>
    </w:pPr>
    <w:rPr>
      <w:rFonts w:ascii="Palatino Linotype" w:eastAsia="Palatino Linotype" w:hAnsi="Palatino Linotype" w:cs="Palatino Linotype"/>
      <w:color w:val="000000"/>
      <w:sz w:val="18"/>
      <w:lang w:eastAsia="zh-CN" w:bidi="en-US"/>
    </w:rPr>
  </w:style>
  <w:style w:type="paragraph" w:customStyle="1" w:styleId="MDPI72Copyright">
    <w:name w:val="MDPI_7.2_Copyright"/>
    <w:qFormat/>
    <w:rsid w:val="001E51D5"/>
    <w:pPr>
      <w:adjustRightInd w:val="0"/>
      <w:snapToGrid w:val="0"/>
      <w:spacing w:before="240" w:line="240" w:lineRule="atLeast"/>
      <w:ind w:right="113"/>
      <w:jc w:val="both"/>
    </w:pPr>
    <w:rPr>
      <w:rFonts w:ascii="Palatino Linotype" w:hAnsi="Palatino Linotype" w:cs="Palatino Linotype"/>
      <w:snapToGrid w:val="0"/>
      <w:color w:val="000000"/>
      <w:spacing w:val="-2"/>
      <w:sz w:val="14"/>
      <w:lang w:val="en-GB" w:eastAsia="en-GB"/>
    </w:rPr>
  </w:style>
  <w:style w:type="paragraph" w:customStyle="1" w:styleId="MDPI73CopyrightImage">
    <w:name w:val="MDPI_7.3_CopyrightImage"/>
    <w:rsid w:val="001E51D5"/>
    <w:pPr>
      <w:adjustRightInd w:val="0"/>
      <w:snapToGrid w:val="0"/>
      <w:spacing w:after="100" w:line="260" w:lineRule="atLeast"/>
      <w:jc w:val="right"/>
    </w:pPr>
    <w:rPr>
      <w:rFonts w:ascii="Palatino Linotype" w:hAnsi="Palatino Linotype" w:cs="Palatino Linotype"/>
      <w:color w:val="000000"/>
      <w:lang w:eastAsia="de-CH"/>
    </w:rPr>
  </w:style>
  <w:style w:type="paragraph" w:customStyle="1" w:styleId="MDPIequationFram">
    <w:name w:val="MDPI_equationFram"/>
    <w:qFormat/>
    <w:rsid w:val="001E51D5"/>
    <w:pPr>
      <w:adjustRightInd w:val="0"/>
      <w:snapToGrid w:val="0"/>
      <w:spacing w:before="120" w:after="120"/>
      <w:jc w:val="center"/>
    </w:pPr>
    <w:rPr>
      <w:rFonts w:ascii="Palatino Linotype" w:hAnsi="Palatino Linotype" w:cs="Palatino Linotype"/>
      <w:snapToGrid w:val="0"/>
      <w:color w:val="000000"/>
      <w:szCs w:val="22"/>
      <w:lang w:eastAsia="de-DE" w:bidi="en-US"/>
    </w:rPr>
  </w:style>
  <w:style w:type="paragraph" w:customStyle="1" w:styleId="MDPIfooter">
    <w:name w:val="MDPI_footer"/>
    <w:qFormat/>
    <w:rsid w:val="001E51D5"/>
    <w:pPr>
      <w:adjustRightInd w:val="0"/>
      <w:snapToGrid w:val="0"/>
      <w:spacing w:before="120" w:line="260" w:lineRule="atLeast"/>
      <w:jc w:val="center"/>
    </w:pPr>
    <w:rPr>
      <w:rFonts w:ascii="Palatino Linotype" w:hAnsi="Palatino Linotype" w:cs="Palatino Linotype"/>
      <w:color w:val="000000"/>
      <w:lang w:eastAsia="de-DE"/>
    </w:rPr>
  </w:style>
  <w:style w:type="paragraph" w:customStyle="1" w:styleId="MDPIfooterfirstpage">
    <w:name w:val="MDPI_footer_firstpage"/>
    <w:qFormat/>
    <w:rsid w:val="001E51D5"/>
    <w:pPr>
      <w:tabs>
        <w:tab w:val="right" w:pos="8845"/>
      </w:tabs>
      <w:spacing w:line="160" w:lineRule="exact"/>
      <w:jc w:val="both"/>
    </w:pPr>
    <w:rPr>
      <w:rFonts w:ascii="Palatino Linotype" w:hAnsi="Palatino Linotype" w:cs="Palatino Linotype"/>
      <w:color w:val="000000"/>
      <w:sz w:val="16"/>
      <w:lang w:eastAsia="de-DE"/>
    </w:rPr>
  </w:style>
  <w:style w:type="paragraph" w:customStyle="1" w:styleId="MDPIheader">
    <w:name w:val="MDPI_header"/>
    <w:qFormat/>
    <w:rsid w:val="001E51D5"/>
    <w:pPr>
      <w:adjustRightInd w:val="0"/>
      <w:snapToGrid w:val="0"/>
      <w:spacing w:after="240" w:line="260" w:lineRule="atLeast"/>
      <w:jc w:val="both"/>
    </w:pPr>
    <w:rPr>
      <w:rFonts w:ascii="Palatino Linotype" w:hAnsi="Palatino Linotype" w:cs="Palatino Linotype"/>
      <w:iCs/>
      <w:color w:val="000000"/>
      <w:sz w:val="16"/>
      <w:lang w:eastAsia="de-DE"/>
    </w:rPr>
  </w:style>
  <w:style w:type="paragraph" w:customStyle="1" w:styleId="MDPIheadercitation">
    <w:name w:val="MDPI_header_citation"/>
    <w:rsid w:val="001E51D5"/>
    <w:pPr>
      <w:spacing w:after="240"/>
      <w:jc w:val="both"/>
    </w:pPr>
    <w:rPr>
      <w:rFonts w:ascii="Palatino Linotype" w:hAnsi="Palatino Linotype" w:cs="Palatino Linotype"/>
      <w:snapToGrid w:val="0"/>
      <w:color w:val="000000"/>
      <w:sz w:val="18"/>
      <w:lang w:eastAsia="de-DE" w:bidi="en-US"/>
    </w:rPr>
  </w:style>
  <w:style w:type="paragraph" w:customStyle="1" w:styleId="MDPIheadermdpilogo">
    <w:name w:val="MDPI_header_mdpi_logo"/>
    <w:qFormat/>
    <w:rsid w:val="001E51D5"/>
    <w:pPr>
      <w:adjustRightInd w:val="0"/>
      <w:snapToGrid w:val="0"/>
      <w:spacing w:line="260" w:lineRule="atLeast"/>
      <w:jc w:val="right"/>
    </w:pPr>
    <w:rPr>
      <w:rFonts w:ascii="Palatino Linotype" w:hAnsi="Palatino Linotype" w:cs="Palatino Linotype"/>
      <w:color w:val="000000"/>
      <w:sz w:val="24"/>
      <w:szCs w:val="22"/>
      <w:lang w:eastAsia="de-CH"/>
    </w:rPr>
  </w:style>
  <w:style w:type="paragraph" w:customStyle="1" w:styleId="MDPItext">
    <w:name w:val="MDPI_text"/>
    <w:qFormat/>
    <w:rsid w:val="001E51D5"/>
    <w:pPr>
      <w:spacing w:line="260" w:lineRule="atLeast"/>
      <w:ind w:left="425" w:right="425" w:firstLine="284"/>
      <w:jc w:val="both"/>
    </w:pPr>
    <w:rPr>
      <w:rFonts w:cs="Palatino Linotype"/>
      <w:snapToGrid w:val="0"/>
      <w:color w:val="000000"/>
      <w:sz w:val="22"/>
      <w:szCs w:val="22"/>
      <w:lang w:eastAsia="de-DE" w:bidi="en-US"/>
    </w:rPr>
  </w:style>
  <w:style w:type="paragraph" w:customStyle="1" w:styleId="MDPItitle">
    <w:name w:val="MDPI_title"/>
    <w:qFormat/>
    <w:rsid w:val="001E51D5"/>
    <w:pPr>
      <w:adjustRightInd w:val="0"/>
      <w:snapToGrid w:val="0"/>
      <w:spacing w:after="240" w:line="260" w:lineRule="atLeast"/>
      <w:jc w:val="both"/>
    </w:pPr>
    <w:rPr>
      <w:rFonts w:ascii="Palatino Linotype" w:hAnsi="Palatino Linotype" w:cs="Palatino Linotype"/>
      <w:b/>
      <w:snapToGrid w:val="0"/>
      <w:color w:val="000000"/>
      <w:sz w:val="36"/>
      <w:lang w:eastAsia="de-DE" w:bidi="en-US"/>
    </w:rPr>
  </w:style>
  <w:style w:type="character" w:customStyle="1" w:styleId="apple-converted-space">
    <w:name w:val="apple-converted-space"/>
    <w:rsid w:val="001E51D5"/>
  </w:style>
  <w:style w:type="paragraph" w:customStyle="1" w:styleId="MsoFootnoteText0">
    <w:name w:val="MsoFootnoteText"/>
    <w:basedOn w:val="NormalWeb"/>
    <w:qFormat/>
    <w:rsid w:val="001E51D5"/>
    <w:rPr>
      <w:rFonts w:ascii="Times New Roman" w:hAnsi="Times New Roman"/>
    </w:rPr>
  </w:style>
  <w:style w:type="paragraph" w:styleId="ListParagraph">
    <w:name w:val="List Paragraph"/>
    <w:basedOn w:val="Normal"/>
    <w:uiPriority w:val="34"/>
    <w:qFormat/>
    <w:rsid w:val="001E51D5"/>
    <w:pPr>
      <w:spacing w:line="276" w:lineRule="auto"/>
      <w:ind w:left="720"/>
      <w:contextualSpacing/>
    </w:pPr>
    <w:rPr>
      <w:rFonts w:ascii="Arial" w:eastAsia="Arial" w:hAnsi="Arial" w:cs="Arial"/>
      <w:sz w:val="22"/>
      <w:szCs w:val="22"/>
    </w:rPr>
  </w:style>
  <w:style w:type="character" w:customStyle="1" w:styleId="relative">
    <w:name w:val="relative"/>
    <w:basedOn w:val="DefaultParagraphFont"/>
    <w:rsid w:val="001E51D5"/>
  </w:style>
  <w:style w:type="character" w:customStyle="1" w:styleId="url">
    <w:name w:val="url"/>
    <w:basedOn w:val="DefaultParagraphFont"/>
    <w:rsid w:val="001E51D5"/>
  </w:style>
  <w:style w:type="character" w:customStyle="1" w:styleId="label">
    <w:name w:val="label"/>
    <w:basedOn w:val="DefaultParagraphFont"/>
    <w:rsid w:val="001E51D5"/>
  </w:style>
  <w:style w:type="paragraph" w:styleId="NoSpacing">
    <w:name w:val="No Spacing"/>
    <w:uiPriority w:val="1"/>
    <w:qFormat/>
    <w:rsid w:val="001E51D5"/>
    <w:rPr>
      <w:rFonts w:asciiTheme="minorHAnsi" w:eastAsiaTheme="minorHAnsi" w:hAnsiTheme="minorHAnsi" w:cstheme="minorBidi"/>
      <w:kern w:val="2"/>
      <w:sz w:val="24"/>
      <w:szCs w:val="24"/>
    </w:rPr>
  </w:style>
  <w:style w:type="paragraph" w:styleId="Revision">
    <w:name w:val="Revision"/>
    <w:hidden/>
    <w:uiPriority w:val="99"/>
    <w:unhideWhenUsed/>
    <w:rsid w:val="001E51D5"/>
    <w:rPr>
      <w:rFonts w:ascii="Palatino Linotype" w:eastAsia="Palatino Linotype" w:hAnsi="Palatino Linotype" w:cs="Palatino Linotype"/>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3390/educsci14060565" TargetMode="External"/><Relationship Id="rId26" Type="http://schemas.openxmlformats.org/officeDocument/2006/relationships/hyperlink" Target="https://doi.org/10.30935/jdet/13106" TargetMode="External"/><Relationship Id="rId39" Type="http://schemas.openxmlformats.org/officeDocument/2006/relationships/hyperlink" Target="https://doi.org/10.3389/feduc.2021.661736" TargetMode="External"/><Relationship Id="rId21" Type="http://schemas.openxmlformats.org/officeDocument/2006/relationships/hyperlink" Target="https://doi.org/10.3390/healthcare11040578" TargetMode="External"/><Relationship Id="rId34" Type="http://schemas.openxmlformats.org/officeDocument/2006/relationships/hyperlink" Target="https://doi.org/10.5296/jse.v15i2.22703" TargetMode="External"/><Relationship Id="rId42" Type="http://schemas.openxmlformats.org/officeDocument/2006/relationships/hyperlink" Target="https://doi.org/10.3390/su15032461" TargetMode="External"/><Relationship Id="rId47" Type="http://schemas.openxmlformats.org/officeDocument/2006/relationships/hyperlink" Target="https://doi.org/10.60027/jelr.2025.2206" TargetMode="External"/><Relationship Id="rId50" Type="http://schemas.openxmlformats.org/officeDocument/2006/relationships/hyperlink" Target="https://doi.org/10.59188/eduvest.v3i9.871" TargetMode="Externa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9734/ajess/2024/v50i71463" TargetMode="External"/><Relationship Id="rId29" Type="http://schemas.openxmlformats.org/officeDocument/2006/relationships/hyperlink" Target="https://doi.org/10.1177/00986283231218943" TargetMode="External"/><Relationship Id="rId11" Type="http://schemas.openxmlformats.org/officeDocument/2006/relationships/footer" Target="footer2.xml"/><Relationship Id="rId24" Type="http://schemas.openxmlformats.org/officeDocument/2006/relationships/hyperlink" Target="https://doi.org/10.11594/ijmaber.05.10.12" TargetMode="External"/><Relationship Id="rId32" Type="http://schemas.openxmlformats.org/officeDocument/2006/relationships/hyperlink" Target="https://doi.org/10.1177/1356336X241247757" TargetMode="External"/><Relationship Id="rId37" Type="http://schemas.openxmlformats.org/officeDocument/2006/relationships/hyperlink" Target="https://doi.org/10.1088/1742-6596/1860/1/012021" TargetMode="External"/><Relationship Id="rId40" Type="http://schemas.openxmlformats.org/officeDocument/2006/relationships/hyperlink" Target="https://doi.org/10.38140/pie.v41i2.7151" TargetMode="External"/><Relationship Id="rId45" Type="http://schemas.openxmlformats.org/officeDocument/2006/relationships/hyperlink" Target="https://doi.org/10.69481/XCBA8002" TargetMode="External"/><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46809/jpse.v4i4.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56557/ajahss/2018/v1i14" TargetMode="External"/><Relationship Id="rId22" Type="http://schemas.openxmlformats.org/officeDocument/2006/relationships/hyperlink" Target="https://doi.org/10.1177/01614681231161391" TargetMode="External"/><Relationship Id="rId27" Type="http://schemas.openxmlformats.org/officeDocument/2006/relationships/hyperlink" Target="https://doi.org/10.3389/fpsyg.2025.1632206" TargetMode="External"/><Relationship Id="rId30" Type="http://schemas.openxmlformats.org/officeDocument/2006/relationships/hyperlink" Target="https://doi.org/10.9734/ajess/2026/v52i53064" TargetMode="External"/><Relationship Id="rId35" Type="http://schemas.openxmlformats.org/officeDocument/2006/relationships/hyperlink" Target="https://doi.org/10.29303/jppipa.v10iSpecialIssue.8317" TargetMode="External"/><Relationship Id="rId43" Type="http://schemas.openxmlformats.org/officeDocument/2006/relationships/hyperlink" Target="https://doi.org/10.70838/pemj.450503" TargetMode="External"/><Relationship Id="rId48" Type="http://schemas.openxmlformats.org/officeDocument/2006/relationships/hyperlink" Target="https://doi.org/10.30534/ijeter/2021/22972021" TargetMode="External"/><Relationship Id="rId56" Type="http://schemas.openxmlformats.org/officeDocument/2006/relationships/header" Target="header6.xml"/><Relationship Id="rId8" Type="http://schemas.openxmlformats.org/officeDocument/2006/relationships/header" Target="header1.xml"/><Relationship Id="rId51" Type="http://schemas.openxmlformats.org/officeDocument/2006/relationships/hyperlink" Target="https://doi.org/10.29303/jppipa.v11i9.11095"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69569/jip.2025.351" TargetMode="External"/><Relationship Id="rId25" Type="http://schemas.openxmlformats.org/officeDocument/2006/relationships/hyperlink" Target="https://doi.org/10.11591/ijere.v11i2.22152" TargetMode="External"/><Relationship Id="rId33" Type="http://schemas.openxmlformats.org/officeDocument/2006/relationships/hyperlink" Target="https://doi.org/10.13189/saj.2022.100526" TargetMode="External"/><Relationship Id="rId38" Type="http://schemas.openxmlformats.org/officeDocument/2006/relationships/hyperlink" Target="https://doi.org/10.3389/fpsyg.2021.630197" TargetMode="External"/><Relationship Id="rId46" Type="http://schemas.openxmlformats.org/officeDocument/2006/relationships/hyperlink" Target="https://doi.org/10.46515/jaes.v9i1.549" TargetMode="External"/><Relationship Id="rId20" Type="http://schemas.openxmlformats.org/officeDocument/2006/relationships/hyperlink" Target="https://doi.org/10.1016/j.learninstruc.2025.102219" TargetMode="External"/><Relationship Id="rId41" Type="http://schemas.openxmlformats.org/officeDocument/2006/relationships/hyperlink" Target="https://doi.org/10.25134/erjee.v10i2.6252"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47119/IJRP1001221420234624" TargetMode="External"/><Relationship Id="rId23" Type="http://schemas.openxmlformats.org/officeDocument/2006/relationships/hyperlink" Target="https://doi.org/10.11594/ijmaber.04.04.12" TargetMode="External"/><Relationship Id="rId28" Type="http://schemas.openxmlformats.org/officeDocument/2006/relationships/hyperlink" Target="https://doi.org/10.1177/21582440241271267" TargetMode="External"/><Relationship Id="rId36" Type="http://schemas.openxmlformats.org/officeDocument/2006/relationships/hyperlink" Target="https://doi.org/10.69481/OLDP2064" TargetMode="External"/><Relationship Id="rId49" Type="http://schemas.openxmlformats.org/officeDocument/2006/relationships/hyperlink" Target="https://doi.org/10.24857/rgsa.v18n2-043" TargetMode="External"/><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doi.org/10.21009/biosferjpb.26030" TargetMode="External"/><Relationship Id="rId44" Type="http://schemas.openxmlformats.org/officeDocument/2006/relationships/hyperlink" Target="https://doi.org/10.1002/acp.70032" TargetMode="External"/><Relationship Id="rId52" Type="http://schemas.openxmlformats.org/officeDocument/2006/relationships/hyperlink" Target="https://doi.org/10.1088/1742-6596/1842/1/0120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D07F6-4CB2-495A-A093-9BAA2ABB0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49</TotalTime>
  <Pages>30</Pages>
  <Words>14482</Words>
  <Characters>82552</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96841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16</cp:revision>
  <cp:lastPrinted>1999-07-06T11:00:00Z</cp:lastPrinted>
  <dcterms:created xsi:type="dcterms:W3CDTF">2026-09-03T09:40:00Z</dcterms:created>
  <dcterms:modified xsi:type="dcterms:W3CDTF">2026-09-10T12:55:00Z</dcterms:modified>
</cp:coreProperties>
</file>