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6EF3C" w14:textId="77777777" w:rsidR="001F4C77" w:rsidRPr="0088382B" w:rsidRDefault="001F4C77" w:rsidP="001F4C77">
      <w:pPr>
        <w:jc w:val="both"/>
        <w:rPr>
          <w:rFonts w:ascii="Arial" w:hAnsi="Arial" w:cs="Arial"/>
        </w:rPr>
      </w:pPr>
    </w:p>
    <w:p w14:paraId="05F49583" w14:textId="77777777" w:rsidR="001F4C77" w:rsidRPr="001F1415" w:rsidRDefault="001F4C77" w:rsidP="001F4C77">
      <w:pPr>
        <w:jc w:val="center"/>
        <w:rPr>
          <w:rFonts w:ascii="Arial" w:hAnsi="Arial" w:cs="Arial"/>
          <w:b/>
          <w:sz w:val="32"/>
          <w:szCs w:val="32"/>
        </w:rPr>
      </w:pPr>
      <w:r w:rsidRPr="001F1415">
        <w:rPr>
          <w:rFonts w:ascii="Arial" w:hAnsi="Arial" w:cs="Arial"/>
          <w:b/>
          <w:sz w:val="32"/>
          <w:szCs w:val="32"/>
        </w:rPr>
        <w:t>The Relationship Between Artificial Intelligence Literacy, Self-Regulated Learning, and Academic Engagement Among University Students Who Use Generative AI at Indonesian Universities</w:t>
      </w:r>
    </w:p>
    <w:p w14:paraId="1318655C" w14:textId="77777777" w:rsidR="001F4C77" w:rsidRPr="001F1415" w:rsidRDefault="001F4C77" w:rsidP="001F4C77">
      <w:pPr>
        <w:jc w:val="center"/>
        <w:rPr>
          <w:rFonts w:ascii="Arial" w:hAnsi="Arial" w:cs="Arial"/>
        </w:rPr>
      </w:pPr>
    </w:p>
    <w:p w14:paraId="29F538B0" w14:textId="77777777" w:rsidR="001F4C77" w:rsidRPr="001F1415" w:rsidRDefault="001F4C77" w:rsidP="001F4C77">
      <w:pPr>
        <w:spacing w:after="0" w:line="240" w:lineRule="auto"/>
        <w:jc w:val="both"/>
        <w:rPr>
          <w:rFonts w:ascii="Arial" w:hAnsi="Arial" w:cs="Arial"/>
        </w:rPr>
      </w:pPr>
    </w:p>
    <w:p w14:paraId="3F8C8F9B"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Abstract</w:t>
      </w:r>
    </w:p>
    <w:p w14:paraId="67D2204F" w14:textId="77777777" w:rsidR="001F1415" w:rsidRPr="001F1415" w:rsidRDefault="001F1415" w:rsidP="001F4C77">
      <w:pPr>
        <w:spacing w:after="80" w:line="252" w:lineRule="auto"/>
        <w:jc w:val="both"/>
      </w:pPr>
      <w:r w:rsidRPr="001F1415">
        <w:t>Generative artificial intelligence (GenAI) is increasingly used by university students to support information retrieval, idea development, writing, feedback, and learning management, but its educational value may depend on students’ AI literacy and capacity for self-regulated learning. This study examined the associations of AI literacy and self-regulated learning with academic engagement among Indonesian university students who use GenAI. A quantitative associational design was applied to 312 students recruited through purposive online sampling. Data were collected using five-point Likert-scale measures and analysed through validity and reliability tests, classical assumption tests, multiple linear regression, t-tests, an F-test, and the coefficient of determination. AI literacy was positively associated with academic engagement (B = 0.463, t = 12.232, p &lt; 0.001), while self-regulated learning also showed a positive association (B = 0.523, t = 13.263, p &lt; 0.001). The standardised beta coefficient was higher for self-regulated learning (β = 0.496) than for AI literacy (β = 0.457). Together, the two predictors accounted for 64.5% of the variation in academic engagement (R² = 0.645; F = 281.011, p &lt; 0.001). These findings indicate that AI literacy and self-regulated learning are complementary capabilities associated with stronger academic engagement among GenAI-using students. The results support the importance of promoting critical AI use alongside students’ capacity to plan, monitor, and regulate their learning.</w:t>
      </w:r>
    </w:p>
    <w:p w14:paraId="260DA1B1" w14:textId="77777777" w:rsidR="001F1415" w:rsidRPr="001F1415" w:rsidRDefault="001F1415" w:rsidP="001F4C77">
      <w:pPr>
        <w:spacing w:after="80" w:line="252" w:lineRule="auto"/>
        <w:jc w:val="both"/>
      </w:pPr>
    </w:p>
    <w:p w14:paraId="5FBD9BED" w14:textId="77777777" w:rsidR="001F1415" w:rsidRPr="001F1415" w:rsidRDefault="001F1415" w:rsidP="001F4C77">
      <w:pPr>
        <w:spacing w:after="80" w:line="252" w:lineRule="auto"/>
        <w:jc w:val="both"/>
      </w:pPr>
    </w:p>
    <w:p w14:paraId="012F769C" w14:textId="55DAB02F" w:rsidR="001F4C77" w:rsidRPr="001F1415" w:rsidRDefault="001F4C77" w:rsidP="001F4C77">
      <w:pPr>
        <w:spacing w:after="80" w:line="252" w:lineRule="auto"/>
        <w:jc w:val="both"/>
        <w:rPr>
          <w:rFonts w:ascii="Arial" w:hAnsi="Arial" w:cs="Arial"/>
          <w:b/>
          <w:bCs/>
        </w:rPr>
      </w:pPr>
      <w:r w:rsidRPr="001F1415">
        <w:rPr>
          <w:rFonts w:ascii="Arial" w:hAnsi="Arial" w:cs="Arial"/>
          <w:b/>
          <w:bCs/>
          <w:i/>
        </w:rPr>
        <w:t xml:space="preserve">Keywords: </w:t>
      </w:r>
      <w:r w:rsidR="001F1415" w:rsidRPr="001F1415">
        <w:t>Artificial intelligence literacy; self-regulated learning; academic engagement; generative AI; higher education; university students</w:t>
      </w:r>
    </w:p>
    <w:p w14:paraId="14E5FD77"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Introduction</w:t>
      </w:r>
    </w:p>
    <w:p w14:paraId="4E59B41A" w14:textId="3E4836E1" w:rsidR="001F4C77" w:rsidRPr="001F1415" w:rsidRDefault="001F4C77" w:rsidP="001F1415">
      <w:pPr>
        <w:spacing w:after="80" w:line="252" w:lineRule="auto"/>
        <w:ind w:firstLine="720"/>
        <w:jc w:val="both"/>
        <w:rPr>
          <w:rFonts w:ascii="Arial" w:hAnsi="Arial" w:cs="Arial"/>
        </w:rPr>
      </w:pPr>
      <w:r w:rsidRPr="001F1415">
        <w:rPr>
          <w:rFonts w:ascii="Arial" w:hAnsi="Arial" w:cs="Arial"/>
        </w:rPr>
        <w:t>Generative Artificial Intelligence has evolved from an experimental technology into a tool that college students increasingly use for information retrieval, brainstorming, writing, summarisation, problem-solving, and learning support. Studies of higher education students indicate that GenAI is perceived to offer benefits such as personalised learning support and academic efficiency, but it also raises concerns regarding accuracy, privacy, ethics, and dependency (Chan &amp; Hu, 2023).</w:t>
      </w:r>
      <w:r w:rsidR="001F1415" w:rsidRPr="001F1415">
        <w:rPr>
          <w:rFonts w:ascii="Arial" w:hAnsi="Arial" w:cs="Arial"/>
        </w:rPr>
        <w:t xml:space="preserve"> </w:t>
      </w:r>
      <w:r w:rsidRPr="001F1415">
        <w:rPr>
          <w:rFonts w:ascii="Arial" w:hAnsi="Arial" w:cs="Arial"/>
          <w:bCs/>
        </w:rPr>
        <w:t>Recent evidence from students and teachers likewise highlights the importance of institutional support and appropriate pedagogical integration when AI is introduced into educational practice (Kumar &amp; Saratha, 2025).</w:t>
      </w:r>
      <w:r w:rsidR="001F1415" w:rsidRPr="001F1415">
        <w:rPr>
          <w:rFonts w:ascii="Arial" w:hAnsi="Arial" w:cs="Arial"/>
        </w:rPr>
        <w:t xml:space="preserve"> </w:t>
      </w:r>
      <w:r w:rsidRPr="001F1415">
        <w:rPr>
          <w:rFonts w:ascii="Arial" w:hAnsi="Arial" w:cs="Arial"/>
        </w:rPr>
        <w:t>The Indonesian context indicates that the use of GenAI has become an integral part of students’ academic activities. A quantitative study of Indonesian students in 2026 reported that the adoption of GenAI is linked to perceptions of the technology’s practical role in supporting academic work, while recent qualitative research in Indonesian higher education highlights both efficiency benefits and risks such as dependency, a decline in critical thinking, and issues of academic integrity (Callista Syavina &amp; Surayya Ulfa, 2026; Rahiem, 2026).</w:t>
      </w:r>
      <w:r w:rsidR="001F1415" w:rsidRPr="001F1415">
        <w:rPr>
          <w:rFonts w:ascii="Arial" w:hAnsi="Arial" w:cs="Arial"/>
        </w:rPr>
        <w:t xml:space="preserve"> </w:t>
      </w:r>
      <w:r w:rsidRPr="001F1415">
        <w:rPr>
          <w:rFonts w:ascii="Arial" w:hAnsi="Arial" w:cs="Arial"/>
        </w:rPr>
        <w:t>Increased use of GenAI does not automatically mean that students have the ability to use the technology critically. AI literacy encompasses the ability to know and understand AI, use and apply it, evaluate its outputs, and understand ethical issues; thus, AI literacy is broader than simply the skill of crafting prompts or operating applications (Ng et al., 2021).</w:t>
      </w:r>
      <w:r w:rsidR="001F1415" w:rsidRPr="001F1415">
        <w:rPr>
          <w:rFonts w:ascii="Arial" w:hAnsi="Arial" w:cs="Arial"/>
        </w:rPr>
        <w:t xml:space="preserve"> </w:t>
      </w:r>
      <w:r w:rsidRPr="001F1415">
        <w:rPr>
          <w:rFonts w:ascii="Arial" w:hAnsi="Arial" w:cs="Arial"/>
          <w:bCs/>
        </w:rPr>
        <w:t>Recent higher-education evidence likewise supports treating AI literacy as a multidimensional competency involving students’ understanding and use of AI rather than mere access to AI tools (Satapathy et al., 2026).</w:t>
      </w:r>
      <w:r w:rsidR="001F1415" w:rsidRPr="001F1415">
        <w:rPr>
          <w:rFonts w:ascii="Arial" w:hAnsi="Arial" w:cs="Arial"/>
        </w:rPr>
        <w:t xml:space="preserve"> </w:t>
      </w:r>
      <w:r w:rsidRPr="001F1415">
        <w:rPr>
          <w:rFonts w:ascii="Arial" w:hAnsi="Arial" w:cs="Arial"/>
        </w:rPr>
        <w:t xml:space="preserve">UNESCO emphasises that the integration of </w:t>
      </w:r>
      <w:r w:rsidRPr="001F1415">
        <w:rPr>
          <w:rFonts w:ascii="Arial" w:hAnsi="Arial" w:cs="Arial"/>
        </w:rPr>
        <w:lastRenderedPageBreak/>
        <w:t>GenAI into education must maintain a human-centred approach, protect students’ agency, safeguard privacy, and ensure that technology is used to enhance thinking processes rather than replace them. Therefore, the ability to evaluate AI outputs, understand its limitations, and use the technology responsibly is a crucial part of the literacy students need (</w:t>
      </w:r>
      <w:r w:rsidR="00820C5E" w:rsidRPr="00820C5E">
        <w:rPr>
          <w:rFonts w:ascii="Arial" w:hAnsi="Arial" w:cs="Arial"/>
        </w:rPr>
        <w:t>Miao &amp; Holmes</w:t>
      </w:r>
      <w:r w:rsidRPr="001F1415">
        <w:rPr>
          <w:rFonts w:ascii="Arial" w:hAnsi="Arial" w:cs="Arial"/>
        </w:rPr>
        <w:t>, 2023).</w:t>
      </w:r>
    </w:p>
    <w:p w14:paraId="201C1274" w14:textId="0A7453A0" w:rsidR="003B1236" w:rsidRPr="001F1415" w:rsidRDefault="001F4C77" w:rsidP="001F1415">
      <w:pPr>
        <w:spacing w:after="80" w:line="252" w:lineRule="auto"/>
        <w:ind w:firstLine="720"/>
        <w:jc w:val="both"/>
        <w:rPr>
          <w:rFonts w:ascii="Arial" w:hAnsi="Arial" w:cs="Arial"/>
        </w:rPr>
      </w:pPr>
      <w:r w:rsidRPr="001F1415">
        <w:rPr>
          <w:rFonts w:ascii="Arial" w:hAnsi="Arial" w:cs="Arial"/>
        </w:rPr>
        <w:t>In addition to AI literacy, the effectiveness of GenAI-assisted learning is closely tied to students’ ability to manage their own learning processes. Self-regulated learning encompasses cognitive, metacognitive, behavioural, motivational, and affective aspects that enable individuals to set goals, choose strategies, monitor progress, and reflect on and adjust their learning processes (Panadero, 2017).</w:t>
      </w:r>
      <w:r w:rsidR="001F1415" w:rsidRPr="001F1415">
        <w:rPr>
          <w:rFonts w:ascii="Arial" w:hAnsi="Arial" w:cs="Arial"/>
        </w:rPr>
        <w:t xml:space="preserve"> </w:t>
      </w:r>
      <w:r w:rsidRPr="001F1415">
        <w:rPr>
          <w:rFonts w:ascii="Arial" w:hAnsi="Arial" w:cs="Arial"/>
        </w:rPr>
        <w:t>The self-regulated learning model positions students as active agents who plan, monitor, and reflect on their learning activities. In the context of GenAI, self-regulation skills are crucial because the technology’s instant answers can increase efficiency while also posing the risk of superficial information processing if students do not set goals, verify sources, or independently assess the quality of the output (Zimmerman, 2002; Ng, 2024).</w:t>
      </w:r>
      <w:r w:rsidR="001F1415" w:rsidRPr="001F1415">
        <w:rPr>
          <w:rFonts w:ascii="Arial" w:hAnsi="Arial" w:cs="Arial"/>
        </w:rPr>
        <w:t xml:space="preserve"> </w:t>
      </w:r>
      <w:r w:rsidRPr="001F1415">
        <w:rPr>
          <w:rFonts w:ascii="Arial" w:hAnsi="Arial" w:cs="Arial"/>
          <w:bCs/>
        </w:rPr>
        <w:t>Recent research in GenAI-supported higher education also indicates that self-regulated learning may be strengthened when students receive deliberate metacognitive support during AI-assisted learning (Xu et al., 2025).</w:t>
      </w:r>
    </w:p>
    <w:p w14:paraId="50CAD0BA" w14:textId="5F94E190" w:rsidR="001F4C77" w:rsidRPr="001F1415" w:rsidRDefault="001F4C77" w:rsidP="001F1415">
      <w:pPr>
        <w:spacing w:after="80" w:line="252" w:lineRule="auto"/>
        <w:ind w:firstLine="720"/>
        <w:jc w:val="both"/>
        <w:rPr>
          <w:rFonts w:ascii="Arial" w:hAnsi="Arial" w:cs="Arial"/>
        </w:rPr>
      </w:pPr>
      <w:r w:rsidRPr="001F1415">
        <w:rPr>
          <w:rFonts w:ascii="Arial" w:hAnsi="Arial" w:cs="Arial"/>
        </w:rPr>
        <w:t>Academic engagement describes students’ involvement in learning through the dimensions of behavioural, emotional, and cognitive engagement. This construct is important because engagement is evident not only in attendance or task completion but also in persistence, interest, cognitive investment, and the use of strategies to understand the material deeply (Fredricks et al., 2004).</w:t>
      </w:r>
      <w:r w:rsidR="001F1415" w:rsidRPr="001F1415">
        <w:rPr>
          <w:rFonts w:ascii="Arial" w:hAnsi="Arial" w:cs="Arial"/>
        </w:rPr>
        <w:t xml:space="preserve"> </w:t>
      </w:r>
      <w:r w:rsidRPr="001F1415">
        <w:rPr>
          <w:rFonts w:ascii="Arial" w:hAnsi="Arial" w:cs="Arial"/>
        </w:rPr>
        <w:t>Previous research on ChatGPT and student engagement indicates that GenAI can lead to patterns of both engagement and disengagement; thus, the mere presence of the technology is insufficient to guarantee the quality of learning engagement. The literature suggests further research into learning habits, how students manage their use of AI, and the mechanisms through which GenAI supports productive engagement (Lo et al., 2024).</w:t>
      </w:r>
      <w:r w:rsidR="001F1415" w:rsidRPr="001F1415">
        <w:rPr>
          <w:rFonts w:ascii="Arial" w:hAnsi="Arial" w:cs="Arial"/>
        </w:rPr>
        <w:t xml:space="preserve"> </w:t>
      </w:r>
      <w:r w:rsidRPr="001F1415">
        <w:rPr>
          <w:rFonts w:ascii="Arial" w:hAnsi="Arial" w:cs="Arial"/>
          <w:bCs/>
        </w:rPr>
        <w:t>Recent research further indicates that university students show heterogeneous patterns of engagement with AI that are associated with differences in AI literacy and learning practices (Medina-Gual &amp; Parejo, 2026; Qu et al., 2024).</w:t>
      </w:r>
      <w:r w:rsidR="001F1415" w:rsidRPr="001F1415">
        <w:rPr>
          <w:rFonts w:ascii="Arial" w:hAnsi="Arial" w:cs="Arial"/>
        </w:rPr>
        <w:t xml:space="preserve"> </w:t>
      </w:r>
      <w:r w:rsidRPr="001F1415">
        <w:rPr>
          <w:rFonts w:ascii="Arial" w:hAnsi="Arial" w:cs="Arial"/>
        </w:rPr>
        <w:t>Recent research also reveals a substantial relationship between GenAI competencies and student engagement across disciplines, as well as relationships among AI literacy, self-regulated learning, and academic achievement in GenAI-supported learning environments. However, quantitative evidence that directly tests AI literacy and self-regulated learning as two predictors of academic engagement among GenAI-using students in Indonesia remains limited (Sampah et al., 2026; Shi et al., 2025).</w:t>
      </w:r>
    </w:p>
    <w:p w14:paraId="0FB64DE9"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A preliminary exploratory survey involving 60 students was conducted to identify initial patterns regarding Generative AI usage and learning practices among university students before the main data collection. Table 1 presents the results of the preliminary survey.</w:t>
      </w:r>
    </w:p>
    <w:p w14:paraId="5FD78B0E"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Table 1. Pre-Survey Results</w:t>
      </w:r>
    </w:p>
    <w:tbl>
      <w:tblPr>
        <w:tblStyle w:val="TableGrid"/>
        <w:tblW w:w="0" w:type="auto"/>
        <w:jc w:val="center"/>
        <w:tblLook w:val="04A0" w:firstRow="1" w:lastRow="0" w:firstColumn="1" w:lastColumn="0" w:noHBand="0" w:noVBand="1"/>
      </w:tblPr>
      <w:tblGrid>
        <w:gridCol w:w="5953"/>
        <w:gridCol w:w="1134"/>
        <w:gridCol w:w="1134"/>
        <w:gridCol w:w="1247"/>
      </w:tblGrid>
      <w:tr w:rsidR="001F4C77" w:rsidRPr="001F1415" w14:paraId="78AF8CC4" w14:textId="77777777" w:rsidTr="001C45CA">
        <w:trPr>
          <w:jc w:val="center"/>
        </w:trPr>
        <w:tc>
          <w:tcPr>
            <w:tcW w:w="5953" w:type="dxa"/>
            <w:vAlign w:val="center"/>
          </w:tcPr>
          <w:p w14:paraId="6AFE86C1" w14:textId="77777777" w:rsidR="001F4C77" w:rsidRPr="001F1415" w:rsidRDefault="001F4C77" w:rsidP="001C45CA">
            <w:pPr>
              <w:jc w:val="both"/>
              <w:rPr>
                <w:rFonts w:ascii="Arial" w:hAnsi="Arial" w:cs="Arial"/>
              </w:rPr>
            </w:pPr>
            <w:r w:rsidRPr="001F1415">
              <w:rPr>
                <w:rFonts w:ascii="Arial" w:hAnsi="Arial" w:cs="Arial"/>
                <w:b/>
              </w:rPr>
              <w:t>Statement</w:t>
            </w:r>
          </w:p>
        </w:tc>
        <w:tc>
          <w:tcPr>
            <w:tcW w:w="1134" w:type="dxa"/>
            <w:vAlign w:val="center"/>
          </w:tcPr>
          <w:p w14:paraId="41847ED1" w14:textId="77777777" w:rsidR="001F4C77" w:rsidRPr="001F1415" w:rsidRDefault="001F4C77" w:rsidP="001C45CA">
            <w:pPr>
              <w:jc w:val="both"/>
              <w:rPr>
                <w:rFonts w:ascii="Arial" w:hAnsi="Arial" w:cs="Arial"/>
              </w:rPr>
            </w:pPr>
            <w:r w:rsidRPr="001F1415">
              <w:rPr>
                <w:rFonts w:ascii="Arial" w:hAnsi="Arial" w:cs="Arial"/>
                <w:b/>
              </w:rPr>
              <w:t>Yes</w:t>
            </w:r>
          </w:p>
        </w:tc>
        <w:tc>
          <w:tcPr>
            <w:tcW w:w="1134" w:type="dxa"/>
            <w:vAlign w:val="center"/>
          </w:tcPr>
          <w:p w14:paraId="1301F690" w14:textId="77777777" w:rsidR="001F4C77" w:rsidRPr="001F1415" w:rsidRDefault="001F4C77" w:rsidP="001C45CA">
            <w:pPr>
              <w:jc w:val="both"/>
              <w:rPr>
                <w:rFonts w:ascii="Arial" w:hAnsi="Arial" w:cs="Arial"/>
              </w:rPr>
            </w:pPr>
            <w:r w:rsidRPr="001F1415">
              <w:rPr>
                <w:rFonts w:ascii="Arial" w:hAnsi="Arial" w:cs="Arial"/>
                <w:b/>
              </w:rPr>
              <w:t>No</w:t>
            </w:r>
          </w:p>
        </w:tc>
        <w:tc>
          <w:tcPr>
            <w:tcW w:w="1247" w:type="dxa"/>
            <w:vAlign w:val="center"/>
          </w:tcPr>
          <w:p w14:paraId="4D5CB599" w14:textId="77777777" w:rsidR="001F4C77" w:rsidRPr="001F1415" w:rsidRDefault="001F4C77" w:rsidP="001C45CA">
            <w:pPr>
              <w:jc w:val="both"/>
              <w:rPr>
                <w:rFonts w:ascii="Arial" w:hAnsi="Arial" w:cs="Arial"/>
              </w:rPr>
            </w:pPr>
            <w:r w:rsidRPr="001F1415">
              <w:rPr>
                <w:rFonts w:ascii="Arial" w:hAnsi="Arial" w:cs="Arial"/>
                <w:b/>
              </w:rPr>
              <w:t>% Yes</w:t>
            </w:r>
          </w:p>
        </w:tc>
      </w:tr>
      <w:tr w:rsidR="001F4C77" w:rsidRPr="001F1415" w14:paraId="101231DD" w14:textId="77777777" w:rsidTr="001C45CA">
        <w:trPr>
          <w:jc w:val="center"/>
        </w:trPr>
        <w:tc>
          <w:tcPr>
            <w:tcW w:w="5953" w:type="dxa"/>
            <w:vAlign w:val="center"/>
          </w:tcPr>
          <w:p w14:paraId="01B82169" w14:textId="77777777" w:rsidR="001F4C77" w:rsidRPr="001F1415" w:rsidRDefault="001F4C77" w:rsidP="001C45CA">
            <w:pPr>
              <w:jc w:val="both"/>
              <w:rPr>
                <w:rFonts w:ascii="Arial" w:hAnsi="Arial" w:cs="Arial"/>
              </w:rPr>
            </w:pPr>
            <w:r w:rsidRPr="001F1415">
              <w:rPr>
                <w:rFonts w:ascii="Arial" w:hAnsi="Arial" w:cs="Arial"/>
              </w:rPr>
              <w:t>Using Generative AI to support academic tasks or activities</w:t>
            </w:r>
          </w:p>
        </w:tc>
        <w:tc>
          <w:tcPr>
            <w:tcW w:w="1134" w:type="dxa"/>
            <w:vAlign w:val="center"/>
          </w:tcPr>
          <w:p w14:paraId="0FE66355" w14:textId="77777777" w:rsidR="001F4C77" w:rsidRPr="001F1415" w:rsidRDefault="001F4C77" w:rsidP="001C45CA">
            <w:pPr>
              <w:jc w:val="both"/>
              <w:rPr>
                <w:rFonts w:ascii="Arial" w:hAnsi="Arial" w:cs="Arial"/>
              </w:rPr>
            </w:pPr>
            <w:r w:rsidRPr="001F1415">
              <w:rPr>
                <w:rFonts w:ascii="Arial" w:hAnsi="Arial" w:cs="Arial"/>
              </w:rPr>
              <w:t>55</w:t>
            </w:r>
          </w:p>
        </w:tc>
        <w:tc>
          <w:tcPr>
            <w:tcW w:w="1134" w:type="dxa"/>
            <w:vAlign w:val="center"/>
          </w:tcPr>
          <w:p w14:paraId="147D717A" w14:textId="77777777" w:rsidR="001F4C77" w:rsidRPr="001F1415" w:rsidRDefault="001F4C77" w:rsidP="001C45CA">
            <w:pPr>
              <w:jc w:val="both"/>
              <w:rPr>
                <w:rFonts w:ascii="Arial" w:hAnsi="Arial" w:cs="Arial"/>
              </w:rPr>
            </w:pPr>
            <w:r w:rsidRPr="001F1415">
              <w:rPr>
                <w:rFonts w:ascii="Arial" w:hAnsi="Arial" w:cs="Arial"/>
              </w:rPr>
              <w:t>5</w:t>
            </w:r>
          </w:p>
        </w:tc>
        <w:tc>
          <w:tcPr>
            <w:tcW w:w="1247" w:type="dxa"/>
            <w:vAlign w:val="center"/>
          </w:tcPr>
          <w:p w14:paraId="2B770547" w14:textId="77777777" w:rsidR="001F4C77" w:rsidRPr="001F1415" w:rsidRDefault="001F4C77" w:rsidP="001C45CA">
            <w:pPr>
              <w:jc w:val="both"/>
              <w:rPr>
                <w:rFonts w:ascii="Arial" w:hAnsi="Arial" w:cs="Arial"/>
              </w:rPr>
            </w:pPr>
            <w:r w:rsidRPr="001F1415">
              <w:rPr>
                <w:rFonts w:ascii="Arial" w:hAnsi="Arial" w:cs="Arial"/>
              </w:rPr>
              <w:t>91.7%</w:t>
            </w:r>
          </w:p>
        </w:tc>
      </w:tr>
      <w:tr w:rsidR="001F4C77" w:rsidRPr="001F1415" w14:paraId="2AC55CE9" w14:textId="77777777" w:rsidTr="001C45CA">
        <w:trPr>
          <w:jc w:val="center"/>
        </w:trPr>
        <w:tc>
          <w:tcPr>
            <w:tcW w:w="5953" w:type="dxa"/>
            <w:vAlign w:val="center"/>
          </w:tcPr>
          <w:p w14:paraId="250FA030" w14:textId="77777777" w:rsidR="001F4C77" w:rsidRPr="001F1415" w:rsidRDefault="001F4C77" w:rsidP="001C45CA">
            <w:pPr>
              <w:jc w:val="both"/>
              <w:rPr>
                <w:rFonts w:ascii="Arial" w:hAnsi="Arial" w:cs="Arial"/>
              </w:rPr>
            </w:pPr>
            <w:r w:rsidRPr="001F1415">
              <w:rPr>
                <w:rFonts w:ascii="Arial" w:hAnsi="Arial" w:cs="Arial"/>
              </w:rPr>
              <w:t>Have used AI-generated answers without adequately verifying the sources</w:t>
            </w:r>
          </w:p>
        </w:tc>
        <w:tc>
          <w:tcPr>
            <w:tcW w:w="1134" w:type="dxa"/>
            <w:vAlign w:val="center"/>
          </w:tcPr>
          <w:p w14:paraId="63810E0D" w14:textId="77777777" w:rsidR="001F4C77" w:rsidRPr="001F1415" w:rsidRDefault="001F4C77" w:rsidP="001C45CA">
            <w:pPr>
              <w:jc w:val="both"/>
              <w:rPr>
                <w:rFonts w:ascii="Arial" w:hAnsi="Arial" w:cs="Arial"/>
              </w:rPr>
            </w:pPr>
            <w:r w:rsidRPr="001F1415">
              <w:rPr>
                <w:rFonts w:ascii="Arial" w:hAnsi="Arial" w:cs="Arial"/>
              </w:rPr>
              <w:t>41</w:t>
            </w:r>
          </w:p>
        </w:tc>
        <w:tc>
          <w:tcPr>
            <w:tcW w:w="1134" w:type="dxa"/>
            <w:vAlign w:val="center"/>
          </w:tcPr>
          <w:p w14:paraId="690506E6" w14:textId="77777777" w:rsidR="001F4C77" w:rsidRPr="001F1415" w:rsidRDefault="001F4C77" w:rsidP="001C45CA">
            <w:pPr>
              <w:jc w:val="both"/>
              <w:rPr>
                <w:rFonts w:ascii="Arial" w:hAnsi="Arial" w:cs="Arial"/>
              </w:rPr>
            </w:pPr>
            <w:r w:rsidRPr="001F1415">
              <w:rPr>
                <w:rFonts w:ascii="Arial" w:hAnsi="Arial" w:cs="Arial"/>
              </w:rPr>
              <w:t>19</w:t>
            </w:r>
          </w:p>
        </w:tc>
        <w:tc>
          <w:tcPr>
            <w:tcW w:w="1247" w:type="dxa"/>
            <w:vAlign w:val="center"/>
          </w:tcPr>
          <w:p w14:paraId="00E6A144" w14:textId="77777777" w:rsidR="001F4C77" w:rsidRPr="001F1415" w:rsidRDefault="001F4C77" w:rsidP="001C45CA">
            <w:pPr>
              <w:jc w:val="both"/>
              <w:rPr>
                <w:rFonts w:ascii="Arial" w:hAnsi="Arial" w:cs="Arial"/>
              </w:rPr>
            </w:pPr>
            <w:r w:rsidRPr="001F1415">
              <w:rPr>
                <w:rFonts w:ascii="Arial" w:hAnsi="Arial" w:cs="Arial"/>
              </w:rPr>
              <w:t>68.3</w:t>
            </w:r>
          </w:p>
        </w:tc>
      </w:tr>
      <w:tr w:rsidR="001F4C77" w:rsidRPr="001F1415" w14:paraId="775BFADC" w14:textId="77777777" w:rsidTr="001C45CA">
        <w:trPr>
          <w:jc w:val="center"/>
        </w:trPr>
        <w:tc>
          <w:tcPr>
            <w:tcW w:w="5953" w:type="dxa"/>
            <w:vAlign w:val="center"/>
          </w:tcPr>
          <w:p w14:paraId="708A1AC1" w14:textId="77777777" w:rsidR="001F4C77" w:rsidRPr="001F1415" w:rsidRDefault="001F4C77" w:rsidP="001C45CA">
            <w:pPr>
              <w:jc w:val="both"/>
              <w:rPr>
                <w:rFonts w:ascii="Arial" w:hAnsi="Arial" w:cs="Arial"/>
              </w:rPr>
            </w:pPr>
            <w:r w:rsidRPr="001F1415">
              <w:rPr>
                <w:rFonts w:ascii="Arial" w:hAnsi="Arial" w:cs="Arial"/>
              </w:rPr>
              <w:t>Still have difficulty assessing the accuracy, bias, or limitations of AI outputs</w:t>
            </w:r>
          </w:p>
        </w:tc>
        <w:tc>
          <w:tcPr>
            <w:tcW w:w="1134" w:type="dxa"/>
            <w:vAlign w:val="center"/>
          </w:tcPr>
          <w:p w14:paraId="7D3147B9" w14:textId="77777777" w:rsidR="001F4C77" w:rsidRPr="001F1415" w:rsidRDefault="001F4C77" w:rsidP="001C45CA">
            <w:pPr>
              <w:jc w:val="both"/>
              <w:rPr>
                <w:rFonts w:ascii="Arial" w:hAnsi="Arial" w:cs="Arial"/>
              </w:rPr>
            </w:pPr>
            <w:r w:rsidRPr="001F1415">
              <w:rPr>
                <w:rFonts w:ascii="Arial" w:hAnsi="Arial" w:cs="Arial"/>
              </w:rPr>
              <w:t>44</w:t>
            </w:r>
          </w:p>
        </w:tc>
        <w:tc>
          <w:tcPr>
            <w:tcW w:w="1134" w:type="dxa"/>
            <w:vAlign w:val="center"/>
          </w:tcPr>
          <w:p w14:paraId="66997220" w14:textId="77777777" w:rsidR="001F4C77" w:rsidRPr="001F1415" w:rsidRDefault="001F4C77" w:rsidP="001C45CA">
            <w:pPr>
              <w:jc w:val="both"/>
              <w:rPr>
                <w:rFonts w:ascii="Arial" w:hAnsi="Arial" w:cs="Arial"/>
              </w:rPr>
            </w:pPr>
            <w:r w:rsidRPr="001F1415">
              <w:rPr>
                <w:rFonts w:ascii="Arial" w:hAnsi="Arial" w:cs="Arial"/>
              </w:rPr>
              <w:t>16</w:t>
            </w:r>
          </w:p>
        </w:tc>
        <w:tc>
          <w:tcPr>
            <w:tcW w:w="1247" w:type="dxa"/>
            <w:vAlign w:val="center"/>
          </w:tcPr>
          <w:p w14:paraId="27BC2173" w14:textId="77777777" w:rsidR="001F4C77" w:rsidRPr="001F1415" w:rsidRDefault="001F4C77" w:rsidP="001C45CA">
            <w:pPr>
              <w:jc w:val="both"/>
              <w:rPr>
                <w:rFonts w:ascii="Arial" w:hAnsi="Arial" w:cs="Arial"/>
              </w:rPr>
            </w:pPr>
            <w:r w:rsidRPr="001F1415">
              <w:rPr>
                <w:rFonts w:ascii="Arial" w:hAnsi="Arial" w:cs="Arial"/>
              </w:rPr>
              <w:t>73.3</w:t>
            </w:r>
          </w:p>
        </w:tc>
      </w:tr>
      <w:tr w:rsidR="001F4C77" w:rsidRPr="001F1415" w14:paraId="1D54B024" w14:textId="77777777" w:rsidTr="001C45CA">
        <w:trPr>
          <w:jc w:val="center"/>
        </w:trPr>
        <w:tc>
          <w:tcPr>
            <w:tcW w:w="5953" w:type="dxa"/>
            <w:vAlign w:val="center"/>
          </w:tcPr>
          <w:p w14:paraId="1EB3D212" w14:textId="77777777" w:rsidR="001F4C77" w:rsidRPr="001F1415" w:rsidRDefault="001F4C77" w:rsidP="001C45CA">
            <w:pPr>
              <w:jc w:val="both"/>
              <w:rPr>
                <w:rFonts w:ascii="Arial" w:hAnsi="Arial" w:cs="Arial"/>
              </w:rPr>
            </w:pPr>
            <w:r w:rsidRPr="001F1415">
              <w:rPr>
                <w:rFonts w:ascii="Arial" w:hAnsi="Arial" w:cs="Arial"/>
              </w:rPr>
              <w:t>Generative AI helps plan and organize learning strategies</w:t>
            </w:r>
          </w:p>
        </w:tc>
        <w:tc>
          <w:tcPr>
            <w:tcW w:w="1134" w:type="dxa"/>
            <w:vAlign w:val="center"/>
          </w:tcPr>
          <w:p w14:paraId="738EB1A9" w14:textId="77777777" w:rsidR="001F4C77" w:rsidRPr="001F1415" w:rsidRDefault="001F4C77" w:rsidP="001C45CA">
            <w:pPr>
              <w:jc w:val="both"/>
              <w:rPr>
                <w:rFonts w:ascii="Arial" w:hAnsi="Arial" w:cs="Arial"/>
              </w:rPr>
            </w:pPr>
            <w:r w:rsidRPr="001F1415">
              <w:rPr>
                <w:rFonts w:ascii="Arial" w:hAnsi="Arial" w:cs="Arial"/>
              </w:rPr>
              <w:t>48</w:t>
            </w:r>
          </w:p>
        </w:tc>
        <w:tc>
          <w:tcPr>
            <w:tcW w:w="1134" w:type="dxa"/>
            <w:vAlign w:val="center"/>
          </w:tcPr>
          <w:p w14:paraId="44429848" w14:textId="77777777" w:rsidR="001F4C77" w:rsidRPr="001F1415" w:rsidRDefault="001F4C77" w:rsidP="001C45CA">
            <w:pPr>
              <w:jc w:val="both"/>
              <w:rPr>
                <w:rFonts w:ascii="Arial" w:hAnsi="Arial" w:cs="Arial"/>
              </w:rPr>
            </w:pPr>
            <w:r w:rsidRPr="001F1415">
              <w:rPr>
                <w:rFonts w:ascii="Arial" w:hAnsi="Arial" w:cs="Arial"/>
              </w:rPr>
              <w:t>12</w:t>
            </w:r>
          </w:p>
        </w:tc>
        <w:tc>
          <w:tcPr>
            <w:tcW w:w="1247" w:type="dxa"/>
            <w:vAlign w:val="center"/>
          </w:tcPr>
          <w:p w14:paraId="49D8CD9C" w14:textId="77777777" w:rsidR="001F4C77" w:rsidRPr="001F1415" w:rsidRDefault="001F4C77" w:rsidP="001C45CA">
            <w:pPr>
              <w:jc w:val="both"/>
              <w:rPr>
                <w:rFonts w:ascii="Arial" w:hAnsi="Arial" w:cs="Arial"/>
              </w:rPr>
            </w:pPr>
            <w:r w:rsidRPr="001F1415">
              <w:rPr>
                <w:rFonts w:ascii="Arial" w:hAnsi="Arial" w:cs="Arial"/>
              </w:rPr>
              <w:t>80.0</w:t>
            </w:r>
          </w:p>
        </w:tc>
      </w:tr>
      <w:tr w:rsidR="001F4C77" w:rsidRPr="001F1415" w14:paraId="44AAA1FE" w14:textId="77777777" w:rsidTr="001C45CA">
        <w:trPr>
          <w:jc w:val="center"/>
        </w:trPr>
        <w:tc>
          <w:tcPr>
            <w:tcW w:w="5953" w:type="dxa"/>
            <w:vAlign w:val="center"/>
          </w:tcPr>
          <w:p w14:paraId="54F62015" w14:textId="77777777" w:rsidR="001F4C77" w:rsidRPr="001F1415" w:rsidRDefault="001F4C77" w:rsidP="001C45CA">
            <w:pPr>
              <w:jc w:val="both"/>
              <w:rPr>
                <w:rFonts w:ascii="Arial" w:hAnsi="Arial" w:cs="Arial"/>
              </w:rPr>
            </w:pPr>
            <w:r w:rsidRPr="001F1415">
              <w:rPr>
                <w:rFonts w:ascii="Arial" w:hAnsi="Arial" w:cs="Arial"/>
              </w:rPr>
              <w:t>Still having trouble managing study time even when using AI</w:t>
            </w:r>
          </w:p>
        </w:tc>
        <w:tc>
          <w:tcPr>
            <w:tcW w:w="1134" w:type="dxa"/>
            <w:vAlign w:val="center"/>
          </w:tcPr>
          <w:p w14:paraId="013998A7" w14:textId="77777777" w:rsidR="001F4C77" w:rsidRPr="001F1415" w:rsidRDefault="001F4C77" w:rsidP="001C45CA">
            <w:pPr>
              <w:jc w:val="both"/>
              <w:rPr>
                <w:rFonts w:ascii="Arial" w:hAnsi="Arial" w:cs="Arial"/>
              </w:rPr>
            </w:pPr>
            <w:r w:rsidRPr="001F1415">
              <w:rPr>
                <w:rFonts w:ascii="Arial" w:hAnsi="Arial" w:cs="Arial"/>
              </w:rPr>
              <w:t>39</w:t>
            </w:r>
          </w:p>
        </w:tc>
        <w:tc>
          <w:tcPr>
            <w:tcW w:w="1134" w:type="dxa"/>
            <w:vAlign w:val="center"/>
          </w:tcPr>
          <w:p w14:paraId="19A1FC09" w14:textId="77777777" w:rsidR="001F4C77" w:rsidRPr="001F1415" w:rsidRDefault="001F4C77" w:rsidP="001C45CA">
            <w:pPr>
              <w:jc w:val="both"/>
              <w:rPr>
                <w:rFonts w:ascii="Arial" w:hAnsi="Arial" w:cs="Arial"/>
              </w:rPr>
            </w:pPr>
            <w:r w:rsidRPr="001F1415">
              <w:rPr>
                <w:rFonts w:ascii="Arial" w:hAnsi="Arial" w:cs="Arial"/>
              </w:rPr>
              <w:t>21</w:t>
            </w:r>
          </w:p>
        </w:tc>
        <w:tc>
          <w:tcPr>
            <w:tcW w:w="1247" w:type="dxa"/>
            <w:vAlign w:val="center"/>
          </w:tcPr>
          <w:p w14:paraId="764EB60A" w14:textId="77777777" w:rsidR="001F4C77" w:rsidRPr="001F1415" w:rsidRDefault="001F4C77" w:rsidP="001C45CA">
            <w:pPr>
              <w:jc w:val="both"/>
              <w:rPr>
                <w:rFonts w:ascii="Arial" w:hAnsi="Arial" w:cs="Arial"/>
              </w:rPr>
            </w:pPr>
            <w:r w:rsidRPr="001F1415">
              <w:rPr>
                <w:rFonts w:ascii="Arial" w:hAnsi="Arial" w:cs="Arial"/>
              </w:rPr>
              <w:t>65.0</w:t>
            </w:r>
          </w:p>
        </w:tc>
      </w:tr>
      <w:tr w:rsidR="001F4C77" w:rsidRPr="001F1415" w14:paraId="14CA007C" w14:textId="77777777" w:rsidTr="001C45CA">
        <w:trPr>
          <w:jc w:val="center"/>
        </w:trPr>
        <w:tc>
          <w:tcPr>
            <w:tcW w:w="5953" w:type="dxa"/>
            <w:vAlign w:val="center"/>
          </w:tcPr>
          <w:p w14:paraId="61157559" w14:textId="77777777" w:rsidR="001F4C77" w:rsidRPr="001F1415" w:rsidRDefault="001F4C77" w:rsidP="001C45CA">
            <w:pPr>
              <w:jc w:val="both"/>
              <w:rPr>
                <w:rFonts w:ascii="Arial" w:hAnsi="Arial" w:cs="Arial"/>
              </w:rPr>
            </w:pPr>
            <w:r w:rsidRPr="001F1415">
              <w:rPr>
                <w:rFonts w:ascii="Arial" w:hAnsi="Arial" w:cs="Arial"/>
              </w:rPr>
              <w:t>Feel more actively engaged when AI is used critically to understand the material</w:t>
            </w:r>
          </w:p>
        </w:tc>
        <w:tc>
          <w:tcPr>
            <w:tcW w:w="1134" w:type="dxa"/>
            <w:vAlign w:val="center"/>
          </w:tcPr>
          <w:p w14:paraId="0F43BCA3" w14:textId="77777777" w:rsidR="001F4C77" w:rsidRPr="001F1415" w:rsidRDefault="001F4C77" w:rsidP="001C45CA">
            <w:pPr>
              <w:jc w:val="both"/>
              <w:rPr>
                <w:rFonts w:ascii="Arial" w:hAnsi="Arial" w:cs="Arial"/>
              </w:rPr>
            </w:pPr>
            <w:r w:rsidRPr="001F1415">
              <w:rPr>
                <w:rFonts w:ascii="Arial" w:hAnsi="Arial" w:cs="Arial"/>
              </w:rPr>
              <w:t>50</w:t>
            </w:r>
          </w:p>
        </w:tc>
        <w:tc>
          <w:tcPr>
            <w:tcW w:w="1134" w:type="dxa"/>
            <w:vAlign w:val="center"/>
          </w:tcPr>
          <w:p w14:paraId="34A882DF" w14:textId="77777777" w:rsidR="001F4C77" w:rsidRPr="001F1415" w:rsidRDefault="001F4C77" w:rsidP="001C45CA">
            <w:pPr>
              <w:jc w:val="both"/>
              <w:rPr>
                <w:rFonts w:ascii="Arial" w:hAnsi="Arial" w:cs="Arial"/>
              </w:rPr>
            </w:pPr>
            <w:r w:rsidRPr="001F1415">
              <w:rPr>
                <w:rFonts w:ascii="Arial" w:hAnsi="Arial" w:cs="Arial"/>
              </w:rPr>
              <w:t>10</w:t>
            </w:r>
          </w:p>
        </w:tc>
        <w:tc>
          <w:tcPr>
            <w:tcW w:w="1247" w:type="dxa"/>
            <w:vAlign w:val="center"/>
          </w:tcPr>
          <w:p w14:paraId="3FB16DB1" w14:textId="77777777" w:rsidR="001F4C77" w:rsidRPr="001F1415" w:rsidRDefault="001F4C77" w:rsidP="001C45CA">
            <w:pPr>
              <w:jc w:val="both"/>
              <w:rPr>
                <w:rFonts w:ascii="Arial" w:hAnsi="Arial" w:cs="Arial"/>
              </w:rPr>
            </w:pPr>
            <w:r w:rsidRPr="001F1415">
              <w:rPr>
                <w:rFonts w:ascii="Arial" w:hAnsi="Arial" w:cs="Arial"/>
              </w:rPr>
              <w:t>83.3%</w:t>
            </w:r>
          </w:p>
        </w:tc>
      </w:tr>
    </w:tbl>
    <w:p w14:paraId="24815F14"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Pre-survey data, 2026.</w:t>
      </w:r>
    </w:p>
    <w:p w14:paraId="1229476D"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lastRenderedPageBreak/>
        <w:t>This phenomenon illustrates two issues that may arise simultaneously: a high intensity of GenAI use alongside critical evaluation skills and learning management that do not always align. This situation is theoretically relevant for testing whether AI literacy and self-regulated learning are associated with student engagement in academic activities (Ng et al., 2021; Panadero, 2017; Lo et al., 2024). This study aims to examine the association between AI literacy, self-regulated learning, and academic engagement among college students who use GenAI in Indonesia.</w:t>
      </w:r>
    </w:p>
    <w:p w14:paraId="54A5ED2C"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Literature Review</w:t>
      </w:r>
    </w:p>
    <w:p w14:paraId="7C88A33F"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Artificial Intelligence Literacy</w:t>
      </w:r>
    </w:p>
    <w:p w14:paraId="20EBA82B" w14:textId="77777777" w:rsidR="001F4C77" w:rsidRPr="001F1415" w:rsidRDefault="001F4C77" w:rsidP="001F4C77">
      <w:pPr>
        <w:spacing w:after="80" w:line="252" w:lineRule="auto"/>
        <w:jc w:val="both"/>
        <w:rPr>
          <w:rFonts w:ascii="Arial" w:hAnsi="Arial" w:cs="Arial"/>
        </w:rPr>
      </w:pPr>
      <w:r w:rsidRPr="001F1415">
        <w:rPr>
          <w:rFonts w:ascii="Arial" w:hAnsi="Arial" w:cs="Arial"/>
        </w:rPr>
        <w:t>AI literacy is a set of competencies that enables individuals to understand, use, evaluate, and consider the ethical implications of AI technology. Ng and colleagues’ framework divides AI literacy into four main aspects: know and understand, use and apply, evaluate and create, and ethical issues (Ng et al., 2021).</w:t>
      </w:r>
    </w:p>
    <w:p w14:paraId="0B9F2BE7" w14:textId="47E57E9B" w:rsidR="001F4C77" w:rsidRPr="001F1415" w:rsidRDefault="001F4C77" w:rsidP="001F4C77">
      <w:pPr>
        <w:spacing w:after="80" w:line="252" w:lineRule="auto"/>
        <w:jc w:val="both"/>
        <w:rPr>
          <w:rFonts w:ascii="Arial" w:hAnsi="Arial" w:cs="Arial"/>
        </w:rPr>
      </w:pPr>
      <w:r w:rsidRPr="001F1415">
        <w:rPr>
          <w:rFonts w:ascii="Arial" w:hAnsi="Arial" w:cs="Arial"/>
        </w:rPr>
        <w:t>In GenAI-based learning, AI literacy means that students are able to assess the suitability of tools for task objectives, design interactions, verify outputs, recognise biases or hallucinations, and use AI results while maintaining academic responsibility. This approach aligns with the principles of human-centred AI, which places humans at the centre of thinking and decision-making processes (</w:t>
      </w:r>
      <w:r w:rsidR="00820C5E" w:rsidRPr="00820C5E">
        <w:rPr>
          <w:rFonts w:ascii="Arial" w:hAnsi="Arial" w:cs="Arial"/>
        </w:rPr>
        <w:t>Miao &amp; Holmes</w:t>
      </w:r>
      <w:r w:rsidRPr="001F1415">
        <w:rPr>
          <w:rFonts w:ascii="Arial" w:hAnsi="Arial" w:cs="Arial"/>
        </w:rPr>
        <w:t>, 2023; Chan &amp; Hu, 2023).</w:t>
      </w:r>
    </w:p>
    <w:p w14:paraId="7463EBD2"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Self-Regulated Learning</w:t>
      </w:r>
    </w:p>
    <w:p w14:paraId="385ACC41"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is an active process in which students regulate their cognition, motivation, behaviour, and environment to achieve learning goals. SRL is not a single strategy but a system that encompasses goal-setting, planning, monitoring, strategy adjustment, time management, and reflection following learning activities (Zimmerman, 2002; Panadero, 2017).</w:t>
      </w:r>
    </w:p>
    <w:p w14:paraId="0E5AA1EC" w14:textId="77777777" w:rsidR="001F4C77" w:rsidRPr="001F1415" w:rsidRDefault="001F4C77" w:rsidP="001F4C77">
      <w:pPr>
        <w:spacing w:after="80" w:line="252" w:lineRule="auto"/>
        <w:jc w:val="both"/>
        <w:rPr>
          <w:rFonts w:ascii="Arial" w:hAnsi="Arial" w:cs="Arial"/>
        </w:rPr>
      </w:pPr>
      <w:r w:rsidRPr="001F1415">
        <w:rPr>
          <w:rFonts w:ascii="Arial" w:hAnsi="Arial" w:cs="Arial"/>
        </w:rPr>
        <w:t>The use of GenAI can support self-regulated learning when the technology is used to develop plans, obtain feedback, generate practice questions, or monitor understanding; however, this support still depends on students’ ability to maintain control over their learning goals and strategies. Experimental studies show that GenAI-based chatbots can enhance aspects of SRL, behavioural engagement, and motivation when the technology is integrated into a purposeful instructional design (Ng, 2024).</w:t>
      </w:r>
    </w:p>
    <w:p w14:paraId="46029913"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Academic Engagement</w:t>
      </w:r>
    </w:p>
    <w:p w14:paraId="6CB74C89" w14:textId="77777777" w:rsidR="001F4C77" w:rsidRPr="001F1415" w:rsidRDefault="001F4C77" w:rsidP="001F4C77">
      <w:pPr>
        <w:spacing w:after="80" w:line="252" w:lineRule="auto"/>
        <w:jc w:val="both"/>
        <w:rPr>
          <w:rFonts w:ascii="Arial" w:hAnsi="Arial" w:cs="Arial"/>
        </w:rPr>
      </w:pPr>
      <w:r w:rsidRPr="001F1415">
        <w:rPr>
          <w:rFonts w:ascii="Arial" w:hAnsi="Arial" w:cs="Arial"/>
        </w:rPr>
        <w:t>Academic engagement refers to students’ active involvement in the learning experience, which can be understood through the dimensions of behavioural, emotional, and cognitive engagement. Behavioural engagement is evident in participation and persistence; emotional engagement relates to interest and affective responses; whereas cognitive engagement is reflected in mental investment and strategies for understanding the material deeply (Fredricks et al., 2004).</w:t>
      </w:r>
    </w:p>
    <w:p w14:paraId="4F000D6B" w14:textId="77777777" w:rsidR="001F4C77" w:rsidRPr="001F1415" w:rsidRDefault="001F4C77" w:rsidP="001F4C77">
      <w:pPr>
        <w:spacing w:after="80" w:line="252" w:lineRule="auto"/>
        <w:jc w:val="both"/>
        <w:rPr>
          <w:rFonts w:ascii="Arial" w:hAnsi="Arial" w:cs="Arial"/>
        </w:rPr>
      </w:pPr>
      <w:r w:rsidRPr="001F1415">
        <w:rPr>
          <w:rFonts w:ascii="Arial" w:hAnsi="Arial" w:cs="Arial"/>
        </w:rPr>
        <w:t>In learning environments with GenAI, engagement may increase when AI facilitates exploration, explanation, and interaction with the material, but it may decrease when students become passive and merely copy AI outputs into their assignments. Systematic reviews indicate that the relationships between GenAI use and engagement are ambivalent and highly dependent on how the technology is used (Lo et al., 2024).</w:t>
      </w:r>
    </w:p>
    <w:p w14:paraId="500FA035"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Hypothesis Development</w:t>
      </w:r>
    </w:p>
    <w:p w14:paraId="0281DF09" w14:textId="77777777" w:rsidR="001F4C77" w:rsidRPr="001F1415" w:rsidRDefault="001F4C77" w:rsidP="001F4C77">
      <w:pPr>
        <w:spacing w:after="80" w:line="252" w:lineRule="auto"/>
        <w:jc w:val="both"/>
        <w:rPr>
          <w:rFonts w:ascii="Arial" w:hAnsi="Arial" w:cs="Arial"/>
        </w:rPr>
      </w:pPr>
      <w:r w:rsidRPr="001F1415">
        <w:rPr>
          <w:rFonts w:ascii="Arial" w:hAnsi="Arial" w:cs="Arial"/>
        </w:rPr>
        <w:t>AI literacy is theoretically associated with academic engagement because students who understand AI’s capabilities and limitations may be better positioned to use the technology for exploration, evaluation, and meaningful academic activities.</w:t>
      </w:r>
    </w:p>
    <w:p w14:paraId="4B55FE36"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1</w:t>
      </w:r>
      <w:r w:rsidRPr="001F1415">
        <w:t>: AI literacy has a positive and significant relationship with academic engagement.</w:t>
      </w:r>
    </w:p>
    <w:p w14:paraId="3D064253"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is theoretically associated with academic engagement because students who are able to set goals, manage their time, monitor their understanding, and adjust their strategies may demonstrate stronger persistence and cognitive investment.</w:t>
      </w:r>
    </w:p>
    <w:p w14:paraId="342B396D"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2</w:t>
      </w:r>
      <w:r w:rsidRPr="001F1415">
        <w:t>: Self-regulated learning has a positive and significant relationship with academic engagement.</w:t>
      </w:r>
    </w:p>
    <w:p w14:paraId="7946EB2D" w14:textId="77777777" w:rsidR="001F4C77" w:rsidRPr="001F1415" w:rsidRDefault="001F4C77" w:rsidP="001F4C77">
      <w:pPr>
        <w:spacing w:after="80" w:line="252" w:lineRule="auto"/>
        <w:jc w:val="both"/>
        <w:rPr>
          <w:rFonts w:ascii="Arial" w:hAnsi="Arial" w:cs="Arial"/>
        </w:rPr>
      </w:pPr>
      <w:r w:rsidRPr="001F1415">
        <w:rPr>
          <w:rFonts w:ascii="Arial" w:hAnsi="Arial" w:cs="Arial"/>
        </w:rPr>
        <w:t xml:space="preserve">AI literacy and self-regulated learning are expected to jointly explain academic engagement because the ability to use technology must be accompanied by the ability to direct the learning process. AI </w:t>
      </w:r>
      <w:r w:rsidRPr="001F1415">
        <w:rPr>
          <w:rFonts w:ascii="Arial" w:hAnsi="Arial" w:cs="Arial"/>
        </w:rPr>
        <w:lastRenderedPageBreak/>
        <w:t>literacy provides the capacity to understand and evaluate systems, while SRL provides the capacity to control learning goals, strategies, and reflection (Shi et al., 2025; Ng et al., 2021; Panadero, 2017).</w:t>
      </w:r>
    </w:p>
    <w:p w14:paraId="30B922B9"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3</w:t>
      </w:r>
      <w:r w:rsidRPr="001F1415">
        <w:t>: AI literacy and self-regulated learning simultaneously show a significant association with academic engagement.</w:t>
      </w:r>
    </w:p>
    <w:p w14:paraId="4975D2F9"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Research Method</w:t>
      </w:r>
    </w:p>
    <w:p w14:paraId="482B6409"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rPr>
        <w:t>This study employs a quantitative approach with an associational research design to examine the predictive association between two predictor variables and one outcome variable. A survey design was chosen because the constructs of AI literacy, self-regulated learning, and academic engagement can be measured through respondents’ perceptions using a structured instrument (Creswell &amp; Creswell, 2018; Hair et al., 2019). The study population consisted of active college students in Indonesia who had used Generative AI for academic activities. Respondent criteria included being an active student at the diploma, bachelor’s, or master’s level; being at least 17 years old; having used GenAI within the past three months; and being willing to provide consent to participate as a respondent. The sampling technique used was purposive sampling because respondents had to meet characteristics aligned with the research objectives (Etikan et al., 2016). Data collection was conducted from January 2026 to April 2026. Respondents were recruited through online questionnaire distribution networks involving students from Indonesian universities using purposive online sampling. Participation was voluntary, and only students who met the inclusion criteria were included in the analysis.</w:t>
      </w:r>
    </w:p>
    <w:p w14:paraId="43A9955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minimum sample requirement was determined using an a priori power analysis for multiple linear regression with two predictors. Based on Cohen’s (1988) recommendation, assuming a medium effect size (f² = 0.15), a significance level of 0.05, and statistical power of 0.80, the minimum required sample was 68 respondents. Therefore, the obtained sample size of 312 respondents exceeded the minimum requirement for regression analysis.</w:t>
      </w:r>
    </w:p>
    <w:p w14:paraId="5BD33645"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This study followed institutional research ethics guidelines. Participation was voluntary, informed consent was obtained from all participants before questionnaire completion, and no personally identifiable information was collected. Data were used solely for academic purposes.</w:t>
      </w:r>
    </w:p>
    <w:p w14:paraId="50D5E515" w14:textId="77777777" w:rsidR="001F4C77" w:rsidRPr="001F1415" w:rsidRDefault="001F4C77" w:rsidP="001F4C77">
      <w:pPr>
        <w:spacing w:after="80" w:line="252" w:lineRule="auto"/>
        <w:ind w:firstLine="720"/>
        <w:jc w:val="both"/>
        <w:rPr>
          <w:rFonts w:ascii="Arial" w:hAnsi="Arial" w:cs="Arial"/>
        </w:rPr>
      </w:pPr>
    </w:p>
    <w:p w14:paraId="38C245AC"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Research Findings</w:t>
      </w:r>
    </w:p>
    <w:p w14:paraId="0FF7B8AB"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Respondent Characteristics</w:t>
      </w:r>
    </w:p>
    <w:p w14:paraId="2D744227"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2 Respondent Characteristics</w:t>
      </w:r>
    </w:p>
    <w:tbl>
      <w:tblPr>
        <w:tblStyle w:val="TableGrid"/>
        <w:tblW w:w="0" w:type="auto"/>
        <w:jc w:val="center"/>
        <w:tblLook w:val="04A0" w:firstRow="1" w:lastRow="0" w:firstColumn="1" w:lastColumn="0" w:noHBand="0" w:noVBand="1"/>
      </w:tblPr>
      <w:tblGrid>
        <w:gridCol w:w="1984"/>
        <w:gridCol w:w="2948"/>
        <w:gridCol w:w="1134"/>
        <w:gridCol w:w="1417"/>
      </w:tblGrid>
      <w:tr w:rsidR="001F4C77" w:rsidRPr="001F1415" w14:paraId="5D2A386F" w14:textId="77777777" w:rsidTr="001C45CA">
        <w:trPr>
          <w:jc w:val="center"/>
        </w:trPr>
        <w:tc>
          <w:tcPr>
            <w:tcW w:w="1984" w:type="dxa"/>
            <w:vAlign w:val="center"/>
          </w:tcPr>
          <w:p w14:paraId="601A9753" w14:textId="77777777" w:rsidR="001F4C77" w:rsidRPr="001F1415" w:rsidRDefault="001F4C77" w:rsidP="001C45CA">
            <w:pPr>
              <w:jc w:val="both"/>
              <w:rPr>
                <w:rFonts w:ascii="Arial" w:hAnsi="Arial" w:cs="Arial"/>
              </w:rPr>
            </w:pPr>
            <w:r w:rsidRPr="001F1415">
              <w:rPr>
                <w:rFonts w:ascii="Arial" w:hAnsi="Arial" w:cs="Arial"/>
                <w:b/>
              </w:rPr>
              <w:t>Characteristics</w:t>
            </w:r>
          </w:p>
        </w:tc>
        <w:tc>
          <w:tcPr>
            <w:tcW w:w="2948" w:type="dxa"/>
            <w:vAlign w:val="center"/>
          </w:tcPr>
          <w:p w14:paraId="772C3E17" w14:textId="77777777" w:rsidR="001F4C77" w:rsidRPr="001F1415" w:rsidRDefault="001F4C77" w:rsidP="001C45CA">
            <w:pPr>
              <w:jc w:val="both"/>
              <w:rPr>
                <w:rFonts w:ascii="Arial" w:hAnsi="Arial" w:cs="Arial"/>
              </w:rPr>
            </w:pPr>
            <w:r w:rsidRPr="001F1415">
              <w:rPr>
                <w:rFonts w:ascii="Arial" w:hAnsi="Arial" w:cs="Arial"/>
                <w:b/>
              </w:rPr>
              <w:t>Category</w:t>
            </w:r>
          </w:p>
        </w:tc>
        <w:tc>
          <w:tcPr>
            <w:tcW w:w="1134" w:type="dxa"/>
            <w:vAlign w:val="center"/>
          </w:tcPr>
          <w:p w14:paraId="7756EA9E" w14:textId="77777777" w:rsidR="001F4C77" w:rsidRPr="001F1415" w:rsidRDefault="001F4C77" w:rsidP="001C45CA">
            <w:pPr>
              <w:jc w:val="both"/>
              <w:rPr>
                <w:rFonts w:ascii="Arial" w:hAnsi="Arial" w:cs="Arial"/>
              </w:rPr>
            </w:pPr>
            <w:r w:rsidRPr="001F1415">
              <w:rPr>
                <w:rFonts w:ascii="Arial" w:hAnsi="Arial" w:cs="Arial"/>
                <w:b/>
              </w:rPr>
              <w:t>n</w:t>
            </w:r>
          </w:p>
        </w:tc>
        <w:tc>
          <w:tcPr>
            <w:tcW w:w="1417" w:type="dxa"/>
            <w:vAlign w:val="center"/>
          </w:tcPr>
          <w:p w14:paraId="5C73AFC0" w14:textId="77777777" w:rsidR="001F4C77" w:rsidRPr="001F1415" w:rsidRDefault="001F4C77" w:rsidP="001C45CA">
            <w:pPr>
              <w:jc w:val="both"/>
              <w:rPr>
                <w:rFonts w:ascii="Arial" w:hAnsi="Arial" w:cs="Arial"/>
              </w:rPr>
            </w:pPr>
            <w:r w:rsidRPr="001F1415">
              <w:rPr>
                <w:rFonts w:ascii="Arial" w:hAnsi="Arial" w:cs="Arial"/>
                <w:b/>
              </w:rPr>
              <w:t>%</w:t>
            </w:r>
          </w:p>
        </w:tc>
      </w:tr>
      <w:tr w:rsidR="001F4C77" w:rsidRPr="001F1415" w14:paraId="6363D13D" w14:textId="77777777" w:rsidTr="001C45CA">
        <w:trPr>
          <w:jc w:val="center"/>
        </w:trPr>
        <w:tc>
          <w:tcPr>
            <w:tcW w:w="1984" w:type="dxa"/>
            <w:vAlign w:val="center"/>
          </w:tcPr>
          <w:p w14:paraId="37C3D271" w14:textId="77777777" w:rsidR="001F4C77" w:rsidRPr="001F1415" w:rsidRDefault="001F4C77" w:rsidP="001C45CA">
            <w:pPr>
              <w:jc w:val="both"/>
              <w:rPr>
                <w:rFonts w:ascii="Arial" w:hAnsi="Arial" w:cs="Arial"/>
              </w:rPr>
            </w:pPr>
            <w:r w:rsidRPr="001F1415">
              <w:rPr>
                <w:rFonts w:ascii="Arial" w:hAnsi="Arial" w:cs="Arial"/>
              </w:rPr>
              <w:t>Gender</w:t>
            </w:r>
          </w:p>
        </w:tc>
        <w:tc>
          <w:tcPr>
            <w:tcW w:w="2948" w:type="dxa"/>
            <w:vAlign w:val="center"/>
          </w:tcPr>
          <w:p w14:paraId="6E6D03E7" w14:textId="77777777" w:rsidR="001F4C77" w:rsidRPr="001F1415" w:rsidRDefault="001F4C77" w:rsidP="001C45CA">
            <w:pPr>
              <w:jc w:val="both"/>
              <w:rPr>
                <w:rFonts w:ascii="Arial" w:hAnsi="Arial" w:cs="Arial"/>
              </w:rPr>
            </w:pPr>
            <w:r w:rsidRPr="001F1415">
              <w:rPr>
                <w:rFonts w:ascii="Arial" w:hAnsi="Arial" w:cs="Arial"/>
              </w:rPr>
              <w:t>Female</w:t>
            </w:r>
          </w:p>
        </w:tc>
        <w:tc>
          <w:tcPr>
            <w:tcW w:w="1134" w:type="dxa"/>
            <w:vAlign w:val="center"/>
          </w:tcPr>
          <w:p w14:paraId="673BA05D" w14:textId="77777777" w:rsidR="001F4C77" w:rsidRPr="001F1415" w:rsidRDefault="001F4C77" w:rsidP="001C45CA">
            <w:pPr>
              <w:jc w:val="both"/>
              <w:rPr>
                <w:rFonts w:ascii="Arial" w:hAnsi="Arial" w:cs="Arial"/>
              </w:rPr>
            </w:pPr>
            <w:r w:rsidRPr="001F1415">
              <w:rPr>
                <w:rFonts w:ascii="Arial" w:hAnsi="Arial" w:cs="Arial"/>
              </w:rPr>
              <w:t>176</w:t>
            </w:r>
          </w:p>
        </w:tc>
        <w:tc>
          <w:tcPr>
            <w:tcW w:w="1417" w:type="dxa"/>
            <w:vAlign w:val="center"/>
          </w:tcPr>
          <w:p w14:paraId="7583FBE7" w14:textId="77777777" w:rsidR="001F4C77" w:rsidRPr="001F1415" w:rsidRDefault="001F4C77" w:rsidP="001C45CA">
            <w:pPr>
              <w:jc w:val="both"/>
              <w:rPr>
                <w:rFonts w:ascii="Arial" w:hAnsi="Arial" w:cs="Arial"/>
              </w:rPr>
            </w:pPr>
            <w:r w:rsidRPr="001F1415">
              <w:rPr>
                <w:rFonts w:ascii="Arial" w:hAnsi="Arial" w:cs="Arial"/>
              </w:rPr>
              <w:t>56.4%</w:t>
            </w:r>
          </w:p>
        </w:tc>
      </w:tr>
      <w:tr w:rsidR="001F4C77" w:rsidRPr="001F1415" w14:paraId="10AFAD4D" w14:textId="77777777" w:rsidTr="001C45CA">
        <w:trPr>
          <w:jc w:val="center"/>
        </w:trPr>
        <w:tc>
          <w:tcPr>
            <w:tcW w:w="1984" w:type="dxa"/>
            <w:vAlign w:val="center"/>
          </w:tcPr>
          <w:p w14:paraId="075F08F9" w14:textId="77777777" w:rsidR="001F4C77" w:rsidRPr="001F1415" w:rsidRDefault="001F4C77" w:rsidP="001C45CA">
            <w:pPr>
              <w:jc w:val="both"/>
              <w:rPr>
                <w:rFonts w:ascii="Arial" w:hAnsi="Arial" w:cs="Arial"/>
              </w:rPr>
            </w:pPr>
          </w:p>
        </w:tc>
        <w:tc>
          <w:tcPr>
            <w:tcW w:w="2948" w:type="dxa"/>
            <w:vAlign w:val="center"/>
          </w:tcPr>
          <w:p w14:paraId="63E7FCF1" w14:textId="77777777" w:rsidR="001F4C77" w:rsidRPr="001F1415" w:rsidRDefault="001F4C77" w:rsidP="001C45CA">
            <w:pPr>
              <w:jc w:val="both"/>
              <w:rPr>
                <w:rFonts w:ascii="Arial" w:hAnsi="Arial" w:cs="Arial"/>
              </w:rPr>
            </w:pPr>
            <w:r w:rsidRPr="001F1415">
              <w:rPr>
                <w:rFonts w:ascii="Arial" w:hAnsi="Arial" w:cs="Arial"/>
              </w:rPr>
              <w:t>Male</w:t>
            </w:r>
          </w:p>
        </w:tc>
        <w:tc>
          <w:tcPr>
            <w:tcW w:w="1134" w:type="dxa"/>
            <w:vAlign w:val="center"/>
          </w:tcPr>
          <w:p w14:paraId="55DF8423" w14:textId="77777777" w:rsidR="001F4C77" w:rsidRPr="001F1415" w:rsidRDefault="001F4C77" w:rsidP="001C45CA">
            <w:pPr>
              <w:jc w:val="both"/>
              <w:rPr>
                <w:rFonts w:ascii="Arial" w:hAnsi="Arial" w:cs="Arial"/>
              </w:rPr>
            </w:pPr>
            <w:r w:rsidRPr="001F1415">
              <w:rPr>
                <w:rFonts w:ascii="Arial" w:hAnsi="Arial" w:cs="Arial"/>
              </w:rPr>
              <w:t>136</w:t>
            </w:r>
          </w:p>
        </w:tc>
        <w:tc>
          <w:tcPr>
            <w:tcW w:w="1417" w:type="dxa"/>
            <w:vAlign w:val="center"/>
          </w:tcPr>
          <w:p w14:paraId="7ADD23B4" w14:textId="77777777" w:rsidR="001F4C77" w:rsidRPr="001F1415" w:rsidRDefault="001F4C77" w:rsidP="001C45CA">
            <w:pPr>
              <w:jc w:val="both"/>
              <w:rPr>
                <w:rFonts w:ascii="Arial" w:hAnsi="Arial" w:cs="Arial"/>
              </w:rPr>
            </w:pPr>
            <w:r w:rsidRPr="001F1415">
              <w:rPr>
                <w:rFonts w:ascii="Arial" w:hAnsi="Arial" w:cs="Arial"/>
              </w:rPr>
              <w:t>43.6%</w:t>
            </w:r>
          </w:p>
        </w:tc>
      </w:tr>
      <w:tr w:rsidR="001F4C77" w:rsidRPr="001F1415" w14:paraId="0A0F6936" w14:textId="77777777" w:rsidTr="001C45CA">
        <w:trPr>
          <w:jc w:val="center"/>
        </w:trPr>
        <w:tc>
          <w:tcPr>
            <w:tcW w:w="1984" w:type="dxa"/>
            <w:vAlign w:val="center"/>
          </w:tcPr>
          <w:p w14:paraId="3E980EA8" w14:textId="77777777" w:rsidR="001F4C77" w:rsidRPr="001F1415" w:rsidRDefault="001F4C77" w:rsidP="001C45CA">
            <w:pPr>
              <w:jc w:val="both"/>
              <w:rPr>
                <w:rFonts w:ascii="Arial" w:hAnsi="Arial" w:cs="Arial"/>
              </w:rPr>
            </w:pPr>
            <w:r w:rsidRPr="001F1415">
              <w:rPr>
                <w:rFonts w:ascii="Arial" w:hAnsi="Arial" w:cs="Arial"/>
              </w:rPr>
              <w:t>Level</w:t>
            </w:r>
          </w:p>
        </w:tc>
        <w:tc>
          <w:tcPr>
            <w:tcW w:w="2948" w:type="dxa"/>
            <w:vAlign w:val="center"/>
          </w:tcPr>
          <w:p w14:paraId="6A7718E6" w14:textId="77777777" w:rsidR="001F4C77" w:rsidRPr="001F1415" w:rsidRDefault="001F4C77" w:rsidP="001C45CA">
            <w:pPr>
              <w:jc w:val="both"/>
              <w:rPr>
                <w:rFonts w:ascii="Arial" w:hAnsi="Arial" w:cs="Arial"/>
              </w:rPr>
            </w:pPr>
            <w:r w:rsidRPr="001F1415">
              <w:rPr>
                <w:rFonts w:ascii="Arial" w:hAnsi="Arial" w:cs="Arial"/>
              </w:rPr>
              <w:t>Diploma</w:t>
            </w:r>
          </w:p>
        </w:tc>
        <w:tc>
          <w:tcPr>
            <w:tcW w:w="1134" w:type="dxa"/>
            <w:vAlign w:val="center"/>
          </w:tcPr>
          <w:p w14:paraId="76030F89" w14:textId="77777777" w:rsidR="001F4C77" w:rsidRPr="001F1415" w:rsidRDefault="001F4C77" w:rsidP="001C45CA">
            <w:pPr>
              <w:jc w:val="both"/>
              <w:rPr>
                <w:rFonts w:ascii="Arial" w:hAnsi="Arial" w:cs="Arial"/>
              </w:rPr>
            </w:pPr>
            <w:r w:rsidRPr="001F1415">
              <w:rPr>
                <w:rFonts w:ascii="Arial" w:hAnsi="Arial" w:cs="Arial"/>
              </w:rPr>
              <w:t>36</w:t>
            </w:r>
          </w:p>
        </w:tc>
        <w:tc>
          <w:tcPr>
            <w:tcW w:w="1417" w:type="dxa"/>
            <w:vAlign w:val="center"/>
          </w:tcPr>
          <w:p w14:paraId="6E77EEC2" w14:textId="77777777" w:rsidR="001F4C77" w:rsidRPr="001F1415" w:rsidRDefault="001F4C77" w:rsidP="001C45CA">
            <w:pPr>
              <w:jc w:val="both"/>
              <w:rPr>
                <w:rFonts w:ascii="Arial" w:hAnsi="Arial" w:cs="Arial"/>
              </w:rPr>
            </w:pPr>
            <w:r w:rsidRPr="001F1415">
              <w:rPr>
                <w:rFonts w:ascii="Arial" w:hAnsi="Arial" w:cs="Arial"/>
              </w:rPr>
              <w:t>11.5%</w:t>
            </w:r>
          </w:p>
        </w:tc>
      </w:tr>
      <w:tr w:rsidR="001F4C77" w:rsidRPr="001F1415" w14:paraId="693C58C1" w14:textId="77777777" w:rsidTr="001C45CA">
        <w:trPr>
          <w:jc w:val="center"/>
        </w:trPr>
        <w:tc>
          <w:tcPr>
            <w:tcW w:w="1984" w:type="dxa"/>
            <w:vAlign w:val="center"/>
          </w:tcPr>
          <w:p w14:paraId="0C440347" w14:textId="77777777" w:rsidR="001F4C77" w:rsidRPr="001F1415" w:rsidRDefault="001F4C77" w:rsidP="001C45CA">
            <w:pPr>
              <w:jc w:val="both"/>
              <w:rPr>
                <w:rFonts w:ascii="Arial" w:hAnsi="Arial" w:cs="Arial"/>
              </w:rPr>
            </w:pPr>
          </w:p>
        </w:tc>
        <w:tc>
          <w:tcPr>
            <w:tcW w:w="2948" w:type="dxa"/>
            <w:vAlign w:val="center"/>
          </w:tcPr>
          <w:p w14:paraId="283E7949" w14:textId="77777777" w:rsidR="001F4C77" w:rsidRPr="001F1415" w:rsidRDefault="001F4C77" w:rsidP="001C45CA">
            <w:pPr>
              <w:jc w:val="both"/>
              <w:rPr>
                <w:rFonts w:ascii="Arial" w:hAnsi="Arial" w:cs="Arial"/>
              </w:rPr>
            </w:pPr>
            <w:r w:rsidRPr="001F1415">
              <w:rPr>
                <w:rFonts w:ascii="Arial" w:hAnsi="Arial" w:cs="Arial"/>
              </w:rPr>
              <w:t>Bachelor’s Degree/S1</w:t>
            </w:r>
          </w:p>
        </w:tc>
        <w:tc>
          <w:tcPr>
            <w:tcW w:w="1134" w:type="dxa"/>
            <w:vAlign w:val="center"/>
          </w:tcPr>
          <w:p w14:paraId="7FBFABB9" w14:textId="77777777" w:rsidR="001F4C77" w:rsidRPr="001F1415" w:rsidRDefault="001F4C77" w:rsidP="001C45CA">
            <w:pPr>
              <w:jc w:val="both"/>
              <w:rPr>
                <w:rFonts w:ascii="Arial" w:hAnsi="Arial" w:cs="Arial"/>
              </w:rPr>
            </w:pPr>
            <w:r w:rsidRPr="001F1415">
              <w:rPr>
                <w:rFonts w:ascii="Arial" w:hAnsi="Arial" w:cs="Arial"/>
              </w:rPr>
              <w:t>224</w:t>
            </w:r>
          </w:p>
        </w:tc>
        <w:tc>
          <w:tcPr>
            <w:tcW w:w="1417" w:type="dxa"/>
            <w:vAlign w:val="center"/>
          </w:tcPr>
          <w:p w14:paraId="772BDFF9" w14:textId="77777777" w:rsidR="001F4C77" w:rsidRPr="001F1415" w:rsidRDefault="001F4C77" w:rsidP="001C45CA">
            <w:pPr>
              <w:jc w:val="both"/>
              <w:rPr>
                <w:rFonts w:ascii="Arial" w:hAnsi="Arial" w:cs="Arial"/>
              </w:rPr>
            </w:pPr>
            <w:r w:rsidRPr="001F1415">
              <w:rPr>
                <w:rFonts w:ascii="Arial" w:hAnsi="Arial" w:cs="Arial"/>
              </w:rPr>
              <w:t>71.8%</w:t>
            </w:r>
          </w:p>
        </w:tc>
      </w:tr>
      <w:tr w:rsidR="001F4C77" w:rsidRPr="001F1415" w14:paraId="1F4E3879" w14:textId="77777777" w:rsidTr="001C45CA">
        <w:trPr>
          <w:jc w:val="center"/>
        </w:trPr>
        <w:tc>
          <w:tcPr>
            <w:tcW w:w="1984" w:type="dxa"/>
            <w:vAlign w:val="center"/>
          </w:tcPr>
          <w:p w14:paraId="4B25C359" w14:textId="77777777" w:rsidR="001F4C77" w:rsidRPr="001F1415" w:rsidRDefault="001F4C77" w:rsidP="001C45CA">
            <w:pPr>
              <w:jc w:val="both"/>
              <w:rPr>
                <w:rFonts w:ascii="Arial" w:hAnsi="Arial" w:cs="Arial"/>
              </w:rPr>
            </w:pPr>
          </w:p>
        </w:tc>
        <w:tc>
          <w:tcPr>
            <w:tcW w:w="2948" w:type="dxa"/>
            <w:vAlign w:val="center"/>
          </w:tcPr>
          <w:p w14:paraId="02C40201" w14:textId="77777777" w:rsidR="001F4C77" w:rsidRPr="001F1415" w:rsidRDefault="001F4C77" w:rsidP="001C45CA">
            <w:pPr>
              <w:jc w:val="both"/>
              <w:rPr>
                <w:rFonts w:ascii="Arial" w:hAnsi="Arial" w:cs="Arial"/>
              </w:rPr>
            </w:pPr>
            <w:r w:rsidRPr="001F1415">
              <w:rPr>
                <w:rFonts w:ascii="Arial" w:hAnsi="Arial" w:cs="Arial"/>
              </w:rPr>
              <w:t>Master’s Degree/S2</w:t>
            </w:r>
          </w:p>
        </w:tc>
        <w:tc>
          <w:tcPr>
            <w:tcW w:w="1134" w:type="dxa"/>
            <w:vAlign w:val="center"/>
          </w:tcPr>
          <w:p w14:paraId="348D9D95" w14:textId="77777777" w:rsidR="001F4C77" w:rsidRPr="001F1415" w:rsidRDefault="001F4C77" w:rsidP="001C45CA">
            <w:pPr>
              <w:jc w:val="both"/>
              <w:rPr>
                <w:rFonts w:ascii="Arial" w:hAnsi="Arial" w:cs="Arial"/>
              </w:rPr>
            </w:pPr>
            <w:r w:rsidRPr="001F1415">
              <w:rPr>
                <w:rFonts w:ascii="Arial" w:hAnsi="Arial" w:cs="Arial"/>
              </w:rPr>
              <w:t>52</w:t>
            </w:r>
          </w:p>
        </w:tc>
        <w:tc>
          <w:tcPr>
            <w:tcW w:w="1417" w:type="dxa"/>
            <w:vAlign w:val="center"/>
          </w:tcPr>
          <w:p w14:paraId="37E31FF8" w14:textId="77777777" w:rsidR="001F4C77" w:rsidRPr="001F1415" w:rsidRDefault="001F4C77" w:rsidP="001C45CA">
            <w:pPr>
              <w:jc w:val="both"/>
              <w:rPr>
                <w:rFonts w:ascii="Arial" w:hAnsi="Arial" w:cs="Arial"/>
              </w:rPr>
            </w:pPr>
            <w:r w:rsidRPr="001F1415">
              <w:rPr>
                <w:rFonts w:ascii="Arial" w:hAnsi="Arial" w:cs="Arial"/>
              </w:rPr>
              <w:t>16.7%</w:t>
            </w:r>
          </w:p>
        </w:tc>
      </w:tr>
      <w:tr w:rsidR="001F4C77" w:rsidRPr="001F1415" w14:paraId="2544B353" w14:textId="77777777" w:rsidTr="001C45CA">
        <w:trPr>
          <w:jc w:val="center"/>
        </w:trPr>
        <w:tc>
          <w:tcPr>
            <w:tcW w:w="1984" w:type="dxa"/>
            <w:vAlign w:val="center"/>
          </w:tcPr>
          <w:p w14:paraId="16D94975" w14:textId="77777777" w:rsidR="001F4C77" w:rsidRPr="001F1415" w:rsidRDefault="001F4C77" w:rsidP="001C45CA">
            <w:pPr>
              <w:jc w:val="both"/>
              <w:rPr>
                <w:rFonts w:ascii="Arial" w:hAnsi="Arial" w:cs="Arial"/>
              </w:rPr>
            </w:pPr>
            <w:r w:rsidRPr="001F1415">
              <w:rPr>
                <w:rFonts w:ascii="Arial" w:hAnsi="Arial" w:cs="Arial"/>
              </w:rPr>
              <w:t>Region</w:t>
            </w:r>
          </w:p>
        </w:tc>
        <w:tc>
          <w:tcPr>
            <w:tcW w:w="2948" w:type="dxa"/>
            <w:vAlign w:val="center"/>
          </w:tcPr>
          <w:p w14:paraId="28E3DCA1" w14:textId="77777777" w:rsidR="001F4C77" w:rsidRPr="001F1415" w:rsidRDefault="001F4C77" w:rsidP="001C45CA">
            <w:pPr>
              <w:jc w:val="both"/>
              <w:rPr>
                <w:rFonts w:ascii="Arial" w:hAnsi="Arial" w:cs="Arial"/>
              </w:rPr>
            </w:pPr>
            <w:r w:rsidRPr="001F1415">
              <w:rPr>
                <w:rFonts w:ascii="Arial" w:hAnsi="Arial" w:cs="Arial"/>
              </w:rPr>
              <w:t>Java</w:t>
            </w:r>
          </w:p>
        </w:tc>
        <w:tc>
          <w:tcPr>
            <w:tcW w:w="1134" w:type="dxa"/>
            <w:vAlign w:val="center"/>
          </w:tcPr>
          <w:p w14:paraId="4893DF22" w14:textId="77777777" w:rsidR="001F4C77" w:rsidRPr="001F1415" w:rsidRDefault="001F4C77" w:rsidP="001C45CA">
            <w:pPr>
              <w:jc w:val="both"/>
              <w:rPr>
                <w:rFonts w:ascii="Arial" w:hAnsi="Arial" w:cs="Arial"/>
              </w:rPr>
            </w:pPr>
            <w:r w:rsidRPr="001F1415">
              <w:rPr>
                <w:rFonts w:ascii="Arial" w:hAnsi="Arial" w:cs="Arial"/>
              </w:rPr>
              <w:t>150</w:t>
            </w:r>
          </w:p>
        </w:tc>
        <w:tc>
          <w:tcPr>
            <w:tcW w:w="1417" w:type="dxa"/>
            <w:vAlign w:val="center"/>
          </w:tcPr>
          <w:p w14:paraId="6BE4029A" w14:textId="77777777" w:rsidR="001F4C77" w:rsidRPr="001F1415" w:rsidRDefault="001F4C77" w:rsidP="001C45CA">
            <w:pPr>
              <w:jc w:val="both"/>
              <w:rPr>
                <w:rFonts w:ascii="Arial" w:hAnsi="Arial" w:cs="Arial"/>
              </w:rPr>
            </w:pPr>
            <w:r w:rsidRPr="001F1415">
              <w:rPr>
                <w:rFonts w:ascii="Arial" w:hAnsi="Arial" w:cs="Arial"/>
              </w:rPr>
              <w:t>48.1%</w:t>
            </w:r>
          </w:p>
        </w:tc>
      </w:tr>
      <w:tr w:rsidR="001F4C77" w:rsidRPr="001F1415" w14:paraId="70E5FD0B" w14:textId="77777777" w:rsidTr="001C45CA">
        <w:trPr>
          <w:jc w:val="center"/>
        </w:trPr>
        <w:tc>
          <w:tcPr>
            <w:tcW w:w="1984" w:type="dxa"/>
            <w:vAlign w:val="center"/>
          </w:tcPr>
          <w:p w14:paraId="57A047D9" w14:textId="77777777" w:rsidR="001F4C77" w:rsidRPr="001F1415" w:rsidRDefault="001F4C77" w:rsidP="001C45CA">
            <w:pPr>
              <w:jc w:val="both"/>
              <w:rPr>
                <w:rFonts w:ascii="Arial" w:hAnsi="Arial" w:cs="Arial"/>
              </w:rPr>
            </w:pPr>
          </w:p>
        </w:tc>
        <w:tc>
          <w:tcPr>
            <w:tcW w:w="2948" w:type="dxa"/>
            <w:vAlign w:val="center"/>
          </w:tcPr>
          <w:p w14:paraId="3AF141B9" w14:textId="77777777" w:rsidR="001F4C77" w:rsidRPr="001F1415" w:rsidRDefault="001F4C77" w:rsidP="001C45CA">
            <w:pPr>
              <w:jc w:val="both"/>
              <w:rPr>
                <w:rFonts w:ascii="Arial" w:hAnsi="Arial" w:cs="Arial"/>
              </w:rPr>
            </w:pPr>
            <w:r w:rsidRPr="001F1415">
              <w:rPr>
                <w:rFonts w:ascii="Arial" w:hAnsi="Arial" w:cs="Arial"/>
              </w:rPr>
              <w:t>Sumatra</w:t>
            </w:r>
          </w:p>
        </w:tc>
        <w:tc>
          <w:tcPr>
            <w:tcW w:w="1134" w:type="dxa"/>
            <w:vAlign w:val="center"/>
          </w:tcPr>
          <w:p w14:paraId="547333A4" w14:textId="77777777" w:rsidR="001F4C77" w:rsidRPr="001F1415" w:rsidRDefault="001F4C77" w:rsidP="001C45CA">
            <w:pPr>
              <w:jc w:val="both"/>
              <w:rPr>
                <w:rFonts w:ascii="Arial" w:hAnsi="Arial" w:cs="Arial"/>
              </w:rPr>
            </w:pPr>
            <w:r w:rsidRPr="001F1415">
              <w:rPr>
                <w:rFonts w:ascii="Arial" w:hAnsi="Arial" w:cs="Arial"/>
              </w:rPr>
              <w:t>58</w:t>
            </w:r>
          </w:p>
        </w:tc>
        <w:tc>
          <w:tcPr>
            <w:tcW w:w="1417" w:type="dxa"/>
            <w:vAlign w:val="center"/>
          </w:tcPr>
          <w:p w14:paraId="629107D2" w14:textId="77777777" w:rsidR="001F4C77" w:rsidRPr="001F1415" w:rsidRDefault="001F4C77" w:rsidP="001C45CA">
            <w:pPr>
              <w:jc w:val="both"/>
              <w:rPr>
                <w:rFonts w:ascii="Arial" w:hAnsi="Arial" w:cs="Arial"/>
              </w:rPr>
            </w:pPr>
            <w:r w:rsidRPr="001F1415">
              <w:rPr>
                <w:rFonts w:ascii="Arial" w:hAnsi="Arial" w:cs="Arial"/>
              </w:rPr>
              <w:t>18.6%</w:t>
            </w:r>
          </w:p>
        </w:tc>
      </w:tr>
      <w:tr w:rsidR="001F4C77" w:rsidRPr="001F1415" w14:paraId="58273EB3" w14:textId="77777777" w:rsidTr="001C45CA">
        <w:trPr>
          <w:jc w:val="center"/>
        </w:trPr>
        <w:tc>
          <w:tcPr>
            <w:tcW w:w="1984" w:type="dxa"/>
            <w:vAlign w:val="center"/>
          </w:tcPr>
          <w:p w14:paraId="42299591" w14:textId="77777777" w:rsidR="001F4C77" w:rsidRPr="001F1415" w:rsidRDefault="001F4C77" w:rsidP="001C45CA">
            <w:pPr>
              <w:jc w:val="both"/>
              <w:rPr>
                <w:rFonts w:ascii="Arial" w:hAnsi="Arial" w:cs="Arial"/>
              </w:rPr>
            </w:pPr>
          </w:p>
        </w:tc>
        <w:tc>
          <w:tcPr>
            <w:tcW w:w="2948" w:type="dxa"/>
            <w:vAlign w:val="center"/>
          </w:tcPr>
          <w:p w14:paraId="505BBE35" w14:textId="77777777" w:rsidR="001F4C77" w:rsidRPr="001F1415" w:rsidRDefault="001F4C77" w:rsidP="001C45CA">
            <w:pPr>
              <w:jc w:val="both"/>
              <w:rPr>
                <w:rFonts w:ascii="Arial" w:hAnsi="Arial" w:cs="Arial"/>
              </w:rPr>
            </w:pPr>
            <w:r w:rsidRPr="001F1415">
              <w:rPr>
                <w:rFonts w:ascii="Arial" w:hAnsi="Arial" w:cs="Arial"/>
              </w:rPr>
              <w:t>Kalimantan</w:t>
            </w:r>
          </w:p>
        </w:tc>
        <w:tc>
          <w:tcPr>
            <w:tcW w:w="1134" w:type="dxa"/>
            <w:vAlign w:val="center"/>
          </w:tcPr>
          <w:p w14:paraId="6A9CCB9F" w14:textId="77777777" w:rsidR="001F4C77" w:rsidRPr="001F1415" w:rsidRDefault="001F4C77" w:rsidP="001C45CA">
            <w:pPr>
              <w:jc w:val="both"/>
              <w:rPr>
                <w:rFonts w:ascii="Arial" w:hAnsi="Arial" w:cs="Arial"/>
              </w:rPr>
            </w:pPr>
            <w:r w:rsidRPr="001F1415">
              <w:rPr>
                <w:rFonts w:ascii="Arial" w:hAnsi="Arial" w:cs="Arial"/>
              </w:rPr>
              <w:t>30</w:t>
            </w:r>
          </w:p>
        </w:tc>
        <w:tc>
          <w:tcPr>
            <w:tcW w:w="1417" w:type="dxa"/>
            <w:vAlign w:val="center"/>
          </w:tcPr>
          <w:p w14:paraId="1C3C80D5" w14:textId="77777777" w:rsidR="001F4C77" w:rsidRPr="001F1415" w:rsidRDefault="001F4C77" w:rsidP="001C45CA">
            <w:pPr>
              <w:jc w:val="both"/>
              <w:rPr>
                <w:rFonts w:ascii="Arial" w:hAnsi="Arial" w:cs="Arial"/>
              </w:rPr>
            </w:pPr>
            <w:r w:rsidRPr="001F1415">
              <w:rPr>
                <w:rFonts w:ascii="Arial" w:hAnsi="Arial" w:cs="Arial"/>
              </w:rPr>
              <w:t>9.6%</w:t>
            </w:r>
          </w:p>
        </w:tc>
      </w:tr>
      <w:tr w:rsidR="001F4C77" w:rsidRPr="001F1415" w14:paraId="566840C5" w14:textId="77777777" w:rsidTr="001C45CA">
        <w:trPr>
          <w:jc w:val="center"/>
        </w:trPr>
        <w:tc>
          <w:tcPr>
            <w:tcW w:w="1984" w:type="dxa"/>
            <w:vAlign w:val="center"/>
          </w:tcPr>
          <w:p w14:paraId="749D3244" w14:textId="77777777" w:rsidR="001F4C77" w:rsidRPr="001F1415" w:rsidRDefault="001F4C77" w:rsidP="001C45CA">
            <w:pPr>
              <w:jc w:val="both"/>
              <w:rPr>
                <w:rFonts w:ascii="Arial" w:hAnsi="Arial" w:cs="Arial"/>
              </w:rPr>
            </w:pPr>
          </w:p>
        </w:tc>
        <w:tc>
          <w:tcPr>
            <w:tcW w:w="2948" w:type="dxa"/>
            <w:vAlign w:val="center"/>
          </w:tcPr>
          <w:p w14:paraId="4D9E415B" w14:textId="77777777" w:rsidR="001F4C77" w:rsidRPr="001F1415" w:rsidRDefault="001F4C77" w:rsidP="001C45CA">
            <w:pPr>
              <w:jc w:val="both"/>
              <w:rPr>
                <w:rFonts w:ascii="Arial" w:hAnsi="Arial" w:cs="Arial"/>
              </w:rPr>
            </w:pPr>
            <w:r w:rsidRPr="001F1415">
              <w:rPr>
                <w:rFonts w:ascii="Arial" w:hAnsi="Arial" w:cs="Arial"/>
              </w:rPr>
              <w:t>Sulawesi</w:t>
            </w:r>
          </w:p>
        </w:tc>
        <w:tc>
          <w:tcPr>
            <w:tcW w:w="1134" w:type="dxa"/>
            <w:vAlign w:val="center"/>
          </w:tcPr>
          <w:p w14:paraId="4B3E1434" w14:textId="77777777" w:rsidR="001F4C77" w:rsidRPr="001F1415" w:rsidRDefault="001F4C77" w:rsidP="001C45CA">
            <w:pPr>
              <w:jc w:val="both"/>
              <w:rPr>
                <w:rFonts w:ascii="Arial" w:hAnsi="Arial" w:cs="Arial"/>
              </w:rPr>
            </w:pPr>
            <w:r w:rsidRPr="001F1415">
              <w:rPr>
                <w:rFonts w:ascii="Arial" w:hAnsi="Arial" w:cs="Arial"/>
              </w:rPr>
              <w:t>32</w:t>
            </w:r>
          </w:p>
        </w:tc>
        <w:tc>
          <w:tcPr>
            <w:tcW w:w="1417" w:type="dxa"/>
            <w:vAlign w:val="center"/>
          </w:tcPr>
          <w:p w14:paraId="2799E80F" w14:textId="77777777" w:rsidR="001F4C77" w:rsidRPr="001F1415" w:rsidRDefault="001F4C77" w:rsidP="001C45CA">
            <w:pPr>
              <w:jc w:val="both"/>
              <w:rPr>
                <w:rFonts w:ascii="Arial" w:hAnsi="Arial" w:cs="Arial"/>
              </w:rPr>
            </w:pPr>
            <w:r w:rsidRPr="001F1415">
              <w:rPr>
                <w:rFonts w:ascii="Arial" w:hAnsi="Arial" w:cs="Arial"/>
              </w:rPr>
              <w:t>10.3%</w:t>
            </w:r>
          </w:p>
        </w:tc>
      </w:tr>
      <w:tr w:rsidR="001F4C77" w:rsidRPr="001F1415" w14:paraId="1EA55B03" w14:textId="77777777" w:rsidTr="001C45CA">
        <w:trPr>
          <w:jc w:val="center"/>
        </w:trPr>
        <w:tc>
          <w:tcPr>
            <w:tcW w:w="1984" w:type="dxa"/>
            <w:vAlign w:val="center"/>
          </w:tcPr>
          <w:p w14:paraId="78899DAE" w14:textId="77777777" w:rsidR="001F4C77" w:rsidRPr="001F1415" w:rsidRDefault="001F4C77" w:rsidP="001C45CA">
            <w:pPr>
              <w:jc w:val="both"/>
              <w:rPr>
                <w:rFonts w:ascii="Arial" w:hAnsi="Arial" w:cs="Arial"/>
              </w:rPr>
            </w:pPr>
          </w:p>
        </w:tc>
        <w:tc>
          <w:tcPr>
            <w:tcW w:w="2948" w:type="dxa"/>
            <w:vAlign w:val="center"/>
          </w:tcPr>
          <w:p w14:paraId="52730D6D" w14:textId="77777777" w:rsidR="001F4C77" w:rsidRPr="001F1415" w:rsidRDefault="001F4C77" w:rsidP="001C45CA">
            <w:pPr>
              <w:jc w:val="both"/>
              <w:rPr>
                <w:rFonts w:ascii="Arial" w:hAnsi="Arial" w:cs="Arial"/>
              </w:rPr>
            </w:pPr>
            <w:r w:rsidRPr="001F1415">
              <w:rPr>
                <w:rFonts w:ascii="Arial" w:hAnsi="Arial" w:cs="Arial"/>
              </w:rPr>
              <w:t>Bali-Nusa Tenggara</w:t>
            </w:r>
          </w:p>
        </w:tc>
        <w:tc>
          <w:tcPr>
            <w:tcW w:w="1134" w:type="dxa"/>
            <w:vAlign w:val="center"/>
          </w:tcPr>
          <w:p w14:paraId="22D6FA1F" w14:textId="77777777" w:rsidR="001F4C77" w:rsidRPr="001F1415" w:rsidRDefault="001F4C77" w:rsidP="001C45CA">
            <w:pPr>
              <w:jc w:val="both"/>
              <w:rPr>
                <w:rFonts w:ascii="Arial" w:hAnsi="Arial" w:cs="Arial"/>
              </w:rPr>
            </w:pPr>
            <w:r w:rsidRPr="001F1415">
              <w:rPr>
                <w:rFonts w:ascii="Arial" w:hAnsi="Arial" w:cs="Arial"/>
              </w:rPr>
              <w:t>24</w:t>
            </w:r>
          </w:p>
        </w:tc>
        <w:tc>
          <w:tcPr>
            <w:tcW w:w="1417" w:type="dxa"/>
            <w:vAlign w:val="center"/>
          </w:tcPr>
          <w:p w14:paraId="2C4643D7" w14:textId="77777777" w:rsidR="001F4C77" w:rsidRPr="001F1415" w:rsidRDefault="001F4C77" w:rsidP="001C45CA">
            <w:pPr>
              <w:jc w:val="both"/>
              <w:rPr>
                <w:rFonts w:ascii="Arial" w:hAnsi="Arial" w:cs="Arial"/>
              </w:rPr>
            </w:pPr>
            <w:r w:rsidRPr="001F1415">
              <w:rPr>
                <w:rFonts w:ascii="Arial" w:hAnsi="Arial" w:cs="Arial"/>
              </w:rPr>
              <w:t>7.7%</w:t>
            </w:r>
          </w:p>
        </w:tc>
      </w:tr>
      <w:tr w:rsidR="001F4C77" w:rsidRPr="001F1415" w14:paraId="61C4F82F" w14:textId="77777777" w:rsidTr="001C45CA">
        <w:trPr>
          <w:jc w:val="center"/>
        </w:trPr>
        <w:tc>
          <w:tcPr>
            <w:tcW w:w="1984" w:type="dxa"/>
            <w:vAlign w:val="center"/>
          </w:tcPr>
          <w:p w14:paraId="48A135A4" w14:textId="77777777" w:rsidR="001F4C77" w:rsidRPr="001F1415" w:rsidRDefault="001F4C77" w:rsidP="001C45CA">
            <w:pPr>
              <w:jc w:val="both"/>
              <w:rPr>
                <w:rFonts w:ascii="Arial" w:hAnsi="Arial" w:cs="Arial"/>
              </w:rPr>
            </w:pPr>
          </w:p>
        </w:tc>
        <w:tc>
          <w:tcPr>
            <w:tcW w:w="2948" w:type="dxa"/>
            <w:vAlign w:val="center"/>
          </w:tcPr>
          <w:p w14:paraId="6B93AD37" w14:textId="77777777" w:rsidR="001F4C77" w:rsidRPr="001F1415" w:rsidRDefault="001F4C77" w:rsidP="001C45CA">
            <w:pPr>
              <w:jc w:val="both"/>
              <w:rPr>
                <w:rFonts w:ascii="Arial" w:hAnsi="Arial" w:cs="Arial"/>
              </w:rPr>
            </w:pPr>
            <w:r w:rsidRPr="001F1415">
              <w:rPr>
                <w:rFonts w:ascii="Arial" w:hAnsi="Arial" w:cs="Arial"/>
              </w:rPr>
              <w:t>Maluku-Papua</w:t>
            </w:r>
          </w:p>
        </w:tc>
        <w:tc>
          <w:tcPr>
            <w:tcW w:w="1134" w:type="dxa"/>
            <w:vAlign w:val="center"/>
          </w:tcPr>
          <w:p w14:paraId="1B69129D" w14:textId="77777777" w:rsidR="001F4C77" w:rsidRPr="001F1415" w:rsidRDefault="001F4C77" w:rsidP="001C45CA">
            <w:pPr>
              <w:jc w:val="both"/>
              <w:rPr>
                <w:rFonts w:ascii="Arial" w:hAnsi="Arial" w:cs="Arial"/>
              </w:rPr>
            </w:pPr>
            <w:r w:rsidRPr="001F1415">
              <w:rPr>
                <w:rFonts w:ascii="Arial" w:hAnsi="Arial" w:cs="Arial"/>
              </w:rPr>
              <w:t>18</w:t>
            </w:r>
          </w:p>
        </w:tc>
        <w:tc>
          <w:tcPr>
            <w:tcW w:w="1417" w:type="dxa"/>
            <w:vAlign w:val="center"/>
          </w:tcPr>
          <w:p w14:paraId="28FBDFC9" w14:textId="77777777" w:rsidR="001F4C77" w:rsidRPr="001F1415" w:rsidRDefault="001F4C77" w:rsidP="001C45CA">
            <w:pPr>
              <w:jc w:val="both"/>
              <w:rPr>
                <w:rFonts w:ascii="Arial" w:hAnsi="Arial" w:cs="Arial"/>
              </w:rPr>
            </w:pPr>
            <w:r w:rsidRPr="001F1415">
              <w:rPr>
                <w:rFonts w:ascii="Arial" w:hAnsi="Arial" w:cs="Arial"/>
              </w:rPr>
              <w:t>5.8%</w:t>
            </w:r>
          </w:p>
        </w:tc>
      </w:tr>
    </w:tbl>
    <w:p w14:paraId="5C721EEE"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Research data, 2026.</w:t>
      </w:r>
    </w:p>
    <w:p w14:paraId="211973F8"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2 presents the demographic characteristics of the respondents. The sample consisted of 312 purposively recruited students from different educational levels and geographical regions in Indonesia. However, because the recruitment used online purposive sampling, the sample should not be interpreted as nationally representative of all Indonesian university students.</w:t>
      </w:r>
    </w:p>
    <w:p w14:paraId="6882ACF6" w14:textId="77777777" w:rsidR="001F4C77" w:rsidRPr="001F1415" w:rsidRDefault="001F4C77" w:rsidP="001F4C77">
      <w:pPr>
        <w:spacing w:after="80" w:line="252" w:lineRule="auto"/>
        <w:jc w:val="both"/>
        <w:rPr>
          <w:rFonts w:ascii="Arial" w:hAnsi="Arial" w:cs="Arial"/>
          <w:b/>
          <w:bCs/>
        </w:rPr>
      </w:pPr>
    </w:p>
    <w:p w14:paraId="78323839"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Descriptive Statistics</w:t>
      </w:r>
    </w:p>
    <w:p w14:paraId="39A3E143" w14:textId="77777777" w:rsidR="001F4C77" w:rsidRPr="001F1415" w:rsidRDefault="001F4C77" w:rsidP="001F4C77">
      <w:pPr>
        <w:jc w:val="both"/>
        <w:rPr>
          <w:rFonts w:ascii="Arial" w:hAnsi="Arial" w:cs="Arial"/>
        </w:rPr>
      </w:pPr>
      <w:r w:rsidRPr="001F1415">
        <w:rPr>
          <w:rFonts w:ascii="Arial" w:hAnsi="Arial" w:cs="Arial"/>
        </w:rPr>
        <w:t>Table 3. Descriptive Statistics</w:t>
      </w:r>
    </w:p>
    <w:tbl>
      <w:tblPr>
        <w:tblStyle w:val="TableGrid"/>
        <w:tblW w:w="0" w:type="auto"/>
        <w:jc w:val="center"/>
        <w:tblLook w:val="04A0" w:firstRow="1" w:lastRow="0" w:firstColumn="1" w:lastColumn="0" w:noHBand="0" w:noVBand="1"/>
      </w:tblPr>
      <w:tblGrid>
        <w:gridCol w:w="3402"/>
        <w:gridCol w:w="850"/>
        <w:gridCol w:w="1304"/>
        <w:gridCol w:w="1304"/>
        <w:gridCol w:w="1304"/>
        <w:gridCol w:w="1304"/>
      </w:tblGrid>
      <w:tr w:rsidR="001F4C77" w:rsidRPr="001F1415" w14:paraId="77EFE591" w14:textId="77777777" w:rsidTr="001C45CA">
        <w:trPr>
          <w:jc w:val="center"/>
        </w:trPr>
        <w:tc>
          <w:tcPr>
            <w:tcW w:w="3402" w:type="dxa"/>
            <w:vAlign w:val="center"/>
          </w:tcPr>
          <w:p w14:paraId="5F05993C" w14:textId="77777777" w:rsidR="001F4C77" w:rsidRPr="001F1415" w:rsidRDefault="001F4C77" w:rsidP="001C45CA">
            <w:pPr>
              <w:jc w:val="both"/>
              <w:rPr>
                <w:rFonts w:ascii="Arial" w:hAnsi="Arial" w:cs="Arial"/>
              </w:rPr>
            </w:pPr>
            <w:r w:rsidRPr="001F1415">
              <w:rPr>
                <w:rFonts w:ascii="Arial" w:hAnsi="Arial" w:cs="Arial"/>
                <w:b/>
              </w:rPr>
              <w:t>Variables</w:t>
            </w:r>
          </w:p>
        </w:tc>
        <w:tc>
          <w:tcPr>
            <w:tcW w:w="850" w:type="dxa"/>
            <w:vAlign w:val="center"/>
          </w:tcPr>
          <w:p w14:paraId="74D48117" w14:textId="77777777" w:rsidR="001F4C77" w:rsidRPr="001F1415" w:rsidRDefault="001F4C77" w:rsidP="001C45CA">
            <w:pPr>
              <w:jc w:val="both"/>
              <w:rPr>
                <w:rFonts w:ascii="Arial" w:hAnsi="Arial" w:cs="Arial"/>
              </w:rPr>
            </w:pPr>
            <w:r w:rsidRPr="001F1415">
              <w:rPr>
                <w:rFonts w:ascii="Arial" w:hAnsi="Arial" w:cs="Arial"/>
                <w:b/>
              </w:rPr>
              <w:t>N</w:t>
            </w:r>
          </w:p>
        </w:tc>
        <w:tc>
          <w:tcPr>
            <w:tcW w:w="1304" w:type="dxa"/>
            <w:vAlign w:val="center"/>
          </w:tcPr>
          <w:p w14:paraId="17693795" w14:textId="77777777" w:rsidR="001F4C77" w:rsidRPr="001F1415" w:rsidRDefault="001F4C77" w:rsidP="001C45CA">
            <w:pPr>
              <w:jc w:val="both"/>
              <w:rPr>
                <w:rFonts w:ascii="Arial" w:hAnsi="Arial" w:cs="Arial"/>
              </w:rPr>
            </w:pPr>
            <w:r w:rsidRPr="001F1415">
              <w:rPr>
                <w:rFonts w:ascii="Arial" w:hAnsi="Arial" w:cs="Arial"/>
                <w:b/>
              </w:rPr>
              <w:t>Mean</w:t>
            </w:r>
          </w:p>
        </w:tc>
        <w:tc>
          <w:tcPr>
            <w:tcW w:w="1304" w:type="dxa"/>
            <w:vAlign w:val="center"/>
          </w:tcPr>
          <w:p w14:paraId="3A861C15" w14:textId="77777777" w:rsidR="001F4C77" w:rsidRPr="001F1415" w:rsidRDefault="001F4C77" w:rsidP="001C45CA">
            <w:pPr>
              <w:jc w:val="both"/>
              <w:rPr>
                <w:rFonts w:ascii="Arial" w:hAnsi="Arial" w:cs="Arial"/>
              </w:rPr>
            </w:pPr>
            <w:r w:rsidRPr="001F1415">
              <w:rPr>
                <w:rFonts w:ascii="Arial" w:hAnsi="Arial" w:cs="Arial"/>
                <w:b/>
              </w:rPr>
              <w:t>Std. Dev.</w:t>
            </w:r>
          </w:p>
        </w:tc>
        <w:tc>
          <w:tcPr>
            <w:tcW w:w="1304" w:type="dxa"/>
            <w:vAlign w:val="center"/>
          </w:tcPr>
          <w:p w14:paraId="45F01A02" w14:textId="77777777" w:rsidR="001F4C77" w:rsidRPr="001F1415" w:rsidRDefault="001F4C77" w:rsidP="001C45CA">
            <w:pPr>
              <w:jc w:val="both"/>
              <w:rPr>
                <w:rFonts w:ascii="Arial" w:hAnsi="Arial" w:cs="Arial"/>
              </w:rPr>
            </w:pPr>
            <w:r w:rsidRPr="001F1415">
              <w:rPr>
                <w:rFonts w:ascii="Arial" w:hAnsi="Arial" w:cs="Arial"/>
                <w:b/>
              </w:rPr>
              <w:t>Minimum</w:t>
            </w:r>
          </w:p>
        </w:tc>
        <w:tc>
          <w:tcPr>
            <w:tcW w:w="1304" w:type="dxa"/>
            <w:vAlign w:val="center"/>
          </w:tcPr>
          <w:p w14:paraId="2722AA66" w14:textId="77777777" w:rsidR="001F4C77" w:rsidRPr="001F1415" w:rsidRDefault="001F4C77" w:rsidP="001C45CA">
            <w:pPr>
              <w:jc w:val="both"/>
              <w:rPr>
                <w:rFonts w:ascii="Arial" w:hAnsi="Arial" w:cs="Arial"/>
              </w:rPr>
            </w:pPr>
            <w:r w:rsidRPr="001F1415">
              <w:rPr>
                <w:rFonts w:ascii="Arial" w:hAnsi="Arial" w:cs="Arial"/>
                <w:b/>
              </w:rPr>
              <w:t>Maximum</w:t>
            </w:r>
          </w:p>
        </w:tc>
      </w:tr>
      <w:tr w:rsidR="001F4C77" w:rsidRPr="001F1415" w14:paraId="43B3F668" w14:textId="77777777" w:rsidTr="001C45CA">
        <w:trPr>
          <w:jc w:val="center"/>
        </w:trPr>
        <w:tc>
          <w:tcPr>
            <w:tcW w:w="3402" w:type="dxa"/>
            <w:vAlign w:val="center"/>
          </w:tcPr>
          <w:p w14:paraId="4946D5B3" w14:textId="77777777" w:rsidR="001F4C77" w:rsidRPr="001F1415" w:rsidRDefault="001F4C77" w:rsidP="001C45CA">
            <w:pPr>
              <w:jc w:val="both"/>
              <w:rPr>
                <w:rFonts w:ascii="Arial" w:hAnsi="Arial" w:cs="Arial"/>
              </w:rPr>
            </w:pPr>
            <w:r w:rsidRPr="001F1415">
              <w:rPr>
                <w:rFonts w:ascii="Arial" w:hAnsi="Arial" w:cs="Arial"/>
              </w:rPr>
              <w:t>AI Literacy (X1)</w:t>
            </w:r>
          </w:p>
        </w:tc>
        <w:tc>
          <w:tcPr>
            <w:tcW w:w="850" w:type="dxa"/>
            <w:vAlign w:val="center"/>
          </w:tcPr>
          <w:p w14:paraId="3D810EC4"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1B204DC5" w14:textId="77777777" w:rsidR="001F4C77" w:rsidRPr="001F1415" w:rsidRDefault="001F4C77" w:rsidP="001C45CA">
            <w:pPr>
              <w:jc w:val="both"/>
              <w:rPr>
                <w:rFonts w:ascii="Arial" w:hAnsi="Arial" w:cs="Arial"/>
                <w:bCs/>
              </w:rPr>
            </w:pPr>
            <w:r w:rsidRPr="001F1415">
              <w:rPr>
                <w:rFonts w:ascii="Arial" w:hAnsi="Arial" w:cs="Arial"/>
                <w:bCs/>
              </w:rPr>
              <w:t>3.287</w:t>
            </w:r>
          </w:p>
        </w:tc>
        <w:tc>
          <w:tcPr>
            <w:tcW w:w="1304" w:type="dxa"/>
            <w:vAlign w:val="center"/>
          </w:tcPr>
          <w:p w14:paraId="41544CDE" w14:textId="77777777" w:rsidR="001F4C77" w:rsidRPr="001F1415" w:rsidRDefault="001F4C77" w:rsidP="001C45CA">
            <w:pPr>
              <w:jc w:val="both"/>
              <w:rPr>
                <w:rFonts w:ascii="Arial" w:hAnsi="Arial" w:cs="Arial"/>
              </w:rPr>
            </w:pPr>
            <w:r w:rsidRPr="001F1415">
              <w:rPr>
                <w:rFonts w:ascii="Arial" w:hAnsi="Arial" w:cs="Arial"/>
              </w:rPr>
              <w:t>1.128</w:t>
            </w:r>
          </w:p>
        </w:tc>
        <w:tc>
          <w:tcPr>
            <w:tcW w:w="1304" w:type="dxa"/>
            <w:vAlign w:val="center"/>
          </w:tcPr>
          <w:p w14:paraId="5A15B35E"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0D8F0B5F" w14:textId="77777777" w:rsidR="001F4C77" w:rsidRPr="001F1415" w:rsidRDefault="001F4C77" w:rsidP="001C45CA">
            <w:pPr>
              <w:jc w:val="both"/>
              <w:rPr>
                <w:rFonts w:ascii="Arial" w:hAnsi="Arial" w:cs="Arial"/>
              </w:rPr>
            </w:pPr>
            <w:r w:rsidRPr="001F1415">
              <w:rPr>
                <w:rFonts w:ascii="Arial" w:hAnsi="Arial" w:cs="Arial"/>
              </w:rPr>
              <w:t>5.00</w:t>
            </w:r>
          </w:p>
        </w:tc>
      </w:tr>
      <w:tr w:rsidR="001F4C77" w:rsidRPr="001F1415" w14:paraId="79059A6A" w14:textId="77777777" w:rsidTr="001C45CA">
        <w:trPr>
          <w:jc w:val="center"/>
        </w:trPr>
        <w:tc>
          <w:tcPr>
            <w:tcW w:w="3402" w:type="dxa"/>
            <w:vAlign w:val="center"/>
          </w:tcPr>
          <w:p w14:paraId="6A00C4C7" w14:textId="77777777" w:rsidR="001F4C77" w:rsidRPr="001F1415" w:rsidRDefault="001F4C77" w:rsidP="001C45CA">
            <w:pPr>
              <w:jc w:val="both"/>
              <w:rPr>
                <w:rFonts w:ascii="Arial" w:hAnsi="Arial" w:cs="Arial"/>
              </w:rPr>
            </w:pPr>
            <w:r w:rsidRPr="001F1415">
              <w:rPr>
                <w:rFonts w:ascii="Arial" w:hAnsi="Arial" w:cs="Arial"/>
              </w:rPr>
              <w:t>Self-Regulated Learning (X2)</w:t>
            </w:r>
          </w:p>
        </w:tc>
        <w:tc>
          <w:tcPr>
            <w:tcW w:w="850" w:type="dxa"/>
            <w:vAlign w:val="center"/>
          </w:tcPr>
          <w:p w14:paraId="3A89EDB2"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5870929D" w14:textId="77777777" w:rsidR="001F4C77" w:rsidRPr="001F1415" w:rsidRDefault="001F4C77" w:rsidP="001C45CA">
            <w:pPr>
              <w:jc w:val="both"/>
              <w:rPr>
                <w:rFonts w:ascii="Arial" w:hAnsi="Arial" w:cs="Arial"/>
                <w:bCs/>
              </w:rPr>
            </w:pPr>
            <w:r w:rsidRPr="001F1415">
              <w:rPr>
                <w:rFonts w:ascii="Arial" w:hAnsi="Arial" w:cs="Arial"/>
                <w:bCs/>
              </w:rPr>
              <w:t>3.262</w:t>
            </w:r>
          </w:p>
        </w:tc>
        <w:tc>
          <w:tcPr>
            <w:tcW w:w="1304" w:type="dxa"/>
            <w:vAlign w:val="center"/>
          </w:tcPr>
          <w:p w14:paraId="71B57FC7" w14:textId="77777777" w:rsidR="001F4C77" w:rsidRPr="001F1415" w:rsidRDefault="001F4C77" w:rsidP="001C45CA">
            <w:pPr>
              <w:jc w:val="both"/>
              <w:rPr>
                <w:rFonts w:ascii="Arial" w:hAnsi="Arial" w:cs="Arial"/>
              </w:rPr>
            </w:pPr>
            <w:r w:rsidRPr="001F1415">
              <w:rPr>
                <w:rFonts w:ascii="Arial" w:hAnsi="Arial" w:cs="Arial"/>
              </w:rPr>
              <w:t>1.083</w:t>
            </w:r>
          </w:p>
        </w:tc>
        <w:tc>
          <w:tcPr>
            <w:tcW w:w="1304" w:type="dxa"/>
            <w:vAlign w:val="center"/>
          </w:tcPr>
          <w:p w14:paraId="5AF3E0F7"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590A3E51" w14:textId="77777777" w:rsidR="001F4C77" w:rsidRPr="001F1415" w:rsidRDefault="001F4C77" w:rsidP="001C45CA">
            <w:pPr>
              <w:jc w:val="both"/>
              <w:rPr>
                <w:rFonts w:ascii="Arial" w:hAnsi="Arial" w:cs="Arial"/>
              </w:rPr>
            </w:pPr>
            <w:r w:rsidRPr="001F1415">
              <w:rPr>
                <w:rFonts w:ascii="Arial" w:hAnsi="Arial" w:cs="Arial"/>
              </w:rPr>
              <w:t>5.00</w:t>
            </w:r>
          </w:p>
        </w:tc>
      </w:tr>
      <w:tr w:rsidR="001F4C77" w:rsidRPr="001F1415" w14:paraId="6337EA21" w14:textId="77777777" w:rsidTr="001C45CA">
        <w:trPr>
          <w:jc w:val="center"/>
        </w:trPr>
        <w:tc>
          <w:tcPr>
            <w:tcW w:w="3402" w:type="dxa"/>
            <w:vAlign w:val="center"/>
          </w:tcPr>
          <w:p w14:paraId="6701D169" w14:textId="77777777" w:rsidR="001F4C77" w:rsidRPr="001F1415" w:rsidRDefault="001F4C77" w:rsidP="001C45CA">
            <w:pPr>
              <w:jc w:val="both"/>
              <w:rPr>
                <w:rFonts w:ascii="Arial" w:hAnsi="Arial" w:cs="Arial"/>
              </w:rPr>
            </w:pPr>
            <w:r w:rsidRPr="001F1415">
              <w:rPr>
                <w:rFonts w:ascii="Arial" w:hAnsi="Arial" w:cs="Arial"/>
              </w:rPr>
              <w:t>Academic Engagement (Y)</w:t>
            </w:r>
          </w:p>
        </w:tc>
        <w:tc>
          <w:tcPr>
            <w:tcW w:w="850" w:type="dxa"/>
            <w:vAlign w:val="center"/>
          </w:tcPr>
          <w:p w14:paraId="4BCBA18E"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5E019A74" w14:textId="77777777" w:rsidR="001F4C77" w:rsidRPr="001F1415" w:rsidRDefault="001F4C77" w:rsidP="001C45CA">
            <w:pPr>
              <w:jc w:val="both"/>
              <w:rPr>
                <w:rFonts w:ascii="Arial" w:hAnsi="Arial" w:cs="Arial"/>
                <w:bCs/>
              </w:rPr>
            </w:pPr>
            <w:r w:rsidRPr="001F1415">
              <w:rPr>
                <w:rFonts w:ascii="Arial" w:hAnsi="Arial" w:cs="Arial"/>
                <w:bCs/>
              </w:rPr>
              <w:t>3.216</w:t>
            </w:r>
          </w:p>
        </w:tc>
        <w:tc>
          <w:tcPr>
            <w:tcW w:w="1304" w:type="dxa"/>
            <w:vAlign w:val="center"/>
          </w:tcPr>
          <w:p w14:paraId="7E8F341F" w14:textId="77777777" w:rsidR="001F4C77" w:rsidRPr="001F1415" w:rsidRDefault="001F4C77" w:rsidP="001C45CA">
            <w:pPr>
              <w:jc w:val="both"/>
              <w:rPr>
                <w:rFonts w:ascii="Arial" w:hAnsi="Arial" w:cs="Arial"/>
              </w:rPr>
            </w:pPr>
            <w:r w:rsidRPr="001F1415">
              <w:rPr>
                <w:rFonts w:ascii="Arial" w:hAnsi="Arial" w:cs="Arial"/>
              </w:rPr>
              <w:t>1.142</w:t>
            </w:r>
          </w:p>
        </w:tc>
        <w:tc>
          <w:tcPr>
            <w:tcW w:w="1304" w:type="dxa"/>
            <w:vAlign w:val="center"/>
          </w:tcPr>
          <w:p w14:paraId="56CF7D40"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7104E0FB" w14:textId="77777777" w:rsidR="001F4C77" w:rsidRPr="001F1415" w:rsidRDefault="001F4C77" w:rsidP="001C45CA">
            <w:pPr>
              <w:jc w:val="both"/>
              <w:rPr>
                <w:rFonts w:ascii="Arial" w:hAnsi="Arial" w:cs="Arial"/>
              </w:rPr>
            </w:pPr>
            <w:r w:rsidRPr="001F1415">
              <w:rPr>
                <w:rFonts w:ascii="Arial" w:hAnsi="Arial" w:cs="Arial"/>
              </w:rPr>
              <w:t>5.00</w:t>
            </w:r>
          </w:p>
        </w:tc>
      </w:tr>
    </w:tbl>
    <w:p w14:paraId="731DD205" w14:textId="77777777" w:rsidR="001F4C77" w:rsidRPr="001F1415" w:rsidRDefault="001F4C77" w:rsidP="001F4C77">
      <w:pPr>
        <w:spacing w:after="20"/>
        <w:jc w:val="both"/>
        <w:rPr>
          <w:rFonts w:ascii="Arial" w:hAnsi="Arial" w:cs="Arial"/>
        </w:rPr>
      </w:pPr>
    </w:p>
    <w:p w14:paraId="5A0F0872"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w:t>
      </w:r>
    </w:p>
    <w:p w14:paraId="0DC3D65B" w14:textId="77777777" w:rsidR="001F4C77" w:rsidRPr="001F1415" w:rsidRDefault="001F4C77" w:rsidP="001F4C77">
      <w:pPr>
        <w:spacing w:after="80" w:line="252" w:lineRule="auto"/>
        <w:jc w:val="both"/>
        <w:rPr>
          <w:rFonts w:ascii="Arial" w:hAnsi="Arial" w:cs="Arial"/>
          <w:bCs/>
        </w:rPr>
      </w:pPr>
      <w:r w:rsidRPr="001F1415">
        <w:rPr>
          <w:rFonts w:ascii="Arial" w:hAnsi="Arial" w:cs="Arial"/>
        </w:rPr>
        <w:t>As shown in Table 3, the average AI literacy score was 3.287, self-regulated learning was 3.262, and academic engagement was 3.216.</w:t>
      </w:r>
    </w:p>
    <w:p w14:paraId="2D032BD7"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Validity and Reliability Tests</w:t>
      </w:r>
    </w:p>
    <w:p w14:paraId="6DB59538" w14:textId="77777777" w:rsidR="001F4C77" w:rsidRPr="001F1415" w:rsidRDefault="001F4C77" w:rsidP="001F4C77">
      <w:pPr>
        <w:jc w:val="both"/>
        <w:rPr>
          <w:rFonts w:ascii="Arial" w:hAnsi="Arial" w:cs="Arial"/>
        </w:rPr>
      </w:pPr>
      <w:r w:rsidRPr="001F1415">
        <w:rPr>
          <w:rFonts w:ascii="Arial" w:hAnsi="Arial" w:cs="Arial"/>
        </w:rPr>
        <w:t xml:space="preserve">Table 4. Item-Total Correlation Analysis </w:t>
      </w:r>
    </w:p>
    <w:tbl>
      <w:tblPr>
        <w:tblStyle w:val="TableGrid"/>
        <w:tblW w:w="0" w:type="auto"/>
        <w:jc w:val="center"/>
        <w:tblLook w:val="04A0" w:firstRow="1" w:lastRow="0" w:firstColumn="1" w:lastColumn="0" w:noHBand="0" w:noVBand="1"/>
      </w:tblPr>
      <w:tblGrid>
        <w:gridCol w:w="1247"/>
        <w:gridCol w:w="1417"/>
        <w:gridCol w:w="1417"/>
        <w:gridCol w:w="1417"/>
        <w:gridCol w:w="1814"/>
      </w:tblGrid>
      <w:tr w:rsidR="001F4C77" w:rsidRPr="001F1415" w14:paraId="409F0AA9" w14:textId="77777777" w:rsidTr="001C45CA">
        <w:trPr>
          <w:jc w:val="center"/>
        </w:trPr>
        <w:tc>
          <w:tcPr>
            <w:tcW w:w="1247" w:type="dxa"/>
            <w:vAlign w:val="center"/>
          </w:tcPr>
          <w:p w14:paraId="6A2A756F" w14:textId="77777777" w:rsidR="001F4C77" w:rsidRPr="001F1415" w:rsidRDefault="001F4C77" w:rsidP="001C45CA">
            <w:pPr>
              <w:jc w:val="both"/>
              <w:rPr>
                <w:rFonts w:ascii="Arial" w:hAnsi="Arial" w:cs="Arial"/>
              </w:rPr>
            </w:pPr>
            <w:r w:rsidRPr="001F1415">
              <w:rPr>
                <w:rFonts w:ascii="Arial" w:hAnsi="Arial" w:cs="Arial"/>
                <w:b/>
              </w:rPr>
              <w:t>Item</w:t>
            </w:r>
          </w:p>
        </w:tc>
        <w:tc>
          <w:tcPr>
            <w:tcW w:w="1417" w:type="dxa"/>
            <w:vAlign w:val="center"/>
          </w:tcPr>
          <w:p w14:paraId="79E81955" w14:textId="77777777" w:rsidR="001F4C77" w:rsidRPr="001F1415" w:rsidRDefault="001F4C77" w:rsidP="001C45CA">
            <w:pPr>
              <w:jc w:val="both"/>
              <w:rPr>
                <w:rFonts w:ascii="Arial" w:hAnsi="Arial" w:cs="Arial"/>
              </w:rPr>
            </w:pPr>
            <w:r w:rsidRPr="001F1415">
              <w:rPr>
                <w:rFonts w:ascii="Arial" w:hAnsi="Arial" w:cs="Arial"/>
                <w:b/>
              </w:rPr>
              <w:t>Calculated r</w:t>
            </w:r>
          </w:p>
        </w:tc>
        <w:tc>
          <w:tcPr>
            <w:tcW w:w="1417" w:type="dxa"/>
            <w:vAlign w:val="center"/>
          </w:tcPr>
          <w:p w14:paraId="5820D54D" w14:textId="77777777" w:rsidR="001F4C77" w:rsidRPr="001F1415" w:rsidRDefault="001F4C77" w:rsidP="001C45CA">
            <w:pPr>
              <w:jc w:val="both"/>
              <w:rPr>
                <w:rFonts w:ascii="Arial" w:hAnsi="Arial" w:cs="Arial"/>
              </w:rPr>
            </w:pPr>
            <w:r w:rsidRPr="001F1415">
              <w:rPr>
                <w:rFonts w:ascii="Arial" w:hAnsi="Arial" w:cs="Arial"/>
                <w:b/>
              </w:rPr>
              <w:t>Table r</w:t>
            </w:r>
          </w:p>
        </w:tc>
        <w:tc>
          <w:tcPr>
            <w:tcW w:w="1417" w:type="dxa"/>
            <w:vAlign w:val="center"/>
          </w:tcPr>
          <w:p w14:paraId="7EA3DBE3" w14:textId="77777777" w:rsidR="001F4C77" w:rsidRPr="001F1415" w:rsidRDefault="001F4C77" w:rsidP="001C45CA">
            <w:pPr>
              <w:jc w:val="both"/>
              <w:rPr>
                <w:rFonts w:ascii="Arial" w:hAnsi="Arial" w:cs="Arial"/>
              </w:rPr>
            </w:pPr>
            <w:r w:rsidRPr="001F1415">
              <w:rPr>
                <w:rFonts w:ascii="Arial" w:hAnsi="Arial" w:cs="Arial"/>
                <w:b/>
              </w:rPr>
              <w:t>Sig.</w:t>
            </w:r>
          </w:p>
        </w:tc>
        <w:tc>
          <w:tcPr>
            <w:tcW w:w="1814" w:type="dxa"/>
            <w:vAlign w:val="center"/>
          </w:tcPr>
          <w:p w14:paraId="6F378966" w14:textId="77777777" w:rsidR="001F4C77" w:rsidRPr="001F1415" w:rsidRDefault="001F4C77" w:rsidP="001C45CA">
            <w:pPr>
              <w:jc w:val="both"/>
              <w:rPr>
                <w:rFonts w:ascii="Arial" w:hAnsi="Arial" w:cs="Arial"/>
              </w:rPr>
            </w:pPr>
            <w:r w:rsidRPr="001F1415">
              <w:rPr>
                <w:rFonts w:ascii="Arial" w:hAnsi="Arial" w:cs="Arial"/>
                <w:b/>
              </w:rPr>
              <w:t>Decision</w:t>
            </w:r>
          </w:p>
        </w:tc>
      </w:tr>
      <w:tr w:rsidR="001F4C77" w:rsidRPr="001F1415" w14:paraId="6BBD482E" w14:textId="77777777" w:rsidTr="001C45CA">
        <w:trPr>
          <w:jc w:val="center"/>
        </w:trPr>
        <w:tc>
          <w:tcPr>
            <w:tcW w:w="1247" w:type="dxa"/>
            <w:vAlign w:val="center"/>
          </w:tcPr>
          <w:p w14:paraId="3068D1EF" w14:textId="77777777" w:rsidR="001F4C77" w:rsidRPr="001F1415" w:rsidRDefault="001F4C77" w:rsidP="001C45CA">
            <w:pPr>
              <w:jc w:val="both"/>
              <w:rPr>
                <w:rFonts w:ascii="Arial" w:hAnsi="Arial" w:cs="Arial"/>
              </w:rPr>
            </w:pPr>
            <w:r w:rsidRPr="001F1415">
              <w:rPr>
                <w:rFonts w:ascii="Arial" w:hAnsi="Arial" w:cs="Arial"/>
              </w:rPr>
              <w:t>AI1</w:t>
            </w:r>
          </w:p>
        </w:tc>
        <w:tc>
          <w:tcPr>
            <w:tcW w:w="1417" w:type="dxa"/>
            <w:vAlign w:val="center"/>
          </w:tcPr>
          <w:p w14:paraId="404A7DD0" w14:textId="77777777" w:rsidR="001F4C77" w:rsidRPr="001F1415" w:rsidRDefault="001F4C77" w:rsidP="001C45CA">
            <w:pPr>
              <w:jc w:val="both"/>
              <w:rPr>
                <w:rFonts w:ascii="Arial" w:hAnsi="Arial" w:cs="Arial"/>
              </w:rPr>
            </w:pPr>
            <w:r w:rsidRPr="001F1415">
              <w:rPr>
                <w:rFonts w:ascii="Arial" w:hAnsi="Arial" w:cs="Arial"/>
              </w:rPr>
              <w:t>0.795</w:t>
            </w:r>
          </w:p>
        </w:tc>
        <w:tc>
          <w:tcPr>
            <w:tcW w:w="1417" w:type="dxa"/>
            <w:vAlign w:val="center"/>
          </w:tcPr>
          <w:p w14:paraId="04C9730D"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3F4F6F12"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564EBF7"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E8FC1D0" w14:textId="77777777" w:rsidTr="001C45CA">
        <w:trPr>
          <w:jc w:val="center"/>
        </w:trPr>
        <w:tc>
          <w:tcPr>
            <w:tcW w:w="1247" w:type="dxa"/>
            <w:vAlign w:val="center"/>
          </w:tcPr>
          <w:p w14:paraId="57870AAA" w14:textId="77777777" w:rsidR="001F4C77" w:rsidRPr="001F1415" w:rsidRDefault="001F4C77" w:rsidP="001C45CA">
            <w:pPr>
              <w:jc w:val="both"/>
              <w:rPr>
                <w:rFonts w:ascii="Arial" w:hAnsi="Arial" w:cs="Arial"/>
              </w:rPr>
            </w:pPr>
            <w:r w:rsidRPr="001F1415">
              <w:rPr>
                <w:rFonts w:ascii="Arial" w:hAnsi="Arial" w:cs="Arial"/>
              </w:rPr>
              <w:t>AI2</w:t>
            </w:r>
          </w:p>
        </w:tc>
        <w:tc>
          <w:tcPr>
            <w:tcW w:w="1417" w:type="dxa"/>
            <w:vAlign w:val="center"/>
          </w:tcPr>
          <w:p w14:paraId="72B102A2" w14:textId="77777777" w:rsidR="001F4C77" w:rsidRPr="001F1415" w:rsidRDefault="001F4C77" w:rsidP="001C45CA">
            <w:pPr>
              <w:jc w:val="both"/>
              <w:rPr>
                <w:rFonts w:ascii="Arial" w:hAnsi="Arial" w:cs="Arial"/>
              </w:rPr>
            </w:pPr>
            <w:r w:rsidRPr="001F1415">
              <w:rPr>
                <w:rFonts w:ascii="Arial" w:hAnsi="Arial" w:cs="Arial"/>
              </w:rPr>
              <w:t>0.805</w:t>
            </w:r>
          </w:p>
        </w:tc>
        <w:tc>
          <w:tcPr>
            <w:tcW w:w="1417" w:type="dxa"/>
            <w:vAlign w:val="center"/>
          </w:tcPr>
          <w:p w14:paraId="0BBEE9C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361A4FFB"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A7B12D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3A6310DD" w14:textId="77777777" w:rsidTr="001C45CA">
        <w:trPr>
          <w:jc w:val="center"/>
        </w:trPr>
        <w:tc>
          <w:tcPr>
            <w:tcW w:w="1247" w:type="dxa"/>
            <w:vAlign w:val="center"/>
          </w:tcPr>
          <w:p w14:paraId="7C0B295E" w14:textId="77777777" w:rsidR="001F4C77" w:rsidRPr="001F1415" w:rsidRDefault="001F4C77" w:rsidP="001C45CA">
            <w:pPr>
              <w:jc w:val="both"/>
              <w:rPr>
                <w:rFonts w:ascii="Arial" w:hAnsi="Arial" w:cs="Arial"/>
              </w:rPr>
            </w:pPr>
            <w:r w:rsidRPr="001F1415">
              <w:rPr>
                <w:rFonts w:ascii="Arial" w:hAnsi="Arial" w:cs="Arial"/>
              </w:rPr>
              <w:t>AI3</w:t>
            </w:r>
          </w:p>
        </w:tc>
        <w:tc>
          <w:tcPr>
            <w:tcW w:w="1417" w:type="dxa"/>
            <w:vAlign w:val="center"/>
          </w:tcPr>
          <w:p w14:paraId="533EEF10" w14:textId="77777777" w:rsidR="001F4C77" w:rsidRPr="001F1415" w:rsidRDefault="001F4C77" w:rsidP="001C45CA">
            <w:pPr>
              <w:jc w:val="both"/>
              <w:rPr>
                <w:rFonts w:ascii="Arial" w:hAnsi="Arial" w:cs="Arial"/>
              </w:rPr>
            </w:pPr>
            <w:r w:rsidRPr="001F1415">
              <w:rPr>
                <w:rFonts w:ascii="Arial" w:hAnsi="Arial" w:cs="Arial"/>
              </w:rPr>
              <w:t>0.804</w:t>
            </w:r>
          </w:p>
        </w:tc>
        <w:tc>
          <w:tcPr>
            <w:tcW w:w="1417" w:type="dxa"/>
            <w:vAlign w:val="center"/>
          </w:tcPr>
          <w:p w14:paraId="306612A7"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6E66257"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5F577CFE"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4759838" w14:textId="77777777" w:rsidTr="001C45CA">
        <w:trPr>
          <w:jc w:val="center"/>
        </w:trPr>
        <w:tc>
          <w:tcPr>
            <w:tcW w:w="1247" w:type="dxa"/>
            <w:vAlign w:val="center"/>
          </w:tcPr>
          <w:p w14:paraId="058ABA0B" w14:textId="77777777" w:rsidR="001F4C77" w:rsidRPr="001F1415" w:rsidRDefault="001F4C77" w:rsidP="001C45CA">
            <w:pPr>
              <w:jc w:val="both"/>
              <w:rPr>
                <w:rFonts w:ascii="Arial" w:hAnsi="Arial" w:cs="Arial"/>
              </w:rPr>
            </w:pPr>
            <w:r w:rsidRPr="001F1415">
              <w:rPr>
                <w:rFonts w:ascii="Arial" w:hAnsi="Arial" w:cs="Arial"/>
              </w:rPr>
              <w:t>AI4</w:t>
            </w:r>
          </w:p>
        </w:tc>
        <w:tc>
          <w:tcPr>
            <w:tcW w:w="1417" w:type="dxa"/>
            <w:vAlign w:val="center"/>
          </w:tcPr>
          <w:p w14:paraId="360FDD9C" w14:textId="77777777" w:rsidR="001F4C77" w:rsidRPr="001F1415" w:rsidRDefault="001F4C77" w:rsidP="001C45CA">
            <w:pPr>
              <w:jc w:val="both"/>
              <w:rPr>
                <w:rFonts w:ascii="Arial" w:hAnsi="Arial" w:cs="Arial"/>
              </w:rPr>
            </w:pPr>
            <w:r w:rsidRPr="001F1415">
              <w:rPr>
                <w:rFonts w:ascii="Arial" w:hAnsi="Arial" w:cs="Arial"/>
              </w:rPr>
              <w:t>0.820</w:t>
            </w:r>
          </w:p>
        </w:tc>
        <w:tc>
          <w:tcPr>
            <w:tcW w:w="1417" w:type="dxa"/>
            <w:vAlign w:val="center"/>
          </w:tcPr>
          <w:p w14:paraId="19B58A8F"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4913E1A"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3086774"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206B6855" w14:textId="77777777" w:rsidTr="001C45CA">
        <w:trPr>
          <w:jc w:val="center"/>
        </w:trPr>
        <w:tc>
          <w:tcPr>
            <w:tcW w:w="1247" w:type="dxa"/>
            <w:vAlign w:val="center"/>
          </w:tcPr>
          <w:p w14:paraId="0E5D7656" w14:textId="77777777" w:rsidR="001F4C77" w:rsidRPr="001F1415" w:rsidRDefault="001F4C77" w:rsidP="001C45CA">
            <w:pPr>
              <w:jc w:val="both"/>
              <w:rPr>
                <w:rFonts w:ascii="Arial" w:hAnsi="Arial" w:cs="Arial"/>
              </w:rPr>
            </w:pPr>
            <w:r w:rsidRPr="001F1415">
              <w:rPr>
                <w:rFonts w:ascii="Arial" w:hAnsi="Arial" w:cs="Arial"/>
              </w:rPr>
              <w:t>AI5</w:t>
            </w:r>
          </w:p>
        </w:tc>
        <w:tc>
          <w:tcPr>
            <w:tcW w:w="1417" w:type="dxa"/>
            <w:vAlign w:val="center"/>
          </w:tcPr>
          <w:p w14:paraId="32917A7D" w14:textId="77777777" w:rsidR="001F4C77" w:rsidRPr="001F1415" w:rsidRDefault="001F4C77" w:rsidP="001C45CA">
            <w:pPr>
              <w:jc w:val="both"/>
              <w:rPr>
                <w:rFonts w:ascii="Arial" w:hAnsi="Arial" w:cs="Arial"/>
              </w:rPr>
            </w:pPr>
            <w:r w:rsidRPr="001F1415">
              <w:rPr>
                <w:rFonts w:ascii="Arial" w:hAnsi="Arial" w:cs="Arial"/>
              </w:rPr>
              <w:t>0.811</w:t>
            </w:r>
          </w:p>
        </w:tc>
        <w:tc>
          <w:tcPr>
            <w:tcW w:w="1417" w:type="dxa"/>
            <w:vAlign w:val="center"/>
          </w:tcPr>
          <w:p w14:paraId="1214DE9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45AAE2EC"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47D062C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BC897C7" w14:textId="77777777" w:rsidTr="001C45CA">
        <w:trPr>
          <w:jc w:val="center"/>
        </w:trPr>
        <w:tc>
          <w:tcPr>
            <w:tcW w:w="1247" w:type="dxa"/>
            <w:vAlign w:val="center"/>
          </w:tcPr>
          <w:p w14:paraId="538E4325" w14:textId="77777777" w:rsidR="001F4C77" w:rsidRPr="001F1415" w:rsidRDefault="001F4C77" w:rsidP="001C45CA">
            <w:pPr>
              <w:jc w:val="both"/>
              <w:rPr>
                <w:rFonts w:ascii="Arial" w:hAnsi="Arial" w:cs="Arial"/>
              </w:rPr>
            </w:pPr>
            <w:r w:rsidRPr="001F1415">
              <w:rPr>
                <w:rFonts w:ascii="Arial" w:hAnsi="Arial" w:cs="Arial"/>
              </w:rPr>
              <w:t>AI6</w:t>
            </w:r>
          </w:p>
        </w:tc>
        <w:tc>
          <w:tcPr>
            <w:tcW w:w="1417" w:type="dxa"/>
            <w:vAlign w:val="center"/>
          </w:tcPr>
          <w:p w14:paraId="13B2BA1C" w14:textId="77777777" w:rsidR="001F4C77" w:rsidRPr="001F1415" w:rsidRDefault="001F4C77" w:rsidP="001C45CA">
            <w:pPr>
              <w:jc w:val="both"/>
              <w:rPr>
                <w:rFonts w:ascii="Arial" w:hAnsi="Arial" w:cs="Arial"/>
              </w:rPr>
            </w:pPr>
            <w:r w:rsidRPr="001F1415">
              <w:rPr>
                <w:rFonts w:ascii="Arial" w:hAnsi="Arial" w:cs="Arial"/>
              </w:rPr>
              <w:t>0.774</w:t>
            </w:r>
          </w:p>
        </w:tc>
        <w:tc>
          <w:tcPr>
            <w:tcW w:w="1417" w:type="dxa"/>
            <w:vAlign w:val="center"/>
          </w:tcPr>
          <w:p w14:paraId="4A9A8B94"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5E98A94"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0B761321"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B99C730" w14:textId="77777777" w:rsidTr="001C45CA">
        <w:trPr>
          <w:jc w:val="center"/>
        </w:trPr>
        <w:tc>
          <w:tcPr>
            <w:tcW w:w="1247" w:type="dxa"/>
            <w:vAlign w:val="center"/>
          </w:tcPr>
          <w:p w14:paraId="69738F5F" w14:textId="77777777" w:rsidR="001F4C77" w:rsidRPr="001F1415" w:rsidRDefault="001F4C77" w:rsidP="001C45CA">
            <w:pPr>
              <w:jc w:val="both"/>
              <w:rPr>
                <w:rFonts w:ascii="Arial" w:hAnsi="Arial" w:cs="Arial"/>
              </w:rPr>
            </w:pPr>
            <w:r w:rsidRPr="001F1415">
              <w:rPr>
                <w:rFonts w:ascii="Arial" w:hAnsi="Arial" w:cs="Arial"/>
              </w:rPr>
              <w:t>SRL1</w:t>
            </w:r>
          </w:p>
        </w:tc>
        <w:tc>
          <w:tcPr>
            <w:tcW w:w="1417" w:type="dxa"/>
            <w:vAlign w:val="center"/>
          </w:tcPr>
          <w:p w14:paraId="115026CD" w14:textId="77777777" w:rsidR="001F4C77" w:rsidRPr="001F1415" w:rsidRDefault="001F4C77" w:rsidP="001C45CA">
            <w:pPr>
              <w:jc w:val="both"/>
              <w:rPr>
                <w:rFonts w:ascii="Arial" w:hAnsi="Arial" w:cs="Arial"/>
              </w:rPr>
            </w:pPr>
            <w:r w:rsidRPr="001F1415">
              <w:rPr>
                <w:rFonts w:ascii="Arial" w:hAnsi="Arial" w:cs="Arial"/>
              </w:rPr>
              <w:t>0.784</w:t>
            </w:r>
          </w:p>
        </w:tc>
        <w:tc>
          <w:tcPr>
            <w:tcW w:w="1417" w:type="dxa"/>
            <w:vAlign w:val="center"/>
          </w:tcPr>
          <w:p w14:paraId="4AED408B"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AD1E592"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160DA0C"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3C8DD50" w14:textId="77777777" w:rsidTr="001C45CA">
        <w:trPr>
          <w:jc w:val="center"/>
        </w:trPr>
        <w:tc>
          <w:tcPr>
            <w:tcW w:w="1247" w:type="dxa"/>
            <w:vAlign w:val="center"/>
          </w:tcPr>
          <w:p w14:paraId="057B6B8F" w14:textId="77777777" w:rsidR="001F4C77" w:rsidRPr="001F1415" w:rsidRDefault="001F4C77" w:rsidP="001C45CA">
            <w:pPr>
              <w:jc w:val="both"/>
              <w:rPr>
                <w:rFonts w:ascii="Arial" w:hAnsi="Arial" w:cs="Arial"/>
              </w:rPr>
            </w:pPr>
            <w:r w:rsidRPr="001F1415">
              <w:rPr>
                <w:rFonts w:ascii="Arial" w:hAnsi="Arial" w:cs="Arial"/>
              </w:rPr>
              <w:t>SRL2</w:t>
            </w:r>
          </w:p>
        </w:tc>
        <w:tc>
          <w:tcPr>
            <w:tcW w:w="1417" w:type="dxa"/>
            <w:vAlign w:val="center"/>
          </w:tcPr>
          <w:p w14:paraId="6ADA0ECF" w14:textId="77777777" w:rsidR="001F4C77" w:rsidRPr="001F1415" w:rsidRDefault="001F4C77" w:rsidP="001C45CA">
            <w:pPr>
              <w:jc w:val="both"/>
              <w:rPr>
                <w:rFonts w:ascii="Arial" w:hAnsi="Arial" w:cs="Arial"/>
              </w:rPr>
            </w:pPr>
            <w:r w:rsidRPr="001F1415">
              <w:rPr>
                <w:rFonts w:ascii="Arial" w:hAnsi="Arial" w:cs="Arial"/>
              </w:rPr>
              <w:t>0.763</w:t>
            </w:r>
          </w:p>
        </w:tc>
        <w:tc>
          <w:tcPr>
            <w:tcW w:w="1417" w:type="dxa"/>
            <w:vAlign w:val="center"/>
          </w:tcPr>
          <w:p w14:paraId="4A770E7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471C69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BDD4C67"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16C5B30" w14:textId="77777777" w:rsidTr="001C45CA">
        <w:trPr>
          <w:jc w:val="center"/>
        </w:trPr>
        <w:tc>
          <w:tcPr>
            <w:tcW w:w="1247" w:type="dxa"/>
            <w:vAlign w:val="center"/>
          </w:tcPr>
          <w:p w14:paraId="2BDF345C" w14:textId="77777777" w:rsidR="001F4C77" w:rsidRPr="001F1415" w:rsidRDefault="001F4C77" w:rsidP="001C45CA">
            <w:pPr>
              <w:jc w:val="both"/>
              <w:rPr>
                <w:rFonts w:ascii="Arial" w:hAnsi="Arial" w:cs="Arial"/>
              </w:rPr>
            </w:pPr>
            <w:r w:rsidRPr="001F1415">
              <w:rPr>
                <w:rFonts w:ascii="Arial" w:hAnsi="Arial" w:cs="Arial"/>
              </w:rPr>
              <w:t>SRL3</w:t>
            </w:r>
          </w:p>
        </w:tc>
        <w:tc>
          <w:tcPr>
            <w:tcW w:w="1417" w:type="dxa"/>
            <w:vAlign w:val="center"/>
          </w:tcPr>
          <w:p w14:paraId="2CE86F49" w14:textId="77777777" w:rsidR="001F4C77" w:rsidRPr="001F1415" w:rsidRDefault="001F4C77" w:rsidP="001C45CA">
            <w:pPr>
              <w:jc w:val="both"/>
              <w:rPr>
                <w:rFonts w:ascii="Arial" w:hAnsi="Arial" w:cs="Arial"/>
              </w:rPr>
            </w:pPr>
            <w:r w:rsidRPr="001F1415">
              <w:rPr>
                <w:rFonts w:ascii="Arial" w:hAnsi="Arial" w:cs="Arial"/>
              </w:rPr>
              <w:t>0.781</w:t>
            </w:r>
          </w:p>
        </w:tc>
        <w:tc>
          <w:tcPr>
            <w:tcW w:w="1417" w:type="dxa"/>
            <w:vAlign w:val="center"/>
          </w:tcPr>
          <w:p w14:paraId="6C021065"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63BDA78"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138F719"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000FC947" w14:textId="77777777" w:rsidTr="001C45CA">
        <w:trPr>
          <w:jc w:val="center"/>
        </w:trPr>
        <w:tc>
          <w:tcPr>
            <w:tcW w:w="1247" w:type="dxa"/>
            <w:vAlign w:val="center"/>
          </w:tcPr>
          <w:p w14:paraId="14F329DD" w14:textId="77777777" w:rsidR="001F4C77" w:rsidRPr="001F1415" w:rsidRDefault="001F4C77" w:rsidP="001C45CA">
            <w:pPr>
              <w:jc w:val="both"/>
              <w:rPr>
                <w:rFonts w:ascii="Arial" w:hAnsi="Arial" w:cs="Arial"/>
              </w:rPr>
            </w:pPr>
            <w:r w:rsidRPr="001F1415">
              <w:rPr>
                <w:rFonts w:ascii="Arial" w:hAnsi="Arial" w:cs="Arial"/>
              </w:rPr>
              <w:t>SRL4</w:t>
            </w:r>
          </w:p>
        </w:tc>
        <w:tc>
          <w:tcPr>
            <w:tcW w:w="1417" w:type="dxa"/>
            <w:vAlign w:val="center"/>
          </w:tcPr>
          <w:p w14:paraId="4F99CC90" w14:textId="77777777" w:rsidR="001F4C77" w:rsidRPr="001F1415" w:rsidRDefault="001F4C77" w:rsidP="001C45CA">
            <w:pPr>
              <w:jc w:val="both"/>
              <w:rPr>
                <w:rFonts w:ascii="Arial" w:hAnsi="Arial" w:cs="Arial"/>
              </w:rPr>
            </w:pPr>
            <w:r w:rsidRPr="001F1415">
              <w:rPr>
                <w:rFonts w:ascii="Arial" w:hAnsi="Arial" w:cs="Arial"/>
              </w:rPr>
              <w:t>0.768</w:t>
            </w:r>
          </w:p>
        </w:tc>
        <w:tc>
          <w:tcPr>
            <w:tcW w:w="1417" w:type="dxa"/>
            <w:vAlign w:val="center"/>
          </w:tcPr>
          <w:p w14:paraId="5A49A2E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5FA6129"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016E506B"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0988B97B" w14:textId="77777777" w:rsidTr="001C45CA">
        <w:trPr>
          <w:jc w:val="center"/>
        </w:trPr>
        <w:tc>
          <w:tcPr>
            <w:tcW w:w="1247" w:type="dxa"/>
            <w:vAlign w:val="center"/>
          </w:tcPr>
          <w:p w14:paraId="78A9694E" w14:textId="77777777" w:rsidR="001F4C77" w:rsidRPr="001F1415" w:rsidRDefault="001F4C77" w:rsidP="001C45CA">
            <w:pPr>
              <w:jc w:val="both"/>
              <w:rPr>
                <w:rFonts w:ascii="Arial" w:hAnsi="Arial" w:cs="Arial"/>
              </w:rPr>
            </w:pPr>
            <w:r w:rsidRPr="001F1415">
              <w:rPr>
                <w:rFonts w:ascii="Arial" w:hAnsi="Arial" w:cs="Arial"/>
              </w:rPr>
              <w:t>SRL5</w:t>
            </w:r>
          </w:p>
        </w:tc>
        <w:tc>
          <w:tcPr>
            <w:tcW w:w="1417" w:type="dxa"/>
            <w:vAlign w:val="center"/>
          </w:tcPr>
          <w:p w14:paraId="1639C9BD" w14:textId="77777777" w:rsidR="001F4C77" w:rsidRPr="001F1415" w:rsidRDefault="001F4C77" w:rsidP="001C45CA">
            <w:pPr>
              <w:jc w:val="both"/>
              <w:rPr>
                <w:rFonts w:ascii="Arial" w:hAnsi="Arial" w:cs="Arial"/>
              </w:rPr>
            </w:pPr>
            <w:r w:rsidRPr="001F1415">
              <w:rPr>
                <w:rFonts w:ascii="Arial" w:hAnsi="Arial" w:cs="Arial"/>
              </w:rPr>
              <w:t>0.798</w:t>
            </w:r>
          </w:p>
        </w:tc>
        <w:tc>
          <w:tcPr>
            <w:tcW w:w="1417" w:type="dxa"/>
            <w:vAlign w:val="center"/>
          </w:tcPr>
          <w:p w14:paraId="41FD1062"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46A465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1C1916B4"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1324760C" w14:textId="77777777" w:rsidTr="001C45CA">
        <w:trPr>
          <w:jc w:val="center"/>
        </w:trPr>
        <w:tc>
          <w:tcPr>
            <w:tcW w:w="1247" w:type="dxa"/>
            <w:vAlign w:val="center"/>
          </w:tcPr>
          <w:p w14:paraId="5D405F1A" w14:textId="77777777" w:rsidR="001F4C77" w:rsidRPr="001F1415" w:rsidRDefault="001F4C77" w:rsidP="001C45CA">
            <w:pPr>
              <w:jc w:val="both"/>
              <w:rPr>
                <w:rFonts w:ascii="Arial" w:hAnsi="Arial" w:cs="Arial"/>
              </w:rPr>
            </w:pPr>
            <w:r w:rsidRPr="001F1415">
              <w:rPr>
                <w:rFonts w:ascii="Arial" w:hAnsi="Arial" w:cs="Arial"/>
              </w:rPr>
              <w:t>SRL6</w:t>
            </w:r>
          </w:p>
        </w:tc>
        <w:tc>
          <w:tcPr>
            <w:tcW w:w="1417" w:type="dxa"/>
            <w:vAlign w:val="center"/>
          </w:tcPr>
          <w:p w14:paraId="098D43DD" w14:textId="77777777" w:rsidR="001F4C77" w:rsidRPr="001F1415" w:rsidRDefault="001F4C77" w:rsidP="001C45CA">
            <w:pPr>
              <w:jc w:val="both"/>
              <w:rPr>
                <w:rFonts w:ascii="Arial" w:hAnsi="Arial" w:cs="Arial"/>
              </w:rPr>
            </w:pPr>
            <w:r w:rsidRPr="001F1415">
              <w:rPr>
                <w:rFonts w:ascii="Arial" w:hAnsi="Arial" w:cs="Arial"/>
              </w:rPr>
              <w:t>0.785</w:t>
            </w:r>
          </w:p>
        </w:tc>
        <w:tc>
          <w:tcPr>
            <w:tcW w:w="1417" w:type="dxa"/>
            <w:vAlign w:val="center"/>
          </w:tcPr>
          <w:p w14:paraId="0B71197B"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CEB2CE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5262349"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25A5B351" w14:textId="77777777" w:rsidTr="001C45CA">
        <w:trPr>
          <w:jc w:val="center"/>
        </w:trPr>
        <w:tc>
          <w:tcPr>
            <w:tcW w:w="1247" w:type="dxa"/>
            <w:vAlign w:val="center"/>
          </w:tcPr>
          <w:p w14:paraId="78D16B9E" w14:textId="77777777" w:rsidR="001F4C77" w:rsidRPr="001F1415" w:rsidRDefault="001F4C77" w:rsidP="001C45CA">
            <w:pPr>
              <w:jc w:val="both"/>
              <w:rPr>
                <w:rFonts w:ascii="Arial" w:hAnsi="Arial" w:cs="Arial"/>
              </w:rPr>
            </w:pPr>
            <w:r w:rsidRPr="001F1415">
              <w:rPr>
                <w:rFonts w:ascii="Arial" w:hAnsi="Arial" w:cs="Arial"/>
              </w:rPr>
              <w:t>ENG1</w:t>
            </w:r>
          </w:p>
        </w:tc>
        <w:tc>
          <w:tcPr>
            <w:tcW w:w="1417" w:type="dxa"/>
            <w:vAlign w:val="center"/>
          </w:tcPr>
          <w:p w14:paraId="151A949F" w14:textId="77777777" w:rsidR="001F4C77" w:rsidRPr="001F1415" w:rsidRDefault="001F4C77" w:rsidP="001C45CA">
            <w:pPr>
              <w:jc w:val="both"/>
              <w:rPr>
                <w:rFonts w:ascii="Arial" w:hAnsi="Arial" w:cs="Arial"/>
              </w:rPr>
            </w:pPr>
            <w:r w:rsidRPr="001F1415">
              <w:rPr>
                <w:rFonts w:ascii="Arial" w:hAnsi="Arial" w:cs="Arial"/>
              </w:rPr>
              <w:t>0.791</w:t>
            </w:r>
          </w:p>
        </w:tc>
        <w:tc>
          <w:tcPr>
            <w:tcW w:w="1417" w:type="dxa"/>
            <w:vAlign w:val="center"/>
          </w:tcPr>
          <w:p w14:paraId="37C453EE"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1D4A5D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55EAA416"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63D2CE3" w14:textId="77777777" w:rsidTr="001C45CA">
        <w:trPr>
          <w:jc w:val="center"/>
        </w:trPr>
        <w:tc>
          <w:tcPr>
            <w:tcW w:w="1247" w:type="dxa"/>
            <w:vAlign w:val="center"/>
          </w:tcPr>
          <w:p w14:paraId="60DCF44E" w14:textId="77777777" w:rsidR="001F4C77" w:rsidRPr="001F1415" w:rsidRDefault="001F4C77" w:rsidP="001C45CA">
            <w:pPr>
              <w:jc w:val="both"/>
              <w:rPr>
                <w:rFonts w:ascii="Arial" w:hAnsi="Arial" w:cs="Arial"/>
              </w:rPr>
            </w:pPr>
            <w:r w:rsidRPr="001F1415">
              <w:rPr>
                <w:rFonts w:ascii="Arial" w:hAnsi="Arial" w:cs="Arial"/>
              </w:rPr>
              <w:lastRenderedPageBreak/>
              <w:t>ENG2</w:t>
            </w:r>
          </w:p>
        </w:tc>
        <w:tc>
          <w:tcPr>
            <w:tcW w:w="1417" w:type="dxa"/>
            <w:vAlign w:val="center"/>
          </w:tcPr>
          <w:p w14:paraId="179531ED" w14:textId="77777777" w:rsidR="001F4C77" w:rsidRPr="001F1415" w:rsidRDefault="001F4C77" w:rsidP="001C45CA">
            <w:pPr>
              <w:jc w:val="both"/>
              <w:rPr>
                <w:rFonts w:ascii="Arial" w:hAnsi="Arial" w:cs="Arial"/>
              </w:rPr>
            </w:pPr>
            <w:r w:rsidRPr="001F1415">
              <w:rPr>
                <w:rFonts w:ascii="Arial" w:hAnsi="Arial" w:cs="Arial"/>
              </w:rPr>
              <w:t>0.787</w:t>
            </w:r>
          </w:p>
        </w:tc>
        <w:tc>
          <w:tcPr>
            <w:tcW w:w="1417" w:type="dxa"/>
            <w:vAlign w:val="center"/>
          </w:tcPr>
          <w:p w14:paraId="51A8FF8D"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B60B5B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828F49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1675499" w14:textId="77777777" w:rsidTr="001C45CA">
        <w:trPr>
          <w:jc w:val="center"/>
        </w:trPr>
        <w:tc>
          <w:tcPr>
            <w:tcW w:w="1247" w:type="dxa"/>
            <w:vAlign w:val="center"/>
          </w:tcPr>
          <w:p w14:paraId="33EFD1FD" w14:textId="77777777" w:rsidR="001F4C77" w:rsidRPr="001F1415" w:rsidRDefault="001F4C77" w:rsidP="001C45CA">
            <w:pPr>
              <w:jc w:val="both"/>
              <w:rPr>
                <w:rFonts w:ascii="Arial" w:hAnsi="Arial" w:cs="Arial"/>
              </w:rPr>
            </w:pPr>
            <w:r w:rsidRPr="001F1415">
              <w:rPr>
                <w:rFonts w:ascii="Arial" w:hAnsi="Arial" w:cs="Arial"/>
              </w:rPr>
              <w:t>ENG3</w:t>
            </w:r>
          </w:p>
        </w:tc>
        <w:tc>
          <w:tcPr>
            <w:tcW w:w="1417" w:type="dxa"/>
            <w:vAlign w:val="center"/>
          </w:tcPr>
          <w:p w14:paraId="1257A25E" w14:textId="77777777" w:rsidR="001F4C77" w:rsidRPr="001F1415" w:rsidRDefault="001F4C77" w:rsidP="001C45CA">
            <w:pPr>
              <w:jc w:val="both"/>
              <w:rPr>
                <w:rFonts w:ascii="Arial" w:hAnsi="Arial" w:cs="Arial"/>
              </w:rPr>
            </w:pPr>
            <w:r w:rsidRPr="001F1415">
              <w:rPr>
                <w:rFonts w:ascii="Arial" w:hAnsi="Arial" w:cs="Arial"/>
              </w:rPr>
              <w:t>0.817</w:t>
            </w:r>
          </w:p>
        </w:tc>
        <w:tc>
          <w:tcPr>
            <w:tcW w:w="1417" w:type="dxa"/>
            <w:vAlign w:val="center"/>
          </w:tcPr>
          <w:p w14:paraId="46FCA04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49CA89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8FD886B"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ADE4868" w14:textId="77777777" w:rsidTr="001C45CA">
        <w:trPr>
          <w:jc w:val="center"/>
        </w:trPr>
        <w:tc>
          <w:tcPr>
            <w:tcW w:w="1247" w:type="dxa"/>
            <w:vAlign w:val="center"/>
          </w:tcPr>
          <w:p w14:paraId="542568B8" w14:textId="77777777" w:rsidR="001F4C77" w:rsidRPr="001F1415" w:rsidRDefault="001F4C77" w:rsidP="001C45CA">
            <w:pPr>
              <w:jc w:val="both"/>
              <w:rPr>
                <w:rFonts w:ascii="Arial" w:hAnsi="Arial" w:cs="Arial"/>
              </w:rPr>
            </w:pPr>
            <w:r w:rsidRPr="001F1415">
              <w:rPr>
                <w:rFonts w:ascii="Arial" w:hAnsi="Arial" w:cs="Arial"/>
              </w:rPr>
              <w:t>ENG4</w:t>
            </w:r>
          </w:p>
        </w:tc>
        <w:tc>
          <w:tcPr>
            <w:tcW w:w="1417" w:type="dxa"/>
            <w:vAlign w:val="center"/>
          </w:tcPr>
          <w:p w14:paraId="3A2F2D57" w14:textId="77777777" w:rsidR="001F4C77" w:rsidRPr="001F1415" w:rsidRDefault="001F4C77" w:rsidP="001C45CA">
            <w:pPr>
              <w:jc w:val="both"/>
              <w:rPr>
                <w:rFonts w:ascii="Arial" w:hAnsi="Arial" w:cs="Arial"/>
              </w:rPr>
            </w:pPr>
            <w:r w:rsidRPr="001F1415">
              <w:rPr>
                <w:rFonts w:ascii="Arial" w:hAnsi="Arial" w:cs="Arial"/>
              </w:rPr>
              <w:t>0.803</w:t>
            </w:r>
          </w:p>
        </w:tc>
        <w:tc>
          <w:tcPr>
            <w:tcW w:w="1417" w:type="dxa"/>
            <w:vAlign w:val="center"/>
          </w:tcPr>
          <w:p w14:paraId="3EEB3BEC"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16693F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7484726"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B8E4136" w14:textId="77777777" w:rsidTr="001C45CA">
        <w:trPr>
          <w:jc w:val="center"/>
        </w:trPr>
        <w:tc>
          <w:tcPr>
            <w:tcW w:w="1247" w:type="dxa"/>
            <w:vAlign w:val="center"/>
          </w:tcPr>
          <w:p w14:paraId="6C8CA22F" w14:textId="77777777" w:rsidR="001F4C77" w:rsidRPr="001F1415" w:rsidRDefault="001F4C77" w:rsidP="001C45CA">
            <w:pPr>
              <w:jc w:val="both"/>
              <w:rPr>
                <w:rFonts w:ascii="Arial" w:hAnsi="Arial" w:cs="Arial"/>
              </w:rPr>
            </w:pPr>
            <w:r w:rsidRPr="001F1415">
              <w:rPr>
                <w:rFonts w:ascii="Arial" w:hAnsi="Arial" w:cs="Arial"/>
              </w:rPr>
              <w:t>ENG5</w:t>
            </w:r>
          </w:p>
        </w:tc>
        <w:tc>
          <w:tcPr>
            <w:tcW w:w="1417" w:type="dxa"/>
            <w:vAlign w:val="center"/>
          </w:tcPr>
          <w:p w14:paraId="6A36CE32" w14:textId="77777777" w:rsidR="001F4C77" w:rsidRPr="001F1415" w:rsidRDefault="001F4C77" w:rsidP="001C45CA">
            <w:pPr>
              <w:jc w:val="both"/>
              <w:rPr>
                <w:rFonts w:ascii="Arial" w:hAnsi="Arial" w:cs="Arial"/>
              </w:rPr>
            </w:pPr>
            <w:r w:rsidRPr="001F1415">
              <w:rPr>
                <w:rFonts w:ascii="Arial" w:hAnsi="Arial" w:cs="Arial"/>
              </w:rPr>
              <w:t>0.819</w:t>
            </w:r>
          </w:p>
        </w:tc>
        <w:tc>
          <w:tcPr>
            <w:tcW w:w="1417" w:type="dxa"/>
            <w:vAlign w:val="center"/>
          </w:tcPr>
          <w:p w14:paraId="53914E5F"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878762C"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105A196E"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CA747E8" w14:textId="77777777" w:rsidTr="001C45CA">
        <w:trPr>
          <w:jc w:val="center"/>
        </w:trPr>
        <w:tc>
          <w:tcPr>
            <w:tcW w:w="1247" w:type="dxa"/>
            <w:vAlign w:val="center"/>
          </w:tcPr>
          <w:p w14:paraId="4B68B3EC" w14:textId="77777777" w:rsidR="001F4C77" w:rsidRPr="001F1415" w:rsidRDefault="001F4C77" w:rsidP="001C45CA">
            <w:pPr>
              <w:jc w:val="both"/>
              <w:rPr>
                <w:rFonts w:ascii="Arial" w:hAnsi="Arial" w:cs="Arial"/>
              </w:rPr>
            </w:pPr>
            <w:r w:rsidRPr="001F1415">
              <w:rPr>
                <w:rFonts w:ascii="Arial" w:hAnsi="Arial" w:cs="Arial"/>
              </w:rPr>
              <w:t>ENG6</w:t>
            </w:r>
          </w:p>
        </w:tc>
        <w:tc>
          <w:tcPr>
            <w:tcW w:w="1417" w:type="dxa"/>
            <w:vAlign w:val="center"/>
          </w:tcPr>
          <w:p w14:paraId="0ACB2F97" w14:textId="77777777" w:rsidR="001F4C77" w:rsidRPr="001F1415" w:rsidRDefault="001F4C77" w:rsidP="001C45CA">
            <w:pPr>
              <w:jc w:val="both"/>
              <w:rPr>
                <w:rFonts w:ascii="Arial" w:hAnsi="Arial" w:cs="Arial"/>
              </w:rPr>
            </w:pPr>
            <w:r w:rsidRPr="001F1415">
              <w:rPr>
                <w:rFonts w:ascii="Arial" w:hAnsi="Arial" w:cs="Arial"/>
              </w:rPr>
              <w:t>0.789</w:t>
            </w:r>
          </w:p>
        </w:tc>
        <w:tc>
          <w:tcPr>
            <w:tcW w:w="1417" w:type="dxa"/>
            <w:vAlign w:val="center"/>
          </w:tcPr>
          <w:p w14:paraId="2FED78F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44457B29"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892A3EB" w14:textId="77777777" w:rsidR="001F4C77" w:rsidRPr="001F1415" w:rsidRDefault="001F4C77" w:rsidP="001C45CA">
            <w:pPr>
              <w:jc w:val="both"/>
              <w:rPr>
                <w:rFonts w:ascii="Arial" w:hAnsi="Arial" w:cs="Arial"/>
              </w:rPr>
            </w:pPr>
            <w:r w:rsidRPr="001F1415">
              <w:rPr>
                <w:rFonts w:ascii="Arial" w:hAnsi="Arial" w:cs="Arial"/>
              </w:rPr>
              <w:t>Valid</w:t>
            </w:r>
          </w:p>
        </w:tc>
      </w:tr>
    </w:tbl>
    <w:p w14:paraId="687E91CE" w14:textId="77777777" w:rsidR="001F4C77" w:rsidRPr="001F1415" w:rsidRDefault="001F4C77" w:rsidP="001F4C77">
      <w:pPr>
        <w:spacing w:after="20"/>
        <w:jc w:val="both"/>
        <w:rPr>
          <w:rFonts w:ascii="Arial" w:hAnsi="Arial" w:cs="Arial"/>
        </w:rPr>
      </w:pPr>
    </w:p>
    <w:p w14:paraId="5AAC75DC"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 validity criteria refer to Ghozali (2018).</w:t>
      </w:r>
    </w:p>
    <w:p w14:paraId="25325396"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4 presents the item-total correlation analysis. All items showed acceptable item-total correlation coefficients exceeding the reference value of 0.111 and were statistically significant at the 0.05 level.</w:t>
      </w:r>
    </w:p>
    <w:p w14:paraId="16BD7318"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5. Reliability Test</w:t>
      </w:r>
    </w:p>
    <w:tbl>
      <w:tblPr>
        <w:tblStyle w:val="TableGrid"/>
        <w:tblW w:w="0" w:type="auto"/>
        <w:jc w:val="center"/>
        <w:tblLook w:val="04A0" w:firstRow="1" w:lastRow="0" w:firstColumn="1" w:lastColumn="0" w:noHBand="0" w:noVBand="1"/>
      </w:tblPr>
      <w:tblGrid>
        <w:gridCol w:w="3242"/>
        <w:gridCol w:w="1387"/>
        <w:gridCol w:w="1679"/>
        <w:gridCol w:w="1406"/>
        <w:gridCol w:w="1914"/>
      </w:tblGrid>
      <w:tr w:rsidR="001F4C77" w:rsidRPr="001F1415" w14:paraId="4813E2C2" w14:textId="77777777" w:rsidTr="001C45CA">
        <w:trPr>
          <w:jc w:val="center"/>
        </w:trPr>
        <w:tc>
          <w:tcPr>
            <w:tcW w:w="3402" w:type="dxa"/>
            <w:vAlign w:val="center"/>
          </w:tcPr>
          <w:p w14:paraId="7CF50BC6" w14:textId="77777777" w:rsidR="001F4C77" w:rsidRPr="001F1415" w:rsidRDefault="001F4C77" w:rsidP="001C45CA">
            <w:pPr>
              <w:jc w:val="both"/>
              <w:rPr>
                <w:rFonts w:ascii="Arial" w:hAnsi="Arial" w:cs="Arial"/>
              </w:rPr>
            </w:pPr>
            <w:r w:rsidRPr="001F1415">
              <w:rPr>
                <w:rFonts w:ascii="Arial" w:hAnsi="Arial" w:cs="Arial"/>
                <w:b/>
              </w:rPr>
              <w:t>Variable</w:t>
            </w:r>
          </w:p>
        </w:tc>
        <w:tc>
          <w:tcPr>
            <w:tcW w:w="1417" w:type="dxa"/>
            <w:vAlign w:val="center"/>
          </w:tcPr>
          <w:p w14:paraId="5FD1A3A3" w14:textId="77777777" w:rsidR="001F4C77" w:rsidRPr="001F1415" w:rsidRDefault="001F4C77" w:rsidP="001C45CA">
            <w:pPr>
              <w:jc w:val="both"/>
              <w:rPr>
                <w:rFonts w:ascii="Arial" w:hAnsi="Arial" w:cs="Arial"/>
              </w:rPr>
            </w:pPr>
            <w:r w:rsidRPr="001F1415">
              <w:rPr>
                <w:rFonts w:ascii="Arial" w:hAnsi="Arial" w:cs="Arial"/>
                <w:b/>
              </w:rPr>
              <w:t>Number of Items</w:t>
            </w:r>
          </w:p>
        </w:tc>
        <w:tc>
          <w:tcPr>
            <w:tcW w:w="1701" w:type="dxa"/>
            <w:vAlign w:val="center"/>
          </w:tcPr>
          <w:p w14:paraId="087F9609" w14:textId="77777777" w:rsidR="001F4C77" w:rsidRPr="001F1415" w:rsidRDefault="001F4C77" w:rsidP="001C45CA">
            <w:pPr>
              <w:jc w:val="both"/>
              <w:rPr>
                <w:rFonts w:ascii="Arial" w:hAnsi="Arial" w:cs="Arial"/>
              </w:rPr>
            </w:pPr>
            <w:r w:rsidRPr="001F1415">
              <w:rPr>
                <w:rFonts w:ascii="Arial" w:hAnsi="Arial" w:cs="Arial"/>
                <w:b/>
              </w:rPr>
              <w:t>Cronbach’s Alpha</w:t>
            </w:r>
          </w:p>
        </w:tc>
        <w:tc>
          <w:tcPr>
            <w:tcW w:w="1417" w:type="dxa"/>
            <w:vAlign w:val="center"/>
          </w:tcPr>
          <w:p w14:paraId="21AB8760" w14:textId="77777777" w:rsidR="001F4C77" w:rsidRPr="001F1415" w:rsidRDefault="001F4C77" w:rsidP="001C45CA">
            <w:pPr>
              <w:jc w:val="both"/>
              <w:rPr>
                <w:rFonts w:ascii="Arial" w:hAnsi="Arial" w:cs="Arial"/>
              </w:rPr>
            </w:pPr>
            <w:r w:rsidRPr="001F1415">
              <w:rPr>
                <w:rFonts w:ascii="Arial" w:hAnsi="Arial" w:cs="Arial"/>
                <w:b/>
              </w:rPr>
              <w:t>Threshold</w:t>
            </w:r>
          </w:p>
        </w:tc>
        <w:tc>
          <w:tcPr>
            <w:tcW w:w="1984" w:type="dxa"/>
            <w:vAlign w:val="center"/>
          </w:tcPr>
          <w:p w14:paraId="4C7538E1" w14:textId="77777777" w:rsidR="001F4C77" w:rsidRPr="001F1415" w:rsidRDefault="001F4C77" w:rsidP="001C45CA">
            <w:pPr>
              <w:jc w:val="both"/>
              <w:rPr>
                <w:rFonts w:ascii="Arial" w:hAnsi="Arial" w:cs="Arial"/>
              </w:rPr>
            </w:pPr>
            <w:r w:rsidRPr="001F1415">
              <w:rPr>
                <w:rFonts w:ascii="Arial" w:hAnsi="Arial" w:cs="Arial"/>
                <w:b/>
              </w:rPr>
              <w:t>Decision</w:t>
            </w:r>
          </w:p>
        </w:tc>
      </w:tr>
      <w:tr w:rsidR="001F4C77" w:rsidRPr="001F1415" w14:paraId="6D10C9B7" w14:textId="77777777" w:rsidTr="001C45CA">
        <w:trPr>
          <w:jc w:val="center"/>
        </w:trPr>
        <w:tc>
          <w:tcPr>
            <w:tcW w:w="3402" w:type="dxa"/>
            <w:vAlign w:val="center"/>
          </w:tcPr>
          <w:p w14:paraId="3DEF1035" w14:textId="77777777" w:rsidR="001F4C77" w:rsidRPr="001F1415" w:rsidRDefault="001F4C77" w:rsidP="001C45CA">
            <w:pPr>
              <w:jc w:val="both"/>
              <w:rPr>
                <w:rFonts w:ascii="Arial" w:hAnsi="Arial" w:cs="Arial"/>
              </w:rPr>
            </w:pPr>
            <w:r w:rsidRPr="001F1415">
              <w:rPr>
                <w:rFonts w:ascii="Arial" w:hAnsi="Arial" w:cs="Arial"/>
              </w:rPr>
              <w:t>AI Literacy</w:t>
            </w:r>
          </w:p>
        </w:tc>
        <w:tc>
          <w:tcPr>
            <w:tcW w:w="1417" w:type="dxa"/>
            <w:vAlign w:val="center"/>
          </w:tcPr>
          <w:p w14:paraId="174D9208"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15E7E90B" w14:textId="77777777" w:rsidR="001F4C77" w:rsidRPr="001F1415" w:rsidRDefault="001F4C77" w:rsidP="001C45CA">
            <w:pPr>
              <w:jc w:val="both"/>
              <w:rPr>
                <w:rFonts w:ascii="Arial" w:hAnsi="Arial" w:cs="Arial"/>
              </w:rPr>
            </w:pPr>
            <w:r w:rsidRPr="001F1415">
              <w:rPr>
                <w:rFonts w:ascii="Arial" w:hAnsi="Arial" w:cs="Arial"/>
              </w:rPr>
              <w:t>0.933</w:t>
            </w:r>
          </w:p>
        </w:tc>
        <w:tc>
          <w:tcPr>
            <w:tcW w:w="1417" w:type="dxa"/>
            <w:vAlign w:val="center"/>
          </w:tcPr>
          <w:p w14:paraId="7CE3FDF2"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51921A89" w14:textId="77777777" w:rsidR="001F4C77" w:rsidRPr="001F1415" w:rsidRDefault="001F4C77" w:rsidP="001C45CA">
            <w:pPr>
              <w:jc w:val="both"/>
              <w:rPr>
                <w:rFonts w:ascii="Arial" w:hAnsi="Arial" w:cs="Arial"/>
              </w:rPr>
            </w:pPr>
            <w:r w:rsidRPr="001F1415">
              <w:rPr>
                <w:rFonts w:ascii="Arial" w:hAnsi="Arial" w:cs="Arial"/>
              </w:rPr>
              <w:t>Reliable</w:t>
            </w:r>
          </w:p>
        </w:tc>
      </w:tr>
      <w:tr w:rsidR="001F4C77" w:rsidRPr="001F1415" w14:paraId="318DE09D" w14:textId="77777777" w:rsidTr="001C45CA">
        <w:trPr>
          <w:jc w:val="center"/>
        </w:trPr>
        <w:tc>
          <w:tcPr>
            <w:tcW w:w="3402" w:type="dxa"/>
            <w:vAlign w:val="center"/>
          </w:tcPr>
          <w:p w14:paraId="38176A6A" w14:textId="77777777" w:rsidR="001F4C77" w:rsidRPr="001F1415" w:rsidRDefault="001F4C77" w:rsidP="001C45CA">
            <w:pPr>
              <w:jc w:val="both"/>
              <w:rPr>
                <w:rFonts w:ascii="Arial" w:hAnsi="Arial" w:cs="Arial"/>
              </w:rPr>
            </w:pPr>
            <w:r w:rsidRPr="001F1415">
              <w:rPr>
                <w:rFonts w:ascii="Arial" w:hAnsi="Arial" w:cs="Arial"/>
              </w:rPr>
              <w:t>Self-Regulated Learning</w:t>
            </w:r>
          </w:p>
        </w:tc>
        <w:tc>
          <w:tcPr>
            <w:tcW w:w="1417" w:type="dxa"/>
            <w:vAlign w:val="center"/>
          </w:tcPr>
          <w:p w14:paraId="755A44F0"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2313A2A0" w14:textId="77777777" w:rsidR="001F4C77" w:rsidRPr="001F1415" w:rsidRDefault="001F4C77" w:rsidP="001C45CA">
            <w:pPr>
              <w:jc w:val="both"/>
              <w:rPr>
                <w:rFonts w:ascii="Arial" w:hAnsi="Arial" w:cs="Arial"/>
              </w:rPr>
            </w:pPr>
            <w:r w:rsidRPr="001F1415">
              <w:rPr>
                <w:rFonts w:ascii="Arial" w:hAnsi="Arial" w:cs="Arial"/>
              </w:rPr>
              <w:t>0.924</w:t>
            </w:r>
          </w:p>
        </w:tc>
        <w:tc>
          <w:tcPr>
            <w:tcW w:w="1417" w:type="dxa"/>
            <w:vAlign w:val="center"/>
          </w:tcPr>
          <w:p w14:paraId="43529C48"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53424CEC" w14:textId="77777777" w:rsidR="001F4C77" w:rsidRPr="001F1415" w:rsidRDefault="001F4C77" w:rsidP="001C45CA">
            <w:pPr>
              <w:jc w:val="both"/>
              <w:rPr>
                <w:rFonts w:ascii="Arial" w:hAnsi="Arial" w:cs="Arial"/>
              </w:rPr>
            </w:pPr>
            <w:r w:rsidRPr="001F1415">
              <w:rPr>
                <w:rFonts w:ascii="Arial" w:hAnsi="Arial" w:cs="Arial"/>
              </w:rPr>
              <w:t>Reliable</w:t>
            </w:r>
          </w:p>
        </w:tc>
      </w:tr>
      <w:tr w:rsidR="001F4C77" w:rsidRPr="001F1415" w14:paraId="760DBC79" w14:textId="77777777" w:rsidTr="001C45CA">
        <w:trPr>
          <w:jc w:val="center"/>
        </w:trPr>
        <w:tc>
          <w:tcPr>
            <w:tcW w:w="3402" w:type="dxa"/>
            <w:vAlign w:val="center"/>
          </w:tcPr>
          <w:p w14:paraId="2AEEA993" w14:textId="77777777" w:rsidR="001F4C77" w:rsidRPr="001F1415" w:rsidRDefault="001F4C77" w:rsidP="001C45CA">
            <w:pPr>
              <w:jc w:val="both"/>
              <w:rPr>
                <w:rFonts w:ascii="Arial" w:hAnsi="Arial" w:cs="Arial"/>
              </w:rPr>
            </w:pPr>
            <w:r w:rsidRPr="001F1415">
              <w:rPr>
                <w:rFonts w:ascii="Arial" w:hAnsi="Arial" w:cs="Arial"/>
              </w:rPr>
              <w:t>Academic Engagement</w:t>
            </w:r>
          </w:p>
        </w:tc>
        <w:tc>
          <w:tcPr>
            <w:tcW w:w="1417" w:type="dxa"/>
            <w:vAlign w:val="center"/>
          </w:tcPr>
          <w:p w14:paraId="20EC2B45"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1F44B8C1" w14:textId="77777777" w:rsidR="001F4C77" w:rsidRPr="001F1415" w:rsidRDefault="001F4C77" w:rsidP="001C45CA">
            <w:pPr>
              <w:jc w:val="both"/>
              <w:rPr>
                <w:rFonts w:ascii="Arial" w:hAnsi="Arial" w:cs="Arial"/>
              </w:rPr>
            </w:pPr>
            <w:r w:rsidRPr="001F1415">
              <w:rPr>
                <w:rFonts w:ascii="Arial" w:hAnsi="Arial" w:cs="Arial"/>
              </w:rPr>
              <w:t>0.933</w:t>
            </w:r>
          </w:p>
        </w:tc>
        <w:tc>
          <w:tcPr>
            <w:tcW w:w="1417" w:type="dxa"/>
            <w:vAlign w:val="center"/>
          </w:tcPr>
          <w:p w14:paraId="2A7090EB"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3B7441D1" w14:textId="77777777" w:rsidR="001F4C77" w:rsidRPr="001F1415" w:rsidRDefault="001F4C77" w:rsidP="001C45CA">
            <w:pPr>
              <w:jc w:val="both"/>
              <w:rPr>
                <w:rFonts w:ascii="Arial" w:hAnsi="Arial" w:cs="Arial"/>
              </w:rPr>
            </w:pPr>
            <w:r w:rsidRPr="001F1415">
              <w:rPr>
                <w:rFonts w:ascii="Arial" w:hAnsi="Arial" w:cs="Arial"/>
              </w:rPr>
              <w:t>Reliable</w:t>
            </w:r>
          </w:p>
        </w:tc>
      </w:tr>
    </w:tbl>
    <w:p w14:paraId="08046E17" w14:textId="77777777" w:rsidR="001F4C77" w:rsidRPr="001F1415" w:rsidRDefault="001F4C77" w:rsidP="001F4C77">
      <w:pPr>
        <w:spacing w:after="20"/>
        <w:jc w:val="both"/>
        <w:rPr>
          <w:rFonts w:ascii="Arial" w:hAnsi="Arial" w:cs="Arial"/>
        </w:rPr>
      </w:pPr>
    </w:p>
    <w:p w14:paraId="2D000CD9"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 Hair et al. (2019).</w:t>
      </w:r>
    </w:p>
    <w:p w14:paraId="75F9A5EA"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Classical Assumptions Test</w:t>
      </w:r>
    </w:p>
    <w:p w14:paraId="055EEDFC"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6 presents the classical assumption test results. The normality test of residuals showed a Kolmogorov-Smirnov value of 0.036 with a significance level of 0.789.</w:t>
      </w:r>
    </w:p>
    <w:p w14:paraId="25DC8649" w14:textId="77777777" w:rsidR="001F4C77" w:rsidRPr="001F1415" w:rsidRDefault="001F4C77" w:rsidP="001F4C77">
      <w:pPr>
        <w:jc w:val="center"/>
        <w:rPr>
          <w:rFonts w:ascii="Arial" w:hAnsi="Arial" w:cs="Arial"/>
        </w:rPr>
      </w:pPr>
      <w:r w:rsidRPr="001F1415">
        <w:rPr>
          <w:rFonts w:ascii="Arial" w:hAnsi="Arial" w:cs="Arial"/>
          <w:noProof/>
        </w:rPr>
        <w:drawing>
          <wp:inline distT="0" distB="0" distL="0" distR="0" wp14:anchorId="2EBB64E2" wp14:editId="6619FA68">
            <wp:extent cx="2524125" cy="2422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_plot_ai_literacy_srl_engagement.png"/>
                    <pic:cNvPicPr/>
                  </pic:nvPicPr>
                  <pic:blipFill>
                    <a:blip r:embed="rId7"/>
                    <a:stretch>
                      <a:fillRect/>
                    </a:stretch>
                  </pic:blipFill>
                  <pic:spPr>
                    <a:xfrm>
                      <a:off x="0" y="0"/>
                      <a:ext cx="2529705" cy="2427391"/>
                    </a:xfrm>
                    <a:prstGeom prst="rect">
                      <a:avLst/>
                    </a:prstGeom>
                  </pic:spPr>
                </pic:pic>
              </a:graphicData>
            </a:graphic>
          </wp:inline>
        </w:drawing>
      </w:r>
    </w:p>
    <w:p w14:paraId="181858AB"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 xml:space="preserve">Figure 1. Normal P-P Plot of regression residuals. </w:t>
      </w:r>
    </w:p>
    <w:p w14:paraId="790E49CC"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3432015C"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6. Multicollinearity Test</w:t>
      </w:r>
    </w:p>
    <w:tbl>
      <w:tblPr>
        <w:tblStyle w:val="TableGrid"/>
        <w:tblW w:w="0" w:type="auto"/>
        <w:jc w:val="center"/>
        <w:tblLook w:val="04A0" w:firstRow="1" w:lastRow="0" w:firstColumn="1" w:lastColumn="0" w:noHBand="0" w:noVBand="1"/>
      </w:tblPr>
      <w:tblGrid>
        <w:gridCol w:w="2213"/>
        <w:gridCol w:w="2163"/>
        <w:gridCol w:w="1357"/>
        <w:gridCol w:w="1677"/>
        <w:gridCol w:w="2218"/>
      </w:tblGrid>
      <w:tr w:rsidR="001F4C77" w:rsidRPr="001F1415" w14:paraId="0CDD8806" w14:textId="77777777" w:rsidTr="001C45CA">
        <w:trPr>
          <w:jc w:val="center"/>
        </w:trPr>
        <w:tc>
          <w:tcPr>
            <w:tcW w:w="2268" w:type="dxa"/>
            <w:vAlign w:val="center"/>
          </w:tcPr>
          <w:p w14:paraId="7D6AEFC6" w14:textId="77777777" w:rsidR="001F4C77" w:rsidRPr="001F1415" w:rsidRDefault="001F4C77" w:rsidP="001C45CA">
            <w:pPr>
              <w:jc w:val="both"/>
              <w:rPr>
                <w:rFonts w:ascii="Arial" w:hAnsi="Arial" w:cs="Arial"/>
              </w:rPr>
            </w:pPr>
            <w:r w:rsidRPr="001F1415">
              <w:rPr>
                <w:rFonts w:ascii="Arial" w:hAnsi="Arial" w:cs="Arial"/>
                <w:b/>
              </w:rPr>
              <w:t>Testing</w:t>
            </w:r>
          </w:p>
        </w:tc>
        <w:tc>
          <w:tcPr>
            <w:tcW w:w="2268" w:type="dxa"/>
            <w:vAlign w:val="center"/>
          </w:tcPr>
          <w:p w14:paraId="0A7D7878" w14:textId="77777777" w:rsidR="001F4C77" w:rsidRPr="001F1415" w:rsidRDefault="001F4C77" w:rsidP="001C45CA">
            <w:pPr>
              <w:jc w:val="both"/>
              <w:rPr>
                <w:rFonts w:ascii="Arial" w:hAnsi="Arial" w:cs="Arial"/>
              </w:rPr>
            </w:pPr>
            <w:r w:rsidRPr="001F1415">
              <w:rPr>
                <w:rFonts w:ascii="Arial" w:hAnsi="Arial" w:cs="Arial"/>
                <w:b/>
              </w:rPr>
              <w:t>Statistics</w:t>
            </w:r>
          </w:p>
        </w:tc>
        <w:tc>
          <w:tcPr>
            <w:tcW w:w="1417" w:type="dxa"/>
            <w:vAlign w:val="center"/>
          </w:tcPr>
          <w:p w14:paraId="0A8338B0" w14:textId="77777777" w:rsidR="001F4C77" w:rsidRPr="001F1415" w:rsidRDefault="001F4C77" w:rsidP="001C45CA">
            <w:pPr>
              <w:jc w:val="both"/>
              <w:rPr>
                <w:rFonts w:ascii="Arial" w:hAnsi="Arial" w:cs="Arial"/>
              </w:rPr>
            </w:pPr>
            <w:r w:rsidRPr="001F1415">
              <w:rPr>
                <w:rFonts w:ascii="Arial" w:hAnsi="Arial" w:cs="Arial"/>
                <w:b/>
              </w:rPr>
              <w:t>Value</w:t>
            </w:r>
          </w:p>
        </w:tc>
        <w:tc>
          <w:tcPr>
            <w:tcW w:w="1701" w:type="dxa"/>
            <w:vAlign w:val="center"/>
          </w:tcPr>
          <w:p w14:paraId="6722680A" w14:textId="77777777" w:rsidR="001F4C77" w:rsidRPr="001F1415" w:rsidRDefault="001F4C77" w:rsidP="001C45CA">
            <w:pPr>
              <w:jc w:val="both"/>
              <w:rPr>
                <w:rFonts w:ascii="Arial" w:hAnsi="Arial" w:cs="Arial"/>
              </w:rPr>
            </w:pPr>
            <w:r w:rsidRPr="001F1415">
              <w:rPr>
                <w:rFonts w:ascii="Arial" w:hAnsi="Arial" w:cs="Arial"/>
                <w:b/>
              </w:rPr>
              <w:t>Criteria</w:t>
            </w:r>
          </w:p>
        </w:tc>
        <w:tc>
          <w:tcPr>
            <w:tcW w:w="2268" w:type="dxa"/>
            <w:vAlign w:val="center"/>
          </w:tcPr>
          <w:p w14:paraId="2DFE3900" w14:textId="77777777" w:rsidR="001F4C77" w:rsidRPr="001F1415" w:rsidRDefault="001F4C77" w:rsidP="001C45CA">
            <w:pPr>
              <w:jc w:val="both"/>
              <w:rPr>
                <w:rFonts w:ascii="Arial" w:hAnsi="Arial" w:cs="Arial"/>
              </w:rPr>
            </w:pPr>
            <w:r w:rsidRPr="001F1415">
              <w:rPr>
                <w:rFonts w:ascii="Arial" w:hAnsi="Arial" w:cs="Arial"/>
                <w:b/>
              </w:rPr>
              <w:t>Conclusion</w:t>
            </w:r>
          </w:p>
        </w:tc>
      </w:tr>
      <w:tr w:rsidR="001F4C77" w:rsidRPr="001F1415" w14:paraId="3AD75D30" w14:textId="77777777" w:rsidTr="001C45CA">
        <w:trPr>
          <w:jc w:val="center"/>
        </w:trPr>
        <w:tc>
          <w:tcPr>
            <w:tcW w:w="2268" w:type="dxa"/>
            <w:vAlign w:val="center"/>
          </w:tcPr>
          <w:p w14:paraId="29B80B8C"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149FCAA3" w14:textId="77777777" w:rsidR="001F4C77" w:rsidRPr="001F1415" w:rsidRDefault="001F4C77" w:rsidP="001C45CA">
            <w:pPr>
              <w:jc w:val="both"/>
              <w:rPr>
                <w:rFonts w:ascii="Arial" w:hAnsi="Arial" w:cs="Arial"/>
              </w:rPr>
            </w:pPr>
            <w:r w:rsidRPr="001F1415">
              <w:rPr>
                <w:rFonts w:ascii="Arial" w:hAnsi="Arial" w:cs="Arial"/>
              </w:rPr>
              <w:t>Tolerance X1</w:t>
            </w:r>
          </w:p>
        </w:tc>
        <w:tc>
          <w:tcPr>
            <w:tcW w:w="1417" w:type="dxa"/>
            <w:vAlign w:val="center"/>
          </w:tcPr>
          <w:p w14:paraId="512D7B59" w14:textId="77777777" w:rsidR="001F4C77" w:rsidRPr="001F1415" w:rsidRDefault="001F4C77" w:rsidP="001C45CA">
            <w:pPr>
              <w:jc w:val="both"/>
              <w:rPr>
                <w:rFonts w:ascii="Arial" w:hAnsi="Arial" w:cs="Arial"/>
              </w:rPr>
            </w:pPr>
            <w:r w:rsidRPr="001F1415">
              <w:rPr>
                <w:rFonts w:ascii="Arial" w:hAnsi="Arial" w:cs="Arial"/>
              </w:rPr>
              <w:t>0.822</w:t>
            </w:r>
          </w:p>
        </w:tc>
        <w:tc>
          <w:tcPr>
            <w:tcW w:w="1701" w:type="dxa"/>
            <w:vAlign w:val="center"/>
          </w:tcPr>
          <w:p w14:paraId="58E1DEA5" w14:textId="77777777" w:rsidR="001F4C77" w:rsidRPr="001F1415" w:rsidRDefault="001F4C77" w:rsidP="001C45CA">
            <w:pPr>
              <w:jc w:val="both"/>
              <w:rPr>
                <w:rFonts w:ascii="Arial" w:hAnsi="Arial" w:cs="Arial"/>
              </w:rPr>
            </w:pPr>
            <w:r w:rsidRPr="001F1415">
              <w:rPr>
                <w:rFonts w:ascii="Arial" w:hAnsi="Arial" w:cs="Arial"/>
              </w:rPr>
              <w:t>&gt;0.10</w:t>
            </w:r>
          </w:p>
        </w:tc>
        <w:tc>
          <w:tcPr>
            <w:tcW w:w="2268" w:type="dxa"/>
            <w:vAlign w:val="center"/>
          </w:tcPr>
          <w:p w14:paraId="6C274D8F"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2DD2869F" w14:textId="77777777" w:rsidTr="001C45CA">
        <w:trPr>
          <w:jc w:val="center"/>
        </w:trPr>
        <w:tc>
          <w:tcPr>
            <w:tcW w:w="2268" w:type="dxa"/>
            <w:vAlign w:val="center"/>
          </w:tcPr>
          <w:p w14:paraId="731EC630" w14:textId="77777777" w:rsidR="001F4C77" w:rsidRPr="001F1415" w:rsidRDefault="001F4C77" w:rsidP="001C45CA">
            <w:pPr>
              <w:jc w:val="both"/>
              <w:rPr>
                <w:rFonts w:ascii="Arial" w:hAnsi="Arial" w:cs="Arial"/>
              </w:rPr>
            </w:pPr>
            <w:r w:rsidRPr="001F1415">
              <w:rPr>
                <w:rFonts w:ascii="Arial" w:hAnsi="Arial" w:cs="Arial"/>
              </w:rPr>
              <w:lastRenderedPageBreak/>
              <w:t>Multicollinearity</w:t>
            </w:r>
          </w:p>
        </w:tc>
        <w:tc>
          <w:tcPr>
            <w:tcW w:w="2268" w:type="dxa"/>
            <w:vAlign w:val="center"/>
          </w:tcPr>
          <w:p w14:paraId="7EA611C6" w14:textId="77777777" w:rsidR="001F4C77" w:rsidRPr="001F1415" w:rsidRDefault="001F4C77" w:rsidP="001C45CA">
            <w:pPr>
              <w:jc w:val="both"/>
              <w:rPr>
                <w:rFonts w:ascii="Arial" w:hAnsi="Arial" w:cs="Arial"/>
              </w:rPr>
            </w:pPr>
            <w:r w:rsidRPr="001F1415">
              <w:rPr>
                <w:rFonts w:ascii="Arial" w:hAnsi="Arial" w:cs="Arial"/>
              </w:rPr>
              <w:t>VIF X1</w:t>
            </w:r>
          </w:p>
        </w:tc>
        <w:tc>
          <w:tcPr>
            <w:tcW w:w="1417" w:type="dxa"/>
            <w:vAlign w:val="center"/>
          </w:tcPr>
          <w:p w14:paraId="4404E053" w14:textId="77777777" w:rsidR="001F4C77" w:rsidRPr="001F1415" w:rsidRDefault="001F4C77" w:rsidP="001C45CA">
            <w:pPr>
              <w:jc w:val="both"/>
              <w:rPr>
                <w:rFonts w:ascii="Arial" w:hAnsi="Arial" w:cs="Arial"/>
              </w:rPr>
            </w:pPr>
            <w:r w:rsidRPr="001F1415">
              <w:rPr>
                <w:rFonts w:ascii="Arial" w:hAnsi="Arial" w:cs="Arial"/>
              </w:rPr>
              <w:t>1.216</w:t>
            </w:r>
          </w:p>
        </w:tc>
        <w:tc>
          <w:tcPr>
            <w:tcW w:w="1701" w:type="dxa"/>
            <w:vAlign w:val="center"/>
          </w:tcPr>
          <w:p w14:paraId="0A1EB2B0" w14:textId="77777777" w:rsidR="001F4C77" w:rsidRPr="001F1415" w:rsidRDefault="001F4C77" w:rsidP="001C45CA">
            <w:pPr>
              <w:jc w:val="both"/>
              <w:rPr>
                <w:rFonts w:ascii="Arial" w:hAnsi="Arial" w:cs="Arial"/>
              </w:rPr>
            </w:pPr>
            <w:r w:rsidRPr="001F1415">
              <w:rPr>
                <w:rFonts w:ascii="Arial" w:hAnsi="Arial" w:cs="Arial"/>
              </w:rPr>
              <w:t>&lt;10</w:t>
            </w:r>
          </w:p>
        </w:tc>
        <w:tc>
          <w:tcPr>
            <w:tcW w:w="2268" w:type="dxa"/>
            <w:vAlign w:val="center"/>
          </w:tcPr>
          <w:p w14:paraId="56B9B7F1"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783D66FC" w14:textId="77777777" w:rsidTr="001C45CA">
        <w:trPr>
          <w:jc w:val="center"/>
        </w:trPr>
        <w:tc>
          <w:tcPr>
            <w:tcW w:w="2268" w:type="dxa"/>
            <w:vAlign w:val="center"/>
          </w:tcPr>
          <w:p w14:paraId="00835516"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4963DFDE" w14:textId="77777777" w:rsidR="001F4C77" w:rsidRPr="001F1415" w:rsidRDefault="001F4C77" w:rsidP="001C45CA">
            <w:pPr>
              <w:jc w:val="both"/>
              <w:rPr>
                <w:rFonts w:ascii="Arial" w:hAnsi="Arial" w:cs="Arial"/>
              </w:rPr>
            </w:pPr>
            <w:r w:rsidRPr="001F1415">
              <w:rPr>
                <w:rFonts w:ascii="Arial" w:hAnsi="Arial" w:cs="Arial"/>
              </w:rPr>
              <w:t>Tolerance X2</w:t>
            </w:r>
          </w:p>
        </w:tc>
        <w:tc>
          <w:tcPr>
            <w:tcW w:w="1417" w:type="dxa"/>
            <w:vAlign w:val="center"/>
          </w:tcPr>
          <w:p w14:paraId="17902E4E" w14:textId="77777777" w:rsidR="001F4C77" w:rsidRPr="001F1415" w:rsidRDefault="001F4C77" w:rsidP="001C45CA">
            <w:pPr>
              <w:jc w:val="both"/>
              <w:rPr>
                <w:rFonts w:ascii="Arial" w:hAnsi="Arial" w:cs="Arial"/>
              </w:rPr>
            </w:pPr>
            <w:r w:rsidRPr="001F1415">
              <w:rPr>
                <w:rFonts w:ascii="Arial" w:hAnsi="Arial" w:cs="Arial"/>
              </w:rPr>
              <w:t>0.822</w:t>
            </w:r>
          </w:p>
        </w:tc>
        <w:tc>
          <w:tcPr>
            <w:tcW w:w="1701" w:type="dxa"/>
            <w:vAlign w:val="center"/>
          </w:tcPr>
          <w:p w14:paraId="114D1F6F" w14:textId="77777777" w:rsidR="001F4C77" w:rsidRPr="001F1415" w:rsidRDefault="001F4C77" w:rsidP="001C45CA">
            <w:pPr>
              <w:jc w:val="both"/>
              <w:rPr>
                <w:rFonts w:ascii="Arial" w:hAnsi="Arial" w:cs="Arial"/>
              </w:rPr>
            </w:pPr>
            <w:r w:rsidRPr="001F1415">
              <w:rPr>
                <w:rFonts w:ascii="Arial" w:hAnsi="Arial" w:cs="Arial"/>
              </w:rPr>
              <w:t>&gt;0.10</w:t>
            </w:r>
          </w:p>
        </w:tc>
        <w:tc>
          <w:tcPr>
            <w:tcW w:w="2268" w:type="dxa"/>
            <w:vAlign w:val="center"/>
          </w:tcPr>
          <w:p w14:paraId="56BBA889"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3077AA72" w14:textId="77777777" w:rsidTr="001C45CA">
        <w:trPr>
          <w:jc w:val="center"/>
        </w:trPr>
        <w:tc>
          <w:tcPr>
            <w:tcW w:w="2268" w:type="dxa"/>
            <w:vAlign w:val="center"/>
          </w:tcPr>
          <w:p w14:paraId="66A4BBDE"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58C82A42" w14:textId="77777777" w:rsidR="001F4C77" w:rsidRPr="001F1415" w:rsidRDefault="001F4C77" w:rsidP="001C45CA">
            <w:pPr>
              <w:jc w:val="both"/>
              <w:rPr>
                <w:rFonts w:ascii="Arial" w:hAnsi="Arial" w:cs="Arial"/>
              </w:rPr>
            </w:pPr>
            <w:r w:rsidRPr="001F1415">
              <w:rPr>
                <w:rFonts w:ascii="Arial" w:hAnsi="Arial" w:cs="Arial"/>
              </w:rPr>
              <w:t>VIF X2</w:t>
            </w:r>
          </w:p>
        </w:tc>
        <w:tc>
          <w:tcPr>
            <w:tcW w:w="1417" w:type="dxa"/>
            <w:vAlign w:val="center"/>
          </w:tcPr>
          <w:p w14:paraId="120A146D" w14:textId="77777777" w:rsidR="001F4C77" w:rsidRPr="001F1415" w:rsidRDefault="001F4C77" w:rsidP="001C45CA">
            <w:pPr>
              <w:jc w:val="both"/>
              <w:rPr>
                <w:rFonts w:ascii="Arial" w:hAnsi="Arial" w:cs="Arial"/>
              </w:rPr>
            </w:pPr>
            <w:r w:rsidRPr="001F1415">
              <w:rPr>
                <w:rFonts w:ascii="Arial" w:hAnsi="Arial" w:cs="Arial"/>
              </w:rPr>
              <w:t>1.216</w:t>
            </w:r>
          </w:p>
        </w:tc>
        <w:tc>
          <w:tcPr>
            <w:tcW w:w="1701" w:type="dxa"/>
            <w:vAlign w:val="center"/>
          </w:tcPr>
          <w:p w14:paraId="27BE4309" w14:textId="77777777" w:rsidR="001F4C77" w:rsidRPr="001F1415" w:rsidRDefault="001F4C77" w:rsidP="001C45CA">
            <w:pPr>
              <w:jc w:val="both"/>
              <w:rPr>
                <w:rFonts w:ascii="Arial" w:hAnsi="Arial" w:cs="Arial"/>
              </w:rPr>
            </w:pPr>
            <w:r w:rsidRPr="001F1415">
              <w:rPr>
                <w:rFonts w:ascii="Arial" w:hAnsi="Arial" w:cs="Arial"/>
              </w:rPr>
              <w:t>&lt;10</w:t>
            </w:r>
          </w:p>
        </w:tc>
        <w:tc>
          <w:tcPr>
            <w:tcW w:w="2268" w:type="dxa"/>
            <w:vAlign w:val="center"/>
          </w:tcPr>
          <w:p w14:paraId="491E74E7"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59084CBE" w14:textId="77777777" w:rsidTr="001C45CA">
        <w:trPr>
          <w:jc w:val="center"/>
        </w:trPr>
        <w:tc>
          <w:tcPr>
            <w:tcW w:w="2268" w:type="dxa"/>
            <w:vAlign w:val="center"/>
          </w:tcPr>
          <w:p w14:paraId="79D299CC" w14:textId="77777777" w:rsidR="001F4C77" w:rsidRPr="001F1415" w:rsidRDefault="001F4C77" w:rsidP="001C45CA">
            <w:pPr>
              <w:jc w:val="both"/>
              <w:rPr>
                <w:rFonts w:ascii="Arial" w:hAnsi="Arial" w:cs="Arial"/>
              </w:rPr>
            </w:pPr>
            <w:r w:rsidRPr="001F1415">
              <w:rPr>
                <w:rFonts w:ascii="Arial" w:hAnsi="Arial" w:cs="Arial"/>
              </w:rPr>
              <w:t>Glejser</w:t>
            </w:r>
          </w:p>
        </w:tc>
        <w:tc>
          <w:tcPr>
            <w:tcW w:w="2268" w:type="dxa"/>
            <w:vAlign w:val="center"/>
          </w:tcPr>
          <w:p w14:paraId="1F6324C4" w14:textId="77777777" w:rsidR="001F4C77" w:rsidRPr="001F1415" w:rsidRDefault="001F4C77" w:rsidP="001C45CA">
            <w:pPr>
              <w:jc w:val="both"/>
              <w:rPr>
                <w:rFonts w:ascii="Arial" w:hAnsi="Arial" w:cs="Arial"/>
              </w:rPr>
            </w:pPr>
            <w:r w:rsidRPr="001F1415">
              <w:rPr>
                <w:rFonts w:ascii="Arial" w:hAnsi="Arial" w:cs="Arial"/>
              </w:rPr>
              <w:t>Sig. X1</w:t>
            </w:r>
          </w:p>
        </w:tc>
        <w:tc>
          <w:tcPr>
            <w:tcW w:w="1417" w:type="dxa"/>
            <w:vAlign w:val="center"/>
          </w:tcPr>
          <w:p w14:paraId="39863E35" w14:textId="77777777" w:rsidR="001F4C77" w:rsidRPr="001F1415" w:rsidRDefault="001F4C77" w:rsidP="001C45CA">
            <w:pPr>
              <w:jc w:val="both"/>
              <w:rPr>
                <w:rFonts w:ascii="Arial" w:hAnsi="Arial" w:cs="Arial"/>
              </w:rPr>
            </w:pPr>
            <w:r w:rsidRPr="001F1415">
              <w:rPr>
                <w:rFonts w:ascii="Arial" w:hAnsi="Arial" w:cs="Arial"/>
              </w:rPr>
              <w:t>0.858</w:t>
            </w:r>
          </w:p>
        </w:tc>
        <w:tc>
          <w:tcPr>
            <w:tcW w:w="1701" w:type="dxa"/>
            <w:vAlign w:val="center"/>
          </w:tcPr>
          <w:p w14:paraId="6E0D4A46" w14:textId="77777777" w:rsidR="001F4C77" w:rsidRPr="001F1415" w:rsidRDefault="001F4C77" w:rsidP="001C45CA">
            <w:pPr>
              <w:jc w:val="both"/>
              <w:rPr>
                <w:rFonts w:ascii="Arial" w:hAnsi="Arial" w:cs="Arial"/>
              </w:rPr>
            </w:pPr>
            <w:r w:rsidRPr="001F1415">
              <w:rPr>
                <w:rFonts w:ascii="Arial" w:hAnsi="Arial" w:cs="Arial"/>
              </w:rPr>
              <w:t>&gt;0.05</w:t>
            </w:r>
          </w:p>
        </w:tc>
        <w:tc>
          <w:tcPr>
            <w:tcW w:w="2268" w:type="dxa"/>
            <w:vAlign w:val="center"/>
          </w:tcPr>
          <w:p w14:paraId="0EE7432A" w14:textId="77777777" w:rsidR="001F4C77" w:rsidRPr="001F1415" w:rsidRDefault="001F4C77" w:rsidP="001C45CA">
            <w:pPr>
              <w:jc w:val="both"/>
              <w:rPr>
                <w:rFonts w:ascii="Arial" w:hAnsi="Arial" w:cs="Arial"/>
              </w:rPr>
            </w:pPr>
            <w:r w:rsidRPr="001F1415">
              <w:rPr>
                <w:rFonts w:ascii="Arial" w:hAnsi="Arial" w:cs="Arial"/>
              </w:rPr>
              <w:t>Not heteroscedastic</w:t>
            </w:r>
          </w:p>
        </w:tc>
      </w:tr>
      <w:tr w:rsidR="001F4C77" w:rsidRPr="001F1415" w14:paraId="4C3E1512" w14:textId="77777777" w:rsidTr="001C45CA">
        <w:trPr>
          <w:jc w:val="center"/>
        </w:trPr>
        <w:tc>
          <w:tcPr>
            <w:tcW w:w="2268" w:type="dxa"/>
            <w:vAlign w:val="center"/>
          </w:tcPr>
          <w:p w14:paraId="2E74EE7D" w14:textId="77777777" w:rsidR="001F4C77" w:rsidRPr="001F1415" w:rsidRDefault="001F4C77" w:rsidP="001C45CA">
            <w:pPr>
              <w:jc w:val="both"/>
              <w:rPr>
                <w:rFonts w:ascii="Arial" w:hAnsi="Arial" w:cs="Arial"/>
              </w:rPr>
            </w:pPr>
            <w:r w:rsidRPr="001F1415">
              <w:rPr>
                <w:rFonts w:ascii="Arial" w:hAnsi="Arial" w:cs="Arial"/>
              </w:rPr>
              <w:t>Glejser</w:t>
            </w:r>
          </w:p>
        </w:tc>
        <w:tc>
          <w:tcPr>
            <w:tcW w:w="2268" w:type="dxa"/>
            <w:vAlign w:val="center"/>
          </w:tcPr>
          <w:p w14:paraId="56EE069A" w14:textId="77777777" w:rsidR="001F4C77" w:rsidRPr="001F1415" w:rsidRDefault="001F4C77" w:rsidP="001C45CA">
            <w:pPr>
              <w:jc w:val="both"/>
              <w:rPr>
                <w:rFonts w:ascii="Arial" w:hAnsi="Arial" w:cs="Arial"/>
              </w:rPr>
            </w:pPr>
            <w:r w:rsidRPr="001F1415">
              <w:rPr>
                <w:rFonts w:ascii="Arial" w:hAnsi="Arial" w:cs="Arial"/>
              </w:rPr>
              <w:t>Sig. X2</w:t>
            </w:r>
          </w:p>
        </w:tc>
        <w:tc>
          <w:tcPr>
            <w:tcW w:w="1417" w:type="dxa"/>
            <w:vAlign w:val="center"/>
          </w:tcPr>
          <w:p w14:paraId="04802FF2" w14:textId="77777777" w:rsidR="001F4C77" w:rsidRPr="001F1415" w:rsidRDefault="001F4C77" w:rsidP="001C45CA">
            <w:pPr>
              <w:jc w:val="both"/>
              <w:rPr>
                <w:rFonts w:ascii="Arial" w:hAnsi="Arial" w:cs="Arial"/>
              </w:rPr>
            </w:pPr>
            <w:r w:rsidRPr="001F1415">
              <w:rPr>
                <w:rFonts w:ascii="Arial" w:hAnsi="Arial" w:cs="Arial"/>
              </w:rPr>
              <w:t>0.467</w:t>
            </w:r>
          </w:p>
        </w:tc>
        <w:tc>
          <w:tcPr>
            <w:tcW w:w="1701" w:type="dxa"/>
            <w:vAlign w:val="center"/>
          </w:tcPr>
          <w:p w14:paraId="44BBFCE7" w14:textId="77777777" w:rsidR="001F4C77" w:rsidRPr="001F1415" w:rsidRDefault="001F4C77" w:rsidP="001C45CA">
            <w:pPr>
              <w:jc w:val="both"/>
              <w:rPr>
                <w:rFonts w:ascii="Arial" w:hAnsi="Arial" w:cs="Arial"/>
              </w:rPr>
            </w:pPr>
            <w:r w:rsidRPr="001F1415">
              <w:rPr>
                <w:rFonts w:ascii="Arial" w:hAnsi="Arial" w:cs="Arial"/>
              </w:rPr>
              <w:t>&gt;0.05</w:t>
            </w:r>
          </w:p>
        </w:tc>
        <w:tc>
          <w:tcPr>
            <w:tcW w:w="2268" w:type="dxa"/>
            <w:vAlign w:val="center"/>
          </w:tcPr>
          <w:p w14:paraId="7AE20746" w14:textId="77777777" w:rsidR="001F4C77" w:rsidRPr="001F1415" w:rsidRDefault="001F4C77" w:rsidP="001C45CA">
            <w:pPr>
              <w:jc w:val="both"/>
              <w:rPr>
                <w:rFonts w:ascii="Arial" w:hAnsi="Arial" w:cs="Arial"/>
              </w:rPr>
            </w:pPr>
            <w:r w:rsidRPr="001F1415">
              <w:rPr>
                <w:rFonts w:ascii="Arial" w:hAnsi="Arial" w:cs="Arial"/>
              </w:rPr>
              <w:t>Not heteroscedastic</w:t>
            </w:r>
          </w:p>
        </w:tc>
      </w:tr>
      <w:tr w:rsidR="001F4C77" w:rsidRPr="001F1415" w14:paraId="30EA5C9D" w14:textId="77777777" w:rsidTr="001C45CA">
        <w:trPr>
          <w:jc w:val="center"/>
        </w:trPr>
        <w:tc>
          <w:tcPr>
            <w:tcW w:w="2268" w:type="dxa"/>
            <w:vAlign w:val="center"/>
          </w:tcPr>
          <w:p w14:paraId="04BB2B22" w14:textId="77777777" w:rsidR="001F4C77" w:rsidRPr="001F1415" w:rsidRDefault="001F4C77" w:rsidP="001C45CA">
            <w:pPr>
              <w:jc w:val="both"/>
              <w:rPr>
                <w:rFonts w:ascii="Arial" w:hAnsi="Arial" w:cs="Arial"/>
              </w:rPr>
            </w:pPr>
            <w:r w:rsidRPr="001F1415">
              <w:rPr>
                <w:rFonts w:ascii="Arial" w:hAnsi="Arial" w:cs="Arial"/>
              </w:rPr>
              <w:t>Durbin-Watson</w:t>
            </w:r>
          </w:p>
        </w:tc>
        <w:tc>
          <w:tcPr>
            <w:tcW w:w="2268" w:type="dxa"/>
            <w:vAlign w:val="center"/>
          </w:tcPr>
          <w:p w14:paraId="1B7277CB" w14:textId="77777777" w:rsidR="001F4C77" w:rsidRPr="001F1415" w:rsidRDefault="001F4C77" w:rsidP="001C45CA">
            <w:pPr>
              <w:jc w:val="both"/>
              <w:rPr>
                <w:rFonts w:ascii="Arial" w:hAnsi="Arial" w:cs="Arial"/>
              </w:rPr>
            </w:pPr>
            <w:r w:rsidRPr="001F1415">
              <w:rPr>
                <w:rFonts w:ascii="Arial" w:hAnsi="Arial" w:cs="Arial"/>
              </w:rPr>
              <w:t>DW</w:t>
            </w:r>
          </w:p>
        </w:tc>
        <w:tc>
          <w:tcPr>
            <w:tcW w:w="1417" w:type="dxa"/>
            <w:vAlign w:val="center"/>
          </w:tcPr>
          <w:p w14:paraId="116A6251" w14:textId="77777777" w:rsidR="001F4C77" w:rsidRPr="001F1415" w:rsidRDefault="001F4C77" w:rsidP="001C45CA">
            <w:pPr>
              <w:jc w:val="both"/>
              <w:rPr>
                <w:rFonts w:ascii="Arial" w:hAnsi="Arial" w:cs="Arial"/>
              </w:rPr>
            </w:pPr>
            <w:r w:rsidRPr="001F1415">
              <w:rPr>
                <w:rFonts w:ascii="Arial" w:hAnsi="Arial" w:cs="Arial"/>
              </w:rPr>
              <w:t>2.057</w:t>
            </w:r>
          </w:p>
        </w:tc>
        <w:tc>
          <w:tcPr>
            <w:tcW w:w="1701" w:type="dxa"/>
            <w:vAlign w:val="center"/>
          </w:tcPr>
          <w:p w14:paraId="394A806A" w14:textId="77777777" w:rsidR="001F4C77" w:rsidRPr="001F1415" w:rsidRDefault="001F4C77" w:rsidP="001C45CA">
            <w:pPr>
              <w:jc w:val="both"/>
              <w:rPr>
                <w:rFonts w:ascii="Arial" w:hAnsi="Arial" w:cs="Arial"/>
              </w:rPr>
            </w:pPr>
            <w:r w:rsidRPr="001F1415">
              <w:rPr>
                <w:rFonts w:ascii="Arial" w:hAnsi="Arial" w:cs="Arial"/>
              </w:rPr>
              <w:t>Approaching 2</w:t>
            </w:r>
          </w:p>
        </w:tc>
        <w:tc>
          <w:tcPr>
            <w:tcW w:w="2268" w:type="dxa"/>
            <w:vAlign w:val="center"/>
          </w:tcPr>
          <w:p w14:paraId="7A2D24D1" w14:textId="77777777" w:rsidR="001F4C77" w:rsidRPr="001F1415" w:rsidRDefault="001F4C77" w:rsidP="001C45CA">
            <w:pPr>
              <w:jc w:val="both"/>
              <w:rPr>
                <w:rFonts w:ascii="Arial" w:hAnsi="Arial" w:cs="Arial"/>
              </w:rPr>
            </w:pPr>
            <w:r w:rsidRPr="001F1415">
              <w:rPr>
                <w:rFonts w:ascii="Arial" w:hAnsi="Arial" w:cs="Arial"/>
              </w:rPr>
              <w:t>No indication of autocorrelation</w:t>
            </w:r>
          </w:p>
        </w:tc>
      </w:tr>
    </w:tbl>
    <w:p w14:paraId="29EFC216" w14:textId="77777777" w:rsidR="001F4C77" w:rsidRPr="001F1415" w:rsidRDefault="001F4C77" w:rsidP="001F4C77">
      <w:pPr>
        <w:spacing w:after="20"/>
        <w:jc w:val="both"/>
        <w:rPr>
          <w:rFonts w:ascii="Arial" w:hAnsi="Arial" w:cs="Arial"/>
        </w:rPr>
      </w:pPr>
    </w:p>
    <w:p w14:paraId="6DF591AB"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 Ghozali (2018).</w:t>
      </w:r>
    </w:p>
    <w:p w14:paraId="00E2387F" w14:textId="77777777" w:rsidR="001F4C77" w:rsidRPr="001F1415" w:rsidRDefault="001F4C77" w:rsidP="001F4C77">
      <w:pPr>
        <w:spacing w:after="80" w:line="252" w:lineRule="auto"/>
        <w:jc w:val="both"/>
        <w:rPr>
          <w:rFonts w:ascii="Arial" w:hAnsi="Arial" w:cs="Arial"/>
        </w:rPr>
      </w:pPr>
      <w:r w:rsidRPr="001F1415">
        <w:rPr>
          <w:rFonts w:ascii="Arial" w:hAnsi="Arial" w:cs="Arial"/>
        </w:rPr>
        <w:t>The Glejser test yielded significance values of X1 = 0.858 and X2 = 0.467, both exceeding 0.05, indicating no evidence of heteroscedasticity. Figure 2 presents the residual scatterplot, which shows that the residual distribution does not form a clear pattern.</w:t>
      </w:r>
    </w:p>
    <w:p w14:paraId="019E1EDB" w14:textId="77777777" w:rsidR="001F4C77" w:rsidRPr="001F1415" w:rsidRDefault="001F4C77" w:rsidP="001F4C77">
      <w:pPr>
        <w:jc w:val="center"/>
        <w:rPr>
          <w:rFonts w:ascii="Arial" w:hAnsi="Arial" w:cs="Arial"/>
        </w:rPr>
      </w:pPr>
      <w:r w:rsidRPr="001F1415">
        <w:rPr>
          <w:rFonts w:ascii="Arial" w:hAnsi="Arial" w:cs="Arial"/>
          <w:noProof/>
        </w:rPr>
        <w:drawing>
          <wp:inline distT="0" distB="0" distL="0" distR="0" wp14:anchorId="0DA84C7D" wp14:editId="0C8B0FAF">
            <wp:extent cx="3067050" cy="22527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tter_hetero_ai_literacy_srl_engagement.png"/>
                    <pic:cNvPicPr/>
                  </pic:nvPicPr>
                  <pic:blipFill>
                    <a:blip r:embed="rId8"/>
                    <a:stretch>
                      <a:fillRect/>
                    </a:stretch>
                  </pic:blipFill>
                  <pic:spPr>
                    <a:xfrm>
                      <a:off x="0" y="0"/>
                      <a:ext cx="3079691" cy="2262000"/>
                    </a:xfrm>
                    <a:prstGeom prst="rect">
                      <a:avLst/>
                    </a:prstGeom>
                  </pic:spPr>
                </pic:pic>
              </a:graphicData>
            </a:graphic>
          </wp:inline>
        </w:drawing>
      </w:r>
    </w:p>
    <w:p w14:paraId="2A126C50"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Figure 2. Residual scatterplot</w:t>
      </w:r>
    </w:p>
    <w:p w14:paraId="1FD1F33F"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546D693A" w14:textId="77777777" w:rsidR="001F4C77" w:rsidRPr="001F1415" w:rsidRDefault="001F4C77" w:rsidP="001F4C77">
      <w:pPr>
        <w:spacing w:after="80" w:line="252" w:lineRule="auto"/>
        <w:jc w:val="both"/>
        <w:rPr>
          <w:rFonts w:ascii="Arial" w:hAnsi="Arial" w:cs="Arial"/>
          <w:i/>
        </w:rPr>
      </w:pPr>
    </w:p>
    <w:p w14:paraId="046AB426" w14:textId="77777777" w:rsidR="001F4C77" w:rsidRPr="001F1415" w:rsidRDefault="001F4C77" w:rsidP="001F4C77">
      <w:pPr>
        <w:spacing w:after="80" w:line="252" w:lineRule="auto"/>
        <w:jc w:val="both"/>
        <w:rPr>
          <w:rFonts w:ascii="Arial" w:hAnsi="Arial" w:cs="Arial"/>
          <w:i/>
        </w:rPr>
      </w:pPr>
    </w:p>
    <w:p w14:paraId="0C8DB7FA" w14:textId="77777777" w:rsidR="001F4C77" w:rsidRPr="001F1415" w:rsidRDefault="001F4C77" w:rsidP="001F4C77">
      <w:pPr>
        <w:spacing w:after="80" w:line="252" w:lineRule="auto"/>
        <w:jc w:val="both"/>
        <w:rPr>
          <w:rFonts w:ascii="Arial" w:hAnsi="Arial" w:cs="Arial"/>
        </w:rPr>
      </w:pPr>
    </w:p>
    <w:p w14:paraId="33D79EB4"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Multiple Linear Regression and Hypothesis Testing</w:t>
      </w:r>
    </w:p>
    <w:p w14:paraId="71F031A9" w14:textId="77777777" w:rsidR="001F4C77" w:rsidRPr="001F1415" w:rsidRDefault="001F4C77" w:rsidP="001F4C77">
      <w:pPr>
        <w:rPr>
          <w:rFonts w:ascii="Arial" w:hAnsi="Arial" w:cs="Arial"/>
        </w:rPr>
      </w:pPr>
      <w:r w:rsidRPr="001F1415">
        <w:rPr>
          <w:rFonts w:ascii="Arial" w:hAnsi="Arial" w:cs="Arial"/>
        </w:rPr>
        <w:t>Table 7. Multiple Linear Regression</w:t>
      </w:r>
    </w:p>
    <w:tbl>
      <w:tblPr>
        <w:tblStyle w:val="TableGrid"/>
        <w:tblW w:w="0" w:type="auto"/>
        <w:jc w:val="center"/>
        <w:tblLook w:val="04A0" w:firstRow="1" w:lastRow="0" w:firstColumn="1" w:lastColumn="0" w:noHBand="0" w:noVBand="1"/>
      </w:tblPr>
      <w:tblGrid>
        <w:gridCol w:w="3315"/>
        <w:gridCol w:w="1228"/>
        <w:gridCol w:w="1391"/>
        <w:gridCol w:w="1228"/>
        <w:gridCol w:w="1233"/>
        <w:gridCol w:w="1233"/>
      </w:tblGrid>
      <w:tr w:rsidR="001F4C77" w:rsidRPr="001F1415" w14:paraId="10051DEC" w14:textId="77777777" w:rsidTr="001C45CA">
        <w:trPr>
          <w:jc w:val="center"/>
        </w:trPr>
        <w:tc>
          <w:tcPr>
            <w:tcW w:w="3402" w:type="dxa"/>
            <w:vAlign w:val="center"/>
          </w:tcPr>
          <w:p w14:paraId="26AE0B2B" w14:textId="77777777" w:rsidR="001F4C77" w:rsidRPr="001F1415" w:rsidRDefault="001F4C77" w:rsidP="001C45CA">
            <w:pPr>
              <w:jc w:val="both"/>
              <w:rPr>
                <w:rFonts w:ascii="Arial" w:hAnsi="Arial" w:cs="Arial"/>
              </w:rPr>
            </w:pPr>
            <w:r w:rsidRPr="001F1415">
              <w:rPr>
                <w:rFonts w:ascii="Arial" w:hAnsi="Arial" w:cs="Arial"/>
                <w:b/>
              </w:rPr>
              <w:t>Variables</w:t>
            </w:r>
          </w:p>
        </w:tc>
        <w:tc>
          <w:tcPr>
            <w:tcW w:w="1247" w:type="dxa"/>
            <w:vAlign w:val="center"/>
          </w:tcPr>
          <w:p w14:paraId="7DEF4450" w14:textId="77777777" w:rsidR="001F4C77" w:rsidRPr="001F1415" w:rsidRDefault="001F4C77" w:rsidP="001C45CA">
            <w:pPr>
              <w:jc w:val="both"/>
              <w:rPr>
                <w:rFonts w:ascii="Arial" w:hAnsi="Arial" w:cs="Arial"/>
              </w:rPr>
            </w:pPr>
            <w:r w:rsidRPr="001F1415">
              <w:rPr>
                <w:rFonts w:ascii="Arial" w:hAnsi="Arial" w:cs="Arial"/>
                <w:b/>
              </w:rPr>
              <w:t>B</w:t>
            </w:r>
          </w:p>
        </w:tc>
        <w:tc>
          <w:tcPr>
            <w:tcW w:w="1417" w:type="dxa"/>
            <w:vAlign w:val="center"/>
          </w:tcPr>
          <w:p w14:paraId="5F1CAD24" w14:textId="77777777" w:rsidR="001F4C77" w:rsidRPr="001F1415" w:rsidRDefault="001F4C77" w:rsidP="001C45CA">
            <w:pPr>
              <w:jc w:val="both"/>
              <w:rPr>
                <w:rFonts w:ascii="Arial" w:hAnsi="Arial" w:cs="Arial"/>
              </w:rPr>
            </w:pPr>
            <w:r w:rsidRPr="001F1415">
              <w:rPr>
                <w:rFonts w:ascii="Arial" w:hAnsi="Arial" w:cs="Arial"/>
                <w:b/>
              </w:rPr>
              <w:t>Std. Error</w:t>
            </w:r>
          </w:p>
        </w:tc>
        <w:tc>
          <w:tcPr>
            <w:tcW w:w="1247" w:type="dxa"/>
            <w:vAlign w:val="center"/>
          </w:tcPr>
          <w:p w14:paraId="6A2B367C" w14:textId="77777777" w:rsidR="001F4C77" w:rsidRPr="001F1415" w:rsidRDefault="001F4C77" w:rsidP="001C45CA">
            <w:pPr>
              <w:jc w:val="both"/>
              <w:rPr>
                <w:rFonts w:ascii="Arial" w:hAnsi="Arial" w:cs="Arial"/>
              </w:rPr>
            </w:pPr>
            <w:r w:rsidRPr="001F1415">
              <w:rPr>
                <w:rFonts w:ascii="Arial" w:hAnsi="Arial" w:cs="Arial"/>
                <w:b/>
              </w:rPr>
              <w:t>Beta</w:t>
            </w:r>
          </w:p>
        </w:tc>
        <w:tc>
          <w:tcPr>
            <w:tcW w:w="1247" w:type="dxa"/>
            <w:vAlign w:val="center"/>
          </w:tcPr>
          <w:p w14:paraId="16D62F48" w14:textId="77777777" w:rsidR="001F4C77" w:rsidRPr="001F1415" w:rsidRDefault="001F4C77" w:rsidP="001C45CA">
            <w:pPr>
              <w:jc w:val="both"/>
              <w:rPr>
                <w:rFonts w:ascii="Arial" w:hAnsi="Arial" w:cs="Arial"/>
              </w:rPr>
            </w:pPr>
            <w:r w:rsidRPr="001F1415">
              <w:rPr>
                <w:rFonts w:ascii="Arial" w:hAnsi="Arial" w:cs="Arial"/>
                <w:b/>
              </w:rPr>
              <w:t>t</w:t>
            </w:r>
          </w:p>
        </w:tc>
        <w:tc>
          <w:tcPr>
            <w:tcW w:w="1247" w:type="dxa"/>
            <w:vAlign w:val="center"/>
          </w:tcPr>
          <w:p w14:paraId="31E096C7" w14:textId="77777777" w:rsidR="001F4C77" w:rsidRPr="001F1415" w:rsidRDefault="001F4C77" w:rsidP="001C45CA">
            <w:pPr>
              <w:jc w:val="both"/>
              <w:rPr>
                <w:rFonts w:ascii="Arial" w:hAnsi="Arial" w:cs="Arial"/>
              </w:rPr>
            </w:pPr>
            <w:r w:rsidRPr="001F1415">
              <w:rPr>
                <w:rFonts w:ascii="Arial" w:hAnsi="Arial" w:cs="Arial"/>
                <w:b/>
              </w:rPr>
              <w:t>Sig.</w:t>
            </w:r>
          </w:p>
        </w:tc>
      </w:tr>
      <w:tr w:rsidR="001F4C77" w:rsidRPr="001F1415" w14:paraId="7A6205BA" w14:textId="77777777" w:rsidTr="001C45CA">
        <w:trPr>
          <w:jc w:val="center"/>
        </w:trPr>
        <w:tc>
          <w:tcPr>
            <w:tcW w:w="3402" w:type="dxa"/>
            <w:vAlign w:val="center"/>
          </w:tcPr>
          <w:p w14:paraId="2F59A11B" w14:textId="77777777" w:rsidR="001F4C77" w:rsidRPr="001F1415" w:rsidRDefault="001F4C77" w:rsidP="001C45CA">
            <w:pPr>
              <w:jc w:val="both"/>
              <w:rPr>
                <w:rFonts w:ascii="Arial" w:hAnsi="Arial" w:cs="Arial"/>
              </w:rPr>
            </w:pPr>
            <w:r w:rsidRPr="001F1415">
              <w:rPr>
                <w:rFonts w:ascii="Arial" w:hAnsi="Arial" w:cs="Arial"/>
              </w:rPr>
              <w:t>Constant</w:t>
            </w:r>
          </w:p>
        </w:tc>
        <w:tc>
          <w:tcPr>
            <w:tcW w:w="1247" w:type="dxa"/>
            <w:vAlign w:val="center"/>
          </w:tcPr>
          <w:p w14:paraId="1C864F65" w14:textId="77777777" w:rsidR="001F4C77" w:rsidRPr="001F1415" w:rsidRDefault="001F4C77" w:rsidP="001C45CA">
            <w:pPr>
              <w:jc w:val="both"/>
              <w:rPr>
                <w:rFonts w:ascii="Arial" w:hAnsi="Arial" w:cs="Arial"/>
              </w:rPr>
            </w:pPr>
            <w:r w:rsidRPr="001F1415">
              <w:rPr>
                <w:rFonts w:ascii="Arial" w:hAnsi="Arial" w:cs="Arial"/>
              </w:rPr>
              <w:t>-0.010</w:t>
            </w:r>
          </w:p>
        </w:tc>
        <w:tc>
          <w:tcPr>
            <w:tcW w:w="1417" w:type="dxa"/>
            <w:vAlign w:val="center"/>
          </w:tcPr>
          <w:p w14:paraId="67A08D36" w14:textId="77777777" w:rsidR="001F4C77" w:rsidRPr="001F1415" w:rsidRDefault="001F4C77" w:rsidP="001C45CA">
            <w:pPr>
              <w:jc w:val="both"/>
              <w:rPr>
                <w:rFonts w:ascii="Arial" w:hAnsi="Arial" w:cs="Arial"/>
              </w:rPr>
            </w:pPr>
            <w:r w:rsidRPr="001F1415">
              <w:rPr>
                <w:rFonts w:ascii="Arial" w:hAnsi="Arial" w:cs="Arial"/>
              </w:rPr>
              <w:t>0.141</w:t>
            </w:r>
          </w:p>
        </w:tc>
        <w:tc>
          <w:tcPr>
            <w:tcW w:w="1247" w:type="dxa"/>
            <w:vAlign w:val="center"/>
          </w:tcPr>
          <w:p w14:paraId="15564150" w14:textId="77777777" w:rsidR="001F4C77" w:rsidRPr="001F1415" w:rsidRDefault="001F4C77" w:rsidP="001C45CA">
            <w:pPr>
              <w:jc w:val="both"/>
              <w:rPr>
                <w:rFonts w:ascii="Arial" w:hAnsi="Arial" w:cs="Arial"/>
              </w:rPr>
            </w:pPr>
            <w:r w:rsidRPr="001F1415">
              <w:rPr>
                <w:rFonts w:ascii="Arial" w:hAnsi="Arial" w:cs="Arial"/>
              </w:rPr>
              <w:t>-</w:t>
            </w:r>
          </w:p>
        </w:tc>
        <w:tc>
          <w:tcPr>
            <w:tcW w:w="1247" w:type="dxa"/>
            <w:vAlign w:val="center"/>
          </w:tcPr>
          <w:p w14:paraId="291454BC" w14:textId="77777777" w:rsidR="001F4C77" w:rsidRPr="001F1415" w:rsidRDefault="001F4C77" w:rsidP="001C45CA">
            <w:pPr>
              <w:jc w:val="both"/>
              <w:rPr>
                <w:rFonts w:ascii="Arial" w:hAnsi="Arial" w:cs="Arial"/>
              </w:rPr>
            </w:pPr>
            <w:r w:rsidRPr="001F1415">
              <w:rPr>
                <w:rFonts w:ascii="Arial" w:hAnsi="Arial" w:cs="Arial"/>
              </w:rPr>
              <w:t>-0.074</w:t>
            </w:r>
          </w:p>
        </w:tc>
        <w:tc>
          <w:tcPr>
            <w:tcW w:w="1247" w:type="dxa"/>
            <w:vAlign w:val="center"/>
          </w:tcPr>
          <w:p w14:paraId="0C036C65" w14:textId="77777777" w:rsidR="001F4C77" w:rsidRPr="001F1415" w:rsidRDefault="001F4C77" w:rsidP="001C45CA">
            <w:pPr>
              <w:jc w:val="both"/>
              <w:rPr>
                <w:rFonts w:ascii="Arial" w:hAnsi="Arial" w:cs="Arial"/>
              </w:rPr>
            </w:pPr>
            <w:r w:rsidRPr="001F1415">
              <w:rPr>
                <w:rFonts w:ascii="Arial" w:hAnsi="Arial" w:cs="Arial"/>
              </w:rPr>
              <w:t>0.941</w:t>
            </w:r>
          </w:p>
        </w:tc>
      </w:tr>
      <w:tr w:rsidR="001F4C77" w:rsidRPr="001F1415" w14:paraId="73ECCEB2" w14:textId="77777777" w:rsidTr="001C45CA">
        <w:trPr>
          <w:jc w:val="center"/>
        </w:trPr>
        <w:tc>
          <w:tcPr>
            <w:tcW w:w="3402" w:type="dxa"/>
            <w:vAlign w:val="center"/>
          </w:tcPr>
          <w:p w14:paraId="1D82A2C3" w14:textId="77777777" w:rsidR="001F4C77" w:rsidRPr="001F1415" w:rsidRDefault="001F4C77" w:rsidP="001C45CA">
            <w:pPr>
              <w:jc w:val="both"/>
              <w:rPr>
                <w:rFonts w:ascii="Arial" w:hAnsi="Arial" w:cs="Arial"/>
              </w:rPr>
            </w:pPr>
            <w:r w:rsidRPr="001F1415">
              <w:rPr>
                <w:rFonts w:ascii="Arial" w:hAnsi="Arial" w:cs="Arial"/>
              </w:rPr>
              <w:t>AI Literacy (X1)</w:t>
            </w:r>
          </w:p>
        </w:tc>
        <w:tc>
          <w:tcPr>
            <w:tcW w:w="1247" w:type="dxa"/>
            <w:vAlign w:val="center"/>
          </w:tcPr>
          <w:p w14:paraId="37AAE5C9" w14:textId="77777777" w:rsidR="001F4C77" w:rsidRPr="001F1415" w:rsidRDefault="001F4C77" w:rsidP="001C45CA">
            <w:pPr>
              <w:jc w:val="both"/>
              <w:rPr>
                <w:rFonts w:ascii="Arial" w:hAnsi="Arial" w:cs="Arial"/>
              </w:rPr>
            </w:pPr>
            <w:r w:rsidRPr="001F1415">
              <w:rPr>
                <w:rFonts w:ascii="Arial" w:hAnsi="Arial" w:cs="Arial"/>
              </w:rPr>
              <w:t>0.463</w:t>
            </w:r>
          </w:p>
        </w:tc>
        <w:tc>
          <w:tcPr>
            <w:tcW w:w="1417" w:type="dxa"/>
            <w:vAlign w:val="center"/>
          </w:tcPr>
          <w:p w14:paraId="323E2CC8" w14:textId="77777777" w:rsidR="001F4C77" w:rsidRPr="001F1415" w:rsidRDefault="001F4C77" w:rsidP="001C45CA">
            <w:pPr>
              <w:jc w:val="both"/>
              <w:rPr>
                <w:rFonts w:ascii="Arial" w:hAnsi="Arial" w:cs="Arial"/>
              </w:rPr>
            </w:pPr>
            <w:r w:rsidRPr="001F1415">
              <w:rPr>
                <w:rFonts w:ascii="Arial" w:hAnsi="Arial" w:cs="Arial"/>
              </w:rPr>
              <w:t>0.038</w:t>
            </w:r>
          </w:p>
        </w:tc>
        <w:tc>
          <w:tcPr>
            <w:tcW w:w="1247" w:type="dxa"/>
            <w:vAlign w:val="center"/>
          </w:tcPr>
          <w:p w14:paraId="1648C98E" w14:textId="77777777" w:rsidR="001F4C77" w:rsidRPr="001F1415" w:rsidRDefault="001F4C77" w:rsidP="001C45CA">
            <w:pPr>
              <w:jc w:val="both"/>
              <w:rPr>
                <w:rFonts w:ascii="Arial" w:hAnsi="Arial" w:cs="Arial"/>
              </w:rPr>
            </w:pPr>
            <w:r w:rsidRPr="001F1415">
              <w:rPr>
                <w:rFonts w:ascii="Arial" w:hAnsi="Arial" w:cs="Arial"/>
              </w:rPr>
              <w:t>0.457</w:t>
            </w:r>
          </w:p>
        </w:tc>
        <w:tc>
          <w:tcPr>
            <w:tcW w:w="1247" w:type="dxa"/>
            <w:vAlign w:val="center"/>
          </w:tcPr>
          <w:p w14:paraId="0168F859" w14:textId="77777777" w:rsidR="001F4C77" w:rsidRPr="001F1415" w:rsidRDefault="001F4C77" w:rsidP="001C45CA">
            <w:pPr>
              <w:jc w:val="both"/>
              <w:rPr>
                <w:rFonts w:ascii="Arial" w:hAnsi="Arial" w:cs="Arial"/>
              </w:rPr>
            </w:pPr>
            <w:r w:rsidRPr="001F1415">
              <w:rPr>
                <w:rFonts w:ascii="Arial" w:hAnsi="Arial" w:cs="Arial"/>
              </w:rPr>
              <w:t>12.232</w:t>
            </w:r>
          </w:p>
        </w:tc>
        <w:tc>
          <w:tcPr>
            <w:tcW w:w="1247" w:type="dxa"/>
            <w:vAlign w:val="center"/>
          </w:tcPr>
          <w:p w14:paraId="330C24CE" w14:textId="77777777" w:rsidR="001F4C77" w:rsidRPr="001F1415" w:rsidRDefault="001F4C77" w:rsidP="001C45CA">
            <w:pPr>
              <w:jc w:val="both"/>
              <w:rPr>
                <w:rFonts w:ascii="Arial" w:hAnsi="Arial" w:cs="Arial"/>
              </w:rPr>
            </w:pPr>
            <w:r w:rsidRPr="001F1415">
              <w:rPr>
                <w:rFonts w:ascii="Arial" w:hAnsi="Arial" w:cs="Arial"/>
              </w:rPr>
              <w:t>&lt;0.001</w:t>
            </w:r>
          </w:p>
        </w:tc>
      </w:tr>
      <w:tr w:rsidR="001F4C77" w:rsidRPr="001F1415" w14:paraId="1F383398" w14:textId="77777777" w:rsidTr="001C45CA">
        <w:trPr>
          <w:jc w:val="center"/>
        </w:trPr>
        <w:tc>
          <w:tcPr>
            <w:tcW w:w="3402" w:type="dxa"/>
            <w:vAlign w:val="center"/>
          </w:tcPr>
          <w:p w14:paraId="5EC28287" w14:textId="77777777" w:rsidR="001F4C77" w:rsidRPr="001F1415" w:rsidRDefault="001F4C77" w:rsidP="001C45CA">
            <w:pPr>
              <w:jc w:val="both"/>
              <w:rPr>
                <w:rFonts w:ascii="Arial" w:hAnsi="Arial" w:cs="Arial"/>
              </w:rPr>
            </w:pPr>
            <w:r w:rsidRPr="001F1415">
              <w:rPr>
                <w:rFonts w:ascii="Arial" w:hAnsi="Arial" w:cs="Arial"/>
              </w:rPr>
              <w:t>Self-Regulated Learning (X2)</w:t>
            </w:r>
          </w:p>
        </w:tc>
        <w:tc>
          <w:tcPr>
            <w:tcW w:w="1247" w:type="dxa"/>
            <w:vAlign w:val="center"/>
          </w:tcPr>
          <w:p w14:paraId="67166103" w14:textId="77777777" w:rsidR="001F4C77" w:rsidRPr="001F1415" w:rsidRDefault="001F4C77" w:rsidP="001C45CA">
            <w:pPr>
              <w:jc w:val="both"/>
              <w:rPr>
                <w:rFonts w:ascii="Arial" w:hAnsi="Arial" w:cs="Arial"/>
              </w:rPr>
            </w:pPr>
            <w:r w:rsidRPr="001F1415">
              <w:rPr>
                <w:rFonts w:ascii="Arial" w:hAnsi="Arial" w:cs="Arial"/>
              </w:rPr>
              <w:t>0.523</w:t>
            </w:r>
          </w:p>
        </w:tc>
        <w:tc>
          <w:tcPr>
            <w:tcW w:w="1417" w:type="dxa"/>
            <w:vAlign w:val="center"/>
          </w:tcPr>
          <w:p w14:paraId="6094A67A" w14:textId="77777777" w:rsidR="001F4C77" w:rsidRPr="001F1415" w:rsidRDefault="001F4C77" w:rsidP="001C45CA">
            <w:pPr>
              <w:jc w:val="both"/>
              <w:rPr>
                <w:rFonts w:ascii="Arial" w:hAnsi="Arial" w:cs="Arial"/>
              </w:rPr>
            </w:pPr>
            <w:r w:rsidRPr="001F1415">
              <w:rPr>
                <w:rFonts w:ascii="Arial" w:hAnsi="Arial" w:cs="Arial"/>
              </w:rPr>
              <w:t>0.039</w:t>
            </w:r>
          </w:p>
        </w:tc>
        <w:tc>
          <w:tcPr>
            <w:tcW w:w="1247" w:type="dxa"/>
            <w:vAlign w:val="center"/>
          </w:tcPr>
          <w:p w14:paraId="41C36FDC" w14:textId="77777777" w:rsidR="001F4C77" w:rsidRPr="001F1415" w:rsidRDefault="001F4C77" w:rsidP="001C45CA">
            <w:pPr>
              <w:jc w:val="both"/>
              <w:rPr>
                <w:rFonts w:ascii="Arial" w:hAnsi="Arial" w:cs="Arial"/>
              </w:rPr>
            </w:pPr>
            <w:r w:rsidRPr="001F1415">
              <w:rPr>
                <w:rFonts w:ascii="Arial" w:hAnsi="Arial" w:cs="Arial"/>
              </w:rPr>
              <w:t>0.496</w:t>
            </w:r>
          </w:p>
        </w:tc>
        <w:tc>
          <w:tcPr>
            <w:tcW w:w="1247" w:type="dxa"/>
            <w:vAlign w:val="center"/>
          </w:tcPr>
          <w:p w14:paraId="01A72716" w14:textId="77777777" w:rsidR="001F4C77" w:rsidRPr="001F1415" w:rsidRDefault="001F4C77" w:rsidP="001C45CA">
            <w:pPr>
              <w:jc w:val="both"/>
              <w:rPr>
                <w:rFonts w:ascii="Arial" w:hAnsi="Arial" w:cs="Arial"/>
              </w:rPr>
            </w:pPr>
            <w:r w:rsidRPr="001F1415">
              <w:rPr>
                <w:rFonts w:ascii="Arial" w:hAnsi="Arial" w:cs="Arial"/>
              </w:rPr>
              <w:t>13.263</w:t>
            </w:r>
          </w:p>
        </w:tc>
        <w:tc>
          <w:tcPr>
            <w:tcW w:w="1247" w:type="dxa"/>
            <w:vAlign w:val="center"/>
          </w:tcPr>
          <w:p w14:paraId="04933A82" w14:textId="77777777" w:rsidR="001F4C77" w:rsidRPr="001F1415" w:rsidRDefault="001F4C77" w:rsidP="001C45CA">
            <w:pPr>
              <w:jc w:val="both"/>
              <w:rPr>
                <w:rFonts w:ascii="Arial" w:hAnsi="Arial" w:cs="Arial"/>
              </w:rPr>
            </w:pPr>
            <w:r w:rsidRPr="001F1415">
              <w:rPr>
                <w:rFonts w:ascii="Arial" w:hAnsi="Arial" w:cs="Arial"/>
              </w:rPr>
              <w:t>&lt;0.001</w:t>
            </w:r>
          </w:p>
        </w:tc>
      </w:tr>
    </w:tbl>
    <w:p w14:paraId="4A200D31" w14:textId="77777777" w:rsidR="001F4C77" w:rsidRPr="001F1415" w:rsidRDefault="001F4C77" w:rsidP="001F4C77">
      <w:pPr>
        <w:spacing w:after="20"/>
        <w:jc w:val="both"/>
        <w:rPr>
          <w:rFonts w:ascii="Arial" w:hAnsi="Arial" w:cs="Arial"/>
        </w:rPr>
      </w:pPr>
    </w:p>
    <w:p w14:paraId="4AA6E97A"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w:t>
      </w:r>
    </w:p>
    <w:p w14:paraId="0057D939" w14:textId="77777777" w:rsidR="001F4C77" w:rsidRPr="001F1415" w:rsidRDefault="001F4C77" w:rsidP="001F4C77">
      <w:pPr>
        <w:spacing w:after="80" w:line="252" w:lineRule="auto"/>
        <w:jc w:val="both"/>
        <w:rPr>
          <w:rFonts w:ascii="Arial" w:hAnsi="Arial" w:cs="Arial"/>
          <w:bCs/>
        </w:rPr>
      </w:pPr>
      <w:r w:rsidRPr="001F1415">
        <w:rPr>
          <w:rFonts w:ascii="Arial" w:hAnsi="Arial" w:cs="Arial"/>
          <w:bCs/>
        </w:rPr>
        <w:t>The resulting regression equation is Y = -0.010 + 0.463X1 + 0.523X2. The coefficients for AI literacy and self-regulated learning are both positive, indicating that higher scores on these predictors are associated with higher academic engagement scores when the other predictor is controlled for.</w:t>
      </w:r>
    </w:p>
    <w:p w14:paraId="45350266" w14:textId="77777777" w:rsidR="001F4C77" w:rsidRPr="001F1415" w:rsidRDefault="001F4C77" w:rsidP="001F4C77">
      <w:pPr>
        <w:spacing w:after="80" w:line="252" w:lineRule="auto"/>
        <w:jc w:val="both"/>
        <w:rPr>
          <w:rFonts w:ascii="Arial" w:hAnsi="Arial" w:cs="Arial"/>
        </w:rPr>
      </w:pPr>
      <w:r w:rsidRPr="001F1415">
        <w:rPr>
          <w:rFonts w:ascii="Arial" w:hAnsi="Arial" w:cs="Arial"/>
        </w:rPr>
        <w:lastRenderedPageBreak/>
        <w:t>AI literacy has B = 0.463, t = 12.232, and p &lt; 0.001. Thus, the findings provide statistical support for H1. These results indicate that students with the ability to understand, use, evaluate, and consider the ethical aspects of AI tend to have higher academic engagement scores.</w:t>
      </w:r>
    </w:p>
    <w:p w14:paraId="1DA9E0B8"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has B = 0.523, t = 13.263, and p &lt; 0.001. Thus, the findings provide statistical support for H2. The standardised beta for SRL (0.496) is higher than that for AI literacy (0.457), making SRL the relatively stronger predictor in the model.</w:t>
      </w:r>
    </w:p>
    <w:p w14:paraId="191EB6A8"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F-Test and Coefficient of Determination</w:t>
      </w:r>
    </w:p>
    <w:p w14:paraId="4A520D44" w14:textId="77777777" w:rsidR="001F4C77" w:rsidRPr="001F1415" w:rsidRDefault="001F4C77" w:rsidP="001F4C77">
      <w:pPr>
        <w:rPr>
          <w:rFonts w:ascii="Arial" w:hAnsi="Arial" w:cs="Arial"/>
        </w:rPr>
      </w:pPr>
      <w:r w:rsidRPr="001F1415">
        <w:rPr>
          <w:rFonts w:ascii="Arial" w:hAnsi="Arial" w:cs="Arial"/>
        </w:rPr>
        <w:t>Table 8. F-Test</w:t>
      </w:r>
    </w:p>
    <w:tbl>
      <w:tblPr>
        <w:tblStyle w:val="TableGrid"/>
        <w:tblW w:w="0" w:type="auto"/>
        <w:jc w:val="center"/>
        <w:tblLook w:val="04A0" w:firstRow="1" w:lastRow="0" w:firstColumn="1" w:lastColumn="0" w:noHBand="0" w:noVBand="1"/>
      </w:tblPr>
      <w:tblGrid>
        <w:gridCol w:w="2251"/>
        <w:gridCol w:w="1690"/>
        <w:gridCol w:w="1124"/>
        <w:gridCol w:w="1689"/>
        <w:gridCol w:w="1466"/>
        <w:gridCol w:w="1408"/>
      </w:tblGrid>
      <w:tr w:rsidR="001F4C77" w:rsidRPr="001F1415" w14:paraId="54B53A5B" w14:textId="77777777" w:rsidTr="001C45CA">
        <w:trPr>
          <w:jc w:val="center"/>
        </w:trPr>
        <w:tc>
          <w:tcPr>
            <w:tcW w:w="2268" w:type="dxa"/>
            <w:vAlign w:val="center"/>
          </w:tcPr>
          <w:p w14:paraId="48D3D96C" w14:textId="77777777" w:rsidR="001F4C77" w:rsidRPr="001F1415" w:rsidRDefault="001F4C77" w:rsidP="001C45CA">
            <w:pPr>
              <w:jc w:val="both"/>
              <w:rPr>
                <w:rFonts w:ascii="Arial" w:hAnsi="Arial" w:cs="Arial"/>
              </w:rPr>
            </w:pPr>
            <w:r w:rsidRPr="001F1415">
              <w:rPr>
                <w:rFonts w:ascii="Arial" w:hAnsi="Arial" w:cs="Arial"/>
                <w:b/>
              </w:rPr>
              <w:t>Source</w:t>
            </w:r>
          </w:p>
        </w:tc>
        <w:tc>
          <w:tcPr>
            <w:tcW w:w="1701" w:type="dxa"/>
            <w:vAlign w:val="center"/>
          </w:tcPr>
          <w:p w14:paraId="0248D769" w14:textId="77777777" w:rsidR="001F4C77" w:rsidRPr="001F1415" w:rsidRDefault="001F4C77" w:rsidP="001C45CA">
            <w:pPr>
              <w:jc w:val="both"/>
              <w:rPr>
                <w:rFonts w:ascii="Arial" w:hAnsi="Arial" w:cs="Arial"/>
              </w:rPr>
            </w:pPr>
            <w:r w:rsidRPr="001F1415">
              <w:rPr>
                <w:rFonts w:ascii="Arial" w:hAnsi="Arial" w:cs="Arial"/>
                <w:b/>
              </w:rPr>
              <w:t>Sum of Squares</w:t>
            </w:r>
          </w:p>
        </w:tc>
        <w:tc>
          <w:tcPr>
            <w:tcW w:w="1134" w:type="dxa"/>
            <w:vAlign w:val="center"/>
          </w:tcPr>
          <w:p w14:paraId="3F7C7C16" w14:textId="77777777" w:rsidR="001F4C77" w:rsidRPr="001F1415" w:rsidRDefault="001F4C77" w:rsidP="001C45CA">
            <w:pPr>
              <w:jc w:val="both"/>
              <w:rPr>
                <w:rFonts w:ascii="Arial" w:hAnsi="Arial" w:cs="Arial"/>
              </w:rPr>
            </w:pPr>
            <w:r w:rsidRPr="001F1415">
              <w:rPr>
                <w:rFonts w:ascii="Arial" w:hAnsi="Arial" w:cs="Arial"/>
                <w:b/>
              </w:rPr>
              <w:t>df</w:t>
            </w:r>
          </w:p>
        </w:tc>
        <w:tc>
          <w:tcPr>
            <w:tcW w:w="1701" w:type="dxa"/>
            <w:vAlign w:val="center"/>
          </w:tcPr>
          <w:p w14:paraId="25B12087" w14:textId="77777777" w:rsidR="001F4C77" w:rsidRPr="001F1415" w:rsidRDefault="001F4C77" w:rsidP="001C45CA">
            <w:pPr>
              <w:jc w:val="both"/>
              <w:rPr>
                <w:rFonts w:ascii="Arial" w:hAnsi="Arial" w:cs="Arial"/>
              </w:rPr>
            </w:pPr>
            <w:r w:rsidRPr="001F1415">
              <w:rPr>
                <w:rFonts w:ascii="Arial" w:hAnsi="Arial" w:cs="Arial"/>
                <w:b/>
              </w:rPr>
              <w:t>Mean Square</w:t>
            </w:r>
          </w:p>
        </w:tc>
        <w:tc>
          <w:tcPr>
            <w:tcW w:w="1474" w:type="dxa"/>
            <w:vAlign w:val="center"/>
          </w:tcPr>
          <w:p w14:paraId="17399EEE" w14:textId="77777777" w:rsidR="001F4C77" w:rsidRPr="001F1415" w:rsidRDefault="001F4C77" w:rsidP="001C45CA">
            <w:pPr>
              <w:jc w:val="both"/>
              <w:rPr>
                <w:rFonts w:ascii="Arial" w:hAnsi="Arial" w:cs="Arial"/>
              </w:rPr>
            </w:pPr>
            <w:r w:rsidRPr="001F1415">
              <w:rPr>
                <w:rFonts w:ascii="Arial" w:hAnsi="Arial" w:cs="Arial"/>
                <w:b/>
              </w:rPr>
              <w:t>F</w:t>
            </w:r>
          </w:p>
        </w:tc>
        <w:tc>
          <w:tcPr>
            <w:tcW w:w="1417" w:type="dxa"/>
            <w:vAlign w:val="center"/>
          </w:tcPr>
          <w:p w14:paraId="1892D9AB" w14:textId="77777777" w:rsidR="001F4C77" w:rsidRPr="001F1415" w:rsidRDefault="001F4C77" w:rsidP="001C45CA">
            <w:pPr>
              <w:jc w:val="both"/>
              <w:rPr>
                <w:rFonts w:ascii="Arial" w:hAnsi="Arial" w:cs="Arial"/>
              </w:rPr>
            </w:pPr>
            <w:r w:rsidRPr="001F1415">
              <w:rPr>
                <w:rFonts w:ascii="Arial" w:hAnsi="Arial" w:cs="Arial"/>
                <w:b/>
              </w:rPr>
              <w:t>Sig.</w:t>
            </w:r>
          </w:p>
        </w:tc>
      </w:tr>
      <w:tr w:rsidR="001F4C77" w:rsidRPr="001F1415" w14:paraId="02A31FF0" w14:textId="77777777" w:rsidTr="001C45CA">
        <w:trPr>
          <w:jc w:val="center"/>
        </w:trPr>
        <w:tc>
          <w:tcPr>
            <w:tcW w:w="2268" w:type="dxa"/>
            <w:vAlign w:val="center"/>
          </w:tcPr>
          <w:p w14:paraId="478C889A" w14:textId="77777777" w:rsidR="001F4C77" w:rsidRPr="001F1415" w:rsidRDefault="001F4C77" w:rsidP="001C45CA">
            <w:pPr>
              <w:jc w:val="both"/>
              <w:rPr>
                <w:rFonts w:ascii="Arial" w:hAnsi="Arial" w:cs="Arial"/>
              </w:rPr>
            </w:pPr>
            <w:r w:rsidRPr="001F1415">
              <w:rPr>
                <w:rFonts w:ascii="Arial" w:hAnsi="Arial" w:cs="Arial"/>
              </w:rPr>
              <w:t>Regression</w:t>
            </w:r>
          </w:p>
        </w:tc>
        <w:tc>
          <w:tcPr>
            <w:tcW w:w="1701" w:type="dxa"/>
            <w:vAlign w:val="center"/>
          </w:tcPr>
          <w:p w14:paraId="75616A16" w14:textId="77777777" w:rsidR="001F4C77" w:rsidRPr="001F1415" w:rsidRDefault="001F4C77" w:rsidP="001C45CA">
            <w:pPr>
              <w:jc w:val="both"/>
              <w:rPr>
                <w:rFonts w:ascii="Arial" w:hAnsi="Arial" w:cs="Arial"/>
              </w:rPr>
            </w:pPr>
            <w:r w:rsidRPr="001F1415">
              <w:rPr>
                <w:rFonts w:ascii="Arial" w:hAnsi="Arial" w:cs="Arial"/>
              </w:rPr>
              <w:t>261.813</w:t>
            </w:r>
          </w:p>
        </w:tc>
        <w:tc>
          <w:tcPr>
            <w:tcW w:w="1134" w:type="dxa"/>
            <w:vAlign w:val="center"/>
          </w:tcPr>
          <w:p w14:paraId="352FCEA5" w14:textId="77777777" w:rsidR="001F4C77" w:rsidRPr="001F1415" w:rsidRDefault="001F4C77" w:rsidP="001C45CA">
            <w:pPr>
              <w:jc w:val="both"/>
              <w:rPr>
                <w:rFonts w:ascii="Arial" w:hAnsi="Arial" w:cs="Arial"/>
              </w:rPr>
            </w:pPr>
            <w:r w:rsidRPr="001F1415">
              <w:rPr>
                <w:rFonts w:ascii="Arial" w:hAnsi="Arial" w:cs="Arial"/>
              </w:rPr>
              <w:t>2</w:t>
            </w:r>
          </w:p>
        </w:tc>
        <w:tc>
          <w:tcPr>
            <w:tcW w:w="1701" w:type="dxa"/>
            <w:vAlign w:val="center"/>
          </w:tcPr>
          <w:p w14:paraId="06176524" w14:textId="77777777" w:rsidR="001F4C77" w:rsidRPr="001F1415" w:rsidRDefault="001F4C77" w:rsidP="001C45CA">
            <w:pPr>
              <w:jc w:val="both"/>
              <w:rPr>
                <w:rFonts w:ascii="Arial" w:hAnsi="Arial" w:cs="Arial"/>
              </w:rPr>
            </w:pPr>
            <w:r w:rsidRPr="001F1415">
              <w:rPr>
                <w:rFonts w:ascii="Arial" w:hAnsi="Arial" w:cs="Arial"/>
              </w:rPr>
              <w:t>130.906</w:t>
            </w:r>
          </w:p>
        </w:tc>
        <w:tc>
          <w:tcPr>
            <w:tcW w:w="1474" w:type="dxa"/>
            <w:vAlign w:val="center"/>
          </w:tcPr>
          <w:p w14:paraId="4A8FB759" w14:textId="77777777" w:rsidR="001F4C77" w:rsidRPr="001F1415" w:rsidRDefault="001F4C77" w:rsidP="001C45CA">
            <w:pPr>
              <w:jc w:val="both"/>
              <w:rPr>
                <w:rFonts w:ascii="Arial" w:hAnsi="Arial" w:cs="Arial"/>
              </w:rPr>
            </w:pPr>
            <w:r w:rsidRPr="001F1415">
              <w:rPr>
                <w:rFonts w:ascii="Arial" w:hAnsi="Arial" w:cs="Arial"/>
              </w:rPr>
              <w:t>281.011</w:t>
            </w:r>
          </w:p>
        </w:tc>
        <w:tc>
          <w:tcPr>
            <w:tcW w:w="1417" w:type="dxa"/>
            <w:vAlign w:val="center"/>
          </w:tcPr>
          <w:p w14:paraId="06799DB0" w14:textId="77777777" w:rsidR="001F4C77" w:rsidRPr="001F1415" w:rsidRDefault="001F4C77" w:rsidP="001C45CA">
            <w:pPr>
              <w:jc w:val="both"/>
              <w:rPr>
                <w:rFonts w:ascii="Arial" w:hAnsi="Arial" w:cs="Arial"/>
              </w:rPr>
            </w:pPr>
            <w:r w:rsidRPr="001F1415">
              <w:rPr>
                <w:rFonts w:ascii="Arial" w:hAnsi="Arial" w:cs="Arial"/>
              </w:rPr>
              <w:t>&lt;0.001</w:t>
            </w:r>
          </w:p>
        </w:tc>
      </w:tr>
      <w:tr w:rsidR="001F4C77" w:rsidRPr="001F1415" w14:paraId="50D93DC5" w14:textId="77777777" w:rsidTr="001C45CA">
        <w:trPr>
          <w:jc w:val="center"/>
        </w:trPr>
        <w:tc>
          <w:tcPr>
            <w:tcW w:w="2268" w:type="dxa"/>
            <w:vAlign w:val="center"/>
          </w:tcPr>
          <w:p w14:paraId="470CFA1A" w14:textId="77777777" w:rsidR="001F4C77" w:rsidRPr="001F1415" w:rsidRDefault="001F4C77" w:rsidP="001C45CA">
            <w:pPr>
              <w:jc w:val="both"/>
              <w:rPr>
                <w:rFonts w:ascii="Arial" w:hAnsi="Arial" w:cs="Arial"/>
              </w:rPr>
            </w:pPr>
            <w:r w:rsidRPr="001F1415">
              <w:rPr>
                <w:rFonts w:ascii="Arial" w:hAnsi="Arial" w:cs="Arial"/>
              </w:rPr>
              <w:t>Residual</w:t>
            </w:r>
          </w:p>
        </w:tc>
        <w:tc>
          <w:tcPr>
            <w:tcW w:w="1701" w:type="dxa"/>
            <w:vAlign w:val="center"/>
          </w:tcPr>
          <w:p w14:paraId="57E38EF6" w14:textId="77777777" w:rsidR="001F4C77" w:rsidRPr="001F1415" w:rsidRDefault="001F4C77" w:rsidP="001C45CA">
            <w:pPr>
              <w:jc w:val="both"/>
              <w:rPr>
                <w:rFonts w:ascii="Arial" w:hAnsi="Arial" w:cs="Arial"/>
                <w:bCs/>
              </w:rPr>
            </w:pPr>
            <w:r w:rsidRPr="001F1415">
              <w:rPr>
                <w:rFonts w:ascii="Arial" w:hAnsi="Arial" w:cs="Arial"/>
                <w:bCs/>
              </w:rPr>
              <w:t>143.945</w:t>
            </w:r>
          </w:p>
        </w:tc>
        <w:tc>
          <w:tcPr>
            <w:tcW w:w="1134" w:type="dxa"/>
            <w:vAlign w:val="center"/>
          </w:tcPr>
          <w:p w14:paraId="4FF06A34" w14:textId="77777777" w:rsidR="001F4C77" w:rsidRPr="001F1415" w:rsidRDefault="001F4C77" w:rsidP="001C45CA">
            <w:pPr>
              <w:jc w:val="both"/>
              <w:rPr>
                <w:rFonts w:ascii="Arial" w:hAnsi="Arial" w:cs="Arial"/>
              </w:rPr>
            </w:pPr>
            <w:r w:rsidRPr="001F1415">
              <w:rPr>
                <w:rFonts w:ascii="Arial" w:hAnsi="Arial" w:cs="Arial"/>
              </w:rPr>
              <w:t>309</w:t>
            </w:r>
          </w:p>
        </w:tc>
        <w:tc>
          <w:tcPr>
            <w:tcW w:w="1701" w:type="dxa"/>
            <w:vAlign w:val="center"/>
          </w:tcPr>
          <w:p w14:paraId="552729E0" w14:textId="77777777" w:rsidR="001F4C77" w:rsidRPr="001F1415" w:rsidRDefault="001F4C77" w:rsidP="001C45CA">
            <w:pPr>
              <w:jc w:val="both"/>
              <w:rPr>
                <w:rFonts w:ascii="Arial" w:hAnsi="Arial" w:cs="Arial"/>
              </w:rPr>
            </w:pPr>
            <w:r w:rsidRPr="001F1415">
              <w:rPr>
                <w:rFonts w:ascii="Arial" w:hAnsi="Arial" w:cs="Arial"/>
              </w:rPr>
              <w:t>0.466</w:t>
            </w:r>
          </w:p>
        </w:tc>
        <w:tc>
          <w:tcPr>
            <w:tcW w:w="1474" w:type="dxa"/>
            <w:vAlign w:val="center"/>
          </w:tcPr>
          <w:p w14:paraId="5A7E602C" w14:textId="77777777" w:rsidR="001F4C77" w:rsidRPr="001F1415" w:rsidRDefault="001F4C77" w:rsidP="001C45CA">
            <w:pPr>
              <w:jc w:val="both"/>
              <w:rPr>
                <w:rFonts w:ascii="Arial" w:hAnsi="Arial" w:cs="Arial"/>
              </w:rPr>
            </w:pPr>
          </w:p>
        </w:tc>
        <w:tc>
          <w:tcPr>
            <w:tcW w:w="1417" w:type="dxa"/>
            <w:vAlign w:val="center"/>
          </w:tcPr>
          <w:p w14:paraId="3D3C641B" w14:textId="77777777" w:rsidR="001F4C77" w:rsidRPr="001F1415" w:rsidRDefault="001F4C77" w:rsidP="001C45CA">
            <w:pPr>
              <w:jc w:val="both"/>
              <w:rPr>
                <w:rFonts w:ascii="Arial" w:hAnsi="Arial" w:cs="Arial"/>
              </w:rPr>
            </w:pPr>
          </w:p>
        </w:tc>
      </w:tr>
      <w:tr w:rsidR="001F4C77" w:rsidRPr="001F1415" w14:paraId="0DEA48CC" w14:textId="77777777" w:rsidTr="001C45CA">
        <w:trPr>
          <w:jc w:val="center"/>
        </w:trPr>
        <w:tc>
          <w:tcPr>
            <w:tcW w:w="2268" w:type="dxa"/>
            <w:vAlign w:val="center"/>
          </w:tcPr>
          <w:p w14:paraId="39237FDD" w14:textId="77777777" w:rsidR="001F4C77" w:rsidRPr="001F1415" w:rsidRDefault="001F4C77" w:rsidP="001C45CA">
            <w:pPr>
              <w:jc w:val="both"/>
              <w:rPr>
                <w:rFonts w:ascii="Arial" w:hAnsi="Arial" w:cs="Arial"/>
              </w:rPr>
            </w:pPr>
            <w:r w:rsidRPr="001F1415">
              <w:rPr>
                <w:rFonts w:ascii="Arial" w:hAnsi="Arial" w:cs="Arial"/>
              </w:rPr>
              <w:t>Total</w:t>
            </w:r>
          </w:p>
        </w:tc>
        <w:tc>
          <w:tcPr>
            <w:tcW w:w="1701" w:type="dxa"/>
            <w:vAlign w:val="center"/>
          </w:tcPr>
          <w:p w14:paraId="21ED1E33" w14:textId="77777777" w:rsidR="001F4C77" w:rsidRPr="001F1415" w:rsidRDefault="001F4C77" w:rsidP="001C45CA">
            <w:pPr>
              <w:jc w:val="both"/>
              <w:rPr>
                <w:rFonts w:ascii="Arial" w:hAnsi="Arial" w:cs="Arial"/>
                <w:bCs/>
              </w:rPr>
            </w:pPr>
            <w:r w:rsidRPr="001F1415">
              <w:rPr>
                <w:rFonts w:ascii="Arial" w:hAnsi="Arial" w:cs="Arial"/>
                <w:bCs/>
              </w:rPr>
              <w:t>405.758</w:t>
            </w:r>
          </w:p>
        </w:tc>
        <w:tc>
          <w:tcPr>
            <w:tcW w:w="1134" w:type="dxa"/>
            <w:vAlign w:val="center"/>
          </w:tcPr>
          <w:p w14:paraId="20AC46FF" w14:textId="77777777" w:rsidR="001F4C77" w:rsidRPr="001F1415" w:rsidRDefault="001F4C77" w:rsidP="001C45CA">
            <w:pPr>
              <w:jc w:val="both"/>
              <w:rPr>
                <w:rFonts w:ascii="Arial" w:hAnsi="Arial" w:cs="Arial"/>
              </w:rPr>
            </w:pPr>
            <w:r w:rsidRPr="001F1415">
              <w:rPr>
                <w:rFonts w:ascii="Arial" w:hAnsi="Arial" w:cs="Arial"/>
              </w:rPr>
              <w:t>311</w:t>
            </w:r>
          </w:p>
        </w:tc>
        <w:tc>
          <w:tcPr>
            <w:tcW w:w="1701" w:type="dxa"/>
            <w:vAlign w:val="center"/>
          </w:tcPr>
          <w:p w14:paraId="0C2C6E85" w14:textId="77777777" w:rsidR="001F4C77" w:rsidRPr="001F1415" w:rsidRDefault="001F4C77" w:rsidP="001C45CA">
            <w:pPr>
              <w:jc w:val="both"/>
              <w:rPr>
                <w:rFonts w:ascii="Arial" w:hAnsi="Arial" w:cs="Arial"/>
              </w:rPr>
            </w:pPr>
          </w:p>
        </w:tc>
        <w:tc>
          <w:tcPr>
            <w:tcW w:w="1474" w:type="dxa"/>
            <w:vAlign w:val="center"/>
          </w:tcPr>
          <w:p w14:paraId="1F989B8A" w14:textId="77777777" w:rsidR="001F4C77" w:rsidRPr="001F1415" w:rsidRDefault="001F4C77" w:rsidP="001C45CA">
            <w:pPr>
              <w:jc w:val="both"/>
              <w:rPr>
                <w:rFonts w:ascii="Arial" w:hAnsi="Arial" w:cs="Arial"/>
              </w:rPr>
            </w:pPr>
          </w:p>
        </w:tc>
        <w:tc>
          <w:tcPr>
            <w:tcW w:w="1417" w:type="dxa"/>
            <w:vAlign w:val="center"/>
          </w:tcPr>
          <w:p w14:paraId="3C93D1F4" w14:textId="77777777" w:rsidR="001F4C77" w:rsidRPr="001F1415" w:rsidRDefault="001F4C77" w:rsidP="001C45CA">
            <w:pPr>
              <w:jc w:val="both"/>
              <w:rPr>
                <w:rFonts w:ascii="Arial" w:hAnsi="Arial" w:cs="Arial"/>
              </w:rPr>
            </w:pPr>
          </w:p>
        </w:tc>
      </w:tr>
    </w:tbl>
    <w:p w14:paraId="6FF774B3"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0344F8E2" w14:textId="77777777" w:rsidR="001F4C77" w:rsidRPr="001F1415" w:rsidRDefault="001F4C77" w:rsidP="001F4C77">
      <w:pPr>
        <w:spacing w:after="80" w:line="252" w:lineRule="auto"/>
        <w:jc w:val="both"/>
        <w:rPr>
          <w:rFonts w:ascii="Arial" w:hAnsi="Arial" w:cs="Arial"/>
        </w:rPr>
      </w:pPr>
    </w:p>
    <w:p w14:paraId="080CA157"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9. Coefficient of Determination</w:t>
      </w:r>
    </w:p>
    <w:tbl>
      <w:tblPr>
        <w:tblStyle w:val="TableGrid"/>
        <w:tblW w:w="0" w:type="auto"/>
        <w:jc w:val="center"/>
        <w:tblLook w:val="04A0" w:firstRow="1" w:lastRow="0" w:firstColumn="1" w:lastColumn="0" w:noHBand="0" w:noVBand="1"/>
      </w:tblPr>
      <w:tblGrid>
        <w:gridCol w:w="1701"/>
        <w:gridCol w:w="1701"/>
        <w:gridCol w:w="2268"/>
        <w:gridCol w:w="1701"/>
        <w:gridCol w:w="1701"/>
      </w:tblGrid>
      <w:tr w:rsidR="001F4C77" w:rsidRPr="001F1415" w14:paraId="06A2D412" w14:textId="77777777" w:rsidTr="001C45CA">
        <w:trPr>
          <w:jc w:val="center"/>
        </w:trPr>
        <w:tc>
          <w:tcPr>
            <w:tcW w:w="1701" w:type="dxa"/>
            <w:vAlign w:val="center"/>
          </w:tcPr>
          <w:p w14:paraId="679632AA" w14:textId="77777777" w:rsidR="001F4C77" w:rsidRPr="001F1415" w:rsidRDefault="001F4C77" w:rsidP="001C45CA">
            <w:pPr>
              <w:jc w:val="both"/>
              <w:rPr>
                <w:rFonts w:ascii="Arial" w:hAnsi="Arial" w:cs="Arial"/>
              </w:rPr>
            </w:pPr>
            <w:r w:rsidRPr="001F1415">
              <w:rPr>
                <w:rFonts w:ascii="Arial" w:hAnsi="Arial" w:cs="Arial"/>
                <w:b/>
              </w:rPr>
              <w:t>R</w:t>
            </w:r>
          </w:p>
        </w:tc>
        <w:tc>
          <w:tcPr>
            <w:tcW w:w="1701" w:type="dxa"/>
            <w:vAlign w:val="center"/>
          </w:tcPr>
          <w:p w14:paraId="08228D1A" w14:textId="77777777" w:rsidR="001F4C77" w:rsidRPr="001F1415" w:rsidRDefault="001F4C77" w:rsidP="001C45CA">
            <w:pPr>
              <w:jc w:val="both"/>
              <w:rPr>
                <w:rFonts w:ascii="Arial" w:hAnsi="Arial" w:cs="Arial"/>
              </w:rPr>
            </w:pPr>
            <w:r w:rsidRPr="001F1415">
              <w:rPr>
                <w:rFonts w:ascii="Arial" w:hAnsi="Arial" w:cs="Arial"/>
                <w:b/>
              </w:rPr>
              <w:t>R-Square</w:t>
            </w:r>
          </w:p>
        </w:tc>
        <w:tc>
          <w:tcPr>
            <w:tcW w:w="2268" w:type="dxa"/>
            <w:vAlign w:val="center"/>
          </w:tcPr>
          <w:p w14:paraId="308BD179" w14:textId="77777777" w:rsidR="001F4C77" w:rsidRPr="001F1415" w:rsidRDefault="001F4C77" w:rsidP="001C45CA">
            <w:pPr>
              <w:jc w:val="both"/>
              <w:rPr>
                <w:rFonts w:ascii="Arial" w:hAnsi="Arial" w:cs="Arial"/>
              </w:rPr>
            </w:pPr>
            <w:r w:rsidRPr="001F1415">
              <w:rPr>
                <w:rFonts w:ascii="Arial" w:hAnsi="Arial" w:cs="Arial"/>
                <w:b/>
              </w:rPr>
              <w:t>Adjusted R-Square</w:t>
            </w:r>
          </w:p>
        </w:tc>
        <w:tc>
          <w:tcPr>
            <w:tcW w:w="1701" w:type="dxa"/>
            <w:vAlign w:val="center"/>
          </w:tcPr>
          <w:p w14:paraId="7EEFDD2E" w14:textId="77777777" w:rsidR="001F4C77" w:rsidRPr="001F1415" w:rsidRDefault="001F4C77" w:rsidP="001C45CA">
            <w:pPr>
              <w:jc w:val="both"/>
              <w:rPr>
                <w:rFonts w:ascii="Arial" w:hAnsi="Arial" w:cs="Arial"/>
              </w:rPr>
            </w:pPr>
            <w:r w:rsidRPr="001F1415">
              <w:rPr>
                <w:rFonts w:ascii="Arial" w:hAnsi="Arial" w:cs="Arial"/>
                <w:b/>
              </w:rPr>
              <w:t>Standard Error</w:t>
            </w:r>
          </w:p>
        </w:tc>
        <w:tc>
          <w:tcPr>
            <w:tcW w:w="1701" w:type="dxa"/>
            <w:vAlign w:val="center"/>
          </w:tcPr>
          <w:p w14:paraId="53051FD3" w14:textId="77777777" w:rsidR="001F4C77" w:rsidRPr="001F1415" w:rsidRDefault="001F4C77" w:rsidP="001C45CA">
            <w:pPr>
              <w:jc w:val="both"/>
              <w:rPr>
                <w:rFonts w:ascii="Arial" w:hAnsi="Arial" w:cs="Arial"/>
              </w:rPr>
            </w:pPr>
            <w:r w:rsidRPr="001F1415">
              <w:rPr>
                <w:rFonts w:ascii="Arial" w:hAnsi="Arial" w:cs="Arial"/>
                <w:b/>
              </w:rPr>
              <w:t>Durbin-Watson</w:t>
            </w:r>
          </w:p>
        </w:tc>
      </w:tr>
      <w:tr w:rsidR="001F4C77" w:rsidRPr="001F1415" w14:paraId="0D19EA37" w14:textId="77777777" w:rsidTr="001C45CA">
        <w:trPr>
          <w:jc w:val="center"/>
        </w:trPr>
        <w:tc>
          <w:tcPr>
            <w:tcW w:w="1701" w:type="dxa"/>
            <w:vAlign w:val="center"/>
          </w:tcPr>
          <w:p w14:paraId="2FAE7807" w14:textId="77777777" w:rsidR="001F4C77" w:rsidRPr="001F1415" w:rsidRDefault="001F4C77" w:rsidP="001C45CA">
            <w:pPr>
              <w:jc w:val="both"/>
              <w:rPr>
                <w:rFonts w:ascii="Arial" w:hAnsi="Arial" w:cs="Arial"/>
              </w:rPr>
            </w:pPr>
            <w:r w:rsidRPr="001F1415">
              <w:rPr>
                <w:rFonts w:ascii="Arial" w:hAnsi="Arial" w:cs="Arial"/>
              </w:rPr>
              <w:t>0.803</w:t>
            </w:r>
          </w:p>
        </w:tc>
        <w:tc>
          <w:tcPr>
            <w:tcW w:w="1701" w:type="dxa"/>
            <w:vAlign w:val="center"/>
          </w:tcPr>
          <w:p w14:paraId="533F74F1" w14:textId="77777777" w:rsidR="001F4C77" w:rsidRPr="001F1415" w:rsidRDefault="001F4C77" w:rsidP="001C45CA">
            <w:pPr>
              <w:jc w:val="both"/>
              <w:rPr>
                <w:rFonts w:ascii="Arial" w:hAnsi="Arial" w:cs="Arial"/>
              </w:rPr>
            </w:pPr>
            <w:r w:rsidRPr="001F1415">
              <w:rPr>
                <w:rFonts w:ascii="Arial" w:hAnsi="Arial" w:cs="Arial"/>
              </w:rPr>
              <w:t>0.645</w:t>
            </w:r>
          </w:p>
        </w:tc>
        <w:tc>
          <w:tcPr>
            <w:tcW w:w="2268" w:type="dxa"/>
            <w:vAlign w:val="center"/>
          </w:tcPr>
          <w:p w14:paraId="44761792" w14:textId="77777777" w:rsidR="001F4C77" w:rsidRPr="001F1415" w:rsidRDefault="001F4C77" w:rsidP="001C45CA">
            <w:pPr>
              <w:jc w:val="both"/>
              <w:rPr>
                <w:rFonts w:ascii="Arial" w:hAnsi="Arial" w:cs="Arial"/>
              </w:rPr>
            </w:pPr>
            <w:r w:rsidRPr="001F1415">
              <w:rPr>
                <w:rFonts w:ascii="Arial" w:hAnsi="Arial" w:cs="Arial"/>
              </w:rPr>
              <w:t>0.643</w:t>
            </w:r>
          </w:p>
        </w:tc>
        <w:tc>
          <w:tcPr>
            <w:tcW w:w="1701" w:type="dxa"/>
            <w:vAlign w:val="center"/>
          </w:tcPr>
          <w:p w14:paraId="0173039A" w14:textId="77777777" w:rsidR="001F4C77" w:rsidRPr="001F1415" w:rsidRDefault="001F4C77" w:rsidP="001C45CA">
            <w:pPr>
              <w:jc w:val="both"/>
              <w:rPr>
                <w:rFonts w:ascii="Arial" w:hAnsi="Arial" w:cs="Arial"/>
              </w:rPr>
            </w:pPr>
            <w:r w:rsidRPr="001F1415">
              <w:rPr>
                <w:rFonts w:ascii="Arial" w:hAnsi="Arial" w:cs="Arial"/>
              </w:rPr>
              <w:t>0.683</w:t>
            </w:r>
          </w:p>
        </w:tc>
        <w:tc>
          <w:tcPr>
            <w:tcW w:w="1701" w:type="dxa"/>
            <w:vAlign w:val="center"/>
          </w:tcPr>
          <w:p w14:paraId="345DC9F7" w14:textId="77777777" w:rsidR="001F4C77" w:rsidRPr="001F1415" w:rsidRDefault="001F4C77" w:rsidP="001C45CA">
            <w:pPr>
              <w:jc w:val="both"/>
              <w:rPr>
                <w:rFonts w:ascii="Arial" w:hAnsi="Arial" w:cs="Arial"/>
              </w:rPr>
            </w:pPr>
            <w:r w:rsidRPr="001F1415">
              <w:rPr>
                <w:rFonts w:ascii="Arial" w:hAnsi="Arial" w:cs="Arial"/>
              </w:rPr>
              <w:t>2.057</w:t>
            </w:r>
          </w:p>
        </w:tc>
      </w:tr>
    </w:tbl>
    <w:p w14:paraId="363B0B06" w14:textId="77777777" w:rsidR="001F4C77" w:rsidRPr="001F1415" w:rsidRDefault="001F4C77" w:rsidP="001F4C77">
      <w:pPr>
        <w:spacing w:after="20"/>
        <w:jc w:val="both"/>
        <w:rPr>
          <w:rFonts w:ascii="Arial" w:hAnsi="Arial" w:cs="Arial"/>
        </w:rPr>
      </w:pPr>
    </w:p>
    <w:p w14:paraId="1222A882"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56A72B63" w14:textId="77777777" w:rsidR="001F4C77" w:rsidRPr="001F1415" w:rsidRDefault="001F4C77" w:rsidP="001F4C77">
      <w:pPr>
        <w:spacing w:after="80" w:line="252" w:lineRule="auto"/>
        <w:jc w:val="both"/>
        <w:rPr>
          <w:rFonts w:ascii="Arial" w:hAnsi="Arial" w:cs="Arial"/>
        </w:rPr>
      </w:pPr>
    </w:p>
    <w:p w14:paraId="66385C97" w14:textId="77777777" w:rsidR="001F4C77" w:rsidRPr="001F1415" w:rsidRDefault="001F4C77" w:rsidP="001F4C77">
      <w:pPr>
        <w:spacing w:after="80" w:line="252" w:lineRule="auto"/>
        <w:jc w:val="both"/>
        <w:rPr>
          <w:rFonts w:ascii="Arial" w:hAnsi="Arial" w:cs="Arial"/>
        </w:rPr>
      </w:pPr>
      <w:r w:rsidRPr="001F1415">
        <w:rPr>
          <w:rFonts w:ascii="Arial" w:hAnsi="Arial" w:cs="Arial"/>
        </w:rPr>
        <w:t>The simultaneous regression test yielded an F-value of 281.011 with p &lt; 0.001, indicating that AI literacy and self-regulated learning jointly predict academic engagement within the tested model.</w:t>
      </w:r>
    </w:p>
    <w:p w14:paraId="1B44EEB7"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Discussion</w:t>
      </w:r>
    </w:p>
    <w:p w14:paraId="3E869E80" w14:textId="1C8266ED"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t xml:space="preserve">The positive association between AI literacy and academic engagement suggests that the ability to use AI critically can be understood as an academic resource that supports student engagement. Students who understand how AI works and its limitations are more likely to use GenAI as a tool for exploring, evaluating, and developing ideas rather than merely as a source of instant answers (Ng et al., 2021; </w:t>
      </w:r>
      <w:r w:rsidR="00820C5E" w:rsidRPr="00820C5E">
        <w:rPr>
          <w:rFonts w:ascii="Arial" w:hAnsi="Arial" w:cs="Arial"/>
          <w:bCs/>
        </w:rPr>
        <w:t>Miao &amp; Holmes</w:t>
      </w:r>
      <w:r w:rsidRPr="001F1415">
        <w:rPr>
          <w:rFonts w:ascii="Arial" w:hAnsi="Arial" w:cs="Arial"/>
          <w:bCs/>
        </w:rPr>
        <w:t>, 2023).</w:t>
      </w:r>
    </w:p>
    <w:p w14:paraId="4D7B5AEF"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These findings align with recent research showing that GenAI competence can directly drive student engagement. Competence enables students to utilise the technology’s functions in a more purposeful manner, whereas a lack of competence may lead to superficial and transactional use of AI (Sampah et al., 2026).</w:t>
      </w:r>
    </w:p>
    <w:p w14:paraId="105C52C7"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t>Self-regulated learning (SRL) demonstrates a stronger predictive contribution than AI literacy in the regression model. These results align with SRL theory, which identifies goal setting, monitoring, regulation, and reflection as core processes that keep students actively in control of their learning—even when external assistance, such as GenAI, is available (Zimmerman, 2002; Panadero, 2017).</w:t>
      </w:r>
    </w:p>
    <w:p w14:paraId="40E04880"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GenAI can support learning regulation through the creation of plans, practice questions, alternative explanations, and feedback; however, students still need the capacity to set goals and evaluate whether such assistance aligns with their learning needs. Chatbot-based studies indicate that designs that guide students towards SRL can enhance behavioural engagement and motivation (Ng, 2024).</w:t>
      </w:r>
    </w:p>
    <w:p w14:paraId="774A36C8"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lastRenderedPageBreak/>
        <w:t>The simultaneous association of AI literacy and SRL with academic engagement indicates that technological skills and self-regulation abilities are complementary. AI literacy addresses questions about how technology is understood and used responsibly, while SRL addresses how students direct their learning goals, strategies, time, and reflection (Ng et al., 2021; Panadero, 2017).</w:t>
      </w:r>
    </w:p>
    <w:p w14:paraId="75248027" w14:textId="0131C629" w:rsidR="001F4C77" w:rsidRPr="001F1415" w:rsidRDefault="001F4C77" w:rsidP="001F4C77">
      <w:pPr>
        <w:spacing w:after="80" w:line="252" w:lineRule="auto"/>
        <w:ind w:firstLine="720"/>
        <w:jc w:val="both"/>
        <w:rPr>
          <w:rFonts w:ascii="Arial" w:hAnsi="Arial" w:cs="Arial"/>
        </w:rPr>
      </w:pPr>
      <w:r w:rsidRPr="001F1415">
        <w:rPr>
          <w:rFonts w:ascii="Arial" w:hAnsi="Arial" w:cs="Arial"/>
        </w:rPr>
        <w:t xml:space="preserve">Based on the findings of this study, technology can lead to both engagement and disengagement; therefore, it is not enough for higher education institutions to merely provide access to AI. Institutions need to develop literacy programmes, usage guidelines, assessment designs, and activities that require students to examine, critique, elaborate on, and take responsibility for their use of AI (Lo et al., 2024; </w:t>
      </w:r>
      <w:r w:rsidR="00820C5E" w:rsidRPr="00820C5E">
        <w:rPr>
          <w:rFonts w:ascii="Arial" w:hAnsi="Arial" w:cs="Arial"/>
        </w:rPr>
        <w:t>Miao &amp; Holmes</w:t>
      </w:r>
      <w:r w:rsidRPr="001F1415">
        <w:rPr>
          <w:rFonts w:ascii="Arial" w:hAnsi="Arial" w:cs="Arial"/>
        </w:rPr>
        <w:t>, 2023).</w:t>
      </w:r>
    </w:p>
    <w:p w14:paraId="14554EC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Indonesian context is important because students’ adoption of GenAI has already become part of academic practice, but local research is still developing, and many studies focus on a single institution or the adoption of a specific technology. Cross-institutional and cross-disciplinary research is needed to test whether the relationship between AI literacy, SRL, and engagement holds consistently across more diverse student groups (Callista Syavina &amp; Surayya Ulfa, 2026; Rahiem, 2026).</w:t>
      </w:r>
    </w:p>
    <w:p w14:paraId="27BC16D0"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Implications</w:t>
      </w:r>
    </w:p>
    <w:p w14:paraId="75C40054"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theoretical implication of this research lies in positioning AI literacy and self-regulated learning as two personal capabilities that can explain engagement in GenAI-based learning. This model can be further developed by adding variables such as AI self-efficacy, academic integrity, cognitive load, perceived autonomy, or learning outcomes as mediators or additional outcomes (Shi et al., 2025; Sampah et al., 2026).</w:t>
      </w:r>
    </w:p>
    <w:p w14:paraId="7B4D7D64" w14:textId="35DDFCAD"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practical implication is that higher education institutions need to develop AI literacy programmes that not only teach the use of tools but also cover output evaluation, ethics, privacy, citation, and strategies for human-AI collaboration. These programmes should be integrated with self-regulated learning training so that students can manage their goals, time, strategies, and reflections when using GenAI (</w:t>
      </w:r>
      <w:r w:rsidR="00820C5E" w:rsidRPr="00820C5E">
        <w:rPr>
          <w:rFonts w:ascii="Arial" w:hAnsi="Arial" w:cs="Arial"/>
        </w:rPr>
        <w:t>Miao &amp; Holmes</w:t>
      </w:r>
      <w:r w:rsidRPr="001F1415">
        <w:rPr>
          <w:rFonts w:ascii="Arial" w:hAnsi="Arial" w:cs="Arial"/>
        </w:rPr>
        <w:t>, 2023; Ng et al., 2021; Panadero, 2017).</w:t>
      </w:r>
    </w:p>
    <w:p w14:paraId="66D04E4D"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Conclusion</w:t>
      </w:r>
    </w:p>
    <w:p w14:paraId="6058CC3E" w14:textId="7CCB0F5F" w:rsidR="001F4C77" w:rsidRPr="001F1415" w:rsidRDefault="001F4C77" w:rsidP="001F4C77">
      <w:pPr>
        <w:spacing w:after="80" w:line="252" w:lineRule="auto"/>
        <w:ind w:firstLine="720"/>
        <w:jc w:val="both"/>
        <w:rPr>
          <w:rFonts w:ascii="Arial" w:hAnsi="Arial" w:cs="Arial"/>
        </w:rPr>
      </w:pPr>
      <w:r w:rsidRPr="001F1415">
        <w:rPr>
          <w:rFonts w:ascii="Arial" w:hAnsi="Arial" w:cs="Arial"/>
        </w:rPr>
        <w:t>Based on the research findings, AI literacy and self-regulated learning show positive and significant associations with academic engagement among students who use GenAI, both partially and simultaneously. Self-regulated learning shows a relatively greater contribution, while the two variables together explain 64.5% of the variation in academic engagement. Conceptually, these results reinforce the argument that the benefits of GenAI in higher education depend not only on the availability of technology but also on students’ ability to critically understand AI and manage their learning processes independently. AI literacy and self-regulated learning can be positioned as the foundation for maintaining student agency and engagement in a learning environment increasingly shaped by AI</w:t>
      </w:r>
      <w:r w:rsidR="001F1415">
        <w:rPr>
          <w:rFonts w:ascii="Arial" w:hAnsi="Arial" w:cs="Arial"/>
        </w:rPr>
        <w:t xml:space="preserve">. </w:t>
      </w:r>
    </w:p>
    <w:p w14:paraId="49A0526B" w14:textId="77777777" w:rsidR="001F4C77" w:rsidRPr="001F1415" w:rsidRDefault="001F4C77" w:rsidP="001F4C77">
      <w:pPr>
        <w:spacing w:after="80" w:line="252" w:lineRule="auto"/>
        <w:jc w:val="both"/>
        <w:rPr>
          <w:rFonts w:ascii="Arial" w:hAnsi="Arial" w:cs="Arial"/>
          <w:b/>
          <w:bCs/>
        </w:rPr>
      </w:pPr>
      <w:r w:rsidRPr="001F1415">
        <w:rPr>
          <w:rFonts w:ascii="Arial" w:hAnsi="Arial" w:cs="Arial"/>
          <w:b/>
          <w:bCs/>
        </w:rPr>
        <w:t>Limitations and Future Research</w:t>
      </w:r>
    </w:p>
    <w:p w14:paraId="2686C24B"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This study has several limitations that should be considered when interpreting the findings. First, the cross-sectional design limits the ability to determine temporal relationships and prevents causal conclusions about artificial intelligence literacy, self-regulated learning, and academic engagement. Although the findings indicate predictive associations among the variables, future research should employ longitudinal or experimental designs to examine how students’ AI literacy and self-regulated learning develop over time and how these changes are associated with academic engagement in GenAI-supported learning environments.</w:t>
      </w:r>
    </w:p>
    <w:p w14:paraId="1AD86E8C" w14:textId="77777777" w:rsidR="001F4C77" w:rsidRPr="001F1415" w:rsidRDefault="001F4C77" w:rsidP="001F4C77">
      <w:pPr>
        <w:spacing w:after="80" w:line="252" w:lineRule="auto"/>
        <w:ind w:firstLine="720"/>
        <w:jc w:val="both"/>
        <w:rPr>
          <w:rFonts w:ascii="Arial" w:hAnsi="Arial" w:cs="Arial"/>
        </w:rPr>
      </w:pPr>
    </w:p>
    <w:p w14:paraId="7C15A64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Second, this study used purposive online sampling, which limits the generalisability of the findings to the broader population of Indonesian university students. Although respondents were recruited from different geographical regions, the sample cannot be considered nationally representative. Future studies should apply probability sampling approaches or larger multi-institutional sampling strategies involving diverse types of universities, academic disciplines, and student characteristics to improve external validity.</w:t>
      </w:r>
    </w:p>
    <w:p w14:paraId="6599058D"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lastRenderedPageBreak/>
        <w:t>Third, the study relied on self-reported questionnaire data collected at a single time point. This approach may introduce common method bias because all constructs were measured using the same instrument and from the same respondents. Future research could combine self-report measures with objective indicators, such as AI usage records, learning analytics, academic performance data, or behavioural observations, to obtain a more comprehensive understanding of students’ interaction with GenAI.</w:t>
      </w:r>
    </w:p>
    <w:p w14:paraId="3A76D38E"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Fourth, the measurement of the research variables focused on AI literacy, self-regulated learning, and academic engagement. While these variables represent important individual capabilities in GenAI-supported learning, other contextual and psychological factors may also contribute to students’ engagement. Future research may extend the proposed model by examining additional variables, such as AI self-efficacy, perceived usefulness of GenAI, academic integrity, cognitive load, digital competence, learning autonomy, or institutional AI policies.</w:t>
      </w:r>
    </w:p>
    <w:p w14:paraId="7B9EC68C" w14:textId="77777777" w:rsidR="001F4C77" w:rsidRDefault="001F4C77" w:rsidP="001F4C77">
      <w:pPr>
        <w:spacing w:after="80" w:line="252" w:lineRule="auto"/>
        <w:ind w:firstLine="720"/>
        <w:jc w:val="both"/>
        <w:rPr>
          <w:rFonts w:ascii="Arial" w:hAnsi="Arial" w:cs="Arial"/>
        </w:rPr>
      </w:pPr>
      <w:r w:rsidRPr="001F1415">
        <w:rPr>
          <w:rFonts w:ascii="Arial" w:hAnsi="Arial" w:cs="Arial"/>
        </w:rPr>
        <w:t>Finally, future studies should further examine the mechanisms through which AI literacy and self-regulated learning are associated with academic engagement. For example, mediation or moderation models could be explored to understand whether factors such as AI usage patterns, students’ critical evaluation skills, or learning motivation explain variations in engagement outcomes.</w:t>
      </w:r>
    </w:p>
    <w:p w14:paraId="17924615" w14:textId="77777777" w:rsidR="009D354D" w:rsidRDefault="009D354D" w:rsidP="001F4C77">
      <w:pPr>
        <w:spacing w:after="80" w:line="252" w:lineRule="auto"/>
        <w:ind w:firstLine="720"/>
        <w:jc w:val="both"/>
        <w:rPr>
          <w:rFonts w:ascii="Arial" w:hAnsi="Arial" w:cs="Arial"/>
        </w:rPr>
      </w:pPr>
    </w:p>
    <w:p w14:paraId="062D6A5A" w14:textId="77777777" w:rsidR="009D354D" w:rsidRDefault="009D354D" w:rsidP="001F4C77">
      <w:pPr>
        <w:spacing w:after="80" w:line="252" w:lineRule="auto"/>
        <w:ind w:firstLine="720"/>
        <w:jc w:val="both"/>
        <w:rPr>
          <w:rFonts w:ascii="Arial" w:hAnsi="Arial" w:cs="Arial"/>
        </w:rPr>
      </w:pPr>
    </w:p>
    <w:p w14:paraId="71AA0C22" w14:textId="77777777" w:rsidR="009D354D" w:rsidRPr="009D354D" w:rsidRDefault="009D354D" w:rsidP="009D354D">
      <w:pPr>
        <w:spacing w:after="80" w:line="252" w:lineRule="auto"/>
        <w:ind w:firstLine="720"/>
        <w:jc w:val="both"/>
        <w:rPr>
          <w:rFonts w:ascii="Arial" w:hAnsi="Arial" w:cs="Arial"/>
        </w:rPr>
      </w:pPr>
      <w:r w:rsidRPr="009D354D">
        <w:rPr>
          <w:rFonts w:ascii="Arial" w:hAnsi="Arial" w:cs="Arial"/>
        </w:rPr>
        <w:t>Ethical Approval:</w:t>
      </w:r>
    </w:p>
    <w:p w14:paraId="4D64B65F" w14:textId="23A05C21" w:rsidR="009D354D" w:rsidRDefault="009D354D" w:rsidP="009D354D">
      <w:pPr>
        <w:spacing w:after="80" w:line="252" w:lineRule="auto"/>
        <w:ind w:firstLine="720"/>
        <w:jc w:val="both"/>
        <w:rPr>
          <w:rFonts w:ascii="Arial" w:hAnsi="Arial" w:cs="Arial"/>
        </w:rPr>
      </w:pPr>
      <w:r w:rsidRPr="009D354D">
        <w:rPr>
          <w:rFonts w:ascii="Arial" w:hAnsi="Arial" w:cs="Arial"/>
        </w:rPr>
        <w:t>As per international standards or university standards written ethical approval has been collected and preserved by the author(s).</w:t>
      </w:r>
    </w:p>
    <w:p w14:paraId="1326EDE2" w14:textId="77777777" w:rsidR="009D354D" w:rsidRDefault="009D354D" w:rsidP="009D354D">
      <w:pPr>
        <w:spacing w:after="80" w:line="252" w:lineRule="auto"/>
        <w:ind w:firstLine="720"/>
        <w:jc w:val="both"/>
        <w:rPr>
          <w:rFonts w:ascii="Arial" w:hAnsi="Arial" w:cs="Arial"/>
        </w:rPr>
      </w:pPr>
    </w:p>
    <w:p w14:paraId="04A89274" w14:textId="77777777" w:rsidR="009D354D" w:rsidRPr="009D354D" w:rsidRDefault="009D354D" w:rsidP="009D354D">
      <w:pPr>
        <w:spacing w:after="80" w:line="252" w:lineRule="auto"/>
        <w:ind w:firstLine="720"/>
        <w:jc w:val="both"/>
        <w:rPr>
          <w:rFonts w:ascii="Arial" w:hAnsi="Arial" w:cs="Arial"/>
        </w:rPr>
      </w:pPr>
      <w:r w:rsidRPr="009D354D">
        <w:rPr>
          <w:rFonts w:ascii="Arial" w:hAnsi="Arial" w:cs="Arial"/>
        </w:rPr>
        <w:t xml:space="preserve">Consent </w:t>
      </w:r>
    </w:p>
    <w:p w14:paraId="0072A68B" w14:textId="52071520" w:rsidR="009D354D" w:rsidRPr="001F1415" w:rsidRDefault="009D354D" w:rsidP="009D354D">
      <w:pPr>
        <w:spacing w:after="80" w:line="252" w:lineRule="auto"/>
        <w:ind w:firstLine="720"/>
        <w:jc w:val="both"/>
        <w:rPr>
          <w:rFonts w:ascii="Arial" w:hAnsi="Arial" w:cs="Arial"/>
        </w:rPr>
      </w:pPr>
      <w:r w:rsidRPr="009D354D">
        <w:rPr>
          <w:rFonts w:ascii="Arial" w:hAnsi="Arial" w:cs="Arial"/>
        </w:rPr>
        <w:t>As per international standards or university standards, Participants’ written consent has been collected and preserved by the author(s).</w:t>
      </w:r>
    </w:p>
    <w:p w14:paraId="1533F281" w14:textId="77777777" w:rsidR="00A93C92" w:rsidRPr="001F1415" w:rsidRDefault="00A93C92" w:rsidP="00A93C92">
      <w:pPr>
        <w:spacing w:after="0" w:line="240" w:lineRule="auto"/>
        <w:rPr>
          <w:rFonts w:ascii="Times New Roman" w:hAnsi="Times New Roman" w:cs="Times New Roman"/>
          <w:b/>
        </w:rPr>
      </w:pPr>
      <w:r w:rsidRPr="001F1415">
        <w:rPr>
          <w:rFonts w:ascii="Times New Roman" w:hAnsi="Times New Roman" w:cs="Times New Roman"/>
          <w:b/>
        </w:rPr>
        <w:t>Declaration of AI Use</w:t>
      </w:r>
    </w:p>
    <w:p w14:paraId="04EB0C45" w14:textId="77777777" w:rsidR="00A93C92" w:rsidRPr="001F1415" w:rsidRDefault="00A93C92" w:rsidP="00A93C92">
      <w:pPr>
        <w:spacing w:after="0" w:line="240" w:lineRule="auto"/>
        <w:rPr>
          <w:rFonts w:ascii="Times New Roman" w:hAnsi="Times New Roman" w:cs="Times New Roman"/>
          <w:b/>
        </w:rPr>
      </w:pPr>
    </w:p>
    <w:p w14:paraId="48425888" w14:textId="77777777" w:rsidR="00A93C92" w:rsidRPr="001F1415" w:rsidRDefault="00A93C92" w:rsidP="00A93C92">
      <w:pPr>
        <w:spacing w:after="0" w:line="240" w:lineRule="auto"/>
        <w:rPr>
          <w:rFonts w:ascii="Times New Roman" w:hAnsi="Times New Roman" w:cs="Times New Roman"/>
          <w:b/>
        </w:rPr>
      </w:pPr>
    </w:p>
    <w:p w14:paraId="344B2C5A" w14:textId="77777777" w:rsidR="00A93C92" w:rsidRPr="001F1415" w:rsidRDefault="00A93C92" w:rsidP="00A93C92">
      <w:pPr>
        <w:spacing w:after="0" w:line="240" w:lineRule="auto"/>
        <w:rPr>
          <w:rFonts w:ascii="Times New Roman" w:hAnsi="Times New Roman" w:cs="Times New Roman"/>
          <w:b/>
        </w:rPr>
      </w:pPr>
    </w:p>
    <w:p w14:paraId="42F15575" w14:textId="77777777" w:rsidR="00A93C92" w:rsidRPr="001F1415" w:rsidRDefault="00A93C92" w:rsidP="00A93C92">
      <w:pPr>
        <w:spacing w:after="0" w:line="240" w:lineRule="auto"/>
        <w:rPr>
          <w:rFonts w:ascii="Arial" w:hAnsi="Arial" w:cs="Arial"/>
          <w:sz w:val="20"/>
          <w:szCs w:val="20"/>
        </w:rPr>
      </w:pPr>
      <w:r w:rsidRPr="001F1415">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F683E66" w14:textId="77777777" w:rsidR="00A93C92" w:rsidRPr="001F1415" w:rsidRDefault="00A93C92" w:rsidP="001F4C77">
      <w:pPr>
        <w:spacing w:after="80" w:line="252" w:lineRule="auto"/>
        <w:ind w:firstLine="720"/>
        <w:jc w:val="both"/>
        <w:rPr>
          <w:rFonts w:ascii="Arial" w:hAnsi="Arial" w:cs="Arial"/>
        </w:rPr>
      </w:pPr>
    </w:p>
    <w:p w14:paraId="1D2EA12E"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References</w:t>
      </w:r>
    </w:p>
    <w:p w14:paraId="5D5080C8"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820C5E">
        <w:rPr>
          <w:rFonts w:ascii="Times New Roman" w:eastAsia="Times New Roman" w:hAnsi="Times New Roman" w:cs="Times New Roman"/>
          <w:sz w:val="24"/>
          <w:szCs w:val="24"/>
        </w:rPr>
        <w:t xml:space="preserve">Callista Syavina, A., &amp; Surayya Ulfa, N. (2026). The adoption of generative AI among Indonesian university students. </w:t>
      </w:r>
      <w:r w:rsidRPr="00820C5E">
        <w:rPr>
          <w:rFonts w:ascii="Times New Roman" w:eastAsia="Times New Roman" w:hAnsi="Times New Roman" w:cs="Times New Roman"/>
          <w:i/>
          <w:iCs/>
          <w:sz w:val="24"/>
          <w:szCs w:val="24"/>
          <w:lang w:val="nl-BE"/>
        </w:rPr>
        <w:t>Interaksi Online, 14</w:t>
      </w:r>
      <w:r w:rsidRPr="00820C5E">
        <w:rPr>
          <w:rFonts w:ascii="Times New Roman" w:eastAsia="Times New Roman" w:hAnsi="Times New Roman" w:cs="Times New Roman"/>
          <w:sz w:val="24"/>
          <w:szCs w:val="24"/>
          <w:lang w:val="nl-BE"/>
        </w:rPr>
        <w:t xml:space="preserve">(3), 183–185. </w:t>
      </w:r>
      <w:hyperlink r:id="rId9" w:history="1">
        <w:r w:rsidRPr="00820C5E">
          <w:rPr>
            <w:rFonts w:ascii="Times New Roman" w:eastAsia="Times New Roman" w:hAnsi="Times New Roman" w:cs="Times New Roman"/>
            <w:color w:val="0000FF"/>
            <w:sz w:val="24"/>
            <w:szCs w:val="24"/>
            <w:u w:val="single"/>
            <w:lang w:val="nl-BE"/>
          </w:rPr>
          <w:t>https://ejournal3.undip.ac.id/index.php/interaksi-online/article/view/58306</w:t>
        </w:r>
      </w:hyperlink>
    </w:p>
    <w:p w14:paraId="74696261"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Chan, C. K. Y., &amp; Hu, W. (2023). Students’ voices on generative AI: Perceptions, benefits, and challenges in higher education. </w:t>
      </w:r>
      <w:r w:rsidRPr="00820C5E">
        <w:rPr>
          <w:rFonts w:ascii="Times New Roman" w:eastAsia="Times New Roman" w:hAnsi="Times New Roman" w:cs="Times New Roman"/>
          <w:i/>
          <w:iCs/>
          <w:sz w:val="24"/>
          <w:szCs w:val="24"/>
        </w:rPr>
        <w:t>International Journal of Educational Technology in Higher Education, 20</w:t>
      </w:r>
      <w:r w:rsidRPr="00820C5E">
        <w:rPr>
          <w:rFonts w:ascii="Times New Roman" w:eastAsia="Times New Roman" w:hAnsi="Times New Roman" w:cs="Times New Roman"/>
          <w:sz w:val="24"/>
          <w:szCs w:val="24"/>
        </w:rPr>
        <w:t xml:space="preserve">, 43. </w:t>
      </w:r>
      <w:hyperlink r:id="rId10" w:history="1">
        <w:r w:rsidRPr="00820C5E">
          <w:rPr>
            <w:rFonts w:ascii="Times New Roman" w:eastAsia="Times New Roman" w:hAnsi="Times New Roman" w:cs="Times New Roman"/>
            <w:color w:val="0000FF"/>
            <w:sz w:val="24"/>
            <w:szCs w:val="24"/>
            <w:u w:val="single"/>
          </w:rPr>
          <w:t>https://doi.org/10.1186/s41239-023-00411-8</w:t>
        </w:r>
      </w:hyperlink>
    </w:p>
    <w:p w14:paraId="09F00865"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Cohen, J. (1988). </w:t>
      </w:r>
      <w:r w:rsidRPr="00820C5E">
        <w:rPr>
          <w:rFonts w:ascii="Times New Roman" w:eastAsia="Times New Roman" w:hAnsi="Times New Roman" w:cs="Times New Roman"/>
          <w:i/>
          <w:iCs/>
          <w:sz w:val="24"/>
          <w:szCs w:val="24"/>
        </w:rPr>
        <w:t>Statistical power analysis for the behavioral sciences</w:t>
      </w:r>
      <w:r w:rsidRPr="00820C5E">
        <w:rPr>
          <w:rFonts w:ascii="Times New Roman" w:eastAsia="Times New Roman" w:hAnsi="Times New Roman" w:cs="Times New Roman"/>
          <w:sz w:val="24"/>
          <w:szCs w:val="24"/>
        </w:rPr>
        <w:t xml:space="preserve"> (2nd ed.). Routledge. </w:t>
      </w:r>
      <w:hyperlink r:id="rId11" w:history="1">
        <w:r w:rsidRPr="00820C5E">
          <w:rPr>
            <w:rFonts w:ascii="Times New Roman" w:eastAsia="Times New Roman" w:hAnsi="Times New Roman" w:cs="Times New Roman"/>
            <w:color w:val="0000FF"/>
            <w:sz w:val="24"/>
            <w:szCs w:val="24"/>
            <w:u w:val="single"/>
          </w:rPr>
          <w:t>https://doi.org/10.4324/9780203771587</w:t>
        </w:r>
      </w:hyperlink>
    </w:p>
    <w:p w14:paraId="587EC68F"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Creswell, J. W., &amp; Creswell, J. D. (2018). </w:t>
      </w:r>
      <w:r w:rsidRPr="00820C5E">
        <w:rPr>
          <w:rFonts w:ascii="Times New Roman" w:eastAsia="Times New Roman" w:hAnsi="Times New Roman" w:cs="Times New Roman"/>
          <w:i/>
          <w:iCs/>
          <w:sz w:val="24"/>
          <w:szCs w:val="24"/>
        </w:rPr>
        <w:t>Research design: Qualitative, quantitative, and mixed methods approaches</w:t>
      </w:r>
      <w:r w:rsidRPr="00820C5E">
        <w:rPr>
          <w:rFonts w:ascii="Times New Roman" w:eastAsia="Times New Roman" w:hAnsi="Times New Roman" w:cs="Times New Roman"/>
          <w:sz w:val="24"/>
          <w:szCs w:val="24"/>
        </w:rPr>
        <w:t xml:space="preserve"> (5th ed.). SAGE Publications. </w:t>
      </w:r>
      <w:hyperlink r:id="rId12" w:history="1">
        <w:r w:rsidRPr="00820C5E">
          <w:rPr>
            <w:rFonts w:ascii="Times New Roman" w:eastAsia="Times New Roman" w:hAnsi="Times New Roman" w:cs="Times New Roman"/>
            <w:color w:val="0000FF"/>
            <w:sz w:val="24"/>
            <w:szCs w:val="24"/>
            <w:u w:val="single"/>
          </w:rPr>
          <w:t>https://discover.library.unt.edu/catalog/b6029070</w:t>
        </w:r>
      </w:hyperlink>
    </w:p>
    <w:p w14:paraId="12943AD0"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lang w:val="nl-BE"/>
        </w:rPr>
        <w:lastRenderedPageBreak/>
        <w:t xml:space="preserve">Etikan, I., Musa, S. A., &amp; Alkassim, R. S. (2016). </w:t>
      </w:r>
      <w:r w:rsidRPr="00820C5E">
        <w:rPr>
          <w:rFonts w:ascii="Times New Roman" w:eastAsia="Times New Roman" w:hAnsi="Times New Roman" w:cs="Times New Roman"/>
          <w:sz w:val="24"/>
          <w:szCs w:val="24"/>
        </w:rPr>
        <w:t xml:space="preserve">Comparison of convenience sampling and purposive sampling. </w:t>
      </w:r>
      <w:r w:rsidRPr="00820C5E">
        <w:rPr>
          <w:rFonts w:ascii="Times New Roman" w:eastAsia="Times New Roman" w:hAnsi="Times New Roman" w:cs="Times New Roman"/>
          <w:i/>
          <w:iCs/>
          <w:sz w:val="24"/>
          <w:szCs w:val="24"/>
        </w:rPr>
        <w:t>American Journal of Theoretical and Applied Statistics, 5</w:t>
      </w:r>
      <w:r w:rsidRPr="00820C5E">
        <w:rPr>
          <w:rFonts w:ascii="Times New Roman" w:eastAsia="Times New Roman" w:hAnsi="Times New Roman" w:cs="Times New Roman"/>
          <w:sz w:val="24"/>
          <w:szCs w:val="24"/>
        </w:rPr>
        <w:t xml:space="preserve">(1), 1–4. </w:t>
      </w:r>
      <w:hyperlink r:id="rId13" w:history="1">
        <w:r w:rsidRPr="00820C5E">
          <w:rPr>
            <w:rFonts w:ascii="Times New Roman" w:eastAsia="Times New Roman" w:hAnsi="Times New Roman" w:cs="Times New Roman"/>
            <w:color w:val="0000FF"/>
            <w:sz w:val="24"/>
            <w:szCs w:val="24"/>
            <w:u w:val="single"/>
          </w:rPr>
          <w:t>https://doi.org/10.11648/j.ajtas.20160501.11</w:t>
        </w:r>
      </w:hyperlink>
    </w:p>
    <w:p w14:paraId="5BA0EF63"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Fredricks, J. A., Blumenfeld, P. C., &amp; Paris, A. H. (2004). School engagement: Potential of the concept, state of the evidence. </w:t>
      </w:r>
      <w:r w:rsidRPr="00820C5E">
        <w:rPr>
          <w:rFonts w:ascii="Times New Roman" w:eastAsia="Times New Roman" w:hAnsi="Times New Roman" w:cs="Times New Roman"/>
          <w:i/>
          <w:iCs/>
          <w:sz w:val="24"/>
          <w:szCs w:val="24"/>
        </w:rPr>
        <w:t>Review of Educational Research, 74</w:t>
      </w:r>
      <w:r w:rsidRPr="00820C5E">
        <w:rPr>
          <w:rFonts w:ascii="Times New Roman" w:eastAsia="Times New Roman" w:hAnsi="Times New Roman" w:cs="Times New Roman"/>
          <w:sz w:val="24"/>
          <w:szCs w:val="24"/>
        </w:rPr>
        <w:t xml:space="preserve">(1), 59–109. </w:t>
      </w:r>
      <w:hyperlink r:id="rId14" w:history="1">
        <w:r w:rsidRPr="00820C5E">
          <w:rPr>
            <w:rFonts w:ascii="Times New Roman" w:eastAsia="Times New Roman" w:hAnsi="Times New Roman" w:cs="Times New Roman"/>
            <w:color w:val="0000FF"/>
            <w:sz w:val="24"/>
            <w:szCs w:val="24"/>
            <w:u w:val="single"/>
          </w:rPr>
          <w:t>https://doi.org/10.3102/00346543074001059</w:t>
        </w:r>
      </w:hyperlink>
    </w:p>
    <w:p w14:paraId="480CA126"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820C5E">
        <w:rPr>
          <w:rFonts w:ascii="Times New Roman" w:eastAsia="Times New Roman" w:hAnsi="Times New Roman" w:cs="Times New Roman"/>
          <w:sz w:val="24"/>
          <w:szCs w:val="24"/>
        </w:rPr>
        <w:t xml:space="preserve">Ghozali, I. (2018). </w:t>
      </w:r>
      <w:r w:rsidRPr="00820C5E">
        <w:rPr>
          <w:rFonts w:ascii="Times New Roman" w:eastAsia="Times New Roman" w:hAnsi="Times New Roman" w:cs="Times New Roman"/>
          <w:i/>
          <w:iCs/>
          <w:sz w:val="24"/>
          <w:szCs w:val="24"/>
        </w:rPr>
        <w:t>Aplikasi analisis multivariate dengan program IBM SPSS 25</w:t>
      </w:r>
      <w:r w:rsidRPr="00820C5E">
        <w:rPr>
          <w:rFonts w:ascii="Times New Roman" w:eastAsia="Times New Roman" w:hAnsi="Times New Roman" w:cs="Times New Roman"/>
          <w:sz w:val="24"/>
          <w:szCs w:val="24"/>
        </w:rPr>
        <w:t xml:space="preserve"> [Application of multivariate analysis using IBM SPSS 25] (9th ed.). </w:t>
      </w:r>
      <w:r w:rsidRPr="00820C5E">
        <w:rPr>
          <w:rFonts w:ascii="Times New Roman" w:eastAsia="Times New Roman" w:hAnsi="Times New Roman" w:cs="Times New Roman"/>
          <w:sz w:val="24"/>
          <w:szCs w:val="24"/>
          <w:lang w:val="nl-BE"/>
        </w:rPr>
        <w:t xml:space="preserve">Badan Penerbit Universitas Diponegoro. </w:t>
      </w:r>
      <w:hyperlink r:id="rId15" w:history="1">
        <w:r w:rsidRPr="00820C5E">
          <w:rPr>
            <w:rFonts w:ascii="Times New Roman" w:eastAsia="Times New Roman" w:hAnsi="Times New Roman" w:cs="Times New Roman"/>
            <w:color w:val="0000FF"/>
            <w:sz w:val="24"/>
            <w:szCs w:val="24"/>
            <w:u w:val="single"/>
            <w:lang w:val="nl-BE"/>
          </w:rPr>
          <w:t>https://lib.undip.ac.id/index.php?id=10436&amp;in=Fakultas+Kesehatan+Masyarakat&amp;p=show_detail</w:t>
        </w:r>
      </w:hyperlink>
    </w:p>
    <w:p w14:paraId="278F1622"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Hair, J. F., Black, W. C., Babin, B. J., &amp; Anderson, R. E. (2019). </w:t>
      </w:r>
      <w:r w:rsidRPr="00820C5E">
        <w:rPr>
          <w:rFonts w:ascii="Times New Roman" w:eastAsia="Times New Roman" w:hAnsi="Times New Roman" w:cs="Times New Roman"/>
          <w:i/>
          <w:iCs/>
          <w:sz w:val="24"/>
          <w:szCs w:val="24"/>
        </w:rPr>
        <w:t>Multivariate data analysis</w:t>
      </w:r>
      <w:r w:rsidRPr="00820C5E">
        <w:rPr>
          <w:rFonts w:ascii="Times New Roman" w:eastAsia="Times New Roman" w:hAnsi="Times New Roman" w:cs="Times New Roman"/>
          <w:sz w:val="24"/>
          <w:szCs w:val="24"/>
        </w:rPr>
        <w:t xml:space="preserve"> (8th ed.). Cengage. </w:t>
      </w:r>
      <w:hyperlink r:id="rId16" w:history="1">
        <w:r w:rsidRPr="00820C5E">
          <w:rPr>
            <w:rFonts w:ascii="Times New Roman" w:eastAsia="Times New Roman" w:hAnsi="Times New Roman" w:cs="Times New Roman"/>
            <w:color w:val="0000FF"/>
            <w:sz w:val="24"/>
            <w:szCs w:val="24"/>
            <w:u w:val="single"/>
          </w:rPr>
          <w:t>https://igmlnet.uohyd.ac.in/chamo/lib/item?id=chamo%3A1608110</w:t>
        </w:r>
      </w:hyperlink>
    </w:p>
    <w:p w14:paraId="3750DC56"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Shi, J., Liu, W., &amp; Hu, K. (2025). Exploring how AI literacy and self-regulated learning relate to student writing performance and well-being in generative AI-supported higher education. </w:t>
      </w:r>
      <w:r w:rsidRPr="00820C5E">
        <w:rPr>
          <w:rFonts w:ascii="Times New Roman" w:eastAsia="Times New Roman" w:hAnsi="Times New Roman" w:cs="Times New Roman"/>
          <w:i/>
          <w:iCs/>
          <w:sz w:val="24"/>
          <w:szCs w:val="24"/>
        </w:rPr>
        <w:t>Behavioral Sciences, 15</w:t>
      </w:r>
      <w:r w:rsidRPr="00820C5E">
        <w:rPr>
          <w:rFonts w:ascii="Times New Roman" w:eastAsia="Times New Roman" w:hAnsi="Times New Roman" w:cs="Times New Roman"/>
          <w:sz w:val="24"/>
          <w:szCs w:val="24"/>
        </w:rPr>
        <w:t xml:space="preserve">(5), 705. </w:t>
      </w:r>
      <w:hyperlink r:id="rId17" w:history="1">
        <w:r w:rsidRPr="00820C5E">
          <w:rPr>
            <w:rFonts w:ascii="Times New Roman" w:eastAsia="Times New Roman" w:hAnsi="Times New Roman" w:cs="Times New Roman"/>
            <w:color w:val="0000FF"/>
            <w:sz w:val="24"/>
            <w:szCs w:val="24"/>
            <w:u w:val="single"/>
          </w:rPr>
          <w:t>https://doi.org/10.3390/bs15050705</w:t>
        </w:r>
      </w:hyperlink>
    </w:p>
    <w:p w14:paraId="34219BBF"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Kumar, C. A., &amp; Saratha, M. (2025). Exploring the students and teachers perception on artificial intelligence based techno-pedagogical integration. </w:t>
      </w:r>
      <w:r w:rsidRPr="00820C5E">
        <w:rPr>
          <w:rFonts w:ascii="Times New Roman" w:eastAsia="Times New Roman" w:hAnsi="Times New Roman" w:cs="Times New Roman"/>
          <w:i/>
          <w:iCs/>
          <w:sz w:val="24"/>
          <w:szCs w:val="24"/>
        </w:rPr>
        <w:t>Asian Journal of Arts, Humanities and Social Studies, 8</w:t>
      </w:r>
      <w:r w:rsidRPr="00820C5E">
        <w:rPr>
          <w:rFonts w:ascii="Times New Roman" w:eastAsia="Times New Roman" w:hAnsi="Times New Roman" w:cs="Times New Roman"/>
          <w:sz w:val="24"/>
          <w:szCs w:val="24"/>
        </w:rPr>
        <w:t xml:space="preserve">(2), 169–176. </w:t>
      </w:r>
      <w:hyperlink r:id="rId18" w:history="1">
        <w:r w:rsidRPr="00820C5E">
          <w:rPr>
            <w:rFonts w:ascii="Times New Roman" w:eastAsia="Times New Roman" w:hAnsi="Times New Roman" w:cs="Times New Roman"/>
            <w:color w:val="0000FF"/>
            <w:sz w:val="24"/>
            <w:szCs w:val="24"/>
            <w:u w:val="single"/>
          </w:rPr>
          <w:t>https://doi.org/10.56557/ajahss/2025/v8i288</w:t>
        </w:r>
      </w:hyperlink>
    </w:p>
    <w:p w14:paraId="0860B353"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lang w:val="nl-BE"/>
        </w:rPr>
        <w:t xml:space="preserve">Lo, C. K., Hew, K. F., &amp; Jong, M. S. Y. (2024). </w:t>
      </w:r>
      <w:r w:rsidRPr="00820C5E">
        <w:rPr>
          <w:rFonts w:ascii="Times New Roman" w:eastAsia="Times New Roman" w:hAnsi="Times New Roman" w:cs="Times New Roman"/>
          <w:sz w:val="24"/>
          <w:szCs w:val="24"/>
        </w:rPr>
        <w:t xml:space="preserve">The influence of ChatGPT on student engagement: A systematic review and future research agenda. </w:t>
      </w:r>
      <w:r w:rsidRPr="00820C5E">
        <w:rPr>
          <w:rFonts w:ascii="Times New Roman" w:eastAsia="Times New Roman" w:hAnsi="Times New Roman" w:cs="Times New Roman"/>
          <w:i/>
          <w:iCs/>
          <w:sz w:val="24"/>
          <w:szCs w:val="24"/>
        </w:rPr>
        <w:t>Computers &amp; Education, 219</w:t>
      </w:r>
      <w:r w:rsidRPr="00820C5E">
        <w:rPr>
          <w:rFonts w:ascii="Times New Roman" w:eastAsia="Times New Roman" w:hAnsi="Times New Roman" w:cs="Times New Roman"/>
          <w:sz w:val="24"/>
          <w:szCs w:val="24"/>
        </w:rPr>
        <w:t xml:space="preserve">, 105100. </w:t>
      </w:r>
      <w:hyperlink r:id="rId19" w:history="1">
        <w:r w:rsidRPr="00820C5E">
          <w:rPr>
            <w:rFonts w:ascii="Times New Roman" w:eastAsia="Times New Roman" w:hAnsi="Times New Roman" w:cs="Times New Roman"/>
            <w:color w:val="0000FF"/>
            <w:sz w:val="24"/>
            <w:szCs w:val="24"/>
            <w:u w:val="single"/>
          </w:rPr>
          <w:t>https://doi.org/10.1016/j.compedu.2024.105100</w:t>
        </w:r>
      </w:hyperlink>
    </w:p>
    <w:p w14:paraId="00CC2ED4"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Medina-Gual, L., &amp; Parejo, J.-L. (2026). University students’ engagement with artificial intelligence: A cluster analysis of learner profiles in AI literacy. </w:t>
      </w:r>
      <w:r w:rsidRPr="00820C5E">
        <w:rPr>
          <w:rFonts w:ascii="Times New Roman" w:eastAsia="Times New Roman" w:hAnsi="Times New Roman" w:cs="Times New Roman"/>
          <w:i/>
          <w:iCs/>
          <w:sz w:val="24"/>
          <w:szCs w:val="24"/>
        </w:rPr>
        <w:t>Technology, Knowledge and Learning, 31</w:t>
      </w:r>
      <w:r w:rsidRPr="00820C5E">
        <w:rPr>
          <w:rFonts w:ascii="Times New Roman" w:eastAsia="Times New Roman" w:hAnsi="Times New Roman" w:cs="Times New Roman"/>
          <w:sz w:val="24"/>
          <w:szCs w:val="24"/>
        </w:rPr>
        <w:t xml:space="preserve">, 291–309. </w:t>
      </w:r>
      <w:hyperlink r:id="rId20" w:history="1">
        <w:r w:rsidRPr="00820C5E">
          <w:rPr>
            <w:rFonts w:ascii="Times New Roman" w:eastAsia="Times New Roman" w:hAnsi="Times New Roman" w:cs="Times New Roman"/>
            <w:color w:val="0000FF"/>
            <w:sz w:val="24"/>
            <w:szCs w:val="24"/>
            <w:u w:val="single"/>
          </w:rPr>
          <w:t>https://doi.org/10.1007/s10758-025-09926-7</w:t>
        </w:r>
      </w:hyperlink>
    </w:p>
    <w:p w14:paraId="342D2CEB"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lang w:val="nl-BE"/>
        </w:rPr>
        <w:t xml:space="preserve">Ng, D. T. K., Tan, C. W., &amp; Leung, J. K. L. (2024). </w:t>
      </w:r>
      <w:r w:rsidRPr="00820C5E">
        <w:rPr>
          <w:rFonts w:ascii="Times New Roman" w:eastAsia="Times New Roman" w:hAnsi="Times New Roman" w:cs="Times New Roman"/>
          <w:sz w:val="24"/>
          <w:szCs w:val="24"/>
        </w:rPr>
        <w:t xml:space="preserve">Empowering student self-regulated learning and science education through ChatGPT: A pioneering pilot study. </w:t>
      </w:r>
      <w:r w:rsidRPr="00820C5E">
        <w:rPr>
          <w:rFonts w:ascii="Times New Roman" w:eastAsia="Times New Roman" w:hAnsi="Times New Roman" w:cs="Times New Roman"/>
          <w:i/>
          <w:iCs/>
          <w:sz w:val="24"/>
          <w:szCs w:val="24"/>
        </w:rPr>
        <w:t>British Journal of Educational Technology, 55</w:t>
      </w:r>
      <w:r w:rsidRPr="00820C5E">
        <w:rPr>
          <w:rFonts w:ascii="Times New Roman" w:eastAsia="Times New Roman" w:hAnsi="Times New Roman" w:cs="Times New Roman"/>
          <w:sz w:val="24"/>
          <w:szCs w:val="24"/>
        </w:rPr>
        <w:t xml:space="preserve">(4), 1328–1353. </w:t>
      </w:r>
      <w:hyperlink r:id="rId21" w:history="1">
        <w:r w:rsidRPr="00820C5E">
          <w:rPr>
            <w:rFonts w:ascii="Times New Roman" w:eastAsia="Times New Roman" w:hAnsi="Times New Roman" w:cs="Times New Roman"/>
            <w:color w:val="0000FF"/>
            <w:sz w:val="24"/>
            <w:szCs w:val="24"/>
            <w:u w:val="single"/>
          </w:rPr>
          <w:t>https://doi.org/10.1111/bjet.13454</w:t>
        </w:r>
      </w:hyperlink>
    </w:p>
    <w:p w14:paraId="44210C2A"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Ng, D. T. K., Leung, J. K. L., Chu, S. K. W., &amp; Qiao, M. S. (2021). Conceptualizing AI literacy: An exploratory review. </w:t>
      </w:r>
      <w:r w:rsidRPr="00820C5E">
        <w:rPr>
          <w:rFonts w:ascii="Times New Roman" w:eastAsia="Times New Roman" w:hAnsi="Times New Roman" w:cs="Times New Roman"/>
          <w:i/>
          <w:iCs/>
          <w:sz w:val="24"/>
          <w:szCs w:val="24"/>
        </w:rPr>
        <w:t>Computers and Education: Artificial Intelligence, 2</w:t>
      </w:r>
      <w:r w:rsidRPr="00820C5E">
        <w:rPr>
          <w:rFonts w:ascii="Times New Roman" w:eastAsia="Times New Roman" w:hAnsi="Times New Roman" w:cs="Times New Roman"/>
          <w:sz w:val="24"/>
          <w:szCs w:val="24"/>
        </w:rPr>
        <w:t xml:space="preserve">, 100041. </w:t>
      </w:r>
      <w:hyperlink r:id="rId22" w:history="1">
        <w:r w:rsidRPr="00820C5E">
          <w:rPr>
            <w:rFonts w:ascii="Times New Roman" w:eastAsia="Times New Roman" w:hAnsi="Times New Roman" w:cs="Times New Roman"/>
            <w:color w:val="0000FF"/>
            <w:sz w:val="24"/>
            <w:szCs w:val="24"/>
            <w:u w:val="single"/>
          </w:rPr>
          <w:t>https://doi.org/10.1016/j.caeai.2021.100041</w:t>
        </w:r>
      </w:hyperlink>
    </w:p>
    <w:p w14:paraId="42DC6F9A"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Panadero, E. (2017). A review of self-regulated learning: Six models and four directions for research. </w:t>
      </w:r>
      <w:r w:rsidRPr="00820C5E">
        <w:rPr>
          <w:rFonts w:ascii="Times New Roman" w:eastAsia="Times New Roman" w:hAnsi="Times New Roman" w:cs="Times New Roman"/>
          <w:i/>
          <w:iCs/>
          <w:sz w:val="24"/>
          <w:szCs w:val="24"/>
        </w:rPr>
        <w:t>Frontiers in Psychology, 8</w:t>
      </w:r>
      <w:r w:rsidRPr="00820C5E">
        <w:rPr>
          <w:rFonts w:ascii="Times New Roman" w:eastAsia="Times New Roman" w:hAnsi="Times New Roman" w:cs="Times New Roman"/>
          <w:sz w:val="24"/>
          <w:szCs w:val="24"/>
        </w:rPr>
        <w:t xml:space="preserve">, 422. </w:t>
      </w:r>
      <w:hyperlink r:id="rId23" w:history="1">
        <w:r w:rsidRPr="00820C5E">
          <w:rPr>
            <w:rFonts w:ascii="Times New Roman" w:eastAsia="Times New Roman" w:hAnsi="Times New Roman" w:cs="Times New Roman"/>
            <w:color w:val="0000FF"/>
            <w:sz w:val="24"/>
            <w:szCs w:val="24"/>
            <w:u w:val="single"/>
          </w:rPr>
          <w:t>https://doi.org/10.3389/fpsyg.2017.00422</w:t>
        </w:r>
      </w:hyperlink>
    </w:p>
    <w:p w14:paraId="1DB23BEB"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lang w:val="nl-BE"/>
        </w:rPr>
        <w:t xml:space="preserve">Qu, Y., Tan, M. X. Y., &amp; Wang, J. (2024). </w:t>
      </w:r>
      <w:r w:rsidRPr="00820C5E">
        <w:rPr>
          <w:rFonts w:ascii="Times New Roman" w:eastAsia="Times New Roman" w:hAnsi="Times New Roman" w:cs="Times New Roman"/>
          <w:sz w:val="24"/>
          <w:szCs w:val="24"/>
        </w:rPr>
        <w:t xml:space="preserve">Disciplinary differences in undergraduate students’ engagement with generative artificial intelligence. </w:t>
      </w:r>
      <w:r w:rsidRPr="00820C5E">
        <w:rPr>
          <w:rFonts w:ascii="Times New Roman" w:eastAsia="Times New Roman" w:hAnsi="Times New Roman" w:cs="Times New Roman"/>
          <w:i/>
          <w:iCs/>
          <w:sz w:val="24"/>
          <w:szCs w:val="24"/>
        </w:rPr>
        <w:t>Smart Learning Environments, 11</w:t>
      </w:r>
      <w:r w:rsidRPr="00820C5E">
        <w:rPr>
          <w:rFonts w:ascii="Times New Roman" w:eastAsia="Times New Roman" w:hAnsi="Times New Roman" w:cs="Times New Roman"/>
          <w:sz w:val="24"/>
          <w:szCs w:val="24"/>
        </w:rPr>
        <w:t xml:space="preserve">, 51. </w:t>
      </w:r>
      <w:hyperlink r:id="rId24" w:history="1">
        <w:r w:rsidRPr="00820C5E">
          <w:rPr>
            <w:rFonts w:ascii="Times New Roman" w:eastAsia="Times New Roman" w:hAnsi="Times New Roman" w:cs="Times New Roman"/>
            <w:color w:val="0000FF"/>
            <w:sz w:val="24"/>
            <w:szCs w:val="24"/>
            <w:u w:val="single"/>
          </w:rPr>
          <w:t>https://doi.org/10.1186/s40561-024-00341-6</w:t>
        </w:r>
      </w:hyperlink>
    </w:p>
    <w:p w14:paraId="59B15919"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Rahiem, M. D. H. (2026). Generative AI in higher education in Indonesia: Patterns of use and learning impact. </w:t>
      </w:r>
      <w:r w:rsidRPr="00820C5E">
        <w:rPr>
          <w:rFonts w:ascii="Times New Roman" w:eastAsia="Times New Roman" w:hAnsi="Times New Roman" w:cs="Times New Roman"/>
          <w:i/>
          <w:iCs/>
          <w:sz w:val="24"/>
          <w:szCs w:val="24"/>
        </w:rPr>
        <w:t>Social Sciences &amp; Humanities Open, 13</w:t>
      </w:r>
      <w:r w:rsidRPr="00820C5E">
        <w:rPr>
          <w:rFonts w:ascii="Times New Roman" w:eastAsia="Times New Roman" w:hAnsi="Times New Roman" w:cs="Times New Roman"/>
          <w:sz w:val="24"/>
          <w:szCs w:val="24"/>
        </w:rPr>
        <w:t xml:space="preserve">, 102672. </w:t>
      </w:r>
      <w:hyperlink r:id="rId25" w:history="1">
        <w:r w:rsidRPr="00820C5E">
          <w:rPr>
            <w:rFonts w:ascii="Times New Roman" w:eastAsia="Times New Roman" w:hAnsi="Times New Roman" w:cs="Times New Roman"/>
            <w:color w:val="0000FF"/>
            <w:sz w:val="24"/>
            <w:szCs w:val="24"/>
            <w:u w:val="single"/>
          </w:rPr>
          <w:t>https://doi.org/10.1016/j.ssaho.2026.102672</w:t>
        </w:r>
      </w:hyperlink>
    </w:p>
    <w:p w14:paraId="03B3ECCD"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Sampah, S. N. A., Nabang, M., Krampa, E. K., Issah, M., Koduah, F., Essel, H. B., &amp; Adu-Agyem, J. (2026). Generative AI competence and student engagement in higher education: Mediating </w:t>
      </w:r>
      <w:r w:rsidRPr="00820C5E">
        <w:rPr>
          <w:rFonts w:ascii="Times New Roman" w:eastAsia="Times New Roman" w:hAnsi="Times New Roman" w:cs="Times New Roman"/>
          <w:sz w:val="24"/>
          <w:szCs w:val="24"/>
        </w:rPr>
        <w:lastRenderedPageBreak/>
        <w:t xml:space="preserve">roles of utilization, autonomy, and formal learning. </w:t>
      </w:r>
      <w:r w:rsidRPr="00820C5E">
        <w:rPr>
          <w:rFonts w:ascii="Times New Roman" w:eastAsia="Times New Roman" w:hAnsi="Times New Roman" w:cs="Times New Roman"/>
          <w:i/>
          <w:iCs/>
          <w:sz w:val="24"/>
          <w:szCs w:val="24"/>
        </w:rPr>
        <w:t>Journal of Interdisciplinary Studies in Education, 15</w:t>
      </w:r>
      <w:r w:rsidRPr="00820C5E">
        <w:rPr>
          <w:rFonts w:ascii="Times New Roman" w:eastAsia="Times New Roman" w:hAnsi="Times New Roman" w:cs="Times New Roman"/>
          <w:sz w:val="24"/>
          <w:szCs w:val="24"/>
        </w:rPr>
        <w:t xml:space="preserve">(2), 109–146. </w:t>
      </w:r>
      <w:hyperlink r:id="rId26" w:history="1">
        <w:r w:rsidRPr="00820C5E">
          <w:rPr>
            <w:rFonts w:ascii="Times New Roman" w:eastAsia="Times New Roman" w:hAnsi="Times New Roman" w:cs="Times New Roman"/>
            <w:color w:val="0000FF"/>
            <w:sz w:val="24"/>
            <w:szCs w:val="24"/>
            <w:u w:val="single"/>
          </w:rPr>
          <w:t>https://doi.org/10.32674/3s3cx241</w:t>
        </w:r>
      </w:hyperlink>
    </w:p>
    <w:p w14:paraId="28902A59"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lang w:val="nl-BE"/>
        </w:rPr>
        <w:t xml:space="preserve">Satapathy, D., Kumar, P. D., Devaraj, M., Nanda, S. B., Jena, S., &amp; Pradhan, D. K. (2026). </w:t>
      </w:r>
      <w:r w:rsidRPr="00820C5E">
        <w:rPr>
          <w:rFonts w:ascii="Times New Roman" w:eastAsia="Times New Roman" w:hAnsi="Times New Roman" w:cs="Times New Roman"/>
          <w:sz w:val="24"/>
          <w:szCs w:val="24"/>
        </w:rPr>
        <w:t xml:space="preserve">AI literacy among higher education students: Evidence from Odisha, India. </w:t>
      </w:r>
      <w:r w:rsidRPr="00820C5E">
        <w:rPr>
          <w:rFonts w:ascii="Times New Roman" w:eastAsia="Times New Roman" w:hAnsi="Times New Roman" w:cs="Times New Roman"/>
          <w:i/>
          <w:iCs/>
          <w:sz w:val="24"/>
          <w:szCs w:val="24"/>
        </w:rPr>
        <w:t>Asian Journal of Education and Social Studies, 52</w:t>
      </w:r>
      <w:r w:rsidRPr="00820C5E">
        <w:rPr>
          <w:rFonts w:ascii="Times New Roman" w:eastAsia="Times New Roman" w:hAnsi="Times New Roman" w:cs="Times New Roman"/>
          <w:sz w:val="24"/>
          <w:szCs w:val="24"/>
        </w:rPr>
        <w:t xml:space="preserve">(6), 843–855. </w:t>
      </w:r>
      <w:hyperlink r:id="rId27" w:history="1">
        <w:r w:rsidRPr="00820C5E">
          <w:rPr>
            <w:rFonts w:ascii="Times New Roman" w:eastAsia="Times New Roman" w:hAnsi="Times New Roman" w:cs="Times New Roman"/>
            <w:color w:val="0000FF"/>
            <w:sz w:val="24"/>
            <w:szCs w:val="24"/>
            <w:u w:val="single"/>
          </w:rPr>
          <w:t>https://doi.org/10.9734/ajess/2026/v52i63137</w:t>
        </w:r>
      </w:hyperlink>
    </w:p>
    <w:p w14:paraId="3DB562D0"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Miao, F., &amp; Holmes, W. (2023). </w:t>
      </w:r>
      <w:r w:rsidRPr="00820C5E">
        <w:rPr>
          <w:rFonts w:ascii="Times New Roman" w:eastAsia="Times New Roman" w:hAnsi="Times New Roman" w:cs="Times New Roman"/>
          <w:i/>
          <w:iCs/>
          <w:sz w:val="24"/>
          <w:szCs w:val="24"/>
        </w:rPr>
        <w:t>Guidance for generative AI in education and research</w:t>
      </w:r>
      <w:r w:rsidRPr="00820C5E">
        <w:rPr>
          <w:rFonts w:ascii="Times New Roman" w:eastAsia="Times New Roman" w:hAnsi="Times New Roman" w:cs="Times New Roman"/>
          <w:sz w:val="24"/>
          <w:szCs w:val="24"/>
        </w:rPr>
        <w:t xml:space="preserve">. UNESCO. </w:t>
      </w:r>
      <w:hyperlink r:id="rId28" w:history="1">
        <w:r w:rsidRPr="00820C5E">
          <w:rPr>
            <w:rFonts w:ascii="Times New Roman" w:eastAsia="Times New Roman" w:hAnsi="Times New Roman" w:cs="Times New Roman"/>
            <w:color w:val="0000FF"/>
            <w:sz w:val="24"/>
            <w:szCs w:val="24"/>
            <w:u w:val="single"/>
          </w:rPr>
          <w:t>https://doi.org/10.54675/EWZM9535</w:t>
        </w:r>
      </w:hyperlink>
    </w:p>
    <w:p w14:paraId="7B06E1D5"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Xu, X., Qiao, L., Cheng, N., Liu, H., &amp; Zhao, W. (2025). Enhancing self-regulated learning and learning experience in generative AI environments: The critical role of metacognitive support. </w:t>
      </w:r>
      <w:r w:rsidRPr="00820C5E">
        <w:rPr>
          <w:rFonts w:ascii="Times New Roman" w:eastAsia="Times New Roman" w:hAnsi="Times New Roman" w:cs="Times New Roman"/>
          <w:i/>
          <w:iCs/>
          <w:sz w:val="24"/>
          <w:szCs w:val="24"/>
        </w:rPr>
        <w:t>British Journal of Educational Technology, 56</w:t>
      </w:r>
      <w:r w:rsidRPr="00820C5E">
        <w:rPr>
          <w:rFonts w:ascii="Times New Roman" w:eastAsia="Times New Roman" w:hAnsi="Times New Roman" w:cs="Times New Roman"/>
          <w:sz w:val="24"/>
          <w:szCs w:val="24"/>
        </w:rPr>
        <w:t xml:space="preserve">(5), 1842–1863. </w:t>
      </w:r>
      <w:hyperlink r:id="rId29" w:history="1">
        <w:r w:rsidRPr="00820C5E">
          <w:rPr>
            <w:rFonts w:ascii="Times New Roman" w:eastAsia="Times New Roman" w:hAnsi="Times New Roman" w:cs="Times New Roman"/>
            <w:color w:val="0000FF"/>
            <w:sz w:val="24"/>
            <w:szCs w:val="24"/>
            <w:u w:val="single"/>
          </w:rPr>
          <w:t>https://doi.org/10.1111/bjet.13599</w:t>
        </w:r>
      </w:hyperlink>
    </w:p>
    <w:p w14:paraId="52129CE4" w14:textId="77777777" w:rsidR="00820C5E" w:rsidRPr="00820C5E" w:rsidRDefault="00820C5E" w:rsidP="00820C5E">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820C5E">
        <w:rPr>
          <w:rFonts w:ascii="Times New Roman" w:eastAsia="Times New Roman" w:hAnsi="Times New Roman" w:cs="Times New Roman"/>
          <w:sz w:val="24"/>
          <w:szCs w:val="24"/>
        </w:rPr>
        <w:t xml:space="preserve">Zimmerman, B. J. (2002). Becoming a self-regulated learner: An overview. </w:t>
      </w:r>
      <w:r w:rsidRPr="00820C5E">
        <w:rPr>
          <w:rFonts w:ascii="Times New Roman" w:eastAsia="Times New Roman" w:hAnsi="Times New Roman" w:cs="Times New Roman"/>
          <w:i/>
          <w:iCs/>
          <w:sz w:val="24"/>
          <w:szCs w:val="24"/>
        </w:rPr>
        <w:t>Theory Into Practice, 41</w:t>
      </w:r>
      <w:r w:rsidRPr="00820C5E">
        <w:rPr>
          <w:rFonts w:ascii="Times New Roman" w:eastAsia="Times New Roman" w:hAnsi="Times New Roman" w:cs="Times New Roman"/>
          <w:sz w:val="24"/>
          <w:szCs w:val="24"/>
        </w:rPr>
        <w:t xml:space="preserve">(2), 64–70. </w:t>
      </w:r>
      <w:hyperlink r:id="rId30" w:history="1">
        <w:r w:rsidRPr="00820C5E">
          <w:rPr>
            <w:rFonts w:ascii="Times New Roman" w:eastAsia="Times New Roman" w:hAnsi="Times New Roman" w:cs="Times New Roman"/>
            <w:color w:val="0000FF"/>
            <w:sz w:val="24"/>
            <w:szCs w:val="24"/>
            <w:u w:val="single"/>
          </w:rPr>
          <w:t>https://doi.org/10.1207/s15430421tip4102_2</w:t>
        </w:r>
      </w:hyperlink>
    </w:p>
    <w:p w14:paraId="0ACFCDD5" w14:textId="77777777" w:rsidR="00C74240" w:rsidRDefault="00C74240"/>
    <w:sectPr w:rsidR="00C74240" w:rsidSect="00034616">
      <w:headerReference w:type="even" r:id="rId31"/>
      <w:headerReference w:type="default" r:id="rId32"/>
      <w:footerReference w:type="even" r:id="rId33"/>
      <w:footerReference w:type="default" r:id="rId34"/>
      <w:headerReference w:type="first" r:id="rId35"/>
      <w:footerReference w:type="first" r:id="rId36"/>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4B8FE" w14:textId="77777777" w:rsidR="001E6E59" w:rsidRDefault="001E6E59" w:rsidP="004922C1">
      <w:pPr>
        <w:spacing w:after="0" w:line="240" w:lineRule="auto"/>
      </w:pPr>
      <w:r>
        <w:separator/>
      </w:r>
    </w:p>
  </w:endnote>
  <w:endnote w:type="continuationSeparator" w:id="0">
    <w:p w14:paraId="79728D71" w14:textId="77777777" w:rsidR="001E6E59" w:rsidRDefault="001E6E59" w:rsidP="00492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AEF6" w14:textId="77777777" w:rsidR="004922C1" w:rsidRDefault="00492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85D5" w14:textId="77777777" w:rsidR="004922C1" w:rsidRDefault="00492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CD62" w14:textId="77777777" w:rsidR="004922C1" w:rsidRDefault="00492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DEA1B" w14:textId="77777777" w:rsidR="001E6E59" w:rsidRDefault="001E6E59" w:rsidP="004922C1">
      <w:pPr>
        <w:spacing w:after="0" w:line="240" w:lineRule="auto"/>
      </w:pPr>
      <w:r>
        <w:separator/>
      </w:r>
    </w:p>
  </w:footnote>
  <w:footnote w:type="continuationSeparator" w:id="0">
    <w:p w14:paraId="51D46A0E" w14:textId="77777777" w:rsidR="001E6E59" w:rsidRDefault="001E6E59" w:rsidP="00492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3949" w14:textId="77777777" w:rsidR="004922C1" w:rsidRDefault="00000000">
    <w:pPr>
      <w:pStyle w:val="Header"/>
    </w:pPr>
    <w:r>
      <w:rPr>
        <w:noProof/>
      </w:rPr>
      <w:pict w14:anchorId="40D6CF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6" o:spid="_x0000_s1026" type="#_x0000_t136" style="position:absolute;margin-left:0;margin-top:0;width:572.15pt;height:107.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0158" w14:textId="77777777" w:rsidR="004922C1" w:rsidRDefault="00000000">
    <w:pPr>
      <w:pStyle w:val="Header"/>
    </w:pPr>
    <w:r>
      <w:rPr>
        <w:noProof/>
      </w:rPr>
      <w:pict w14:anchorId="34FAD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7" o:spid="_x0000_s1027" type="#_x0000_t136" style="position:absolute;margin-left:0;margin-top:0;width:572.15pt;height:107.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C3F1" w14:textId="77777777" w:rsidR="004922C1" w:rsidRDefault="00000000">
    <w:pPr>
      <w:pStyle w:val="Header"/>
    </w:pPr>
    <w:r>
      <w:rPr>
        <w:noProof/>
      </w:rPr>
      <w:pict w14:anchorId="7E9C82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5" o:spid="_x0000_s1025" type="#_x0000_t136" style="position:absolute;margin-left:0;margin-top:0;width:572.15pt;height:107.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F0960"/>
    <w:multiLevelType w:val="hybridMultilevel"/>
    <w:tmpl w:val="A9281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FC0A23"/>
    <w:multiLevelType w:val="multilevel"/>
    <w:tmpl w:val="2A02FAB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ED302C"/>
    <w:multiLevelType w:val="multilevel"/>
    <w:tmpl w:val="8E721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3877455">
    <w:abstractNumId w:val="2"/>
  </w:num>
  <w:num w:numId="2" w16cid:durableId="1159924215">
    <w:abstractNumId w:val="1"/>
  </w:num>
  <w:num w:numId="3" w16cid:durableId="54021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77"/>
    <w:rsid w:val="00155FAC"/>
    <w:rsid w:val="001E6E59"/>
    <w:rsid w:val="001F1415"/>
    <w:rsid w:val="001F4C77"/>
    <w:rsid w:val="00337F43"/>
    <w:rsid w:val="00350D16"/>
    <w:rsid w:val="003B1236"/>
    <w:rsid w:val="003E11A4"/>
    <w:rsid w:val="003E7A68"/>
    <w:rsid w:val="004922C1"/>
    <w:rsid w:val="00680F64"/>
    <w:rsid w:val="00820C5E"/>
    <w:rsid w:val="009D354D"/>
    <w:rsid w:val="00A14E4C"/>
    <w:rsid w:val="00A93C92"/>
    <w:rsid w:val="00C74240"/>
    <w:rsid w:val="00D856FD"/>
    <w:rsid w:val="00DB4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F3A41"/>
  <w15:chartTrackingRefBased/>
  <w15:docId w15:val="{06E7BD8F-8FFD-4F24-8AD5-31947B72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C77"/>
    <w:pPr>
      <w:spacing w:after="200" w:line="276" w:lineRule="auto"/>
    </w:pPr>
    <w:rPr>
      <w:rFonts w:eastAsiaTheme="minorEastAsia"/>
    </w:rPr>
  </w:style>
  <w:style w:type="paragraph" w:styleId="Heading1">
    <w:name w:val="heading 1"/>
    <w:basedOn w:val="Normal"/>
    <w:next w:val="Normal"/>
    <w:link w:val="Heading1Char"/>
    <w:uiPriority w:val="9"/>
    <w:qFormat/>
    <w:rsid w:val="001F4C7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F4C7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1F4C7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F4C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4C77"/>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F4C77"/>
    <w:rPr>
      <w:rFonts w:asciiTheme="majorHAnsi" w:eastAsiaTheme="majorEastAsia" w:hAnsiTheme="majorHAnsi" w:cstheme="majorBidi"/>
      <w:b/>
      <w:bCs/>
      <w:color w:val="4472C4" w:themeColor="accent1"/>
      <w:sz w:val="26"/>
      <w:szCs w:val="26"/>
    </w:rPr>
  </w:style>
  <w:style w:type="table" w:styleId="TableGrid">
    <w:name w:val="Table Grid"/>
    <w:basedOn w:val="TableNormal"/>
    <w:uiPriority w:val="59"/>
    <w:rsid w:val="001F4C7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2C1"/>
    <w:rPr>
      <w:rFonts w:eastAsiaTheme="minorEastAsia"/>
    </w:rPr>
  </w:style>
  <w:style w:type="paragraph" w:styleId="Footer">
    <w:name w:val="footer"/>
    <w:basedOn w:val="Normal"/>
    <w:link w:val="FooterChar"/>
    <w:uiPriority w:val="99"/>
    <w:unhideWhenUsed/>
    <w:rsid w:val="0049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2C1"/>
    <w:rPr>
      <w:rFonts w:eastAsiaTheme="minorEastAsia"/>
    </w:rPr>
  </w:style>
  <w:style w:type="paragraph" w:styleId="ListParagraph">
    <w:name w:val="List Paragraph"/>
    <w:basedOn w:val="Normal"/>
    <w:uiPriority w:val="34"/>
    <w:qFormat/>
    <w:rsid w:val="00820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0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648/j.ajtas.20160501.11" TargetMode="External"/><Relationship Id="rId18" Type="http://schemas.openxmlformats.org/officeDocument/2006/relationships/hyperlink" Target="https://doi.org/10.56557/ajahss/2025/v8i288" TargetMode="External"/><Relationship Id="rId26" Type="http://schemas.openxmlformats.org/officeDocument/2006/relationships/hyperlink" Target="https://doi.org/10.32674/3s3cx241" TargetMode="External"/><Relationship Id="rId21" Type="http://schemas.openxmlformats.org/officeDocument/2006/relationships/hyperlink" Target="https://doi.org/10.1111/bjet.13454"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discover.library.unt.edu/catalog/b6029070" TargetMode="External"/><Relationship Id="rId17" Type="http://schemas.openxmlformats.org/officeDocument/2006/relationships/hyperlink" Target="https://doi.org/10.3390/bs15050705" TargetMode="External"/><Relationship Id="rId25" Type="http://schemas.openxmlformats.org/officeDocument/2006/relationships/hyperlink" Target="https://doi.org/10.1016/j.ssaho.2026.102672"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gmlnet.uohyd.ac.in/chamo/lib/item?id=chamo%3A1608110" TargetMode="External"/><Relationship Id="rId20" Type="http://schemas.openxmlformats.org/officeDocument/2006/relationships/hyperlink" Target="https://doi.org/10.1007/s10758-025-09926-7" TargetMode="External"/><Relationship Id="rId29" Type="http://schemas.openxmlformats.org/officeDocument/2006/relationships/hyperlink" Target="https://doi.org/10.1111/bjet.1359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324/9780203771587" TargetMode="External"/><Relationship Id="rId24" Type="http://schemas.openxmlformats.org/officeDocument/2006/relationships/hyperlink" Target="https://doi.org/10.1186/s40561-024-00341-6"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ib.undip.ac.id/index.php?id=10436&amp;in=Fakultas+Kesehatan+Masyarakat&amp;p=show_detail" TargetMode="External"/><Relationship Id="rId23" Type="http://schemas.openxmlformats.org/officeDocument/2006/relationships/hyperlink" Target="https://doi.org/10.3389/fpsyg.2017.00422" TargetMode="External"/><Relationship Id="rId28" Type="http://schemas.openxmlformats.org/officeDocument/2006/relationships/hyperlink" Target="https://doi.org/10.54675/EWZM9535" TargetMode="External"/><Relationship Id="rId36" Type="http://schemas.openxmlformats.org/officeDocument/2006/relationships/footer" Target="footer3.xml"/><Relationship Id="rId10" Type="http://schemas.openxmlformats.org/officeDocument/2006/relationships/hyperlink" Target="https://doi.org/10.1186/s41239-023-00411-8" TargetMode="External"/><Relationship Id="rId19" Type="http://schemas.openxmlformats.org/officeDocument/2006/relationships/hyperlink" Target="https://doi.org/10.1016/j.compedu.2024.105100"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journal3.undip.ac.id/index.php/interaksi-online/article/view/58306" TargetMode="External"/><Relationship Id="rId14" Type="http://schemas.openxmlformats.org/officeDocument/2006/relationships/hyperlink" Target="https://doi.org/10.3102/00346543074001059" TargetMode="External"/><Relationship Id="rId22" Type="http://schemas.openxmlformats.org/officeDocument/2006/relationships/hyperlink" Target="https://doi.org/10.1016/j.caeai.2021.100041" TargetMode="External"/><Relationship Id="rId27" Type="http://schemas.openxmlformats.org/officeDocument/2006/relationships/hyperlink" Target="https://doi.org/10.9734/ajess/2026/v52i63137" TargetMode="External"/><Relationship Id="rId30" Type="http://schemas.openxmlformats.org/officeDocument/2006/relationships/hyperlink" Target="https://doi.org/10.1207/s15430421tip4102_2"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4984</Words>
  <Characters>28414</Characters>
  <Application>Microsoft Office Word</Application>
  <DocSecurity>0</DocSecurity>
  <Lines>236</Lines>
  <Paragraphs>66</Paragraphs>
  <ScaleCrop>false</ScaleCrop>
  <Company/>
  <LinksUpToDate>false</LinksUpToDate>
  <CharactersWithSpaces>33332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Editor-90</cp:lastModifiedBy>
  <cp:revision>7</cp:revision>
  <dcterms:created xsi:type="dcterms:W3CDTF">2026-09-09T15:15:00Z</dcterms:created>
  <dcterms:modified xsi:type="dcterms:W3CDTF">2026-09-18T11:37:00Z</dcterms:modified>
</cp:coreProperties>
</file>