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513ABF" w14:textId="77777777" w:rsidR="00754C9A" w:rsidRDefault="00754C9A" w:rsidP="00441B6F">
      <w:pPr>
        <w:pStyle w:val="Title"/>
        <w:spacing w:after="0"/>
        <w:jc w:val="both"/>
        <w:rPr>
          <w:rFonts w:ascii="Arial" w:hAnsi="Arial" w:cs="Arial"/>
        </w:rPr>
      </w:pPr>
    </w:p>
    <w:p w14:paraId="696F8088" w14:textId="77777777" w:rsidR="00A438B1" w:rsidRDefault="00A438B1" w:rsidP="00A438B1">
      <w:pPr>
        <w:pStyle w:val="Author"/>
        <w:rPr>
          <w:rFonts w:ascii="Arial" w:hAnsi="Arial" w:cs="Arial"/>
          <w:bCs/>
          <w:i/>
          <w:iCs/>
          <w:color w:val="000000"/>
          <w:sz w:val="36"/>
          <w:szCs w:val="36"/>
          <w:u w:val="single"/>
          <w:lang w:val="en-US"/>
        </w:rPr>
      </w:pPr>
      <w:r w:rsidRPr="00A438B1">
        <w:rPr>
          <w:rFonts w:ascii="Arial" w:hAnsi="Arial" w:cs="Arial"/>
          <w:bCs/>
          <w:i/>
          <w:iCs/>
          <w:color w:val="000000"/>
          <w:sz w:val="36"/>
          <w:szCs w:val="36"/>
          <w:u w:val="single"/>
          <w:lang w:val="en-US"/>
        </w:rPr>
        <w:t>Original Research Article</w:t>
      </w:r>
    </w:p>
    <w:p w14:paraId="03641E9C" w14:textId="77777777" w:rsidR="00A438B1" w:rsidRPr="004A7DDE" w:rsidRDefault="00A438B1" w:rsidP="00A438B1">
      <w:pPr>
        <w:pStyle w:val="Author"/>
        <w:rPr>
          <w:rFonts w:ascii="Arial" w:hAnsi="Arial" w:cs="Arial"/>
          <w:bCs/>
          <w:i/>
          <w:iCs/>
          <w:color w:val="000000"/>
          <w:sz w:val="36"/>
          <w:szCs w:val="36"/>
          <w:u w:val="single"/>
          <w:lang w:val="en-US"/>
        </w:rPr>
      </w:pPr>
    </w:p>
    <w:p w14:paraId="3A475D25" w14:textId="43A8CE59" w:rsidR="00163BC4" w:rsidRPr="004A7DDE" w:rsidRDefault="004A7DDE" w:rsidP="00441B6F">
      <w:pPr>
        <w:pStyle w:val="Author"/>
        <w:spacing w:line="240" w:lineRule="auto"/>
        <w:rPr>
          <w:rFonts w:ascii="Arial" w:hAnsi="Arial" w:cs="Arial"/>
          <w:bCs/>
          <w:iCs/>
          <w:kern w:val="28"/>
          <w:sz w:val="36"/>
          <w:szCs w:val="36"/>
        </w:rPr>
      </w:pPr>
      <w:r w:rsidRPr="004A7DDE">
        <w:rPr>
          <w:rFonts w:ascii="Arial" w:hAnsi="Arial" w:cs="Arial"/>
          <w:bCs/>
          <w:sz w:val="36"/>
          <w:szCs w:val="36"/>
          <w:lang w:val="en-GB"/>
        </w:rPr>
        <w:t>Benchmarking Documented Student Entrepreneurship Support: A Comparative Study of Highly Ranked Universities Using Clark’s Entrepreneurial University Model</w:t>
      </w:r>
      <w:r w:rsidR="00231920" w:rsidRPr="004A7DDE">
        <w:rPr>
          <w:rFonts w:ascii="Arial" w:hAnsi="Arial" w:cs="Arial"/>
          <w:bCs/>
          <w:iCs/>
          <w:kern w:val="28"/>
          <w:sz w:val="36"/>
          <w:szCs w:val="36"/>
        </w:rPr>
        <w:t xml:space="preserve"> </w:t>
      </w:r>
    </w:p>
    <w:p w14:paraId="5ECD3147" w14:textId="77777777" w:rsidR="00A258C3" w:rsidRPr="00790ADA" w:rsidRDefault="00A258C3" w:rsidP="00441B6F">
      <w:pPr>
        <w:pStyle w:val="Author"/>
        <w:spacing w:line="240" w:lineRule="auto"/>
        <w:jc w:val="both"/>
        <w:rPr>
          <w:rFonts w:ascii="Arial" w:hAnsi="Arial" w:cs="Arial"/>
          <w:sz w:val="36"/>
        </w:rPr>
      </w:pPr>
    </w:p>
    <w:p w14:paraId="466F1672" w14:textId="77777777" w:rsidR="00B01FCD" w:rsidRPr="00FB3A86" w:rsidRDefault="00FC4AE7" w:rsidP="00441B6F">
      <w:pPr>
        <w:pStyle w:val="Copyright"/>
        <w:spacing w:after="0" w:line="240" w:lineRule="auto"/>
        <w:jc w:val="both"/>
        <w:rPr>
          <w:rFonts w:ascii="Arial" w:hAnsi="Arial" w:cs="Arial"/>
        </w:rPr>
        <w:sectPr w:rsidR="00B01FCD" w:rsidRPr="00FB3A86" w:rsidSect="00747130">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08EFAC1B" wp14:editId="6DAA30CB">
                <wp:extent cx="5303520" cy="635"/>
                <wp:effectExtent l="0" t="12700" r="5080" b="12065"/>
                <wp:docPr id="64625511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6C6F3400"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" strokeweight="1.5pt">
                <o:lock v:ext="edit" shapetype="f"/>
                <w10:anchorlock/>
              </v:shape>
            </w:pict>
          </mc:Fallback>
        </mc:AlternateContent>
      </w:r>
      <w:r w:rsidR="00FB3A86">
        <w:rPr>
          <w:rFonts w:ascii="Arial" w:hAnsi="Arial" w:cs="Arial"/>
        </w:rPr>
        <w:t>.</w:t>
      </w:r>
    </w:p>
    <w:p w14:paraId="2EBCE071" w14:textId="3BEEC279" w:rsidR="00B01FCD" w:rsidRDefault="00B01FCD" w:rsidP="00441B6F">
      <w:pPr>
        <w:pStyle w:val="AbstHead"/>
        <w:spacing w:after="0"/>
        <w:jc w:val="both"/>
        <w:rPr>
          <w:rFonts w:ascii="Arial" w:hAnsi="Arial" w:cs="Arial"/>
        </w:rPr>
      </w:pPr>
      <w:r w:rsidRPr="00FB3A86">
        <w:rPr>
          <w:rFonts w:ascii="Arial" w:hAnsi="Arial" w:cs="Arial"/>
        </w:rPr>
        <w:t>ABSTRACT</w:t>
      </w:r>
    </w:p>
    <w:p w14:paraId="1EFB1E67"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3B97D749" w14:textId="77777777" w:rsidTr="001E44FE">
        <w:tc>
          <w:tcPr>
            <w:tcW w:w="9576" w:type="dxa"/>
            <w:shd w:val="clear" w:color="auto" w:fill="F2F2F2"/>
          </w:tcPr>
          <w:p w14:paraId="3465AC82" w14:textId="48DDE5BE" w:rsidR="00505F06" w:rsidRPr="00EC40A6" w:rsidRDefault="00EC40A6" w:rsidP="00EC40A6">
            <w:pPr>
              <w:rPr>
                <w:rFonts w:ascii="Arial" w:hAnsi="Arial" w:cs="Arial"/>
                <w:sz w:val="20"/>
                <w:szCs w:val="20"/>
              </w:rPr>
            </w:pPr>
            <w:r w:rsidRPr="00EC40A6">
              <w:rPr>
                <w:rFonts w:ascii="Arial" w:hAnsi="Arial" w:cs="Arial"/>
                <w:sz w:val="20"/>
                <w:szCs w:val="20"/>
              </w:rPr>
              <w:t>Student entrepreneurship has become an increasingly significant function within universities, encompassing entrepreneurship education, mentoring, venture development, funding, incubation, networking, and additional institutional support mechanisms. However, universities differ substantially in the organization and integration of these support forms. This study addresses this gap by employing a qualitative comparative documentary research design to examine student entrepreneurship support across ten highly ranked universities and to benchmark documented practices against a focal university. Drawing on Clark's Entrepreneurial University model, the analysis applies five pathways: strengthened steering core, expanded developmental periphery, diversified funding base, stimulated academic heartland, and integrated entrepreneurial culture. The study examines publicly accessible institutional documents, including entrepreneurship center webpages, program descriptions, institutional reports, official news releases, and related materials. The findings indicate that leading universities do not adhere to a single model of student entrepreneurship support. Instead, they combine entrepreneurship education, experiential learning, mentoring, venture development, funding, infrastructure, networking, and external engagement in varied institutional configurations. The comparison further reveals that the focal university has documented elements corresponding to all five Clark pathways, although the breadth and consistency of publicly available evidence differ across pathways. These findings suggest that benchmarking should prioritize transferable institutional functions rather than direct replication of specific university structures. As the analysis relies exclusively on publicly accessible institutional documentation, the findings reflect the breadth and visibility of documented support and may not capture practices that are implemented but not publicly reported. This study contributes to research on entrepreneurial universities and student entrepreneurship by demonstrating how comparative documentary analysis can identify institutional patterns and provide a context-sensitive foundation for strengthening university entrepreneurship ecosystems.</w:t>
            </w:r>
          </w:p>
        </w:tc>
      </w:tr>
    </w:tbl>
    <w:p w14:paraId="4B2AE01D" w14:textId="77777777" w:rsidR="00636EB2" w:rsidRDefault="00636EB2" w:rsidP="00441B6F">
      <w:pPr>
        <w:pStyle w:val="Body"/>
        <w:spacing w:after="0"/>
        <w:rPr>
          <w:rFonts w:ascii="Arial" w:hAnsi="Arial" w:cs="Arial"/>
          <w:i/>
        </w:rPr>
      </w:pPr>
    </w:p>
    <w:p w14:paraId="2E7DA36B" w14:textId="7185D4AF" w:rsidR="0024282C" w:rsidRPr="00F22897" w:rsidRDefault="00A24E7E" w:rsidP="00D04E74">
      <w:pPr>
        <w:pStyle w:val="Body"/>
        <w:spacing w:after="0"/>
        <w:jc w:val="left"/>
        <w:rPr>
          <w:rFonts w:ascii="Arial" w:hAnsi="Arial" w:cs="Arial"/>
          <w:i/>
          <w:sz w:val="20"/>
          <w:szCs w:val="20"/>
        </w:rPr>
      </w:pPr>
      <w:r w:rsidRPr="00F22897">
        <w:rPr>
          <w:rFonts w:ascii="Arial" w:hAnsi="Arial" w:cs="Arial"/>
          <w:i/>
          <w:sz w:val="20"/>
          <w:szCs w:val="20"/>
        </w:rPr>
        <w:t xml:space="preserve">Keywords: </w:t>
      </w:r>
      <w:r w:rsidR="00F22897" w:rsidRPr="00F22897">
        <w:rPr>
          <w:rFonts w:ascii="Arial" w:hAnsi="Arial" w:cs="Arial"/>
          <w:i/>
          <w:iCs/>
          <w:sz w:val="20"/>
          <w:szCs w:val="20"/>
        </w:rPr>
        <w:t>Student entrepreneurship; Entrepreneurial university; Entrepreneurship support; Documentary analysis; Institutional benchmarking; Higher education</w:t>
      </w:r>
    </w:p>
    <w:p w14:paraId="24F31956" w14:textId="77777777" w:rsidR="00505F06" w:rsidRPr="00A24E7E" w:rsidRDefault="00505F06" w:rsidP="00441B6F">
      <w:pPr>
        <w:pStyle w:val="Body"/>
        <w:spacing w:after="0"/>
        <w:rPr>
          <w:rFonts w:ascii="Arial" w:hAnsi="Arial" w:cs="Arial"/>
          <w:i/>
        </w:rPr>
      </w:pPr>
    </w:p>
    <w:p w14:paraId="1D1FCD70" w14:textId="073029D2" w:rsidR="007F7B32" w:rsidRPr="00D04E74" w:rsidRDefault="00902823" w:rsidP="00D04E74">
      <w:pPr>
        <w:pStyle w:val="AbstHead"/>
        <w:spacing w:after="0"/>
        <w:jc w:val="both"/>
        <w:rPr>
          <w:rFonts w:ascii="Arial" w:hAnsi="Arial" w:cs="Arial"/>
        </w:rPr>
      </w:pPr>
      <w:r w:rsidRPr="00D04E74">
        <w:rPr>
          <w:rFonts w:ascii="Arial" w:hAnsi="Arial" w:cs="Arial"/>
        </w:rPr>
        <w:t xml:space="preserve">1. </w:t>
      </w:r>
      <w:r w:rsidR="00B01FCD" w:rsidRPr="00D04E74">
        <w:rPr>
          <w:rFonts w:ascii="Arial" w:hAnsi="Arial" w:cs="Arial"/>
        </w:rPr>
        <w:t>INTRODUCTION</w:t>
      </w:r>
    </w:p>
    <w:p w14:paraId="68190951" w14:textId="77777777" w:rsidR="00790ADA" w:rsidRPr="00D04E74" w:rsidRDefault="00790ADA" w:rsidP="00D04E74">
      <w:pPr>
        <w:pStyle w:val="AbstHead"/>
        <w:spacing w:after="0"/>
        <w:jc w:val="both"/>
        <w:rPr>
          <w:rFonts w:ascii="Arial" w:hAnsi="Arial" w:cs="Arial"/>
          <w:sz w:val="20"/>
          <w:szCs w:val="20"/>
        </w:rPr>
      </w:pPr>
    </w:p>
    <w:p w14:paraId="3E81077D" w14:textId="77777777" w:rsidR="00D04E74" w:rsidRPr="00D04E74" w:rsidRDefault="00D04E74" w:rsidP="00D04E74">
      <w:pPr>
        <w:rPr>
          <w:rFonts w:ascii="Arial" w:hAnsi="Arial" w:cs="Arial"/>
          <w:sz w:val="20"/>
          <w:szCs w:val="20"/>
        </w:rPr>
      </w:pPr>
      <w:r w:rsidRPr="00D04E74">
        <w:rPr>
          <w:rFonts w:ascii="Arial" w:hAnsi="Arial" w:cs="Arial"/>
          <w:sz w:val="20"/>
          <w:szCs w:val="20"/>
        </w:rPr>
        <w:t xml:space="preserve">Universities are increasingly expected to contribute not only to knowledge creation and dissemination but also to the development of entrepreneurial capabilities among students. Entrepreneurship education provides students with the knowledge and skills required to </w:t>
      </w:r>
      <w:r w:rsidRPr="00D04E74">
        <w:rPr>
          <w:rFonts w:ascii="Arial" w:hAnsi="Arial" w:cs="Arial"/>
          <w:sz w:val="20"/>
          <w:szCs w:val="20"/>
        </w:rPr>
        <w:lastRenderedPageBreak/>
        <w:t>identify opportunities, develop business ideas, and pursue entrepreneurship as a viable career path. Recent empirical evidence demonstrates a positive relationship between entrepreneurship education and students' entrepreneurial intentions (Al-Omar et al., 2024). Nevertheless, entrepreneurship development within universities extends beyond classroom instruction. Educators facilitate this process through teaching, mentoring, experiential learning, and fostering entrepreneurial mindsets, while institutional support creates the environment necessary for these activities (Syed et al., 2024).</w:t>
      </w:r>
    </w:p>
    <w:p w14:paraId="77092424" w14:textId="77777777" w:rsidR="00D04E74" w:rsidRPr="00D04E74" w:rsidRDefault="00D04E74" w:rsidP="00D04E74">
      <w:pPr>
        <w:rPr>
          <w:rFonts w:ascii="Arial" w:hAnsi="Arial" w:cs="Arial"/>
          <w:sz w:val="20"/>
          <w:szCs w:val="20"/>
        </w:rPr>
      </w:pPr>
      <w:r w:rsidRPr="00D04E74">
        <w:rPr>
          <w:rFonts w:ascii="Arial" w:hAnsi="Arial" w:cs="Arial"/>
          <w:sz w:val="20"/>
          <w:szCs w:val="20"/>
        </w:rPr>
        <w:t>As students advance from entrepreneurial awareness and idea generation to venture development, they require mentoring, concept development, business development, competitions, internships, seed funding, incubation, and access to entrepreneurial networks. Amao-Taiwo et al. (2023), in their study of student entrepreneurship support services across Nigerian universities, identified a positive relationship between student support and entrepreneurship skills development, highlighting the necessity for support that addresses the diverse needs of student entrepreneurs. Similarly, Song and Lu (2024), analyzing data from 5,468 college graduates in China, found that university entrepreneurship support was significantly associated with entrepreneurial intention through mechanisms such as entrepreneurial attitude, self-efficacy, and fear of entrepreneurial failure. These findings suggest that entrepreneurship support encompasses multiple institutional mechanisms that extend beyond formal entrepreneurship education.</w:t>
      </w:r>
    </w:p>
    <w:p w14:paraId="34BC8233" w14:textId="77777777" w:rsidR="00D04E74" w:rsidRPr="00D04E74" w:rsidRDefault="00D04E74" w:rsidP="00D04E74">
      <w:pPr>
        <w:rPr>
          <w:rFonts w:ascii="Arial" w:hAnsi="Arial" w:cs="Arial"/>
          <w:sz w:val="20"/>
          <w:szCs w:val="20"/>
        </w:rPr>
      </w:pPr>
      <w:r w:rsidRPr="00D04E74">
        <w:rPr>
          <w:rFonts w:ascii="Arial" w:hAnsi="Arial" w:cs="Arial"/>
          <w:sz w:val="20"/>
          <w:szCs w:val="20"/>
        </w:rPr>
        <w:t>The effects of university support vary depending on the type of support provided and students' characteristics. Anjum et al. (2023) found that perceived university support moderated the relationship between students' attitudes toward entrepreneurship and their entrepreneurial intentions, while Gonzalez-Tamayo et al. (2024) examined perceived institutional support alongside entrepreneurial self-efficacy and parental role models in explaining university students' entrepreneurial intentions. The institutional environment also influences entrepreneurship directed toward emerging and societal challenges. Bharti et al. (2024) examined university support and entrepreneurial culture in relation to solar entrepreneurial intentions among Indian students, while Srivastava et al. (2024) investigated sustainability-oriented entrepreneurial intentions among Indian youth and developed a multidimensional measure based on identified antecedents. Collectively, these studies reinforce the perspective that student entrepreneurship is shaped not only by individual characteristics or entrepreneurship courses but also by the broader institutional environment.</w:t>
      </w:r>
    </w:p>
    <w:p w14:paraId="3EDBA170" w14:textId="77777777" w:rsidR="00D04E74" w:rsidRPr="00D04E74" w:rsidRDefault="00D04E74" w:rsidP="00D04E74">
      <w:pPr>
        <w:rPr>
          <w:rFonts w:ascii="Arial" w:hAnsi="Arial" w:cs="Arial"/>
          <w:sz w:val="20"/>
          <w:szCs w:val="20"/>
        </w:rPr>
      </w:pPr>
      <w:r w:rsidRPr="00D04E74">
        <w:rPr>
          <w:rFonts w:ascii="Arial" w:hAnsi="Arial" w:cs="Arial"/>
          <w:sz w:val="20"/>
          <w:szCs w:val="20"/>
        </w:rPr>
        <w:t>This broader institutional perspective prompts a critical question: how should universities organize student entrepreneurship support to ensure that different forms of assistance function as a coherent system? Universities utilize varied organizational arrangements. Some centralize activities within dedicated entrepreneurship centers, while others distribute support across academic programs, incubators, innovation units, enterprise offices, and external partnerships. Therefore, the existence of an entrepreneurship center alone is insufficient for institutional comparison. Relevant considerations include the breadth, configuration, and integration of support across institutional functions.</w:t>
      </w:r>
    </w:p>
    <w:p w14:paraId="0ACD2766" w14:textId="77777777" w:rsidR="00D04E74" w:rsidRPr="00D04E74" w:rsidRDefault="00D04E74" w:rsidP="00D04E74">
      <w:pPr>
        <w:rPr>
          <w:rFonts w:ascii="Arial" w:hAnsi="Arial" w:cs="Arial"/>
          <w:sz w:val="20"/>
          <w:szCs w:val="20"/>
        </w:rPr>
      </w:pPr>
      <w:r w:rsidRPr="00D04E74">
        <w:rPr>
          <w:rFonts w:ascii="Arial" w:hAnsi="Arial" w:cs="Arial"/>
          <w:sz w:val="20"/>
          <w:szCs w:val="20"/>
        </w:rPr>
        <w:t>Clark's (1998) concept of the entrepreneurial university provides a valuable analytical framework for examining this institutional dimension. Clark identified five organizational pathways associated with entrepreneurial transformation: a strengthened steering core, expanded developmental periphery, diversified funding base, stimulated academic heartland, and integrated entrepreneurial culture. Although originally developed to explain broader organizational transformation in universities, these pathways offer a framework for assessing whether student entrepreneurship is supported through institutional leadership, developmental structures, resources, academic activity, and entrepreneurial culture. This framework also enables comparison without assuming that universities must adopt identical organizational structures.</w:t>
      </w:r>
    </w:p>
    <w:p w14:paraId="7B6D2222" w14:textId="77777777" w:rsidR="00D04E74" w:rsidRPr="00D04E74" w:rsidRDefault="00D04E74" w:rsidP="00D04E74">
      <w:pPr>
        <w:rPr>
          <w:rFonts w:ascii="Arial" w:hAnsi="Arial" w:cs="Arial"/>
          <w:sz w:val="20"/>
          <w:szCs w:val="20"/>
        </w:rPr>
      </w:pPr>
      <w:r w:rsidRPr="00D04E74">
        <w:rPr>
          <w:rFonts w:ascii="Arial" w:hAnsi="Arial" w:cs="Arial"/>
          <w:sz w:val="20"/>
          <w:szCs w:val="20"/>
        </w:rPr>
        <w:t xml:space="preserve">Recent research highlights the importance of examining university entrepreneurship through multiple dimensions. Galvão et al. (2025) found that perceived educational support and entrepreneurial education positively influenced students' entrepreneurial self-efficacy, </w:t>
      </w:r>
      <w:r w:rsidRPr="00D04E74">
        <w:rPr>
          <w:rFonts w:ascii="Arial" w:hAnsi="Arial" w:cs="Arial"/>
          <w:sz w:val="20"/>
          <w:szCs w:val="20"/>
        </w:rPr>
        <w:lastRenderedPageBreak/>
        <w:t>emphasizing the significance of the educational environment in shaping entrepreneurial development. Alongside the findings of Song and Lu (2024), this research suggests that university entrepreneurship should be conceptualized as a broader institutional phenomenon rather than as a single educational intervention.</w:t>
      </w:r>
    </w:p>
    <w:p w14:paraId="24C36764" w14:textId="77777777" w:rsidR="00D04E74" w:rsidRPr="00D04E74" w:rsidRDefault="00D04E74" w:rsidP="00D04E74">
      <w:pPr>
        <w:rPr>
          <w:rFonts w:ascii="Arial" w:hAnsi="Arial" w:cs="Arial"/>
          <w:sz w:val="20"/>
          <w:szCs w:val="20"/>
        </w:rPr>
      </w:pPr>
      <w:r w:rsidRPr="00D04E74">
        <w:rPr>
          <w:rFonts w:ascii="Arial" w:hAnsi="Arial" w:cs="Arial"/>
          <w:sz w:val="20"/>
          <w:szCs w:val="20"/>
        </w:rPr>
        <w:t>Despite the expanding empirical literature on entrepreneurship education, entrepreneurial intention, and university support, a comparative institutional perspective on student entrepreneurship support remains underdeveloped. Much of the recent research examines relationships between specific forms of support and student-level outcomes, such as entrepreneurial intention, attitude, or self-efficacy (Al-Omar et al., 2024; Anjum et al., 2023; Galvão et al., 2025), while other studies focus on particular university support services or institutional contexts (Amao-Taiwo et al., 2023; Song &amp; Lu, 2024). Although these studies establish the importance of university support, they offer limited comparative insight into how leading universities configure multiple forms of student entrepreneurship support within their institutional structures. A documentary benchmarking approach can address this gap by analyzing publicly documented structures and practices across universities using common analytical categories.</w:t>
      </w:r>
    </w:p>
    <w:p w14:paraId="77623686" w14:textId="77777777" w:rsidR="00D04E74" w:rsidRPr="00D04E74" w:rsidRDefault="00D04E74" w:rsidP="00D04E74">
      <w:pPr>
        <w:rPr>
          <w:rFonts w:ascii="Arial" w:hAnsi="Arial" w:cs="Arial"/>
          <w:sz w:val="20"/>
          <w:szCs w:val="20"/>
        </w:rPr>
      </w:pPr>
      <w:r w:rsidRPr="00D04E74">
        <w:rPr>
          <w:rFonts w:ascii="Arial" w:hAnsi="Arial" w:cs="Arial"/>
          <w:sz w:val="20"/>
          <w:szCs w:val="20"/>
        </w:rPr>
        <w:t>Accordingly, this study aims to comparatively examine student entrepreneurship support across ten highly ranked universities and benchmark the documented practices against those of a focal university, utilizing Clark's (1998) Entrepreneurial University model as the analytical framework. Specifically, the study seeks to:</w:t>
      </w:r>
    </w:p>
    <w:p w14:paraId="0DD2B2A9" w14:textId="77777777" w:rsidR="00D04E74" w:rsidRPr="00D04E74" w:rsidRDefault="00D04E74" w:rsidP="00D04E74">
      <w:pPr>
        <w:numPr>
          <w:ilvl w:val="0"/>
          <w:numId w:val="34"/>
        </w:numPr>
        <w:rPr>
          <w:rFonts w:ascii="Arial" w:hAnsi="Arial" w:cs="Arial"/>
          <w:sz w:val="20"/>
          <w:szCs w:val="20"/>
        </w:rPr>
      </w:pPr>
      <w:r w:rsidRPr="00D04E74">
        <w:rPr>
          <w:rFonts w:ascii="Arial" w:hAnsi="Arial" w:cs="Arial"/>
          <w:sz w:val="20"/>
          <w:szCs w:val="20"/>
        </w:rPr>
        <w:t>Identify and examine the student entrepreneurship support practices documented across the ten benchmark universities;</w:t>
      </w:r>
    </w:p>
    <w:p w14:paraId="671CBA29" w14:textId="77777777" w:rsidR="00D04E74" w:rsidRPr="00D04E74" w:rsidRDefault="00D04E74" w:rsidP="00D04E74">
      <w:pPr>
        <w:numPr>
          <w:ilvl w:val="0"/>
          <w:numId w:val="34"/>
        </w:numPr>
        <w:rPr>
          <w:rFonts w:ascii="Arial" w:hAnsi="Arial" w:cs="Arial"/>
          <w:sz w:val="20"/>
          <w:szCs w:val="20"/>
        </w:rPr>
      </w:pPr>
      <w:r w:rsidRPr="00D04E74">
        <w:rPr>
          <w:rFonts w:ascii="Arial" w:hAnsi="Arial" w:cs="Arial"/>
          <w:sz w:val="20"/>
          <w:szCs w:val="20"/>
        </w:rPr>
        <w:t>Determine the common and distinctive patterns characterizing student entrepreneurship support across the benchmark universities; and</w:t>
      </w:r>
    </w:p>
    <w:p w14:paraId="541E9CA5" w14:textId="77777777" w:rsidR="00D04E74" w:rsidRPr="00D04E74" w:rsidRDefault="00D04E74" w:rsidP="00D04E74">
      <w:pPr>
        <w:numPr>
          <w:ilvl w:val="0"/>
          <w:numId w:val="34"/>
        </w:numPr>
        <w:rPr>
          <w:rFonts w:ascii="Arial" w:hAnsi="Arial" w:cs="Arial"/>
          <w:sz w:val="20"/>
          <w:szCs w:val="20"/>
        </w:rPr>
      </w:pPr>
      <w:r w:rsidRPr="00D04E74">
        <w:rPr>
          <w:rFonts w:ascii="Arial" w:hAnsi="Arial" w:cs="Arial"/>
          <w:sz w:val="20"/>
          <w:szCs w:val="20"/>
        </w:rPr>
        <w:t>Benchmark the focal university's documented student entrepreneurship support against the practices identified across the benchmark universities.</w:t>
      </w:r>
    </w:p>
    <w:p w14:paraId="356C5968" w14:textId="77777777" w:rsidR="00D04E74" w:rsidRPr="00D04E74" w:rsidRDefault="00D04E74" w:rsidP="00D04E74">
      <w:pPr>
        <w:rPr>
          <w:rFonts w:ascii="Arial" w:hAnsi="Arial" w:cs="Arial"/>
          <w:sz w:val="20"/>
          <w:szCs w:val="20"/>
        </w:rPr>
      </w:pPr>
      <w:r w:rsidRPr="00D04E74">
        <w:rPr>
          <w:rFonts w:ascii="Arial" w:hAnsi="Arial" w:cs="Arial"/>
          <w:sz w:val="20"/>
          <w:szCs w:val="20"/>
        </w:rPr>
        <w:t>The study addresses three research questions:</w:t>
      </w:r>
    </w:p>
    <w:p w14:paraId="18AEC11A" w14:textId="77777777" w:rsidR="00D04E74" w:rsidRPr="00D04E74" w:rsidRDefault="00D04E74" w:rsidP="00D04E74">
      <w:pPr>
        <w:rPr>
          <w:rFonts w:ascii="Arial" w:hAnsi="Arial" w:cs="Arial"/>
          <w:sz w:val="20"/>
          <w:szCs w:val="20"/>
        </w:rPr>
      </w:pPr>
      <w:r w:rsidRPr="00D04E74">
        <w:rPr>
          <w:rFonts w:ascii="Arial" w:hAnsi="Arial" w:cs="Arial"/>
          <w:b/>
          <w:bCs/>
          <w:sz w:val="20"/>
          <w:szCs w:val="20"/>
        </w:rPr>
        <w:t>RQ1.</w:t>
      </w:r>
      <w:r w:rsidRPr="00D04E74">
        <w:rPr>
          <w:rFonts w:ascii="Arial" w:hAnsi="Arial" w:cs="Arial"/>
          <w:sz w:val="20"/>
          <w:szCs w:val="20"/>
        </w:rPr>
        <w:t xml:space="preserve"> What student entrepreneurship support practices are documented across the ten benchmark universities?</w:t>
      </w:r>
    </w:p>
    <w:p w14:paraId="0332BF84" w14:textId="77777777" w:rsidR="00D04E74" w:rsidRPr="00D04E74" w:rsidRDefault="00D04E74" w:rsidP="00D04E74">
      <w:pPr>
        <w:rPr>
          <w:rFonts w:ascii="Arial" w:hAnsi="Arial" w:cs="Arial"/>
          <w:sz w:val="20"/>
          <w:szCs w:val="20"/>
        </w:rPr>
      </w:pPr>
      <w:r w:rsidRPr="00D04E74">
        <w:rPr>
          <w:rFonts w:ascii="Arial" w:hAnsi="Arial" w:cs="Arial"/>
          <w:b/>
          <w:bCs/>
          <w:sz w:val="20"/>
          <w:szCs w:val="20"/>
        </w:rPr>
        <w:t>RQ2.</w:t>
      </w:r>
      <w:r w:rsidRPr="00D04E74">
        <w:rPr>
          <w:rFonts w:ascii="Arial" w:hAnsi="Arial" w:cs="Arial"/>
          <w:sz w:val="20"/>
          <w:szCs w:val="20"/>
        </w:rPr>
        <w:t xml:space="preserve"> What common and distinctive patterns characterize student entrepreneurship support across the benchmark universities?</w:t>
      </w:r>
    </w:p>
    <w:p w14:paraId="4CE9DFDA" w14:textId="77777777" w:rsidR="00D04E74" w:rsidRPr="00D04E74" w:rsidRDefault="00D04E74" w:rsidP="00D04E74">
      <w:pPr>
        <w:rPr>
          <w:rFonts w:ascii="Arial" w:hAnsi="Arial" w:cs="Arial"/>
          <w:sz w:val="20"/>
          <w:szCs w:val="20"/>
        </w:rPr>
      </w:pPr>
      <w:r w:rsidRPr="00D04E74">
        <w:rPr>
          <w:rFonts w:ascii="Arial" w:hAnsi="Arial" w:cs="Arial"/>
          <w:b/>
          <w:bCs/>
          <w:sz w:val="20"/>
          <w:szCs w:val="20"/>
        </w:rPr>
        <w:t>RQ3.</w:t>
      </w:r>
      <w:r w:rsidRPr="00D04E74">
        <w:rPr>
          <w:rFonts w:ascii="Arial" w:hAnsi="Arial" w:cs="Arial"/>
          <w:sz w:val="20"/>
          <w:szCs w:val="20"/>
        </w:rPr>
        <w:t xml:space="preserve"> How does the focal university's documented student entrepreneurship support compare with the practices identified across the benchmark universities?</w:t>
      </w:r>
    </w:p>
    <w:p w14:paraId="433D912E" w14:textId="77777777" w:rsidR="00D04E74" w:rsidRPr="00D04E74" w:rsidRDefault="00D04E74" w:rsidP="00D04E74">
      <w:pPr>
        <w:rPr>
          <w:rFonts w:ascii="Arial" w:hAnsi="Arial" w:cs="Arial"/>
          <w:sz w:val="20"/>
          <w:szCs w:val="20"/>
        </w:rPr>
      </w:pPr>
      <w:r w:rsidRPr="00D04E74">
        <w:rPr>
          <w:rFonts w:ascii="Arial" w:hAnsi="Arial" w:cs="Arial"/>
          <w:sz w:val="20"/>
          <w:szCs w:val="20"/>
        </w:rPr>
        <w:t>The study focuses specifically on student-facing entrepreneurship support and examines publicly accessible institutional documentation. It does not evaluate entrepreneurial performance, student entrepreneurial intentions, or the effectiveness of individual programs. Instead, it analyzes how student entrepreneurship support is institutionally configured and employs international benchmarking to identify practices that may inform the ongoing development of the focal university's student entrepreneurship ecosystem.</w:t>
      </w:r>
    </w:p>
    <w:p w14:paraId="489AAA3F" w14:textId="77777777" w:rsidR="00790ADA" w:rsidRPr="00244F25" w:rsidRDefault="00790ADA" w:rsidP="00441B6F">
      <w:pPr>
        <w:pStyle w:val="Body"/>
        <w:spacing w:after="0"/>
        <w:rPr>
          <w:rFonts w:ascii="Arial" w:hAnsi="Arial" w:cs="Arial"/>
          <w:sz w:val="20"/>
          <w:szCs w:val="20"/>
        </w:rPr>
      </w:pPr>
    </w:p>
    <w:p w14:paraId="708212B8" w14:textId="643D93AC" w:rsidR="007F7B32" w:rsidRDefault="00902823" w:rsidP="00441B6F">
      <w:pPr>
        <w:pStyle w:val="AbstHead"/>
        <w:spacing w:after="0"/>
        <w:jc w:val="both"/>
        <w:rPr>
          <w:rFonts w:ascii="Arial" w:hAnsi="Arial" w:cs="Arial"/>
        </w:rPr>
      </w:pPr>
      <w:r>
        <w:rPr>
          <w:rFonts w:ascii="Arial" w:hAnsi="Arial" w:cs="Arial"/>
        </w:rPr>
        <w:t xml:space="preserve">2. </w:t>
      </w:r>
      <w:r w:rsidR="00360E33">
        <w:rPr>
          <w:rFonts w:ascii="Arial" w:hAnsi="Arial" w:cs="Arial"/>
        </w:rPr>
        <w:t>METHODOLOGY</w:t>
      </w:r>
    </w:p>
    <w:p w14:paraId="491502E5" w14:textId="77777777" w:rsidR="00790ADA" w:rsidRPr="00FB3A86" w:rsidRDefault="00790ADA" w:rsidP="00441B6F">
      <w:pPr>
        <w:pStyle w:val="AbstHead"/>
        <w:spacing w:after="0"/>
        <w:jc w:val="both"/>
        <w:rPr>
          <w:rFonts w:ascii="Arial" w:hAnsi="Arial" w:cs="Arial"/>
        </w:rPr>
      </w:pPr>
    </w:p>
    <w:p w14:paraId="2C54C94A" w14:textId="77777777" w:rsidR="00B57BC1" w:rsidRPr="00B57BC1" w:rsidRDefault="00B57BC1" w:rsidP="00B57BC1">
      <w:pPr>
        <w:pStyle w:val="Heading3"/>
        <w:spacing w:before="0"/>
        <w:rPr>
          <w:rFonts w:ascii="Times New Roman" w:hAnsi="Times New Roman"/>
          <w:b/>
          <w:bCs/>
          <w:sz w:val="22"/>
          <w:szCs w:val="22"/>
        </w:rPr>
      </w:pPr>
      <w:r w:rsidRPr="00B57BC1">
        <w:rPr>
          <w:rFonts w:ascii="Arial" w:hAnsi="Arial" w:cs="Arial"/>
          <w:b/>
          <w:bCs/>
          <w:color w:val="000000"/>
          <w:sz w:val="22"/>
          <w:szCs w:val="22"/>
        </w:rPr>
        <w:t>2.1 Research Design</w:t>
      </w:r>
    </w:p>
    <w:p w14:paraId="4BBAF25A" w14:textId="77777777" w:rsidR="00B57BC1" w:rsidRPr="00225EFB" w:rsidRDefault="00B57BC1" w:rsidP="00B57BC1">
      <w:pPr>
        <w:rPr>
          <w:rFonts w:ascii="Arial" w:hAnsi="Arial" w:cs="Arial"/>
          <w:sz w:val="20"/>
          <w:szCs w:val="20"/>
        </w:rPr>
      </w:pPr>
    </w:p>
    <w:p w14:paraId="1776847B" w14:textId="77777777" w:rsidR="00225EFB" w:rsidRPr="00225EFB" w:rsidRDefault="00225EFB" w:rsidP="00225EFB">
      <w:pPr>
        <w:rPr>
          <w:rFonts w:ascii="Arial" w:hAnsi="Arial" w:cs="Arial"/>
          <w:sz w:val="20"/>
          <w:szCs w:val="20"/>
        </w:rPr>
      </w:pPr>
      <w:r w:rsidRPr="00225EFB">
        <w:rPr>
          <w:rFonts w:ascii="Arial" w:hAnsi="Arial" w:cs="Arial"/>
          <w:sz w:val="20"/>
          <w:szCs w:val="20"/>
        </w:rPr>
        <w:t xml:space="preserve">A qualitative comparative documentary research design was utilized to examine university organization and support for student entrepreneurship. Documentary analysis was chosen because the study investigates publicly available institutional structures, programs, services, facilities, and support mechanisms, rather than participant perceptions. This method enables systematic examination of pre-existing institutional texts and records as qualitative evidence (Sheard, 2022). Comparative documentary analysis facilitates the identification of similarities and differences across cases using common analytical criteria (Santos et al., 2024). Institutional benchmarking further enables structured comparison among higher education institutions and assists in identifying differences in organizational practices and areas for </w:t>
      </w:r>
      <w:r w:rsidRPr="00225EFB">
        <w:rPr>
          <w:rFonts w:ascii="Arial" w:hAnsi="Arial" w:cs="Arial"/>
          <w:sz w:val="20"/>
          <w:szCs w:val="20"/>
        </w:rPr>
        <w:lastRenderedPageBreak/>
        <w:t>potential improvement (Mendonça et al., 2023; Peschl et al., 2023). Additionally, this approach circumvents the practical and ethical constraints associated with primary data collection (Morgan, 2022).</w:t>
      </w:r>
    </w:p>
    <w:p w14:paraId="38C51D34" w14:textId="77777777" w:rsidR="00225EFB" w:rsidRPr="00225EFB" w:rsidRDefault="00225EFB" w:rsidP="00225EFB">
      <w:pPr>
        <w:rPr>
          <w:rFonts w:ascii="Arial" w:hAnsi="Arial" w:cs="Arial"/>
          <w:sz w:val="20"/>
          <w:szCs w:val="20"/>
        </w:rPr>
      </w:pPr>
      <w:r w:rsidRPr="00225EFB">
        <w:rPr>
          <w:rFonts w:ascii="Arial" w:hAnsi="Arial" w:cs="Arial"/>
          <w:sz w:val="20"/>
          <w:szCs w:val="20"/>
        </w:rPr>
        <w:t>A multiple-case comparative approach was adopted, incorporating ten benchmark universities and the focal university. The analysis proceeded in two stages: first, a cross-case examination of student entrepreneurship practices among the benchmark universities; second, a comparison of the focal university's documented practices with the identified patterns. Clark's Entrepreneurial University model was employed as the analytical framework, serving as a qualitative guide rather than a quantitative measurement scale.</w:t>
      </w:r>
    </w:p>
    <w:p w14:paraId="7FDD7716" w14:textId="77777777" w:rsidR="00B57BC1" w:rsidRPr="00225EFB" w:rsidRDefault="00B57BC1" w:rsidP="00B57BC1">
      <w:pPr>
        <w:rPr>
          <w:rFonts w:ascii="Arial" w:hAnsi="Arial" w:cs="Arial"/>
          <w:sz w:val="20"/>
          <w:szCs w:val="20"/>
        </w:rPr>
      </w:pPr>
    </w:p>
    <w:p w14:paraId="6E2E7E20" w14:textId="77777777" w:rsidR="00B57BC1" w:rsidRPr="00B57BC1" w:rsidRDefault="00B57BC1" w:rsidP="00B57BC1">
      <w:pPr>
        <w:pStyle w:val="Heading3"/>
        <w:spacing w:before="0"/>
        <w:rPr>
          <w:b/>
          <w:bCs/>
          <w:sz w:val="22"/>
          <w:szCs w:val="22"/>
        </w:rPr>
      </w:pPr>
      <w:r w:rsidRPr="00B57BC1">
        <w:rPr>
          <w:rFonts w:ascii="Arial" w:hAnsi="Arial" w:cs="Arial"/>
          <w:b/>
          <w:bCs/>
          <w:color w:val="000000"/>
          <w:sz w:val="22"/>
          <w:szCs w:val="22"/>
        </w:rPr>
        <w:t>2.2 Benchmark University Selection</w:t>
      </w:r>
    </w:p>
    <w:p w14:paraId="5825D8C0" w14:textId="77777777" w:rsidR="007A178D" w:rsidRPr="007A178D" w:rsidRDefault="007A178D" w:rsidP="00B57BC1">
      <w:pPr>
        <w:pStyle w:val="NormalWeb"/>
        <w:spacing w:before="0" w:beforeAutospacing="0" w:after="0" w:afterAutospacing="0"/>
        <w:rPr>
          <w:rFonts w:ascii="Arial" w:hAnsi="Arial" w:cs="Arial"/>
          <w:color w:val="000000"/>
          <w:sz w:val="20"/>
          <w:szCs w:val="20"/>
        </w:rPr>
      </w:pPr>
    </w:p>
    <w:p w14:paraId="6C9A4B3B" w14:textId="77777777" w:rsidR="007A178D" w:rsidRPr="007A178D" w:rsidRDefault="007A178D" w:rsidP="007A178D">
      <w:pPr>
        <w:rPr>
          <w:rFonts w:ascii="Arial" w:hAnsi="Arial" w:cs="Arial"/>
          <w:sz w:val="20"/>
          <w:szCs w:val="20"/>
        </w:rPr>
      </w:pPr>
      <w:r w:rsidRPr="007A178D">
        <w:rPr>
          <w:rFonts w:ascii="Arial" w:hAnsi="Arial" w:cs="Arial"/>
          <w:sz w:val="20"/>
          <w:szCs w:val="20"/>
        </w:rPr>
        <w:t xml:space="preserve">Benchmark universities were purposively selected from the QS World University Rankings 2027 (Quacquarelli Symonds, 2026) based on three criteria: high ranking, the existence of a distinct student entrepreneurship center, program, or institutional structure, and the availability of sufficient publicly accessible documentation for systematic comparison. </w:t>
      </w:r>
    </w:p>
    <w:p w14:paraId="23FE8E92" w14:textId="362CB7F7" w:rsidR="007A178D" w:rsidRPr="007A178D" w:rsidRDefault="007A178D" w:rsidP="007A178D">
      <w:pPr>
        <w:rPr>
          <w:rFonts w:ascii="Arial" w:hAnsi="Arial" w:cs="Arial"/>
          <w:sz w:val="20"/>
          <w:szCs w:val="20"/>
        </w:rPr>
      </w:pPr>
      <w:r w:rsidRPr="007A178D">
        <w:rPr>
          <w:rFonts w:ascii="Arial" w:hAnsi="Arial" w:cs="Arial"/>
          <w:sz w:val="20"/>
          <w:szCs w:val="20"/>
        </w:rPr>
        <w:t>The final benchmark cases comprised the Massachusetts Institute of Technology, Imperial College London, Stanford University, the University of Oxford, Harvard University, the University of Cambridge, the California Institute of Technology, ETH Zurich, University College London, and the National University of Singapore. This purposive selection was guided by the aim of conducting analytical benchmarking of information-rich cases rather than by the goal of achieving statistical generalization.</w:t>
      </w:r>
    </w:p>
    <w:p w14:paraId="48366AC3" w14:textId="77777777" w:rsidR="00B57BC1" w:rsidRDefault="00B57BC1" w:rsidP="00B57BC1"/>
    <w:p w14:paraId="6AAA86D1" w14:textId="77777777" w:rsidR="00B57BC1" w:rsidRPr="00B57BC1" w:rsidRDefault="00B57BC1" w:rsidP="00B57BC1">
      <w:pPr>
        <w:pStyle w:val="Heading3"/>
        <w:spacing w:before="0"/>
        <w:rPr>
          <w:b/>
          <w:bCs/>
          <w:sz w:val="22"/>
          <w:szCs w:val="22"/>
        </w:rPr>
      </w:pPr>
      <w:r w:rsidRPr="00B57BC1">
        <w:rPr>
          <w:rFonts w:ascii="Arial" w:hAnsi="Arial" w:cs="Arial"/>
          <w:b/>
          <w:bCs/>
          <w:color w:val="000000"/>
          <w:sz w:val="22"/>
          <w:szCs w:val="22"/>
        </w:rPr>
        <w:t>2.3 Documentary Data Sources and Selection</w:t>
      </w:r>
    </w:p>
    <w:p w14:paraId="2B02E0CF" w14:textId="77777777" w:rsidR="00B57BC1" w:rsidRPr="003F65A6" w:rsidRDefault="00B57BC1" w:rsidP="00B57BC1">
      <w:pPr>
        <w:rPr>
          <w:rFonts w:ascii="Arial" w:hAnsi="Arial" w:cs="Arial"/>
          <w:sz w:val="20"/>
          <w:szCs w:val="20"/>
        </w:rPr>
      </w:pPr>
    </w:p>
    <w:p w14:paraId="39C73EF7" w14:textId="6F36EAC6" w:rsidR="003F65A6" w:rsidRPr="007743D9" w:rsidRDefault="003F65A6" w:rsidP="003F65A6">
      <w:pPr>
        <w:rPr>
          <w:rFonts w:ascii="Arial" w:hAnsi="Arial" w:cs="Arial"/>
          <w:sz w:val="20"/>
          <w:szCs w:val="20"/>
        </w:rPr>
      </w:pPr>
      <w:r w:rsidRPr="003F65A6">
        <w:rPr>
          <w:rFonts w:ascii="Arial" w:hAnsi="Arial" w:cs="Arial"/>
          <w:sz w:val="20"/>
          <w:szCs w:val="20"/>
        </w:rPr>
        <w:t xml:space="preserve">Data were collected solely from publicly accessible official institutional sources, such as entrepreneurship center webpages, program descriptions, institutional reports, official university news releases, and program documentation. For each university, institutional websites were systematically reviewed to </w:t>
      </w:r>
      <w:r w:rsidRPr="007743D9">
        <w:rPr>
          <w:rFonts w:ascii="Arial" w:hAnsi="Arial" w:cs="Arial"/>
          <w:sz w:val="20"/>
          <w:szCs w:val="20"/>
        </w:rPr>
        <w:t xml:space="preserve">identify evidence of student entrepreneurship structures, programs, services, resources, and activities. </w:t>
      </w:r>
      <w:r w:rsidR="007743D9" w:rsidRPr="007743D9">
        <w:rPr>
          <w:rFonts w:ascii="Arial" w:hAnsi="Arial" w:cs="Arial"/>
          <w:sz w:val="20"/>
          <w:szCs w:val="20"/>
        </w:rPr>
        <w:t xml:space="preserve">The search used combinations of terms related to student entrepreneurship, including </w:t>
      </w:r>
      <w:r w:rsidR="007743D9" w:rsidRPr="007743D9">
        <w:rPr>
          <w:rFonts w:ascii="Arial" w:hAnsi="Arial" w:cs="Arial"/>
          <w:i/>
          <w:iCs/>
          <w:sz w:val="20"/>
          <w:szCs w:val="20"/>
        </w:rPr>
        <w:t>entrepreneurship</w:t>
      </w:r>
      <w:r w:rsidR="007743D9" w:rsidRPr="007743D9">
        <w:rPr>
          <w:rFonts w:ascii="Arial" w:hAnsi="Arial" w:cs="Arial"/>
          <w:sz w:val="20"/>
          <w:szCs w:val="20"/>
        </w:rPr>
        <w:t xml:space="preserve">, </w:t>
      </w:r>
      <w:r w:rsidR="007743D9" w:rsidRPr="007743D9">
        <w:rPr>
          <w:rFonts w:ascii="Arial" w:hAnsi="Arial" w:cs="Arial"/>
          <w:i/>
          <w:iCs/>
          <w:sz w:val="20"/>
          <w:szCs w:val="20"/>
        </w:rPr>
        <w:t>student entrepreneurship</w:t>
      </w:r>
      <w:r w:rsidR="007743D9" w:rsidRPr="007743D9">
        <w:rPr>
          <w:rFonts w:ascii="Arial" w:hAnsi="Arial" w:cs="Arial"/>
          <w:sz w:val="20"/>
          <w:szCs w:val="20"/>
        </w:rPr>
        <w:t xml:space="preserve">, </w:t>
      </w:r>
      <w:r w:rsidR="007743D9" w:rsidRPr="007743D9">
        <w:rPr>
          <w:rFonts w:ascii="Arial" w:hAnsi="Arial" w:cs="Arial"/>
          <w:i/>
          <w:iCs/>
          <w:sz w:val="20"/>
          <w:szCs w:val="20"/>
        </w:rPr>
        <w:t>entrepreneurship center</w:t>
      </w:r>
      <w:r w:rsidR="007743D9" w:rsidRPr="007743D9">
        <w:rPr>
          <w:rFonts w:ascii="Arial" w:hAnsi="Arial" w:cs="Arial"/>
          <w:sz w:val="20"/>
          <w:szCs w:val="20"/>
        </w:rPr>
        <w:t xml:space="preserve">, </w:t>
      </w:r>
      <w:r w:rsidR="007743D9" w:rsidRPr="007743D9">
        <w:rPr>
          <w:rFonts w:ascii="Arial" w:hAnsi="Arial" w:cs="Arial"/>
          <w:i/>
          <w:iCs/>
          <w:sz w:val="20"/>
          <w:szCs w:val="20"/>
        </w:rPr>
        <w:t>incubation</w:t>
      </w:r>
      <w:r w:rsidR="007743D9" w:rsidRPr="007743D9">
        <w:rPr>
          <w:rFonts w:ascii="Arial" w:hAnsi="Arial" w:cs="Arial"/>
          <w:sz w:val="20"/>
          <w:szCs w:val="20"/>
        </w:rPr>
        <w:t xml:space="preserve">, </w:t>
      </w:r>
      <w:r w:rsidR="007743D9" w:rsidRPr="007743D9">
        <w:rPr>
          <w:rFonts w:ascii="Arial" w:hAnsi="Arial" w:cs="Arial"/>
          <w:i/>
          <w:iCs/>
          <w:sz w:val="20"/>
          <w:szCs w:val="20"/>
        </w:rPr>
        <w:t>acceleration</w:t>
      </w:r>
      <w:r w:rsidR="007743D9" w:rsidRPr="007743D9">
        <w:rPr>
          <w:rFonts w:ascii="Arial" w:hAnsi="Arial" w:cs="Arial"/>
          <w:sz w:val="20"/>
          <w:szCs w:val="20"/>
        </w:rPr>
        <w:t xml:space="preserve">, </w:t>
      </w:r>
      <w:r w:rsidR="007743D9" w:rsidRPr="007743D9">
        <w:rPr>
          <w:rFonts w:ascii="Arial" w:hAnsi="Arial" w:cs="Arial"/>
          <w:i/>
          <w:iCs/>
          <w:sz w:val="20"/>
          <w:szCs w:val="20"/>
        </w:rPr>
        <w:t>venture development</w:t>
      </w:r>
      <w:r w:rsidR="007743D9" w:rsidRPr="007743D9">
        <w:rPr>
          <w:rFonts w:ascii="Arial" w:hAnsi="Arial" w:cs="Arial"/>
          <w:sz w:val="20"/>
          <w:szCs w:val="20"/>
        </w:rPr>
        <w:t xml:space="preserve">, </w:t>
      </w:r>
      <w:r w:rsidR="007743D9" w:rsidRPr="007743D9">
        <w:rPr>
          <w:rFonts w:ascii="Arial" w:hAnsi="Arial" w:cs="Arial"/>
          <w:i/>
          <w:iCs/>
          <w:sz w:val="20"/>
          <w:szCs w:val="20"/>
        </w:rPr>
        <w:t>funding</w:t>
      </w:r>
      <w:r w:rsidR="007743D9" w:rsidRPr="007743D9">
        <w:rPr>
          <w:rFonts w:ascii="Arial" w:hAnsi="Arial" w:cs="Arial"/>
          <w:sz w:val="20"/>
          <w:szCs w:val="20"/>
        </w:rPr>
        <w:t xml:space="preserve">, </w:t>
      </w:r>
      <w:r w:rsidR="007743D9" w:rsidRPr="007743D9">
        <w:rPr>
          <w:rFonts w:ascii="Arial" w:hAnsi="Arial" w:cs="Arial"/>
          <w:i/>
          <w:iCs/>
          <w:sz w:val="20"/>
          <w:szCs w:val="20"/>
        </w:rPr>
        <w:t>mentoring</w:t>
      </w:r>
      <w:r w:rsidR="007743D9" w:rsidRPr="007743D9">
        <w:rPr>
          <w:rFonts w:ascii="Arial" w:hAnsi="Arial" w:cs="Arial"/>
          <w:sz w:val="20"/>
          <w:szCs w:val="20"/>
        </w:rPr>
        <w:t xml:space="preserve">, and </w:t>
      </w:r>
      <w:r w:rsidR="007743D9" w:rsidRPr="007743D9">
        <w:rPr>
          <w:rFonts w:ascii="Arial" w:hAnsi="Arial" w:cs="Arial"/>
          <w:i/>
          <w:iCs/>
          <w:sz w:val="20"/>
          <w:szCs w:val="20"/>
        </w:rPr>
        <w:t>entrepreneurial programs</w:t>
      </w:r>
      <w:r w:rsidR="007743D9" w:rsidRPr="007743D9">
        <w:rPr>
          <w:rFonts w:ascii="Arial" w:hAnsi="Arial" w:cs="Arial"/>
          <w:sz w:val="20"/>
          <w:szCs w:val="20"/>
        </w:rPr>
        <w:t xml:space="preserve">. Relevant pages and documents were reviewed across connected institutional units to provide evidence related to student entrepreneurship. </w:t>
      </w:r>
      <w:r w:rsidRPr="007743D9">
        <w:rPr>
          <w:rFonts w:ascii="Arial" w:hAnsi="Arial" w:cs="Arial"/>
          <w:sz w:val="20"/>
          <w:szCs w:val="20"/>
        </w:rPr>
        <w:t>When entrepreneurship support was distributed across multiple university units, sources from those units were included if their activities were demonstrably related to student entrepreneurship.</w:t>
      </w:r>
    </w:p>
    <w:p w14:paraId="2BC76BF7" w14:textId="77777777" w:rsidR="003F65A6" w:rsidRPr="003F65A6" w:rsidRDefault="003F65A6" w:rsidP="003F65A6">
      <w:pPr>
        <w:rPr>
          <w:rFonts w:ascii="Arial" w:hAnsi="Arial" w:cs="Arial"/>
          <w:sz w:val="20"/>
          <w:szCs w:val="20"/>
        </w:rPr>
      </w:pPr>
      <w:r w:rsidRPr="003F65A6">
        <w:rPr>
          <w:rFonts w:ascii="Arial" w:hAnsi="Arial" w:cs="Arial"/>
          <w:sz w:val="20"/>
          <w:szCs w:val="20"/>
        </w:rPr>
        <w:t>Sources were included if they (1) originated from an official university source, (2) contained information relevant to student entrepreneurship, (3) described an identifiable structure, program, service, resource, or activity, and (4) provided sufficient evidence for classification under one or more of Clark's five pathways. Sources that were third-party, unrelated to student entrepreneurship, or insufficiently informative for pathway classification were excluded.</w:t>
      </w:r>
    </w:p>
    <w:p w14:paraId="1C859B3B" w14:textId="77777777" w:rsidR="003F65A6" w:rsidRPr="003F65A6" w:rsidRDefault="003F65A6" w:rsidP="003F65A6">
      <w:pPr>
        <w:rPr>
          <w:rFonts w:ascii="Arial" w:hAnsi="Arial" w:cs="Arial"/>
          <w:sz w:val="20"/>
          <w:szCs w:val="20"/>
        </w:rPr>
      </w:pPr>
      <w:r w:rsidRPr="003F65A6">
        <w:rPr>
          <w:rFonts w:ascii="Arial" w:hAnsi="Arial" w:cs="Arial"/>
          <w:sz w:val="20"/>
          <w:szCs w:val="20"/>
        </w:rPr>
        <w:t>The final documentary corpus consisted of 47 official institutional sources from the ten benchmark universities and six official sources from Xavier University. The number of sources examined per benchmark institution was as follows: Massachusetts Institute of Technology (3), Imperial College London (3), Stanford University (4), University of Oxford (3), Harvard University (5), University of Cambridge (5), California Institute of Technology (7), ETH Zurich (6), University College London (5), and National University of Singapore (6). Six sources were examined for Xavier University. All web-based institutional sources were reviewed and accessed in August 2026.</w:t>
      </w:r>
    </w:p>
    <w:p w14:paraId="4CD50866" w14:textId="66D84436" w:rsidR="00B57BC1" w:rsidRDefault="003F65A6" w:rsidP="00B57BC1">
      <w:pPr>
        <w:rPr>
          <w:rFonts w:ascii="Arial" w:hAnsi="Arial" w:cs="Arial"/>
          <w:sz w:val="20"/>
          <w:szCs w:val="20"/>
        </w:rPr>
      </w:pPr>
      <w:r w:rsidRPr="003F65A6">
        <w:rPr>
          <w:rFonts w:ascii="Arial" w:hAnsi="Arial" w:cs="Arial"/>
          <w:sz w:val="20"/>
          <w:szCs w:val="20"/>
        </w:rPr>
        <w:t xml:space="preserve">Historical sources were retained if they provided evidence of institutional development. However, historical evidence was not considered indicative of current implementation unless </w:t>
      </w:r>
      <w:r w:rsidRPr="003F65A6">
        <w:rPr>
          <w:rFonts w:ascii="Arial" w:hAnsi="Arial" w:cs="Arial"/>
          <w:sz w:val="20"/>
          <w:szCs w:val="20"/>
        </w:rPr>
        <w:lastRenderedPageBreak/>
        <w:t>supported by contemporary documentation. This distinction is critical in documentary research because institutional sources reflect specific organizational and temporal contexts (Morgan, 2022).</w:t>
      </w:r>
    </w:p>
    <w:p w14:paraId="3891B0DA" w14:textId="3A639744" w:rsidR="003F65A6" w:rsidRPr="00642500" w:rsidRDefault="00642500" w:rsidP="00B57BC1">
      <w:pPr>
        <w:rPr>
          <w:rFonts w:ascii="Arial" w:hAnsi="Arial" w:cs="Arial"/>
          <w:sz w:val="20"/>
          <w:szCs w:val="20"/>
        </w:rPr>
      </w:pPr>
      <w:r w:rsidRPr="00642500">
        <w:rPr>
          <w:rFonts w:ascii="Arial" w:hAnsi="Arial" w:cs="Arial"/>
          <w:sz w:val="20"/>
          <w:szCs w:val="20"/>
        </w:rPr>
        <w:t>The documentary corpus and the institutional sources examined for each case are reflected in the documentary evidence matrix presented in Section 3.1.</w:t>
      </w:r>
    </w:p>
    <w:p w14:paraId="0006390E" w14:textId="77777777" w:rsidR="00642500" w:rsidRPr="00642500" w:rsidRDefault="00642500" w:rsidP="00B57BC1">
      <w:pPr>
        <w:rPr>
          <w:rFonts w:ascii="Arial" w:hAnsi="Arial" w:cs="Arial"/>
          <w:sz w:val="20"/>
          <w:szCs w:val="20"/>
        </w:rPr>
      </w:pPr>
    </w:p>
    <w:p w14:paraId="23B01C21" w14:textId="77777777" w:rsidR="00B57BC1" w:rsidRPr="00B57BC1" w:rsidRDefault="00B57BC1" w:rsidP="00B57BC1">
      <w:pPr>
        <w:pStyle w:val="Heading3"/>
        <w:spacing w:before="0"/>
        <w:rPr>
          <w:b/>
          <w:bCs/>
          <w:sz w:val="22"/>
          <w:szCs w:val="22"/>
        </w:rPr>
      </w:pPr>
      <w:r w:rsidRPr="00B57BC1">
        <w:rPr>
          <w:rFonts w:ascii="Arial" w:hAnsi="Arial" w:cs="Arial"/>
          <w:b/>
          <w:bCs/>
          <w:color w:val="000000"/>
          <w:sz w:val="22"/>
          <w:szCs w:val="22"/>
        </w:rPr>
        <w:t>2.4 Analytical Procedure</w:t>
      </w:r>
    </w:p>
    <w:p w14:paraId="696FDE55" w14:textId="77777777" w:rsidR="00D04CD3" w:rsidRPr="00D04CD3" w:rsidRDefault="00D04CD3" w:rsidP="00B57BC1">
      <w:pPr>
        <w:pStyle w:val="NormalWeb"/>
        <w:spacing w:before="0" w:beforeAutospacing="0" w:after="0" w:afterAutospacing="0"/>
        <w:rPr>
          <w:rFonts w:ascii="Arial" w:hAnsi="Arial" w:cs="Arial"/>
          <w:color w:val="000000"/>
          <w:sz w:val="20"/>
          <w:szCs w:val="20"/>
        </w:rPr>
      </w:pPr>
    </w:p>
    <w:p w14:paraId="3768AD63" w14:textId="77777777" w:rsidR="00D04CD3" w:rsidRPr="00D04CD3" w:rsidRDefault="00D04CD3" w:rsidP="00D04CD3">
      <w:pPr>
        <w:rPr>
          <w:rFonts w:ascii="Arial" w:hAnsi="Arial" w:cs="Arial"/>
          <w:sz w:val="20"/>
          <w:szCs w:val="20"/>
        </w:rPr>
      </w:pPr>
      <w:r w:rsidRPr="00D04CD3">
        <w:rPr>
          <w:rFonts w:ascii="Arial" w:hAnsi="Arial" w:cs="Arial"/>
          <w:sz w:val="20"/>
          <w:szCs w:val="20"/>
        </w:rPr>
        <w:t>Clark's five pathways—strengthened steering core, expanded developmental periphery, diversified funding base, stimulated academic heartland, and integrated entrepreneurial culture—served as deductive coding categories. The analysis proceeded in four stages: familiarization with institutional sources, extraction of relevant evidence, deductive coding based on the five pathways, and cross-case comparison to identify common, distinctive, and less extensively documented practices.</w:t>
      </w:r>
    </w:p>
    <w:p w14:paraId="45D07792" w14:textId="77777777" w:rsidR="00D04CD3" w:rsidRPr="00D04CD3" w:rsidRDefault="00D04CD3" w:rsidP="00D04CD3">
      <w:pPr>
        <w:rPr>
          <w:rFonts w:ascii="Arial" w:hAnsi="Arial" w:cs="Arial"/>
          <w:sz w:val="20"/>
          <w:szCs w:val="20"/>
        </w:rPr>
      </w:pPr>
      <w:r w:rsidRPr="00D04CD3">
        <w:rPr>
          <w:rFonts w:ascii="Arial" w:hAnsi="Arial" w:cs="Arial"/>
          <w:sz w:val="20"/>
          <w:szCs w:val="20"/>
        </w:rPr>
        <w:t>Each relevant institutional statement, program, structure, service, resource, or activity was considered a unit of documentary evidence and coded according to the Clark pathway or pathways it supported. Multiple coding was used when a documented practice aligned with more than one pathway. As this was a single-author study, the researcher acted as the sole coder and consistently applied the predefined coding categories and criteria across all cases. The analysis focused on the presence, breadth, and configuration of documented support, rather than program effectiveness. Therefore, universities were not assigned numerical scores or ranked by the strength of their entrepreneurship support.</w:t>
      </w:r>
    </w:p>
    <w:p w14:paraId="47DC61E0" w14:textId="77777777" w:rsidR="00B57BC1" w:rsidRPr="00D04CD3" w:rsidRDefault="00B57BC1" w:rsidP="00B57BC1">
      <w:pPr>
        <w:rPr>
          <w:rFonts w:ascii="Arial" w:hAnsi="Arial" w:cs="Arial"/>
          <w:sz w:val="20"/>
          <w:szCs w:val="20"/>
        </w:rPr>
      </w:pPr>
    </w:p>
    <w:p w14:paraId="6CA3B34D" w14:textId="77777777" w:rsidR="00B57BC1" w:rsidRPr="00B57BC1" w:rsidRDefault="00B57BC1" w:rsidP="00B57BC1">
      <w:pPr>
        <w:pStyle w:val="Heading3"/>
        <w:spacing w:before="0"/>
        <w:rPr>
          <w:b/>
          <w:bCs/>
          <w:sz w:val="22"/>
          <w:szCs w:val="22"/>
        </w:rPr>
      </w:pPr>
      <w:r w:rsidRPr="00B57BC1">
        <w:rPr>
          <w:rFonts w:ascii="Arial" w:hAnsi="Arial" w:cs="Arial"/>
          <w:b/>
          <w:bCs/>
          <w:color w:val="000000"/>
          <w:sz w:val="22"/>
          <w:szCs w:val="22"/>
        </w:rPr>
        <w:t>2.5 Xavier University Benchmarking</w:t>
      </w:r>
    </w:p>
    <w:p w14:paraId="11E00469" w14:textId="77777777" w:rsidR="004C31CF" w:rsidRPr="004C31CF" w:rsidRDefault="004C31CF" w:rsidP="00177010">
      <w:pPr>
        <w:rPr>
          <w:rFonts w:ascii="Arial" w:hAnsi="Arial" w:cs="Arial"/>
          <w:sz w:val="20"/>
          <w:szCs w:val="20"/>
        </w:rPr>
      </w:pPr>
    </w:p>
    <w:p w14:paraId="5ADB95C4" w14:textId="77777777" w:rsidR="004C31CF" w:rsidRPr="004C31CF" w:rsidRDefault="004C31CF" w:rsidP="004C31CF">
      <w:pPr>
        <w:rPr>
          <w:rFonts w:ascii="Arial" w:hAnsi="Arial" w:cs="Arial"/>
          <w:sz w:val="20"/>
          <w:szCs w:val="20"/>
        </w:rPr>
      </w:pPr>
      <w:r w:rsidRPr="004C31CF">
        <w:rPr>
          <w:rFonts w:ascii="Arial" w:hAnsi="Arial" w:cs="Arial"/>
          <w:sz w:val="20"/>
          <w:szCs w:val="20"/>
        </w:rPr>
        <w:t>Xavier University was evaluated using the same five Clark pathways and documentary criteria as those applied to the benchmark institutions. Evidence from the Student Entrepreneurship Center and other official university sources was systematically compared to the identified benchmark practices.</w:t>
      </w:r>
    </w:p>
    <w:p w14:paraId="739ADF33" w14:textId="2081C4F6" w:rsidR="00177010" w:rsidRPr="004C31CF" w:rsidRDefault="004C31CF" w:rsidP="004C31CF">
      <w:pPr>
        <w:rPr>
          <w:rFonts w:ascii="Arial" w:hAnsi="Arial" w:cs="Arial"/>
          <w:sz w:val="20"/>
          <w:szCs w:val="20"/>
        </w:rPr>
      </w:pPr>
      <w:r w:rsidRPr="004C31CF">
        <w:rPr>
          <w:rFonts w:ascii="Arial" w:hAnsi="Arial" w:cs="Arial"/>
          <w:sz w:val="20"/>
          <w:szCs w:val="20"/>
        </w:rPr>
        <w:t xml:space="preserve">Three documentary assessment categories were established to characterize the extent of available institutional evidence: strongly documented, documented, and partially documented. These categories were determined based on the breadth and consistency of publicly accessible evidence. </w:t>
      </w:r>
      <w:r w:rsidRPr="004C31CF">
        <w:rPr>
          <w:rFonts w:ascii="Arial" w:hAnsi="Arial" w:cs="Arial"/>
          <w:b/>
          <w:bCs/>
          <w:sz w:val="20"/>
          <w:szCs w:val="20"/>
        </w:rPr>
        <w:t>Strongly documented</w:t>
      </w:r>
      <w:r w:rsidRPr="004C31CF">
        <w:rPr>
          <w:rFonts w:ascii="Arial" w:hAnsi="Arial" w:cs="Arial"/>
          <w:sz w:val="20"/>
          <w:szCs w:val="20"/>
        </w:rPr>
        <w:t xml:space="preserve"> refers to multiple forms of support relevant to a pathway, consistently documented in current institutional sources. </w:t>
      </w:r>
      <w:r w:rsidRPr="004C31CF">
        <w:rPr>
          <w:rFonts w:ascii="Arial" w:hAnsi="Arial" w:cs="Arial"/>
          <w:b/>
          <w:bCs/>
          <w:sz w:val="20"/>
          <w:szCs w:val="20"/>
        </w:rPr>
        <w:t>Documented</w:t>
      </w:r>
      <w:r w:rsidRPr="004C31CF">
        <w:rPr>
          <w:rFonts w:ascii="Arial" w:hAnsi="Arial" w:cs="Arial"/>
          <w:sz w:val="20"/>
          <w:szCs w:val="20"/>
        </w:rPr>
        <w:t xml:space="preserve"> denotes clear institutional evidence of the pathway, but with a narrower range or less extensive documentation of related practices. </w:t>
      </w:r>
      <w:r w:rsidRPr="004C31CF">
        <w:rPr>
          <w:rFonts w:ascii="Arial" w:hAnsi="Arial" w:cs="Arial"/>
          <w:b/>
          <w:bCs/>
          <w:sz w:val="20"/>
          <w:szCs w:val="20"/>
        </w:rPr>
        <w:t>Partially documented</w:t>
      </w:r>
      <w:r w:rsidRPr="004C31CF">
        <w:rPr>
          <w:rFonts w:ascii="Arial" w:hAnsi="Arial" w:cs="Arial"/>
          <w:sz w:val="20"/>
          <w:szCs w:val="20"/>
        </w:rPr>
        <w:t xml:space="preserve"> indicates that some evidence relevant to the pathway was identified, but the available documentation was limited or insufficient to establish its broader scope. These classifications reflect the strength and breadth of documentary evidence, rather than institutional performance or effectiveness. Therefore, "partially documented" does not imply the absence of a practice; rather, it indicates that sufficient public evidence was unavailable to confirm its broader scope.</w:t>
      </w:r>
    </w:p>
    <w:p w14:paraId="49FB4736" w14:textId="77777777" w:rsidR="00B57BC1" w:rsidRDefault="00B57BC1" w:rsidP="00B57BC1"/>
    <w:p w14:paraId="47E7C227" w14:textId="77777777" w:rsidR="00B57BC1" w:rsidRPr="00B57BC1" w:rsidRDefault="00B57BC1" w:rsidP="00B57BC1">
      <w:pPr>
        <w:pStyle w:val="Heading3"/>
        <w:spacing w:before="0"/>
        <w:rPr>
          <w:b/>
          <w:bCs/>
          <w:sz w:val="22"/>
          <w:szCs w:val="22"/>
        </w:rPr>
      </w:pPr>
      <w:r w:rsidRPr="00B57BC1">
        <w:rPr>
          <w:rFonts w:ascii="Arial" w:hAnsi="Arial" w:cs="Arial"/>
          <w:b/>
          <w:bCs/>
          <w:color w:val="000000"/>
          <w:sz w:val="22"/>
          <w:szCs w:val="22"/>
        </w:rPr>
        <w:t>2.6 Trustworthiness</w:t>
      </w:r>
    </w:p>
    <w:p w14:paraId="21101C59" w14:textId="77777777" w:rsidR="00B57BC1" w:rsidRPr="00581E46" w:rsidRDefault="00B57BC1" w:rsidP="00B57BC1">
      <w:pPr>
        <w:rPr>
          <w:rFonts w:ascii="Arial" w:hAnsi="Arial" w:cs="Arial"/>
          <w:sz w:val="20"/>
          <w:szCs w:val="20"/>
        </w:rPr>
      </w:pPr>
    </w:p>
    <w:p w14:paraId="4612F6F2" w14:textId="77777777" w:rsidR="00581E46" w:rsidRPr="00581E46" w:rsidRDefault="00581E46" w:rsidP="00581E46">
      <w:pPr>
        <w:rPr>
          <w:rFonts w:ascii="Arial" w:hAnsi="Arial" w:cs="Arial"/>
          <w:sz w:val="20"/>
          <w:szCs w:val="20"/>
        </w:rPr>
      </w:pPr>
      <w:r w:rsidRPr="00581E46">
        <w:rPr>
          <w:rFonts w:ascii="Arial" w:hAnsi="Arial" w:cs="Arial"/>
          <w:sz w:val="20"/>
          <w:szCs w:val="20"/>
        </w:rPr>
        <w:t>Trustworthiness was established by addressing credibility, transferability, dependability, and confirmability, which are widely recognized as criteria for rigor in qualitative research (Ahmed, 2024; Novak &amp; Jen, 2024). According to Ahmed (2024), triangulation, detailed contextual description, documentation and audit trails, and reflexive practices serve as mechanisms to strengthen these dimensions.</w:t>
      </w:r>
    </w:p>
    <w:p w14:paraId="60987FB9" w14:textId="77777777" w:rsidR="00581E46" w:rsidRPr="00581E46" w:rsidRDefault="00581E46" w:rsidP="00581E46">
      <w:pPr>
        <w:rPr>
          <w:rFonts w:ascii="Arial" w:hAnsi="Arial" w:cs="Arial"/>
          <w:sz w:val="20"/>
          <w:szCs w:val="20"/>
        </w:rPr>
      </w:pPr>
      <w:r w:rsidRPr="00581E46">
        <w:rPr>
          <w:rFonts w:ascii="Arial" w:hAnsi="Arial" w:cs="Arial"/>
          <w:sz w:val="20"/>
          <w:szCs w:val="20"/>
        </w:rPr>
        <w:t xml:space="preserve">Credibility was enhanced by triangulating multiple official sources within cases and comparing evidence across institutional sources. Dependability was ensured through consistent application of source-selection criteria, coding categories, and assessment definitions in all cases. Because the study was conducted by a single researcher, </w:t>
      </w:r>
      <w:r w:rsidRPr="00581E46">
        <w:rPr>
          <w:rFonts w:ascii="Arial" w:hAnsi="Arial" w:cs="Arial"/>
          <w:sz w:val="20"/>
          <w:szCs w:val="20"/>
        </w:rPr>
        <w:lastRenderedPageBreak/>
        <w:t>consistency was further maintained through predefined coding categories, explicit assessment rules, and systematic documentary evidence trails. Confirmability was achieved by linking interpretations to explicit documentary evidence and clearly distinguishing documented information from researcher interpretation. Transferability was facilitated by providing clear descriptions of case-selection criteria, data sources, analytical categories, and institutional contexts, allowing readers to assess the applicability of findings to other university settings.</w:t>
      </w:r>
    </w:p>
    <w:p w14:paraId="5568C5EE" w14:textId="77777777" w:rsidR="00581E46" w:rsidRPr="00581E46" w:rsidRDefault="00581E46" w:rsidP="00581E46">
      <w:pPr>
        <w:rPr>
          <w:rFonts w:ascii="Arial" w:hAnsi="Arial" w:cs="Arial"/>
          <w:sz w:val="20"/>
          <w:szCs w:val="20"/>
        </w:rPr>
      </w:pPr>
      <w:r w:rsidRPr="00581E46">
        <w:rPr>
          <w:rFonts w:ascii="Arial" w:hAnsi="Arial" w:cs="Arial"/>
          <w:sz w:val="20"/>
          <w:szCs w:val="20"/>
        </w:rPr>
        <w:t>Because the study relied exclusively on publicly available documents and did not involve human participants, member checking was not applicable. Instead, methodological rigor was strengthened through source triangulation, consistent analytical procedures, documentary evidence trails, and transparent assessment criteria.</w:t>
      </w:r>
    </w:p>
    <w:p w14:paraId="5C650699" w14:textId="77777777" w:rsidR="00790ADA" w:rsidRPr="00581E46" w:rsidRDefault="00790ADA" w:rsidP="00441B6F">
      <w:pPr>
        <w:pStyle w:val="Body"/>
        <w:spacing w:after="0"/>
        <w:rPr>
          <w:rFonts w:ascii="Arial" w:hAnsi="Arial" w:cs="Arial"/>
          <w:sz w:val="20"/>
          <w:szCs w:val="20"/>
        </w:rPr>
      </w:pPr>
    </w:p>
    <w:p w14:paraId="2ABB08FB"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64544026" w14:textId="77777777" w:rsidR="00790ADA" w:rsidRPr="00FB3A86" w:rsidRDefault="00790ADA" w:rsidP="00441B6F">
      <w:pPr>
        <w:pStyle w:val="Head1"/>
        <w:spacing w:after="0"/>
        <w:jc w:val="both"/>
        <w:rPr>
          <w:rFonts w:ascii="Arial" w:hAnsi="Arial" w:cs="Arial"/>
        </w:rPr>
      </w:pPr>
    </w:p>
    <w:p w14:paraId="4351051E" w14:textId="77777777" w:rsidR="00B57BC1" w:rsidRDefault="00B57BC1" w:rsidP="00B57BC1">
      <w:pPr>
        <w:pStyle w:val="Heading1"/>
        <w:spacing w:before="0" w:after="0"/>
        <w:rPr>
          <w:rFonts w:cs="Arial"/>
          <w:color w:val="000000"/>
          <w:sz w:val="22"/>
          <w:szCs w:val="22"/>
        </w:rPr>
      </w:pPr>
      <w:r w:rsidRPr="00B57BC1">
        <w:rPr>
          <w:rFonts w:cs="Arial"/>
          <w:color w:val="000000"/>
          <w:sz w:val="22"/>
          <w:szCs w:val="22"/>
        </w:rPr>
        <w:t>3.1 Cross-Case Findings from the Ten Benchmark Universities</w:t>
      </w:r>
    </w:p>
    <w:p w14:paraId="6210AF1D" w14:textId="77777777" w:rsidR="00B57BC1" w:rsidRPr="00B57BC1" w:rsidRDefault="00B57BC1" w:rsidP="00B57BC1"/>
    <w:p w14:paraId="163E3129" w14:textId="77777777" w:rsidR="00B57BC1" w:rsidRDefault="00B57BC1" w:rsidP="00B57BC1">
      <w:pPr>
        <w:pStyle w:val="NormalWeb"/>
        <w:spacing w:before="0" w:beforeAutospacing="0" w:after="0" w:afterAutospacing="0"/>
        <w:rPr>
          <w:rFonts w:ascii="Arial" w:hAnsi="Arial" w:cs="Arial"/>
          <w:color w:val="000000"/>
          <w:sz w:val="20"/>
          <w:szCs w:val="20"/>
        </w:rPr>
      </w:pPr>
      <w:r w:rsidRPr="00B57BC1">
        <w:rPr>
          <w:rFonts w:ascii="Arial" w:hAnsi="Arial" w:cs="Arial"/>
          <w:color w:val="000000"/>
          <w:sz w:val="20"/>
          <w:szCs w:val="20"/>
        </w:rPr>
        <w:t>Ten benchmark universities were selected from the QS World University Rankings 2027 and analyzed based on their publicly documented student entrepreneurship support structures. The sample included both universities with dedicated entrepreneurship centers and those where support was distributed across multiple formally connected units. This distinction was maintained because the analysis focused on the student entrepreneurship support structure itself, rather than the existence of a single entrepreneurship center. This methodological choice aligns with recent scholarship that conceptualizes university entrepreneurship as an ecosystem comprising interconnected institutional, educational, financial, infrastructural, and relational elements, rather than as a single program or organizational unit (Astuty et al., 2022; Correia et al., 2024; Ismail et al., 2024; Meyskens et al., 2022).</w:t>
      </w:r>
    </w:p>
    <w:p w14:paraId="14304AD9" w14:textId="77777777" w:rsidR="00B57BC1" w:rsidRDefault="00B57BC1" w:rsidP="00B57BC1">
      <w:pPr>
        <w:pStyle w:val="NormalWeb"/>
        <w:spacing w:before="0" w:beforeAutospacing="0" w:after="0" w:afterAutospacing="0"/>
        <w:rPr>
          <w:rFonts w:ascii="Arial" w:hAnsi="Arial" w:cs="Arial"/>
          <w:color w:val="000000"/>
          <w:sz w:val="20"/>
          <w:szCs w:val="20"/>
        </w:rPr>
      </w:pPr>
    </w:p>
    <w:p w14:paraId="211D82B6" w14:textId="2E316EEE" w:rsidR="00386261" w:rsidRDefault="00B57BC1" w:rsidP="00B57BC1">
      <w:pPr>
        <w:pStyle w:val="NormalWeb"/>
        <w:spacing w:before="0" w:beforeAutospacing="0" w:after="0" w:afterAutospacing="0"/>
        <w:jc w:val="center"/>
        <w:rPr>
          <w:rFonts w:ascii="Arial" w:hAnsi="Arial" w:cs="Arial"/>
          <w:b/>
          <w:bCs/>
          <w:sz w:val="20"/>
          <w:szCs w:val="20"/>
        </w:rPr>
      </w:pPr>
      <w:r w:rsidRPr="006909DC">
        <w:rPr>
          <w:rFonts w:ascii="Arial" w:hAnsi="Arial" w:cs="Arial"/>
          <w:b/>
          <w:bCs/>
          <w:color w:val="000000"/>
          <w:sz w:val="20"/>
          <w:szCs w:val="20"/>
        </w:rPr>
        <w:t xml:space="preserve">Table 1. </w:t>
      </w:r>
      <w:r w:rsidR="006909DC" w:rsidRPr="006909DC">
        <w:rPr>
          <w:rFonts w:ascii="Arial" w:hAnsi="Arial" w:cs="Arial"/>
          <w:b/>
          <w:bCs/>
          <w:sz w:val="20"/>
          <w:szCs w:val="20"/>
        </w:rPr>
        <w:t>Benchmark universities and focal university entrepreneurship support structures</w:t>
      </w:r>
    </w:p>
    <w:p w14:paraId="70AE5E05" w14:textId="77777777" w:rsidR="006909DC" w:rsidRPr="006909DC" w:rsidRDefault="006909DC" w:rsidP="00B57BC1">
      <w:pPr>
        <w:pStyle w:val="NormalWeb"/>
        <w:spacing w:before="0" w:beforeAutospacing="0" w:after="0" w:afterAutospacing="0"/>
        <w:jc w:val="center"/>
        <w:rPr>
          <w:rFonts w:ascii="Arial" w:hAnsi="Arial" w:cs="Arial"/>
          <w:b/>
          <w:bCs/>
          <w:color w:val="000000"/>
          <w:sz w:val="20"/>
          <w:szCs w:val="20"/>
        </w:rPr>
      </w:pPr>
    </w:p>
    <w:tbl>
      <w:tblPr>
        <w:tblW w:w="5000" w:type="pct"/>
        <w:jc w:val="center"/>
        <w:tblCellMar>
          <w:top w:w="15" w:type="dxa"/>
          <w:left w:w="15" w:type="dxa"/>
          <w:bottom w:w="15" w:type="dxa"/>
          <w:right w:w="15" w:type="dxa"/>
        </w:tblCellMar>
        <w:tblLook w:val="04A0" w:firstRow="1" w:lastRow="0" w:firstColumn="1" w:lastColumn="0" w:noHBand="0" w:noVBand="1"/>
      </w:tblPr>
      <w:tblGrid>
        <w:gridCol w:w="858"/>
        <w:gridCol w:w="2275"/>
        <w:gridCol w:w="1276"/>
        <w:gridCol w:w="3799"/>
      </w:tblGrid>
      <w:tr w:rsidR="00386261" w:rsidRPr="00386261" w14:paraId="1B9FAB51" w14:textId="77777777" w:rsidTr="00386261">
        <w:trPr>
          <w:tblHeader/>
          <w:jc w:val="center"/>
        </w:trPr>
        <w:tc>
          <w:tcPr>
            <w:tcW w:w="0" w:type="auto"/>
            <w:tcBorders>
              <w:top w:val="single" w:sz="4" w:space="0" w:color="auto"/>
              <w:bottom w:val="single" w:sz="4" w:space="0" w:color="auto"/>
            </w:tcBorders>
            <w:tcMar>
              <w:top w:w="120" w:type="dxa"/>
              <w:left w:w="120" w:type="dxa"/>
              <w:bottom w:w="120" w:type="dxa"/>
              <w:right w:w="120" w:type="dxa"/>
            </w:tcMar>
            <w:hideMark/>
          </w:tcPr>
          <w:p w14:paraId="069D7982" w14:textId="77777777" w:rsidR="00386261" w:rsidRPr="00386261" w:rsidRDefault="00386261" w:rsidP="00386261">
            <w:pPr>
              <w:rPr>
                <w:rFonts w:ascii="Arial" w:hAnsi="Arial" w:cs="Arial"/>
                <w:b/>
                <w:bCs/>
                <w:sz w:val="20"/>
                <w:szCs w:val="20"/>
              </w:rPr>
            </w:pPr>
            <w:r w:rsidRPr="00386261">
              <w:rPr>
                <w:rFonts w:ascii="Arial" w:hAnsi="Arial" w:cs="Arial"/>
                <w:b/>
                <w:bCs/>
                <w:sz w:val="20"/>
                <w:szCs w:val="20"/>
              </w:rPr>
              <w:t>Case</w:t>
            </w:r>
          </w:p>
        </w:tc>
        <w:tc>
          <w:tcPr>
            <w:tcW w:w="0" w:type="auto"/>
            <w:tcBorders>
              <w:top w:val="single" w:sz="4" w:space="0" w:color="auto"/>
              <w:bottom w:val="single" w:sz="4" w:space="0" w:color="auto"/>
            </w:tcBorders>
            <w:tcMar>
              <w:top w:w="120" w:type="dxa"/>
              <w:left w:w="120" w:type="dxa"/>
              <w:bottom w:w="120" w:type="dxa"/>
              <w:right w:w="120" w:type="dxa"/>
            </w:tcMar>
            <w:hideMark/>
          </w:tcPr>
          <w:p w14:paraId="624B16D0" w14:textId="77777777" w:rsidR="00386261" w:rsidRPr="00386261" w:rsidRDefault="00386261" w:rsidP="00386261">
            <w:pPr>
              <w:rPr>
                <w:rFonts w:ascii="Arial" w:hAnsi="Arial" w:cs="Arial"/>
                <w:b/>
                <w:bCs/>
                <w:sz w:val="20"/>
                <w:szCs w:val="20"/>
              </w:rPr>
            </w:pPr>
            <w:r w:rsidRPr="00386261">
              <w:rPr>
                <w:rFonts w:ascii="Arial" w:hAnsi="Arial" w:cs="Arial"/>
                <w:b/>
                <w:bCs/>
                <w:sz w:val="20"/>
                <w:szCs w:val="20"/>
              </w:rPr>
              <w:t>University</w:t>
            </w:r>
          </w:p>
        </w:tc>
        <w:tc>
          <w:tcPr>
            <w:tcW w:w="777" w:type="pct"/>
            <w:tcBorders>
              <w:top w:val="single" w:sz="4" w:space="0" w:color="auto"/>
              <w:bottom w:val="single" w:sz="4" w:space="0" w:color="auto"/>
            </w:tcBorders>
            <w:tcMar>
              <w:top w:w="120" w:type="dxa"/>
              <w:left w:w="120" w:type="dxa"/>
              <w:bottom w:w="120" w:type="dxa"/>
              <w:right w:w="120" w:type="dxa"/>
            </w:tcMar>
            <w:hideMark/>
          </w:tcPr>
          <w:p w14:paraId="75B7184E" w14:textId="77777777" w:rsidR="00386261" w:rsidRPr="00386261" w:rsidRDefault="00386261" w:rsidP="00386261">
            <w:pPr>
              <w:rPr>
                <w:rFonts w:ascii="Arial" w:hAnsi="Arial" w:cs="Arial"/>
                <w:b/>
                <w:bCs/>
                <w:sz w:val="20"/>
                <w:szCs w:val="20"/>
              </w:rPr>
            </w:pPr>
            <w:r w:rsidRPr="00386261">
              <w:rPr>
                <w:rFonts w:ascii="Arial" w:hAnsi="Arial" w:cs="Arial"/>
                <w:b/>
                <w:bCs/>
                <w:sz w:val="20"/>
                <w:szCs w:val="20"/>
              </w:rPr>
              <w:t>QS 2027 Rank</w:t>
            </w:r>
          </w:p>
        </w:tc>
        <w:tc>
          <w:tcPr>
            <w:tcW w:w="2314" w:type="pct"/>
            <w:tcBorders>
              <w:top w:val="single" w:sz="4" w:space="0" w:color="auto"/>
              <w:bottom w:val="single" w:sz="4" w:space="0" w:color="auto"/>
            </w:tcBorders>
            <w:tcMar>
              <w:top w:w="120" w:type="dxa"/>
              <w:left w:w="120" w:type="dxa"/>
              <w:bottom w:w="120" w:type="dxa"/>
              <w:right w:w="120" w:type="dxa"/>
            </w:tcMar>
            <w:hideMark/>
          </w:tcPr>
          <w:p w14:paraId="0C2C5403" w14:textId="77777777" w:rsidR="00386261" w:rsidRPr="00386261" w:rsidRDefault="00386261" w:rsidP="00386261">
            <w:pPr>
              <w:rPr>
                <w:rFonts w:ascii="Arial" w:hAnsi="Arial" w:cs="Arial"/>
                <w:b/>
                <w:bCs/>
                <w:sz w:val="20"/>
                <w:szCs w:val="20"/>
              </w:rPr>
            </w:pPr>
            <w:r w:rsidRPr="00386261">
              <w:rPr>
                <w:rFonts w:ascii="Arial" w:hAnsi="Arial" w:cs="Arial"/>
                <w:b/>
                <w:bCs/>
                <w:sz w:val="20"/>
                <w:szCs w:val="20"/>
              </w:rPr>
              <w:t>Primary student entrepreneurship structure</w:t>
            </w:r>
          </w:p>
        </w:tc>
      </w:tr>
      <w:tr w:rsidR="00386261" w:rsidRPr="00386261" w14:paraId="44FBF64F" w14:textId="77777777" w:rsidTr="00386261">
        <w:trPr>
          <w:jc w:val="center"/>
        </w:trPr>
        <w:tc>
          <w:tcPr>
            <w:tcW w:w="0" w:type="auto"/>
            <w:tcBorders>
              <w:top w:val="single" w:sz="4" w:space="0" w:color="auto"/>
            </w:tcBorders>
            <w:tcMar>
              <w:top w:w="120" w:type="dxa"/>
              <w:left w:w="120" w:type="dxa"/>
              <w:bottom w:w="120" w:type="dxa"/>
              <w:right w:w="120" w:type="dxa"/>
            </w:tcMar>
            <w:hideMark/>
          </w:tcPr>
          <w:p w14:paraId="577C0D0E" w14:textId="77777777" w:rsidR="00386261" w:rsidRPr="00386261" w:rsidRDefault="00386261" w:rsidP="00386261">
            <w:pPr>
              <w:rPr>
                <w:rFonts w:ascii="Arial" w:hAnsi="Arial" w:cs="Arial"/>
                <w:sz w:val="20"/>
                <w:szCs w:val="20"/>
              </w:rPr>
            </w:pPr>
            <w:r w:rsidRPr="00386261">
              <w:rPr>
                <w:rFonts w:ascii="Arial" w:hAnsi="Arial" w:cs="Arial"/>
                <w:sz w:val="20"/>
                <w:szCs w:val="20"/>
              </w:rPr>
              <w:t>1</w:t>
            </w:r>
          </w:p>
        </w:tc>
        <w:tc>
          <w:tcPr>
            <w:tcW w:w="0" w:type="auto"/>
            <w:tcBorders>
              <w:top w:val="single" w:sz="4" w:space="0" w:color="auto"/>
            </w:tcBorders>
            <w:tcMar>
              <w:top w:w="120" w:type="dxa"/>
              <w:left w:w="120" w:type="dxa"/>
              <w:bottom w:w="120" w:type="dxa"/>
              <w:right w:w="120" w:type="dxa"/>
            </w:tcMar>
            <w:hideMark/>
          </w:tcPr>
          <w:p w14:paraId="4D0DA8A1" w14:textId="77777777" w:rsidR="00386261" w:rsidRPr="00386261" w:rsidRDefault="00386261" w:rsidP="00386261">
            <w:pPr>
              <w:rPr>
                <w:rFonts w:ascii="Arial" w:hAnsi="Arial" w:cs="Arial"/>
                <w:sz w:val="20"/>
                <w:szCs w:val="20"/>
              </w:rPr>
            </w:pPr>
            <w:r w:rsidRPr="00386261">
              <w:rPr>
                <w:rFonts w:ascii="Arial" w:hAnsi="Arial" w:cs="Arial"/>
                <w:sz w:val="20"/>
                <w:szCs w:val="20"/>
              </w:rPr>
              <w:t>Massachusetts Institute of Technology (MIT)</w:t>
            </w:r>
          </w:p>
        </w:tc>
        <w:tc>
          <w:tcPr>
            <w:tcW w:w="777" w:type="pct"/>
            <w:tcBorders>
              <w:top w:val="single" w:sz="4" w:space="0" w:color="auto"/>
            </w:tcBorders>
            <w:tcMar>
              <w:top w:w="120" w:type="dxa"/>
              <w:left w:w="120" w:type="dxa"/>
              <w:bottom w:w="120" w:type="dxa"/>
              <w:right w:w="120" w:type="dxa"/>
            </w:tcMar>
            <w:hideMark/>
          </w:tcPr>
          <w:p w14:paraId="200AFA76" w14:textId="18E9EEAF" w:rsidR="00386261" w:rsidRPr="00386261" w:rsidRDefault="00386261" w:rsidP="00386261">
            <w:pPr>
              <w:rPr>
                <w:rFonts w:ascii="Arial" w:hAnsi="Arial" w:cs="Arial"/>
                <w:sz w:val="20"/>
                <w:szCs w:val="20"/>
              </w:rPr>
            </w:pPr>
            <w:r>
              <w:rPr>
                <w:rFonts w:ascii="Arial" w:hAnsi="Arial" w:cs="Arial"/>
                <w:color w:val="000000"/>
                <w:sz w:val="20"/>
                <w:szCs w:val="20"/>
              </w:rPr>
              <w:t>1</w:t>
            </w:r>
          </w:p>
        </w:tc>
        <w:tc>
          <w:tcPr>
            <w:tcW w:w="2314" w:type="pct"/>
            <w:tcBorders>
              <w:top w:val="single" w:sz="4" w:space="0" w:color="auto"/>
            </w:tcBorders>
            <w:tcMar>
              <w:top w:w="120" w:type="dxa"/>
              <w:left w:w="120" w:type="dxa"/>
              <w:bottom w:w="120" w:type="dxa"/>
              <w:right w:w="120" w:type="dxa"/>
            </w:tcMar>
            <w:hideMark/>
          </w:tcPr>
          <w:p w14:paraId="60374FC4" w14:textId="77777777" w:rsidR="00386261" w:rsidRPr="00386261" w:rsidRDefault="00386261" w:rsidP="00386261">
            <w:pPr>
              <w:rPr>
                <w:rFonts w:ascii="Arial" w:hAnsi="Arial" w:cs="Arial"/>
                <w:sz w:val="20"/>
                <w:szCs w:val="20"/>
              </w:rPr>
            </w:pPr>
            <w:r w:rsidRPr="00386261">
              <w:rPr>
                <w:rFonts w:ascii="Arial" w:hAnsi="Arial" w:cs="Arial"/>
                <w:sz w:val="20"/>
                <w:szCs w:val="20"/>
              </w:rPr>
              <w:t>Martin Trust Center for MIT Entrepreneurship (Massachusetts Institute of Technology, n.d.-a)</w:t>
            </w:r>
          </w:p>
        </w:tc>
      </w:tr>
      <w:tr w:rsidR="00386261" w:rsidRPr="00386261" w14:paraId="35215D5F" w14:textId="77777777" w:rsidTr="00386261">
        <w:trPr>
          <w:jc w:val="center"/>
        </w:trPr>
        <w:tc>
          <w:tcPr>
            <w:tcW w:w="0" w:type="auto"/>
            <w:tcMar>
              <w:top w:w="120" w:type="dxa"/>
              <w:left w:w="120" w:type="dxa"/>
              <w:bottom w:w="120" w:type="dxa"/>
              <w:right w:w="120" w:type="dxa"/>
            </w:tcMar>
            <w:hideMark/>
          </w:tcPr>
          <w:p w14:paraId="112501F4" w14:textId="77777777" w:rsidR="00386261" w:rsidRPr="00386261" w:rsidRDefault="00386261" w:rsidP="00386261">
            <w:pPr>
              <w:rPr>
                <w:rFonts w:ascii="Arial" w:hAnsi="Arial" w:cs="Arial"/>
                <w:sz w:val="20"/>
                <w:szCs w:val="20"/>
              </w:rPr>
            </w:pPr>
            <w:r w:rsidRPr="00386261">
              <w:rPr>
                <w:rFonts w:ascii="Arial" w:hAnsi="Arial" w:cs="Arial"/>
                <w:sz w:val="20"/>
                <w:szCs w:val="20"/>
              </w:rPr>
              <w:t>2</w:t>
            </w:r>
          </w:p>
        </w:tc>
        <w:tc>
          <w:tcPr>
            <w:tcW w:w="0" w:type="auto"/>
            <w:tcMar>
              <w:top w:w="120" w:type="dxa"/>
              <w:left w:w="120" w:type="dxa"/>
              <w:bottom w:w="120" w:type="dxa"/>
              <w:right w:w="120" w:type="dxa"/>
            </w:tcMar>
            <w:hideMark/>
          </w:tcPr>
          <w:p w14:paraId="53C8AB88" w14:textId="77777777" w:rsidR="00386261" w:rsidRPr="00386261" w:rsidRDefault="00386261" w:rsidP="00386261">
            <w:pPr>
              <w:rPr>
                <w:rFonts w:ascii="Arial" w:hAnsi="Arial" w:cs="Arial"/>
                <w:sz w:val="20"/>
                <w:szCs w:val="20"/>
              </w:rPr>
            </w:pPr>
            <w:r w:rsidRPr="00386261">
              <w:rPr>
                <w:rFonts w:ascii="Arial" w:hAnsi="Arial" w:cs="Arial"/>
                <w:sz w:val="20"/>
                <w:szCs w:val="20"/>
              </w:rPr>
              <w:t>Imperial College London</w:t>
            </w:r>
          </w:p>
        </w:tc>
        <w:tc>
          <w:tcPr>
            <w:tcW w:w="777" w:type="pct"/>
            <w:tcMar>
              <w:top w:w="120" w:type="dxa"/>
              <w:left w:w="120" w:type="dxa"/>
              <w:bottom w:w="120" w:type="dxa"/>
              <w:right w:w="120" w:type="dxa"/>
            </w:tcMar>
            <w:hideMark/>
          </w:tcPr>
          <w:p w14:paraId="54695B98" w14:textId="162D169D" w:rsidR="00386261" w:rsidRPr="00386261" w:rsidRDefault="00386261" w:rsidP="00386261">
            <w:pPr>
              <w:rPr>
                <w:rFonts w:ascii="Arial" w:hAnsi="Arial" w:cs="Arial"/>
                <w:sz w:val="20"/>
                <w:szCs w:val="20"/>
              </w:rPr>
            </w:pPr>
            <w:r>
              <w:rPr>
                <w:rFonts w:ascii="Arial" w:hAnsi="Arial" w:cs="Arial"/>
                <w:color w:val="000000"/>
                <w:sz w:val="20"/>
                <w:szCs w:val="20"/>
              </w:rPr>
              <w:t>2</w:t>
            </w:r>
          </w:p>
        </w:tc>
        <w:tc>
          <w:tcPr>
            <w:tcW w:w="2314" w:type="pct"/>
            <w:tcMar>
              <w:top w:w="120" w:type="dxa"/>
              <w:left w:w="120" w:type="dxa"/>
              <w:bottom w:w="120" w:type="dxa"/>
              <w:right w:w="120" w:type="dxa"/>
            </w:tcMar>
            <w:hideMark/>
          </w:tcPr>
          <w:p w14:paraId="68EBB23B" w14:textId="77777777" w:rsidR="00386261" w:rsidRPr="00386261" w:rsidRDefault="00386261" w:rsidP="00386261">
            <w:pPr>
              <w:rPr>
                <w:rFonts w:ascii="Arial" w:hAnsi="Arial" w:cs="Arial"/>
                <w:sz w:val="20"/>
                <w:szCs w:val="20"/>
              </w:rPr>
            </w:pPr>
            <w:r w:rsidRPr="00386261">
              <w:rPr>
                <w:rFonts w:ascii="Arial" w:hAnsi="Arial" w:cs="Arial"/>
                <w:sz w:val="20"/>
                <w:szCs w:val="20"/>
              </w:rPr>
              <w:t>Imperial Enterprise Lab (Imperial Enterprise Lab, n.d.)</w:t>
            </w:r>
          </w:p>
        </w:tc>
      </w:tr>
      <w:tr w:rsidR="00386261" w:rsidRPr="00386261" w14:paraId="47082E31" w14:textId="77777777" w:rsidTr="00386261">
        <w:trPr>
          <w:jc w:val="center"/>
        </w:trPr>
        <w:tc>
          <w:tcPr>
            <w:tcW w:w="0" w:type="auto"/>
            <w:tcMar>
              <w:top w:w="120" w:type="dxa"/>
              <w:left w:w="120" w:type="dxa"/>
              <w:bottom w:w="120" w:type="dxa"/>
              <w:right w:w="120" w:type="dxa"/>
            </w:tcMar>
            <w:hideMark/>
          </w:tcPr>
          <w:p w14:paraId="5C07DA7B" w14:textId="77777777" w:rsidR="00386261" w:rsidRPr="00386261" w:rsidRDefault="00386261" w:rsidP="00386261">
            <w:pPr>
              <w:rPr>
                <w:rFonts w:ascii="Arial" w:hAnsi="Arial" w:cs="Arial"/>
                <w:sz w:val="20"/>
                <w:szCs w:val="20"/>
              </w:rPr>
            </w:pPr>
            <w:r w:rsidRPr="00386261">
              <w:rPr>
                <w:rFonts w:ascii="Arial" w:hAnsi="Arial" w:cs="Arial"/>
                <w:sz w:val="20"/>
                <w:szCs w:val="20"/>
              </w:rPr>
              <w:t>3</w:t>
            </w:r>
          </w:p>
        </w:tc>
        <w:tc>
          <w:tcPr>
            <w:tcW w:w="0" w:type="auto"/>
            <w:tcMar>
              <w:top w:w="120" w:type="dxa"/>
              <w:left w:w="120" w:type="dxa"/>
              <w:bottom w:w="120" w:type="dxa"/>
              <w:right w:w="120" w:type="dxa"/>
            </w:tcMar>
            <w:hideMark/>
          </w:tcPr>
          <w:p w14:paraId="345579C6" w14:textId="77777777" w:rsidR="00386261" w:rsidRPr="00386261" w:rsidRDefault="00386261" w:rsidP="00386261">
            <w:pPr>
              <w:rPr>
                <w:rFonts w:ascii="Arial" w:hAnsi="Arial" w:cs="Arial"/>
                <w:sz w:val="20"/>
                <w:szCs w:val="20"/>
              </w:rPr>
            </w:pPr>
            <w:r w:rsidRPr="00386261">
              <w:rPr>
                <w:rFonts w:ascii="Arial" w:hAnsi="Arial" w:cs="Arial"/>
                <w:sz w:val="20"/>
                <w:szCs w:val="20"/>
              </w:rPr>
              <w:t>Stanford University</w:t>
            </w:r>
          </w:p>
        </w:tc>
        <w:tc>
          <w:tcPr>
            <w:tcW w:w="777" w:type="pct"/>
            <w:tcMar>
              <w:top w:w="120" w:type="dxa"/>
              <w:left w:w="120" w:type="dxa"/>
              <w:bottom w:w="120" w:type="dxa"/>
              <w:right w:w="120" w:type="dxa"/>
            </w:tcMar>
            <w:hideMark/>
          </w:tcPr>
          <w:p w14:paraId="4E2D79A5" w14:textId="749DEA5B" w:rsidR="00386261" w:rsidRPr="00386261" w:rsidRDefault="00386261" w:rsidP="00386261">
            <w:pPr>
              <w:rPr>
                <w:rFonts w:ascii="Arial" w:hAnsi="Arial" w:cs="Arial"/>
                <w:sz w:val="20"/>
                <w:szCs w:val="20"/>
              </w:rPr>
            </w:pPr>
            <w:r>
              <w:rPr>
                <w:rFonts w:ascii="Arial" w:hAnsi="Arial" w:cs="Arial"/>
                <w:color w:val="000000"/>
                <w:sz w:val="20"/>
                <w:szCs w:val="20"/>
              </w:rPr>
              <w:t>2</w:t>
            </w:r>
          </w:p>
        </w:tc>
        <w:tc>
          <w:tcPr>
            <w:tcW w:w="2314" w:type="pct"/>
            <w:tcMar>
              <w:top w:w="120" w:type="dxa"/>
              <w:left w:w="120" w:type="dxa"/>
              <w:bottom w:w="120" w:type="dxa"/>
              <w:right w:w="120" w:type="dxa"/>
            </w:tcMar>
            <w:hideMark/>
          </w:tcPr>
          <w:p w14:paraId="41A08B2E" w14:textId="77777777" w:rsidR="00386261" w:rsidRPr="00386261" w:rsidRDefault="00386261" w:rsidP="00386261">
            <w:pPr>
              <w:rPr>
                <w:rFonts w:ascii="Arial" w:hAnsi="Arial" w:cs="Arial"/>
                <w:sz w:val="20"/>
                <w:szCs w:val="20"/>
              </w:rPr>
            </w:pPr>
            <w:r w:rsidRPr="00386261">
              <w:rPr>
                <w:rFonts w:ascii="Arial" w:hAnsi="Arial" w:cs="Arial"/>
                <w:sz w:val="20"/>
                <w:szCs w:val="20"/>
              </w:rPr>
              <w:t>Stanford Technology Ventures Program (STVP) (Stanford Technology Ventures Program, n.d.)</w:t>
            </w:r>
          </w:p>
        </w:tc>
      </w:tr>
      <w:tr w:rsidR="00386261" w:rsidRPr="00386261" w14:paraId="5622E8B8" w14:textId="77777777" w:rsidTr="00386261">
        <w:trPr>
          <w:jc w:val="center"/>
        </w:trPr>
        <w:tc>
          <w:tcPr>
            <w:tcW w:w="0" w:type="auto"/>
            <w:tcMar>
              <w:top w:w="120" w:type="dxa"/>
              <w:left w:w="120" w:type="dxa"/>
              <w:bottom w:w="120" w:type="dxa"/>
              <w:right w:w="120" w:type="dxa"/>
            </w:tcMar>
            <w:hideMark/>
          </w:tcPr>
          <w:p w14:paraId="1FE0D669" w14:textId="77777777" w:rsidR="00386261" w:rsidRPr="00386261" w:rsidRDefault="00386261" w:rsidP="00386261">
            <w:pPr>
              <w:rPr>
                <w:rFonts w:ascii="Arial" w:hAnsi="Arial" w:cs="Arial"/>
                <w:sz w:val="20"/>
                <w:szCs w:val="20"/>
              </w:rPr>
            </w:pPr>
            <w:r w:rsidRPr="00386261">
              <w:rPr>
                <w:rFonts w:ascii="Arial" w:hAnsi="Arial" w:cs="Arial"/>
                <w:sz w:val="20"/>
                <w:szCs w:val="20"/>
              </w:rPr>
              <w:t>4</w:t>
            </w:r>
          </w:p>
        </w:tc>
        <w:tc>
          <w:tcPr>
            <w:tcW w:w="0" w:type="auto"/>
            <w:tcMar>
              <w:top w:w="120" w:type="dxa"/>
              <w:left w:w="120" w:type="dxa"/>
              <w:bottom w:w="120" w:type="dxa"/>
              <w:right w:w="120" w:type="dxa"/>
            </w:tcMar>
            <w:hideMark/>
          </w:tcPr>
          <w:p w14:paraId="0F8E2E00" w14:textId="77777777" w:rsidR="00386261" w:rsidRPr="00386261" w:rsidRDefault="00386261" w:rsidP="00386261">
            <w:pPr>
              <w:rPr>
                <w:rFonts w:ascii="Arial" w:hAnsi="Arial" w:cs="Arial"/>
                <w:sz w:val="20"/>
                <w:szCs w:val="20"/>
              </w:rPr>
            </w:pPr>
            <w:r w:rsidRPr="00386261">
              <w:rPr>
                <w:rFonts w:ascii="Arial" w:hAnsi="Arial" w:cs="Arial"/>
                <w:sz w:val="20"/>
                <w:szCs w:val="20"/>
              </w:rPr>
              <w:t>University of Oxford</w:t>
            </w:r>
          </w:p>
        </w:tc>
        <w:tc>
          <w:tcPr>
            <w:tcW w:w="777" w:type="pct"/>
            <w:tcMar>
              <w:top w:w="120" w:type="dxa"/>
              <w:left w:w="120" w:type="dxa"/>
              <w:bottom w:w="120" w:type="dxa"/>
              <w:right w:w="120" w:type="dxa"/>
            </w:tcMar>
            <w:hideMark/>
          </w:tcPr>
          <w:p w14:paraId="5C875DC9" w14:textId="1F50DF95" w:rsidR="00386261" w:rsidRPr="00386261" w:rsidRDefault="00386261" w:rsidP="00386261">
            <w:pPr>
              <w:rPr>
                <w:rFonts w:ascii="Arial" w:hAnsi="Arial" w:cs="Arial"/>
                <w:sz w:val="20"/>
                <w:szCs w:val="20"/>
              </w:rPr>
            </w:pPr>
            <w:r>
              <w:rPr>
                <w:rFonts w:ascii="Arial" w:hAnsi="Arial" w:cs="Arial"/>
                <w:color w:val="000000"/>
                <w:sz w:val="20"/>
                <w:szCs w:val="20"/>
              </w:rPr>
              <w:t>4</w:t>
            </w:r>
          </w:p>
        </w:tc>
        <w:tc>
          <w:tcPr>
            <w:tcW w:w="2314" w:type="pct"/>
            <w:tcMar>
              <w:top w:w="120" w:type="dxa"/>
              <w:left w:w="120" w:type="dxa"/>
              <w:bottom w:w="120" w:type="dxa"/>
              <w:right w:w="120" w:type="dxa"/>
            </w:tcMar>
            <w:hideMark/>
          </w:tcPr>
          <w:p w14:paraId="5025D32B" w14:textId="77777777" w:rsidR="00386261" w:rsidRPr="00386261" w:rsidRDefault="00386261" w:rsidP="00386261">
            <w:pPr>
              <w:rPr>
                <w:rFonts w:ascii="Arial" w:hAnsi="Arial" w:cs="Arial"/>
                <w:sz w:val="20"/>
                <w:szCs w:val="20"/>
              </w:rPr>
            </w:pPr>
            <w:r w:rsidRPr="00386261">
              <w:rPr>
                <w:rFonts w:ascii="Arial" w:hAnsi="Arial" w:cs="Arial"/>
                <w:sz w:val="20"/>
                <w:szCs w:val="20"/>
              </w:rPr>
              <w:t>EnSpire Oxford (University of Oxford, n.d.)</w:t>
            </w:r>
          </w:p>
        </w:tc>
      </w:tr>
      <w:tr w:rsidR="00386261" w:rsidRPr="00386261" w14:paraId="440B1A69" w14:textId="77777777" w:rsidTr="00386261">
        <w:trPr>
          <w:jc w:val="center"/>
        </w:trPr>
        <w:tc>
          <w:tcPr>
            <w:tcW w:w="0" w:type="auto"/>
            <w:tcMar>
              <w:top w:w="120" w:type="dxa"/>
              <w:left w:w="120" w:type="dxa"/>
              <w:bottom w:w="120" w:type="dxa"/>
              <w:right w:w="120" w:type="dxa"/>
            </w:tcMar>
            <w:hideMark/>
          </w:tcPr>
          <w:p w14:paraId="1446BB5B" w14:textId="77777777" w:rsidR="00386261" w:rsidRPr="00386261" w:rsidRDefault="00386261" w:rsidP="00386261">
            <w:pPr>
              <w:rPr>
                <w:rFonts w:ascii="Arial" w:hAnsi="Arial" w:cs="Arial"/>
                <w:sz w:val="20"/>
                <w:szCs w:val="20"/>
              </w:rPr>
            </w:pPr>
            <w:r w:rsidRPr="00386261">
              <w:rPr>
                <w:rFonts w:ascii="Arial" w:hAnsi="Arial" w:cs="Arial"/>
                <w:sz w:val="20"/>
                <w:szCs w:val="20"/>
              </w:rPr>
              <w:t>5</w:t>
            </w:r>
          </w:p>
        </w:tc>
        <w:tc>
          <w:tcPr>
            <w:tcW w:w="0" w:type="auto"/>
            <w:tcMar>
              <w:top w:w="120" w:type="dxa"/>
              <w:left w:w="120" w:type="dxa"/>
              <w:bottom w:w="120" w:type="dxa"/>
              <w:right w:w="120" w:type="dxa"/>
            </w:tcMar>
            <w:hideMark/>
          </w:tcPr>
          <w:p w14:paraId="788E43BC" w14:textId="77777777" w:rsidR="00386261" w:rsidRPr="00386261" w:rsidRDefault="00386261" w:rsidP="00386261">
            <w:pPr>
              <w:rPr>
                <w:rFonts w:ascii="Arial" w:hAnsi="Arial" w:cs="Arial"/>
                <w:sz w:val="20"/>
                <w:szCs w:val="20"/>
              </w:rPr>
            </w:pPr>
            <w:r w:rsidRPr="00386261">
              <w:rPr>
                <w:rFonts w:ascii="Arial" w:hAnsi="Arial" w:cs="Arial"/>
                <w:sz w:val="20"/>
                <w:szCs w:val="20"/>
              </w:rPr>
              <w:t>Harvard University</w:t>
            </w:r>
          </w:p>
        </w:tc>
        <w:tc>
          <w:tcPr>
            <w:tcW w:w="777" w:type="pct"/>
            <w:tcMar>
              <w:top w:w="120" w:type="dxa"/>
              <w:left w:w="120" w:type="dxa"/>
              <w:bottom w:w="120" w:type="dxa"/>
              <w:right w:w="120" w:type="dxa"/>
            </w:tcMar>
            <w:hideMark/>
          </w:tcPr>
          <w:p w14:paraId="04C96D8D" w14:textId="55FB4EA0" w:rsidR="00386261" w:rsidRPr="00386261" w:rsidRDefault="00386261" w:rsidP="00386261">
            <w:pPr>
              <w:rPr>
                <w:rFonts w:ascii="Arial" w:hAnsi="Arial" w:cs="Arial"/>
                <w:sz w:val="20"/>
                <w:szCs w:val="20"/>
              </w:rPr>
            </w:pPr>
            <w:r>
              <w:rPr>
                <w:rFonts w:ascii="Arial" w:hAnsi="Arial" w:cs="Arial"/>
                <w:color w:val="000000"/>
                <w:sz w:val="20"/>
                <w:szCs w:val="20"/>
              </w:rPr>
              <w:t>5</w:t>
            </w:r>
          </w:p>
        </w:tc>
        <w:tc>
          <w:tcPr>
            <w:tcW w:w="2314" w:type="pct"/>
            <w:tcMar>
              <w:top w:w="120" w:type="dxa"/>
              <w:left w:w="120" w:type="dxa"/>
              <w:bottom w:w="120" w:type="dxa"/>
              <w:right w:w="120" w:type="dxa"/>
            </w:tcMar>
            <w:hideMark/>
          </w:tcPr>
          <w:p w14:paraId="3E7C5D11" w14:textId="77777777" w:rsidR="00386261" w:rsidRPr="00386261" w:rsidRDefault="00386261" w:rsidP="00386261">
            <w:pPr>
              <w:rPr>
                <w:rFonts w:ascii="Arial" w:hAnsi="Arial" w:cs="Arial"/>
                <w:sz w:val="20"/>
                <w:szCs w:val="20"/>
              </w:rPr>
            </w:pPr>
            <w:r w:rsidRPr="00386261">
              <w:rPr>
                <w:rFonts w:ascii="Arial" w:hAnsi="Arial" w:cs="Arial"/>
                <w:sz w:val="20"/>
                <w:szCs w:val="20"/>
              </w:rPr>
              <w:t>Harvard Innovation Labs – Student i</w:t>
            </w:r>
            <w:r w:rsidRPr="00386261">
              <w:rPr>
                <w:rFonts w:ascii="Arial" w:hAnsi="Arial" w:cs="Arial"/>
                <w:sz w:val="20"/>
                <w:szCs w:val="20"/>
              </w:rPr>
              <w:noBreakHyphen/>
              <w:t>lab (Harvard Innovation Labs, n.d.)</w:t>
            </w:r>
          </w:p>
        </w:tc>
      </w:tr>
      <w:tr w:rsidR="00386261" w:rsidRPr="00386261" w14:paraId="451B8C70" w14:textId="77777777" w:rsidTr="00386261">
        <w:trPr>
          <w:jc w:val="center"/>
        </w:trPr>
        <w:tc>
          <w:tcPr>
            <w:tcW w:w="0" w:type="auto"/>
            <w:tcMar>
              <w:top w:w="120" w:type="dxa"/>
              <w:left w:w="120" w:type="dxa"/>
              <w:bottom w:w="120" w:type="dxa"/>
              <w:right w:w="120" w:type="dxa"/>
            </w:tcMar>
            <w:hideMark/>
          </w:tcPr>
          <w:p w14:paraId="790101B0" w14:textId="77777777" w:rsidR="00386261" w:rsidRPr="00386261" w:rsidRDefault="00386261" w:rsidP="00386261">
            <w:pPr>
              <w:rPr>
                <w:rFonts w:ascii="Arial" w:hAnsi="Arial" w:cs="Arial"/>
                <w:sz w:val="20"/>
                <w:szCs w:val="20"/>
              </w:rPr>
            </w:pPr>
            <w:r w:rsidRPr="00386261">
              <w:rPr>
                <w:rFonts w:ascii="Arial" w:hAnsi="Arial" w:cs="Arial"/>
                <w:sz w:val="20"/>
                <w:szCs w:val="20"/>
              </w:rPr>
              <w:lastRenderedPageBreak/>
              <w:t>6</w:t>
            </w:r>
          </w:p>
        </w:tc>
        <w:tc>
          <w:tcPr>
            <w:tcW w:w="0" w:type="auto"/>
            <w:tcMar>
              <w:top w:w="120" w:type="dxa"/>
              <w:left w:w="120" w:type="dxa"/>
              <w:bottom w:w="120" w:type="dxa"/>
              <w:right w:w="120" w:type="dxa"/>
            </w:tcMar>
            <w:hideMark/>
          </w:tcPr>
          <w:p w14:paraId="36AAAB15" w14:textId="77777777" w:rsidR="00386261" w:rsidRPr="00386261" w:rsidRDefault="00386261" w:rsidP="00386261">
            <w:pPr>
              <w:rPr>
                <w:rFonts w:ascii="Arial" w:hAnsi="Arial" w:cs="Arial"/>
                <w:sz w:val="20"/>
                <w:szCs w:val="20"/>
              </w:rPr>
            </w:pPr>
            <w:r w:rsidRPr="00386261">
              <w:rPr>
                <w:rFonts w:ascii="Arial" w:hAnsi="Arial" w:cs="Arial"/>
                <w:sz w:val="20"/>
                <w:szCs w:val="20"/>
              </w:rPr>
              <w:t>University of Cambridge</w:t>
            </w:r>
          </w:p>
        </w:tc>
        <w:tc>
          <w:tcPr>
            <w:tcW w:w="777" w:type="pct"/>
            <w:tcMar>
              <w:top w:w="120" w:type="dxa"/>
              <w:left w:w="120" w:type="dxa"/>
              <w:bottom w:w="120" w:type="dxa"/>
              <w:right w:w="120" w:type="dxa"/>
            </w:tcMar>
            <w:hideMark/>
          </w:tcPr>
          <w:p w14:paraId="4C721EEB" w14:textId="2ED2D77C" w:rsidR="00386261" w:rsidRPr="00386261" w:rsidRDefault="00386261" w:rsidP="00386261">
            <w:pPr>
              <w:rPr>
                <w:rFonts w:ascii="Arial" w:hAnsi="Arial" w:cs="Arial"/>
                <w:sz w:val="20"/>
                <w:szCs w:val="20"/>
              </w:rPr>
            </w:pPr>
            <w:r>
              <w:rPr>
                <w:rFonts w:ascii="Arial" w:hAnsi="Arial" w:cs="Arial"/>
                <w:color w:val="000000"/>
                <w:sz w:val="20"/>
                <w:szCs w:val="20"/>
              </w:rPr>
              <w:t>6</w:t>
            </w:r>
          </w:p>
        </w:tc>
        <w:tc>
          <w:tcPr>
            <w:tcW w:w="2314" w:type="pct"/>
            <w:tcMar>
              <w:top w:w="120" w:type="dxa"/>
              <w:left w:w="120" w:type="dxa"/>
              <w:bottom w:w="120" w:type="dxa"/>
              <w:right w:w="120" w:type="dxa"/>
            </w:tcMar>
            <w:hideMark/>
          </w:tcPr>
          <w:p w14:paraId="5118F27D" w14:textId="77777777" w:rsidR="00386261" w:rsidRPr="00386261" w:rsidRDefault="00386261" w:rsidP="00386261">
            <w:pPr>
              <w:rPr>
                <w:rFonts w:ascii="Arial" w:hAnsi="Arial" w:cs="Arial"/>
                <w:sz w:val="20"/>
                <w:szCs w:val="20"/>
              </w:rPr>
            </w:pPr>
            <w:r w:rsidRPr="00386261">
              <w:rPr>
                <w:rFonts w:ascii="Arial" w:hAnsi="Arial" w:cs="Arial"/>
                <w:sz w:val="20"/>
                <w:szCs w:val="20"/>
              </w:rPr>
              <w:t>Cambridge Judge Entrepreneurship Centre (University of Cambridge, n.d.)</w:t>
            </w:r>
          </w:p>
        </w:tc>
      </w:tr>
      <w:tr w:rsidR="00386261" w:rsidRPr="00386261" w14:paraId="0D11C2CB" w14:textId="77777777" w:rsidTr="00386261">
        <w:trPr>
          <w:jc w:val="center"/>
        </w:trPr>
        <w:tc>
          <w:tcPr>
            <w:tcW w:w="0" w:type="auto"/>
            <w:tcMar>
              <w:top w:w="120" w:type="dxa"/>
              <w:left w:w="120" w:type="dxa"/>
              <w:bottom w:w="120" w:type="dxa"/>
              <w:right w:w="120" w:type="dxa"/>
            </w:tcMar>
            <w:hideMark/>
          </w:tcPr>
          <w:p w14:paraId="4CE77529" w14:textId="77777777" w:rsidR="00386261" w:rsidRPr="00386261" w:rsidRDefault="00386261" w:rsidP="00386261">
            <w:pPr>
              <w:rPr>
                <w:rFonts w:ascii="Arial" w:hAnsi="Arial" w:cs="Arial"/>
                <w:sz w:val="20"/>
                <w:szCs w:val="20"/>
              </w:rPr>
            </w:pPr>
            <w:r w:rsidRPr="00386261">
              <w:rPr>
                <w:rFonts w:ascii="Arial" w:hAnsi="Arial" w:cs="Arial"/>
                <w:sz w:val="20"/>
                <w:szCs w:val="20"/>
              </w:rPr>
              <w:t>7</w:t>
            </w:r>
          </w:p>
        </w:tc>
        <w:tc>
          <w:tcPr>
            <w:tcW w:w="0" w:type="auto"/>
            <w:tcMar>
              <w:top w:w="120" w:type="dxa"/>
              <w:left w:w="120" w:type="dxa"/>
              <w:bottom w:w="120" w:type="dxa"/>
              <w:right w:w="120" w:type="dxa"/>
            </w:tcMar>
            <w:hideMark/>
          </w:tcPr>
          <w:p w14:paraId="668682E1" w14:textId="77777777" w:rsidR="00386261" w:rsidRPr="00386261" w:rsidRDefault="00386261" w:rsidP="00386261">
            <w:pPr>
              <w:rPr>
                <w:rFonts w:ascii="Arial" w:hAnsi="Arial" w:cs="Arial"/>
                <w:sz w:val="20"/>
                <w:szCs w:val="20"/>
              </w:rPr>
            </w:pPr>
            <w:r w:rsidRPr="00386261">
              <w:rPr>
                <w:rFonts w:ascii="Arial" w:hAnsi="Arial" w:cs="Arial"/>
                <w:sz w:val="20"/>
                <w:szCs w:val="20"/>
              </w:rPr>
              <w:t>California Institute of Technology (Caltech)</w:t>
            </w:r>
          </w:p>
        </w:tc>
        <w:tc>
          <w:tcPr>
            <w:tcW w:w="777" w:type="pct"/>
            <w:tcMar>
              <w:top w:w="120" w:type="dxa"/>
              <w:left w:w="120" w:type="dxa"/>
              <w:bottom w:w="120" w:type="dxa"/>
              <w:right w:w="120" w:type="dxa"/>
            </w:tcMar>
            <w:hideMark/>
          </w:tcPr>
          <w:p w14:paraId="5157DB89" w14:textId="751C9C2B" w:rsidR="00386261" w:rsidRPr="00386261" w:rsidRDefault="00386261" w:rsidP="00386261">
            <w:pPr>
              <w:rPr>
                <w:rFonts w:ascii="Arial" w:hAnsi="Arial" w:cs="Arial"/>
                <w:sz w:val="20"/>
                <w:szCs w:val="20"/>
              </w:rPr>
            </w:pPr>
            <w:r>
              <w:rPr>
                <w:rFonts w:ascii="Arial" w:hAnsi="Arial" w:cs="Arial"/>
                <w:color w:val="000000"/>
                <w:sz w:val="20"/>
                <w:szCs w:val="20"/>
              </w:rPr>
              <w:t>7</w:t>
            </w:r>
          </w:p>
        </w:tc>
        <w:tc>
          <w:tcPr>
            <w:tcW w:w="2314" w:type="pct"/>
            <w:tcMar>
              <w:top w:w="120" w:type="dxa"/>
              <w:left w:w="120" w:type="dxa"/>
              <w:bottom w:w="120" w:type="dxa"/>
              <w:right w:w="120" w:type="dxa"/>
            </w:tcMar>
            <w:hideMark/>
          </w:tcPr>
          <w:p w14:paraId="328E02E4" w14:textId="77777777" w:rsidR="00386261" w:rsidRPr="00386261" w:rsidRDefault="00386261" w:rsidP="00386261">
            <w:pPr>
              <w:rPr>
                <w:rFonts w:ascii="Arial" w:hAnsi="Arial" w:cs="Arial"/>
                <w:sz w:val="20"/>
                <w:szCs w:val="20"/>
              </w:rPr>
            </w:pPr>
            <w:r w:rsidRPr="00386261">
              <w:rPr>
                <w:rFonts w:ascii="Arial" w:hAnsi="Arial" w:cs="Arial"/>
                <w:sz w:val="20"/>
                <w:szCs w:val="20"/>
              </w:rPr>
              <w:t>Caltech entrepreneurship programs / OTTCP (California Institute of Technology, n.d.)</w:t>
            </w:r>
          </w:p>
        </w:tc>
      </w:tr>
      <w:tr w:rsidR="00386261" w:rsidRPr="00386261" w14:paraId="10044D0B" w14:textId="77777777" w:rsidTr="00386261">
        <w:trPr>
          <w:jc w:val="center"/>
        </w:trPr>
        <w:tc>
          <w:tcPr>
            <w:tcW w:w="0" w:type="auto"/>
            <w:tcMar>
              <w:top w:w="120" w:type="dxa"/>
              <w:left w:w="120" w:type="dxa"/>
              <w:bottom w:w="120" w:type="dxa"/>
              <w:right w:w="120" w:type="dxa"/>
            </w:tcMar>
            <w:hideMark/>
          </w:tcPr>
          <w:p w14:paraId="7D6A90AD" w14:textId="77777777" w:rsidR="00386261" w:rsidRPr="00386261" w:rsidRDefault="00386261" w:rsidP="00386261">
            <w:pPr>
              <w:rPr>
                <w:rFonts w:ascii="Arial" w:hAnsi="Arial" w:cs="Arial"/>
                <w:sz w:val="20"/>
                <w:szCs w:val="20"/>
              </w:rPr>
            </w:pPr>
            <w:r w:rsidRPr="00386261">
              <w:rPr>
                <w:rFonts w:ascii="Arial" w:hAnsi="Arial" w:cs="Arial"/>
                <w:sz w:val="20"/>
                <w:szCs w:val="20"/>
              </w:rPr>
              <w:t>8</w:t>
            </w:r>
          </w:p>
        </w:tc>
        <w:tc>
          <w:tcPr>
            <w:tcW w:w="0" w:type="auto"/>
            <w:tcMar>
              <w:top w:w="120" w:type="dxa"/>
              <w:left w:w="120" w:type="dxa"/>
              <w:bottom w:w="120" w:type="dxa"/>
              <w:right w:w="120" w:type="dxa"/>
            </w:tcMar>
            <w:hideMark/>
          </w:tcPr>
          <w:p w14:paraId="7C3D401E" w14:textId="77777777" w:rsidR="00386261" w:rsidRPr="00386261" w:rsidRDefault="00386261" w:rsidP="00386261">
            <w:pPr>
              <w:rPr>
                <w:rFonts w:ascii="Arial" w:hAnsi="Arial" w:cs="Arial"/>
                <w:sz w:val="20"/>
                <w:szCs w:val="20"/>
              </w:rPr>
            </w:pPr>
            <w:r w:rsidRPr="00386261">
              <w:rPr>
                <w:rFonts w:ascii="Arial" w:hAnsi="Arial" w:cs="Arial"/>
                <w:sz w:val="20"/>
                <w:szCs w:val="20"/>
              </w:rPr>
              <w:t>ETH Zurich</w:t>
            </w:r>
          </w:p>
        </w:tc>
        <w:tc>
          <w:tcPr>
            <w:tcW w:w="777" w:type="pct"/>
            <w:tcMar>
              <w:top w:w="120" w:type="dxa"/>
              <w:left w:w="120" w:type="dxa"/>
              <w:bottom w:w="120" w:type="dxa"/>
              <w:right w:w="120" w:type="dxa"/>
            </w:tcMar>
            <w:hideMark/>
          </w:tcPr>
          <w:p w14:paraId="54D1C817" w14:textId="49C4C37C" w:rsidR="00386261" w:rsidRPr="00386261" w:rsidRDefault="00386261" w:rsidP="00386261">
            <w:pPr>
              <w:rPr>
                <w:rFonts w:ascii="Arial" w:hAnsi="Arial" w:cs="Arial"/>
                <w:sz w:val="20"/>
                <w:szCs w:val="20"/>
              </w:rPr>
            </w:pPr>
            <w:r>
              <w:rPr>
                <w:rFonts w:ascii="Arial" w:hAnsi="Arial" w:cs="Arial"/>
                <w:color w:val="000000"/>
                <w:sz w:val="20"/>
                <w:szCs w:val="20"/>
              </w:rPr>
              <w:t>8</w:t>
            </w:r>
          </w:p>
        </w:tc>
        <w:tc>
          <w:tcPr>
            <w:tcW w:w="2314" w:type="pct"/>
            <w:tcMar>
              <w:top w:w="120" w:type="dxa"/>
              <w:left w:w="120" w:type="dxa"/>
              <w:bottom w:w="120" w:type="dxa"/>
              <w:right w:w="120" w:type="dxa"/>
            </w:tcMar>
            <w:hideMark/>
          </w:tcPr>
          <w:p w14:paraId="0EF60AAD" w14:textId="77777777" w:rsidR="00386261" w:rsidRPr="00386261" w:rsidRDefault="00386261" w:rsidP="00386261">
            <w:pPr>
              <w:rPr>
                <w:rFonts w:ascii="Arial" w:hAnsi="Arial" w:cs="Arial"/>
                <w:sz w:val="20"/>
                <w:szCs w:val="20"/>
              </w:rPr>
            </w:pPr>
            <w:r w:rsidRPr="00386261">
              <w:rPr>
                <w:rFonts w:ascii="Arial" w:hAnsi="Arial" w:cs="Arial"/>
                <w:sz w:val="20"/>
                <w:szCs w:val="20"/>
              </w:rPr>
              <w:t>ETH Entrepreneurship (ETH Zurich, n.d.)</w:t>
            </w:r>
          </w:p>
        </w:tc>
      </w:tr>
      <w:tr w:rsidR="00386261" w:rsidRPr="00386261" w14:paraId="6A8BAF77" w14:textId="77777777" w:rsidTr="00386261">
        <w:trPr>
          <w:jc w:val="center"/>
        </w:trPr>
        <w:tc>
          <w:tcPr>
            <w:tcW w:w="0" w:type="auto"/>
            <w:tcMar>
              <w:top w:w="120" w:type="dxa"/>
              <w:left w:w="120" w:type="dxa"/>
              <w:bottom w:w="120" w:type="dxa"/>
              <w:right w:w="120" w:type="dxa"/>
            </w:tcMar>
            <w:hideMark/>
          </w:tcPr>
          <w:p w14:paraId="100C4955" w14:textId="77777777" w:rsidR="00386261" w:rsidRPr="00386261" w:rsidRDefault="00386261" w:rsidP="00386261">
            <w:pPr>
              <w:rPr>
                <w:rFonts w:ascii="Arial" w:hAnsi="Arial" w:cs="Arial"/>
                <w:sz w:val="20"/>
                <w:szCs w:val="20"/>
              </w:rPr>
            </w:pPr>
            <w:r w:rsidRPr="00386261">
              <w:rPr>
                <w:rFonts w:ascii="Arial" w:hAnsi="Arial" w:cs="Arial"/>
                <w:sz w:val="20"/>
                <w:szCs w:val="20"/>
              </w:rPr>
              <w:t>9</w:t>
            </w:r>
          </w:p>
        </w:tc>
        <w:tc>
          <w:tcPr>
            <w:tcW w:w="0" w:type="auto"/>
            <w:tcMar>
              <w:top w:w="120" w:type="dxa"/>
              <w:left w:w="120" w:type="dxa"/>
              <w:bottom w:w="120" w:type="dxa"/>
              <w:right w:w="120" w:type="dxa"/>
            </w:tcMar>
            <w:hideMark/>
          </w:tcPr>
          <w:p w14:paraId="42660D68" w14:textId="77777777" w:rsidR="00386261" w:rsidRPr="00386261" w:rsidRDefault="00386261" w:rsidP="00386261">
            <w:pPr>
              <w:rPr>
                <w:rFonts w:ascii="Arial" w:hAnsi="Arial" w:cs="Arial"/>
                <w:sz w:val="20"/>
                <w:szCs w:val="20"/>
              </w:rPr>
            </w:pPr>
            <w:r w:rsidRPr="00386261">
              <w:rPr>
                <w:rFonts w:ascii="Arial" w:hAnsi="Arial" w:cs="Arial"/>
                <w:sz w:val="20"/>
                <w:szCs w:val="20"/>
              </w:rPr>
              <w:t>University College London (UCL)</w:t>
            </w:r>
          </w:p>
        </w:tc>
        <w:tc>
          <w:tcPr>
            <w:tcW w:w="777" w:type="pct"/>
            <w:tcMar>
              <w:top w:w="120" w:type="dxa"/>
              <w:left w:w="120" w:type="dxa"/>
              <w:bottom w:w="120" w:type="dxa"/>
              <w:right w:w="120" w:type="dxa"/>
            </w:tcMar>
            <w:hideMark/>
          </w:tcPr>
          <w:p w14:paraId="601D2C37" w14:textId="4F89A2CC" w:rsidR="00386261" w:rsidRPr="00386261" w:rsidRDefault="00386261" w:rsidP="00386261">
            <w:pPr>
              <w:rPr>
                <w:rFonts w:ascii="Arial" w:hAnsi="Arial" w:cs="Arial"/>
                <w:sz w:val="20"/>
                <w:szCs w:val="20"/>
              </w:rPr>
            </w:pPr>
            <w:r>
              <w:rPr>
                <w:rFonts w:ascii="Arial" w:hAnsi="Arial" w:cs="Arial"/>
                <w:color w:val="000000"/>
                <w:sz w:val="20"/>
                <w:szCs w:val="20"/>
              </w:rPr>
              <w:t>9</w:t>
            </w:r>
          </w:p>
        </w:tc>
        <w:tc>
          <w:tcPr>
            <w:tcW w:w="2314" w:type="pct"/>
            <w:tcMar>
              <w:top w:w="120" w:type="dxa"/>
              <w:left w:w="120" w:type="dxa"/>
              <w:bottom w:w="120" w:type="dxa"/>
              <w:right w:w="120" w:type="dxa"/>
            </w:tcMar>
            <w:hideMark/>
          </w:tcPr>
          <w:p w14:paraId="5A36273A" w14:textId="77777777" w:rsidR="00386261" w:rsidRPr="00386261" w:rsidRDefault="00386261" w:rsidP="00386261">
            <w:pPr>
              <w:rPr>
                <w:rFonts w:ascii="Arial" w:hAnsi="Arial" w:cs="Arial"/>
                <w:sz w:val="20"/>
                <w:szCs w:val="20"/>
              </w:rPr>
            </w:pPr>
            <w:r w:rsidRPr="00386261">
              <w:rPr>
                <w:rFonts w:ascii="Arial" w:hAnsi="Arial" w:cs="Arial"/>
                <w:sz w:val="20"/>
                <w:szCs w:val="20"/>
              </w:rPr>
              <w:t>UCL Innovation &amp; Enterprise (University College London, n.d.)</w:t>
            </w:r>
          </w:p>
        </w:tc>
      </w:tr>
      <w:tr w:rsidR="00386261" w:rsidRPr="00386261" w14:paraId="154DFFC3" w14:textId="77777777" w:rsidTr="00386261">
        <w:trPr>
          <w:jc w:val="center"/>
        </w:trPr>
        <w:tc>
          <w:tcPr>
            <w:tcW w:w="0" w:type="auto"/>
            <w:tcMar>
              <w:top w:w="120" w:type="dxa"/>
              <w:left w:w="120" w:type="dxa"/>
              <w:bottom w:w="120" w:type="dxa"/>
              <w:right w:w="120" w:type="dxa"/>
            </w:tcMar>
            <w:hideMark/>
          </w:tcPr>
          <w:p w14:paraId="0BD74871" w14:textId="77777777" w:rsidR="00386261" w:rsidRPr="00386261" w:rsidRDefault="00386261" w:rsidP="00386261">
            <w:pPr>
              <w:rPr>
                <w:rFonts w:ascii="Arial" w:hAnsi="Arial" w:cs="Arial"/>
                <w:sz w:val="20"/>
                <w:szCs w:val="20"/>
              </w:rPr>
            </w:pPr>
            <w:r w:rsidRPr="00386261">
              <w:rPr>
                <w:rFonts w:ascii="Arial" w:hAnsi="Arial" w:cs="Arial"/>
                <w:sz w:val="20"/>
                <w:szCs w:val="20"/>
              </w:rPr>
              <w:t>10</w:t>
            </w:r>
          </w:p>
        </w:tc>
        <w:tc>
          <w:tcPr>
            <w:tcW w:w="0" w:type="auto"/>
            <w:tcMar>
              <w:top w:w="120" w:type="dxa"/>
              <w:left w:w="120" w:type="dxa"/>
              <w:bottom w:w="120" w:type="dxa"/>
              <w:right w:w="120" w:type="dxa"/>
            </w:tcMar>
            <w:hideMark/>
          </w:tcPr>
          <w:p w14:paraId="5D02D337" w14:textId="77777777" w:rsidR="00386261" w:rsidRPr="00386261" w:rsidRDefault="00386261" w:rsidP="00386261">
            <w:pPr>
              <w:rPr>
                <w:rFonts w:ascii="Arial" w:hAnsi="Arial" w:cs="Arial"/>
                <w:sz w:val="20"/>
                <w:szCs w:val="20"/>
              </w:rPr>
            </w:pPr>
            <w:r w:rsidRPr="00386261">
              <w:rPr>
                <w:rFonts w:ascii="Arial" w:hAnsi="Arial" w:cs="Arial"/>
                <w:sz w:val="20"/>
                <w:szCs w:val="20"/>
              </w:rPr>
              <w:t>National University of Singapore (NUS)</w:t>
            </w:r>
          </w:p>
        </w:tc>
        <w:tc>
          <w:tcPr>
            <w:tcW w:w="777" w:type="pct"/>
            <w:tcMar>
              <w:top w:w="120" w:type="dxa"/>
              <w:left w:w="120" w:type="dxa"/>
              <w:bottom w:w="120" w:type="dxa"/>
              <w:right w:w="120" w:type="dxa"/>
            </w:tcMar>
            <w:hideMark/>
          </w:tcPr>
          <w:p w14:paraId="506DDFB6" w14:textId="5860FA03" w:rsidR="00386261" w:rsidRPr="00386261" w:rsidRDefault="00386261" w:rsidP="00386261">
            <w:pPr>
              <w:rPr>
                <w:rFonts w:ascii="Arial" w:hAnsi="Arial" w:cs="Arial"/>
                <w:sz w:val="20"/>
                <w:szCs w:val="20"/>
              </w:rPr>
            </w:pPr>
            <w:r>
              <w:rPr>
                <w:rFonts w:ascii="Arial" w:hAnsi="Arial" w:cs="Arial"/>
                <w:color w:val="000000"/>
                <w:sz w:val="20"/>
                <w:szCs w:val="20"/>
              </w:rPr>
              <w:t>10</w:t>
            </w:r>
          </w:p>
        </w:tc>
        <w:tc>
          <w:tcPr>
            <w:tcW w:w="2314" w:type="pct"/>
            <w:tcMar>
              <w:top w:w="120" w:type="dxa"/>
              <w:left w:w="120" w:type="dxa"/>
              <w:bottom w:w="120" w:type="dxa"/>
              <w:right w:w="120" w:type="dxa"/>
            </w:tcMar>
            <w:hideMark/>
          </w:tcPr>
          <w:p w14:paraId="222C3730" w14:textId="77777777" w:rsidR="00386261" w:rsidRPr="00386261" w:rsidRDefault="00386261" w:rsidP="00386261">
            <w:pPr>
              <w:rPr>
                <w:rFonts w:ascii="Arial" w:hAnsi="Arial" w:cs="Arial"/>
                <w:sz w:val="20"/>
                <w:szCs w:val="20"/>
              </w:rPr>
            </w:pPr>
            <w:r w:rsidRPr="00386261">
              <w:rPr>
                <w:rFonts w:ascii="Arial" w:hAnsi="Arial" w:cs="Arial"/>
                <w:sz w:val="20"/>
                <w:szCs w:val="20"/>
              </w:rPr>
              <w:t>NUS Enterprise (National University of Singapore, n.d.)</w:t>
            </w:r>
          </w:p>
        </w:tc>
      </w:tr>
      <w:tr w:rsidR="00386261" w:rsidRPr="00386261" w14:paraId="13B52BE1" w14:textId="77777777" w:rsidTr="00386261">
        <w:trPr>
          <w:jc w:val="center"/>
        </w:trPr>
        <w:tc>
          <w:tcPr>
            <w:tcW w:w="0" w:type="auto"/>
            <w:tcBorders>
              <w:bottom w:val="single" w:sz="4" w:space="0" w:color="auto"/>
            </w:tcBorders>
            <w:tcMar>
              <w:top w:w="120" w:type="dxa"/>
              <w:left w:w="120" w:type="dxa"/>
              <w:bottom w:w="120" w:type="dxa"/>
              <w:right w:w="120" w:type="dxa"/>
            </w:tcMar>
            <w:hideMark/>
          </w:tcPr>
          <w:p w14:paraId="6C598EB7" w14:textId="604F5DC5" w:rsidR="00386261" w:rsidRPr="00386261" w:rsidRDefault="00725077" w:rsidP="00386261">
            <w:pPr>
              <w:rPr>
                <w:rFonts w:ascii="Arial" w:hAnsi="Arial" w:cs="Arial"/>
                <w:sz w:val="20"/>
                <w:szCs w:val="20"/>
              </w:rPr>
            </w:pPr>
            <w:r>
              <w:rPr>
                <w:rFonts w:ascii="Arial" w:hAnsi="Arial" w:cs="Arial"/>
                <w:sz w:val="20"/>
                <w:szCs w:val="20"/>
              </w:rPr>
              <w:t>Focal case</w:t>
            </w:r>
          </w:p>
        </w:tc>
        <w:tc>
          <w:tcPr>
            <w:tcW w:w="0" w:type="auto"/>
            <w:tcBorders>
              <w:bottom w:val="single" w:sz="4" w:space="0" w:color="auto"/>
            </w:tcBorders>
            <w:tcMar>
              <w:top w:w="120" w:type="dxa"/>
              <w:left w:w="120" w:type="dxa"/>
              <w:bottom w:w="120" w:type="dxa"/>
              <w:right w:w="120" w:type="dxa"/>
            </w:tcMar>
            <w:hideMark/>
          </w:tcPr>
          <w:p w14:paraId="42C4E922" w14:textId="77777777" w:rsidR="00386261" w:rsidRPr="00386261" w:rsidRDefault="00386261" w:rsidP="00386261">
            <w:pPr>
              <w:rPr>
                <w:rFonts w:ascii="Arial" w:hAnsi="Arial" w:cs="Arial"/>
                <w:sz w:val="20"/>
                <w:szCs w:val="20"/>
              </w:rPr>
            </w:pPr>
            <w:r w:rsidRPr="00386261">
              <w:rPr>
                <w:rFonts w:ascii="Arial" w:hAnsi="Arial" w:cs="Arial"/>
                <w:sz w:val="20"/>
                <w:szCs w:val="20"/>
              </w:rPr>
              <w:t>Xavier University</w:t>
            </w:r>
          </w:p>
        </w:tc>
        <w:tc>
          <w:tcPr>
            <w:tcW w:w="777" w:type="pct"/>
            <w:tcBorders>
              <w:bottom w:val="single" w:sz="4" w:space="0" w:color="auto"/>
            </w:tcBorders>
            <w:tcMar>
              <w:top w:w="120" w:type="dxa"/>
              <w:left w:w="120" w:type="dxa"/>
              <w:bottom w:w="120" w:type="dxa"/>
              <w:right w:w="120" w:type="dxa"/>
            </w:tcMar>
            <w:hideMark/>
          </w:tcPr>
          <w:p w14:paraId="17309159" w14:textId="6085CE8E" w:rsidR="00386261" w:rsidRPr="00386261" w:rsidRDefault="00725077" w:rsidP="00386261">
            <w:pPr>
              <w:rPr>
                <w:rFonts w:ascii="Arial" w:hAnsi="Arial" w:cs="Arial"/>
                <w:sz w:val="20"/>
                <w:szCs w:val="20"/>
              </w:rPr>
            </w:pPr>
            <w:r>
              <w:rPr>
                <w:rFonts w:ascii="Arial" w:hAnsi="Arial" w:cs="Arial"/>
                <w:sz w:val="20"/>
                <w:szCs w:val="20"/>
              </w:rPr>
              <w:t>Not applicable</w:t>
            </w:r>
          </w:p>
        </w:tc>
        <w:tc>
          <w:tcPr>
            <w:tcW w:w="2314" w:type="pct"/>
            <w:tcBorders>
              <w:bottom w:val="single" w:sz="4" w:space="0" w:color="auto"/>
            </w:tcBorders>
            <w:tcMar>
              <w:top w:w="120" w:type="dxa"/>
              <w:left w:w="120" w:type="dxa"/>
              <w:bottom w:w="120" w:type="dxa"/>
              <w:right w:w="120" w:type="dxa"/>
            </w:tcMar>
            <w:hideMark/>
          </w:tcPr>
          <w:p w14:paraId="3D44CE8F" w14:textId="77777777" w:rsidR="00386261" w:rsidRPr="00386261" w:rsidRDefault="00386261" w:rsidP="00386261">
            <w:pPr>
              <w:rPr>
                <w:rFonts w:ascii="Arial" w:hAnsi="Arial" w:cs="Arial"/>
                <w:sz w:val="20"/>
                <w:szCs w:val="20"/>
              </w:rPr>
            </w:pPr>
            <w:r w:rsidRPr="00386261">
              <w:rPr>
                <w:rFonts w:ascii="Arial" w:hAnsi="Arial" w:cs="Arial"/>
                <w:sz w:val="20"/>
                <w:szCs w:val="20"/>
              </w:rPr>
              <w:t>Student Entrepreneurship Center (Xavier University, n.d.-a)</w:t>
            </w:r>
          </w:p>
        </w:tc>
      </w:tr>
    </w:tbl>
    <w:p w14:paraId="5D7326FC" w14:textId="5C8EBE4A" w:rsidR="00386261" w:rsidRPr="00DA05CD" w:rsidRDefault="001739B2" w:rsidP="001739B2">
      <w:pPr>
        <w:pStyle w:val="NormalWeb"/>
        <w:spacing w:before="0" w:beforeAutospacing="0" w:after="0" w:afterAutospacing="0"/>
        <w:rPr>
          <w:rFonts w:ascii="Arial" w:hAnsi="Arial" w:cs="Arial"/>
          <w:color w:val="000000"/>
          <w:sz w:val="18"/>
          <w:szCs w:val="18"/>
        </w:rPr>
      </w:pPr>
      <w:r w:rsidRPr="00DA05CD">
        <w:rPr>
          <w:rStyle w:val="Emphasis"/>
          <w:rFonts w:ascii="Arial" w:hAnsi="Arial" w:cs="Arial"/>
          <w:sz w:val="18"/>
          <w:szCs w:val="18"/>
        </w:rPr>
        <w:t>Note.</w:t>
      </w:r>
      <w:r w:rsidRPr="00DA05CD">
        <w:rPr>
          <w:rFonts w:ascii="Arial" w:hAnsi="Arial" w:cs="Arial"/>
          <w:sz w:val="18"/>
          <w:szCs w:val="18"/>
        </w:rPr>
        <w:t xml:space="preserve"> </w:t>
      </w:r>
      <w:r w:rsidRPr="00DA05CD">
        <w:rPr>
          <w:rFonts w:ascii="Arial" w:hAnsi="Arial" w:cs="Arial"/>
          <w:i/>
          <w:iCs/>
          <w:sz w:val="18"/>
          <w:szCs w:val="18"/>
        </w:rPr>
        <w:t>QS World University Rankings 2027 positions are from Quacquarelli Symonds (2026). Primary entrepreneurship structures are identified from official university webpages cited in the final column.</w:t>
      </w:r>
    </w:p>
    <w:p w14:paraId="6DCD2E98" w14:textId="77777777" w:rsidR="00386261" w:rsidRPr="00642500" w:rsidRDefault="00386261" w:rsidP="00B57BC1">
      <w:pPr>
        <w:pStyle w:val="NormalWeb"/>
        <w:spacing w:before="0" w:beforeAutospacing="0" w:after="0" w:afterAutospacing="0"/>
        <w:jc w:val="center"/>
        <w:rPr>
          <w:rFonts w:ascii="Arial" w:hAnsi="Arial" w:cs="Arial"/>
          <w:b/>
          <w:bCs/>
          <w:color w:val="000000"/>
          <w:sz w:val="20"/>
          <w:szCs w:val="20"/>
        </w:rPr>
      </w:pPr>
    </w:p>
    <w:p w14:paraId="14C9A9C3" w14:textId="435A3751" w:rsidR="00642500" w:rsidRPr="00642500" w:rsidRDefault="00642500" w:rsidP="00472000">
      <w:pPr>
        <w:rPr>
          <w:rFonts w:ascii="Arial" w:hAnsi="Arial" w:cs="Arial"/>
          <w:sz w:val="20"/>
          <w:szCs w:val="20"/>
        </w:rPr>
      </w:pPr>
      <w:r w:rsidRPr="00642500">
        <w:rPr>
          <w:rFonts w:ascii="Arial" w:hAnsi="Arial" w:cs="Arial"/>
          <w:sz w:val="20"/>
          <w:szCs w:val="20"/>
        </w:rPr>
        <w:t>To enhance the transparency of the documentary basis for the cross-case findings, Table 2 presents representative documentary evidence identified for each of the ten benchmark universities across Clark's five pathways. This matrix links institutional structures, programs, services, resources, and activities identified in the documentary analysis to the analytical pathways employed in the study. It provides an evidence trail that demonstrates how the practices discussed in the subsequent cross-case analysis were derived from publicly accessible institutional sources. The table offers representative, rather than exhaustive, evidence because multiple institutional sources were examined for each university, and individual practices may correspond to more than one Clark pathway. The matrix is designed to support the transparency and auditability of the comparative analysis, rather than to rank the universities or evaluate the effectiveness of their entrepreneurship support.</w:t>
      </w:r>
    </w:p>
    <w:p w14:paraId="7F7EAAB0" w14:textId="77777777" w:rsidR="00642500" w:rsidRDefault="00642500" w:rsidP="00472000">
      <w:pPr>
        <w:rPr>
          <w:rFonts w:ascii="Arial" w:hAnsi="Arial" w:cs="Arial"/>
          <w:color w:val="000000"/>
          <w:sz w:val="20"/>
          <w:szCs w:val="20"/>
        </w:rPr>
      </w:pPr>
    </w:p>
    <w:p w14:paraId="10C7E26F" w14:textId="750E2A21" w:rsidR="00C0092C" w:rsidRPr="00C0092C" w:rsidRDefault="00642500" w:rsidP="00C0092C">
      <w:pPr>
        <w:pStyle w:val="NormalWeb"/>
        <w:spacing w:before="0" w:beforeAutospacing="0" w:after="0" w:afterAutospacing="0"/>
        <w:jc w:val="center"/>
        <w:rPr>
          <w:rStyle w:val="Strong"/>
          <w:rFonts w:ascii="Arial" w:hAnsi="Arial" w:cs="Arial"/>
          <w:sz w:val="20"/>
          <w:szCs w:val="20"/>
        </w:rPr>
      </w:pPr>
      <w:r w:rsidRPr="00E74018">
        <w:rPr>
          <w:rFonts w:ascii="Arial" w:hAnsi="Arial" w:cs="Arial"/>
          <w:b/>
          <w:bCs/>
          <w:color w:val="000000"/>
          <w:sz w:val="20"/>
          <w:szCs w:val="20"/>
        </w:rPr>
        <w:t xml:space="preserve">Table </w:t>
      </w:r>
      <w:r w:rsidR="00E74018" w:rsidRPr="00E74018">
        <w:rPr>
          <w:rFonts w:ascii="Arial" w:hAnsi="Arial" w:cs="Arial"/>
          <w:b/>
          <w:bCs/>
          <w:color w:val="000000"/>
          <w:sz w:val="20"/>
          <w:szCs w:val="20"/>
        </w:rPr>
        <w:t>2</w:t>
      </w:r>
      <w:r w:rsidRPr="00E74018">
        <w:rPr>
          <w:rFonts w:ascii="Arial" w:hAnsi="Arial" w:cs="Arial"/>
          <w:b/>
          <w:bCs/>
          <w:color w:val="000000"/>
          <w:sz w:val="20"/>
          <w:szCs w:val="20"/>
        </w:rPr>
        <w:t xml:space="preserve">. </w:t>
      </w:r>
      <w:r w:rsidR="00E74018" w:rsidRPr="00E74018">
        <w:rPr>
          <w:rFonts w:ascii="Arial" w:hAnsi="Arial" w:cs="Arial"/>
          <w:b/>
          <w:bCs/>
          <w:sz w:val="20"/>
          <w:szCs w:val="20"/>
        </w:rPr>
        <w:t>Documentary Evidence Matrix Across the Five Clark Pathways</w:t>
      </w:r>
    </w:p>
    <w:p w14:paraId="2D051418" w14:textId="77777777" w:rsidR="00C0092C" w:rsidRDefault="00C0092C" w:rsidP="00472000">
      <w:pPr>
        <w:rPr>
          <w:rStyle w:val="Strong"/>
          <w:rFonts w:ascii="Arial" w:hAnsi="Arial" w:cs="Arial"/>
          <w:b w:val="0"/>
          <w:bCs w:val="0"/>
          <w:i/>
          <w:iCs/>
          <w:sz w:val="18"/>
          <w:szCs w:val="18"/>
        </w:rPr>
      </w:pPr>
    </w:p>
    <w:tbl>
      <w:tblPr>
        <w:tblW w:w="10170" w:type="dxa"/>
        <w:jc w:val="center"/>
        <w:tblCellSpacing w:w="15" w:type="dxa"/>
        <w:tblCellMar>
          <w:top w:w="15" w:type="dxa"/>
          <w:left w:w="15" w:type="dxa"/>
          <w:bottom w:w="15" w:type="dxa"/>
          <w:right w:w="15" w:type="dxa"/>
        </w:tblCellMar>
        <w:tblLook w:val="04A0" w:firstRow="1" w:lastRow="0" w:firstColumn="1" w:lastColumn="0" w:noHBand="0" w:noVBand="1"/>
      </w:tblPr>
      <w:tblGrid>
        <w:gridCol w:w="1419"/>
        <w:gridCol w:w="1650"/>
        <w:gridCol w:w="1573"/>
        <w:gridCol w:w="1639"/>
        <w:gridCol w:w="1595"/>
        <w:gridCol w:w="2294"/>
      </w:tblGrid>
      <w:tr w:rsidR="00C0092C" w:rsidRPr="00C0092C" w14:paraId="09566998" w14:textId="77777777" w:rsidTr="00C0092C">
        <w:trPr>
          <w:tblHeader/>
          <w:tblCellSpacing w:w="15" w:type="dxa"/>
          <w:jc w:val="center"/>
        </w:trPr>
        <w:tc>
          <w:tcPr>
            <w:tcW w:w="1375" w:type="dxa"/>
            <w:tcBorders>
              <w:top w:val="single" w:sz="4" w:space="0" w:color="auto"/>
              <w:bottom w:val="single" w:sz="4" w:space="0" w:color="auto"/>
            </w:tcBorders>
            <w:hideMark/>
          </w:tcPr>
          <w:p w14:paraId="771EC377" w14:textId="77777777" w:rsidR="00C0092C" w:rsidRPr="00C0092C" w:rsidRDefault="00C0092C" w:rsidP="00C0092C">
            <w:pPr>
              <w:rPr>
                <w:rFonts w:ascii="Arial" w:hAnsi="Arial" w:cs="Arial"/>
                <w:b/>
                <w:bCs/>
                <w:sz w:val="20"/>
                <w:szCs w:val="20"/>
              </w:rPr>
            </w:pPr>
            <w:r w:rsidRPr="00C0092C">
              <w:rPr>
                <w:rFonts w:ascii="Arial" w:hAnsi="Arial" w:cs="Arial"/>
                <w:b/>
                <w:bCs/>
                <w:sz w:val="20"/>
                <w:szCs w:val="20"/>
              </w:rPr>
              <w:t>University</w:t>
            </w:r>
          </w:p>
        </w:tc>
        <w:tc>
          <w:tcPr>
            <w:tcW w:w="0" w:type="auto"/>
            <w:tcBorders>
              <w:top w:val="single" w:sz="4" w:space="0" w:color="auto"/>
              <w:bottom w:val="single" w:sz="4" w:space="0" w:color="auto"/>
            </w:tcBorders>
            <w:hideMark/>
          </w:tcPr>
          <w:p w14:paraId="723D9D85" w14:textId="77777777" w:rsidR="00C0092C" w:rsidRPr="00C0092C" w:rsidRDefault="00C0092C" w:rsidP="00C0092C">
            <w:pPr>
              <w:rPr>
                <w:rFonts w:ascii="Arial" w:hAnsi="Arial" w:cs="Arial"/>
                <w:b/>
                <w:bCs/>
                <w:sz w:val="20"/>
                <w:szCs w:val="20"/>
              </w:rPr>
            </w:pPr>
            <w:r w:rsidRPr="00C0092C">
              <w:rPr>
                <w:rFonts w:ascii="Arial" w:hAnsi="Arial" w:cs="Arial"/>
                <w:b/>
                <w:bCs/>
                <w:sz w:val="20"/>
                <w:szCs w:val="20"/>
              </w:rPr>
              <w:t>Strengthened Steering Core</w:t>
            </w:r>
          </w:p>
        </w:tc>
        <w:tc>
          <w:tcPr>
            <w:tcW w:w="0" w:type="auto"/>
            <w:tcBorders>
              <w:top w:val="single" w:sz="4" w:space="0" w:color="auto"/>
              <w:bottom w:val="single" w:sz="4" w:space="0" w:color="auto"/>
            </w:tcBorders>
            <w:hideMark/>
          </w:tcPr>
          <w:p w14:paraId="40D0E9BB" w14:textId="77777777" w:rsidR="00C0092C" w:rsidRPr="00C0092C" w:rsidRDefault="00C0092C" w:rsidP="00C0092C">
            <w:pPr>
              <w:rPr>
                <w:rFonts w:ascii="Arial" w:hAnsi="Arial" w:cs="Arial"/>
                <w:b/>
                <w:bCs/>
                <w:sz w:val="20"/>
                <w:szCs w:val="20"/>
              </w:rPr>
            </w:pPr>
            <w:r w:rsidRPr="00C0092C">
              <w:rPr>
                <w:rFonts w:ascii="Arial" w:hAnsi="Arial" w:cs="Arial"/>
                <w:b/>
                <w:bCs/>
                <w:sz w:val="20"/>
                <w:szCs w:val="20"/>
              </w:rPr>
              <w:t>Expanded Developmental Periphery</w:t>
            </w:r>
          </w:p>
        </w:tc>
        <w:tc>
          <w:tcPr>
            <w:tcW w:w="0" w:type="auto"/>
            <w:tcBorders>
              <w:top w:val="single" w:sz="4" w:space="0" w:color="auto"/>
              <w:bottom w:val="single" w:sz="4" w:space="0" w:color="auto"/>
            </w:tcBorders>
            <w:hideMark/>
          </w:tcPr>
          <w:p w14:paraId="29A392DC" w14:textId="77777777" w:rsidR="00C0092C" w:rsidRPr="00C0092C" w:rsidRDefault="00C0092C" w:rsidP="00C0092C">
            <w:pPr>
              <w:rPr>
                <w:rFonts w:ascii="Arial" w:hAnsi="Arial" w:cs="Arial"/>
                <w:b/>
                <w:bCs/>
                <w:sz w:val="20"/>
                <w:szCs w:val="20"/>
              </w:rPr>
            </w:pPr>
            <w:r w:rsidRPr="00C0092C">
              <w:rPr>
                <w:rFonts w:ascii="Arial" w:hAnsi="Arial" w:cs="Arial"/>
                <w:b/>
                <w:bCs/>
                <w:sz w:val="20"/>
                <w:szCs w:val="20"/>
              </w:rPr>
              <w:t>Diversified Funding Base</w:t>
            </w:r>
          </w:p>
        </w:tc>
        <w:tc>
          <w:tcPr>
            <w:tcW w:w="0" w:type="auto"/>
            <w:tcBorders>
              <w:top w:val="single" w:sz="4" w:space="0" w:color="auto"/>
              <w:bottom w:val="single" w:sz="4" w:space="0" w:color="auto"/>
            </w:tcBorders>
            <w:hideMark/>
          </w:tcPr>
          <w:p w14:paraId="0345D94B" w14:textId="77777777" w:rsidR="00C0092C" w:rsidRPr="00C0092C" w:rsidRDefault="00C0092C" w:rsidP="00C0092C">
            <w:pPr>
              <w:rPr>
                <w:rFonts w:ascii="Arial" w:hAnsi="Arial" w:cs="Arial"/>
                <w:b/>
                <w:bCs/>
                <w:sz w:val="20"/>
                <w:szCs w:val="20"/>
              </w:rPr>
            </w:pPr>
            <w:r w:rsidRPr="00C0092C">
              <w:rPr>
                <w:rFonts w:ascii="Arial" w:hAnsi="Arial" w:cs="Arial"/>
                <w:b/>
                <w:bCs/>
                <w:sz w:val="20"/>
                <w:szCs w:val="20"/>
              </w:rPr>
              <w:t>Stimulated Academic Heartland</w:t>
            </w:r>
          </w:p>
        </w:tc>
        <w:tc>
          <w:tcPr>
            <w:tcW w:w="2338" w:type="dxa"/>
            <w:tcBorders>
              <w:top w:val="single" w:sz="4" w:space="0" w:color="auto"/>
              <w:bottom w:val="single" w:sz="4" w:space="0" w:color="auto"/>
            </w:tcBorders>
            <w:hideMark/>
          </w:tcPr>
          <w:p w14:paraId="29ADBDC8" w14:textId="77777777" w:rsidR="00C0092C" w:rsidRPr="00C0092C" w:rsidRDefault="00C0092C" w:rsidP="00C0092C">
            <w:pPr>
              <w:rPr>
                <w:rFonts w:ascii="Arial" w:hAnsi="Arial" w:cs="Arial"/>
                <w:b/>
                <w:bCs/>
                <w:sz w:val="20"/>
                <w:szCs w:val="20"/>
              </w:rPr>
            </w:pPr>
            <w:r w:rsidRPr="00C0092C">
              <w:rPr>
                <w:rFonts w:ascii="Arial" w:hAnsi="Arial" w:cs="Arial"/>
                <w:b/>
                <w:bCs/>
                <w:sz w:val="20"/>
                <w:szCs w:val="20"/>
              </w:rPr>
              <w:t>Integrated Entrepreneurial Culture</w:t>
            </w:r>
          </w:p>
        </w:tc>
      </w:tr>
      <w:tr w:rsidR="00C0092C" w:rsidRPr="00C0092C" w14:paraId="592AE883" w14:textId="77777777" w:rsidTr="00C0092C">
        <w:trPr>
          <w:tblCellSpacing w:w="15" w:type="dxa"/>
          <w:jc w:val="center"/>
        </w:trPr>
        <w:tc>
          <w:tcPr>
            <w:tcW w:w="1375" w:type="dxa"/>
            <w:hideMark/>
          </w:tcPr>
          <w:p w14:paraId="531D9EB8" w14:textId="77777777" w:rsidR="00C0092C" w:rsidRPr="00C0092C" w:rsidRDefault="00C0092C" w:rsidP="00C0092C">
            <w:pPr>
              <w:rPr>
                <w:rFonts w:ascii="Arial" w:hAnsi="Arial" w:cs="Arial"/>
                <w:b/>
                <w:bCs/>
                <w:sz w:val="20"/>
                <w:szCs w:val="20"/>
              </w:rPr>
            </w:pPr>
            <w:r w:rsidRPr="00C0092C">
              <w:rPr>
                <w:rStyle w:val="Strong"/>
                <w:rFonts w:ascii="Arial" w:hAnsi="Arial" w:cs="Arial"/>
                <w:b w:val="0"/>
                <w:bCs w:val="0"/>
                <w:sz w:val="20"/>
                <w:szCs w:val="20"/>
              </w:rPr>
              <w:t>Massachusetts Institute of Technology (MIT)</w:t>
            </w:r>
          </w:p>
        </w:tc>
        <w:tc>
          <w:tcPr>
            <w:tcW w:w="0" w:type="auto"/>
            <w:hideMark/>
          </w:tcPr>
          <w:p w14:paraId="325EE305" w14:textId="77777777" w:rsidR="00C0092C" w:rsidRPr="00C0092C" w:rsidRDefault="00C0092C" w:rsidP="00C0092C">
            <w:pPr>
              <w:rPr>
                <w:rFonts w:ascii="Arial" w:hAnsi="Arial" w:cs="Arial"/>
                <w:sz w:val="20"/>
                <w:szCs w:val="20"/>
              </w:rPr>
            </w:pPr>
            <w:r w:rsidRPr="00C0092C">
              <w:rPr>
                <w:rFonts w:ascii="Arial" w:hAnsi="Arial" w:cs="Arial"/>
                <w:sz w:val="20"/>
                <w:szCs w:val="20"/>
              </w:rPr>
              <w:t>Martin Trust Center for MIT Entrepreneurship; formal institutional entrepreneurship support (Massachusetts Institute of Technology, n.d.-a)</w:t>
            </w:r>
          </w:p>
        </w:tc>
        <w:tc>
          <w:tcPr>
            <w:tcW w:w="0" w:type="auto"/>
            <w:hideMark/>
          </w:tcPr>
          <w:p w14:paraId="7D37F90D" w14:textId="77777777" w:rsidR="00C0092C" w:rsidRPr="00C0092C" w:rsidRDefault="00C0092C" w:rsidP="00C0092C">
            <w:pPr>
              <w:rPr>
                <w:rFonts w:ascii="Arial" w:hAnsi="Arial" w:cs="Arial"/>
                <w:sz w:val="20"/>
                <w:szCs w:val="20"/>
              </w:rPr>
            </w:pPr>
            <w:r w:rsidRPr="00C0092C">
              <w:rPr>
                <w:rFonts w:ascii="Arial" w:hAnsi="Arial" w:cs="Arial"/>
                <w:sz w:val="20"/>
                <w:szCs w:val="20"/>
              </w:rPr>
              <w:t>Venture-development programs, mentoring, coworking, and student venture support (Massachusetts Institute of Technology, n.d.-a)</w:t>
            </w:r>
          </w:p>
        </w:tc>
        <w:tc>
          <w:tcPr>
            <w:tcW w:w="0" w:type="auto"/>
            <w:hideMark/>
          </w:tcPr>
          <w:p w14:paraId="675A5770" w14:textId="77777777" w:rsidR="00C0092C" w:rsidRPr="00C0092C" w:rsidRDefault="00C0092C" w:rsidP="00C0092C">
            <w:pPr>
              <w:rPr>
                <w:rFonts w:ascii="Arial" w:hAnsi="Arial" w:cs="Arial"/>
                <w:sz w:val="20"/>
                <w:szCs w:val="20"/>
              </w:rPr>
            </w:pPr>
            <w:r w:rsidRPr="00C0092C">
              <w:rPr>
                <w:rFonts w:ascii="Arial" w:hAnsi="Arial" w:cs="Arial"/>
                <w:sz w:val="20"/>
                <w:szCs w:val="20"/>
              </w:rPr>
              <w:t>MIT Sandbox and related venture funding support (Massachusetts Institute of Technology, n.d.-a)</w:t>
            </w:r>
          </w:p>
        </w:tc>
        <w:tc>
          <w:tcPr>
            <w:tcW w:w="0" w:type="auto"/>
            <w:hideMark/>
          </w:tcPr>
          <w:p w14:paraId="0FD95D4D" w14:textId="77777777" w:rsidR="00C0092C" w:rsidRPr="00C0092C" w:rsidRDefault="00C0092C" w:rsidP="00C0092C">
            <w:pPr>
              <w:rPr>
                <w:rFonts w:ascii="Arial" w:hAnsi="Arial" w:cs="Arial"/>
                <w:sz w:val="20"/>
                <w:szCs w:val="20"/>
              </w:rPr>
            </w:pPr>
            <w:r w:rsidRPr="00C0092C">
              <w:rPr>
                <w:rFonts w:ascii="Arial" w:hAnsi="Arial" w:cs="Arial"/>
                <w:sz w:val="20"/>
                <w:szCs w:val="20"/>
              </w:rPr>
              <w:t>Entrepreneurship education and experiential venture development (Massachusetts Institute of Technology, n.d.-a)</w:t>
            </w:r>
          </w:p>
        </w:tc>
        <w:tc>
          <w:tcPr>
            <w:tcW w:w="2338" w:type="dxa"/>
            <w:hideMark/>
          </w:tcPr>
          <w:p w14:paraId="20DCFEE2" w14:textId="77777777" w:rsidR="00C0092C" w:rsidRPr="00C0092C" w:rsidRDefault="00C0092C" w:rsidP="00C0092C">
            <w:pPr>
              <w:rPr>
                <w:rFonts w:ascii="Arial" w:hAnsi="Arial" w:cs="Arial"/>
                <w:sz w:val="20"/>
                <w:szCs w:val="20"/>
              </w:rPr>
            </w:pPr>
            <w:r w:rsidRPr="00C0092C">
              <w:rPr>
                <w:rFonts w:ascii="Arial" w:hAnsi="Arial" w:cs="Arial"/>
                <w:sz w:val="20"/>
                <w:szCs w:val="20"/>
              </w:rPr>
              <w:t>Student entrepreneurship organizations, events, and entrepreneurial community (Massachusetts Institute of Technology, n.d.-a)</w:t>
            </w:r>
          </w:p>
        </w:tc>
      </w:tr>
      <w:tr w:rsidR="00C0092C" w:rsidRPr="00C0092C" w14:paraId="24D1312B" w14:textId="77777777" w:rsidTr="00C0092C">
        <w:trPr>
          <w:tblCellSpacing w:w="15" w:type="dxa"/>
          <w:jc w:val="center"/>
        </w:trPr>
        <w:tc>
          <w:tcPr>
            <w:tcW w:w="1375" w:type="dxa"/>
            <w:hideMark/>
          </w:tcPr>
          <w:p w14:paraId="5E26BD35" w14:textId="77777777" w:rsidR="00C0092C" w:rsidRPr="00C0092C" w:rsidRDefault="00C0092C" w:rsidP="00C0092C">
            <w:pPr>
              <w:rPr>
                <w:rFonts w:ascii="Arial" w:hAnsi="Arial" w:cs="Arial"/>
                <w:b/>
                <w:bCs/>
                <w:sz w:val="20"/>
                <w:szCs w:val="20"/>
              </w:rPr>
            </w:pPr>
            <w:r w:rsidRPr="00C0092C">
              <w:rPr>
                <w:rStyle w:val="Strong"/>
                <w:rFonts w:ascii="Arial" w:hAnsi="Arial" w:cs="Arial"/>
                <w:b w:val="0"/>
                <w:bCs w:val="0"/>
                <w:sz w:val="20"/>
                <w:szCs w:val="20"/>
              </w:rPr>
              <w:lastRenderedPageBreak/>
              <w:t>Imperial College London</w:t>
            </w:r>
          </w:p>
        </w:tc>
        <w:tc>
          <w:tcPr>
            <w:tcW w:w="0" w:type="auto"/>
            <w:hideMark/>
          </w:tcPr>
          <w:p w14:paraId="0F358F5F" w14:textId="77777777" w:rsidR="00C0092C" w:rsidRPr="00C0092C" w:rsidRDefault="00C0092C" w:rsidP="00C0092C">
            <w:pPr>
              <w:rPr>
                <w:rFonts w:ascii="Arial" w:hAnsi="Arial" w:cs="Arial"/>
                <w:sz w:val="20"/>
                <w:szCs w:val="20"/>
              </w:rPr>
            </w:pPr>
            <w:r w:rsidRPr="00C0092C">
              <w:rPr>
                <w:rFonts w:ascii="Arial" w:hAnsi="Arial" w:cs="Arial"/>
                <w:sz w:val="20"/>
                <w:szCs w:val="20"/>
              </w:rPr>
              <w:t>Imperial Enterprise Lab as a dedicated entrepreneurship structure (Imperial Enterprise Lab, n.d.)</w:t>
            </w:r>
          </w:p>
        </w:tc>
        <w:tc>
          <w:tcPr>
            <w:tcW w:w="0" w:type="auto"/>
            <w:hideMark/>
          </w:tcPr>
          <w:p w14:paraId="14C9DF52" w14:textId="77777777" w:rsidR="00C0092C" w:rsidRPr="00C0092C" w:rsidRDefault="00C0092C" w:rsidP="00C0092C">
            <w:pPr>
              <w:rPr>
                <w:rFonts w:ascii="Arial" w:hAnsi="Arial" w:cs="Arial"/>
                <w:sz w:val="20"/>
                <w:szCs w:val="20"/>
              </w:rPr>
            </w:pPr>
            <w:r w:rsidRPr="00C0092C">
              <w:rPr>
                <w:rFonts w:ascii="Arial" w:hAnsi="Arial" w:cs="Arial"/>
                <w:sz w:val="20"/>
                <w:szCs w:val="20"/>
              </w:rPr>
              <w:t>Mentoring, venture-development programs, workspace, and related support (Imperial Enterprise Lab, n.d.)</w:t>
            </w:r>
          </w:p>
        </w:tc>
        <w:tc>
          <w:tcPr>
            <w:tcW w:w="0" w:type="auto"/>
            <w:hideMark/>
          </w:tcPr>
          <w:p w14:paraId="1F88FBEC" w14:textId="77777777" w:rsidR="00C0092C" w:rsidRPr="00C0092C" w:rsidRDefault="00C0092C" w:rsidP="00C0092C">
            <w:pPr>
              <w:rPr>
                <w:rFonts w:ascii="Arial" w:hAnsi="Arial" w:cs="Arial"/>
                <w:sz w:val="20"/>
                <w:szCs w:val="20"/>
              </w:rPr>
            </w:pPr>
            <w:r w:rsidRPr="00C0092C">
              <w:rPr>
                <w:rFonts w:ascii="Arial" w:hAnsi="Arial" w:cs="Arial"/>
                <w:sz w:val="20"/>
                <w:szCs w:val="20"/>
              </w:rPr>
              <w:t>Competitions, prizes, and venture-development funding opportunities (Imperial Enterprise Lab, n.d.)</w:t>
            </w:r>
          </w:p>
        </w:tc>
        <w:tc>
          <w:tcPr>
            <w:tcW w:w="0" w:type="auto"/>
            <w:hideMark/>
          </w:tcPr>
          <w:p w14:paraId="653549E0" w14:textId="77777777" w:rsidR="00C0092C" w:rsidRPr="00C0092C" w:rsidRDefault="00C0092C" w:rsidP="00C0092C">
            <w:pPr>
              <w:rPr>
                <w:rFonts w:ascii="Arial" w:hAnsi="Arial" w:cs="Arial"/>
                <w:sz w:val="20"/>
                <w:szCs w:val="20"/>
              </w:rPr>
            </w:pPr>
            <w:r w:rsidRPr="00C0092C">
              <w:rPr>
                <w:rFonts w:ascii="Arial" w:hAnsi="Arial" w:cs="Arial"/>
                <w:sz w:val="20"/>
                <w:szCs w:val="20"/>
              </w:rPr>
              <w:t>Entrepreneurship education and venture-building activities (Imperial Enterprise Lab, n.d.)</w:t>
            </w:r>
          </w:p>
        </w:tc>
        <w:tc>
          <w:tcPr>
            <w:tcW w:w="2338" w:type="dxa"/>
            <w:hideMark/>
          </w:tcPr>
          <w:p w14:paraId="485FF89B" w14:textId="77777777" w:rsidR="00C0092C" w:rsidRPr="00C0092C" w:rsidRDefault="00C0092C" w:rsidP="00C0092C">
            <w:pPr>
              <w:rPr>
                <w:rFonts w:ascii="Arial" w:hAnsi="Arial" w:cs="Arial"/>
                <w:sz w:val="20"/>
                <w:szCs w:val="20"/>
              </w:rPr>
            </w:pPr>
            <w:r w:rsidRPr="00C0092C">
              <w:rPr>
                <w:rFonts w:ascii="Arial" w:hAnsi="Arial" w:cs="Arial"/>
                <w:sz w:val="20"/>
                <w:szCs w:val="20"/>
              </w:rPr>
              <w:t>Student entrepreneurship forums, events, and networking (Imperial Enterprise Lab, n.d.)</w:t>
            </w:r>
          </w:p>
        </w:tc>
      </w:tr>
      <w:tr w:rsidR="00C0092C" w:rsidRPr="00C0092C" w14:paraId="3B8A9496" w14:textId="77777777" w:rsidTr="00C0092C">
        <w:trPr>
          <w:tblCellSpacing w:w="15" w:type="dxa"/>
          <w:jc w:val="center"/>
        </w:trPr>
        <w:tc>
          <w:tcPr>
            <w:tcW w:w="1375" w:type="dxa"/>
            <w:hideMark/>
          </w:tcPr>
          <w:p w14:paraId="085816D1" w14:textId="77777777" w:rsidR="00C0092C" w:rsidRPr="00C0092C" w:rsidRDefault="00C0092C" w:rsidP="00C0092C">
            <w:pPr>
              <w:rPr>
                <w:rFonts w:ascii="Arial" w:hAnsi="Arial" w:cs="Arial"/>
                <w:b/>
                <w:bCs/>
                <w:sz w:val="20"/>
                <w:szCs w:val="20"/>
              </w:rPr>
            </w:pPr>
            <w:r w:rsidRPr="00C0092C">
              <w:rPr>
                <w:rStyle w:val="Strong"/>
                <w:rFonts w:ascii="Arial" w:hAnsi="Arial" w:cs="Arial"/>
                <w:b w:val="0"/>
                <w:bCs w:val="0"/>
                <w:sz w:val="20"/>
                <w:szCs w:val="20"/>
              </w:rPr>
              <w:t>Stanford University</w:t>
            </w:r>
          </w:p>
        </w:tc>
        <w:tc>
          <w:tcPr>
            <w:tcW w:w="0" w:type="auto"/>
            <w:hideMark/>
          </w:tcPr>
          <w:p w14:paraId="366FFB63" w14:textId="77777777" w:rsidR="00C0092C" w:rsidRPr="00C0092C" w:rsidRDefault="00C0092C" w:rsidP="00C0092C">
            <w:pPr>
              <w:rPr>
                <w:rFonts w:ascii="Arial" w:hAnsi="Arial" w:cs="Arial"/>
                <w:sz w:val="20"/>
                <w:szCs w:val="20"/>
              </w:rPr>
            </w:pPr>
            <w:r w:rsidRPr="00C0092C">
              <w:rPr>
                <w:rFonts w:ascii="Arial" w:hAnsi="Arial" w:cs="Arial"/>
                <w:sz w:val="20"/>
                <w:szCs w:val="20"/>
              </w:rPr>
              <w:t>Stanford Technology Ventures Program (STVP) and dedicated entrepreneurship education structure (Stanford Technology Ventures Program, n.d.)</w:t>
            </w:r>
          </w:p>
        </w:tc>
        <w:tc>
          <w:tcPr>
            <w:tcW w:w="0" w:type="auto"/>
            <w:hideMark/>
          </w:tcPr>
          <w:p w14:paraId="010BC5EF" w14:textId="77777777" w:rsidR="00C0092C" w:rsidRPr="00C0092C" w:rsidRDefault="00C0092C" w:rsidP="00C0092C">
            <w:pPr>
              <w:rPr>
                <w:rFonts w:ascii="Arial" w:hAnsi="Arial" w:cs="Arial"/>
                <w:sz w:val="20"/>
                <w:szCs w:val="20"/>
              </w:rPr>
            </w:pPr>
            <w:r w:rsidRPr="00C0092C">
              <w:rPr>
                <w:rFonts w:ascii="Arial" w:hAnsi="Arial" w:cs="Arial"/>
                <w:sz w:val="20"/>
                <w:szCs w:val="20"/>
              </w:rPr>
              <w:t>Fellows, mentoring, entrepreneurial networks, and venture-related support (Stanford Technology Ventures Program, n.d.)</w:t>
            </w:r>
          </w:p>
        </w:tc>
        <w:tc>
          <w:tcPr>
            <w:tcW w:w="0" w:type="auto"/>
            <w:hideMark/>
          </w:tcPr>
          <w:p w14:paraId="3BB50172" w14:textId="77777777" w:rsidR="00C0092C" w:rsidRPr="00C0092C" w:rsidRDefault="00C0092C" w:rsidP="00C0092C">
            <w:pPr>
              <w:rPr>
                <w:rFonts w:ascii="Arial" w:hAnsi="Arial" w:cs="Arial"/>
                <w:sz w:val="20"/>
                <w:szCs w:val="20"/>
              </w:rPr>
            </w:pPr>
            <w:r w:rsidRPr="00C0092C">
              <w:rPr>
                <w:rFonts w:ascii="Arial" w:hAnsi="Arial" w:cs="Arial"/>
                <w:sz w:val="20"/>
                <w:szCs w:val="20"/>
              </w:rPr>
              <w:t>Fellowships and other documented funding opportunities (Stanford Technology Ventures Program, n.d.)</w:t>
            </w:r>
          </w:p>
        </w:tc>
        <w:tc>
          <w:tcPr>
            <w:tcW w:w="0" w:type="auto"/>
            <w:hideMark/>
          </w:tcPr>
          <w:p w14:paraId="2A053EEB" w14:textId="77777777" w:rsidR="00C0092C" w:rsidRPr="00C0092C" w:rsidRDefault="00C0092C" w:rsidP="00C0092C">
            <w:pPr>
              <w:rPr>
                <w:rFonts w:ascii="Arial" w:hAnsi="Arial" w:cs="Arial"/>
                <w:sz w:val="20"/>
                <w:szCs w:val="20"/>
              </w:rPr>
            </w:pPr>
            <w:r w:rsidRPr="00C0092C">
              <w:rPr>
                <w:rFonts w:ascii="Arial" w:hAnsi="Arial" w:cs="Arial"/>
                <w:sz w:val="20"/>
                <w:szCs w:val="20"/>
              </w:rPr>
              <w:t>Entrepreneurship courses and experiential entrepreneurship programs (Stanford Technology Ventures Program, n.d.)</w:t>
            </w:r>
          </w:p>
        </w:tc>
        <w:tc>
          <w:tcPr>
            <w:tcW w:w="2338" w:type="dxa"/>
            <w:hideMark/>
          </w:tcPr>
          <w:p w14:paraId="264B8DC5" w14:textId="77777777" w:rsidR="00C0092C" w:rsidRPr="00C0092C" w:rsidRDefault="00C0092C" w:rsidP="00C0092C">
            <w:pPr>
              <w:rPr>
                <w:rFonts w:ascii="Arial" w:hAnsi="Arial" w:cs="Arial"/>
                <w:sz w:val="20"/>
                <w:szCs w:val="20"/>
              </w:rPr>
            </w:pPr>
            <w:r w:rsidRPr="00C0092C">
              <w:rPr>
                <w:rFonts w:ascii="Arial" w:hAnsi="Arial" w:cs="Arial"/>
                <w:sz w:val="20"/>
                <w:szCs w:val="20"/>
              </w:rPr>
              <w:t>Entrepreneurial Thought Leaders, eCorner, fellows, and entrepreneurial networks (Stanford Technology Ventures Program, n.d.)</w:t>
            </w:r>
          </w:p>
        </w:tc>
      </w:tr>
      <w:tr w:rsidR="00C0092C" w:rsidRPr="00C0092C" w14:paraId="693752DB" w14:textId="77777777" w:rsidTr="00C0092C">
        <w:trPr>
          <w:tblCellSpacing w:w="15" w:type="dxa"/>
          <w:jc w:val="center"/>
        </w:trPr>
        <w:tc>
          <w:tcPr>
            <w:tcW w:w="1375" w:type="dxa"/>
            <w:hideMark/>
          </w:tcPr>
          <w:p w14:paraId="4E73060C" w14:textId="77777777" w:rsidR="00C0092C" w:rsidRPr="00C0092C" w:rsidRDefault="00C0092C" w:rsidP="00C0092C">
            <w:pPr>
              <w:rPr>
                <w:rFonts w:ascii="Arial" w:hAnsi="Arial" w:cs="Arial"/>
                <w:b/>
                <w:bCs/>
                <w:sz w:val="20"/>
                <w:szCs w:val="20"/>
              </w:rPr>
            </w:pPr>
            <w:r w:rsidRPr="00C0092C">
              <w:rPr>
                <w:rStyle w:val="Strong"/>
                <w:rFonts w:ascii="Arial" w:hAnsi="Arial" w:cs="Arial"/>
                <w:b w:val="0"/>
                <w:bCs w:val="0"/>
                <w:sz w:val="20"/>
                <w:szCs w:val="20"/>
              </w:rPr>
              <w:t>University of Oxford</w:t>
            </w:r>
          </w:p>
        </w:tc>
        <w:tc>
          <w:tcPr>
            <w:tcW w:w="0" w:type="auto"/>
            <w:hideMark/>
          </w:tcPr>
          <w:p w14:paraId="2DBBE61C" w14:textId="77777777" w:rsidR="00C0092C" w:rsidRPr="00C0092C" w:rsidRDefault="00C0092C" w:rsidP="00C0092C">
            <w:pPr>
              <w:rPr>
                <w:rFonts w:ascii="Arial" w:hAnsi="Arial" w:cs="Arial"/>
                <w:sz w:val="20"/>
                <w:szCs w:val="20"/>
              </w:rPr>
            </w:pPr>
            <w:r w:rsidRPr="00C0092C">
              <w:rPr>
                <w:rFonts w:ascii="Arial" w:hAnsi="Arial" w:cs="Arial"/>
                <w:sz w:val="20"/>
                <w:szCs w:val="20"/>
              </w:rPr>
              <w:t>EnSpire Oxford as a university entrepreneurship hub (University of Oxford, n.d.)</w:t>
            </w:r>
          </w:p>
        </w:tc>
        <w:tc>
          <w:tcPr>
            <w:tcW w:w="0" w:type="auto"/>
            <w:hideMark/>
          </w:tcPr>
          <w:p w14:paraId="1C777B4B" w14:textId="77777777" w:rsidR="00C0092C" w:rsidRPr="00C0092C" w:rsidRDefault="00C0092C" w:rsidP="00C0092C">
            <w:pPr>
              <w:rPr>
                <w:rFonts w:ascii="Arial" w:hAnsi="Arial" w:cs="Arial"/>
                <w:sz w:val="20"/>
                <w:szCs w:val="20"/>
              </w:rPr>
            </w:pPr>
            <w:r w:rsidRPr="00C0092C">
              <w:rPr>
                <w:rFonts w:ascii="Arial" w:hAnsi="Arial" w:cs="Arial"/>
                <w:sz w:val="20"/>
                <w:szCs w:val="20"/>
              </w:rPr>
              <w:t>Mentoring, entrepreneurship programs, and venture-development resources (University of Oxford, n.d.)</w:t>
            </w:r>
          </w:p>
        </w:tc>
        <w:tc>
          <w:tcPr>
            <w:tcW w:w="0" w:type="auto"/>
            <w:hideMark/>
          </w:tcPr>
          <w:p w14:paraId="2EC1ABC9" w14:textId="77777777" w:rsidR="00C0092C" w:rsidRPr="00C0092C" w:rsidRDefault="00C0092C" w:rsidP="00C0092C">
            <w:pPr>
              <w:rPr>
                <w:rFonts w:ascii="Arial" w:hAnsi="Arial" w:cs="Arial"/>
                <w:sz w:val="20"/>
                <w:szCs w:val="20"/>
              </w:rPr>
            </w:pPr>
            <w:r w:rsidRPr="00C0092C">
              <w:rPr>
                <w:rFonts w:ascii="Arial" w:hAnsi="Arial" w:cs="Arial"/>
                <w:sz w:val="20"/>
                <w:szCs w:val="20"/>
              </w:rPr>
              <w:t>Competitions, prizes, and funding-related opportunities (University of Oxford, n.d.)</w:t>
            </w:r>
          </w:p>
        </w:tc>
        <w:tc>
          <w:tcPr>
            <w:tcW w:w="0" w:type="auto"/>
            <w:hideMark/>
          </w:tcPr>
          <w:p w14:paraId="56E8190E" w14:textId="77777777" w:rsidR="00C0092C" w:rsidRPr="00C0092C" w:rsidRDefault="00C0092C" w:rsidP="00C0092C">
            <w:pPr>
              <w:rPr>
                <w:rFonts w:ascii="Arial" w:hAnsi="Arial" w:cs="Arial"/>
                <w:sz w:val="20"/>
                <w:szCs w:val="20"/>
              </w:rPr>
            </w:pPr>
            <w:r w:rsidRPr="00C0092C">
              <w:rPr>
                <w:rFonts w:ascii="Arial" w:hAnsi="Arial" w:cs="Arial"/>
                <w:sz w:val="20"/>
                <w:szCs w:val="20"/>
              </w:rPr>
              <w:t>Entrepreneurship education, skills development, and experiential learning (University of Oxford, n.d.)</w:t>
            </w:r>
          </w:p>
        </w:tc>
        <w:tc>
          <w:tcPr>
            <w:tcW w:w="2338" w:type="dxa"/>
            <w:hideMark/>
          </w:tcPr>
          <w:p w14:paraId="21162287" w14:textId="77777777" w:rsidR="00C0092C" w:rsidRPr="00C0092C" w:rsidRDefault="00C0092C" w:rsidP="00C0092C">
            <w:pPr>
              <w:rPr>
                <w:rFonts w:ascii="Arial" w:hAnsi="Arial" w:cs="Arial"/>
                <w:sz w:val="20"/>
                <w:szCs w:val="20"/>
              </w:rPr>
            </w:pPr>
            <w:r w:rsidRPr="00C0092C">
              <w:rPr>
                <w:rFonts w:ascii="Arial" w:hAnsi="Arial" w:cs="Arial"/>
                <w:sz w:val="20"/>
                <w:szCs w:val="20"/>
              </w:rPr>
              <w:t>Events, mentoring, networking, and entrepreneurial community activities (University of Oxford, n.d.)</w:t>
            </w:r>
          </w:p>
        </w:tc>
      </w:tr>
      <w:tr w:rsidR="00C0092C" w:rsidRPr="00C0092C" w14:paraId="10CD62C8" w14:textId="77777777" w:rsidTr="00C0092C">
        <w:trPr>
          <w:tblCellSpacing w:w="15" w:type="dxa"/>
          <w:jc w:val="center"/>
        </w:trPr>
        <w:tc>
          <w:tcPr>
            <w:tcW w:w="1375" w:type="dxa"/>
            <w:hideMark/>
          </w:tcPr>
          <w:p w14:paraId="0A729625" w14:textId="77777777" w:rsidR="00C0092C" w:rsidRPr="00C0092C" w:rsidRDefault="00C0092C" w:rsidP="00C0092C">
            <w:pPr>
              <w:rPr>
                <w:rFonts w:ascii="Arial" w:hAnsi="Arial" w:cs="Arial"/>
                <w:b/>
                <w:bCs/>
                <w:sz w:val="20"/>
                <w:szCs w:val="20"/>
              </w:rPr>
            </w:pPr>
            <w:r w:rsidRPr="00C0092C">
              <w:rPr>
                <w:rStyle w:val="Strong"/>
                <w:rFonts w:ascii="Arial" w:hAnsi="Arial" w:cs="Arial"/>
                <w:b w:val="0"/>
                <w:bCs w:val="0"/>
                <w:sz w:val="20"/>
                <w:szCs w:val="20"/>
              </w:rPr>
              <w:t>Harvard University</w:t>
            </w:r>
          </w:p>
        </w:tc>
        <w:tc>
          <w:tcPr>
            <w:tcW w:w="0" w:type="auto"/>
            <w:hideMark/>
          </w:tcPr>
          <w:p w14:paraId="68F6C335" w14:textId="77777777" w:rsidR="00C0092C" w:rsidRPr="00C0092C" w:rsidRDefault="00C0092C" w:rsidP="00C0092C">
            <w:pPr>
              <w:rPr>
                <w:rFonts w:ascii="Arial" w:hAnsi="Arial" w:cs="Arial"/>
                <w:sz w:val="20"/>
                <w:szCs w:val="20"/>
              </w:rPr>
            </w:pPr>
            <w:r w:rsidRPr="00C0092C">
              <w:rPr>
                <w:rFonts w:ascii="Arial" w:hAnsi="Arial" w:cs="Arial"/>
                <w:sz w:val="20"/>
                <w:szCs w:val="20"/>
              </w:rPr>
              <w:t>Harvard Innovation Labs and Student i-lab as dedicated entrepreneurship structures (Harvard Innovation Labs, n.d.)</w:t>
            </w:r>
          </w:p>
        </w:tc>
        <w:tc>
          <w:tcPr>
            <w:tcW w:w="0" w:type="auto"/>
            <w:hideMark/>
          </w:tcPr>
          <w:p w14:paraId="5DABCA2E" w14:textId="77777777" w:rsidR="00C0092C" w:rsidRPr="00C0092C" w:rsidRDefault="00C0092C" w:rsidP="00C0092C">
            <w:pPr>
              <w:rPr>
                <w:rFonts w:ascii="Arial" w:hAnsi="Arial" w:cs="Arial"/>
                <w:sz w:val="20"/>
                <w:szCs w:val="20"/>
              </w:rPr>
            </w:pPr>
            <w:r w:rsidRPr="00C0092C">
              <w:rPr>
                <w:rFonts w:ascii="Arial" w:hAnsi="Arial" w:cs="Arial"/>
                <w:sz w:val="20"/>
                <w:szCs w:val="20"/>
              </w:rPr>
              <w:t>Advising, mentoring, coworking, studios, and stage-based venture support (Harvard Innovation Labs, n.d.)</w:t>
            </w:r>
          </w:p>
        </w:tc>
        <w:tc>
          <w:tcPr>
            <w:tcW w:w="0" w:type="auto"/>
            <w:hideMark/>
          </w:tcPr>
          <w:p w14:paraId="22781F34" w14:textId="77777777" w:rsidR="00C0092C" w:rsidRPr="00C0092C" w:rsidRDefault="00C0092C" w:rsidP="00C0092C">
            <w:pPr>
              <w:rPr>
                <w:rFonts w:ascii="Arial" w:hAnsi="Arial" w:cs="Arial"/>
                <w:sz w:val="20"/>
                <w:szCs w:val="20"/>
              </w:rPr>
            </w:pPr>
            <w:r w:rsidRPr="00C0092C">
              <w:rPr>
                <w:rFonts w:ascii="Arial" w:hAnsi="Arial" w:cs="Arial"/>
                <w:sz w:val="20"/>
                <w:szCs w:val="20"/>
              </w:rPr>
              <w:t>Fellowships, innovation challenges, prizes, and funding opportunities (Harvard Innovation Labs, n.d.)</w:t>
            </w:r>
          </w:p>
        </w:tc>
        <w:tc>
          <w:tcPr>
            <w:tcW w:w="0" w:type="auto"/>
            <w:hideMark/>
          </w:tcPr>
          <w:p w14:paraId="7551D538" w14:textId="77777777" w:rsidR="00C0092C" w:rsidRPr="00C0092C" w:rsidRDefault="00C0092C" w:rsidP="00C0092C">
            <w:pPr>
              <w:rPr>
                <w:rFonts w:ascii="Arial" w:hAnsi="Arial" w:cs="Arial"/>
                <w:sz w:val="20"/>
                <w:szCs w:val="20"/>
              </w:rPr>
            </w:pPr>
            <w:r w:rsidRPr="00C0092C">
              <w:rPr>
                <w:rFonts w:ascii="Arial" w:hAnsi="Arial" w:cs="Arial"/>
                <w:sz w:val="20"/>
                <w:szCs w:val="20"/>
              </w:rPr>
              <w:t>Venture-development stages involving exploration, testing, and development (Harvard Innovation Labs, n.d.)</w:t>
            </w:r>
          </w:p>
        </w:tc>
        <w:tc>
          <w:tcPr>
            <w:tcW w:w="2338" w:type="dxa"/>
            <w:hideMark/>
          </w:tcPr>
          <w:p w14:paraId="5F6DC28C" w14:textId="77777777" w:rsidR="00C0092C" w:rsidRPr="00C0092C" w:rsidRDefault="00C0092C" w:rsidP="00C0092C">
            <w:pPr>
              <w:rPr>
                <w:rFonts w:ascii="Arial" w:hAnsi="Arial" w:cs="Arial"/>
                <w:sz w:val="20"/>
                <w:szCs w:val="20"/>
              </w:rPr>
            </w:pPr>
            <w:r w:rsidRPr="00C0092C">
              <w:rPr>
                <w:rFonts w:ascii="Arial" w:hAnsi="Arial" w:cs="Arial"/>
                <w:sz w:val="20"/>
                <w:szCs w:val="20"/>
              </w:rPr>
              <w:t>Founder events, cohorts, mentoring, networking, and entrepreneurial community (Harvard Innovation Labs, n.d.)</w:t>
            </w:r>
          </w:p>
        </w:tc>
      </w:tr>
      <w:tr w:rsidR="00C0092C" w:rsidRPr="00C0092C" w14:paraId="2EF9E68F" w14:textId="77777777" w:rsidTr="00C0092C">
        <w:trPr>
          <w:tblCellSpacing w:w="15" w:type="dxa"/>
          <w:jc w:val="center"/>
        </w:trPr>
        <w:tc>
          <w:tcPr>
            <w:tcW w:w="1375" w:type="dxa"/>
            <w:hideMark/>
          </w:tcPr>
          <w:p w14:paraId="3253580A" w14:textId="77777777" w:rsidR="00C0092C" w:rsidRPr="00C0092C" w:rsidRDefault="00C0092C" w:rsidP="00C0092C">
            <w:pPr>
              <w:rPr>
                <w:rFonts w:ascii="Arial" w:hAnsi="Arial" w:cs="Arial"/>
                <w:b/>
                <w:bCs/>
                <w:sz w:val="20"/>
                <w:szCs w:val="20"/>
              </w:rPr>
            </w:pPr>
            <w:r w:rsidRPr="00C0092C">
              <w:rPr>
                <w:rStyle w:val="Strong"/>
                <w:rFonts w:ascii="Arial" w:hAnsi="Arial" w:cs="Arial"/>
                <w:b w:val="0"/>
                <w:bCs w:val="0"/>
                <w:sz w:val="20"/>
                <w:szCs w:val="20"/>
              </w:rPr>
              <w:t>University of Cambridge</w:t>
            </w:r>
          </w:p>
        </w:tc>
        <w:tc>
          <w:tcPr>
            <w:tcW w:w="0" w:type="auto"/>
            <w:hideMark/>
          </w:tcPr>
          <w:p w14:paraId="4265591D" w14:textId="77777777" w:rsidR="00C0092C" w:rsidRPr="00C0092C" w:rsidRDefault="00C0092C" w:rsidP="00C0092C">
            <w:pPr>
              <w:rPr>
                <w:rFonts w:ascii="Arial" w:hAnsi="Arial" w:cs="Arial"/>
                <w:sz w:val="20"/>
                <w:szCs w:val="20"/>
              </w:rPr>
            </w:pPr>
            <w:r w:rsidRPr="00C0092C">
              <w:rPr>
                <w:rFonts w:ascii="Arial" w:hAnsi="Arial" w:cs="Arial"/>
                <w:sz w:val="20"/>
                <w:szCs w:val="20"/>
              </w:rPr>
              <w:t>Cambridge Judge Entrepreneurship Centre as a formal entrepreneurship structure (University of Cambridge, n.d.)</w:t>
            </w:r>
          </w:p>
        </w:tc>
        <w:tc>
          <w:tcPr>
            <w:tcW w:w="0" w:type="auto"/>
            <w:hideMark/>
          </w:tcPr>
          <w:p w14:paraId="45189370" w14:textId="77777777" w:rsidR="00C0092C" w:rsidRPr="00C0092C" w:rsidRDefault="00C0092C" w:rsidP="00C0092C">
            <w:pPr>
              <w:rPr>
                <w:rFonts w:ascii="Arial" w:hAnsi="Arial" w:cs="Arial"/>
                <w:sz w:val="20"/>
                <w:szCs w:val="20"/>
              </w:rPr>
            </w:pPr>
            <w:r w:rsidRPr="00C0092C">
              <w:rPr>
                <w:rFonts w:ascii="Arial" w:hAnsi="Arial" w:cs="Arial"/>
                <w:sz w:val="20"/>
                <w:szCs w:val="20"/>
              </w:rPr>
              <w:t>EnterpriseTECH, Ignite, Accelerate Cambridge, coaching, and mentoring (University of Cambridge, n.d.)</w:t>
            </w:r>
          </w:p>
        </w:tc>
        <w:tc>
          <w:tcPr>
            <w:tcW w:w="0" w:type="auto"/>
            <w:hideMark/>
          </w:tcPr>
          <w:p w14:paraId="5ADD0AB9" w14:textId="77777777" w:rsidR="00C0092C" w:rsidRPr="00C0092C" w:rsidRDefault="00C0092C" w:rsidP="00C0092C">
            <w:pPr>
              <w:rPr>
                <w:rFonts w:ascii="Arial" w:hAnsi="Arial" w:cs="Arial"/>
                <w:sz w:val="20"/>
                <w:szCs w:val="20"/>
              </w:rPr>
            </w:pPr>
            <w:r w:rsidRPr="00C0092C">
              <w:rPr>
                <w:rFonts w:ascii="Arial" w:hAnsi="Arial" w:cs="Arial"/>
                <w:sz w:val="20"/>
                <w:szCs w:val="20"/>
              </w:rPr>
              <w:t>Investment-readiness and venture-capital-related support (University of Cambridge, n.d.)</w:t>
            </w:r>
          </w:p>
        </w:tc>
        <w:tc>
          <w:tcPr>
            <w:tcW w:w="0" w:type="auto"/>
            <w:hideMark/>
          </w:tcPr>
          <w:p w14:paraId="6CF14FA5" w14:textId="77777777" w:rsidR="00C0092C" w:rsidRPr="00C0092C" w:rsidRDefault="00C0092C" w:rsidP="00C0092C">
            <w:pPr>
              <w:rPr>
                <w:rFonts w:ascii="Arial" w:hAnsi="Arial" w:cs="Arial"/>
                <w:sz w:val="20"/>
                <w:szCs w:val="20"/>
              </w:rPr>
            </w:pPr>
            <w:r w:rsidRPr="00C0092C">
              <w:rPr>
                <w:rFonts w:ascii="Arial" w:hAnsi="Arial" w:cs="Arial"/>
                <w:sz w:val="20"/>
                <w:szCs w:val="20"/>
              </w:rPr>
              <w:t>Entrepreneurship education, practical projects, and venture-development activities (University of Cambridge, n.d.)</w:t>
            </w:r>
          </w:p>
        </w:tc>
        <w:tc>
          <w:tcPr>
            <w:tcW w:w="2338" w:type="dxa"/>
            <w:hideMark/>
          </w:tcPr>
          <w:p w14:paraId="00895120" w14:textId="77777777" w:rsidR="00C0092C" w:rsidRPr="00C0092C" w:rsidRDefault="00C0092C" w:rsidP="00C0092C">
            <w:pPr>
              <w:rPr>
                <w:rFonts w:ascii="Arial" w:hAnsi="Arial" w:cs="Arial"/>
                <w:sz w:val="20"/>
                <w:szCs w:val="20"/>
              </w:rPr>
            </w:pPr>
            <w:r w:rsidRPr="00C0092C">
              <w:rPr>
                <w:rFonts w:ascii="Arial" w:hAnsi="Arial" w:cs="Arial"/>
                <w:sz w:val="20"/>
                <w:szCs w:val="20"/>
              </w:rPr>
              <w:t>Mentoring, coaching, workshops, pitch activities, and entrepreneurial networks (University of Cambridge, n.d.)</w:t>
            </w:r>
          </w:p>
        </w:tc>
      </w:tr>
      <w:tr w:rsidR="00C0092C" w:rsidRPr="00C0092C" w14:paraId="45661F21" w14:textId="77777777" w:rsidTr="00C0092C">
        <w:trPr>
          <w:tblCellSpacing w:w="15" w:type="dxa"/>
          <w:jc w:val="center"/>
        </w:trPr>
        <w:tc>
          <w:tcPr>
            <w:tcW w:w="1375" w:type="dxa"/>
            <w:hideMark/>
          </w:tcPr>
          <w:p w14:paraId="440EBCB0" w14:textId="77777777" w:rsidR="00C0092C" w:rsidRPr="00C0092C" w:rsidRDefault="00C0092C" w:rsidP="00C0092C">
            <w:pPr>
              <w:rPr>
                <w:rFonts w:ascii="Arial" w:hAnsi="Arial" w:cs="Arial"/>
                <w:b/>
                <w:bCs/>
                <w:sz w:val="20"/>
                <w:szCs w:val="20"/>
              </w:rPr>
            </w:pPr>
            <w:r w:rsidRPr="00C0092C">
              <w:rPr>
                <w:rStyle w:val="Strong"/>
                <w:rFonts w:ascii="Arial" w:hAnsi="Arial" w:cs="Arial"/>
                <w:b w:val="0"/>
                <w:bCs w:val="0"/>
                <w:sz w:val="20"/>
                <w:szCs w:val="20"/>
              </w:rPr>
              <w:lastRenderedPageBreak/>
              <w:t>California Institute of Technology (Caltech)</w:t>
            </w:r>
          </w:p>
        </w:tc>
        <w:tc>
          <w:tcPr>
            <w:tcW w:w="0" w:type="auto"/>
            <w:hideMark/>
          </w:tcPr>
          <w:p w14:paraId="04698EE2" w14:textId="77777777" w:rsidR="00C0092C" w:rsidRPr="00C0092C" w:rsidRDefault="00C0092C" w:rsidP="00C0092C">
            <w:pPr>
              <w:rPr>
                <w:rFonts w:ascii="Arial" w:hAnsi="Arial" w:cs="Arial"/>
                <w:sz w:val="20"/>
                <w:szCs w:val="20"/>
              </w:rPr>
            </w:pPr>
            <w:r w:rsidRPr="00C0092C">
              <w:rPr>
                <w:rFonts w:ascii="Arial" w:hAnsi="Arial" w:cs="Arial"/>
                <w:sz w:val="20"/>
                <w:szCs w:val="20"/>
              </w:rPr>
              <w:t>Entrepreneurship programs and Office of Technology Transfer and Corporate Partnerships (California Institute of Technology, n.d.)</w:t>
            </w:r>
          </w:p>
        </w:tc>
        <w:tc>
          <w:tcPr>
            <w:tcW w:w="0" w:type="auto"/>
            <w:hideMark/>
          </w:tcPr>
          <w:p w14:paraId="609B354A" w14:textId="77777777" w:rsidR="00C0092C" w:rsidRPr="00C0092C" w:rsidRDefault="00C0092C" w:rsidP="00C0092C">
            <w:pPr>
              <w:rPr>
                <w:rFonts w:ascii="Arial" w:hAnsi="Arial" w:cs="Arial"/>
                <w:sz w:val="20"/>
                <w:szCs w:val="20"/>
              </w:rPr>
            </w:pPr>
            <w:r w:rsidRPr="00C0092C">
              <w:rPr>
                <w:rFonts w:ascii="Arial" w:hAnsi="Arial" w:cs="Arial"/>
                <w:sz w:val="20"/>
                <w:szCs w:val="20"/>
              </w:rPr>
              <w:t>Entrepreneurs-in-Residence, innovation facilities, internships, and mentoring (California Institute of Technology, n.d.)</w:t>
            </w:r>
          </w:p>
        </w:tc>
        <w:tc>
          <w:tcPr>
            <w:tcW w:w="0" w:type="auto"/>
            <w:hideMark/>
          </w:tcPr>
          <w:p w14:paraId="3D5832C5" w14:textId="77777777" w:rsidR="00C0092C" w:rsidRPr="00C0092C" w:rsidRDefault="00C0092C" w:rsidP="00C0092C">
            <w:pPr>
              <w:rPr>
                <w:rFonts w:ascii="Arial" w:hAnsi="Arial" w:cs="Arial"/>
                <w:sz w:val="20"/>
                <w:szCs w:val="20"/>
              </w:rPr>
            </w:pPr>
            <w:r w:rsidRPr="00C0092C">
              <w:rPr>
                <w:rFonts w:ascii="Arial" w:hAnsi="Arial" w:cs="Arial"/>
                <w:sz w:val="20"/>
                <w:szCs w:val="20"/>
              </w:rPr>
              <w:t>Bill Gross Prize, Timothy Ryan Program, and other funding mechanisms (California Institute of Technology, n.d.)</w:t>
            </w:r>
          </w:p>
        </w:tc>
        <w:tc>
          <w:tcPr>
            <w:tcW w:w="0" w:type="auto"/>
            <w:hideMark/>
          </w:tcPr>
          <w:p w14:paraId="7BA09611" w14:textId="77777777" w:rsidR="00C0092C" w:rsidRPr="00C0092C" w:rsidRDefault="00C0092C" w:rsidP="00C0092C">
            <w:pPr>
              <w:rPr>
                <w:rFonts w:ascii="Arial" w:hAnsi="Arial" w:cs="Arial"/>
                <w:sz w:val="20"/>
                <w:szCs w:val="20"/>
              </w:rPr>
            </w:pPr>
            <w:r w:rsidRPr="00C0092C">
              <w:rPr>
                <w:rFonts w:ascii="Arial" w:hAnsi="Arial" w:cs="Arial"/>
                <w:sz w:val="20"/>
                <w:szCs w:val="20"/>
              </w:rPr>
              <w:t>Entrepreneurship courses, internships, and venture-development activities (California Institute of Technology, n.d.)</w:t>
            </w:r>
          </w:p>
        </w:tc>
        <w:tc>
          <w:tcPr>
            <w:tcW w:w="2338" w:type="dxa"/>
            <w:hideMark/>
          </w:tcPr>
          <w:p w14:paraId="5AA9F699" w14:textId="77777777" w:rsidR="00C0092C" w:rsidRPr="00C0092C" w:rsidRDefault="00C0092C" w:rsidP="00C0092C">
            <w:pPr>
              <w:rPr>
                <w:rFonts w:ascii="Arial" w:hAnsi="Arial" w:cs="Arial"/>
                <w:sz w:val="20"/>
                <w:szCs w:val="20"/>
              </w:rPr>
            </w:pPr>
            <w:r w:rsidRPr="00C0092C">
              <w:rPr>
                <w:rFonts w:ascii="Arial" w:hAnsi="Arial" w:cs="Arial"/>
                <w:sz w:val="20"/>
                <w:szCs w:val="20"/>
              </w:rPr>
              <w:t>Entrepreneurship clubs, speaker events, hackathons, pitch activities, and mentoring (California Institute of Technology, n.d.)</w:t>
            </w:r>
          </w:p>
        </w:tc>
      </w:tr>
      <w:tr w:rsidR="00C0092C" w:rsidRPr="00C0092C" w14:paraId="7859AD17" w14:textId="77777777" w:rsidTr="00C0092C">
        <w:trPr>
          <w:tblCellSpacing w:w="15" w:type="dxa"/>
          <w:jc w:val="center"/>
        </w:trPr>
        <w:tc>
          <w:tcPr>
            <w:tcW w:w="1375" w:type="dxa"/>
            <w:hideMark/>
          </w:tcPr>
          <w:p w14:paraId="79C4FCC4" w14:textId="77777777" w:rsidR="00C0092C" w:rsidRPr="00C0092C" w:rsidRDefault="00C0092C" w:rsidP="00C0092C">
            <w:pPr>
              <w:rPr>
                <w:rFonts w:ascii="Arial" w:hAnsi="Arial" w:cs="Arial"/>
                <w:b/>
                <w:bCs/>
                <w:sz w:val="20"/>
                <w:szCs w:val="20"/>
              </w:rPr>
            </w:pPr>
            <w:r w:rsidRPr="00C0092C">
              <w:rPr>
                <w:rStyle w:val="Strong"/>
                <w:rFonts w:ascii="Arial" w:hAnsi="Arial" w:cs="Arial"/>
                <w:b w:val="0"/>
                <w:bCs w:val="0"/>
                <w:sz w:val="20"/>
                <w:szCs w:val="20"/>
              </w:rPr>
              <w:t>ETH Zurich</w:t>
            </w:r>
          </w:p>
        </w:tc>
        <w:tc>
          <w:tcPr>
            <w:tcW w:w="0" w:type="auto"/>
            <w:hideMark/>
          </w:tcPr>
          <w:p w14:paraId="1521EBDC" w14:textId="77777777" w:rsidR="00C0092C" w:rsidRPr="00C0092C" w:rsidRDefault="00C0092C" w:rsidP="00C0092C">
            <w:pPr>
              <w:rPr>
                <w:rFonts w:ascii="Arial" w:hAnsi="Arial" w:cs="Arial"/>
                <w:sz w:val="20"/>
                <w:szCs w:val="20"/>
              </w:rPr>
            </w:pPr>
            <w:r w:rsidRPr="00C0092C">
              <w:rPr>
                <w:rFonts w:ascii="Arial" w:hAnsi="Arial" w:cs="Arial"/>
                <w:sz w:val="20"/>
                <w:szCs w:val="20"/>
              </w:rPr>
              <w:t>ETH Entrepreneurship as a formal institutional entrepreneurship structure (ETH Zurich, n.d.)</w:t>
            </w:r>
          </w:p>
        </w:tc>
        <w:tc>
          <w:tcPr>
            <w:tcW w:w="0" w:type="auto"/>
            <w:hideMark/>
          </w:tcPr>
          <w:p w14:paraId="516205C0" w14:textId="77777777" w:rsidR="00C0092C" w:rsidRPr="00C0092C" w:rsidRDefault="00C0092C" w:rsidP="00C0092C">
            <w:pPr>
              <w:rPr>
                <w:rFonts w:ascii="Arial" w:hAnsi="Arial" w:cs="Arial"/>
                <w:sz w:val="20"/>
                <w:szCs w:val="20"/>
              </w:rPr>
            </w:pPr>
            <w:r w:rsidRPr="00C0092C">
              <w:rPr>
                <w:rFonts w:ascii="Arial" w:hAnsi="Arial" w:cs="Arial"/>
                <w:sz w:val="20"/>
                <w:szCs w:val="20"/>
              </w:rPr>
              <w:t>Student Project House, UPortunity, Pioneer Fellowship, and mentoring (ETH Zurich, n.d.)</w:t>
            </w:r>
          </w:p>
        </w:tc>
        <w:tc>
          <w:tcPr>
            <w:tcW w:w="0" w:type="auto"/>
            <w:hideMark/>
          </w:tcPr>
          <w:p w14:paraId="388384BF" w14:textId="77777777" w:rsidR="00C0092C" w:rsidRPr="00C0092C" w:rsidRDefault="00C0092C" w:rsidP="00C0092C">
            <w:pPr>
              <w:rPr>
                <w:rFonts w:ascii="Arial" w:hAnsi="Arial" w:cs="Arial"/>
                <w:sz w:val="20"/>
                <w:szCs w:val="20"/>
              </w:rPr>
            </w:pPr>
            <w:r w:rsidRPr="00C0092C">
              <w:rPr>
                <w:rFonts w:ascii="Arial" w:hAnsi="Arial" w:cs="Arial"/>
                <w:sz w:val="20"/>
                <w:szCs w:val="20"/>
              </w:rPr>
              <w:t>Pioneer Fellowship, grants, and other funding opportunities (ETH Zurich, n.d.)</w:t>
            </w:r>
          </w:p>
        </w:tc>
        <w:tc>
          <w:tcPr>
            <w:tcW w:w="0" w:type="auto"/>
            <w:hideMark/>
          </w:tcPr>
          <w:p w14:paraId="28885FBE" w14:textId="77777777" w:rsidR="00C0092C" w:rsidRPr="00C0092C" w:rsidRDefault="00C0092C" w:rsidP="00C0092C">
            <w:pPr>
              <w:rPr>
                <w:rFonts w:ascii="Arial" w:hAnsi="Arial" w:cs="Arial"/>
                <w:sz w:val="20"/>
                <w:szCs w:val="20"/>
              </w:rPr>
            </w:pPr>
            <w:r w:rsidRPr="00C0092C">
              <w:rPr>
                <w:rFonts w:ascii="Arial" w:hAnsi="Arial" w:cs="Arial"/>
                <w:sz w:val="20"/>
                <w:szCs w:val="20"/>
              </w:rPr>
              <w:t>Entrepreneurship courses, project-based experimentation, and venture development (ETH Zurich, n.d.)</w:t>
            </w:r>
          </w:p>
        </w:tc>
        <w:tc>
          <w:tcPr>
            <w:tcW w:w="2338" w:type="dxa"/>
            <w:hideMark/>
          </w:tcPr>
          <w:p w14:paraId="12CDB306" w14:textId="77777777" w:rsidR="00C0092C" w:rsidRPr="00C0092C" w:rsidRDefault="00C0092C" w:rsidP="00C0092C">
            <w:pPr>
              <w:rPr>
                <w:rFonts w:ascii="Arial" w:hAnsi="Arial" w:cs="Arial"/>
                <w:sz w:val="20"/>
                <w:szCs w:val="20"/>
              </w:rPr>
            </w:pPr>
            <w:r w:rsidRPr="00C0092C">
              <w:rPr>
                <w:rFonts w:ascii="Arial" w:hAnsi="Arial" w:cs="Arial"/>
                <w:sz w:val="20"/>
                <w:szCs w:val="20"/>
              </w:rPr>
              <w:t>Entrepreneurial organizations, events, pitch activities, and peer interaction (ETH Zurich, n.d.)</w:t>
            </w:r>
          </w:p>
        </w:tc>
      </w:tr>
      <w:tr w:rsidR="00C0092C" w:rsidRPr="00C0092C" w14:paraId="4A08546C" w14:textId="77777777" w:rsidTr="00C0092C">
        <w:trPr>
          <w:tblCellSpacing w:w="15" w:type="dxa"/>
          <w:jc w:val="center"/>
        </w:trPr>
        <w:tc>
          <w:tcPr>
            <w:tcW w:w="1375" w:type="dxa"/>
            <w:hideMark/>
          </w:tcPr>
          <w:p w14:paraId="2352493D" w14:textId="77777777" w:rsidR="00C0092C" w:rsidRPr="00C0092C" w:rsidRDefault="00C0092C" w:rsidP="00C0092C">
            <w:pPr>
              <w:rPr>
                <w:rFonts w:ascii="Arial" w:hAnsi="Arial" w:cs="Arial"/>
                <w:b/>
                <w:bCs/>
                <w:sz w:val="20"/>
                <w:szCs w:val="20"/>
              </w:rPr>
            </w:pPr>
            <w:r w:rsidRPr="00C0092C">
              <w:rPr>
                <w:rStyle w:val="Strong"/>
                <w:rFonts w:ascii="Arial" w:hAnsi="Arial" w:cs="Arial"/>
                <w:b w:val="0"/>
                <w:bCs w:val="0"/>
                <w:sz w:val="20"/>
                <w:szCs w:val="20"/>
              </w:rPr>
              <w:t>University College London (UCL)</w:t>
            </w:r>
          </w:p>
        </w:tc>
        <w:tc>
          <w:tcPr>
            <w:tcW w:w="0" w:type="auto"/>
            <w:hideMark/>
          </w:tcPr>
          <w:p w14:paraId="26D062A2" w14:textId="77777777" w:rsidR="00C0092C" w:rsidRPr="00C0092C" w:rsidRDefault="00C0092C" w:rsidP="00C0092C">
            <w:pPr>
              <w:rPr>
                <w:rFonts w:ascii="Arial" w:hAnsi="Arial" w:cs="Arial"/>
                <w:sz w:val="20"/>
                <w:szCs w:val="20"/>
              </w:rPr>
            </w:pPr>
            <w:r w:rsidRPr="00C0092C">
              <w:rPr>
                <w:rFonts w:ascii="Arial" w:hAnsi="Arial" w:cs="Arial"/>
                <w:sz w:val="20"/>
                <w:szCs w:val="20"/>
              </w:rPr>
              <w:t>UCL Innovation &amp; Enterprise as a dedicated entrepreneurship structure (University College London, n.d.)</w:t>
            </w:r>
          </w:p>
        </w:tc>
        <w:tc>
          <w:tcPr>
            <w:tcW w:w="0" w:type="auto"/>
            <w:hideMark/>
          </w:tcPr>
          <w:p w14:paraId="2364A08B" w14:textId="77777777" w:rsidR="00C0092C" w:rsidRPr="00C0092C" w:rsidRDefault="00C0092C" w:rsidP="00C0092C">
            <w:pPr>
              <w:rPr>
                <w:rFonts w:ascii="Arial" w:hAnsi="Arial" w:cs="Arial"/>
                <w:sz w:val="20"/>
                <w:szCs w:val="20"/>
              </w:rPr>
            </w:pPr>
            <w:r w:rsidRPr="00C0092C">
              <w:rPr>
                <w:rFonts w:ascii="Arial" w:hAnsi="Arial" w:cs="Arial"/>
                <w:sz w:val="20"/>
                <w:szCs w:val="20"/>
              </w:rPr>
              <w:t>Venture Builder, Hatchery, coworking, advisers, and mentoring (University College London, n.d.)</w:t>
            </w:r>
          </w:p>
        </w:tc>
        <w:tc>
          <w:tcPr>
            <w:tcW w:w="0" w:type="auto"/>
            <w:hideMark/>
          </w:tcPr>
          <w:p w14:paraId="666FB71B" w14:textId="77777777" w:rsidR="00C0092C" w:rsidRPr="00C0092C" w:rsidRDefault="00C0092C" w:rsidP="00C0092C">
            <w:pPr>
              <w:rPr>
                <w:rFonts w:ascii="Arial" w:hAnsi="Arial" w:cs="Arial"/>
                <w:sz w:val="20"/>
                <w:szCs w:val="20"/>
              </w:rPr>
            </w:pPr>
            <w:r w:rsidRPr="00C0092C">
              <w:rPr>
                <w:rFonts w:ascii="Arial" w:hAnsi="Arial" w:cs="Arial"/>
                <w:sz w:val="20"/>
                <w:szCs w:val="20"/>
              </w:rPr>
              <w:t>Prizes, investor networks, and access to external investment opportunities (University College London, n.d.)</w:t>
            </w:r>
          </w:p>
        </w:tc>
        <w:tc>
          <w:tcPr>
            <w:tcW w:w="0" w:type="auto"/>
            <w:hideMark/>
          </w:tcPr>
          <w:p w14:paraId="66D07301" w14:textId="77777777" w:rsidR="00C0092C" w:rsidRPr="00C0092C" w:rsidRDefault="00C0092C" w:rsidP="00C0092C">
            <w:pPr>
              <w:rPr>
                <w:rFonts w:ascii="Arial" w:hAnsi="Arial" w:cs="Arial"/>
                <w:sz w:val="20"/>
                <w:szCs w:val="20"/>
              </w:rPr>
            </w:pPr>
            <w:r w:rsidRPr="00C0092C">
              <w:rPr>
                <w:rFonts w:ascii="Arial" w:hAnsi="Arial" w:cs="Arial"/>
                <w:sz w:val="20"/>
                <w:szCs w:val="20"/>
              </w:rPr>
              <w:t>Idea-development programs, customer discovery, business-model development, and pitching (University College London, n.d.)</w:t>
            </w:r>
          </w:p>
        </w:tc>
        <w:tc>
          <w:tcPr>
            <w:tcW w:w="2338" w:type="dxa"/>
            <w:hideMark/>
          </w:tcPr>
          <w:p w14:paraId="65D8D24A" w14:textId="77777777" w:rsidR="00C0092C" w:rsidRPr="00C0092C" w:rsidRDefault="00C0092C" w:rsidP="00C0092C">
            <w:pPr>
              <w:rPr>
                <w:rFonts w:ascii="Arial" w:hAnsi="Arial" w:cs="Arial"/>
                <w:sz w:val="20"/>
                <w:szCs w:val="20"/>
              </w:rPr>
            </w:pPr>
            <w:r w:rsidRPr="00C0092C">
              <w:rPr>
                <w:rFonts w:ascii="Arial" w:hAnsi="Arial" w:cs="Arial"/>
                <w:sz w:val="20"/>
                <w:szCs w:val="20"/>
              </w:rPr>
              <w:t>Workshops, networking, founder interaction, and entrepreneurial community (University College London, n.d.)</w:t>
            </w:r>
          </w:p>
        </w:tc>
      </w:tr>
      <w:tr w:rsidR="00C0092C" w:rsidRPr="00C0092C" w14:paraId="063CC636" w14:textId="77777777" w:rsidTr="00C0092C">
        <w:trPr>
          <w:trHeight w:val="72"/>
          <w:tblCellSpacing w:w="15" w:type="dxa"/>
          <w:jc w:val="center"/>
        </w:trPr>
        <w:tc>
          <w:tcPr>
            <w:tcW w:w="1375" w:type="dxa"/>
            <w:tcBorders>
              <w:bottom w:val="single" w:sz="4" w:space="0" w:color="auto"/>
            </w:tcBorders>
            <w:hideMark/>
          </w:tcPr>
          <w:p w14:paraId="3C9B9085" w14:textId="77777777" w:rsidR="00C0092C" w:rsidRPr="00C0092C" w:rsidRDefault="00C0092C" w:rsidP="00C0092C">
            <w:pPr>
              <w:rPr>
                <w:rFonts w:ascii="Arial" w:hAnsi="Arial" w:cs="Arial"/>
                <w:b/>
                <w:bCs/>
                <w:sz w:val="20"/>
                <w:szCs w:val="20"/>
              </w:rPr>
            </w:pPr>
            <w:r w:rsidRPr="00C0092C">
              <w:rPr>
                <w:rStyle w:val="Strong"/>
                <w:rFonts w:ascii="Arial" w:hAnsi="Arial" w:cs="Arial"/>
                <w:b w:val="0"/>
                <w:bCs w:val="0"/>
                <w:sz w:val="20"/>
                <w:szCs w:val="20"/>
              </w:rPr>
              <w:t>National University of Singapore (NUS)</w:t>
            </w:r>
          </w:p>
        </w:tc>
        <w:tc>
          <w:tcPr>
            <w:tcW w:w="0" w:type="auto"/>
            <w:tcBorders>
              <w:bottom w:val="single" w:sz="4" w:space="0" w:color="auto"/>
            </w:tcBorders>
            <w:hideMark/>
          </w:tcPr>
          <w:p w14:paraId="37041DA0" w14:textId="77777777" w:rsidR="00C0092C" w:rsidRPr="00C0092C" w:rsidRDefault="00C0092C" w:rsidP="00C0092C">
            <w:pPr>
              <w:rPr>
                <w:rFonts w:ascii="Arial" w:hAnsi="Arial" w:cs="Arial"/>
                <w:sz w:val="20"/>
                <w:szCs w:val="20"/>
              </w:rPr>
            </w:pPr>
            <w:r w:rsidRPr="00C0092C">
              <w:rPr>
                <w:rFonts w:ascii="Arial" w:hAnsi="Arial" w:cs="Arial"/>
                <w:sz w:val="20"/>
                <w:szCs w:val="20"/>
              </w:rPr>
              <w:t>NUS Enterprise as the university's formal entrepreneurial arm (National University of Singapore, n.d.)</w:t>
            </w:r>
          </w:p>
        </w:tc>
        <w:tc>
          <w:tcPr>
            <w:tcW w:w="0" w:type="auto"/>
            <w:tcBorders>
              <w:bottom w:val="single" w:sz="4" w:space="0" w:color="auto"/>
            </w:tcBorders>
            <w:hideMark/>
          </w:tcPr>
          <w:p w14:paraId="33F15EC3" w14:textId="77777777" w:rsidR="00C0092C" w:rsidRPr="00C0092C" w:rsidRDefault="00C0092C" w:rsidP="00C0092C">
            <w:pPr>
              <w:rPr>
                <w:rFonts w:ascii="Arial" w:hAnsi="Arial" w:cs="Arial"/>
                <w:sz w:val="20"/>
                <w:szCs w:val="20"/>
              </w:rPr>
            </w:pPr>
            <w:r w:rsidRPr="00C0092C">
              <w:rPr>
                <w:rFonts w:ascii="Arial" w:hAnsi="Arial" w:cs="Arial"/>
                <w:sz w:val="20"/>
                <w:szCs w:val="20"/>
              </w:rPr>
              <w:t>NUS Overseas Colleges, N-House, startup internships, and ecosystem exposure (National University of Singapore, n.d.)</w:t>
            </w:r>
          </w:p>
        </w:tc>
        <w:tc>
          <w:tcPr>
            <w:tcW w:w="0" w:type="auto"/>
            <w:tcBorders>
              <w:bottom w:val="single" w:sz="4" w:space="0" w:color="auto"/>
            </w:tcBorders>
            <w:hideMark/>
          </w:tcPr>
          <w:p w14:paraId="4DCD3E4C" w14:textId="77777777" w:rsidR="00C0092C" w:rsidRPr="00C0092C" w:rsidRDefault="00C0092C" w:rsidP="00C0092C">
            <w:pPr>
              <w:rPr>
                <w:rFonts w:ascii="Arial" w:hAnsi="Arial" w:cs="Arial"/>
                <w:sz w:val="20"/>
                <w:szCs w:val="20"/>
              </w:rPr>
            </w:pPr>
            <w:r w:rsidRPr="00C0092C">
              <w:rPr>
                <w:rFonts w:ascii="Arial" w:hAnsi="Arial" w:cs="Arial"/>
                <w:sz w:val="20"/>
                <w:szCs w:val="20"/>
              </w:rPr>
              <w:t>Funding opportunities, awards, scholarships, and entrepreneurship-related financial support (National University of Singapore, n.d.)</w:t>
            </w:r>
          </w:p>
        </w:tc>
        <w:tc>
          <w:tcPr>
            <w:tcW w:w="0" w:type="auto"/>
            <w:tcBorders>
              <w:bottom w:val="single" w:sz="4" w:space="0" w:color="auto"/>
            </w:tcBorders>
            <w:hideMark/>
          </w:tcPr>
          <w:p w14:paraId="55DBD32F" w14:textId="77777777" w:rsidR="00C0092C" w:rsidRPr="00C0092C" w:rsidRDefault="00C0092C" w:rsidP="00C0092C">
            <w:pPr>
              <w:rPr>
                <w:rFonts w:ascii="Arial" w:hAnsi="Arial" w:cs="Arial"/>
                <w:sz w:val="20"/>
                <w:szCs w:val="20"/>
              </w:rPr>
            </w:pPr>
            <w:r w:rsidRPr="00C0092C">
              <w:rPr>
                <w:rFonts w:ascii="Arial" w:hAnsi="Arial" w:cs="Arial"/>
                <w:sz w:val="20"/>
                <w:szCs w:val="20"/>
              </w:rPr>
              <w:t>Entrepreneurship education, NUS Overseas Colleges, and experiential learning (National University of Singapore, n.d.)</w:t>
            </w:r>
          </w:p>
        </w:tc>
        <w:tc>
          <w:tcPr>
            <w:tcW w:w="2338" w:type="dxa"/>
            <w:tcBorders>
              <w:bottom w:val="single" w:sz="4" w:space="0" w:color="auto"/>
            </w:tcBorders>
            <w:hideMark/>
          </w:tcPr>
          <w:p w14:paraId="6D41894A" w14:textId="77777777" w:rsidR="00C0092C" w:rsidRPr="00C0092C" w:rsidRDefault="00C0092C" w:rsidP="00C0092C">
            <w:pPr>
              <w:rPr>
                <w:rFonts w:ascii="Arial" w:hAnsi="Arial" w:cs="Arial"/>
                <w:sz w:val="20"/>
                <w:szCs w:val="20"/>
              </w:rPr>
            </w:pPr>
            <w:r w:rsidRPr="00C0092C">
              <w:rPr>
                <w:rFonts w:ascii="Arial" w:hAnsi="Arial" w:cs="Arial"/>
                <w:sz w:val="20"/>
                <w:szCs w:val="20"/>
              </w:rPr>
              <w:t>Student and alumni networks, N-House, founders, and investor interaction (National University of Singapore, n.d.)</w:t>
            </w:r>
          </w:p>
        </w:tc>
      </w:tr>
    </w:tbl>
    <w:p w14:paraId="756390EA" w14:textId="71691359" w:rsidR="00E74018" w:rsidRPr="00DD34E9" w:rsidRDefault="00DD34E9" w:rsidP="00472000">
      <w:pPr>
        <w:rPr>
          <w:rFonts w:ascii="Arial" w:hAnsi="Arial" w:cs="Arial"/>
          <w:b/>
          <w:bCs/>
          <w:i/>
          <w:iCs/>
          <w:color w:val="000000"/>
          <w:sz w:val="18"/>
          <w:szCs w:val="18"/>
        </w:rPr>
      </w:pPr>
      <w:r w:rsidRPr="00DD34E9">
        <w:rPr>
          <w:rStyle w:val="Strong"/>
          <w:rFonts w:ascii="Arial" w:hAnsi="Arial" w:cs="Arial"/>
          <w:b w:val="0"/>
          <w:bCs w:val="0"/>
          <w:i/>
          <w:iCs/>
          <w:sz w:val="18"/>
          <w:szCs w:val="18"/>
        </w:rPr>
        <w:t>Note.</w:t>
      </w:r>
      <w:r w:rsidRPr="00DD34E9">
        <w:rPr>
          <w:rFonts w:ascii="Arial" w:hAnsi="Arial" w:cs="Arial"/>
          <w:b/>
          <w:bCs/>
          <w:i/>
          <w:iCs/>
          <w:sz w:val="18"/>
          <w:szCs w:val="18"/>
        </w:rPr>
        <w:t xml:space="preserve"> </w:t>
      </w:r>
      <w:r w:rsidRPr="00DD34E9">
        <w:rPr>
          <w:rFonts w:ascii="Arial" w:hAnsi="Arial" w:cs="Arial"/>
          <w:i/>
          <w:iCs/>
          <w:sz w:val="18"/>
          <w:szCs w:val="18"/>
        </w:rPr>
        <w:t>The matrix presents representative documentary evidence identified from official institutional sources examined in the study. Individual practices may correspond to more than one Clark pathway. The evidence reflects publicly documented institutional practices and does not constitute a ranking or evaluation of institutional effectiveness.</w:t>
      </w:r>
    </w:p>
    <w:p w14:paraId="3B537D5E" w14:textId="77777777" w:rsidR="00E74018" w:rsidRPr="00642500" w:rsidRDefault="00E74018" w:rsidP="00472000">
      <w:pPr>
        <w:rPr>
          <w:rFonts w:ascii="Arial" w:hAnsi="Arial" w:cs="Arial"/>
          <w:color w:val="000000"/>
          <w:sz w:val="20"/>
          <w:szCs w:val="20"/>
        </w:rPr>
      </w:pPr>
    </w:p>
    <w:p w14:paraId="05DE1906" w14:textId="17825EE1" w:rsidR="00472000" w:rsidRPr="00244F25" w:rsidRDefault="00472000" w:rsidP="00472000">
      <w:pPr>
        <w:rPr>
          <w:rFonts w:ascii="Arial" w:hAnsi="Arial" w:cs="Arial"/>
          <w:color w:val="000000"/>
          <w:sz w:val="20"/>
          <w:szCs w:val="20"/>
        </w:rPr>
      </w:pPr>
      <w:r w:rsidRPr="00244F25">
        <w:rPr>
          <w:rFonts w:ascii="Arial" w:hAnsi="Arial" w:cs="Arial"/>
          <w:color w:val="000000"/>
          <w:sz w:val="20"/>
          <w:szCs w:val="20"/>
        </w:rPr>
        <w:t xml:space="preserve">The cross-case analysis revealed evidence corresponding to all five pathways of Clark's Entrepreneurial University Model: strengthened steering core, expanded developmental periphery, diversified funding base, stimulated academic heartland, and integrated entrepreneurial culture (Clark, 1998). While these pathways were present across the ten cases, they differed in organizational configuration, breadth of support, and emphasis. Contemporary research on university entrepreneurial ecosystems also indicates that </w:t>
      </w:r>
      <w:r w:rsidRPr="00244F25">
        <w:rPr>
          <w:rFonts w:ascii="Arial" w:hAnsi="Arial" w:cs="Arial"/>
          <w:color w:val="000000"/>
          <w:sz w:val="20"/>
          <w:szCs w:val="20"/>
        </w:rPr>
        <w:lastRenderedPageBreak/>
        <w:t>entrepreneurship support is most accurately understood as a configuration of interconnected components, rather than as a uniform institutional structure (Correia et al., 2024; Meyskens et al., 2022).</w:t>
      </w:r>
    </w:p>
    <w:p w14:paraId="2B7A2101" w14:textId="77777777" w:rsidR="00472000" w:rsidRDefault="00472000" w:rsidP="00472000">
      <w:pPr>
        <w:rPr>
          <w:rFonts w:ascii="Arial" w:hAnsi="Arial" w:cs="Arial"/>
          <w:color w:val="000000"/>
        </w:rPr>
      </w:pPr>
    </w:p>
    <w:p w14:paraId="65BC0478" w14:textId="43142120" w:rsidR="00472000" w:rsidRDefault="00472000" w:rsidP="00472000">
      <w:pPr>
        <w:jc w:val="center"/>
        <w:rPr>
          <w:rFonts w:ascii="Arial" w:hAnsi="Arial" w:cs="Arial"/>
          <w:color w:val="000000"/>
        </w:rPr>
      </w:pPr>
      <w:r>
        <w:rPr>
          <w:rFonts w:ascii="Arial" w:hAnsi="Arial" w:cs="Arial"/>
          <w:b/>
          <w:bCs/>
          <w:color w:val="000000"/>
          <w:sz w:val="20"/>
          <w:szCs w:val="20"/>
        </w:rPr>
        <w:t xml:space="preserve">Table </w:t>
      </w:r>
      <w:r w:rsidR="00E26BE7">
        <w:rPr>
          <w:rFonts w:ascii="Arial" w:hAnsi="Arial" w:cs="Arial"/>
          <w:b/>
          <w:bCs/>
          <w:color w:val="000000"/>
          <w:sz w:val="20"/>
          <w:szCs w:val="20"/>
        </w:rPr>
        <w:t>3</w:t>
      </w:r>
      <w:r>
        <w:rPr>
          <w:rFonts w:ascii="Arial" w:hAnsi="Arial" w:cs="Arial"/>
          <w:b/>
          <w:bCs/>
          <w:color w:val="000000"/>
          <w:sz w:val="20"/>
          <w:szCs w:val="20"/>
        </w:rPr>
        <w:t>. Cross-case patterns in student entrepreneurship support through Clark's five pathways</w:t>
      </w:r>
    </w:p>
    <w:p w14:paraId="697EA295" w14:textId="77777777" w:rsidR="00472000" w:rsidRPr="00472000" w:rsidRDefault="00472000" w:rsidP="00472000"/>
    <w:tbl>
      <w:tblPr>
        <w:tblW w:w="9630" w:type="dxa"/>
        <w:jc w:val="center"/>
        <w:tblBorders>
          <w:top w:val="single" w:sz="4" w:space="0" w:color="auto"/>
          <w:bottom w:val="single" w:sz="4" w:space="0" w:color="auto"/>
          <w:insideH w:val="single" w:sz="4" w:space="0" w:color="auto"/>
        </w:tblBorders>
        <w:tblLook w:val="01E0" w:firstRow="1" w:lastRow="1" w:firstColumn="1" w:lastColumn="1" w:noHBand="0" w:noVBand="0"/>
      </w:tblPr>
      <w:tblGrid>
        <w:gridCol w:w="3420"/>
        <w:gridCol w:w="3780"/>
        <w:gridCol w:w="2430"/>
      </w:tblGrid>
      <w:tr w:rsidR="00472000" w:rsidRPr="00DC3180" w14:paraId="6E6480BE" w14:textId="77777777" w:rsidTr="00E26BE7">
        <w:trPr>
          <w:jc w:val="center"/>
        </w:trPr>
        <w:tc>
          <w:tcPr>
            <w:tcW w:w="3420" w:type="dxa"/>
            <w:tcBorders>
              <w:bottom w:val="single" w:sz="4" w:space="0" w:color="auto"/>
            </w:tcBorders>
          </w:tcPr>
          <w:p w14:paraId="30C0504A" w14:textId="07390AB9" w:rsidR="00472000" w:rsidRPr="00DC3180" w:rsidRDefault="00472000" w:rsidP="00472000">
            <w:pPr>
              <w:rPr>
                <w:rFonts w:ascii="Arial" w:hAnsi="Arial"/>
                <w:b/>
                <w:bCs/>
              </w:rPr>
            </w:pPr>
            <w:r>
              <w:rPr>
                <w:rFonts w:ascii="Arial" w:hAnsi="Arial" w:cs="Arial"/>
                <w:b/>
                <w:bCs/>
                <w:color w:val="000000"/>
                <w:sz w:val="20"/>
                <w:szCs w:val="20"/>
              </w:rPr>
              <w:t>Clark Pathway</w:t>
            </w:r>
          </w:p>
        </w:tc>
        <w:tc>
          <w:tcPr>
            <w:tcW w:w="3780" w:type="dxa"/>
            <w:tcBorders>
              <w:bottom w:val="single" w:sz="4" w:space="0" w:color="auto"/>
            </w:tcBorders>
          </w:tcPr>
          <w:p w14:paraId="5CD5043E" w14:textId="3CA27AFF" w:rsidR="00472000" w:rsidRPr="00DC3180" w:rsidRDefault="00472000" w:rsidP="00472000">
            <w:pPr>
              <w:rPr>
                <w:rFonts w:ascii="Arial" w:hAnsi="Arial"/>
                <w:b/>
                <w:bCs/>
              </w:rPr>
            </w:pPr>
            <w:r>
              <w:rPr>
                <w:rFonts w:ascii="Arial" w:hAnsi="Arial" w:cs="Arial"/>
                <w:b/>
                <w:bCs/>
                <w:color w:val="000000"/>
                <w:sz w:val="20"/>
                <w:szCs w:val="20"/>
              </w:rPr>
              <w:t>Cross-case Finding</w:t>
            </w:r>
          </w:p>
        </w:tc>
        <w:tc>
          <w:tcPr>
            <w:tcW w:w="2430" w:type="dxa"/>
            <w:tcBorders>
              <w:bottom w:val="single" w:sz="4" w:space="0" w:color="auto"/>
            </w:tcBorders>
          </w:tcPr>
          <w:p w14:paraId="608F23FD" w14:textId="24934C4F" w:rsidR="00472000" w:rsidRPr="00DC3180" w:rsidRDefault="00472000" w:rsidP="00472000">
            <w:pPr>
              <w:rPr>
                <w:rFonts w:ascii="Arial" w:hAnsi="Arial"/>
                <w:b/>
                <w:bCs/>
              </w:rPr>
            </w:pPr>
            <w:r>
              <w:rPr>
                <w:rFonts w:ascii="Arial" w:hAnsi="Arial" w:cs="Arial"/>
                <w:b/>
                <w:bCs/>
                <w:color w:val="000000"/>
                <w:sz w:val="20"/>
                <w:szCs w:val="20"/>
              </w:rPr>
              <w:t>Illustrative benchmark cases</w:t>
            </w:r>
          </w:p>
        </w:tc>
      </w:tr>
      <w:tr w:rsidR="00472000" w:rsidRPr="00DC3180" w14:paraId="28FB8146" w14:textId="77777777" w:rsidTr="00E26BE7">
        <w:trPr>
          <w:jc w:val="center"/>
        </w:trPr>
        <w:tc>
          <w:tcPr>
            <w:tcW w:w="3420" w:type="dxa"/>
            <w:tcBorders>
              <w:top w:val="single" w:sz="4" w:space="0" w:color="auto"/>
              <w:bottom w:val="nil"/>
            </w:tcBorders>
          </w:tcPr>
          <w:p w14:paraId="20ABDF14" w14:textId="21CAF857" w:rsidR="00472000" w:rsidRPr="00472000" w:rsidRDefault="00472000" w:rsidP="00472000">
            <w:pPr>
              <w:rPr>
                <w:rFonts w:ascii="Arial" w:hAnsi="Arial"/>
              </w:rPr>
            </w:pPr>
            <w:r w:rsidRPr="00472000">
              <w:rPr>
                <w:rFonts w:ascii="Arial" w:hAnsi="Arial" w:cs="Arial"/>
                <w:color w:val="000000"/>
                <w:sz w:val="20"/>
                <w:szCs w:val="20"/>
              </w:rPr>
              <w:t>Strengthened Steering Core</w:t>
            </w:r>
          </w:p>
        </w:tc>
        <w:tc>
          <w:tcPr>
            <w:tcW w:w="3780" w:type="dxa"/>
            <w:tcBorders>
              <w:top w:val="single" w:sz="4" w:space="0" w:color="auto"/>
              <w:bottom w:val="nil"/>
            </w:tcBorders>
          </w:tcPr>
          <w:p w14:paraId="7C99C4E0" w14:textId="394C6AB4" w:rsidR="00472000" w:rsidRPr="00DC3180" w:rsidRDefault="00472000" w:rsidP="00472000">
            <w:pPr>
              <w:rPr>
                <w:rFonts w:ascii="Arial" w:hAnsi="Arial"/>
              </w:rPr>
            </w:pPr>
            <w:r>
              <w:rPr>
                <w:rFonts w:ascii="Arial" w:hAnsi="Arial" w:cs="Arial"/>
                <w:color w:val="000000"/>
                <w:sz w:val="20"/>
                <w:szCs w:val="20"/>
              </w:rPr>
              <w:t>Formal institutional responsibility for student entrepreneurship was evident across the cases, ranging from dedicated centers to distributed institutional ecosystems.</w:t>
            </w:r>
          </w:p>
        </w:tc>
        <w:tc>
          <w:tcPr>
            <w:tcW w:w="2430" w:type="dxa"/>
            <w:tcBorders>
              <w:top w:val="single" w:sz="4" w:space="0" w:color="auto"/>
              <w:bottom w:val="nil"/>
            </w:tcBorders>
          </w:tcPr>
          <w:p w14:paraId="780312F7" w14:textId="5B2F977F" w:rsidR="00472000" w:rsidRPr="00DC3180" w:rsidRDefault="00472000" w:rsidP="00472000">
            <w:pPr>
              <w:rPr>
                <w:rFonts w:ascii="Arial" w:hAnsi="Arial" w:cs="Arial"/>
              </w:rPr>
            </w:pPr>
            <w:r>
              <w:rPr>
                <w:rFonts w:ascii="Arial" w:hAnsi="Arial" w:cs="Arial"/>
                <w:color w:val="000000"/>
                <w:sz w:val="20"/>
                <w:szCs w:val="20"/>
              </w:rPr>
              <w:t>MIT, Harvard, ETH Zurich, NUS</w:t>
            </w:r>
          </w:p>
        </w:tc>
      </w:tr>
      <w:tr w:rsidR="00472000" w:rsidRPr="00DC3180" w14:paraId="666C93F2" w14:textId="77777777" w:rsidTr="00E26BE7">
        <w:trPr>
          <w:jc w:val="center"/>
        </w:trPr>
        <w:tc>
          <w:tcPr>
            <w:tcW w:w="3420" w:type="dxa"/>
            <w:tcBorders>
              <w:top w:val="nil"/>
              <w:bottom w:val="nil"/>
            </w:tcBorders>
          </w:tcPr>
          <w:p w14:paraId="539B115A" w14:textId="19020696" w:rsidR="00472000" w:rsidRPr="00472000" w:rsidRDefault="00472000" w:rsidP="00472000">
            <w:pPr>
              <w:rPr>
                <w:rFonts w:ascii="Arial" w:hAnsi="Arial"/>
              </w:rPr>
            </w:pPr>
            <w:r w:rsidRPr="00472000">
              <w:rPr>
                <w:rFonts w:ascii="Arial" w:hAnsi="Arial" w:cs="Arial"/>
                <w:color w:val="000000"/>
                <w:sz w:val="20"/>
                <w:szCs w:val="20"/>
              </w:rPr>
              <w:t>Expanded Developmental Periphery</w:t>
            </w:r>
          </w:p>
        </w:tc>
        <w:tc>
          <w:tcPr>
            <w:tcW w:w="3780" w:type="dxa"/>
            <w:tcBorders>
              <w:top w:val="nil"/>
              <w:bottom w:val="nil"/>
            </w:tcBorders>
          </w:tcPr>
          <w:p w14:paraId="7EF58900" w14:textId="49D47477" w:rsidR="00472000" w:rsidRPr="00DC3180" w:rsidRDefault="00472000" w:rsidP="00472000">
            <w:pPr>
              <w:rPr>
                <w:rFonts w:ascii="Arial" w:hAnsi="Arial"/>
              </w:rPr>
            </w:pPr>
            <w:r>
              <w:rPr>
                <w:rFonts w:ascii="Arial" w:hAnsi="Arial" w:cs="Arial"/>
                <w:color w:val="000000"/>
                <w:sz w:val="20"/>
                <w:szCs w:val="20"/>
              </w:rPr>
              <w:t>Support extended beyond classroom instruction through mentoring, coaching, incubation, venture-development programs, workspace, competitions, and ecosystem connections.</w:t>
            </w:r>
          </w:p>
        </w:tc>
        <w:tc>
          <w:tcPr>
            <w:tcW w:w="2430" w:type="dxa"/>
            <w:tcBorders>
              <w:top w:val="nil"/>
              <w:bottom w:val="nil"/>
            </w:tcBorders>
          </w:tcPr>
          <w:p w14:paraId="09002A8A" w14:textId="60E7281B" w:rsidR="00472000" w:rsidRPr="00DC3180" w:rsidRDefault="00472000" w:rsidP="00472000">
            <w:pPr>
              <w:rPr>
                <w:rFonts w:ascii="Arial" w:hAnsi="Arial" w:cs="Arial"/>
              </w:rPr>
            </w:pPr>
            <w:r>
              <w:rPr>
                <w:rFonts w:ascii="Arial" w:hAnsi="Arial" w:cs="Arial"/>
                <w:color w:val="000000"/>
                <w:sz w:val="20"/>
                <w:szCs w:val="20"/>
              </w:rPr>
              <w:t>Harvard, MIT, ETH Zurich, UCL</w:t>
            </w:r>
          </w:p>
        </w:tc>
      </w:tr>
      <w:tr w:rsidR="00472000" w:rsidRPr="00DC3180" w14:paraId="2CA15CFB" w14:textId="77777777" w:rsidTr="00E26BE7">
        <w:trPr>
          <w:jc w:val="center"/>
        </w:trPr>
        <w:tc>
          <w:tcPr>
            <w:tcW w:w="3420" w:type="dxa"/>
            <w:tcBorders>
              <w:top w:val="nil"/>
              <w:bottom w:val="nil"/>
            </w:tcBorders>
          </w:tcPr>
          <w:p w14:paraId="6E74A45F" w14:textId="0AA8EFD2" w:rsidR="00472000" w:rsidRPr="00472000" w:rsidRDefault="00472000" w:rsidP="00472000">
            <w:pPr>
              <w:rPr>
                <w:rFonts w:ascii="Arial" w:hAnsi="Arial"/>
              </w:rPr>
            </w:pPr>
            <w:r w:rsidRPr="00472000">
              <w:rPr>
                <w:rFonts w:ascii="Arial" w:hAnsi="Arial" w:cs="Arial"/>
                <w:color w:val="000000"/>
                <w:sz w:val="20"/>
                <w:szCs w:val="20"/>
              </w:rPr>
              <w:t>Diversified Funding Base</w:t>
            </w:r>
          </w:p>
        </w:tc>
        <w:tc>
          <w:tcPr>
            <w:tcW w:w="3780" w:type="dxa"/>
            <w:tcBorders>
              <w:top w:val="nil"/>
              <w:bottom w:val="nil"/>
            </w:tcBorders>
          </w:tcPr>
          <w:p w14:paraId="0BD2BB37" w14:textId="7326DA6C" w:rsidR="00472000" w:rsidRPr="00DC3180" w:rsidRDefault="00472000" w:rsidP="00472000">
            <w:pPr>
              <w:rPr>
                <w:rFonts w:ascii="Arial" w:hAnsi="Arial"/>
              </w:rPr>
            </w:pPr>
            <w:r>
              <w:rPr>
                <w:rFonts w:ascii="Arial" w:hAnsi="Arial" w:cs="Arial"/>
                <w:color w:val="000000"/>
                <w:sz w:val="20"/>
                <w:szCs w:val="20"/>
              </w:rPr>
              <w:t>This was the most variable pathway. Some universities provided direct student funding, while others emphasized competitions, investor access, or funding-readiness support.</w:t>
            </w:r>
          </w:p>
        </w:tc>
        <w:tc>
          <w:tcPr>
            <w:tcW w:w="2430" w:type="dxa"/>
            <w:tcBorders>
              <w:top w:val="nil"/>
              <w:bottom w:val="nil"/>
            </w:tcBorders>
          </w:tcPr>
          <w:p w14:paraId="6D09D0EF" w14:textId="0470421E" w:rsidR="00472000" w:rsidRPr="00DC3180" w:rsidRDefault="00472000" w:rsidP="00472000">
            <w:pPr>
              <w:rPr>
                <w:rFonts w:ascii="Arial" w:hAnsi="Arial" w:cs="Arial"/>
              </w:rPr>
            </w:pPr>
            <w:r>
              <w:rPr>
                <w:rFonts w:ascii="Arial" w:hAnsi="Arial" w:cs="Arial"/>
                <w:color w:val="000000"/>
                <w:sz w:val="20"/>
                <w:szCs w:val="20"/>
              </w:rPr>
              <w:t>MIT, Harvard, Caltech, ETH Zurich, NUS</w:t>
            </w:r>
          </w:p>
        </w:tc>
      </w:tr>
      <w:tr w:rsidR="00472000" w:rsidRPr="00DC3180" w14:paraId="2CD4A6E8" w14:textId="77777777" w:rsidTr="00E26BE7">
        <w:trPr>
          <w:jc w:val="center"/>
        </w:trPr>
        <w:tc>
          <w:tcPr>
            <w:tcW w:w="3420" w:type="dxa"/>
            <w:tcBorders>
              <w:top w:val="nil"/>
              <w:bottom w:val="nil"/>
            </w:tcBorders>
          </w:tcPr>
          <w:p w14:paraId="4578E246" w14:textId="1673A9C5" w:rsidR="00472000" w:rsidRPr="00472000" w:rsidRDefault="00472000" w:rsidP="00472000">
            <w:pPr>
              <w:rPr>
                <w:rFonts w:ascii="Arial" w:hAnsi="Arial"/>
              </w:rPr>
            </w:pPr>
            <w:r w:rsidRPr="00472000">
              <w:rPr>
                <w:rFonts w:ascii="Arial" w:hAnsi="Arial" w:cs="Arial"/>
                <w:color w:val="000000"/>
                <w:sz w:val="20"/>
                <w:szCs w:val="20"/>
              </w:rPr>
              <w:t>Stimulated Academic Heartland</w:t>
            </w:r>
          </w:p>
        </w:tc>
        <w:tc>
          <w:tcPr>
            <w:tcW w:w="3780" w:type="dxa"/>
            <w:tcBorders>
              <w:top w:val="nil"/>
              <w:bottom w:val="nil"/>
            </w:tcBorders>
          </w:tcPr>
          <w:p w14:paraId="498D7025" w14:textId="591101EF" w:rsidR="00472000" w:rsidRPr="00DC3180" w:rsidRDefault="00472000" w:rsidP="00472000">
            <w:pPr>
              <w:rPr>
                <w:rFonts w:ascii="Arial" w:hAnsi="Arial"/>
              </w:rPr>
            </w:pPr>
            <w:r>
              <w:rPr>
                <w:rFonts w:ascii="Arial" w:hAnsi="Arial" w:cs="Arial"/>
                <w:color w:val="000000"/>
                <w:sz w:val="20"/>
                <w:szCs w:val="20"/>
              </w:rPr>
              <w:t>Entrepreneurship was connected to experiential learning through courses, projects, startup internships, pitching, business-model development, and venture creation.</w:t>
            </w:r>
          </w:p>
        </w:tc>
        <w:tc>
          <w:tcPr>
            <w:tcW w:w="2430" w:type="dxa"/>
            <w:tcBorders>
              <w:top w:val="nil"/>
              <w:bottom w:val="nil"/>
            </w:tcBorders>
          </w:tcPr>
          <w:p w14:paraId="67DD38B0" w14:textId="733A72FE" w:rsidR="00472000" w:rsidRPr="00DC3180" w:rsidRDefault="00472000" w:rsidP="00472000">
            <w:pPr>
              <w:rPr>
                <w:rFonts w:ascii="Arial" w:hAnsi="Arial" w:cs="Arial"/>
              </w:rPr>
            </w:pPr>
            <w:r>
              <w:rPr>
                <w:rFonts w:ascii="Arial" w:hAnsi="Arial" w:cs="Arial"/>
                <w:color w:val="000000"/>
                <w:sz w:val="20"/>
                <w:szCs w:val="20"/>
              </w:rPr>
              <w:t>MIT, Cambridge, Caltech, NUS</w:t>
            </w:r>
          </w:p>
        </w:tc>
      </w:tr>
      <w:tr w:rsidR="00472000" w:rsidRPr="00DC3180" w14:paraId="44632BBE" w14:textId="77777777" w:rsidTr="00E26BE7">
        <w:trPr>
          <w:jc w:val="center"/>
        </w:trPr>
        <w:tc>
          <w:tcPr>
            <w:tcW w:w="3420" w:type="dxa"/>
            <w:tcBorders>
              <w:top w:val="nil"/>
              <w:bottom w:val="single" w:sz="4" w:space="0" w:color="auto"/>
            </w:tcBorders>
          </w:tcPr>
          <w:p w14:paraId="7513EC7E" w14:textId="3B8A098E" w:rsidR="00472000" w:rsidRPr="00472000" w:rsidRDefault="00472000" w:rsidP="00472000">
            <w:pPr>
              <w:rPr>
                <w:rFonts w:ascii="Arial" w:hAnsi="Arial"/>
              </w:rPr>
            </w:pPr>
            <w:r w:rsidRPr="00472000">
              <w:rPr>
                <w:rFonts w:ascii="Arial" w:hAnsi="Arial" w:cs="Arial"/>
                <w:color w:val="000000"/>
                <w:sz w:val="20"/>
                <w:szCs w:val="20"/>
              </w:rPr>
              <w:t>Integrated Entrepreneurial Culture</w:t>
            </w:r>
          </w:p>
        </w:tc>
        <w:tc>
          <w:tcPr>
            <w:tcW w:w="3780" w:type="dxa"/>
            <w:tcBorders>
              <w:top w:val="nil"/>
              <w:bottom w:val="single" w:sz="4" w:space="0" w:color="auto"/>
            </w:tcBorders>
          </w:tcPr>
          <w:p w14:paraId="1864924A" w14:textId="647DEBA4" w:rsidR="00472000" w:rsidRPr="00DC3180" w:rsidRDefault="00472000" w:rsidP="00472000">
            <w:pPr>
              <w:rPr>
                <w:rFonts w:ascii="Arial" w:hAnsi="Arial"/>
              </w:rPr>
            </w:pPr>
            <w:r>
              <w:rPr>
                <w:rFonts w:ascii="Arial" w:hAnsi="Arial" w:cs="Arial"/>
                <w:color w:val="000000"/>
                <w:sz w:val="20"/>
                <w:szCs w:val="20"/>
              </w:rPr>
              <w:t>Entrepreneurial communities were cultivated through events, student organizations, mentoring, alumni, founders, investors, and shared entrepreneurial spaces.</w:t>
            </w:r>
          </w:p>
        </w:tc>
        <w:tc>
          <w:tcPr>
            <w:tcW w:w="2430" w:type="dxa"/>
            <w:tcBorders>
              <w:top w:val="nil"/>
              <w:bottom w:val="single" w:sz="4" w:space="0" w:color="auto"/>
            </w:tcBorders>
          </w:tcPr>
          <w:p w14:paraId="52168117" w14:textId="3B8A30A7" w:rsidR="00472000" w:rsidRPr="00DC3180" w:rsidRDefault="00472000" w:rsidP="00472000">
            <w:pPr>
              <w:rPr>
                <w:rFonts w:ascii="Arial" w:hAnsi="Arial" w:cs="Arial"/>
              </w:rPr>
            </w:pPr>
            <w:r>
              <w:rPr>
                <w:rFonts w:ascii="Arial" w:hAnsi="Arial" w:cs="Arial"/>
                <w:color w:val="000000"/>
                <w:sz w:val="20"/>
                <w:szCs w:val="20"/>
              </w:rPr>
              <w:t>ETH Zurich, Harvard, UCL, NUS</w:t>
            </w:r>
          </w:p>
        </w:tc>
      </w:tr>
    </w:tbl>
    <w:p w14:paraId="3472A61D" w14:textId="77777777" w:rsidR="00472000" w:rsidRPr="00472000" w:rsidRDefault="00472000" w:rsidP="00472000"/>
    <w:p w14:paraId="730320C9" w14:textId="502D4D6D" w:rsidR="00472000" w:rsidRPr="00472000" w:rsidRDefault="00472000" w:rsidP="00472000">
      <w:pPr>
        <w:outlineLvl w:val="2"/>
        <w:rPr>
          <w:b/>
          <w:bCs/>
          <w:sz w:val="27"/>
          <w:szCs w:val="27"/>
          <w:u w:val="single"/>
        </w:rPr>
      </w:pPr>
      <w:r>
        <w:rPr>
          <w:rFonts w:ascii="Arial" w:hAnsi="Arial" w:cs="Arial"/>
          <w:b/>
          <w:bCs/>
          <w:color w:val="000000"/>
          <w:sz w:val="20"/>
          <w:szCs w:val="20"/>
          <w:u w:val="single"/>
        </w:rPr>
        <w:t xml:space="preserve">3.1.1 </w:t>
      </w:r>
      <w:r w:rsidRPr="00472000">
        <w:rPr>
          <w:rFonts w:ascii="Arial" w:hAnsi="Arial" w:cs="Arial"/>
          <w:b/>
          <w:bCs/>
          <w:color w:val="000000"/>
          <w:sz w:val="20"/>
          <w:szCs w:val="20"/>
          <w:u w:val="single"/>
        </w:rPr>
        <w:t>Strengthened Steering Core</w:t>
      </w:r>
    </w:p>
    <w:p w14:paraId="5A0DA2AC" w14:textId="77777777" w:rsidR="00472000" w:rsidRPr="006909DC" w:rsidRDefault="00472000" w:rsidP="006909DC">
      <w:pPr>
        <w:rPr>
          <w:rFonts w:ascii="Arial" w:hAnsi="Arial" w:cs="Arial"/>
          <w:sz w:val="20"/>
          <w:szCs w:val="20"/>
        </w:rPr>
      </w:pPr>
    </w:p>
    <w:p w14:paraId="582690A7" w14:textId="64F33370" w:rsidR="00472000" w:rsidRPr="006909DC" w:rsidRDefault="00472000" w:rsidP="006909DC">
      <w:pPr>
        <w:pStyle w:val="my-2"/>
        <w:spacing w:before="0" w:beforeAutospacing="0" w:after="0" w:afterAutospacing="0"/>
        <w:rPr>
          <w:rFonts w:ascii="Arial" w:hAnsi="Arial" w:cs="Arial"/>
          <w:sz w:val="20"/>
          <w:szCs w:val="20"/>
        </w:rPr>
      </w:pPr>
      <w:r w:rsidRPr="006909DC">
        <w:rPr>
          <w:rFonts w:ascii="Arial" w:hAnsi="Arial" w:cs="Arial"/>
          <w:color w:val="000000"/>
          <w:sz w:val="20"/>
          <w:szCs w:val="20"/>
        </w:rPr>
        <w:t>A primary finding was the institutionalization of responsibility for student entrepreneurship. All ten universities possessed an identifiable organizational structure that formally supported entrepreneurship. However, the organizational arrangements varied. MIT, Harvard, Cambridge, and Oxford maintained dedicated entrepreneurship centers or hubs, whereas Caltech, ETH Zurich, and NUS coordinated entrepreneurship through broader portfolios of interconnected programs and units</w:t>
      </w:r>
      <w:r w:rsidR="006909DC" w:rsidRPr="006909DC">
        <w:rPr>
          <w:rFonts w:ascii="Arial" w:hAnsi="Arial" w:cs="Arial"/>
          <w:color w:val="000000"/>
          <w:sz w:val="20"/>
          <w:szCs w:val="20"/>
        </w:rPr>
        <w:t xml:space="preserve"> </w:t>
      </w:r>
      <w:r w:rsidR="006909DC" w:rsidRPr="006909DC">
        <w:rPr>
          <w:rFonts w:ascii="Arial" w:hAnsi="Arial" w:cs="Arial"/>
          <w:sz w:val="20"/>
          <w:szCs w:val="20"/>
        </w:rPr>
        <w:t>(California Institute of Technology, n.d.; ETH Zurich, n.d.; Harvard Innovation Labs, n.d.; Massachusetts Institute of Technology, n.d.-a; National University of Singapore, n.d.; University of Cambridge, n.d.; University of Oxford, n.d.).</w:t>
      </w:r>
    </w:p>
    <w:p w14:paraId="5A882D49" w14:textId="77777777" w:rsidR="00472000" w:rsidRPr="00472000" w:rsidRDefault="00472000" w:rsidP="00472000">
      <w:r w:rsidRPr="00472000">
        <w:rPr>
          <w:rFonts w:ascii="Arial" w:hAnsi="Arial" w:cs="Arial"/>
          <w:color w:val="000000"/>
          <w:sz w:val="20"/>
          <w:szCs w:val="20"/>
        </w:rPr>
        <w:t>This finding aligns with Clark's (1998) concept of a strengthened steering core, which emphasizes the development of institutional capacity to coordinate entrepreneurial transformation. Notably, the benchmark cases indicate that this pathway does not necessitate a standardized organizational form. Instead, the defining characteristic is formal institutional ownership and coordination of entrepreneurship support.</w:t>
      </w:r>
    </w:p>
    <w:p w14:paraId="353E2276" w14:textId="77777777" w:rsidR="00472000" w:rsidRPr="00472000" w:rsidRDefault="00472000" w:rsidP="00472000">
      <w:r w:rsidRPr="00472000">
        <w:rPr>
          <w:rFonts w:ascii="Arial" w:hAnsi="Arial" w:cs="Arial"/>
          <w:color w:val="000000"/>
          <w:sz w:val="20"/>
          <w:szCs w:val="20"/>
        </w:rPr>
        <w:t xml:space="preserve">Recent evidence reinforces this interpretation. Ismail et al. (2024), using a multiple-case study of eight South African public universities, found that top management support was an important component of effective student entrepreneurship support and emphasized the </w:t>
      </w:r>
      <w:r w:rsidRPr="00472000">
        <w:rPr>
          <w:rFonts w:ascii="Arial" w:hAnsi="Arial" w:cs="Arial"/>
          <w:color w:val="000000"/>
          <w:sz w:val="20"/>
          <w:szCs w:val="20"/>
        </w:rPr>
        <w:lastRenderedPageBreak/>
        <w:t>need for institutional commitment and coordination across ecosystem elements. Astuty et al. (2022), examining 18 universities in Indonesia, similarly found that the internal and external university environments interact with students' entrepreneurial orientation, intentions, and activities.</w:t>
      </w:r>
    </w:p>
    <w:p w14:paraId="2BBCD3A6" w14:textId="77777777" w:rsidR="00472000" w:rsidRPr="00472000" w:rsidRDefault="00472000" w:rsidP="00472000">
      <w:r w:rsidRPr="00472000">
        <w:rPr>
          <w:rFonts w:ascii="Arial" w:hAnsi="Arial" w:cs="Arial"/>
          <w:color w:val="000000"/>
          <w:sz w:val="20"/>
          <w:szCs w:val="20"/>
        </w:rPr>
        <w:t>The benchmark cases suggest that a strengthened steering core is more accurately conceptualized as institutionalized responsibility rather than as a specific organizational structure. In the context of student entrepreneurship, this institutionalization ensures continuity and coordination across programs, facilities, funding mechanisms, mentoring, and external relationships. This interpretation is consistent with Correia et al. (2024), whose systematic review identifies higher education institutions as key components of entrepreneurial ecosystems and underscores the need for integrated approaches to university entrepreneurship.</w:t>
      </w:r>
    </w:p>
    <w:p w14:paraId="0610456D" w14:textId="77777777" w:rsidR="00472000" w:rsidRPr="00472000" w:rsidRDefault="00472000" w:rsidP="00472000"/>
    <w:p w14:paraId="394409F7" w14:textId="51D54302" w:rsidR="00472000" w:rsidRPr="00472000" w:rsidRDefault="00472000" w:rsidP="00472000">
      <w:pPr>
        <w:outlineLvl w:val="2"/>
        <w:rPr>
          <w:b/>
          <w:bCs/>
          <w:sz w:val="27"/>
          <w:szCs w:val="27"/>
          <w:u w:val="single"/>
        </w:rPr>
      </w:pPr>
      <w:r w:rsidRPr="00472000">
        <w:rPr>
          <w:rFonts w:ascii="Arial" w:hAnsi="Arial" w:cs="Arial"/>
          <w:b/>
          <w:bCs/>
          <w:color w:val="000000"/>
          <w:sz w:val="20"/>
          <w:szCs w:val="20"/>
          <w:u w:val="single"/>
        </w:rPr>
        <w:t>3.1.2 Expanded Developmental Periphery</w:t>
      </w:r>
    </w:p>
    <w:p w14:paraId="023F1862" w14:textId="77777777" w:rsidR="00472000" w:rsidRPr="00472000" w:rsidRDefault="00472000" w:rsidP="00472000"/>
    <w:p w14:paraId="49971E4D" w14:textId="581859E3" w:rsidR="00472000" w:rsidRPr="00472000" w:rsidRDefault="00472000" w:rsidP="00472000">
      <w:r w:rsidRPr="00472000">
        <w:rPr>
          <w:rFonts w:ascii="Arial" w:hAnsi="Arial" w:cs="Arial"/>
          <w:color w:val="000000"/>
          <w:sz w:val="20"/>
          <w:szCs w:val="20"/>
        </w:rPr>
        <w:t xml:space="preserve">The most prominent recurring pattern was the extension of entrepreneurship support beyond traditional academic activities. Across the ten cases, students accessed a range of </w:t>
      </w:r>
      <w:r w:rsidRPr="006909DC">
        <w:rPr>
          <w:rFonts w:ascii="Arial" w:hAnsi="Arial" w:cs="Arial"/>
          <w:color w:val="000000"/>
          <w:sz w:val="20"/>
          <w:szCs w:val="20"/>
        </w:rPr>
        <w:t>resources, including mentoring, coaching, workshops, venture-development programs, incubation or acceleration, workspace, competitions, and external entrepreneurial networks</w:t>
      </w:r>
      <w:r w:rsidR="006909DC" w:rsidRPr="006909DC">
        <w:rPr>
          <w:rFonts w:ascii="Arial" w:hAnsi="Arial" w:cs="Arial"/>
          <w:color w:val="000000"/>
          <w:sz w:val="20"/>
          <w:szCs w:val="20"/>
        </w:rPr>
        <w:t xml:space="preserve"> </w:t>
      </w:r>
      <w:r w:rsidR="006909DC" w:rsidRPr="006909DC">
        <w:rPr>
          <w:rFonts w:ascii="Arial" w:hAnsi="Arial" w:cs="Arial"/>
          <w:sz w:val="20"/>
          <w:szCs w:val="20"/>
        </w:rPr>
        <w:t>(California Institute of Technology, n.d.; ETH Zurich, n.d.; Harvard Innovation Labs, n.d.; Massachusetts Institute of Technology, n.d.-a; National University of Singapore, n.d.; University College London, n.d.; University of Cambridge, n.d.; University of Oxford, n.d.)</w:t>
      </w:r>
      <w:r w:rsidRPr="006909DC">
        <w:rPr>
          <w:rFonts w:ascii="Arial" w:hAnsi="Arial" w:cs="Arial"/>
          <w:color w:val="000000"/>
          <w:sz w:val="20"/>
          <w:szCs w:val="20"/>
        </w:rPr>
        <w:t>.</w:t>
      </w:r>
    </w:p>
    <w:p w14:paraId="45723A61" w14:textId="77777777" w:rsidR="00472000" w:rsidRPr="00472000" w:rsidRDefault="00472000" w:rsidP="00472000">
      <w:r w:rsidRPr="00472000">
        <w:rPr>
          <w:rFonts w:ascii="Arial" w:hAnsi="Arial" w:cs="Arial"/>
          <w:color w:val="000000"/>
          <w:sz w:val="20"/>
          <w:szCs w:val="20"/>
        </w:rPr>
        <w:t>This finding closely corresponds with contemporary research on student entrepreneurship ecosystems. Meyskens et al. (2022), in their qualitative examination of student entrepreneurship ecosystems in Australian higher education institutions, emphasized the integration of entrepreneurship education, university entrepreneurial ecosystems, and startup initiatives such as accelerators. Their findings suggest that student startups benefit when different ecosystem components operate in combination rather than in isolation.</w:t>
      </w:r>
    </w:p>
    <w:p w14:paraId="4A3673E1" w14:textId="77777777" w:rsidR="00472000" w:rsidRPr="00472000" w:rsidRDefault="00472000" w:rsidP="00472000">
      <w:r w:rsidRPr="00472000">
        <w:rPr>
          <w:rFonts w:ascii="Arial" w:hAnsi="Arial" w:cs="Arial"/>
          <w:color w:val="000000"/>
          <w:sz w:val="20"/>
          <w:szCs w:val="20"/>
        </w:rPr>
        <w:t>Similarly, Ismail et al. (2024) found that effective student entrepreneurship support involved several interconnected elements, including creative spaces, expert business advice, top-management support, funding, and external collaboration. Their multiple-case study is particularly relevant to the present research because it treats student entrepreneurship support itself as an ecosystem, rather than examining entrepreneurship education alone.</w:t>
      </w:r>
    </w:p>
    <w:p w14:paraId="26085402" w14:textId="5BFA9645" w:rsidR="00472000" w:rsidRPr="00A12423" w:rsidRDefault="00472000" w:rsidP="00472000">
      <w:pPr>
        <w:rPr>
          <w:rFonts w:ascii="Arial" w:hAnsi="Arial" w:cs="Arial"/>
          <w:sz w:val="20"/>
          <w:szCs w:val="20"/>
        </w:rPr>
      </w:pPr>
      <w:r w:rsidRPr="00472000">
        <w:rPr>
          <w:rFonts w:ascii="Arial" w:hAnsi="Arial" w:cs="Arial"/>
          <w:color w:val="000000"/>
          <w:sz w:val="20"/>
          <w:szCs w:val="20"/>
        </w:rPr>
        <w:t>Harvard, ETH Zurich, MIT, and UCL illustrate particularly extensive</w:t>
      </w:r>
      <w:r w:rsidR="00655C3E">
        <w:rPr>
          <w:rFonts w:ascii="Arial" w:hAnsi="Arial" w:cs="Arial"/>
          <w:color w:val="000000"/>
          <w:sz w:val="20"/>
          <w:szCs w:val="20"/>
        </w:rPr>
        <w:t xml:space="preserve"> documented</w:t>
      </w:r>
      <w:r w:rsidRPr="00472000">
        <w:rPr>
          <w:rFonts w:ascii="Arial" w:hAnsi="Arial" w:cs="Arial"/>
          <w:color w:val="000000"/>
          <w:sz w:val="20"/>
          <w:szCs w:val="20"/>
        </w:rPr>
        <w:t xml:space="preserve"> developmental structures in the present study. Their documented support extends beyond entrepreneurship education to include mentoring, venture development, incubation, community building, and connections with external entrepreneurial </w:t>
      </w:r>
      <w:r w:rsidRPr="00A12423">
        <w:rPr>
          <w:rFonts w:ascii="Arial" w:hAnsi="Arial" w:cs="Arial"/>
          <w:color w:val="000000"/>
          <w:sz w:val="20"/>
          <w:szCs w:val="20"/>
        </w:rPr>
        <w:t>actors</w:t>
      </w:r>
      <w:r w:rsidR="00A12423" w:rsidRPr="00A12423">
        <w:rPr>
          <w:rFonts w:ascii="Arial" w:hAnsi="Arial" w:cs="Arial"/>
          <w:color w:val="000000"/>
          <w:sz w:val="20"/>
          <w:szCs w:val="20"/>
        </w:rPr>
        <w:t xml:space="preserve"> </w:t>
      </w:r>
      <w:r w:rsidR="00A12423" w:rsidRPr="00A12423">
        <w:rPr>
          <w:rFonts w:ascii="Arial" w:hAnsi="Arial" w:cs="Arial"/>
          <w:sz w:val="20"/>
          <w:szCs w:val="20"/>
        </w:rPr>
        <w:t>(ETH Zurich, n.d.; Harvard Innovation Labs, n.d.; Massachusetts Institute of Technology, n.d.-a; University College London, n.d.)</w:t>
      </w:r>
      <w:r w:rsidRPr="00A12423">
        <w:rPr>
          <w:rFonts w:ascii="Arial" w:hAnsi="Arial" w:cs="Arial"/>
          <w:color w:val="000000"/>
          <w:sz w:val="20"/>
          <w:szCs w:val="20"/>
        </w:rPr>
        <w:t>.</w:t>
      </w:r>
    </w:p>
    <w:p w14:paraId="288B9F54" w14:textId="77777777" w:rsidR="00472000" w:rsidRPr="004D3E28" w:rsidRDefault="00472000" w:rsidP="004D3E28">
      <w:pPr>
        <w:rPr>
          <w:rFonts w:ascii="Arial" w:hAnsi="Arial" w:cs="Arial"/>
          <w:sz w:val="20"/>
          <w:szCs w:val="20"/>
        </w:rPr>
      </w:pPr>
      <w:r w:rsidRPr="00472000">
        <w:rPr>
          <w:rFonts w:ascii="Arial" w:hAnsi="Arial" w:cs="Arial"/>
          <w:color w:val="000000"/>
          <w:sz w:val="20"/>
          <w:szCs w:val="20"/>
        </w:rPr>
        <w:t xml:space="preserve">The defining feature is not merely the presence of an entrepreneurship center, but its role as a developmental interface connecting students with the broader entrepreneurial ecosystem. This interpretation aligns with Clark's (1998) expanded developmental periphery, wherein </w:t>
      </w:r>
      <w:r w:rsidRPr="004D3E28">
        <w:rPr>
          <w:rFonts w:ascii="Arial" w:hAnsi="Arial" w:cs="Arial"/>
          <w:color w:val="000000"/>
          <w:sz w:val="20"/>
          <w:szCs w:val="20"/>
        </w:rPr>
        <w:t>universities establish organizational structures and external relationships that extend beyond conventional academic boundaries.</w:t>
      </w:r>
    </w:p>
    <w:p w14:paraId="0F6C21C0" w14:textId="79CFECFF" w:rsidR="00472000" w:rsidRPr="006909DC" w:rsidRDefault="00472000" w:rsidP="006909DC">
      <w:pPr>
        <w:pStyle w:val="my-2"/>
        <w:spacing w:before="0" w:beforeAutospacing="0" w:after="0" w:afterAutospacing="0"/>
        <w:rPr>
          <w:rFonts w:ascii="Arial" w:hAnsi="Arial" w:cs="Arial"/>
          <w:sz w:val="20"/>
          <w:szCs w:val="20"/>
        </w:rPr>
      </w:pPr>
      <w:r w:rsidRPr="004D3E28">
        <w:rPr>
          <w:rFonts w:ascii="Arial" w:hAnsi="Arial" w:cs="Arial"/>
          <w:color w:val="000000"/>
          <w:sz w:val="20"/>
          <w:szCs w:val="20"/>
        </w:rPr>
        <w:t>Another cross-case pattern was the provision of support across multiple stages of entrepreneurial development. For instance, Oxford and UCL offer explicit progression from entrepreneurial skills and idea development to venture launch and growth</w:t>
      </w:r>
      <w:r w:rsidR="004D3E28" w:rsidRPr="004D3E28">
        <w:rPr>
          <w:rFonts w:ascii="Arial" w:hAnsi="Arial" w:cs="Arial"/>
          <w:color w:val="000000"/>
          <w:sz w:val="20"/>
          <w:szCs w:val="20"/>
        </w:rPr>
        <w:t xml:space="preserve"> </w:t>
      </w:r>
      <w:r w:rsidR="004D3E28" w:rsidRPr="004D3E28">
        <w:rPr>
          <w:rFonts w:ascii="Arial" w:hAnsi="Arial" w:cs="Arial"/>
          <w:sz w:val="20"/>
          <w:szCs w:val="20"/>
        </w:rPr>
        <w:t>(University of Oxford, n.d.; University College London, n.d.).</w:t>
      </w:r>
      <w:r w:rsidR="004D3E28">
        <w:rPr>
          <w:rFonts w:ascii="Arial" w:hAnsi="Arial" w:cs="Arial"/>
          <w:sz w:val="20"/>
          <w:szCs w:val="20"/>
        </w:rPr>
        <w:t xml:space="preserve"> </w:t>
      </w:r>
      <w:r w:rsidRPr="004D3E28">
        <w:rPr>
          <w:rFonts w:ascii="Arial" w:hAnsi="Arial" w:cs="Arial"/>
          <w:color w:val="000000"/>
          <w:sz w:val="20"/>
          <w:szCs w:val="20"/>
        </w:rPr>
        <w:t xml:space="preserve">This staged support is consistent with the ecosystem perspective described by Meyskens et al. (2022), in which various support components are aligned to facilitate students' progression toward sustainable </w:t>
      </w:r>
      <w:r w:rsidRPr="006909DC">
        <w:rPr>
          <w:rFonts w:ascii="Arial" w:hAnsi="Arial" w:cs="Arial"/>
          <w:color w:val="000000"/>
          <w:sz w:val="20"/>
          <w:szCs w:val="20"/>
        </w:rPr>
        <w:t>entrepreneurial activity.</w:t>
      </w:r>
    </w:p>
    <w:p w14:paraId="42577A1F" w14:textId="77777777" w:rsidR="00472000" w:rsidRPr="006909DC" w:rsidRDefault="00472000" w:rsidP="006909DC">
      <w:pPr>
        <w:rPr>
          <w:rFonts w:ascii="Arial" w:hAnsi="Arial" w:cs="Arial"/>
          <w:sz w:val="20"/>
          <w:szCs w:val="20"/>
        </w:rPr>
      </w:pPr>
    </w:p>
    <w:p w14:paraId="30F4DA05" w14:textId="27BA3200" w:rsidR="00472000" w:rsidRPr="006909DC" w:rsidRDefault="00472000" w:rsidP="006909DC">
      <w:pPr>
        <w:outlineLvl w:val="2"/>
        <w:rPr>
          <w:rFonts w:ascii="Arial" w:hAnsi="Arial" w:cs="Arial"/>
          <w:b/>
          <w:bCs/>
          <w:sz w:val="20"/>
          <w:szCs w:val="20"/>
          <w:u w:val="single"/>
        </w:rPr>
      </w:pPr>
      <w:r w:rsidRPr="006909DC">
        <w:rPr>
          <w:rFonts w:ascii="Arial" w:hAnsi="Arial" w:cs="Arial"/>
          <w:b/>
          <w:bCs/>
          <w:color w:val="000000"/>
          <w:sz w:val="20"/>
          <w:szCs w:val="20"/>
          <w:u w:val="single"/>
        </w:rPr>
        <w:t>3.1.3 Diversified Funding Base</w:t>
      </w:r>
    </w:p>
    <w:p w14:paraId="3C5CB4BA" w14:textId="77777777" w:rsidR="00472000" w:rsidRPr="006909DC" w:rsidRDefault="00472000" w:rsidP="006909DC">
      <w:pPr>
        <w:rPr>
          <w:rFonts w:ascii="Arial" w:hAnsi="Arial" w:cs="Arial"/>
          <w:sz w:val="20"/>
          <w:szCs w:val="20"/>
        </w:rPr>
      </w:pPr>
    </w:p>
    <w:p w14:paraId="4B8E2547" w14:textId="6280CD00" w:rsidR="00472000" w:rsidRPr="006909DC" w:rsidRDefault="00472000" w:rsidP="006909DC">
      <w:pPr>
        <w:pStyle w:val="my-2"/>
        <w:spacing w:before="0" w:beforeAutospacing="0" w:after="0" w:afterAutospacing="0"/>
        <w:rPr>
          <w:rFonts w:ascii="Arial" w:hAnsi="Arial" w:cs="Arial"/>
          <w:sz w:val="20"/>
          <w:szCs w:val="20"/>
        </w:rPr>
      </w:pPr>
      <w:r w:rsidRPr="006909DC">
        <w:rPr>
          <w:rFonts w:ascii="Arial" w:hAnsi="Arial" w:cs="Arial"/>
          <w:color w:val="000000"/>
          <w:sz w:val="20"/>
          <w:szCs w:val="20"/>
        </w:rPr>
        <w:t>The diversified funding base emerged as the most unevenly implemented of the five pathways. Some universities demonstrated explicit student-oriented funding mechanisms, whereas others emphasized competitions, investor connections, or preparation for external fundraising</w:t>
      </w:r>
      <w:r w:rsidR="006909DC" w:rsidRPr="006909DC">
        <w:rPr>
          <w:rFonts w:ascii="Arial" w:hAnsi="Arial" w:cs="Arial"/>
          <w:color w:val="000000"/>
          <w:sz w:val="20"/>
          <w:szCs w:val="20"/>
        </w:rPr>
        <w:t xml:space="preserve"> </w:t>
      </w:r>
      <w:r w:rsidR="006909DC" w:rsidRPr="006909DC">
        <w:rPr>
          <w:rFonts w:ascii="Arial" w:hAnsi="Arial" w:cs="Arial"/>
          <w:sz w:val="20"/>
          <w:szCs w:val="20"/>
        </w:rPr>
        <w:t>(California Institute of Technology, n.d.; ETH Zurich, n.d.; Harvard Innovation Labs, n.d.; Massachusetts Institute of Technology, n.d.-a; National University of Singapore, n.d.).</w:t>
      </w:r>
    </w:p>
    <w:p w14:paraId="2738E93D" w14:textId="4B2E1628" w:rsidR="00472000" w:rsidRPr="006909DC" w:rsidRDefault="00472000" w:rsidP="006909DC">
      <w:pPr>
        <w:rPr>
          <w:rFonts w:ascii="Arial" w:hAnsi="Arial" w:cs="Arial"/>
          <w:sz w:val="20"/>
          <w:szCs w:val="20"/>
        </w:rPr>
      </w:pPr>
      <w:r w:rsidRPr="006909DC">
        <w:rPr>
          <w:rFonts w:ascii="Arial" w:hAnsi="Arial" w:cs="Arial"/>
          <w:color w:val="000000"/>
          <w:sz w:val="20"/>
          <w:szCs w:val="20"/>
        </w:rPr>
        <w:t>MIT, Harvard, Caltech, ETH Zurich, and NUS provided particularly clear evidence of direct financial mechanisms in the documentary analysis</w:t>
      </w:r>
      <w:r w:rsidR="004D3E28" w:rsidRPr="006909DC">
        <w:rPr>
          <w:rFonts w:ascii="Arial" w:hAnsi="Arial" w:cs="Arial"/>
          <w:color w:val="000000"/>
          <w:sz w:val="20"/>
          <w:szCs w:val="20"/>
        </w:rPr>
        <w:t xml:space="preserve"> </w:t>
      </w:r>
      <w:r w:rsidR="004D3E28" w:rsidRPr="006909DC">
        <w:rPr>
          <w:rFonts w:ascii="Arial" w:hAnsi="Arial" w:cs="Arial"/>
          <w:sz w:val="20"/>
          <w:szCs w:val="20"/>
        </w:rPr>
        <w:t>(California Institute of Technology, n.d.; ETH Zurich, n.d.; Harvard Innovation Labs, n.d.; Massachusetts Institute of Technology, n.d.-a; National University of Singapore, n.d.).</w:t>
      </w:r>
      <w:r w:rsidRPr="006909DC">
        <w:rPr>
          <w:rFonts w:ascii="Arial" w:hAnsi="Arial" w:cs="Arial"/>
          <w:color w:val="000000"/>
          <w:sz w:val="20"/>
          <w:szCs w:val="20"/>
        </w:rPr>
        <w:t xml:space="preserve"> These included grants, prizes, fellowships, awards, or venture-oriented funding. </w:t>
      </w:r>
      <w:r w:rsidR="006909DC" w:rsidRPr="006909DC">
        <w:rPr>
          <w:rFonts w:ascii="Arial" w:hAnsi="Arial" w:cs="Arial"/>
          <w:sz w:val="20"/>
          <w:szCs w:val="20"/>
        </w:rPr>
        <w:t>Other institutions appeared to rely more heavily on competitions, investor connections, or funding-readiness activities, although the extent of these mechanisms varied in the publicly available documentation.</w:t>
      </w:r>
    </w:p>
    <w:p w14:paraId="4D5897D6" w14:textId="77777777" w:rsidR="00472000" w:rsidRPr="00472000" w:rsidRDefault="00472000" w:rsidP="006909DC">
      <w:r w:rsidRPr="006909DC">
        <w:rPr>
          <w:rFonts w:ascii="Arial" w:hAnsi="Arial" w:cs="Arial"/>
          <w:color w:val="000000"/>
          <w:sz w:val="20"/>
          <w:szCs w:val="20"/>
        </w:rPr>
        <w:t>Recent research supports treating funding as an important component of a broader student entrepreneurship support system. Ismail</w:t>
      </w:r>
      <w:r w:rsidRPr="00472000">
        <w:rPr>
          <w:rFonts w:ascii="Arial" w:hAnsi="Arial" w:cs="Arial"/>
          <w:color w:val="000000"/>
          <w:sz w:val="20"/>
          <w:szCs w:val="20"/>
        </w:rPr>
        <w:t xml:space="preserve"> et al. (2024) identified funding alongside creative spaces, expert advice, management support, and external collaboration as important elements of university-based student entrepreneurship support. Their findings further emphasized that financial backing needs to operate together with other forms of institutional and external support.</w:t>
      </w:r>
    </w:p>
    <w:p w14:paraId="5AC5BBF1" w14:textId="77777777" w:rsidR="00472000" w:rsidRPr="00472000" w:rsidRDefault="00472000" w:rsidP="00472000">
      <w:r w:rsidRPr="00472000">
        <w:rPr>
          <w:rFonts w:ascii="Arial" w:hAnsi="Arial" w:cs="Arial"/>
          <w:color w:val="000000"/>
          <w:sz w:val="20"/>
          <w:szCs w:val="20"/>
        </w:rPr>
        <w:t>Astuty et al. (2022) likewise demonstrated that student entrepreneurial activities are influenced by the interaction of internal institutional conditions and external environmental support. This reinforces the interpretation that financial resources should not be viewed independently from the wider university entrepreneurial ecosystem.</w:t>
      </w:r>
    </w:p>
    <w:p w14:paraId="6EC7E62A" w14:textId="77777777" w:rsidR="00472000" w:rsidRPr="00472000" w:rsidRDefault="00472000" w:rsidP="00472000">
      <w:r w:rsidRPr="00472000">
        <w:rPr>
          <w:rFonts w:ascii="Arial" w:hAnsi="Arial" w:cs="Arial"/>
          <w:color w:val="000000"/>
          <w:sz w:val="20"/>
          <w:szCs w:val="20"/>
        </w:rPr>
        <w:t>The cross-case evidence indicates that Clark's diversified funding base manifests in various forms within the student entrepreneurship context. This may include direct institutional financing or funding intermediation, in which universities prepare students for external investment or facilitate connections with investors and funding opportunities. As a result, universities differ not only in the availability of funding but also in their institutional roles within the financing process.</w:t>
      </w:r>
    </w:p>
    <w:p w14:paraId="05D5BC64" w14:textId="77777777" w:rsidR="00472000" w:rsidRPr="00472000" w:rsidRDefault="00472000" w:rsidP="00472000">
      <w:r w:rsidRPr="00472000">
        <w:rPr>
          <w:rFonts w:ascii="Arial" w:hAnsi="Arial" w:cs="Arial"/>
          <w:color w:val="000000"/>
          <w:sz w:val="20"/>
          <w:szCs w:val="20"/>
        </w:rPr>
        <w:t>This distinction is significant for the present study, as the analysis does not equate the existence of competitions or investor connections with university-funded venture mechanisms. Instead, the documentary evidence differentiates between direct financial provision and facilitated access to external finance.</w:t>
      </w:r>
    </w:p>
    <w:p w14:paraId="73A907CA" w14:textId="77777777" w:rsidR="00472000" w:rsidRPr="00472000" w:rsidRDefault="00472000" w:rsidP="00472000"/>
    <w:p w14:paraId="369CCAD1" w14:textId="0590CAD2" w:rsidR="00472000" w:rsidRPr="00472000" w:rsidRDefault="00472000" w:rsidP="00472000">
      <w:pPr>
        <w:outlineLvl w:val="2"/>
        <w:rPr>
          <w:b/>
          <w:bCs/>
          <w:sz w:val="27"/>
          <w:szCs w:val="27"/>
          <w:u w:val="single"/>
        </w:rPr>
      </w:pPr>
      <w:r>
        <w:rPr>
          <w:rFonts w:ascii="Arial" w:hAnsi="Arial" w:cs="Arial"/>
          <w:b/>
          <w:bCs/>
          <w:color w:val="000000"/>
          <w:sz w:val="20"/>
          <w:szCs w:val="20"/>
          <w:u w:val="single"/>
        </w:rPr>
        <w:t xml:space="preserve">3.1.4 </w:t>
      </w:r>
      <w:r w:rsidRPr="00472000">
        <w:rPr>
          <w:rFonts w:ascii="Arial" w:hAnsi="Arial" w:cs="Arial"/>
          <w:b/>
          <w:bCs/>
          <w:color w:val="000000"/>
          <w:sz w:val="20"/>
          <w:szCs w:val="20"/>
          <w:u w:val="single"/>
        </w:rPr>
        <w:t>Stimulated Academic Heartland</w:t>
      </w:r>
    </w:p>
    <w:p w14:paraId="381D861F" w14:textId="77777777" w:rsidR="00472000" w:rsidRPr="00472000" w:rsidRDefault="00472000" w:rsidP="00472000"/>
    <w:p w14:paraId="5FAF3711" w14:textId="77777777" w:rsidR="00472000" w:rsidRPr="00472000" w:rsidRDefault="00472000" w:rsidP="00472000">
      <w:r w:rsidRPr="00472000">
        <w:rPr>
          <w:rFonts w:ascii="Arial" w:hAnsi="Arial" w:cs="Arial"/>
          <w:color w:val="000000"/>
          <w:sz w:val="20"/>
          <w:szCs w:val="20"/>
        </w:rPr>
        <w:t>The fourth pathway was evident in the strong linkage between entrepreneurship and experiential student learning. Although the extent of curricular integration varied among universities, all ten cases offered some combination of project-based learning, venture development, startup exposure, practical training, or entrepreneurial education.</w:t>
      </w:r>
    </w:p>
    <w:p w14:paraId="5FE05EEA" w14:textId="77777777" w:rsidR="00472000" w:rsidRPr="00472000" w:rsidRDefault="00472000" w:rsidP="00472000">
      <w:r w:rsidRPr="00472000">
        <w:rPr>
          <w:rFonts w:ascii="Arial" w:hAnsi="Arial" w:cs="Arial"/>
          <w:color w:val="000000"/>
          <w:sz w:val="20"/>
          <w:szCs w:val="20"/>
        </w:rPr>
        <w:t>This finding is strongly supported by recent entrepreneurship education literature. Carpenter and Wilson (2022), in a systematic review of higher education entrepreneurship education, found evidence supporting experiential and extracurricular programs while also noting methodological limitations in the existing evidence base. Their findings reinforce the importance of distinguishing entrepreneurship education that involves active student participation from approaches based primarily on conventional instruction.</w:t>
      </w:r>
    </w:p>
    <w:p w14:paraId="3DA62BBF" w14:textId="77777777" w:rsidR="00472000" w:rsidRPr="00472000" w:rsidRDefault="00472000" w:rsidP="00472000">
      <w:r w:rsidRPr="00472000">
        <w:rPr>
          <w:rFonts w:ascii="Arial" w:hAnsi="Arial" w:cs="Arial"/>
          <w:color w:val="000000"/>
          <w:sz w:val="20"/>
          <w:szCs w:val="20"/>
        </w:rPr>
        <w:t>Motta and Galina (2023), through a systematic literature review specifically focused on experiential learning in entrepreneurship education, likewise identify learning-by-doing as an increasingly prominent pedagogical approach. Their review associates experiential approaches with the development of entrepreneurial skills and competencies, while noting that different experiential activities yield distinct learning benefits and challenges.</w:t>
      </w:r>
    </w:p>
    <w:p w14:paraId="2AE91814" w14:textId="77777777" w:rsidR="00472000" w:rsidRPr="00472000" w:rsidRDefault="00472000" w:rsidP="00472000">
      <w:r w:rsidRPr="00472000">
        <w:rPr>
          <w:rFonts w:ascii="Arial" w:hAnsi="Arial" w:cs="Arial"/>
          <w:color w:val="000000"/>
          <w:sz w:val="20"/>
          <w:szCs w:val="20"/>
        </w:rPr>
        <w:lastRenderedPageBreak/>
        <w:t>Sofiullah et al. (2023) provide additional empirical support through a quasi-experimental study of an interactive startup simulation involving university students. Their findings demonstrate the relevance of interactive approaches for developing entrepreneurial competence, self-efficacy, knowledge, and entrepreneurial intentions.</w:t>
      </w:r>
    </w:p>
    <w:p w14:paraId="4B4D7B00" w14:textId="2D153634" w:rsidR="00472000" w:rsidRPr="00D348E9" w:rsidRDefault="00472000" w:rsidP="00472000">
      <w:pPr>
        <w:rPr>
          <w:rFonts w:ascii="Arial" w:hAnsi="Arial" w:cs="Arial"/>
          <w:sz w:val="20"/>
          <w:szCs w:val="20"/>
        </w:rPr>
      </w:pPr>
      <w:r w:rsidRPr="00D348E9">
        <w:rPr>
          <w:rFonts w:ascii="Arial" w:hAnsi="Arial" w:cs="Arial"/>
          <w:color w:val="000000"/>
          <w:sz w:val="20"/>
          <w:szCs w:val="20"/>
        </w:rPr>
        <w:t>Cambridge, Caltech, and NUS provide particularly clear examples in the present cases. Their documented activities connect entrepreneurship education to practical projects, venture development, internships, competitions, and other entrepreneurial activities</w:t>
      </w:r>
      <w:r w:rsidR="00D348E9" w:rsidRPr="00D348E9">
        <w:rPr>
          <w:rFonts w:ascii="Arial" w:hAnsi="Arial" w:cs="Arial"/>
          <w:color w:val="000000"/>
          <w:sz w:val="20"/>
          <w:szCs w:val="20"/>
        </w:rPr>
        <w:t xml:space="preserve"> </w:t>
      </w:r>
      <w:r w:rsidR="00D348E9" w:rsidRPr="00D348E9">
        <w:rPr>
          <w:rFonts w:ascii="Arial" w:hAnsi="Arial" w:cs="Arial"/>
          <w:sz w:val="20"/>
          <w:szCs w:val="20"/>
        </w:rPr>
        <w:t>(California Institute of Technology, n.d.; National University of Singapore, n.d.; University of Cambridge, n.d.).</w:t>
      </w:r>
    </w:p>
    <w:p w14:paraId="767490A1" w14:textId="55C239CA" w:rsidR="00472000" w:rsidRPr="00472000" w:rsidRDefault="00472000" w:rsidP="00472000">
      <w:r w:rsidRPr="00472000">
        <w:rPr>
          <w:rFonts w:ascii="Arial" w:hAnsi="Arial" w:cs="Arial"/>
          <w:color w:val="000000"/>
          <w:sz w:val="20"/>
          <w:szCs w:val="20"/>
        </w:rPr>
        <w:t xml:space="preserve">The findings indicate that stimulating the academic heartland requires more than the addition of entrepreneurship courses. Across the benchmark cases, students were encouraged to </w:t>
      </w:r>
      <w:r w:rsidRPr="0020183E">
        <w:rPr>
          <w:rFonts w:ascii="Arial" w:hAnsi="Arial" w:cs="Arial"/>
          <w:color w:val="000000"/>
          <w:sz w:val="20"/>
          <w:szCs w:val="20"/>
        </w:rPr>
        <w:t>apply entrepreneurial knowledge through practical activities such as idea development, business-model development, pitching, prototyping, startup internships, and venture creation</w:t>
      </w:r>
      <w:r w:rsidR="0020183E" w:rsidRPr="0020183E">
        <w:rPr>
          <w:rFonts w:ascii="Arial" w:hAnsi="Arial" w:cs="Arial"/>
          <w:color w:val="000000"/>
          <w:sz w:val="20"/>
          <w:szCs w:val="20"/>
        </w:rPr>
        <w:t xml:space="preserve"> </w:t>
      </w:r>
      <w:r w:rsidR="0020183E" w:rsidRPr="0020183E">
        <w:rPr>
          <w:rFonts w:ascii="Arial" w:hAnsi="Arial" w:cs="Arial"/>
          <w:sz w:val="20"/>
          <w:szCs w:val="20"/>
        </w:rPr>
        <w:t>(California Institute of Technology, n.d.; National University of Singapore, n.d.; Stanford Technology Ventures Program, n.d.; University of Cambridge, n.d.; University of Oxford, n.d.; University College London, n.d.)</w:t>
      </w:r>
      <w:r w:rsidRPr="0020183E">
        <w:rPr>
          <w:rFonts w:ascii="Arial" w:hAnsi="Arial" w:cs="Arial"/>
          <w:color w:val="000000"/>
          <w:sz w:val="20"/>
          <w:szCs w:val="20"/>
        </w:rPr>
        <w:t>. This</w:t>
      </w:r>
      <w:r w:rsidRPr="00472000">
        <w:rPr>
          <w:rFonts w:ascii="Arial" w:hAnsi="Arial" w:cs="Arial"/>
          <w:color w:val="000000"/>
          <w:sz w:val="20"/>
          <w:szCs w:val="20"/>
        </w:rPr>
        <w:t xml:space="preserve"> approach offers a student-centered interpretation of Clark's (1998) academic heartland, wherein entrepreneurship is more deeply integrated when academic learning and entrepreneurial practice are connected rather than treated as separate activities.</w:t>
      </w:r>
    </w:p>
    <w:p w14:paraId="70DD6453" w14:textId="77777777" w:rsidR="00472000" w:rsidRPr="00472000" w:rsidRDefault="00472000" w:rsidP="00472000">
      <w:r w:rsidRPr="00472000">
        <w:rPr>
          <w:rFonts w:ascii="Arial" w:hAnsi="Arial" w:cs="Arial"/>
          <w:color w:val="000000"/>
          <w:sz w:val="20"/>
          <w:szCs w:val="20"/>
        </w:rPr>
        <w:t>This interpretation also aligns with more recent evidence that university support and student interaction with faculty and entrepreneurs can contribute to entrepreneurial activity within the broader university ecosystem (Moraes et al., 2025). In their large-scale study of students and faculty across 70 Brazilian universities, Moraes et al. found that university support and interaction among students, faculty, and entrepreneurs were important in explaining entrepreneurial activity and related ecosystem dynamics.</w:t>
      </w:r>
    </w:p>
    <w:p w14:paraId="785EBD4F" w14:textId="77777777" w:rsidR="00472000" w:rsidRPr="00472000" w:rsidRDefault="00472000" w:rsidP="00472000"/>
    <w:p w14:paraId="659174F6" w14:textId="0D0F5170" w:rsidR="00472000" w:rsidRPr="00472000" w:rsidRDefault="00472000" w:rsidP="00472000">
      <w:pPr>
        <w:outlineLvl w:val="2"/>
        <w:rPr>
          <w:b/>
          <w:bCs/>
          <w:sz w:val="27"/>
          <w:szCs w:val="27"/>
          <w:u w:val="single"/>
        </w:rPr>
      </w:pPr>
      <w:r w:rsidRPr="00472000">
        <w:rPr>
          <w:rFonts w:ascii="Arial" w:hAnsi="Arial" w:cs="Arial"/>
          <w:b/>
          <w:bCs/>
          <w:color w:val="000000"/>
          <w:sz w:val="20"/>
          <w:szCs w:val="20"/>
          <w:u w:val="single"/>
        </w:rPr>
        <w:t>3.1.5 Integrated Entrepreneurial Culture</w:t>
      </w:r>
    </w:p>
    <w:p w14:paraId="1840E58D" w14:textId="77777777" w:rsidR="00472000" w:rsidRPr="00472000" w:rsidRDefault="00472000" w:rsidP="00472000"/>
    <w:p w14:paraId="0CB30015" w14:textId="75B117F2" w:rsidR="00472000" w:rsidRPr="002815E6" w:rsidRDefault="00472000" w:rsidP="002815E6">
      <w:pPr>
        <w:pStyle w:val="my-2"/>
        <w:spacing w:before="0" w:beforeAutospacing="0" w:after="0" w:afterAutospacing="0"/>
        <w:rPr>
          <w:rFonts w:ascii="Arial" w:hAnsi="Arial" w:cs="Arial"/>
          <w:sz w:val="20"/>
          <w:szCs w:val="20"/>
        </w:rPr>
      </w:pPr>
      <w:r w:rsidRPr="002815E6">
        <w:rPr>
          <w:rFonts w:ascii="Arial" w:hAnsi="Arial" w:cs="Arial"/>
          <w:color w:val="000000"/>
          <w:sz w:val="20"/>
          <w:szCs w:val="20"/>
        </w:rPr>
        <w:t>The fifth pathway involved the development of entrepreneurial communities. Across the cases, universities fostered entrepreneurial culture through events, student organizations, mentoring, networking, alumni engagement, founder interactions, pitch activities, and shared entrepreneurial spaces</w:t>
      </w:r>
      <w:r w:rsidR="002815E6" w:rsidRPr="002815E6">
        <w:rPr>
          <w:rFonts w:ascii="Arial" w:hAnsi="Arial" w:cs="Arial"/>
          <w:color w:val="000000"/>
          <w:sz w:val="20"/>
          <w:szCs w:val="20"/>
        </w:rPr>
        <w:t xml:space="preserve"> </w:t>
      </w:r>
      <w:r w:rsidR="002815E6" w:rsidRPr="002815E6">
        <w:rPr>
          <w:rFonts w:ascii="Arial" w:hAnsi="Arial" w:cs="Arial"/>
          <w:sz w:val="20"/>
          <w:szCs w:val="20"/>
        </w:rPr>
        <w:t>(ETH Zurich, n.d.; Harvard Innovation Labs, n.d.; National University of Singapore, n.d.; University College London, n.d.; University of Oxford, n.d.).</w:t>
      </w:r>
    </w:p>
    <w:p w14:paraId="4A16DF66" w14:textId="51BAA426" w:rsidR="00472000" w:rsidRPr="00472000" w:rsidRDefault="00472000" w:rsidP="002815E6">
      <w:r w:rsidRPr="002815E6">
        <w:rPr>
          <w:rFonts w:ascii="Arial" w:hAnsi="Arial" w:cs="Arial"/>
          <w:color w:val="000000"/>
          <w:sz w:val="20"/>
          <w:szCs w:val="20"/>
        </w:rPr>
        <w:t>ETH Zurich, Harvard, UCL, and NUS provide particularly illustrative examples. Their documented structures provide students with opportunities to interact with peers, entrepreneurs, mentors, alumni, investors, and other entrepreneurial actors</w:t>
      </w:r>
      <w:r w:rsidR="00D348E9" w:rsidRPr="002815E6">
        <w:rPr>
          <w:rFonts w:ascii="Arial" w:hAnsi="Arial" w:cs="Arial"/>
          <w:color w:val="000000"/>
          <w:sz w:val="20"/>
          <w:szCs w:val="20"/>
        </w:rPr>
        <w:t xml:space="preserve"> </w:t>
      </w:r>
      <w:r w:rsidR="00D348E9" w:rsidRPr="002815E6">
        <w:rPr>
          <w:rFonts w:ascii="Arial" w:hAnsi="Arial" w:cs="Arial"/>
          <w:sz w:val="20"/>
          <w:szCs w:val="20"/>
        </w:rPr>
        <w:t>(ETH Zurich, n.d.; Harvard Innovation Labs,</w:t>
      </w:r>
      <w:r w:rsidR="00D348E9" w:rsidRPr="00D348E9">
        <w:rPr>
          <w:rFonts w:ascii="Arial" w:hAnsi="Arial" w:cs="Arial"/>
          <w:sz w:val="20"/>
          <w:szCs w:val="20"/>
        </w:rPr>
        <w:t xml:space="preserve"> n.d.; National University of Singapore, n.d.; University College London, n.d.).</w:t>
      </w:r>
    </w:p>
    <w:p w14:paraId="6A85279D" w14:textId="77777777" w:rsidR="00472000" w:rsidRPr="00472000" w:rsidRDefault="00472000" w:rsidP="00472000">
      <w:r w:rsidRPr="00472000">
        <w:rPr>
          <w:rFonts w:ascii="Arial" w:hAnsi="Arial" w:cs="Arial"/>
          <w:color w:val="000000"/>
          <w:sz w:val="20"/>
          <w:szCs w:val="20"/>
        </w:rPr>
        <w:t>A common pattern is the socialization of entrepreneurship. Rather than simply receiving information about entrepreneurship, students are immersed in environments where entrepreneurial interaction is integral to their university experience. This interpretation aligns with Clark's (1998) integrated entrepreneurial culture and the student entrepreneurship ecosystem perspective articulated by Meyskens et al. (2022), whose study emphasizes that student entrepreneurship ecosystems rely on the integration of educational programs, startup initiatives, accelerators, and other ecosystem components.</w:t>
      </w:r>
    </w:p>
    <w:p w14:paraId="114DB0E4" w14:textId="77777777" w:rsidR="00472000" w:rsidRPr="00472000" w:rsidRDefault="00472000" w:rsidP="00472000">
      <w:r w:rsidRPr="00472000">
        <w:rPr>
          <w:rFonts w:ascii="Arial" w:hAnsi="Arial" w:cs="Arial"/>
          <w:color w:val="000000"/>
          <w:sz w:val="20"/>
          <w:szCs w:val="20"/>
        </w:rPr>
        <w:t>Astuty et al. (2022) further demonstrate that student entrepreneurial activity is shaped by the synergy between internal institutional and external environmental elements. Their findings support the view that entrepreneurial activity is not generated by education alone but by the interaction of students with the institutional and external ecosystem surrounding them.</w:t>
      </w:r>
    </w:p>
    <w:p w14:paraId="6C87E228" w14:textId="77777777" w:rsidR="00472000" w:rsidRPr="00472000" w:rsidRDefault="00472000" w:rsidP="00472000">
      <w:r w:rsidRPr="00472000">
        <w:rPr>
          <w:rFonts w:ascii="Arial" w:hAnsi="Arial" w:cs="Arial"/>
          <w:color w:val="000000"/>
          <w:sz w:val="20"/>
          <w:szCs w:val="20"/>
        </w:rPr>
        <w:t xml:space="preserve">The role of university support is also supported by Moraes et al. (2025), whose study found that student entrepreneurship interacts with faculty and entrepreneurial actors and that university support has a significant role in the broader entrepreneurial ecosystem. Although </w:t>
      </w:r>
      <w:r w:rsidRPr="00472000">
        <w:rPr>
          <w:rFonts w:ascii="Arial" w:hAnsi="Arial" w:cs="Arial"/>
          <w:color w:val="000000"/>
          <w:sz w:val="20"/>
          <w:szCs w:val="20"/>
        </w:rPr>
        <w:lastRenderedPageBreak/>
        <w:t>their study addresses faculty intrapreneurship as an outcome, its findings reinforce the importance of interaction and institutional support in university entrepreneurial environments.</w:t>
      </w:r>
    </w:p>
    <w:p w14:paraId="33FC15BD" w14:textId="77777777" w:rsidR="00472000" w:rsidRPr="00472000" w:rsidRDefault="00472000" w:rsidP="00472000">
      <w:r w:rsidRPr="00472000">
        <w:rPr>
          <w:rFonts w:ascii="Arial" w:hAnsi="Arial" w:cs="Arial"/>
          <w:color w:val="000000"/>
          <w:sz w:val="20"/>
          <w:szCs w:val="20"/>
        </w:rPr>
        <w:t>Accordingly, entrepreneurial culture in the benchmark cases is not viewed solely as an institutional attitude toward entrepreneurship. Instead, it is manifested through repeated opportunities for interaction, participation, mentoring, networking, and engagement with entrepreneurial actors. This renders entrepreneurial culture observable through institutional practices, rather than as an abstract organizational characteristic.</w:t>
      </w:r>
    </w:p>
    <w:p w14:paraId="68DABB37" w14:textId="77777777" w:rsidR="00472000" w:rsidRPr="00472000" w:rsidRDefault="00472000" w:rsidP="00472000"/>
    <w:p w14:paraId="2A4D18BB" w14:textId="025C601B" w:rsidR="00472000" w:rsidRPr="00472000" w:rsidRDefault="00472000" w:rsidP="00472000">
      <w:pPr>
        <w:outlineLvl w:val="2"/>
        <w:rPr>
          <w:b/>
          <w:bCs/>
          <w:sz w:val="27"/>
          <w:szCs w:val="27"/>
          <w:u w:val="single"/>
        </w:rPr>
      </w:pPr>
      <w:r w:rsidRPr="00472000">
        <w:rPr>
          <w:rFonts w:ascii="Arial" w:hAnsi="Arial" w:cs="Arial"/>
          <w:b/>
          <w:bCs/>
          <w:color w:val="000000"/>
          <w:sz w:val="20"/>
          <w:szCs w:val="20"/>
          <w:u w:val="single"/>
        </w:rPr>
        <w:t>3.1.6 Cross-Case Interpretation</w:t>
      </w:r>
    </w:p>
    <w:p w14:paraId="518F1CD3" w14:textId="77777777" w:rsidR="00E715D7" w:rsidRPr="00E715D7" w:rsidRDefault="00E715D7" w:rsidP="00472000">
      <w:pPr>
        <w:rPr>
          <w:rFonts w:ascii="Arial" w:hAnsi="Arial" w:cs="Arial"/>
          <w:color w:val="000000"/>
          <w:sz w:val="20"/>
          <w:szCs w:val="20"/>
        </w:rPr>
      </w:pPr>
    </w:p>
    <w:p w14:paraId="7BC0451B" w14:textId="77777777" w:rsidR="00E715D7" w:rsidRPr="00E715D7" w:rsidRDefault="00E715D7" w:rsidP="00E715D7">
      <w:pPr>
        <w:rPr>
          <w:rFonts w:ascii="Arial" w:hAnsi="Arial" w:cs="Arial"/>
          <w:sz w:val="20"/>
          <w:szCs w:val="20"/>
        </w:rPr>
      </w:pPr>
      <w:r w:rsidRPr="00E715D7">
        <w:rPr>
          <w:rFonts w:ascii="Arial" w:hAnsi="Arial" w:cs="Arial"/>
          <w:sz w:val="20"/>
          <w:szCs w:val="20"/>
        </w:rPr>
        <w:t>Collectively, the five pathways demonstrate a consistent pattern across the benchmark universities. Student entrepreneurship is addressed not as a singular educational intervention or isolated service, but through a network of interconnected institutional, developmental, financial, educational, and cultural mechanisms. This observation is consistent with recent scholarship that conceptualizes university entrepreneurship as an ecosystem composed of multiple interacting components and levels of analysis (Astuty et al., 2022; Correia et al., 2024; Ismail et al., 2024; Meyskens et al., 2022).</w:t>
      </w:r>
    </w:p>
    <w:p w14:paraId="1A280B4B" w14:textId="77777777" w:rsidR="00E715D7" w:rsidRPr="00E715D7" w:rsidRDefault="00E715D7" w:rsidP="00E715D7">
      <w:pPr>
        <w:rPr>
          <w:rFonts w:ascii="Arial" w:hAnsi="Arial" w:cs="Arial"/>
          <w:sz w:val="20"/>
          <w:szCs w:val="20"/>
        </w:rPr>
      </w:pPr>
      <w:r w:rsidRPr="00E715D7">
        <w:rPr>
          <w:rFonts w:ascii="Arial" w:hAnsi="Arial" w:cs="Arial"/>
          <w:sz w:val="20"/>
          <w:szCs w:val="20"/>
        </w:rPr>
        <w:t>The five pathways are analytically distinct but practically interconnected. Experiential learning may guide students toward venture development, which often necessitates mentoring and workspace. Venture development, in turn, can create demand for funding and access to external networks. These interactions collectively strengthen the entrepreneurial community. Recent literature on entrepreneurial ecosystems similarly highlights the integration of educational, organizational, relational, and resource-based components within higher education entrepreneurship (Correia et al., 2024; Meyskens et al., 2022). Thus, the recurring pattern across the cases is not the provision of uniform services, but rather the presence of interconnected opportunities that enable students to navigate entrepreneurship education, idea development, mentoring, venture support, funding access, networking, and engagement in the entrepreneurial community.</w:t>
      </w:r>
    </w:p>
    <w:p w14:paraId="0D45FC50" w14:textId="77777777" w:rsidR="00E715D7" w:rsidRPr="00E715D7" w:rsidRDefault="00E715D7" w:rsidP="00E715D7">
      <w:pPr>
        <w:rPr>
          <w:rFonts w:ascii="Arial" w:hAnsi="Arial" w:cs="Arial"/>
          <w:sz w:val="20"/>
          <w:szCs w:val="20"/>
        </w:rPr>
      </w:pPr>
      <w:r w:rsidRPr="00E715D7">
        <w:rPr>
          <w:rFonts w:ascii="Arial" w:hAnsi="Arial" w:cs="Arial"/>
          <w:sz w:val="20"/>
          <w:szCs w:val="20"/>
        </w:rPr>
        <w:t>Clark's (1998) framework offers a theoretically grounded approach for examining how diverse institutional arrangements fulfill related entrepreneurial functions. Rather than prescribing uniform organizational structures for the ten universities, the framework serves as an analytical lens to understand various combinations of institutional, developmental, financial, educational, and cultural mechanisms. Contemporary literature further affirms the relevance of this ecosystem-oriented perspective by demonstrating that student entrepreneurship is increasingly conceptualized through interconnected configurations instead of isolated educational interventions (Astuty et al., 2022; Correia et al., 2024; Ismail et al., 2024).</w:t>
      </w:r>
    </w:p>
    <w:p w14:paraId="2AF1F27F" w14:textId="77777777" w:rsidR="00E715D7" w:rsidRPr="00E715D7" w:rsidRDefault="00E715D7" w:rsidP="00472000">
      <w:pPr>
        <w:rPr>
          <w:rFonts w:ascii="Arial" w:hAnsi="Arial" w:cs="Arial"/>
          <w:sz w:val="20"/>
          <w:szCs w:val="20"/>
        </w:rPr>
      </w:pPr>
    </w:p>
    <w:p w14:paraId="2E5CB7AC" w14:textId="77777777" w:rsidR="00472000" w:rsidRPr="00472000" w:rsidRDefault="00472000" w:rsidP="00472000"/>
    <w:p w14:paraId="129A2F7E" w14:textId="77777777" w:rsidR="00A643A7" w:rsidRPr="00312CEB" w:rsidRDefault="00A643A7" w:rsidP="00A643A7">
      <w:pPr>
        <w:pStyle w:val="Heading1"/>
        <w:spacing w:before="0" w:after="0"/>
        <w:rPr>
          <w:sz w:val="22"/>
          <w:szCs w:val="22"/>
        </w:rPr>
      </w:pPr>
      <w:r w:rsidRPr="00312CEB">
        <w:rPr>
          <w:rFonts w:cs="Arial"/>
          <w:color w:val="000000"/>
          <w:sz w:val="22"/>
          <w:szCs w:val="22"/>
        </w:rPr>
        <w:t>3.2 Common and Distinctive Practices</w:t>
      </w:r>
    </w:p>
    <w:p w14:paraId="401CB909" w14:textId="77777777" w:rsidR="00A643A7" w:rsidRPr="00554C9F" w:rsidRDefault="00A643A7" w:rsidP="00A643A7">
      <w:pPr>
        <w:rPr>
          <w:rFonts w:ascii="Arial" w:hAnsi="Arial" w:cs="Arial"/>
          <w:sz w:val="20"/>
          <w:szCs w:val="20"/>
        </w:rPr>
      </w:pPr>
    </w:p>
    <w:p w14:paraId="41742714" w14:textId="77777777" w:rsidR="00554C9F" w:rsidRPr="00554C9F" w:rsidRDefault="00554C9F" w:rsidP="00554C9F">
      <w:pPr>
        <w:rPr>
          <w:rFonts w:ascii="Arial" w:hAnsi="Arial" w:cs="Arial"/>
          <w:sz w:val="20"/>
          <w:szCs w:val="20"/>
        </w:rPr>
      </w:pPr>
      <w:r w:rsidRPr="00554C9F">
        <w:rPr>
          <w:rFonts w:ascii="Arial" w:hAnsi="Arial" w:cs="Arial"/>
          <w:sz w:val="20"/>
          <w:szCs w:val="20"/>
        </w:rPr>
        <w:t>The cross-case comparison identified five recurring practices among the ten benchmark universities: formal institutional ownership, developmental support beyond the classroom, experiential learning, entrepreneurial networking, and community-building. Although organizational structures varied, these functions consistently appeared across the cases. This observation is consistent with recent scholarship that conceptualizes university entrepreneurship as an ecosystem in which educational, institutional, relational, infrastructural, and financial elements interact, rather than operate as isolated interventions (Astuty et al., 2022; Correia et al., 2024; Ismail et al., 2024; Meyskens et al., 2022).</w:t>
      </w:r>
    </w:p>
    <w:p w14:paraId="200C1005" w14:textId="77777777" w:rsidR="00554C9F" w:rsidRPr="00554C9F" w:rsidRDefault="00554C9F" w:rsidP="00554C9F">
      <w:pPr>
        <w:rPr>
          <w:rFonts w:ascii="Arial" w:hAnsi="Arial" w:cs="Arial"/>
          <w:sz w:val="20"/>
          <w:szCs w:val="20"/>
        </w:rPr>
      </w:pPr>
      <w:r w:rsidRPr="00554C9F">
        <w:rPr>
          <w:rFonts w:ascii="Arial" w:hAnsi="Arial" w:cs="Arial"/>
          <w:sz w:val="20"/>
          <w:szCs w:val="20"/>
        </w:rPr>
        <w:t xml:space="preserve">The first common practice was formal institutional ownership. Each benchmark university maintained an identifiable structure responsible for entrepreneurship, with these structures ranging from dedicated centers to broader institutional portfolios involving multiple units. This finding aligns with Clark's (1998) concept of a strengthened steering core and recent </w:t>
      </w:r>
      <w:r w:rsidRPr="00554C9F">
        <w:rPr>
          <w:rFonts w:ascii="Arial" w:hAnsi="Arial" w:cs="Arial"/>
          <w:sz w:val="20"/>
          <w:szCs w:val="20"/>
        </w:rPr>
        <w:lastRenderedPageBreak/>
        <w:t>research indicating that entrepreneurial universities may organize strategies, resources, policies, and support mechanisms through several organizational units rather than a single entrepreneurship office (Abreu &amp; Grinevich, 2024). Analysis of UK higher education institutions demonstrates that entrepreneurial university activity involves multiple strategies, resources, capabilities, and sometimes competing organizational goals.</w:t>
      </w:r>
    </w:p>
    <w:p w14:paraId="09CF5CEC" w14:textId="77777777" w:rsidR="00554C9F" w:rsidRPr="00554C9F" w:rsidRDefault="00554C9F" w:rsidP="00554C9F">
      <w:pPr>
        <w:rPr>
          <w:rFonts w:ascii="Arial" w:hAnsi="Arial" w:cs="Arial"/>
          <w:sz w:val="20"/>
          <w:szCs w:val="20"/>
        </w:rPr>
      </w:pPr>
      <w:r w:rsidRPr="00554C9F">
        <w:rPr>
          <w:rFonts w:ascii="Arial" w:hAnsi="Arial" w:cs="Arial"/>
          <w:sz w:val="20"/>
          <w:szCs w:val="20"/>
        </w:rPr>
        <w:t>The second common practice was the provision of developmental support extending beyond formal entrepreneurship education. In the benchmark cases, students accessed various forms of support, including mentoring, coaching, incubation, acceleration, competitions, workspaces, venture-development programs, and connections with external entrepreneurial actors. Maritz et al. (2022) similarly observed that entrepreneurship education programs in higher education are increasingly integrated with accelerators, incubators, student entrepreneurship initiatives, and other support services. Meyskens et al. (2022) conceptualized student entrepreneurship ecosystems as systems comprising multiple integrative components that support student startups, while Ismail et al. (2024) identified creative spaces, expert advice, funding, institutional support, and external collaboration as key elements. Consequently, the benchmark evidence indicates that analytical attention should focus on the range and connectivity of services available to students, rather than solely on the existence of an entrepreneurship center.</w:t>
      </w:r>
    </w:p>
    <w:p w14:paraId="732C79B0" w14:textId="1981FD94" w:rsidR="00554C9F" w:rsidRPr="00554C9F" w:rsidRDefault="00554C9F" w:rsidP="00554C9F">
      <w:pPr>
        <w:rPr>
          <w:rFonts w:ascii="Arial" w:hAnsi="Arial" w:cs="Arial"/>
          <w:sz w:val="20"/>
          <w:szCs w:val="20"/>
        </w:rPr>
      </w:pPr>
      <w:r w:rsidRPr="00554C9F">
        <w:rPr>
          <w:rFonts w:ascii="Arial" w:hAnsi="Arial" w:cs="Arial"/>
          <w:sz w:val="20"/>
          <w:szCs w:val="20"/>
        </w:rPr>
        <w:t xml:space="preserve">The third common practice was experiential entrepreneurship learning. Benchmark universities did not rely solely on classroom-based entrepreneurship education. Students were offered opportunities to develop ideas, work on projects, participate in startup programs, pitch ventures, undertake internships, and engage in </w:t>
      </w:r>
      <w:r w:rsidRPr="00655C3E">
        <w:rPr>
          <w:rFonts w:ascii="Arial" w:hAnsi="Arial" w:cs="Arial"/>
          <w:sz w:val="20"/>
          <w:szCs w:val="20"/>
        </w:rPr>
        <w:t>venture development activities. This approach aligns with recent research indicating that experiential and interactive methods can complement conventional classroom instruction. Carpenter and Wilson (2022)</w:t>
      </w:r>
      <w:r w:rsidR="00655C3E" w:rsidRPr="00655C3E">
        <w:rPr>
          <w:rFonts w:ascii="Arial" w:hAnsi="Arial" w:cs="Arial"/>
          <w:sz w:val="20"/>
          <w:szCs w:val="20"/>
        </w:rPr>
        <w:t xml:space="preserve"> </w:t>
      </w:r>
      <w:r w:rsidR="00655C3E" w:rsidRPr="00655C3E">
        <w:rPr>
          <w:rFonts w:ascii="Arial" w:hAnsi="Arial" w:cs="Arial"/>
          <w:sz w:val="20"/>
          <w:szCs w:val="20"/>
        </w:rPr>
        <w:t>identified experiential and extracurricular approaches as approaches for developing students' entrepreneurial capabilities.</w:t>
      </w:r>
      <w:r w:rsidRPr="00655C3E">
        <w:rPr>
          <w:rFonts w:ascii="Arial" w:hAnsi="Arial" w:cs="Arial"/>
          <w:sz w:val="20"/>
          <w:szCs w:val="20"/>
        </w:rPr>
        <w:t xml:space="preserve"> Motta and Galina (2023) also emphasized experiential learning as a significant approach in entrepreneurship education, while Sofiullah et al. (2023) provided empirical evidence from an interactive</w:t>
      </w:r>
      <w:r w:rsidRPr="00554C9F">
        <w:rPr>
          <w:rFonts w:ascii="Arial" w:hAnsi="Arial" w:cs="Arial"/>
          <w:sz w:val="20"/>
          <w:szCs w:val="20"/>
        </w:rPr>
        <w:t xml:space="preserve"> startup simulation involving undergraduate students.</w:t>
      </w:r>
    </w:p>
    <w:p w14:paraId="0C45385F" w14:textId="77777777" w:rsidR="00554C9F" w:rsidRPr="00554C9F" w:rsidRDefault="00554C9F" w:rsidP="00554C9F">
      <w:pPr>
        <w:rPr>
          <w:rFonts w:ascii="Arial" w:hAnsi="Arial" w:cs="Arial"/>
          <w:sz w:val="20"/>
          <w:szCs w:val="20"/>
        </w:rPr>
      </w:pPr>
      <w:r w:rsidRPr="00554C9F">
        <w:rPr>
          <w:rFonts w:ascii="Arial" w:hAnsi="Arial" w:cs="Arial"/>
          <w:sz w:val="20"/>
          <w:szCs w:val="20"/>
        </w:rPr>
        <w:t>The fourth common practice was entrepreneurial networking. Mentoring, alumni engagement, founder interactions, investor access, and external ecosystem connections were consistently present across the cases. This observation aligns with the student entrepreneurship ecosystem perspective of Meyskens et al. (2022), which emphasizes interaction among ecosystem actors and support mechanisms. Astuty et al. (2022) similarly found that the interplay between internal university conditions and external environmental support contributes to student entrepreneurial activity. Recent research further suggests that university support can shape how students perceive and engage with entrepreneurship. For example, Liu et al. (2022) found that perceived university support was associated with students' entrepreneurial attitudes, subjective norms, and entrepreneurial self-efficacy. Mustafa et al. (2023) found that university support for entrepreneurship was associated with entrepreneurial intentions among students in Ghana and Malaysia, with effects varying according to students' proactive personality. Collectively, these findings underscore the importance of making entrepreneurial support visible and accessible, rather than relying solely on the formal existence of support structures.</w:t>
      </w:r>
    </w:p>
    <w:p w14:paraId="5690497C" w14:textId="77777777" w:rsidR="00554C9F" w:rsidRPr="00554C9F" w:rsidRDefault="00554C9F" w:rsidP="00554C9F">
      <w:pPr>
        <w:rPr>
          <w:rFonts w:ascii="Arial" w:hAnsi="Arial" w:cs="Arial"/>
          <w:sz w:val="20"/>
          <w:szCs w:val="20"/>
        </w:rPr>
      </w:pPr>
      <w:r w:rsidRPr="00554C9F">
        <w:rPr>
          <w:rFonts w:ascii="Arial" w:hAnsi="Arial" w:cs="Arial"/>
          <w:sz w:val="20"/>
          <w:szCs w:val="20"/>
        </w:rPr>
        <w:t>The fifth common practice was community-building. Benchmark universities fostered environments where entrepreneurship was experienced socially through events, student organizations, shared spaces, mentoring, peer interaction, and relationships with entrepreneurs and alumni. This finding broadens the concept of entrepreneurial culture beyond an institutional attitude, reflecting it in repeated opportunities for students to engage in entrepreneurial relationships and activities. The student-university-ecosystem framework proposed by Rocha et al. (2024) similarly highlights the synergetic relationship between students, universities, and the broader entrepreneurial ecosystem.</w:t>
      </w:r>
    </w:p>
    <w:p w14:paraId="786003FE" w14:textId="77777777" w:rsidR="00554C9F" w:rsidRPr="00554C9F" w:rsidRDefault="00554C9F" w:rsidP="00554C9F">
      <w:pPr>
        <w:rPr>
          <w:rFonts w:ascii="Arial" w:hAnsi="Arial" w:cs="Arial"/>
          <w:sz w:val="20"/>
          <w:szCs w:val="20"/>
        </w:rPr>
      </w:pPr>
      <w:r w:rsidRPr="00554C9F">
        <w:rPr>
          <w:rFonts w:ascii="Arial" w:hAnsi="Arial" w:cs="Arial"/>
          <w:sz w:val="20"/>
          <w:szCs w:val="20"/>
        </w:rPr>
        <w:lastRenderedPageBreak/>
        <w:t>Despite these commonalities, the depth and configuration of support varied significantly. The most notable differentiation concerned funding. MIT, Harvard, Caltech, ETH Zurich, and NUS offered explicit, direct student-oriented funding mechanisms, whereas other universities prioritized competitions, investor connections, or funding-readiness activities (California Institute of Technology, n.d.; ETH Zurich, n.d.; Harvard Innovation Labs, n.d.; Massachusetts Institute of Technology, n.d.-a; National University of Singapore, n.d.). This distinction is important because entrepreneurial universities do not organize resources uniformly. Abreu and Grinevich (2024) demonstrate that entrepreneurial universities combine diverse strategies, resources, and capabilities, and that these combinations can generate both synergies and tensions.</w:t>
      </w:r>
    </w:p>
    <w:p w14:paraId="16862156" w14:textId="77777777" w:rsidR="00554C9F" w:rsidRPr="00554C9F" w:rsidRDefault="00554C9F" w:rsidP="00554C9F">
      <w:pPr>
        <w:rPr>
          <w:rFonts w:ascii="Arial" w:hAnsi="Arial" w:cs="Arial"/>
          <w:sz w:val="20"/>
          <w:szCs w:val="20"/>
        </w:rPr>
      </w:pPr>
      <w:r w:rsidRPr="00554C9F">
        <w:rPr>
          <w:rFonts w:ascii="Arial" w:hAnsi="Arial" w:cs="Arial"/>
          <w:sz w:val="20"/>
          <w:szCs w:val="20"/>
        </w:rPr>
        <w:t>Several universities also exhibited distinctive approaches. NUS integrates entrepreneurship education with international exposure to startups through its Overseas Colleges (National University of Singapore, n.d.). ETH Zurich combines student project development, entrepreneurship organizations, acceleration, and fellowship funding (ETH Zurich, n.d.). Oxford and UCL offer explicit progression through the stages of entrepreneurial development (University of Oxford, n.d.; University College London, n.d.), while Cambridge links entrepreneurship education with venture development activities (University of Cambridge, n.d.). Caltech implements a structured combination of entrepreneurship education, mentoring, competitions, funding, and venture development (California Institute of Technology, n.d.). These differences demonstrate that universities may pursue similar entrepreneurial functions through varied institutional configurations.</w:t>
      </w:r>
    </w:p>
    <w:p w14:paraId="32B98FAC" w14:textId="77777777" w:rsidR="00554C9F" w:rsidRPr="00554C9F" w:rsidRDefault="00554C9F" w:rsidP="00554C9F">
      <w:pPr>
        <w:rPr>
          <w:rFonts w:ascii="Arial" w:hAnsi="Arial" w:cs="Arial"/>
          <w:sz w:val="20"/>
          <w:szCs w:val="20"/>
        </w:rPr>
      </w:pPr>
      <w:r w:rsidRPr="00554C9F">
        <w:rPr>
          <w:rFonts w:ascii="Arial" w:hAnsi="Arial" w:cs="Arial"/>
          <w:sz w:val="20"/>
          <w:szCs w:val="20"/>
        </w:rPr>
        <w:t>This variation precludes reducing the benchmark analysis to a search for a single optimal entrepreneurship center. Maritz et al. (2022) identified substantial variation in the distribution of entrepreneurship education programs, accelerators, and support services across Indonesian higher education institutions. Abreu and Grinevich (2024) similarly show that entrepreneurial universities differ in their strategies, resources, organizational arrangements, and competing institutional goals. The ten cases thus illustrate a shift from viewing the entrepreneurship center primarily as a training provider to understanding it as part of a broader student entrepreneurship support ecosystem. Education, idea development, mentoring, venture support, funding access, networking, and entrepreneurial community can function as interconnected components rather than isolated services. This interpretation is consistent with Ismail et al. (2024), whose multiple-case study concluded that effective student entrepreneurship support requires interaction and collaboration among various elements of the university entrepreneurial ecosystem.</w:t>
      </w:r>
    </w:p>
    <w:p w14:paraId="13C99281" w14:textId="77777777" w:rsidR="00554C9F" w:rsidRPr="00554C9F" w:rsidRDefault="00554C9F" w:rsidP="00554C9F">
      <w:pPr>
        <w:rPr>
          <w:rFonts w:ascii="Arial" w:hAnsi="Arial" w:cs="Arial"/>
          <w:sz w:val="20"/>
          <w:szCs w:val="20"/>
        </w:rPr>
      </w:pPr>
      <w:r w:rsidRPr="00554C9F">
        <w:rPr>
          <w:rFonts w:ascii="Arial" w:hAnsi="Arial" w:cs="Arial"/>
          <w:sz w:val="20"/>
          <w:szCs w:val="20"/>
        </w:rPr>
        <w:t>Therefore, the principal distinction among the benchmark universities lies not in the simple provision of entrepreneurship support, but in the extent and coherence with which they integrate various forms of support into a student entrepreneurial pathway. This distinction provides the foundation for the subsequent comparison with Xavier University.</w:t>
      </w:r>
    </w:p>
    <w:p w14:paraId="0157C607" w14:textId="77777777" w:rsidR="00554C9F" w:rsidRPr="00554C9F" w:rsidRDefault="00554C9F" w:rsidP="00A643A7">
      <w:pPr>
        <w:rPr>
          <w:rFonts w:ascii="Arial" w:hAnsi="Arial" w:cs="Arial"/>
          <w:sz w:val="20"/>
          <w:szCs w:val="20"/>
        </w:rPr>
      </w:pPr>
    </w:p>
    <w:p w14:paraId="3D453E5D" w14:textId="77777777" w:rsidR="00312CEB" w:rsidRPr="00312CEB" w:rsidRDefault="00312CEB" w:rsidP="00312CEB">
      <w:pPr>
        <w:pStyle w:val="Heading1"/>
        <w:spacing w:before="0" w:after="0"/>
        <w:rPr>
          <w:sz w:val="22"/>
          <w:szCs w:val="22"/>
        </w:rPr>
      </w:pPr>
      <w:r w:rsidRPr="00312CEB">
        <w:rPr>
          <w:rFonts w:cs="Arial"/>
          <w:color w:val="000000"/>
          <w:sz w:val="22"/>
          <w:szCs w:val="22"/>
        </w:rPr>
        <w:t>3.3 Benchmarking the Focal University</w:t>
      </w:r>
    </w:p>
    <w:p w14:paraId="247652FF" w14:textId="77777777" w:rsidR="00312CEB" w:rsidRDefault="00312CEB" w:rsidP="00312CEB"/>
    <w:p w14:paraId="30AC797F" w14:textId="72E38080" w:rsidR="00E57BDA" w:rsidRDefault="00E57BDA" w:rsidP="00312CEB">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The comparison with Xavier University employed the same five Clark pathways and relied on publicly available institutional documentation. The primary sources comprised the Student Entrepreneurship Center (SEC) webpage, which describes the SEC’s institutional position, pillars, and experiential programs (Xavier University, n.d.-a), and the Student Entrepreneurship Program page, which outlines the program’s components including the Entrepreneurship Loan Fund (ELF) (Xavier University, n.d.-b). Historical university news announcements regarding the planned and subsequent opening of the Xavier University–Pryce Center for Entrepreneurship were also consulted to contextualize the development of student enterprise infrastructure (Xavier University, 2011, 2012). The objective was not to rank Xavier against the ten benchmark universities, but to identify which benchmark practices are already documented at Xavier, which are less evident in the available evidence, and which practices may represent relevant areas for enhancement.</w:t>
      </w:r>
    </w:p>
    <w:p w14:paraId="3A42CE94" w14:textId="47711FEE" w:rsidR="00312CEB" w:rsidRDefault="00312CEB" w:rsidP="00312CEB">
      <w:pPr>
        <w:pStyle w:val="NormalWeb"/>
        <w:spacing w:before="0" w:beforeAutospacing="0" w:after="0" w:afterAutospacing="0"/>
        <w:rPr>
          <w:rFonts w:ascii="Arial" w:hAnsi="Arial" w:cs="Arial"/>
          <w:color w:val="000000"/>
          <w:sz w:val="20"/>
          <w:szCs w:val="20"/>
        </w:rPr>
      </w:pPr>
      <w:r w:rsidRPr="00312CEB">
        <w:rPr>
          <w:rFonts w:ascii="Arial" w:hAnsi="Arial" w:cs="Arial"/>
          <w:color w:val="000000"/>
          <w:sz w:val="20"/>
          <w:szCs w:val="20"/>
        </w:rPr>
        <w:lastRenderedPageBreak/>
        <w:t xml:space="preserve">Xavier University's current Student Entrepreneurship Center (SEC) is identified as a college-based Research and Social Outreach unit of the School of Business and Management. Its current institutional description identifies three pillars—entrepreneurship, research, and outreach—and states that the SEC provides undergraduate students with academic knowledge, practical experience, facilities, and networks. It also explicitly describes its approach as integrating "learning and doing" and identifies experiential entrepreneurship programs as part of its </w:t>
      </w:r>
      <w:r w:rsidRPr="00E379DE">
        <w:rPr>
          <w:rFonts w:ascii="Arial" w:hAnsi="Arial" w:cs="Arial"/>
          <w:color w:val="000000"/>
          <w:sz w:val="20"/>
          <w:szCs w:val="20"/>
        </w:rPr>
        <w:t>entrepreneurship pillar</w:t>
      </w:r>
      <w:r w:rsidR="00E379DE" w:rsidRPr="00E379DE">
        <w:rPr>
          <w:rFonts w:ascii="Arial" w:hAnsi="Arial" w:cs="Arial"/>
          <w:color w:val="000000"/>
          <w:sz w:val="20"/>
          <w:szCs w:val="20"/>
        </w:rPr>
        <w:t xml:space="preserve"> </w:t>
      </w:r>
      <w:r w:rsidR="00E379DE" w:rsidRPr="00E379DE">
        <w:rPr>
          <w:rFonts w:ascii="Arial" w:hAnsi="Arial" w:cs="Arial"/>
          <w:sz w:val="20"/>
          <w:szCs w:val="20"/>
        </w:rPr>
        <w:t>(Xavier University, n.d.-a)</w:t>
      </w:r>
      <w:r w:rsidRPr="00E379DE">
        <w:rPr>
          <w:rFonts w:ascii="Arial" w:hAnsi="Arial" w:cs="Arial"/>
          <w:color w:val="000000"/>
          <w:sz w:val="20"/>
          <w:szCs w:val="20"/>
        </w:rPr>
        <w:t>.</w:t>
      </w:r>
    </w:p>
    <w:p w14:paraId="60125A56" w14:textId="77777777" w:rsidR="00312CEB" w:rsidRDefault="00312CEB" w:rsidP="00312CEB">
      <w:pPr>
        <w:pStyle w:val="NormalWeb"/>
        <w:spacing w:before="0" w:beforeAutospacing="0" w:after="0" w:afterAutospacing="0"/>
        <w:rPr>
          <w:rFonts w:ascii="Arial" w:hAnsi="Arial" w:cs="Arial"/>
          <w:color w:val="000000"/>
          <w:sz w:val="20"/>
          <w:szCs w:val="20"/>
        </w:rPr>
      </w:pPr>
    </w:p>
    <w:p w14:paraId="17003F21" w14:textId="2E0226ED" w:rsidR="00A643A7" w:rsidRPr="00333201" w:rsidRDefault="00312CEB" w:rsidP="00333201">
      <w:pPr>
        <w:pStyle w:val="NormalWeb"/>
        <w:spacing w:before="0" w:beforeAutospacing="0" w:after="0" w:afterAutospacing="0"/>
        <w:jc w:val="center"/>
        <w:rPr>
          <w:rFonts w:ascii="Arial" w:hAnsi="Arial" w:cs="Arial"/>
          <w:color w:val="000000"/>
          <w:sz w:val="20"/>
          <w:szCs w:val="20"/>
        </w:rPr>
      </w:pPr>
      <w:r>
        <w:rPr>
          <w:rFonts w:ascii="Arial" w:hAnsi="Arial" w:cs="Arial"/>
          <w:b/>
          <w:bCs/>
          <w:color w:val="000000"/>
          <w:sz w:val="20"/>
          <w:szCs w:val="20"/>
        </w:rPr>
        <w:t xml:space="preserve">Table </w:t>
      </w:r>
      <w:r w:rsidR="006014AB">
        <w:rPr>
          <w:rFonts w:ascii="Arial" w:hAnsi="Arial" w:cs="Arial"/>
          <w:b/>
          <w:bCs/>
          <w:color w:val="000000"/>
          <w:sz w:val="20"/>
          <w:szCs w:val="20"/>
        </w:rPr>
        <w:t>4</w:t>
      </w:r>
      <w:r>
        <w:rPr>
          <w:rFonts w:ascii="Arial" w:hAnsi="Arial" w:cs="Arial"/>
          <w:b/>
          <w:bCs/>
          <w:color w:val="000000"/>
          <w:sz w:val="20"/>
          <w:szCs w:val="20"/>
        </w:rPr>
        <w:t>. Comparison of benchmark practices with Xavier University's documented student entrepreneurship support</w:t>
      </w:r>
    </w:p>
    <w:tbl>
      <w:tblPr>
        <w:tblW w:w="5603" w:type="pct"/>
        <w:jc w:val="center"/>
        <w:tblCellMar>
          <w:top w:w="15" w:type="dxa"/>
          <w:left w:w="15" w:type="dxa"/>
          <w:bottom w:w="15" w:type="dxa"/>
          <w:right w:w="15" w:type="dxa"/>
        </w:tblCellMar>
        <w:tblLook w:val="04A0" w:firstRow="1" w:lastRow="0" w:firstColumn="1" w:lastColumn="0" w:noHBand="0" w:noVBand="1"/>
      </w:tblPr>
      <w:tblGrid>
        <w:gridCol w:w="2340"/>
        <w:gridCol w:w="2430"/>
        <w:gridCol w:w="2960"/>
        <w:gridCol w:w="1468"/>
      </w:tblGrid>
      <w:tr w:rsidR="00333201" w:rsidRPr="00333201" w14:paraId="33F19F84" w14:textId="77777777" w:rsidTr="00026DD5">
        <w:trPr>
          <w:tblHeader/>
          <w:jc w:val="center"/>
        </w:trPr>
        <w:tc>
          <w:tcPr>
            <w:tcW w:w="1272" w:type="pct"/>
            <w:tcBorders>
              <w:top w:val="single" w:sz="4" w:space="0" w:color="auto"/>
              <w:bottom w:val="single" w:sz="4" w:space="0" w:color="auto"/>
            </w:tcBorders>
            <w:tcMar>
              <w:top w:w="120" w:type="dxa"/>
              <w:left w:w="120" w:type="dxa"/>
              <w:bottom w:w="120" w:type="dxa"/>
              <w:right w:w="120" w:type="dxa"/>
            </w:tcMar>
            <w:hideMark/>
          </w:tcPr>
          <w:p w14:paraId="7137E1FA" w14:textId="77777777" w:rsidR="00333201" w:rsidRPr="00333201" w:rsidRDefault="00333201">
            <w:pPr>
              <w:rPr>
                <w:rFonts w:ascii="Arial" w:hAnsi="Arial" w:cs="Arial"/>
                <w:b/>
                <w:bCs/>
                <w:sz w:val="20"/>
                <w:szCs w:val="20"/>
              </w:rPr>
            </w:pPr>
            <w:r w:rsidRPr="00333201">
              <w:rPr>
                <w:rFonts w:ascii="Arial" w:hAnsi="Arial" w:cs="Arial"/>
                <w:b/>
                <w:bCs/>
                <w:sz w:val="20"/>
                <w:szCs w:val="20"/>
              </w:rPr>
              <w:t>Clark pathway</w:t>
            </w:r>
          </w:p>
        </w:tc>
        <w:tc>
          <w:tcPr>
            <w:tcW w:w="1321" w:type="pct"/>
            <w:tcBorders>
              <w:top w:val="single" w:sz="4" w:space="0" w:color="auto"/>
              <w:bottom w:val="single" w:sz="4" w:space="0" w:color="auto"/>
            </w:tcBorders>
            <w:tcMar>
              <w:top w:w="120" w:type="dxa"/>
              <w:left w:w="120" w:type="dxa"/>
              <w:bottom w:w="120" w:type="dxa"/>
              <w:right w:w="120" w:type="dxa"/>
            </w:tcMar>
            <w:hideMark/>
          </w:tcPr>
          <w:p w14:paraId="07E533F4" w14:textId="77777777" w:rsidR="00333201" w:rsidRPr="00333201" w:rsidRDefault="00333201">
            <w:pPr>
              <w:rPr>
                <w:rFonts w:ascii="Arial" w:hAnsi="Arial" w:cs="Arial"/>
                <w:b/>
                <w:bCs/>
                <w:sz w:val="20"/>
                <w:szCs w:val="20"/>
              </w:rPr>
            </w:pPr>
            <w:r w:rsidRPr="00333201">
              <w:rPr>
                <w:rFonts w:ascii="Arial" w:hAnsi="Arial" w:cs="Arial"/>
                <w:b/>
                <w:bCs/>
                <w:sz w:val="20"/>
                <w:szCs w:val="20"/>
              </w:rPr>
              <w:t>Benchmark pattern</w:t>
            </w:r>
          </w:p>
        </w:tc>
        <w:tc>
          <w:tcPr>
            <w:tcW w:w="1609" w:type="pct"/>
            <w:tcBorders>
              <w:top w:val="single" w:sz="4" w:space="0" w:color="auto"/>
              <w:bottom w:val="single" w:sz="4" w:space="0" w:color="auto"/>
            </w:tcBorders>
            <w:tcMar>
              <w:top w:w="120" w:type="dxa"/>
              <w:left w:w="120" w:type="dxa"/>
              <w:bottom w:w="120" w:type="dxa"/>
              <w:right w:w="120" w:type="dxa"/>
            </w:tcMar>
            <w:hideMark/>
          </w:tcPr>
          <w:p w14:paraId="7F06BBFA" w14:textId="77777777" w:rsidR="00333201" w:rsidRPr="00333201" w:rsidRDefault="00333201">
            <w:pPr>
              <w:rPr>
                <w:rFonts w:ascii="Arial" w:hAnsi="Arial" w:cs="Arial"/>
                <w:b/>
                <w:bCs/>
                <w:sz w:val="20"/>
                <w:szCs w:val="20"/>
              </w:rPr>
            </w:pPr>
            <w:r w:rsidRPr="00333201">
              <w:rPr>
                <w:rFonts w:ascii="Arial" w:hAnsi="Arial" w:cs="Arial"/>
                <w:b/>
                <w:bCs/>
                <w:sz w:val="20"/>
                <w:szCs w:val="20"/>
              </w:rPr>
              <w:t>Xavier University evidence</w:t>
            </w:r>
          </w:p>
        </w:tc>
        <w:tc>
          <w:tcPr>
            <w:tcW w:w="0" w:type="auto"/>
            <w:tcBorders>
              <w:top w:val="single" w:sz="4" w:space="0" w:color="auto"/>
              <w:bottom w:val="single" w:sz="4" w:space="0" w:color="auto"/>
            </w:tcBorders>
            <w:tcMar>
              <w:top w:w="120" w:type="dxa"/>
              <w:left w:w="120" w:type="dxa"/>
              <w:bottom w:w="120" w:type="dxa"/>
              <w:right w:w="120" w:type="dxa"/>
            </w:tcMar>
            <w:hideMark/>
          </w:tcPr>
          <w:p w14:paraId="406669B2" w14:textId="77777777" w:rsidR="00333201" w:rsidRPr="00333201" w:rsidRDefault="00333201">
            <w:pPr>
              <w:rPr>
                <w:rFonts w:ascii="Arial" w:hAnsi="Arial" w:cs="Arial"/>
                <w:b/>
                <w:bCs/>
                <w:sz w:val="20"/>
                <w:szCs w:val="20"/>
              </w:rPr>
            </w:pPr>
            <w:r w:rsidRPr="00333201">
              <w:rPr>
                <w:rFonts w:ascii="Arial" w:hAnsi="Arial" w:cs="Arial"/>
                <w:b/>
                <w:bCs/>
                <w:sz w:val="20"/>
                <w:szCs w:val="20"/>
              </w:rPr>
              <w:t>Assessment</w:t>
            </w:r>
          </w:p>
        </w:tc>
      </w:tr>
      <w:tr w:rsidR="00333201" w:rsidRPr="00333201" w14:paraId="00CEA67B" w14:textId="77777777" w:rsidTr="00026DD5">
        <w:trPr>
          <w:jc w:val="center"/>
        </w:trPr>
        <w:tc>
          <w:tcPr>
            <w:tcW w:w="1272" w:type="pct"/>
            <w:tcBorders>
              <w:top w:val="single" w:sz="4" w:space="0" w:color="auto"/>
            </w:tcBorders>
            <w:tcMar>
              <w:top w:w="120" w:type="dxa"/>
              <w:left w:w="120" w:type="dxa"/>
              <w:bottom w:w="120" w:type="dxa"/>
              <w:right w:w="120" w:type="dxa"/>
            </w:tcMar>
            <w:hideMark/>
          </w:tcPr>
          <w:p w14:paraId="57815A3A" w14:textId="77777777" w:rsidR="00333201" w:rsidRPr="00333201" w:rsidRDefault="00333201">
            <w:pPr>
              <w:rPr>
                <w:rFonts w:ascii="Arial" w:hAnsi="Arial" w:cs="Arial"/>
                <w:sz w:val="20"/>
                <w:szCs w:val="20"/>
              </w:rPr>
            </w:pPr>
            <w:r w:rsidRPr="00333201">
              <w:rPr>
                <w:rFonts w:ascii="Arial" w:hAnsi="Arial" w:cs="Arial"/>
                <w:sz w:val="20"/>
                <w:szCs w:val="20"/>
              </w:rPr>
              <w:t>Strengthened Steering Core</w:t>
            </w:r>
          </w:p>
        </w:tc>
        <w:tc>
          <w:tcPr>
            <w:tcW w:w="1321" w:type="pct"/>
            <w:tcBorders>
              <w:top w:val="single" w:sz="4" w:space="0" w:color="auto"/>
            </w:tcBorders>
            <w:tcMar>
              <w:top w:w="120" w:type="dxa"/>
              <w:left w:w="120" w:type="dxa"/>
              <w:bottom w:w="120" w:type="dxa"/>
              <w:right w:w="120" w:type="dxa"/>
            </w:tcMar>
            <w:hideMark/>
          </w:tcPr>
          <w:p w14:paraId="186F43A8" w14:textId="77777777" w:rsidR="00333201" w:rsidRPr="00333201" w:rsidRDefault="00333201">
            <w:pPr>
              <w:rPr>
                <w:rFonts w:ascii="Arial" w:hAnsi="Arial" w:cs="Arial"/>
                <w:sz w:val="20"/>
                <w:szCs w:val="20"/>
              </w:rPr>
            </w:pPr>
            <w:r w:rsidRPr="00333201">
              <w:rPr>
                <w:rFonts w:ascii="Arial" w:hAnsi="Arial" w:cs="Arial"/>
                <w:sz w:val="20"/>
                <w:szCs w:val="20"/>
              </w:rPr>
              <w:t>Formal institutional responsibility for entrepreneurship</w:t>
            </w:r>
          </w:p>
        </w:tc>
        <w:tc>
          <w:tcPr>
            <w:tcW w:w="1609" w:type="pct"/>
            <w:tcBorders>
              <w:top w:val="single" w:sz="4" w:space="0" w:color="auto"/>
            </w:tcBorders>
            <w:tcMar>
              <w:top w:w="120" w:type="dxa"/>
              <w:left w:w="120" w:type="dxa"/>
              <w:bottom w:w="120" w:type="dxa"/>
              <w:right w:w="120" w:type="dxa"/>
            </w:tcMar>
            <w:hideMark/>
          </w:tcPr>
          <w:p w14:paraId="7F833CAC" w14:textId="77777777" w:rsidR="00333201" w:rsidRPr="00333201" w:rsidRDefault="00333201">
            <w:pPr>
              <w:rPr>
                <w:rFonts w:ascii="Arial" w:hAnsi="Arial" w:cs="Arial"/>
                <w:sz w:val="20"/>
                <w:szCs w:val="20"/>
              </w:rPr>
            </w:pPr>
            <w:r w:rsidRPr="00333201">
              <w:rPr>
                <w:rFonts w:ascii="Arial" w:hAnsi="Arial" w:cs="Arial"/>
                <w:sz w:val="20"/>
                <w:szCs w:val="20"/>
              </w:rPr>
              <w:t>SEC is formally established as a college-based Research and Social Outreach unit of the School of Business and Management (Xavier University, n.d.-a).</w:t>
            </w:r>
          </w:p>
        </w:tc>
        <w:tc>
          <w:tcPr>
            <w:tcW w:w="0" w:type="auto"/>
            <w:tcBorders>
              <w:top w:val="single" w:sz="4" w:space="0" w:color="auto"/>
            </w:tcBorders>
            <w:tcMar>
              <w:top w:w="120" w:type="dxa"/>
              <w:left w:w="120" w:type="dxa"/>
              <w:bottom w:w="120" w:type="dxa"/>
              <w:right w:w="120" w:type="dxa"/>
            </w:tcMar>
            <w:hideMark/>
          </w:tcPr>
          <w:p w14:paraId="68BB9EF9" w14:textId="77777777" w:rsidR="00333201" w:rsidRPr="00333201" w:rsidRDefault="00333201">
            <w:pPr>
              <w:rPr>
                <w:rFonts w:ascii="Arial" w:hAnsi="Arial" w:cs="Arial"/>
                <w:sz w:val="20"/>
                <w:szCs w:val="20"/>
              </w:rPr>
            </w:pPr>
            <w:r w:rsidRPr="00333201">
              <w:rPr>
                <w:rFonts w:ascii="Arial" w:hAnsi="Arial" w:cs="Arial"/>
                <w:sz w:val="20"/>
                <w:szCs w:val="20"/>
              </w:rPr>
              <w:t>Documented</w:t>
            </w:r>
          </w:p>
        </w:tc>
      </w:tr>
      <w:tr w:rsidR="00333201" w:rsidRPr="00333201" w14:paraId="03AD35E4" w14:textId="77777777" w:rsidTr="00026DD5">
        <w:trPr>
          <w:jc w:val="center"/>
        </w:trPr>
        <w:tc>
          <w:tcPr>
            <w:tcW w:w="1272" w:type="pct"/>
            <w:tcMar>
              <w:top w:w="120" w:type="dxa"/>
              <w:left w:w="120" w:type="dxa"/>
              <w:bottom w:w="120" w:type="dxa"/>
              <w:right w:w="120" w:type="dxa"/>
            </w:tcMar>
            <w:hideMark/>
          </w:tcPr>
          <w:p w14:paraId="12D55F01" w14:textId="77777777" w:rsidR="00333201" w:rsidRPr="00333201" w:rsidRDefault="00333201">
            <w:pPr>
              <w:rPr>
                <w:rFonts w:ascii="Arial" w:hAnsi="Arial" w:cs="Arial"/>
                <w:sz w:val="20"/>
                <w:szCs w:val="20"/>
              </w:rPr>
            </w:pPr>
            <w:r w:rsidRPr="00333201">
              <w:rPr>
                <w:rFonts w:ascii="Arial" w:hAnsi="Arial" w:cs="Arial"/>
                <w:sz w:val="20"/>
                <w:szCs w:val="20"/>
              </w:rPr>
              <w:t>Expanded Developmental Periphery</w:t>
            </w:r>
          </w:p>
        </w:tc>
        <w:tc>
          <w:tcPr>
            <w:tcW w:w="1321" w:type="pct"/>
            <w:tcMar>
              <w:top w:w="120" w:type="dxa"/>
              <w:left w:w="120" w:type="dxa"/>
              <w:bottom w:w="120" w:type="dxa"/>
              <w:right w:w="120" w:type="dxa"/>
            </w:tcMar>
            <w:hideMark/>
          </w:tcPr>
          <w:p w14:paraId="1EAA642F" w14:textId="77777777" w:rsidR="00333201" w:rsidRPr="00333201" w:rsidRDefault="00333201">
            <w:pPr>
              <w:rPr>
                <w:rFonts w:ascii="Arial" w:hAnsi="Arial" w:cs="Arial"/>
                <w:sz w:val="20"/>
                <w:szCs w:val="20"/>
              </w:rPr>
            </w:pPr>
            <w:r w:rsidRPr="00333201">
              <w:rPr>
                <w:rFonts w:ascii="Arial" w:hAnsi="Arial" w:cs="Arial"/>
                <w:sz w:val="20"/>
                <w:szCs w:val="20"/>
              </w:rPr>
              <w:t>Incubation, mentoring, venture development, facilities, networking, and ecosystem connections</w:t>
            </w:r>
          </w:p>
        </w:tc>
        <w:tc>
          <w:tcPr>
            <w:tcW w:w="1609" w:type="pct"/>
            <w:tcMar>
              <w:top w:w="120" w:type="dxa"/>
              <w:left w:w="120" w:type="dxa"/>
              <w:bottom w:w="120" w:type="dxa"/>
              <w:right w:w="120" w:type="dxa"/>
            </w:tcMar>
            <w:hideMark/>
          </w:tcPr>
          <w:p w14:paraId="09D2349C" w14:textId="77777777" w:rsidR="00333201" w:rsidRPr="00333201" w:rsidRDefault="00333201">
            <w:pPr>
              <w:rPr>
                <w:rFonts w:ascii="Arial" w:hAnsi="Arial" w:cs="Arial"/>
                <w:sz w:val="20"/>
                <w:szCs w:val="20"/>
              </w:rPr>
            </w:pPr>
            <w:r w:rsidRPr="00333201">
              <w:rPr>
                <w:rFonts w:ascii="Arial" w:hAnsi="Arial" w:cs="Arial"/>
                <w:sz w:val="20"/>
                <w:szCs w:val="20"/>
              </w:rPr>
              <w:t>SEC documents experiential enterprise activities, facilities, networks, training, incubation, and industry/business connections (Xavier University, n.d.-a; Xavier University, 2012).</w:t>
            </w:r>
          </w:p>
        </w:tc>
        <w:tc>
          <w:tcPr>
            <w:tcW w:w="0" w:type="auto"/>
            <w:tcMar>
              <w:top w:w="120" w:type="dxa"/>
              <w:left w:w="120" w:type="dxa"/>
              <w:bottom w:w="120" w:type="dxa"/>
              <w:right w:w="120" w:type="dxa"/>
            </w:tcMar>
            <w:hideMark/>
          </w:tcPr>
          <w:p w14:paraId="6038F21D" w14:textId="77777777" w:rsidR="00333201" w:rsidRPr="00333201" w:rsidRDefault="00333201">
            <w:pPr>
              <w:rPr>
                <w:rFonts w:ascii="Arial" w:hAnsi="Arial" w:cs="Arial"/>
                <w:sz w:val="20"/>
                <w:szCs w:val="20"/>
              </w:rPr>
            </w:pPr>
            <w:r w:rsidRPr="00333201">
              <w:rPr>
                <w:rFonts w:ascii="Arial" w:hAnsi="Arial" w:cs="Arial"/>
                <w:sz w:val="20"/>
                <w:szCs w:val="20"/>
              </w:rPr>
              <w:t>Strongly documented</w:t>
            </w:r>
          </w:p>
        </w:tc>
      </w:tr>
      <w:tr w:rsidR="00333201" w:rsidRPr="00333201" w14:paraId="5E0A2335" w14:textId="77777777" w:rsidTr="00026DD5">
        <w:trPr>
          <w:jc w:val="center"/>
        </w:trPr>
        <w:tc>
          <w:tcPr>
            <w:tcW w:w="1272" w:type="pct"/>
            <w:tcMar>
              <w:top w:w="120" w:type="dxa"/>
              <w:left w:w="120" w:type="dxa"/>
              <w:bottom w:w="120" w:type="dxa"/>
              <w:right w:w="120" w:type="dxa"/>
            </w:tcMar>
            <w:hideMark/>
          </w:tcPr>
          <w:p w14:paraId="26F9248D" w14:textId="77777777" w:rsidR="00333201" w:rsidRPr="00333201" w:rsidRDefault="00333201">
            <w:pPr>
              <w:rPr>
                <w:rFonts w:ascii="Arial" w:hAnsi="Arial" w:cs="Arial"/>
                <w:sz w:val="20"/>
                <w:szCs w:val="20"/>
              </w:rPr>
            </w:pPr>
            <w:r w:rsidRPr="00333201">
              <w:rPr>
                <w:rFonts w:ascii="Arial" w:hAnsi="Arial" w:cs="Arial"/>
                <w:sz w:val="20"/>
                <w:szCs w:val="20"/>
              </w:rPr>
              <w:t>Diversified Funding Base</w:t>
            </w:r>
          </w:p>
        </w:tc>
        <w:tc>
          <w:tcPr>
            <w:tcW w:w="1321" w:type="pct"/>
            <w:tcMar>
              <w:top w:w="120" w:type="dxa"/>
              <w:left w:w="120" w:type="dxa"/>
              <w:bottom w:w="120" w:type="dxa"/>
              <w:right w:w="120" w:type="dxa"/>
            </w:tcMar>
            <w:hideMark/>
          </w:tcPr>
          <w:p w14:paraId="3EFBFBF5" w14:textId="77777777" w:rsidR="00333201" w:rsidRPr="00333201" w:rsidRDefault="00333201">
            <w:pPr>
              <w:rPr>
                <w:rFonts w:ascii="Arial" w:hAnsi="Arial" w:cs="Arial"/>
                <w:sz w:val="20"/>
                <w:szCs w:val="20"/>
              </w:rPr>
            </w:pPr>
            <w:r w:rsidRPr="00333201">
              <w:rPr>
                <w:rFonts w:ascii="Arial" w:hAnsi="Arial" w:cs="Arial"/>
                <w:sz w:val="20"/>
                <w:szCs w:val="20"/>
              </w:rPr>
              <w:t>Direct grants, prizes, fellowships, venture funding, or structured access to external finance</w:t>
            </w:r>
          </w:p>
        </w:tc>
        <w:tc>
          <w:tcPr>
            <w:tcW w:w="1609" w:type="pct"/>
            <w:tcMar>
              <w:top w:w="120" w:type="dxa"/>
              <w:left w:w="120" w:type="dxa"/>
              <w:bottom w:w="120" w:type="dxa"/>
              <w:right w:w="120" w:type="dxa"/>
            </w:tcMar>
            <w:hideMark/>
          </w:tcPr>
          <w:p w14:paraId="63FDAB76" w14:textId="77777777" w:rsidR="00333201" w:rsidRPr="00333201" w:rsidRDefault="00333201">
            <w:pPr>
              <w:rPr>
                <w:rFonts w:ascii="Arial" w:hAnsi="Arial" w:cs="Arial"/>
                <w:sz w:val="20"/>
                <w:szCs w:val="20"/>
              </w:rPr>
            </w:pPr>
            <w:r w:rsidRPr="00333201">
              <w:rPr>
                <w:rFonts w:ascii="Arial" w:hAnsi="Arial" w:cs="Arial"/>
                <w:sz w:val="20"/>
                <w:szCs w:val="20"/>
              </w:rPr>
              <w:t>Entrepreneurship Loan Fund (ELF) is documented in Xavier’s Student Entrepreneurship Program materials (Xavier University, n.d.-b).</w:t>
            </w:r>
          </w:p>
        </w:tc>
        <w:tc>
          <w:tcPr>
            <w:tcW w:w="0" w:type="auto"/>
            <w:tcMar>
              <w:top w:w="120" w:type="dxa"/>
              <w:left w:w="120" w:type="dxa"/>
              <w:bottom w:w="120" w:type="dxa"/>
              <w:right w:w="120" w:type="dxa"/>
            </w:tcMar>
            <w:hideMark/>
          </w:tcPr>
          <w:p w14:paraId="15A7B652" w14:textId="77777777" w:rsidR="00333201" w:rsidRPr="00333201" w:rsidRDefault="00333201">
            <w:pPr>
              <w:rPr>
                <w:rFonts w:ascii="Arial" w:hAnsi="Arial" w:cs="Arial"/>
                <w:sz w:val="20"/>
                <w:szCs w:val="20"/>
              </w:rPr>
            </w:pPr>
            <w:r w:rsidRPr="00333201">
              <w:rPr>
                <w:rFonts w:ascii="Arial" w:hAnsi="Arial" w:cs="Arial"/>
                <w:sz w:val="20"/>
                <w:szCs w:val="20"/>
              </w:rPr>
              <w:t>Partially documented</w:t>
            </w:r>
          </w:p>
        </w:tc>
      </w:tr>
      <w:tr w:rsidR="00333201" w:rsidRPr="00333201" w14:paraId="1F4CD70B" w14:textId="77777777" w:rsidTr="00026DD5">
        <w:trPr>
          <w:jc w:val="center"/>
        </w:trPr>
        <w:tc>
          <w:tcPr>
            <w:tcW w:w="1272" w:type="pct"/>
            <w:tcMar>
              <w:top w:w="120" w:type="dxa"/>
              <w:left w:w="120" w:type="dxa"/>
              <w:bottom w:w="120" w:type="dxa"/>
              <w:right w:w="120" w:type="dxa"/>
            </w:tcMar>
            <w:hideMark/>
          </w:tcPr>
          <w:p w14:paraId="45F583AB" w14:textId="77777777" w:rsidR="00333201" w:rsidRPr="00333201" w:rsidRDefault="00333201">
            <w:pPr>
              <w:rPr>
                <w:rFonts w:ascii="Arial" w:hAnsi="Arial" w:cs="Arial"/>
                <w:sz w:val="20"/>
                <w:szCs w:val="20"/>
              </w:rPr>
            </w:pPr>
            <w:r w:rsidRPr="00333201">
              <w:rPr>
                <w:rFonts w:ascii="Arial" w:hAnsi="Arial" w:cs="Arial"/>
                <w:sz w:val="20"/>
                <w:szCs w:val="20"/>
              </w:rPr>
              <w:t>Stimulated Academic Heartland</w:t>
            </w:r>
          </w:p>
        </w:tc>
        <w:tc>
          <w:tcPr>
            <w:tcW w:w="1321" w:type="pct"/>
            <w:tcMar>
              <w:top w:w="120" w:type="dxa"/>
              <w:left w:w="120" w:type="dxa"/>
              <w:bottom w:w="120" w:type="dxa"/>
              <w:right w:w="120" w:type="dxa"/>
            </w:tcMar>
            <w:hideMark/>
          </w:tcPr>
          <w:p w14:paraId="76C901AC" w14:textId="77777777" w:rsidR="00333201" w:rsidRPr="00333201" w:rsidRDefault="00333201">
            <w:pPr>
              <w:rPr>
                <w:rFonts w:ascii="Arial" w:hAnsi="Arial" w:cs="Arial"/>
                <w:sz w:val="20"/>
                <w:szCs w:val="20"/>
              </w:rPr>
            </w:pPr>
            <w:r w:rsidRPr="00333201">
              <w:rPr>
                <w:rFonts w:ascii="Arial" w:hAnsi="Arial" w:cs="Arial"/>
                <w:sz w:val="20"/>
                <w:szCs w:val="20"/>
              </w:rPr>
              <w:t>Experiential learning integrated with venture development</w:t>
            </w:r>
          </w:p>
        </w:tc>
        <w:tc>
          <w:tcPr>
            <w:tcW w:w="1609" w:type="pct"/>
            <w:tcMar>
              <w:top w:w="120" w:type="dxa"/>
              <w:left w:w="120" w:type="dxa"/>
              <w:bottom w:w="120" w:type="dxa"/>
              <w:right w:w="120" w:type="dxa"/>
            </w:tcMar>
            <w:hideMark/>
          </w:tcPr>
          <w:p w14:paraId="1852196D" w14:textId="77777777" w:rsidR="00333201" w:rsidRPr="00333201" w:rsidRDefault="00333201">
            <w:pPr>
              <w:rPr>
                <w:rFonts w:ascii="Arial" w:hAnsi="Arial" w:cs="Arial"/>
                <w:sz w:val="20"/>
                <w:szCs w:val="20"/>
              </w:rPr>
            </w:pPr>
            <w:r w:rsidRPr="00333201">
              <w:rPr>
                <w:rFonts w:ascii="Arial" w:hAnsi="Arial" w:cs="Arial"/>
                <w:sz w:val="20"/>
                <w:szCs w:val="20"/>
              </w:rPr>
              <w:t>SEC explicitly connects academic knowledge with practical experience and learning-by-doing; entrepreneurship programs provide experiential learning (Xavier University, n.d.-a).</w:t>
            </w:r>
          </w:p>
        </w:tc>
        <w:tc>
          <w:tcPr>
            <w:tcW w:w="0" w:type="auto"/>
            <w:tcMar>
              <w:top w:w="120" w:type="dxa"/>
              <w:left w:w="120" w:type="dxa"/>
              <w:bottom w:w="120" w:type="dxa"/>
              <w:right w:w="120" w:type="dxa"/>
            </w:tcMar>
            <w:hideMark/>
          </w:tcPr>
          <w:p w14:paraId="20A61A54" w14:textId="77777777" w:rsidR="00333201" w:rsidRPr="00333201" w:rsidRDefault="00333201">
            <w:pPr>
              <w:rPr>
                <w:rFonts w:ascii="Arial" w:hAnsi="Arial" w:cs="Arial"/>
                <w:sz w:val="20"/>
                <w:szCs w:val="20"/>
              </w:rPr>
            </w:pPr>
            <w:r w:rsidRPr="00333201">
              <w:rPr>
                <w:rFonts w:ascii="Arial" w:hAnsi="Arial" w:cs="Arial"/>
                <w:sz w:val="20"/>
                <w:szCs w:val="20"/>
              </w:rPr>
              <w:t>Strongly documented</w:t>
            </w:r>
          </w:p>
        </w:tc>
      </w:tr>
      <w:tr w:rsidR="00333201" w:rsidRPr="00333201" w14:paraId="0E4CE062" w14:textId="77777777" w:rsidTr="00026DD5">
        <w:trPr>
          <w:jc w:val="center"/>
        </w:trPr>
        <w:tc>
          <w:tcPr>
            <w:tcW w:w="1272" w:type="pct"/>
            <w:tcBorders>
              <w:bottom w:val="single" w:sz="4" w:space="0" w:color="auto"/>
            </w:tcBorders>
            <w:tcMar>
              <w:top w:w="120" w:type="dxa"/>
              <w:left w:w="120" w:type="dxa"/>
              <w:bottom w:w="120" w:type="dxa"/>
              <w:right w:w="120" w:type="dxa"/>
            </w:tcMar>
            <w:hideMark/>
          </w:tcPr>
          <w:p w14:paraId="61E28242" w14:textId="77777777" w:rsidR="00333201" w:rsidRPr="00333201" w:rsidRDefault="00333201">
            <w:pPr>
              <w:rPr>
                <w:rFonts w:ascii="Arial" w:hAnsi="Arial" w:cs="Arial"/>
                <w:sz w:val="20"/>
                <w:szCs w:val="20"/>
              </w:rPr>
            </w:pPr>
            <w:r w:rsidRPr="00333201">
              <w:rPr>
                <w:rFonts w:ascii="Arial" w:hAnsi="Arial" w:cs="Arial"/>
                <w:sz w:val="20"/>
                <w:szCs w:val="20"/>
              </w:rPr>
              <w:t>Integrated Entrepreneurial Culture</w:t>
            </w:r>
          </w:p>
        </w:tc>
        <w:tc>
          <w:tcPr>
            <w:tcW w:w="1321" w:type="pct"/>
            <w:tcBorders>
              <w:bottom w:val="single" w:sz="4" w:space="0" w:color="auto"/>
            </w:tcBorders>
            <w:tcMar>
              <w:top w:w="120" w:type="dxa"/>
              <w:left w:w="120" w:type="dxa"/>
              <w:bottom w:w="120" w:type="dxa"/>
              <w:right w:w="120" w:type="dxa"/>
            </w:tcMar>
            <w:hideMark/>
          </w:tcPr>
          <w:p w14:paraId="49ABFFD5" w14:textId="77777777" w:rsidR="00333201" w:rsidRPr="00333201" w:rsidRDefault="00333201">
            <w:pPr>
              <w:rPr>
                <w:rFonts w:ascii="Arial" w:hAnsi="Arial" w:cs="Arial"/>
                <w:sz w:val="20"/>
                <w:szCs w:val="20"/>
              </w:rPr>
            </w:pPr>
            <w:r w:rsidRPr="00333201">
              <w:rPr>
                <w:rFonts w:ascii="Arial" w:hAnsi="Arial" w:cs="Arial"/>
                <w:sz w:val="20"/>
                <w:szCs w:val="20"/>
              </w:rPr>
              <w:t>Entrepreneurial communities, networks, interaction, and enterprise spaces</w:t>
            </w:r>
          </w:p>
        </w:tc>
        <w:tc>
          <w:tcPr>
            <w:tcW w:w="1609" w:type="pct"/>
            <w:tcBorders>
              <w:bottom w:val="single" w:sz="4" w:space="0" w:color="auto"/>
            </w:tcBorders>
            <w:tcMar>
              <w:top w:w="120" w:type="dxa"/>
              <w:left w:w="120" w:type="dxa"/>
              <w:bottom w:w="120" w:type="dxa"/>
              <w:right w:w="120" w:type="dxa"/>
            </w:tcMar>
            <w:hideMark/>
          </w:tcPr>
          <w:p w14:paraId="668270C2" w14:textId="77777777" w:rsidR="00333201" w:rsidRPr="00333201" w:rsidRDefault="00333201">
            <w:pPr>
              <w:rPr>
                <w:rFonts w:ascii="Arial" w:hAnsi="Arial" w:cs="Arial"/>
                <w:sz w:val="20"/>
                <w:szCs w:val="20"/>
              </w:rPr>
            </w:pPr>
            <w:r w:rsidRPr="00333201">
              <w:rPr>
                <w:rFonts w:ascii="Arial" w:hAnsi="Arial" w:cs="Arial"/>
                <w:sz w:val="20"/>
                <w:szCs w:val="20"/>
              </w:rPr>
              <w:t>SEC describes itself as a “hub of innovation and creativity” and emphasizes networks, entrepreneurial activities, and collaboration (Xavier University, n.d.-a).</w:t>
            </w:r>
          </w:p>
        </w:tc>
        <w:tc>
          <w:tcPr>
            <w:tcW w:w="0" w:type="auto"/>
            <w:tcBorders>
              <w:bottom w:val="single" w:sz="4" w:space="0" w:color="auto"/>
            </w:tcBorders>
            <w:tcMar>
              <w:top w:w="120" w:type="dxa"/>
              <w:left w:w="120" w:type="dxa"/>
              <w:bottom w:w="120" w:type="dxa"/>
              <w:right w:w="120" w:type="dxa"/>
            </w:tcMar>
            <w:hideMark/>
          </w:tcPr>
          <w:p w14:paraId="352CAF46" w14:textId="77777777" w:rsidR="00333201" w:rsidRPr="00333201" w:rsidRDefault="00333201">
            <w:pPr>
              <w:rPr>
                <w:rFonts w:ascii="Arial" w:hAnsi="Arial" w:cs="Arial"/>
                <w:sz w:val="20"/>
                <w:szCs w:val="20"/>
              </w:rPr>
            </w:pPr>
            <w:r w:rsidRPr="00333201">
              <w:rPr>
                <w:rFonts w:ascii="Arial" w:hAnsi="Arial" w:cs="Arial"/>
                <w:sz w:val="20"/>
                <w:szCs w:val="20"/>
              </w:rPr>
              <w:t>Documented</w:t>
            </w:r>
          </w:p>
        </w:tc>
      </w:tr>
    </w:tbl>
    <w:p w14:paraId="24B210A4" w14:textId="60798392" w:rsidR="00333201" w:rsidRDefault="00803527" w:rsidP="00A643A7">
      <w:pPr>
        <w:rPr>
          <w:rFonts w:ascii="Arial" w:hAnsi="Arial" w:cs="Arial"/>
          <w:sz w:val="18"/>
          <w:szCs w:val="18"/>
        </w:rPr>
      </w:pPr>
      <w:r w:rsidRPr="00803527">
        <w:rPr>
          <w:rStyle w:val="Emphasis"/>
          <w:rFonts w:ascii="Arial" w:hAnsi="Arial" w:cs="Arial"/>
          <w:sz w:val="18"/>
          <w:szCs w:val="18"/>
        </w:rPr>
        <w:t>Note.</w:t>
      </w:r>
      <w:r w:rsidRPr="00803527">
        <w:rPr>
          <w:rFonts w:ascii="Arial" w:hAnsi="Arial" w:cs="Arial"/>
          <w:sz w:val="18"/>
          <w:szCs w:val="18"/>
        </w:rPr>
        <w:t xml:space="preserve"> </w:t>
      </w:r>
      <w:r w:rsidRPr="00803527">
        <w:rPr>
          <w:rFonts w:ascii="Arial" w:hAnsi="Arial" w:cs="Arial"/>
          <w:i/>
          <w:iCs/>
          <w:sz w:val="18"/>
          <w:szCs w:val="18"/>
        </w:rPr>
        <w:t>Assessments indicate the extent of publicly documented evidence and do not represent institutional performance ratings. Evidence was drawn from Xavier University’s Student Entrepreneurship Center webpage, Student Entrepreneurship Program webpage, and official historical announcements (Xavier University, 2011, 2012, n.d.-a, n.d.-b).</w:t>
      </w:r>
    </w:p>
    <w:p w14:paraId="3F11BC5B" w14:textId="77777777" w:rsidR="00803527" w:rsidRPr="00803527" w:rsidRDefault="00803527" w:rsidP="00A643A7">
      <w:pPr>
        <w:rPr>
          <w:rFonts w:ascii="Arial" w:hAnsi="Arial" w:cs="Arial"/>
          <w:sz w:val="18"/>
          <w:szCs w:val="18"/>
        </w:rPr>
      </w:pPr>
    </w:p>
    <w:p w14:paraId="35D860C0" w14:textId="77777777" w:rsidR="00964D0D" w:rsidRPr="00964D0D" w:rsidRDefault="00964D0D" w:rsidP="00964D0D">
      <w:r w:rsidRPr="00964D0D">
        <w:rPr>
          <w:rFonts w:ascii="Arial" w:hAnsi="Arial" w:cs="Arial"/>
          <w:color w:val="000000"/>
          <w:sz w:val="20"/>
          <w:szCs w:val="20"/>
        </w:rPr>
        <w:t>The comparison shows that Xavier has publicly documented evidence corresponding to all five Clark pathways. This is consistent with recent research emphasizing that student entrepreneurship support is best understood as a combination of interconnected institutional, educational, financial, spatial, and relational mechanisms rather than a single intervention (Astuty et al., 2022; Ismail et al., 2024).</w:t>
      </w:r>
    </w:p>
    <w:p w14:paraId="49047373" w14:textId="60F3BC45" w:rsidR="00964D0D" w:rsidRPr="00964D0D" w:rsidRDefault="00964D0D" w:rsidP="00964D0D">
      <w:r w:rsidRPr="00964D0D">
        <w:rPr>
          <w:rFonts w:ascii="Arial" w:hAnsi="Arial" w:cs="Arial"/>
          <w:color w:val="000000"/>
          <w:sz w:val="20"/>
          <w:szCs w:val="20"/>
        </w:rPr>
        <w:t xml:space="preserve">The strengthened steering core is documented by the SEC's formal institutional position within the School of Business and Management. The current SEC description also identifies collaboration with curricular departments, other university units, industry partners, communities, and other higher education </w:t>
      </w:r>
      <w:r w:rsidRPr="004C6910">
        <w:rPr>
          <w:rFonts w:ascii="Arial" w:hAnsi="Arial" w:cs="Arial"/>
          <w:color w:val="000000"/>
          <w:sz w:val="20"/>
          <w:szCs w:val="20"/>
        </w:rPr>
        <w:t>institutions</w:t>
      </w:r>
      <w:r w:rsidR="004C6910" w:rsidRPr="004C6910">
        <w:rPr>
          <w:rFonts w:ascii="Arial" w:hAnsi="Arial" w:cs="Arial"/>
          <w:color w:val="000000"/>
          <w:sz w:val="20"/>
          <w:szCs w:val="20"/>
        </w:rPr>
        <w:t xml:space="preserve"> </w:t>
      </w:r>
      <w:r w:rsidR="004C6910" w:rsidRPr="004C6910">
        <w:rPr>
          <w:rFonts w:ascii="Arial" w:hAnsi="Arial" w:cs="Arial"/>
          <w:sz w:val="20"/>
          <w:szCs w:val="20"/>
        </w:rPr>
        <w:t>(Xavier University, n.d.-a)</w:t>
      </w:r>
      <w:r w:rsidRPr="004C6910">
        <w:rPr>
          <w:rFonts w:ascii="Arial" w:hAnsi="Arial" w:cs="Arial"/>
          <w:color w:val="000000"/>
          <w:sz w:val="20"/>
          <w:szCs w:val="20"/>
        </w:rPr>
        <w:t>. This</w:t>
      </w:r>
      <w:r w:rsidRPr="00964D0D">
        <w:rPr>
          <w:rFonts w:ascii="Arial" w:hAnsi="Arial" w:cs="Arial"/>
          <w:color w:val="000000"/>
          <w:sz w:val="20"/>
          <w:szCs w:val="20"/>
        </w:rPr>
        <w:t xml:space="preserve"> provides evidence of institutional ownership and coordination. The finding corresponds with Clark's (1998) steering-core pathway and with Abreu and Grinevich's (2024) observation that entrepreneurial university activity can be organized through multiple strategies and institutional arrangements rather than a single organizational structure.</w:t>
      </w:r>
    </w:p>
    <w:p w14:paraId="4ACDEA7A" w14:textId="03DABAD2" w:rsidR="00964D0D" w:rsidRPr="00964D0D" w:rsidRDefault="00964D0D" w:rsidP="00964D0D">
      <w:r w:rsidRPr="00964D0D">
        <w:rPr>
          <w:rFonts w:ascii="Arial" w:hAnsi="Arial" w:cs="Arial"/>
          <w:color w:val="000000"/>
          <w:sz w:val="20"/>
          <w:szCs w:val="20"/>
        </w:rPr>
        <w:t xml:space="preserve">The expanded developmental periphery is the </w:t>
      </w:r>
      <w:r w:rsidR="008A76A9">
        <w:rPr>
          <w:rFonts w:ascii="Arial" w:hAnsi="Arial" w:cs="Arial"/>
          <w:color w:val="000000"/>
          <w:sz w:val="20"/>
          <w:szCs w:val="20"/>
        </w:rPr>
        <w:t xml:space="preserve">most </w:t>
      </w:r>
      <w:r w:rsidRPr="00964D0D">
        <w:rPr>
          <w:rFonts w:ascii="Arial" w:hAnsi="Arial" w:cs="Arial"/>
          <w:color w:val="000000"/>
          <w:sz w:val="20"/>
          <w:szCs w:val="20"/>
        </w:rPr>
        <w:t>strong</w:t>
      </w:r>
      <w:r w:rsidR="008A76A9">
        <w:rPr>
          <w:rFonts w:ascii="Arial" w:hAnsi="Arial" w:cs="Arial"/>
          <w:color w:val="000000"/>
          <w:sz w:val="20"/>
          <w:szCs w:val="20"/>
        </w:rPr>
        <w:t>ly documented</w:t>
      </w:r>
      <w:r w:rsidRPr="00964D0D">
        <w:rPr>
          <w:rFonts w:ascii="Arial" w:hAnsi="Arial" w:cs="Arial"/>
          <w:color w:val="000000"/>
          <w:sz w:val="20"/>
          <w:szCs w:val="20"/>
        </w:rPr>
        <w:t xml:space="preserve"> area in the Xavier documentary evidence. The current SEC description identifies practical experience, enterprising activities, facilities, networks, experiential entrepreneurship programs, and opportunities to develop entrepreneurial </w:t>
      </w:r>
      <w:r w:rsidRPr="009B6B47">
        <w:rPr>
          <w:rFonts w:ascii="Arial" w:hAnsi="Arial" w:cs="Arial"/>
          <w:color w:val="000000"/>
          <w:sz w:val="20"/>
          <w:szCs w:val="20"/>
        </w:rPr>
        <w:t>capabilities</w:t>
      </w:r>
      <w:r w:rsidR="009B6B47" w:rsidRPr="009B6B47">
        <w:rPr>
          <w:rFonts w:ascii="Arial" w:hAnsi="Arial" w:cs="Arial"/>
          <w:color w:val="000000"/>
          <w:sz w:val="20"/>
          <w:szCs w:val="20"/>
        </w:rPr>
        <w:t xml:space="preserve"> </w:t>
      </w:r>
      <w:r w:rsidR="009B6B47" w:rsidRPr="009B6B47">
        <w:rPr>
          <w:rFonts w:ascii="Arial" w:hAnsi="Arial" w:cs="Arial"/>
          <w:sz w:val="20"/>
          <w:szCs w:val="20"/>
        </w:rPr>
        <w:t>(Xavier University, n.d.-a)</w:t>
      </w:r>
      <w:r w:rsidRPr="009B6B47">
        <w:rPr>
          <w:rFonts w:ascii="Arial" w:hAnsi="Arial" w:cs="Arial"/>
          <w:color w:val="000000"/>
          <w:sz w:val="20"/>
          <w:szCs w:val="20"/>
        </w:rPr>
        <w:t>.</w:t>
      </w:r>
      <w:r w:rsidRPr="00964D0D">
        <w:rPr>
          <w:rFonts w:ascii="Arial" w:hAnsi="Arial" w:cs="Arial"/>
          <w:color w:val="000000"/>
          <w:sz w:val="20"/>
          <w:szCs w:val="20"/>
        </w:rPr>
        <w:t xml:space="preserve"> Earlier Student Entrepreneurship Program documentation further identifies business incubation, physical store spaces, the Entrepreneurship Loan Fund, marketing and managerial assistance, industry exposure, business opportunities, and entrepreneurship </w:t>
      </w:r>
      <w:r w:rsidRPr="009B6B47">
        <w:rPr>
          <w:rFonts w:ascii="Arial" w:hAnsi="Arial" w:cs="Arial"/>
          <w:color w:val="000000"/>
          <w:sz w:val="20"/>
          <w:szCs w:val="20"/>
        </w:rPr>
        <w:t>training</w:t>
      </w:r>
      <w:r w:rsidR="009B6B47" w:rsidRPr="009B6B47">
        <w:rPr>
          <w:rFonts w:ascii="Arial" w:hAnsi="Arial" w:cs="Arial"/>
          <w:color w:val="000000"/>
          <w:sz w:val="20"/>
          <w:szCs w:val="20"/>
        </w:rPr>
        <w:t xml:space="preserve"> </w:t>
      </w:r>
      <w:r w:rsidR="009B6B47" w:rsidRPr="009B6B47">
        <w:rPr>
          <w:rFonts w:ascii="Arial" w:hAnsi="Arial" w:cs="Arial"/>
          <w:sz w:val="20"/>
          <w:szCs w:val="20"/>
        </w:rPr>
        <w:t>(Xavier University, n.d.-b)</w:t>
      </w:r>
      <w:r w:rsidRPr="009B6B47">
        <w:rPr>
          <w:rFonts w:ascii="Arial" w:hAnsi="Arial" w:cs="Arial"/>
          <w:color w:val="000000"/>
          <w:sz w:val="20"/>
          <w:szCs w:val="20"/>
        </w:rPr>
        <w:t>.</w:t>
      </w:r>
    </w:p>
    <w:p w14:paraId="58A93325" w14:textId="77777777" w:rsidR="00964D0D" w:rsidRPr="00964D0D" w:rsidRDefault="00964D0D" w:rsidP="00964D0D">
      <w:r w:rsidRPr="00964D0D">
        <w:rPr>
          <w:rFonts w:ascii="Arial" w:hAnsi="Arial" w:cs="Arial"/>
          <w:color w:val="000000"/>
          <w:sz w:val="20"/>
          <w:szCs w:val="20"/>
        </w:rPr>
        <w:t>The classification of this pathway as strongly documented is therefore based on the breadth of mechanisms documented across Xavier's institutional materials rather than on an assessment of their effectiveness. This distinction is important because recent research similarly emphasizes that support for student entrepreneurship is multidimensional. Ismail et al. (2024), for example, identified creative spaces, expert advice, top-management support, funding, and external collaboration as important components of a university entrepreneurship support ecosystem.</w:t>
      </w:r>
    </w:p>
    <w:p w14:paraId="6E1BF0B3" w14:textId="63A06057" w:rsidR="00964D0D" w:rsidRPr="00964D0D" w:rsidRDefault="00964D0D" w:rsidP="00964D0D">
      <w:r w:rsidRPr="00964D0D">
        <w:rPr>
          <w:rFonts w:ascii="Arial" w:hAnsi="Arial" w:cs="Arial"/>
          <w:color w:val="000000"/>
          <w:sz w:val="20"/>
          <w:szCs w:val="20"/>
        </w:rPr>
        <w:t xml:space="preserve">The stimulated academic heartland is also strongly documented. Xavier's current SEC </w:t>
      </w:r>
      <w:r w:rsidRPr="004C6910">
        <w:rPr>
          <w:rFonts w:ascii="Arial" w:hAnsi="Arial" w:cs="Arial"/>
          <w:color w:val="000000"/>
          <w:sz w:val="20"/>
          <w:szCs w:val="20"/>
        </w:rPr>
        <w:t>description explicitly connects academic knowledge with practical experience and states that its entrepreneurship programs provide experiential learning for undergraduate students. It further emphasizes integrating learning and doing and developing actual skills needed to plan, build, and develop enterprises</w:t>
      </w:r>
      <w:r w:rsidR="004C6910" w:rsidRPr="004C6910">
        <w:rPr>
          <w:rFonts w:ascii="Arial" w:hAnsi="Arial" w:cs="Arial"/>
          <w:color w:val="000000"/>
          <w:sz w:val="20"/>
          <w:szCs w:val="20"/>
        </w:rPr>
        <w:t xml:space="preserve"> </w:t>
      </w:r>
      <w:r w:rsidR="004C6910" w:rsidRPr="004C6910">
        <w:rPr>
          <w:rFonts w:ascii="Arial" w:hAnsi="Arial" w:cs="Arial"/>
          <w:sz w:val="20"/>
          <w:szCs w:val="20"/>
        </w:rPr>
        <w:t>(Xavier University, n.d.-a).</w:t>
      </w:r>
    </w:p>
    <w:p w14:paraId="40EDF033" w14:textId="77777777" w:rsidR="00964D0D" w:rsidRPr="00964D0D" w:rsidRDefault="00964D0D" w:rsidP="00964D0D">
      <w:r w:rsidRPr="00964D0D">
        <w:rPr>
          <w:rFonts w:ascii="Arial" w:hAnsi="Arial" w:cs="Arial"/>
          <w:color w:val="000000"/>
          <w:sz w:val="20"/>
          <w:szCs w:val="20"/>
        </w:rPr>
        <w:t>This evidence is consistent with contemporary entrepreneurship education research. Carpenter and Wilson (2022) identify experiential and extracurricular approaches as important components of entrepreneurship education in higher education, while Motta and Galina (2023) emphasize learning-by-doing as an important approach to developing entrepreneurial skills and competencies. Sofiullah et al. (2023) provide empirical support for interactive entrepreneurial learning through their quasi-experimental study of a startup simulation. These studies help explain why Xavier's documented emphasis on practical experience and experiential learning is analytically relevant rather than merely descriptive.</w:t>
      </w:r>
    </w:p>
    <w:p w14:paraId="0324A108" w14:textId="77777777" w:rsidR="00964D0D" w:rsidRPr="00964D0D" w:rsidRDefault="00964D0D" w:rsidP="00964D0D">
      <w:r w:rsidRPr="00964D0D">
        <w:rPr>
          <w:rFonts w:ascii="Arial" w:hAnsi="Arial" w:cs="Arial"/>
          <w:color w:val="000000"/>
          <w:sz w:val="20"/>
          <w:szCs w:val="20"/>
        </w:rPr>
        <w:t>The integrated entrepreneurial culture is documented in the SEC's description of itself as a "hub of innovation and creativity" that brings together young entrepreneurs, develops networks, and collaborates with industry, communities, other university units, and other higher education institutions. These features correspond with the broader student entrepreneurship ecosystem perspective, in which relationships and interaction among students, universities, and external entrepreneurial actors are important components of entrepreneurship support (Meyskens et al., 2022; Rocha et al., 2024).</w:t>
      </w:r>
    </w:p>
    <w:p w14:paraId="2F4274D7" w14:textId="6C77DFC5" w:rsidR="00964D0D" w:rsidRPr="00964D0D" w:rsidRDefault="00964D0D" w:rsidP="00964D0D">
      <w:r w:rsidRPr="004C6910">
        <w:rPr>
          <w:rFonts w:ascii="Arial" w:hAnsi="Arial" w:cs="Arial"/>
          <w:color w:val="000000"/>
          <w:sz w:val="20"/>
          <w:szCs w:val="20"/>
        </w:rPr>
        <w:t>The diversified funding base requires the most cautious interpretation. Xavier's Student Entrepreneurship Program documentation explicitly identifies the Entrepreneurship Loan Fund (ELF) as one component of its business-incubation platform</w:t>
      </w:r>
      <w:r w:rsidR="004C6910" w:rsidRPr="004C6910">
        <w:rPr>
          <w:rFonts w:ascii="Arial" w:hAnsi="Arial" w:cs="Arial"/>
          <w:color w:val="000000"/>
          <w:sz w:val="20"/>
          <w:szCs w:val="20"/>
        </w:rPr>
        <w:t xml:space="preserve"> </w:t>
      </w:r>
      <w:r w:rsidR="004C6910" w:rsidRPr="004C6910">
        <w:rPr>
          <w:rFonts w:ascii="Arial" w:hAnsi="Arial" w:cs="Arial"/>
          <w:sz w:val="20"/>
          <w:szCs w:val="20"/>
        </w:rPr>
        <w:t>(Xavier University, n.d.-b)</w:t>
      </w:r>
      <w:r w:rsidRPr="004C6910">
        <w:rPr>
          <w:rFonts w:ascii="Arial" w:hAnsi="Arial" w:cs="Arial"/>
          <w:color w:val="000000"/>
          <w:sz w:val="20"/>
          <w:szCs w:val="20"/>
        </w:rPr>
        <w:t>. This</w:t>
      </w:r>
      <w:r w:rsidRPr="00964D0D">
        <w:rPr>
          <w:rFonts w:ascii="Arial" w:hAnsi="Arial" w:cs="Arial"/>
          <w:color w:val="000000"/>
          <w:sz w:val="20"/>
          <w:szCs w:val="20"/>
        </w:rPr>
        <w:t xml:space="preserve"> provides clear evidence of a student-oriented financial mechanism. However, the public </w:t>
      </w:r>
      <w:r w:rsidRPr="00964D0D">
        <w:rPr>
          <w:rFonts w:ascii="Arial" w:hAnsi="Arial" w:cs="Arial"/>
          <w:color w:val="000000"/>
          <w:sz w:val="20"/>
          <w:szCs w:val="20"/>
        </w:rPr>
        <w:lastRenderedPageBreak/>
        <w:t>documentation examined for this study does not establish a broader portfolio of grants, prototype funds, fellowships, venture awards, or comparable financing mechanisms, as observed at some benchmark universities.</w:t>
      </w:r>
    </w:p>
    <w:p w14:paraId="23893A25" w14:textId="77777777" w:rsidR="00964D0D" w:rsidRPr="00964D0D" w:rsidRDefault="00964D0D" w:rsidP="00964D0D">
      <w:r w:rsidRPr="00964D0D">
        <w:rPr>
          <w:rFonts w:ascii="Arial" w:hAnsi="Arial" w:cs="Arial"/>
          <w:color w:val="000000"/>
          <w:sz w:val="20"/>
          <w:szCs w:val="20"/>
        </w:rPr>
        <w:t>The pathway is therefore classified as partially documented. This classification does not mean that Xavier lacks additional funding mechanisms. Rather, it means that the available public documentary evidence is insufficient to establish their broader scope. This distinction is particularly important in documentary research because the absence of publicly accessible evidence cannot be treated as proof of institutional absence.</w:t>
      </w:r>
    </w:p>
    <w:p w14:paraId="62886658" w14:textId="5ED2499A" w:rsidR="00964D0D" w:rsidRPr="009B6B47" w:rsidRDefault="00964D0D" w:rsidP="00964D0D">
      <w:pPr>
        <w:rPr>
          <w:rFonts w:ascii="Arial" w:hAnsi="Arial" w:cs="Arial"/>
          <w:sz w:val="20"/>
          <w:szCs w:val="20"/>
        </w:rPr>
      </w:pPr>
      <w:r w:rsidRPr="00964D0D">
        <w:rPr>
          <w:rFonts w:ascii="Arial" w:hAnsi="Arial" w:cs="Arial"/>
          <w:color w:val="000000"/>
          <w:sz w:val="20"/>
          <w:szCs w:val="20"/>
        </w:rPr>
        <w:t xml:space="preserve">The historical record provides additional evidence that Xavier has previously integrated financial support with practical enterprise development. In 2011, Xavier University reported that its planned Xavier University–Pryce Center for Entrepreneurship would operate as a student business incubator and that accepted student business ideas would receive seed capital, consultancy and advisory services, marketing assistance, technology development, and business </w:t>
      </w:r>
      <w:r w:rsidRPr="009B6B47">
        <w:rPr>
          <w:rFonts w:ascii="Arial" w:hAnsi="Arial" w:cs="Arial"/>
          <w:color w:val="000000"/>
          <w:sz w:val="20"/>
          <w:szCs w:val="20"/>
        </w:rPr>
        <w:t>linkages</w:t>
      </w:r>
      <w:r w:rsidR="009B6B47" w:rsidRPr="009B6B47">
        <w:rPr>
          <w:rFonts w:ascii="Arial" w:hAnsi="Arial" w:cs="Arial"/>
          <w:color w:val="000000"/>
          <w:sz w:val="20"/>
          <w:szCs w:val="20"/>
        </w:rPr>
        <w:t xml:space="preserve"> </w:t>
      </w:r>
      <w:r w:rsidR="009B6B47" w:rsidRPr="009B6B47">
        <w:rPr>
          <w:rFonts w:ascii="Arial" w:hAnsi="Arial" w:cs="Arial"/>
          <w:sz w:val="20"/>
          <w:szCs w:val="20"/>
        </w:rPr>
        <w:t>(Xavier University, 2011)</w:t>
      </w:r>
      <w:r w:rsidRPr="009B6B47">
        <w:rPr>
          <w:rFonts w:ascii="Arial" w:hAnsi="Arial" w:cs="Arial"/>
          <w:color w:val="000000"/>
          <w:sz w:val="20"/>
          <w:szCs w:val="20"/>
        </w:rPr>
        <w:t>. The</w:t>
      </w:r>
      <w:r w:rsidRPr="00964D0D">
        <w:rPr>
          <w:rFonts w:ascii="Arial" w:hAnsi="Arial" w:cs="Arial"/>
          <w:color w:val="000000"/>
          <w:sz w:val="20"/>
          <w:szCs w:val="20"/>
        </w:rPr>
        <w:t xml:space="preserve"> university subsequently reported in 2012 that the center had opened as a student-run shopping and business center, with student-operated stalls and a training and incubation </w:t>
      </w:r>
      <w:r w:rsidRPr="009B6B47">
        <w:rPr>
          <w:rFonts w:ascii="Arial" w:hAnsi="Arial" w:cs="Arial"/>
          <w:color w:val="000000"/>
          <w:sz w:val="20"/>
          <w:szCs w:val="20"/>
        </w:rPr>
        <w:t>center</w:t>
      </w:r>
      <w:r w:rsidR="009B6B47" w:rsidRPr="009B6B47">
        <w:rPr>
          <w:rFonts w:ascii="Arial" w:hAnsi="Arial" w:cs="Arial"/>
          <w:color w:val="000000"/>
          <w:sz w:val="20"/>
          <w:szCs w:val="20"/>
        </w:rPr>
        <w:t xml:space="preserve"> </w:t>
      </w:r>
      <w:r w:rsidR="009B6B47" w:rsidRPr="009B6B47">
        <w:rPr>
          <w:rFonts w:ascii="Arial" w:hAnsi="Arial" w:cs="Arial"/>
          <w:sz w:val="20"/>
          <w:szCs w:val="20"/>
        </w:rPr>
        <w:t>(Xavier University, 2012)</w:t>
      </w:r>
      <w:r w:rsidRPr="009B6B47">
        <w:rPr>
          <w:rFonts w:ascii="Arial" w:hAnsi="Arial" w:cs="Arial"/>
          <w:color w:val="000000"/>
          <w:sz w:val="20"/>
          <w:szCs w:val="20"/>
        </w:rPr>
        <w:t>.</w:t>
      </w:r>
    </w:p>
    <w:p w14:paraId="25CB340F" w14:textId="77777777" w:rsidR="00964D0D" w:rsidRPr="00964D0D" w:rsidRDefault="00964D0D" w:rsidP="00964D0D">
      <w:r w:rsidRPr="00964D0D">
        <w:rPr>
          <w:rFonts w:ascii="Arial" w:hAnsi="Arial" w:cs="Arial"/>
          <w:color w:val="000000"/>
          <w:sz w:val="20"/>
          <w:szCs w:val="20"/>
        </w:rPr>
        <w:t>These historical records are useful for understanding Xavier's institutional trajectory, but they should not be treated as evidence of current implementation without contemporary confirmation. Accordingly, the present study uses them to demonstrate that Xavier has previously developed a highly experiential entrepreneurship infrastructure, while the current assessment relies primarily on the university's current SEC documentation and available program records.</w:t>
      </w:r>
    </w:p>
    <w:p w14:paraId="7F98E11D" w14:textId="77777777" w:rsidR="00964D0D" w:rsidRPr="00964D0D" w:rsidRDefault="00964D0D" w:rsidP="00964D0D">
      <w:r w:rsidRPr="00964D0D">
        <w:rPr>
          <w:rFonts w:ascii="Arial" w:hAnsi="Arial" w:cs="Arial"/>
          <w:color w:val="000000"/>
          <w:sz w:val="20"/>
          <w:szCs w:val="20"/>
        </w:rPr>
        <w:t>The comparison therefore does not suggest that Xavier should replicate the structures of MIT, Harvard, ETH Zurich, or NUS wholesale. Rather, the benchmark cases provide reference practices that can be considered alongside Xavier's existing institutional strengths. This interpretation is consistent with Abreu and Grinevich's (2024) finding that entrepreneurial universities differ in how they configure strategies, resources, capabilities, and organizational arrangements. It is also consistent with Maritz et al. (2022), who found substantial variation in the distribution and configuration of entrepreneurship education programs, accelerators, and support services across higher education institutions.</w:t>
      </w:r>
    </w:p>
    <w:p w14:paraId="2701022F" w14:textId="77777777" w:rsidR="00964D0D" w:rsidRPr="00964D0D" w:rsidRDefault="00964D0D" w:rsidP="00964D0D">
      <w:r w:rsidRPr="00964D0D">
        <w:rPr>
          <w:rFonts w:ascii="Arial" w:hAnsi="Arial" w:cs="Arial"/>
          <w:color w:val="000000"/>
          <w:sz w:val="20"/>
          <w:szCs w:val="20"/>
        </w:rPr>
        <w:t>Three potential areas for enhancement emerge from the comparison. First, Xavier could make the student entrepreneurial journey more explicit by connecting training, idea development, incubation, mentoring, enterprise operations, and venture development into a clearly communicated progression. Second, the existing documented funding mechanism could potentially be complemented by other forms of student-oriented financial support, subject to institutional feasibility and evidence of demand. Third, existing entrepreneurial activities and infrastructure could be more deliberately connected to mentoring, networking, pitching, external investors, alumni, and other ecosystem actors.</w:t>
      </w:r>
    </w:p>
    <w:p w14:paraId="6CBD8715" w14:textId="77777777" w:rsidR="00964D0D" w:rsidRPr="00964D0D" w:rsidRDefault="00964D0D" w:rsidP="00964D0D">
      <w:r w:rsidRPr="00964D0D">
        <w:rPr>
          <w:rFonts w:ascii="Arial" w:hAnsi="Arial" w:cs="Arial"/>
          <w:color w:val="000000"/>
          <w:sz w:val="20"/>
          <w:szCs w:val="20"/>
        </w:rPr>
        <w:t>The first recommendation is particularly consistent with recent research showing that students respond not only to the existence of university support but also to its perceived visibility. Mustafa et al. (2023), examining students in Ghana and Malaysia, found that university support for entrepreneurship was associated with entrepreneurial intentions and emphasized the importance of students' awareness of available support. Liu et al. (2022) similarly found that perceived university support was associated with entrepreneurial attitudes, subjective norms, and entrepreneurial self-efficacy. Thus, making the pathway more explicit could strengthen not only organizational coherence but also the visibility of entrepreneurship support to students.</w:t>
      </w:r>
    </w:p>
    <w:p w14:paraId="3DF431CE" w14:textId="77777777" w:rsidR="00964D0D" w:rsidRPr="00964D0D" w:rsidRDefault="00964D0D" w:rsidP="00964D0D">
      <w:r w:rsidRPr="00964D0D">
        <w:rPr>
          <w:rFonts w:ascii="Arial" w:hAnsi="Arial" w:cs="Arial"/>
          <w:color w:val="000000"/>
          <w:sz w:val="20"/>
          <w:szCs w:val="20"/>
        </w:rPr>
        <w:t>Overall, the benchmark comparison indicates that Xavier possesses a student entrepreneurship system, as evidenced by institutional documentation across all five Clark pathways, with particularly strong support for developmental and experiential learning. The primary opportunity lies in enhancing the integration, visibility, continuity, and up-to-date documentation of these mechanisms. This approach offers a more context-sensitive benchmarking strategy than merely replicating practices from higher-ranked universities.</w:t>
      </w:r>
    </w:p>
    <w:p w14:paraId="5C278B5E" w14:textId="77777777" w:rsidR="00964D0D" w:rsidRPr="00964D0D" w:rsidRDefault="00964D0D" w:rsidP="00964D0D"/>
    <w:p w14:paraId="741A85B0" w14:textId="77777777" w:rsidR="00964D0D" w:rsidRPr="00964D0D" w:rsidRDefault="00964D0D" w:rsidP="00964D0D">
      <w:pPr>
        <w:outlineLvl w:val="0"/>
        <w:rPr>
          <w:b/>
          <w:bCs/>
          <w:kern w:val="36"/>
          <w:sz w:val="22"/>
          <w:szCs w:val="22"/>
        </w:rPr>
      </w:pPr>
      <w:r w:rsidRPr="00964D0D">
        <w:rPr>
          <w:rFonts w:ascii="Arial" w:hAnsi="Arial" w:cs="Arial"/>
          <w:b/>
          <w:bCs/>
          <w:color w:val="000000"/>
          <w:kern w:val="36"/>
          <w:sz w:val="22"/>
          <w:szCs w:val="22"/>
        </w:rPr>
        <w:t>3.4 Synthesis and Implications</w:t>
      </w:r>
    </w:p>
    <w:p w14:paraId="3887AA66" w14:textId="77777777" w:rsidR="00964D0D" w:rsidRPr="00554C9F" w:rsidRDefault="00964D0D" w:rsidP="00964D0D">
      <w:pPr>
        <w:rPr>
          <w:rFonts w:ascii="Arial" w:hAnsi="Arial" w:cs="Arial"/>
          <w:sz w:val="20"/>
          <w:szCs w:val="20"/>
        </w:rPr>
      </w:pPr>
    </w:p>
    <w:p w14:paraId="73ECCE67" w14:textId="77777777" w:rsidR="00554C9F" w:rsidRPr="00554C9F" w:rsidRDefault="00554C9F" w:rsidP="00554C9F">
      <w:pPr>
        <w:rPr>
          <w:rFonts w:ascii="Arial" w:hAnsi="Arial" w:cs="Arial"/>
          <w:sz w:val="20"/>
          <w:szCs w:val="20"/>
        </w:rPr>
      </w:pPr>
      <w:r w:rsidRPr="00554C9F">
        <w:rPr>
          <w:rFonts w:ascii="Arial" w:hAnsi="Arial" w:cs="Arial"/>
          <w:sz w:val="20"/>
          <w:szCs w:val="20"/>
        </w:rPr>
        <w:t>The cross-case analysis demonstrates that student entrepreneurship support at leading universities is increasingly organized as an integrated entrepreneurial ecosystem rather than as isolated programs. Across the ten benchmark universities, Clark's (1998) five pathways are reflected in various combinations of institutional leadership, experiential education, venture development, mentoring, networking, infrastructure, and financial support. This finding is consistent with recent research that conceptualizes university entrepreneurship ecosystems as interconnected systems involving higher education institutions, entrepreneurship education, entrepreneurial activities, and external ecosystem actors (Correia et al., 2024; Ismail et al., 2024; Meyskens et al., 2022).</w:t>
      </w:r>
    </w:p>
    <w:p w14:paraId="5EB72E17" w14:textId="77777777" w:rsidR="00554C9F" w:rsidRPr="00554C9F" w:rsidRDefault="00554C9F" w:rsidP="00554C9F">
      <w:pPr>
        <w:rPr>
          <w:rFonts w:ascii="Arial" w:hAnsi="Arial" w:cs="Arial"/>
          <w:sz w:val="20"/>
          <w:szCs w:val="20"/>
        </w:rPr>
      </w:pPr>
      <w:r w:rsidRPr="00554C9F">
        <w:rPr>
          <w:rFonts w:ascii="Arial" w:hAnsi="Arial" w:cs="Arial"/>
          <w:sz w:val="20"/>
          <w:szCs w:val="20"/>
        </w:rPr>
        <w:t>A key implication is that institutional structure alone does not capture the full configuration of student entrepreneurship support. The benchmark universities display significant variation in how entrepreneurship is organized, yet their documented practices consistently connect learning, experimentation, mentoring, venture development, financing, and entrepreneurial networks. Abreu and Grinevich (2024) also demonstrate that entrepreneurial universities are complex organizations where diverse strategies, resources, capabilities, and organizational arrangements interact across multiple missions. Consequently, the relevant benchmark for student entrepreneurship is not the replication of a specific center or program, but rather the range and coherence of functions that enable students to access various forms of entrepreneurial support.</w:t>
      </w:r>
    </w:p>
    <w:p w14:paraId="34701F1E" w14:textId="77777777" w:rsidR="00554C9F" w:rsidRPr="00554C9F" w:rsidRDefault="00554C9F" w:rsidP="00554C9F">
      <w:pPr>
        <w:rPr>
          <w:rFonts w:ascii="Arial" w:hAnsi="Arial" w:cs="Arial"/>
          <w:sz w:val="20"/>
          <w:szCs w:val="20"/>
        </w:rPr>
      </w:pPr>
      <w:r w:rsidRPr="00554C9F">
        <w:rPr>
          <w:rFonts w:ascii="Arial" w:hAnsi="Arial" w:cs="Arial"/>
          <w:sz w:val="20"/>
          <w:szCs w:val="20"/>
        </w:rPr>
        <w:t>This distinction is especially relevant for Xavier University. The documentary analysis indicates that Xavier demonstrates evidence across all five Clark pathways, with particularly strong documentation of experiential learning and developmental support. The implication is not the establishment of a new entrepreneurship system, but rather the intentional integration, connection, and visibility of existing mechanisms as a coherent student entrepreneurial pathway. This interpretation is consistent with Ismail et al. (2024), whose multiple-case study found that effective student entrepreneurship support depends on interaction and collaboration among different elements of the university entrepreneurial ecosystem.</w:t>
      </w:r>
    </w:p>
    <w:p w14:paraId="4C6697EA" w14:textId="77777777" w:rsidR="00554C9F" w:rsidRPr="00554C9F" w:rsidRDefault="00554C9F" w:rsidP="00554C9F">
      <w:pPr>
        <w:rPr>
          <w:rFonts w:ascii="Arial" w:hAnsi="Arial" w:cs="Arial"/>
          <w:sz w:val="20"/>
          <w:szCs w:val="20"/>
        </w:rPr>
      </w:pPr>
      <w:r w:rsidRPr="00554C9F">
        <w:rPr>
          <w:rFonts w:ascii="Arial" w:hAnsi="Arial" w:cs="Arial"/>
          <w:sz w:val="20"/>
          <w:szCs w:val="20"/>
        </w:rPr>
        <w:t>Three practical priorities emerge from this comparison. First, Xavier University could clarify the student entrepreneurial journey by explicitly linking entrepreneurship education and idea development to mentoring, incubation, enterprise operation, funding, and venture development. Second, the existing Entrepreneurship Loan Fund should be considered alongside other potential student-financing mechanisms, particularly as students progress from early-stage ideas to venture development. Third, current networks and enterprise activities should be more systematically connected with entrepreneurs, mentors, alumni, investors, and external ecosystem organizations. These priorities align with recent evidence highlighting the importance of comprehensive institutional support, funding, expert advice, dedicated spaces, and external collaboration in student entrepreneurship ecosystems (Ismail et al., 2024).</w:t>
      </w:r>
    </w:p>
    <w:p w14:paraId="16DED9EE" w14:textId="77777777" w:rsidR="00554C9F" w:rsidRPr="00554C9F" w:rsidRDefault="00554C9F" w:rsidP="00554C9F">
      <w:pPr>
        <w:rPr>
          <w:rFonts w:ascii="Arial" w:hAnsi="Arial" w:cs="Arial"/>
          <w:sz w:val="20"/>
          <w:szCs w:val="20"/>
        </w:rPr>
      </w:pPr>
      <w:r w:rsidRPr="00554C9F">
        <w:rPr>
          <w:rFonts w:ascii="Arial" w:hAnsi="Arial" w:cs="Arial"/>
          <w:sz w:val="20"/>
          <w:szCs w:val="20"/>
        </w:rPr>
        <w:t>A broader implication is that benchmarking should be understood as contextual adaptation rather than institutional imitation. The ten universities demonstrate diverse approaches to organizing entrepreneurial support, reflecting differences in institutional missions, resources, organizational structures, and surrounding ecosystems. Abreu and Grinevich (2024) emphasize this complexity, showing that entrepreneurial universities combine multiple strategies, resources, and capabilities rather than following a single organizational model. For Xavier, the value of benchmarking lies in identifying practices that can enhance the coherence, continuity, and reach of its existing student entrepreneurship ecosystem, rather than replicating the structures of MIT, Harvard, ETH Zurich, or NUS.</w:t>
      </w:r>
    </w:p>
    <w:p w14:paraId="7E5B44D7" w14:textId="77777777" w:rsidR="00554C9F" w:rsidRPr="00554C9F" w:rsidRDefault="00554C9F" w:rsidP="00554C9F">
      <w:pPr>
        <w:rPr>
          <w:rFonts w:ascii="Arial" w:hAnsi="Arial" w:cs="Arial"/>
          <w:sz w:val="20"/>
          <w:szCs w:val="20"/>
        </w:rPr>
      </w:pPr>
      <w:r w:rsidRPr="00554C9F">
        <w:rPr>
          <w:rFonts w:ascii="Arial" w:hAnsi="Arial" w:cs="Arial"/>
          <w:sz w:val="20"/>
          <w:szCs w:val="20"/>
        </w:rPr>
        <w:t xml:space="preserve">Overall, the findings suggest that Xavier's primary opportunity lies in integration rather than comprehensive institutional redesign. The university already demonstrates documented </w:t>
      </w:r>
      <w:r w:rsidRPr="00554C9F">
        <w:rPr>
          <w:rFonts w:ascii="Arial" w:hAnsi="Arial" w:cs="Arial"/>
          <w:sz w:val="20"/>
          <w:szCs w:val="20"/>
        </w:rPr>
        <w:lastRenderedPageBreak/>
        <w:t>elements across the five pathways. The central developmental question is how these elements can be connected to create a clearer and more visible progression from entrepreneurial learning to venture creation and growth. This approach would preserve Xavier's institutional context while selectively incorporating practices observed at the benchmark universities.</w:t>
      </w:r>
    </w:p>
    <w:p w14:paraId="7E2D3D28" w14:textId="77777777" w:rsidR="00554C9F" w:rsidRPr="00554C9F" w:rsidRDefault="00554C9F" w:rsidP="00964D0D">
      <w:pPr>
        <w:rPr>
          <w:rFonts w:ascii="Arial" w:hAnsi="Arial" w:cs="Arial"/>
          <w:sz w:val="20"/>
          <w:szCs w:val="20"/>
        </w:rPr>
      </w:pPr>
    </w:p>
    <w:p w14:paraId="37F9CC9A" w14:textId="77777777" w:rsidR="008A5658" w:rsidRDefault="008A5658" w:rsidP="008A5658">
      <w:pPr>
        <w:pStyle w:val="Heading1"/>
        <w:spacing w:before="0" w:after="0"/>
        <w:rPr>
          <w:sz w:val="48"/>
          <w:szCs w:val="48"/>
        </w:rPr>
      </w:pPr>
      <w:r>
        <w:rPr>
          <w:rFonts w:cs="Arial"/>
          <w:color w:val="000000"/>
          <w:sz w:val="20"/>
          <w:szCs w:val="20"/>
        </w:rPr>
        <w:t>4. CONCLUSION</w:t>
      </w:r>
    </w:p>
    <w:p w14:paraId="052AF1F6" w14:textId="77777777" w:rsidR="008A5658" w:rsidRDefault="008A5658" w:rsidP="008A5658"/>
    <w:p w14:paraId="5B911ED1" w14:textId="77777777" w:rsidR="008A5658" w:rsidRPr="008A5658" w:rsidRDefault="008A5658" w:rsidP="008A5658">
      <w:pPr>
        <w:pStyle w:val="NormalWeb"/>
        <w:spacing w:before="0" w:beforeAutospacing="0" w:after="0" w:afterAutospacing="0"/>
      </w:pPr>
      <w:r w:rsidRPr="008A5658">
        <w:rPr>
          <w:rFonts w:ascii="Arial" w:hAnsi="Arial" w:cs="Arial"/>
          <w:color w:val="000000"/>
          <w:sz w:val="20"/>
          <w:szCs w:val="20"/>
        </w:rPr>
        <w:t>This study investigated student entrepreneurship support through a comparative documentary analysis of ten highly ranked universities and Xavier University, employing Clark's entrepreneurial university model as an interpretive framework. Rather than seeking to identify a universally superior entrepreneurship-center model, the research aimed to analyze how institutions organize and integrate the resources, structures, and activities accessible to student entrepreneurs.</w:t>
      </w:r>
    </w:p>
    <w:p w14:paraId="69581775" w14:textId="77777777" w:rsidR="008A5658" w:rsidRPr="008A5658" w:rsidRDefault="008A5658" w:rsidP="008A5658">
      <w:pPr>
        <w:pStyle w:val="NormalWeb"/>
        <w:spacing w:before="0" w:beforeAutospacing="0" w:after="0" w:afterAutospacing="0"/>
      </w:pPr>
      <w:r w:rsidRPr="008A5658">
        <w:rPr>
          <w:rFonts w:ascii="Arial" w:hAnsi="Arial" w:cs="Arial"/>
          <w:color w:val="000000"/>
          <w:sz w:val="20"/>
          <w:szCs w:val="20"/>
        </w:rPr>
        <w:t>This research contributes to the literature by demonstrating the ongoing relevance of Clark's framework for interpreting contemporary student entrepreneurship, while also indicating that its pathways are increasingly manifested through ecosystem-oriented arrangements. Although the benchmark institutions exhibited considerable variation in organizational structures, their approaches converged on the necessity of linking entrepreneurial learning with practical experience, venture development, institutional support, resources, and external partnerships. These findings suggest that the entrepreneurial university is best conceptualized as a configuration of interconnected functions rather than a specific organizational form.</w:t>
      </w:r>
    </w:p>
    <w:p w14:paraId="7388D40B" w14:textId="338ABB8D" w:rsidR="008A5658" w:rsidRPr="008A5658" w:rsidRDefault="008A5658" w:rsidP="008A5658">
      <w:pPr>
        <w:pStyle w:val="NormalWeb"/>
        <w:spacing w:before="0" w:beforeAutospacing="0" w:after="0" w:afterAutospacing="0"/>
      </w:pPr>
      <w:r w:rsidRPr="008A5658">
        <w:rPr>
          <w:rFonts w:ascii="Arial" w:hAnsi="Arial" w:cs="Arial"/>
          <w:color w:val="000000"/>
          <w:sz w:val="20"/>
          <w:szCs w:val="20"/>
        </w:rPr>
        <w:t xml:space="preserve">For Xavier University, the findings offer a more nuanced perspective than a straightforward assessment of strengths and weaknesses. The documentary evidence confirms an established institutional foundation for student entrepreneurship, encompassing formal institutional responsibility, experiential learning, developmental support, and entrepreneurial </w:t>
      </w:r>
      <w:r w:rsidRPr="00711CD5">
        <w:rPr>
          <w:rFonts w:ascii="Arial" w:hAnsi="Arial" w:cs="Arial"/>
          <w:color w:val="000000"/>
          <w:sz w:val="20"/>
          <w:szCs w:val="20"/>
        </w:rPr>
        <w:t xml:space="preserve">networking. </w:t>
      </w:r>
      <w:r w:rsidR="00711CD5" w:rsidRPr="00711CD5">
        <w:rPr>
          <w:rFonts w:ascii="Arial" w:hAnsi="Arial" w:cs="Arial"/>
          <w:sz w:val="20"/>
          <w:szCs w:val="20"/>
        </w:rPr>
        <w:t>The analysis indicates that future development at Xavier University may be supported by enhancing connections among existing mechanisms and by clarifying and increasing the visibility of the student entrepreneurial pathway, rather than by creating an entirely new entrepreneurship structure.</w:t>
      </w:r>
    </w:p>
    <w:p w14:paraId="633BA374" w14:textId="77777777" w:rsidR="008A5658" w:rsidRPr="008A5658" w:rsidRDefault="008A5658" w:rsidP="008A5658">
      <w:pPr>
        <w:pStyle w:val="NormalWeb"/>
        <w:spacing w:before="0" w:beforeAutospacing="0" w:after="0" w:afterAutospacing="0"/>
      </w:pPr>
      <w:r w:rsidRPr="008A5658">
        <w:rPr>
          <w:rFonts w:ascii="Arial" w:hAnsi="Arial" w:cs="Arial"/>
          <w:color w:val="000000"/>
          <w:sz w:val="20"/>
          <w:szCs w:val="20"/>
        </w:rPr>
        <w:t>The study further demonstrates the utility of documentary benchmarking as a practical approach for institutional assessment. Publicly available university documents can offer sufficient evidence to identify institutional structures, programs, support mechanisms, and strategic orientations without the need for surveys or interviews. However, this approach requires caution, as the absence of publicly documented evidence should not be interpreted as confirmation that a practice does not exist. Consequently, the assessment categories employed in this study reflect the strength and breadth of available documentation rather than actual institutional performance.</w:t>
      </w:r>
    </w:p>
    <w:p w14:paraId="01FA83EB" w14:textId="77777777" w:rsidR="008A5658" w:rsidRDefault="008A5658" w:rsidP="008A5658">
      <w:pPr>
        <w:pStyle w:val="NormalWeb"/>
        <w:spacing w:before="0" w:beforeAutospacing="0" w:after="0" w:afterAutospacing="0"/>
        <w:rPr>
          <w:rFonts w:ascii="Arial" w:hAnsi="Arial" w:cs="Arial"/>
          <w:color w:val="000000"/>
          <w:sz w:val="20"/>
          <w:szCs w:val="20"/>
        </w:rPr>
      </w:pPr>
      <w:r w:rsidRPr="008A5658">
        <w:rPr>
          <w:rFonts w:ascii="Arial" w:hAnsi="Arial" w:cs="Arial"/>
          <w:color w:val="000000"/>
          <w:sz w:val="20"/>
          <w:szCs w:val="20"/>
        </w:rPr>
        <w:t>Several limitations should be acknowledged. The benchmarking was limited to ten universities and relied exclusively on publicly accessible institutional documentation. As a result, internal, unpublished, recently implemented, or insufficiently documented practices may not have been captured. Future research could enhance documentary benchmarking by incorporating interviews or other primary data from students, faculty, entrepreneurship-center personnel, alumni, and external partners. Comparative studies involving universities from diverse institutional and national contexts could further investigate whether the five pathways function differently depending on resource availability, institutional mission, and the maturity of the entrepreneurial ecosystem.</w:t>
      </w:r>
    </w:p>
    <w:p w14:paraId="0D055EAF" w14:textId="4315B42B" w:rsidR="00423EA0" w:rsidRPr="00423EA0" w:rsidRDefault="00423EA0" w:rsidP="008A5658">
      <w:pPr>
        <w:pStyle w:val="NormalWeb"/>
        <w:spacing w:before="0" w:beforeAutospacing="0" w:after="0" w:afterAutospacing="0"/>
        <w:rPr>
          <w:rFonts w:ascii="Arial" w:hAnsi="Arial" w:cs="Arial"/>
          <w:sz w:val="20"/>
          <w:szCs w:val="20"/>
        </w:rPr>
      </w:pPr>
      <w:r w:rsidRPr="00423EA0">
        <w:rPr>
          <w:rFonts w:ascii="Arial" w:hAnsi="Arial" w:cs="Arial"/>
          <w:sz w:val="20"/>
          <w:szCs w:val="20"/>
        </w:rPr>
        <w:t xml:space="preserve">Additional limitations arise from the nature of publicly accessible institutional documentation. Official university sources may reflect institutional self-presentation and may emphasize programs, achievements, and available support while providing limited information about constraints or inactive initiatives. Differences in the quality, organization, and accessibility of institutional websites and documents may also affect the amount of evidence available </w:t>
      </w:r>
      <w:r w:rsidRPr="00423EA0">
        <w:rPr>
          <w:rFonts w:ascii="Arial" w:hAnsi="Arial" w:cs="Arial"/>
          <w:sz w:val="20"/>
          <w:szCs w:val="20"/>
        </w:rPr>
        <w:lastRenderedPageBreak/>
        <w:t>across cases. In addition, web-based institutional information is temporally unstable and may change after the period of source review. Finally, although predefined Clark pathways and assessment criteria were applied consistently, deductive coding necessarily involves researcher judgment. These limitations reinforce that the findings describe publicly documented institutional support rather than the full extent, quality, or effectiveness of entrepreneurship activities.</w:t>
      </w:r>
    </w:p>
    <w:p w14:paraId="7B5A35D4" w14:textId="1DCC716D" w:rsidR="00315186" w:rsidRPr="004C2541" w:rsidRDefault="008A5658" w:rsidP="004C2541">
      <w:pPr>
        <w:pStyle w:val="NormalWeb"/>
        <w:spacing w:before="0" w:beforeAutospacing="0" w:after="0" w:afterAutospacing="0"/>
        <w:rPr>
          <w:rFonts w:ascii="Arial" w:hAnsi="Arial" w:cs="Arial"/>
          <w:sz w:val="20"/>
          <w:szCs w:val="20"/>
        </w:rPr>
      </w:pPr>
      <w:r w:rsidRPr="00423EA0">
        <w:rPr>
          <w:rFonts w:ascii="Arial" w:hAnsi="Arial" w:cs="Arial"/>
          <w:color w:val="000000"/>
          <w:sz w:val="20"/>
          <w:szCs w:val="20"/>
        </w:rPr>
        <w:t>In summary, the study indicates that the primary value of benchmarking is not in replicating</w:t>
      </w:r>
      <w:r w:rsidRPr="008A5658">
        <w:rPr>
          <w:rFonts w:ascii="Arial" w:hAnsi="Arial" w:cs="Arial"/>
          <w:color w:val="000000"/>
          <w:sz w:val="20"/>
          <w:szCs w:val="20"/>
        </w:rPr>
        <w:t xml:space="preserve"> elite university models, but in identifying transferable functions and adapting them to the </w:t>
      </w:r>
      <w:r w:rsidRPr="004C2541">
        <w:rPr>
          <w:rFonts w:ascii="Arial" w:hAnsi="Arial" w:cs="Arial"/>
          <w:color w:val="000000"/>
          <w:sz w:val="20"/>
          <w:szCs w:val="20"/>
        </w:rPr>
        <w:t>specific context, capabilities, and needs of each institution and its students.</w:t>
      </w:r>
    </w:p>
    <w:p w14:paraId="4ECFFF06" w14:textId="77777777" w:rsidR="00315186" w:rsidRPr="004C2541" w:rsidRDefault="00315186" w:rsidP="004C2541">
      <w:pPr>
        <w:rPr>
          <w:rFonts w:ascii="Arial" w:hAnsi="Arial" w:cs="Arial"/>
          <w:color w:val="000000" w:themeColor="text1"/>
          <w:sz w:val="20"/>
          <w:szCs w:val="20"/>
        </w:rPr>
      </w:pPr>
    </w:p>
    <w:p w14:paraId="60281319" w14:textId="2C392AE4" w:rsidR="00FB135D" w:rsidRDefault="00FB135D" w:rsidP="00FB135D">
      <w:pPr>
        <w:rPr>
          <w:b/>
        </w:rPr>
      </w:pPr>
      <w:r w:rsidRPr="000839CE">
        <w:rPr>
          <w:b/>
        </w:rPr>
        <w:t>Declaration of AI Use</w:t>
      </w:r>
    </w:p>
    <w:p w14:paraId="2DAEFF95" w14:textId="77777777" w:rsidR="00FB135D" w:rsidRDefault="00FB135D" w:rsidP="00FB135D">
      <w:pPr>
        <w:rPr>
          <w:b/>
        </w:rPr>
      </w:pPr>
    </w:p>
    <w:p w14:paraId="2D8FC847" w14:textId="77777777" w:rsidR="00FB135D" w:rsidRPr="002D08AC" w:rsidRDefault="00FB135D" w:rsidP="00FB135D">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6685BB3" w14:textId="77777777" w:rsidR="004C2541" w:rsidRPr="004C2541" w:rsidRDefault="004C2541" w:rsidP="004C2541">
      <w:pPr>
        <w:rPr>
          <w:rFonts w:ascii="Arial" w:hAnsi="Arial" w:cs="Arial"/>
          <w:color w:val="000000" w:themeColor="text1"/>
          <w:sz w:val="20"/>
          <w:szCs w:val="20"/>
        </w:rPr>
      </w:pPr>
    </w:p>
    <w:p w14:paraId="3EE0EA83" w14:textId="77777777" w:rsidR="004C2541" w:rsidRPr="004C2541" w:rsidRDefault="004C2541" w:rsidP="004C2541">
      <w:pPr>
        <w:rPr>
          <w:rFonts w:ascii="Arial" w:hAnsi="Arial" w:cs="Arial"/>
          <w:color w:val="000000" w:themeColor="text1"/>
          <w:sz w:val="20"/>
          <w:szCs w:val="20"/>
        </w:rPr>
      </w:pPr>
    </w:p>
    <w:p w14:paraId="1C777082" w14:textId="77777777" w:rsidR="00860000" w:rsidRPr="004C2541" w:rsidRDefault="00860000" w:rsidP="004C2541">
      <w:pPr>
        <w:pStyle w:val="ReferHead"/>
        <w:spacing w:after="0"/>
        <w:jc w:val="both"/>
        <w:rPr>
          <w:rFonts w:ascii="Arial" w:hAnsi="Arial" w:cs="Arial"/>
          <w:bCs/>
          <w:szCs w:val="22"/>
        </w:rPr>
      </w:pPr>
      <w:r w:rsidRPr="004C2541">
        <w:rPr>
          <w:rFonts w:ascii="Arial" w:hAnsi="Arial" w:cs="Arial"/>
          <w:bCs/>
          <w:szCs w:val="22"/>
        </w:rPr>
        <w:t>Competing interests</w:t>
      </w:r>
    </w:p>
    <w:p w14:paraId="2D23F136" w14:textId="77777777" w:rsidR="00860000" w:rsidRPr="004C2541" w:rsidRDefault="00860000" w:rsidP="004C2541">
      <w:pPr>
        <w:pStyle w:val="ReferHead"/>
        <w:spacing w:after="0"/>
        <w:jc w:val="both"/>
        <w:rPr>
          <w:rFonts w:ascii="Arial" w:hAnsi="Arial" w:cs="Arial"/>
          <w:sz w:val="20"/>
          <w:szCs w:val="20"/>
        </w:rPr>
      </w:pPr>
    </w:p>
    <w:p w14:paraId="56E9711E" w14:textId="553CA488" w:rsidR="00860000" w:rsidRPr="00C42725" w:rsidRDefault="00C42725" w:rsidP="00441B6F">
      <w:pPr>
        <w:pStyle w:val="ReferHead"/>
        <w:spacing w:after="0"/>
        <w:jc w:val="both"/>
        <w:rPr>
          <w:rFonts w:ascii="Arial" w:hAnsi="Arial" w:cs="Arial"/>
          <w:b w:val="0"/>
          <w:caps w:val="0"/>
          <w:sz w:val="20"/>
        </w:rPr>
      </w:pPr>
      <w:r>
        <w:rPr>
          <w:rFonts w:ascii="Arial" w:hAnsi="Arial" w:cs="Arial"/>
          <w:b w:val="0"/>
          <w:caps w:val="0"/>
          <w:sz w:val="20"/>
        </w:rPr>
        <w:t>The author has</w:t>
      </w:r>
      <w:r w:rsidR="00E66E10" w:rsidRPr="00C42725">
        <w:rPr>
          <w:rFonts w:ascii="Arial" w:hAnsi="Arial" w:cs="Arial"/>
          <w:b w:val="0"/>
          <w:caps w:val="0"/>
          <w:sz w:val="20"/>
        </w:rPr>
        <w:t xml:space="preserve"> declared that no competing interests exist.</w:t>
      </w:r>
    </w:p>
    <w:p w14:paraId="1EC98789" w14:textId="77777777" w:rsidR="00860000" w:rsidRDefault="00860000" w:rsidP="00441B6F">
      <w:pPr>
        <w:pStyle w:val="ReferHead"/>
        <w:spacing w:after="0"/>
        <w:jc w:val="both"/>
        <w:rPr>
          <w:rFonts w:ascii="Arial" w:hAnsi="Arial" w:cs="Arial"/>
          <w:b w:val="0"/>
          <w:caps w:val="0"/>
          <w:sz w:val="20"/>
        </w:rPr>
      </w:pPr>
    </w:p>
    <w:p w14:paraId="63113149" w14:textId="77777777" w:rsidR="00C42725" w:rsidRDefault="00C42725" w:rsidP="00441B6F">
      <w:pPr>
        <w:pStyle w:val="ReferHead"/>
        <w:spacing w:after="0"/>
        <w:jc w:val="both"/>
        <w:rPr>
          <w:rFonts w:ascii="Arial" w:hAnsi="Arial" w:cs="Arial"/>
        </w:rPr>
      </w:pPr>
    </w:p>
    <w:p w14:paraId="34614366"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1263757A" w14:textId="77777777" w:rsidR="00790ADA" w:rsidRPr="00FB3A86" w:rsidRDefault="00790ADA" w:rsidP="00441B6F">
      <w:pPr>
        <w:pStyle w:val="ReferHead"/>
        <w:spacing w:after="0"/>
        <w:jc w:val="both"/>
        <w:rPr>
          <w:rFonts w:ascii="Arial" w:hAnsi="Arial" w:cs="Arial"/>
        </w:rPr>
      </w:pPr>
    </w:p>
    <w:p w14:paraId="58548457" w14:textId="7F560966" w:rsidR="004D4277" w:rsidRPr="00FB3A86" w:rsidRDefault="004D4277" w:rsidP="00441B6F">
      <w:pPr>
        <w:pStyle w:val="Appendix"/>
        <w:spacing w:after="0"/>
        <w:jc w:val="both"/>
        <w:rPr>
          <w:rFonts w:ascii="Arial" w:hAnsi="Arial" w:cs="Arial"/>
          <w:b w:val="0"/>
        </w:rPr>
        <w:sectPr w:rsidR="004D4277" w:rsidRPr="00FB3A86" w:rsidSect="00747130">
          <w:headerReference w:type="even" r:id="rId14"/>
          <w:headerReference w:type="default" r:id="rId15"/>
          <w:footerReference w:type="default" r:id="rId16"/>
          <w:headerReference w:type="first" r:id="rId17"/>
          <w:type w:val="continuous"/>
          <w:pgSz w:w="12240" w:h="15840"/>
          <w:pgMar w:top="1440" w:right="2016" w:bottom="2016" w:left="2016" w:header="720" w:footer="1123" w:gutter="0"/>
          <w:cols w:space="720"/>
          <w:docGrid w:linePitch="272"/>
        </w:sectPr>
      </w:pPr>
    </w:p>
    <w:p w14:paraId="5C592C37" w14:textId="77777777" w:rsidR="001656D5" w:rsidRPr="004C2541" w:rsidRDefault="001656D5"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Abreu, M., &amp; Grinevich, V. (2024). The entrepreneurial university: Strategies, processes, and competing goals. </w:t>
      </w:r>
      <w:r w:rsidRPr="004C2541">
        <w:rPr>
          <w:rFonts w:ascii="Arial" w:hAnsi="Arial" w:cs="Arial"/>
          <w:i/>
          <w:iCs/>
          <w:color w:val="000000" w:themeColor="text1"/>
          <w:sz w:val="20"/>
          <w:szCs w:val="20"/>
        </w:rPr>
        <w:t>The Journal of Technology Transfer, 49</w:t>
      </w:r>
      <w:r w:rsidRPr="004C2541">
        <w:rPr>
          <w:rFonts w:ascii="Arial" w:hAnsi="Arial" w:cs="Arial"/>
          <w:color w:val="000000" w:themeColor="text1"/>
          <w:sz w:val="20"/>
          <w:szCs w:val="20"/>
        </w:rPr>
        <w:t>(6), 1991–2034.</w:t>
      </w:r>
      <w:hyperlink r:id="rId18" w:history="1">
        <w:r w:rsidRPr="004C2541">
          <w:rPr>
            <w:rStyle w:val="Hyperlink"/>
            <w:rFonts w:ascii="Arial" w:hAnsi="Arial" w:cs="Arial"/>
            <w:color w:val="000000" w:themeColor="text1"/>
            <w:sz w:val="20"/>
            <w:szCs w:val="20"/>
            <w:u w:val="none"/>
          </w:rPr>
          <w:t xml:space="preserve"> </w:t>
        </w:r>
      </w:hyperlink>
      <w:hyperlink r:id="rId19" w:history="1">
        <w:r w:rsidRPr="004C2541">
          <w:rPr>
            <w:rStyle w:val="Hyperlink"/>
            <w:rFonts w:ascii="Arial" w:hAnsi="Arial" w:cs="Arial"/>
            <w:color w:val="000000" w:themeColor="text1"/>
            <w:sz w:val="20"/>
            <w:szCs w:val="20"/>
            <w:u w:val="none"/>
          </w:rPr>
          <w:t>https://doi.org/10.1007/s10961-024-10085-7</w:t>
        </w:r>
      </w:hyperlink>
    </w:p>
    <w:p w14:paraId="64022D25" w14:textId="77777777" w:rsidR="001656D5" w:rsidRPr="004C2541" w:rsidRDefault="001656D5"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Ahmed, S. K. (2024). The pillars of trustworthiness in qualitative research. </w:t>
      </w:r>
      <w:r w:rsidRPr="004C2541">
        <w:rPr>
          <w:rFonts w:ascii="Arial" w:hAnsi="Arial" w:cs="Arial"/>
          <w:i/>
          <w:iCs/>
          <w:color w:val="000000" w:themeColor="text1"/>
          <w:sz w:val="20"/>
          <w:szCs w:val="20"/>
        </w:rPr>
        <w:t>Journal of Medicine, Surgery, and Public Health, 2</w:t>
      </w:r>
      <w:r w:rsidRPr="004C2541">
        <w:rPr>
          <w:rFonts w:ascii="Arial" w:hAnsi="Arial" w:cs="Arial"/>
          <w:color w:val="000000" w:themeColor="text1"/>
          <w:sz w:val="20"/>
          <w:szCs w:val="20"/>
        </w:rPr>
        <w:t>, Article 100051.</w:t>
      </w:r>
      <w:hyperlink r:id="rId20" w:history="1">
        <w:r w:rsidRPr="004C2541">
          <w:rPr>
            <w:rStyle w:val="Hyperlink"/>
            <w:rFonts w:ascii="Arial" w:hAnsi="Arial" w:cs="Arial"/>
            <w:color w:val="000000" w:themeColor="text1"/>
            <w:sz w:val="20"/>
            <w:szCs w:val="20"/>
            <w:u w:val="none"/>
          </w:rPr>
          <w:t xml:space="preserve"> https://doi.org/10.1016/j.glmedi.2024.100051</w:t>
        </w:r>
      </w:hyperlink>
    </w:p>
    <w:p w14:paraId="428AC540" w14:textId="77777777" w:rsidR="001656D5" w:rsidRPr="004C2541" w:rsidRDefault="001656D5"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Al-Omar, S., </w:t>
      </w:r>
      <w:r w:rsidRPr="004C6910">
        <w:rPr>
          <w:rFonts w:ascii="Arial" w:hAnsi="Arial" w:cs="Arial"/>
          <w:color w:val="000000" w:themeColor="text1"/>
          <w:sz w:val="20"/>
          <w:szCs w:val="20"/>
        </w:rPr>
        <w:t xml:space="preserve">Alalawneh, A., &amp; Harb, A. (2024). The impact of entrepreneurship education on entrepreneurial intention: The moderating role of perceived governmental support. </w:t>
      </w:r>
      <w:r w:rsidRPr="004C6910">
        <w:rPr>
          <w:rFonts w:ascii="Arial" w:hAnsi="Arial" w:cs="Arial"/>
          <w:i/>
          <w:iCs/>
          <w:color w:val="000000" w:themeColor="text1"/>
          <w:sz w:val="20"/>
          <w:szCs w:val="20"/>
        </w:rPr>
        <w:t>Education + Training, 66</w:t>
      </w:r>
      <w:r w:rsidRPr="004C6910">
        <w:rPr>
          <w:rFonts w:ascii="Arial" w:hAnsi="Arial" w:cs="Arial"/>
          <w:color w:val="000000" w:themeColor="text1"/>
          <w:sz w:val="20"/>
          <w:szCs w:val="20"/>
        </w:rPr>
        <w:t>(7), 777–800.</w:t>
      </w:r>
      <w:r w:rsidRPr="004C6910">
        <w:rPr>
          <w:rFonts w:ascii="Arial" w:hAnsi="Arial" w:cs="Arial"/>
          <w:sz w:val="20"/>
          <w:szCs w:val="20"/>
        </w:rPr>
        <w:t xml:space="preserve"> https://doi.org/10.1108/ET-07-2023-0272</w:t>
      </w:r>
    </w:p>
    <w:p w14:paraId="60BDF5CD" w14:textId="77777777" w:rsidR="001656D5" w:rsidRPr="004C6910" w:rsidRDefault="001656D5" w:rsidP="004C6910">
      <w:pPr>
        <w:pStyle w:val="NormalWeb"/>
        <w:spacing w:before="0" w:beforeAutospacing="0" w:after="0" w:afterAutospacing="0"/>
        <w:ind w:left="360" w:hanging="360"/>
      </w:pPr>
      <w:r w:rsidRPr="004C2541">
        <w:rPr>
          <w:rFonts w:ascii="Arial" w:hAnsi="Arial" w:cs="Arial"/>
          <w:color w:val="000000" w:themeColor="text1"/>
          <w:sz w:val="20"/>
          <w:szCs w:val="20"/>
        </w:rPr>
        <w:t xml:space="preserve">Amao-Taiwo, B., Shittu, A., &amp; Yinusa, O. (2023). Higher education student entrepreneurship support services: Implications for the development of entrepreneurial skills. </w:t>
      </w:r>
      <w:r w:rsidRPr="004C2541">
        <w:rPr>
          <w:rFonts w:ascii="Arial" w:hAnsi="Arial" w:cs="Arial"/>
          <w:i/>
          <w:iCs/>
          <w:color w:val="000000" w:themeColor="text1"/>
          <w:sz w:val="20"/>
          <w:szCs w:val="20"/>
        </w:rPr>
        <w:t xml:space="preserve">Covenant </w:t>
      </w:r>
      <w:r w:rsidRPr="004C6910">
        <w:rPr>
          <w:rFonts w:ascii="Arial" w:hAnsi="Arial" w:cs="Arial"/>
          <w:i/>
          <w:iCs/>
          <w:color w:val="000000" w:themeColor="text1"/>
          <w:sz w:val="20"/>
          <w:szCs w:val="20"/>
        </w:rPr>
        <w:t>Journal of Entrepreneurship, 7</w:t>
      </w:r>
      <w:r w:rsidRPr="004C6910">
        <w:rPr>
          <w:rFonts w:ascii="Arial" w:hAnsi="Arial" w:cs="Arial"/>
          <w:color w:val="000000" w:themeColor="text1"/>
          <w:sz w:val="20"/>
          <w:szCs w:val="20"/>
        </w:rPr>
        <w:t>(1), Article 10.</w:t>
      </w:r>
      <w:r w:rsidRPr="004C6910">
        <w:rPr>
          <w:rFonts w:ascii="Arial" w:hAnsi="Arial" w:cs="Arial"/>
          <w:sz w:val="20"/>
          <w:szCs w:val="20"/>
        </w:rPr>
        <w:t xml:space="preserve"> https://journals.covenantuniversity.edu.ng/index.php/cjoe/article/view/3847</w:t>
      </w:r>
    </w:p>
    <w:p w14:paraId="728B933C" w14:textId="77777777" w:rsidR="001656D5" w:rsidRPr="004C2541" w:rsidRDefault="001656D5"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Anjum, T., Amoozegar, A., Farrukh, M., &amp; Heidler, P. (2023). Entrepreneurial intentions among business students: The mediating role of attitude and the moderating role of university support. </w:t>
      </w:r>
      <w:r w:rsidRPr="004C2541">
        <w:rPr>
          <w:rFonts w:ascii="Arial" w:hAnsi="Arial" w:cs="Arial"/>
          <w:i/>
          <w:iCs/>
          <w:color w:val="000000" w:themeColor="text1"/>
          <w:sz w:val="20"/>
          <w:szCs w:val="20"/>
        </w:rPr>
        <w:t>Education + Training, 65</w:t>
      </w:r>
      <w:r w:rsidRPr="004C2541">
        <w:rPr>
          <w:rFonts w:ascii="Arial" w:hAnsi="Arial" w:cs="Arial"/>
          <w:color w:val="000000" w:themeColor="text1"/>
          <w:sz w:val="20"/>
          <w:szCs w:val="20"/>
        </w:rPr>
        <w:t>(4), 587–606. https://doi.org/10.1108/ET-01-2021-0020</w:t>
      </w:r>
    </w:p>
    <w:p w14:paraId="6F9C55DC" w14:textId="77777777" w:rsidR="001656D5" w:rsidRDefault="001656D5" w:rsidP="004C2541">
      <w:pPr>
        <w:pStyle w:val="NormalWeb"/>
        <w:spacing w:before="0" w:beforeAutospacing="0" w:after="0" w:afterAutospacing="0"/>
        <w:ind w:left="360" w:hanging="360"/>
        <w:rPr>
          <w:rFonts w:ascii="Arial" w:hAnsi="Arial" w:cs="Arial"/>
          <w:color w:val="000000" w:themeColor="text1"/>
          <w:sz w:val="20"/>
          <w:szCs w:val="20"/>
        </w:rPr>
      </w:pPr>
      <w:r w:rsidRPr="004C2541">
        <w:rPr>
          <w:rFonts w:ascii="Arial" w:hAnsi="Arial" w:cs="Arial"/>
          <w:color w:val="000000" w:themeColor="text1"/>
          <w:sz w:val="20"/>
          <w:szCs w:val="20"/>
        </w:rPr>
        <w:t xml:space="preserve">Astuty, E., Yustian, O. R., &amp; Ratnapuri, C. I. (2022). Building student entrepreneurship activities through the synergy of the university entrepreneurship ecosystem. </w:t>
      </w:r>
      <w:r w:rsidRPr="004C2541">
        <w:rPr>
          <w:rFonts w:ascii="Arial" w:hAnsi="Arial" w:cs="Arial"/>
          <w:i/>
          <w:iCs/>
          <w:color w:val="000000" w:themeColor="text1"/>
          <w:sz w:val="20"/>
          <w:szCs w:val="20"/>
        </w:rPr>
        <w:t>Frontiers in Education, 7</w:t>
      </w:r>
      <w:r w:rsidRPr="004C2541">
        <w:rPr>
          <w:rFonts w:ascii="Arial" w:hAnsi="Arial" w:cs="Arial"/>
          <w:color w:val="000000" w:themeColor="text1"/>
          <w:sz w:val="20"/>
          <w:szCs w:val="20"/>
        </w:rPr>
        <w:t>, Article 757012. https://doi.org/10.3389/feduc.2022.757012</w:t>
      </w:r>
    </w:p>
    <w:p w14:paraId="5B96DCDF" w14:textId="77777777" w:rsidR="001656D5" w:rsidRPr="004C2541" w:rsidRDefault="001656D5" w:rsidP="0026707F">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Bharti, K., Agarwal, R., Satsangi, A., &amp; Rajwanshi, R. (2024). Analyzing the influence of university support and entrepreneurial culture on solar entrepreneurial intentions among Indian students. </w:t>
      </w:r>
      <w:r w:rsidRPr="004C2541">
        <w:rPr>
          <w:rFonts w:ascii="Arial" w:hAnsi="Arial" w:cs="Arial"/>
          <w:i/>
          <w:iCs/>
          <w:color w:val="000000" w:themeColor="text1"/>
          <w:sz w:val="20"/>
          <w:szCs w:val="20"/>
        </w:rPr>
        <w:t>The International Journal of Management Education, 22</w:t>
      </w:r>
      <w:r w:rsidRPr="004C2541">
        <w:rPr>
          <w:rFonts w:ascii="Arial" w:hAnsi="Arial" w:cs="Arial"/>
          <w:color w:val="000000" w:themeColor="text1"/>
          <w:sz w:val="20"/>
          <w:szCs w:val="20"/>
        </w:rPr>
        <w:t>(2), Article 100991. https://doi.org/10.1016/j.ijme.2024.100991</w:t>
      </w:r>
    </w:p>
    <w:p w14:paraId="45A42BE8" w14:textId="77777777" w:rsidR="001656D5" w:rsidRPr="00386261" w:rsidRDefault="001656D5" w:rsidP="00386261">
      <w:pPr>
        <w:pStyle w:val="NormalWeb"/>
        <w:spacing w:before="0" w:beforeAutospacing="0" w:after="0" w:afterAutospacing="0"/>
        <w:ind w:left="360" w:hanging="360"/>
        <w:rPr>
          <w:color w:val="000000" w:themeColor="text1"/>
        </w:rPr>
      </w:pPr>
      <w:r w:rsidRPr="00386261">
        <w:rPr>
          <w:rFonts w:ascii="Arial" w:hAnsi="Arial" w:cs="Arial"/>
          <w:color w:val="000000" w:themeColor="text1"/>
          <w:sz w:val="20"/>
          <w:szCs w:val="20"/>
        </w:rPr>
        <w:t xml:space="preserve">California Institute of Technology. (n.d.). </w:t>
      </w:r>
      <w:r w:rsidRPr="00386261">
        <w:rPr>
          <w:rFonts w:ascii="Arial" w:hAnsi="Arial" w:cs="Arial"/>
          <w:i/>
          <w:iCs/>
          <w:color w:val="000000" w:themeColor="text1"/>
          <w:sz w:val="20"/>
          <w:szCs w:val="20"/>
        </w:rPr>
        <w:t>Office of Technology Transfer and Corporate Partnerships (OTTCP)</w:t>
      </w:r>
      <w:r w:rsidRPr="00386261">
        <w:rPr>
          <w:rFonts w:ascii="Arial" w:hAnsi="Arial" w:cs="Arial"/>
          <w:color w:val="000000" w:themeColor="text1"/>
          <w:sz w:val="20"/>
          <w:szCs w:val="20"/>
        </w:rPr>
        <w:t>. https://innovation.caltech.edu/about-ottcp</w:t>
      </w:r>
    </w:p>
    <w:p w14:paraId="46353567" w14:textId="77777777" w:rsidR="001656D5" w:rsidRPr="004C2541" w:rsidRDefault="001656D5"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lastRenderedPageBreak/>
        <w:t xml:space="preserve">Carpenter, A., &amp; Wilson, R. (2022). A systematic review looking at the effect of entrepreneurship education on higher education student. </w:t>
      </w:r>
      <w:r w:rsidRPr="004C2541">
        <w:rPr>
          <w:rFonts w:ascii="Arial" w:hAnsi="Arial" w:cs="Arial"/>
          <w:i/>
          <w:iCs/>
          <w:color w:val="000000" w:themeColor="text1"/>
          <w:sz w:val="20"/>
          <w:szCs w:val="20"/>
        </w:rPr>
        <w:t>The International Journal of Management Education, 20</w:t>
      </w:r>
      <w:r w:rsidRPr="004C2541">
        <w:rPr>
          <w:rFonts w:ascii="Arial" w:hAnsi="Arial" w:cs="Arial"/>
          <w:color w:val="000000" w:themeColor="text1"/>
          <w:sz w:val="20"/>
          <w:szCs w:val="20"/>
        </w:rPr>
        <w:t>(2), Article 100541. https://doi.org/10.1016/j.ijme.2021.100541</w:t>
      </w:r>
    </w:p>
    <w:p w14:paraId="024E8D42" w14:textId="77777777" w:rsidR="001656D5" w:rsidRPr="004C2541" w:rsidRDefault="001656D5"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Clark, B. R. (1998). </w:t>
      </w:r>
      <w:r w:rsidRPr="004C2541">
        <w:rPr>
          <w:rFonts w:ascii="Arial" w:hAnsi="Arial" w:cs="Arial"/>
          <w:i/>
          <w:iCs/>
          <w:color w:val="000000" w:themeColor="text1"/>
          <w:sz w:val="20"/>
          <w:szCs w:val="20"/>
        </w:rPr>
        <w:t>Creating entrepreneurial universities: Organizational pathways of transformation</w:t>
      </w:r>
      <w:r w:rsidRPr="004C2541">
        <w:rPr>
          <w:rFonts w:ascii="Arial" w:hAnsi="Arial" w:cs="Arial"/>
          <w:color w:val="000000" w:themeColor="text1"/>
          <w:sz w:val="20"/>
          <w:szCs w:val="20"/>
        </w:rPr>
        <w:t>. Pergamon.</w:t>
      </w:r>
    </w:p>
    <w:p w14:paraId="1A8DD27A" w14:textId="77777777" w:rsidR="001656D5" w:rsidRPr="004C6910" w:rsidRDefault="001656D5" w:rsidP="004C2541">
      <w:pPr>
        <w:pStyle w:val="NormalWeb"/>
        <w:spacing w:before="0" w:beforeAutospacing="0" w:after="0" w:afterAutospacing="0"/>
        <w:ind w:left="360" w:hanging="360"/>
        <w:rPr>
          <w:rFonts w:ascii="Arial" w:hAnsi="Arial" w:cs="Arial"/>
          <w:color w:val="000000" w:themeColor="text1"/>
          <w:sz w:val="20"/>
          <w:szCs w:val="20"/>
        </w:rPr>
      </w:pPr>
      <w:r w:rsidRPr="004C6910">
        <w:rPr>
          <w:rFonts w:ascii="Arial" w:hAnsi="Arial" w:cs="Arial"/>
          <w:color w:val="000000" w:themeColor="text1"/>
          <w:sz w:val="20"/>
          <w:szCs w:val="20"/>
        </w:rPr>
        <w:t xml:space="preserve">Correia, M. P., Marques, C. S., Silva, R., &amp; Ramadani, V. (2024). Academic entrepreneurship ecosystems: Systematic literature review and future research directions. </w:t>
      </w:r>
      <w:r w:rsidRPr="004C6910">
        <w:rPr>
          <w:rFonts w:ascii="Arial" w:hAnsi="Arial" w:cs="Arial"/>
          <w:i/>
          <w:iCs/>
          <w:color w:val="000000" w:themeColor="text1"/>
          <w:sz w:val="20"/>
          <w:szCs w:val="20"/>
        </w:rPr>
        <w:t>Journal of the Knowledge Economy, 15</w:t>
      </w:r>
      <w:r w:rsidRPr="004C6910">
        <w:rPr>
          <w:rFonts w:ascii="Arial" w:hAnsi="Arial" w:cs="Arial"/>
          <w:color w:val="000000" w:themeColor="text1"/>
          <w:sz w:val="20"/>
          <w:szCs w:val="20"/>
        </w:rPr>
        <w:t>, 17498–17528.</w:t>
      </w:r>
      <w:hyperlink r:id="rId21" w:history="1">
        <w:r w:rsidRPr="004C6910">
          <w:rPr>
            <w:rStyle w:val="Hyperlink"/>
            <w:rFonts w:ascii="Arial" w:hAnsi="Arial" w:cs="Arial"/>
            <w:color w:val="000000" w:themeColor="text1"/>
            <w:sz w:val="20"/>
            <w:szCs w:val="20"/>
            <w:u w:val="none"/>
          </w:rPr>
          <w:t xml:space="preserve"> https://doi.org/10.1007/s13132-024-01819-x</w:t>
        </w:r>
      </w:hyperlink>
    </w:p>
    <w:p w14:paraId="4DD06053" w14:textId="77777777" w:rsidR="001656D5" w:rsidRPr="00386261" w:rsidRDefault="001656D5" w:rsidP="00386261">
      <w:pPr>
        <w:pStyle w:val="NormalWeb"/>
        <w:spacing w:before="0" w:beforeAutospacing="0" w:after="0" w:afterAutospacing="0"/>
        <w:ind w:left="360" w:hanging="360"/>
        <w:rPr>
          <w:color w:val="000000" w:themeColor="text1"/>
        </w:rPr>
      </w:pPr>
      <w:r w:rsidRPr="00386261">
        <w:rPr>
          <w:rFonts w:ascii="Arial" w:hAnsi="Arial" w:cs="Arial"/>
          <w:color w:val="000000" w:themeColor="text1"/>
          <w:sz w:val="20"/>
          <w:szCs w:val="20"/>
        </w:rPr>
        <w:t xml:space="preserve">ETH Zurich. (n.d.). </w:t>
      </w:r>
      <w:r w:rsidRPr="00386261">
        <w:rPr>
          <w:rFonts w:ascii="Arial" w:hAnsi="Arial" w:cs="Arial"/>
          <w:i/>
          <w:iCs/>
          <w:color w:val="000000" w:themeColor="text1"/>
          <w:sz w:val="20"/>
          <w:szCs w:val="20"/>
        </w:rPr>
        <w:t>ETH Entrepreneurship</w:t>
      </w:r>
      <w:r w:rsidRPr="00386261">
        <w:rPr>
          <w:rFonts w:ascii="Arial" w:hAnsi="Arial" w:cs="Arial"/>
          <w:color w:val="000000" w:themeColor="text1"/>
          <w:sz w:val="20"/>
          <w:szCs w:val="20"/>
        </w:rPr>
        <w:t>. https://entrepreneurship.ethz.ch</w:t>
      </w:r>
    </w:p>
    <w:p w14:paraId="4E0C1E01" w14:textId="77777777" w:rsidR="001656D5" w:rsidRPr="004C2541" w:rsidRDefault="001656D5"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Galvão, A. R., Marques, C. S., Mendes, T., &amp; Azevedo, C. (2025). How does perceived university support boost students' entrepreneurial intentions? </w:t>
      </w:r>
      <w:r w:rsidRPr="004C2541">
        <w:rPr>
          <w:rFonts w:ascii="Arial" w:hAnsi="Arial" w:cs="Arial"/>
          <w:i/>
          <w:iCs/>
          <w:color w:val="000000" w:themeColor="text1"/>
          <w:sz w:val="20"/>
          <w:szCs w:val="20"/>
        </w:rPr>
        <w:t>Journal of the Knowledge Economy, 16</w:t>
      </w:r>
      <w:r w:rsidRPr="004C2541">
        <w:rPr>
          <w:rFonts w:ascii="Arial" w:hAnsi="Arial" w:cs="Arial"/>
          <w:color w:val="000000" w:themeColor="text1"/>
          <w:sz w:val="20"/>
          <w:szCs w:val="20"/>
        </w:rPr>
        <w:t>, 12698–12726. https://doi.org/10.1007/s13132-024-02441-7</w:t>
      </w:r>
    </w:p>
    <w:p w14:paraId="41E7DBA3" w14:textId="77777777" w:rsidR="001656D5" w:rsidRPr="004C2541" w:rsidRDefault="001656D5"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Gonzalez-Tamayo, L. A., Olarewaju, A. D., Bonomo-Odizzio, A., &amp; Krauss-Delorme, C. (2024). University student entrepreneurial intentions: The effects of perceived institutional support, parental role models, and entrepreneurial self-efficacy. </w:t>
      </w:r>
      <w:r w:rsidRPr="004C2541">
        <w:rPr>
          <w:rFonts w:ascii="Arial" w:hAnsi="Arial" w:cs="Arial"/>
          <w:i/>
          <w:iCs/>
          <w:color w:val="000000" w:themeColor="text1"/>
          <w:sz w:val="20"/>
          <w:szCs w:val="20"/>
        </w:rPr>
        <w:t>Journal of Small Business and Enterprise Development, 31</w:t>
      </w:r>
      <w:r w:rsidRPr="004C2541">
        <w:rPr>
          <w:rFonts w:ascii="Arial" w:hAnsi="Arial" w:cs="Arial"/>
          <w:color w:val="000000" w:themeColor="text1"/>
          <w:sz w:val="20"/>
          <w:szCs w:val="20"/>
        </w:rPr>
        <w:t>(8), 205–227.</w:t>
      </w:r>
      <w:hyperlink r:id="rId22" w:history="1">
        <w:r w:rsidRPr="004C2541">
          <w:rPr>
            <w:rStyle w:val="Hyperlink"/>
            <w:rFonts w:ascii="Arial" w:hAnsi="Arial" w:cs="Arial"/>
            <w:color w:val="000000" w:themeColor="text1"/>
            <w:sz w:val="20"/>
            <w:szCs w:val="20"/>
            <w:u w:val="none"/>
          </w:rPr>
          <w:t xml:space="preserve"> https://doi.org/10.1108/JSBED-09-2022-0408</w:t>
        </w:r>
      </w:hyperlink>
    </w:p>
    <w:p w14:paraId="76E1DCCB" w14:textId="77777777" w:rsidR="001656D5" w:rsidRPr="00386261" w:rsidRDefault="001656D5" w:rsidP="00386261">
      <w:pPr>
        <w:pStyle w:val="NormalWeb"/>
        <w:spacing w:before="0" w:beforeAutospacing="0" w:after="0" w:afterAutospacing="0"/>
        <w:ind w:left="360" w:hanging="360"/>
        <w:rPr>
          <w:color w:val="000000" w:themeColor="text1"/>
        </w:rPr>
      </w:pPr>
      <w:r w:rsidRPr="00386261">
        <w:rPr>
          <w:rFonts w:ascii="Arial" w:hAnsi="Arial" w:cs="Arial"/>
          <w:color w:val="000000" w:themeColor="text1"/>
          <w:sz w:val="20"/>
          <w:szCs w:val="20"/>
        </w:rPr>
        <w:t xml:space="preserve">Harvard Innovation Labs. (n.d.). </w:t>
      </w:r>
      <w:r w:rsidRPr="00386261">
        <w:rPr>
          <w:rFonts w:ascii="Arial" w:hAnsi="Arial" w:cs="Arial"/>
          <w:i/>
          <w:iCs/>
          <w:color w:val="000000" w:themeColor="text1"/>
          <w:sz w:val="20"/>
          <w:szCs w:val="20"/>
        </w:rPr>
        <w:t>Student i</w:t>
      </w:r>
      <w:r w:rsidRPr="00386261">
        <w:rPr>
          <w:rFonts w:ascii="Arial" w:hAnsi="Arial" w:cs="Arial"/>
          <w:i/>
          <w:iCs/>
          <w:color w:val="000000" w:themeColor="text1"/>
          <w:sz w:val="20"/>
          <w:szCs w:val="20"/>
        </w:rPr>
        <w:noBreakHyphen/>
        <w:t>lab</w:t>
      </w:r>
      <w:r w:rsidRPr="00386261">
        <w:rPr>
          <w:rFonts w:ascii="Arial" w:hAnsi="Arial" w:cs="Arial"/>
          <w:color w:val="000000" w:themeColor="text1"/>
          <w:sz w:val="20"/>
          <w:szCs w:val="20"/>
        </w:rPr>
        <w:t>. https://innovationlabs.harvard.edu/labs/student-i-lab</w:t>
      </w:r>
    </w:p>
    <w:p w14:paraId="51E05D1E" w14:textId="77777777" w:rsidR="001656D5" w:rsidRPr="00386261" w:rsidRDefault="001656D5" w:rsidP="00386261">
      <w:pPr>
        <w:pStyle w:val="NormalWeb"/>
        <w:spacing w:before="0" w:beforeAutospacing="0" w:after="0" w:afterAutospacing="0"/>
        <w:ind w:left="360" w:hanging="360"/>
        <w:rPr>
          <w:color w:val="000000" w:themeColor="text1"/>
        </w:rPr>
      </w:pPr>
      <w:r w:rsidRPr="00386261">
        <w:rPr>
          <w:rFonts w:ascii="Arial" w:hAnsi="Arial" w:cs="Arial"/>
          <w:color w:val="000000" w:themeColor="text1"/>
          <w:sz w:val="20"/>
          <w:szCs w:val="20"/>
        </w:rPr>
        <w:t xml:space="preserve">Imperial Enterprise Lab. (n.d.). </w:t>
      </w:r>
      <w:r w:rsidRPr="00386261">
        <w:rPr>
          <w:rFonts w:ascii="Arial" w:hAnsi="Arial" w:cs="Arial"/>
          <w:i/>
          <w:iCs/>
          <w:color w:val="000000" w:themeColor="text1"/>
          <w:sz w:val="20"/>
          <w:szCs w:val="20"/>
        </w:rPr>
        <w:t>Home</w:t>
      </w:r>
      <w:r w:rsidRPr="00386261">
        <w:rPr>
          <w:rFonts w:ascii="Arial" w:hAnsi="Arial" w:cs="Arial"/>
          <w:color w:val="000000" w:themeColor="text1"/>
          <w:sz w:val="20"/>
          <w:szCs w:val="20"/>
        </w:rPr>
        <w:t>. https://www.imperialenterpriselab.com</w:t>
      </w:r>
    </w:p>
    <w:p w14:paraId="27612E07" w14:textId="77777777" w:rsidR="001656D5" w:rsidRPr="004C2541" w:rsidRDefault="001656D5"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Ismail, R., Farrington, S., Bignotti, A., Vermeire, J., Knockaert, M., &amp; Crucke, S. (2024). Student entrepreneurship support at South African public universities: An ecosystem perspective. </w:t>
      </w:r>
      <w:r w:rsidRPr="004C2541">
        <w:rPr>
          <w:rFonts w:ascii="Arial" w:hAnsi="Arial" w:cs="Arial"/>
          <w:i/>
          <w:iCs/>
          <w:color w:val="000000" w:themeColor="text1"/>
          <w:sz w:val="20"/>
          <w:szCs w:val="20"/>
        </w:rPr>
        <w:t>Southern African Business Review, 28</w:t>
      </w:r>
      <w:r w:rsidRPr="004C2541">
        <w:rPr>
          <w:rFonts w:ascii="Arial" w:hAnsi="Arial" w:cs="Arial"/>
          <w:color w:val="000000" w:themeColor="text1"/>
          <w:sz w:val="20"/>
          <w:szCs w:val="20"/>
        </w:rPr>
        <w:t>, 1–24. https://doi.org/10.25159/1998-8125/15298</w:t>
      </w:r>
    </w:p>
    <w:p w14:paraId="562F8C1F" w14:textId="77777777" w:rsidR="001656D5" w:rsidRPr="004C2541" w:rsidRDefault="001656D5"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Liu, M., Gorgievski, M. J., Qi, J., &amp; Paas, F. (2022). Perceived university support and entrepreneurial intentions: Do different students benefit differently? </w:t>
      </w:r>
      <w:r w:rsidRPr="004C2541">
        <w:rPr>
          <w:rFonts w:ascii="Arial" w:hAnsi="Arial" w:cs="Arial"/>
          <w:i/>
          <w:iCs/>
          <w:color w:val="000000" w:themeColor="text1"/>
          <w:sz w:val="20"/>
          <w:szCs w:val="20"/>
        </w:rPr>
        <w:t>Studies in Educational Evaluation, 73</w:t>
      </w:r>
      <w:r w:rsidRPr="004C2541">
        <w:rPr>
          <w:rFonts w:ascii="Arial" w:hAnsi="Arial" w:cs="Arial"/>
          <w:color w:val="000000" w:themeColor="text1"/>
          <w:sz w:val="20"/>
          <w:szCs w:val="20"/>
        </w:rPr>
        <w:t>, Article 101150.</w:t>
      </w:r>
      <w:hyperlink r:id="rId23" w:history="1">
        <w:r w:rsidRPr="004C2541">
          <w:rPr>
            <w:rStyle w:val="Hyperlink"/>
            <w:rFonts w:ascii="Arial" w:hAnsi="Arial" w:cs="Arial"/>
            <w:color w:val="000000" w:themeColor="text1"/>
            <w:sz w:val="20"/>
            <w:szCs w:val="20"/>
            <w:u w:val="none"/>
          </w:rPr>
          <w:t xml:space="preserve"> https://doi.org/10.1016/j.stueduc.2022.101150</w:t>
        </w:r>
      </w:hyperlink>
    </w:p>
    <w:p w14:paraId="791F6955" w14:textId="77777777" w:rsidR="001656D5" w:rsidRDefault="001656D5" w:rsidP="004C2541">
      <w:pPr>
        <w:pStyle w:val="NormalWeb"/>
        <w:spacing w:before="0" w:beforeAutospacing="0" w:after="0" w:afterAutospacing="0"/>
        <w:ind w:left="360" w:hanging="360"/>
        <w:rPr>
          <w:rFonts w:ascii="Arial" w:hAnsi="Arial" w:cs="Arial"/>
          <w:color w:val="000000" w:themeColor="text1"/>
          <w:sz w:val="20"/>
          <w:szCs w:val="20"/>
        </w:rPr>
      </w:pPr>
      <w:r w:rsidRPr="004C2541">
        <w:rPr>
          <w:rFonts w:ascii="Arial" w:hAnsi="Arial" w:cs="Arial"/>
          <w:color w:val="000000" w:themeColor="text1"/>
          <w:sz w:val="20"/>
          <w:szCs w:val="20"/>
        </w:rPr>
        <w:t xml:space="preserve">Maritz, A., Li, A., Utami, W., &amp; Sumaji, Y. (2022). The emergence of entrepreneurship education </w:t>
      </w:r>
      <w:r w:rsidRPr="004C6910">
        <w:rPr>
          <w:rFonts w:ascii="Arial" w:hAnsi="Arial" w:cs="Arial"/>
          <w:color w:val="000000" w:themeColor="text1"/>
          <w:sz w:val="20"/>
          <w:szCs w:val="20"/>
        </w:rPr>
        <w:t xml:space="preserve">programs in Indonesian higher education institutions. </w:t>
      </w:r>
      <w:r w:rsidRPr="004C6910">
        <w:rPr>
          <w:rFonts w:ascii="Arial" w:hAnsi="Arial" w:cs="Arial"/>
          <w:i/>
          <w:iCs/>
          <w:color w:val="000000" w:themeColor="text1"/>
          <w:sz w:val="20"/>
          <w:szCs w:val="20"/>
        </w:rPr>
        <w:t>Entrepreneurship Education, 5</w:t>
      </w:r>
      <w:r w:rsidRPr="004C6910">
        <w:rPr>
          <w:rFonts w:ascii="Arial" w:hAnsi="Arial" w:cs="Arial"/>
          <w:color w:val="000000" w:themeColor="text1"/>
          <w:sz w:val="20"/>
          <w:szCs w:val="20"/>
        </w:rPr>
        <w:t xml:space="preserve">(3), 289–317. </w:t>
      </w:r>
      <w:r w:rsidRPr="004C6910">
        <w:rPr>
          <w:rFonts w:ascii="Arial" w:hAnsi="Arial" w:cs="Arial"/>
          <w:sz w:val="20"/>
          <w:szCs w:val="20"/>
        </w:rPr>
        <w:t>https://doi.org/10.1007/s41959-022-00080-0</w:t>
      </w:r>
    </w:p>
    <w:p w14:paraId="4518ED8C" w14:textId="77777777" w:rsidR="001656D5" w:rsidRPr="00386261" w:rsidRDefault="001656D5" w:rsidP="00386261">
      <w:pPr>
        <w:pStyle w:val="NormalWeb"/>
        <w:spacing w:before="0" w:beforeAutospacing="0" w:after="0" w:afterAutospacing="0"/>
        <w:ind w:left="360" w:hanging="360"/>
        <w:rPr>
          <w:color w:val="000000" w:themeColor="text1"/>
        </w:rPr>
      </w:pPr>
      <w:r w:rsidRPr="00386261">
        <w:rPr>
          <w:rFonts w:ascii="Arial" w:hAnsi="Arial" w:cs="Arial"/>
          <w:color w:val="000000" w:themeColor="text1"/>
          <w:sz w:val="20"/>
          <w:szCs w:val="20"/>
        </w:rPr>
        <w:t xml:space="preserve">Massachusetts Institute of Technology. (n.d.-a). </w:t>
      </w:r>
      <w:r w:rsidRPr="00386261">
        <w:rPr>
          <w:rFonts w:ascii="Arial" w:hAnsi="Arial" w:cs="Arial"/>
          <w:i/>
          <w:iCs/>
          <w:color w:val="000000" w:themeColor="text1"/>
          <w:sz w:val="20"/>
          <w:szCs w:val="20"/>
        </w:rPr>
        <w:t>Martin Trust Center for MIT Entrepreneurship</w:t>
      </w:r>
      <w:r w:rsidRPr="00386261">
        <w:rPr>
          <w:rFonts w:ascii="Arial" w:hAnsi="Arial" w:cs="Arial"/>
          <w:color w:val="000000" w:themeColor="text1"/>
          <w:sz w:val="20"/>
          <w:szCs w:val="20"/>
        </w:rPr>
        <w:t>. https://entrepreneurship.mit.edu</w:t>
      </w:r>
    </w:p>
    <w:p w14:paraId="685DDD83" w14:textId="77777777" w:rsidR="001656D5" w:rsidRPr="001656D5" w:rsidRDefault="001656D5" w:rsidP="001656D5">
      <w:pPr>
        <w:pStyle w:val="NormalWeb"/>
        <w:spacing w:before="0" w:beforeAutospacing="0" w:after="0" w:afterAutospacing="0"/>
        <w:ind w:left="360" w:hanging="360"/>
        <w:rPr>
          <w:rFonts w:ascii="Arial" w:hAnsi="Arial" w:cs="Arial"/>
          <w:color w:val="000000" w:themeColor="text1"/>
          <w:sz w:val="20"/>
          <w:szCs w:val="20"/>
        </w:rPr>
      </w:pPr>
      <w:r w:rsidRPr="001656D5">
        <w:rPr>
          <w:rFonts w:ascii="Arial" w:hAnsi="Arial" w:cs="Arial"/>
          <w:color w:val="000000" w:themeColor="text1"/>
          <w:sz w:val="20"/>
          <w:szCs w:val="20"/>
        </w:rPr>
        <w:t xml:space="preserve">Mendonça, M. de M., do Carmo, B. B. T., Queiroz, J. E. da S., &amp; Barreto, L. R. (2023). A process management benchmarking model for higher education institutions. </w:t>
      </w:r>
      <w:r w:rsidRPr="001656D5">
        <w:rPr>
          <w:rFonts w:ascii="Arial" w:hAnsi="Arial" w:cs="Arial"/>
          <w:i/>
          <w:iCs/>
          <w:color w:val="000000" w:themeColor="text1"/>
          <w:sz w:val="20"/>
          <w:szCs w:val="20"/>
        </w:rPr>
        <w:t>Revista de Administração da UFSM, 16</w:t>
      </w:r>
      <w:r w:rsidRPr="001656D5">
        <w:rPr>
          <w:rFonts w:ascii="Arial" w:hAnsi="Arial" w:cs="Arial"/>
          <w:color w:val="000000" w:themeColor="text1"/>
          <w:sz w:val="20"/>
          <w:szCs w:val="20"/>
        </w:rPr>
        <w:t xml:space="preserve">(1). </w:t>
      </w:r>
      <w:hyperlink r:id="rId24" w:history="1">
        <w:r w:rsidRPr="001656D5">
          <w:rPr>
            <w:rStyle w:val="Hyperlink"/>
            <w:rFonts w:ascii="Arial" w:hAnsi="Arial" w:cs="Arial"/>
            <w:color w:val="000000" w:themeColor="text1"/>
            <w:sz w:val="20"/>
            <w:szCs w:val="20"/>
            <w:u w:val="none"/>
          </w:rPr>
          <w:t>https://doi.org/10.5902/1983465969818</w:t>
        </w:r>
      </w:hyperlink>
    </w:p>
    <w:p w14:paraId="7407D9A1" w14:textId="77777777" w:rsidR="001656D5" w:rsidRPr="004C2541" w:rsidRDefault="001656D5"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Meyskens, M., Nguyen, Q. A., Shrivastava, A., &amp; Ivanov, S. (2022). Student entrepreneurship ecosystems at Australian higher education institutions. </w:t>
      </w:r>
      <w:r w:rsidRPr="004C2541">
        <w:rPr>
          <w:rFonts w:ascii="Arial" w:hAnsi="Arial" w:cs="Arial"/>
          <w:i/>
          <w:iCs/>
          <w:color w:val="000000" w:themeColor="text1"/>
          <w:sz w:val="20"/>
          <w:szCs w:val="20"/>
        </w:rPr>
        <w:t>Journal of Small Business and Enterprise Development, 29</w:t>
      </w:r>
      <w:r w:rsidRPr="004C2541">
        <w:rPr>
          <w:rFonts w:ascii="Arial" w:hAnsi="Arial" w:cs="Arial"/>
          <w:color w:val="000000" w:themeColor="text1"/>
          <w:sz w:val="20"/>
          <w:szCs w:val="20"/>
        </w:rPr>
        <w:t>(6), 940–957.</w:t>
      </w:r>
      <w:hyperlink r:id="rId25" w:history="1">
        <w:r w:rsidRPr="004C2541">
          <w:rPr>
            <w:rStyle w:val="Hyperlink"/>
            <w:rFonts w:ascii="Arial" w:hAnsi="Arial" w:cs="Arial"/>
            <w:color w:val="000000" w:themeColor="text1"/>
            <w:sz w:val="20"/>
            <w:szCs w:val="20"/>
            <w:u w:val="none"/>
          </w:rPr>
          <w:t xml:space="preserve"> https://doi.org/10.1108/JSBED-11-2021-0466</w:t>
        </w:r>
      </w:hyperlink>
    </w:p>
    <w:p w14:paraId="6C34FD08" w14:textId="77777777" w:rsidR="001656D5" w:rsidRPr="004C6910" w:rsidRDefault="001656D5" w:rsidP="004C6910">
      <w:pPr>
        <w:pStyle w:val="NormalWeb"/>
        <w:spacing w:before="0" w:beforeAutospacing="0" w:after="0" w:afterAutospacing="0"/>
        <w:ind w:left="360" w:hanging="360"/>
      </w:pPr>
      <w:r w:rsidRPr="004C2541">
        <w:rPr>
          <w:rFonts w:ascii="Arial" w:hAnsi="Arial" w:cs="Arial"/>
          <w:color w:val="000000" w:themeColor="text1"/>
          <w:sz w:val="20"/>
          <w:szCs w:val="20"/>
        </w:rPr>
        <w:t xml:space="preserve">Moraes, G. H. S. M. de, Schaeffer, P. R., Alves, A. C., &amp; Heaton, S. (2025). Exploring a link between faculty intrapreneurship, student entrepreneurship and ecosystem dynamism. </w:t>
      </w:r>
      <w:r w:rsidRPr="004C2541">
        <w:rPr>
          <w:rFonts w:ascii="Arial" w:hAnsi="Arial" w:cs="Arial"/>
          <w:i/>
          <w:iCs/>
          <w:color w:val="000000" w:themeColor="text1"/>
          <w:sz w:val="20"/>
          <w:szCs w:val="20"/>
        </w:rPr>
        <w:t>Journal of Entrepreneurship in Emerging Economies, 17</w:t>
      </w:r>
      <w:r w:rsidRPr="004C2541">
        <w:rPr>
          <w:rFonts w:ascii="Arial" w:hAnsi="Arial" w:cs="Arial"/>
          <w:color w:val="000000" w:themeColor="text1"/>
          <w:sz w:val="20"/>
          <w:szCs w:val="20"/>
        </w:rPr>
        <w:t>(2), 336–356.</w:t>
      </w:r>
      <w:hyperlink r:id="rId26" w:history="1">
        <w:r w:rsidRPr="004C2541">
          <w:rPr>
            <w:rStyle w:val="Hyperlink"/>
            <w:rFonts w:ascii="Arial" w:hAnsi="Arial" w:cs="Arial"/>
            <w:color w:val="000000" w:themeColor="text1"/>
            <w:sz w:val="20"/>
            <w:szCs w:val="20"/>
            <w:u w:val="none"/>
          </w:rPr>
          <w:t xml:space="preserve"> </w:t>
        </w:r>
      </w:hyperlink>
      <w:r w:rsidRPr="004C6910">
        <w:rPr>
          <w:rFonts w:ascii="Arial" w:hAnsi="Arial" w:cs="Arial"/>
          <w:sz w:val="20"/>
          <w:szCs w:val="20"/>
        </w:rPr>
        <w:t>https://doi.org/10.1108/JEEE-09-2023-0356</w:t>
      </w:r>
    </w:p>
    <w:p w14:paraId="47DC0C60" w14:textId="77777777" w:rsidR="001656D5" w:rsidRPr="004C2541" w:rsidRDefault="001656D5"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Morgan, H. (2022). Conducting a qualitative document analysis. </w:t>
      </w:r>
      <w:r w:rsidRPr="004C2541">
        <w:rPr>
          <w:rFonts w:ascii="Arial" w:hAnsi="Arial" w:cs="Arial"/>
          <w:i/>
          <w:iCs/>
          <w:color w:val="000000" w:themeColor="text1"/>
          <w:sz w:val="20"/>
          <w:szCs w:val="20"/>
        </w:rPr>
        <w:t>The Qualitative Report, 27</w:t>
      </w:r>
      <w:r w:rsidRPr="004C2541">
        <w:rPr>
          <w:rFonts w:ascii="Arial" w:hAnsi="Arial" w:cs="Arial"/>
          <w:color w:val="000000" w:themeColor="text1"/>
          <w:sz w:val="20"/>
          <w:szCs w:val="20"/>
        </w:rPr>
        <w:t>(1), 64–77.</w:t>
      </w:r>
      <w:hyperlink r:id="rId27" w:history="1">
        <w:r w:rsidRPr="004C2541">
          <w:rPr>
            <w:rStyle w:val="Hyperlink"/>
            <w:rFonts w:ascii="Arial" w:hAnsi="Arial" w:cs="Arial"/>
            <w:color w:val="000000" w:themeColor="text1"/>
            <w:sz w:val="20"/>
            <w:szCs w:val="20"/>
            <w:u w:val="none"/>
          </w:rPr>
          <w:t xml:space="preserve"> </w:t>
        </w:r>
      </w:hyperlink>
      <w:hyperlink r:id="rId28" w:history="1">
        <w:r w:rsidRPr="004C2541">
          <w:rPr>
            <w:rStyle w:val="Hyperlink"/>
            <w:rFonts w:ascii="Arial" w:hAnsi="Arial" w:cs="Arial"/>
            <w:color w:val="000000" w:themeColor="text1"/>
            <w:sz w:val="20"/>
            <w:szCs w:val="20"/>
            <w:u w:val="none"/>
          </w:rPr>
          <w:t>https://doi.org/10.46743/2160-3715/2022.5044</w:t>
        </w:r>
      </w:hyperlink>
    </w:p>
    <w:p w14:paraId="5FD38B13" w14:textId="77777777" w:rsidR="001656D5" w:rsidRPr="00E24FB2" w:rsidRDefault="001656D5" w:rsidP="00E24FB2">
      <w:pPr>
        <w:pStyle w:val="NormalWeb"/>
        <w:spacing w:before="0" w:beforeAutospacing="0" w:after="0" w:afterAutospacing="0"/>
        <w:ind w:left="360" w:hanging="360"/>
      </w:pPr>
      <w:r w:rsidRPr="004C2541">
        <w:rPr>
          <w:rFonts w:ascii="Arial" w:hAnsi="Arial" w:cs="Arial"/>
          <w:color w:val="000000" w:themeColor="text1"/>
          <w:sz w:val="20"/>
          <w:szCs w:val="20"/>
        </w:rPr>
        <w:t xml:space="preserve">Motta, V. F., &amp; Galina, S. V. R. (2023). Experiential learning in entrepreneurship education: </w:t>
      </w:r>
      <w:r w:rsidRPr="00E24FB2">
        <w:rPr>
          <w:rFonts w:ascii="Arial" w:hAnsi="Arial" w:cs="Arial"/>
          <w:color w:val="000000" w:themeColor="text1"/>
          <w:sz w:val="20"/>
          <w:szCs w:val="20"/>
        </w:rPr>
        <w:t xml:space="preserve">A systematic literature review. </w:t>
      </w:r>
      <w:r w:rsidRPr="00E24FB2">
        <w:rPr>
          <w:rFonts w:ascii="Arial" w:hAnsi="Arial" w:cs="Arial"/>
          <w:i/>
          <w:iCs/>
          <w:color w:val="000000" w:themeColor="text1"/>
          <w:sz w:val="20"/>
          <w:szCs w:val="20"/>
        </w:rPr>
        <w:t>Teaching and Teacher Education, 121</w:t>
      </w:r>
      <w:r w:rsidRPr="00E24FB2">
        <w:rPr>
          <w:rFonts w:ascii="Arial" w:hAnsi="Arial" w:cs="Arial"/>
          <w:color w:val="000000" w:themeColor="text1"/>
          <w:sz w:val="20"/>
          <w:szCs w:val="20"/>
        </w:rPr>
        <w:t>, Article 103919.</w:t>
      </w:r>
      <w:r w:rsidRPr="00E24FB2">
        <w:rPr>
          <w:rFonts w:ascii="Arial" w:hAnsi="Arial" w:cs="Arial"/>
        </w:rPr>
        <w:t xml:space="preserve"> </w:t>
      </w:r>
      <w:r w:rsidRPr="00E24FB2">
        <w:rPr>
          <w:rStyle w:val="HTMLCode"/>
          <w:rFonts w:ascii="Arial" w:hAnsi="Arial" w:cs="Arial"/>
        </w:rPr>
        <w:t>https://doi.org/10.1016/j.tate.2022.103919</w:t>
      </w:r>
    </w:p>
    <w:p w14:paraId="518B4DB0" w14:textId="77777777" w:rsidR="001656D5" w:rsidRPr="004C2541" w:rsidRDefault="001656D5"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Mustafa, M. J., Chin, J. W., Nungsari, M., &amp; Morris, K. J. (2023). Do proactive students benefit more from university support for entrepreneurship when it comes to choosing entrepreneurship as a career choice? An examination of Ghanaian and Malaysian </w:t>
      </w:r>
      <w:r w:rsidRPr="004C2541">
        <w:rPr>
          <w:rFonts w:ascii="Arial" w:hAnsi="Arial" w:cs="Arial"/>
          <w:color w:val="000000" w:themeColor="text1"/>
          <w:sz w:val="20"/>
          <w:szCs w:val="20"/>
        </w:rPr>
        <w:lastRenderedPageBreak/>
        <w:t xml:space="preserve">students. </w:t>
      </w:r>
      <w:r w:rsidRPr="004C2541">
        <w:rPr>
          <w:rFonts w:ascii="Arial" w:hAnsi="Arial" w:cs="Arial"/>
          <w:i/>
          <w:iCs/>
          <w:color w:val="000000" w:themeColor="text1"/>
          <w:sz w:val="20"/>
          <w:szCs w:val="20"/>
        </w:rPr>
        <w:t>The International Journal of Management Education, 21</w:t>
      </w:r>
      <w:r w:rsidRPr="004C2541">
        <w:rPr>
          <w:rFonts w:ascii="Arial" w:hAnsi="Arial" w:cs="Arial"/>
          <w:color w:val="000000" w:themeColor="text1"/>
          <w:sz w:val="20"/>
          <w:szCs w:val="20"/>
        </w:rPr>
        <w:t>(3), Article 100868. https://doi.org/10.1016/j.ijme.2023.100868</w:t>
      </w:r>
    </w:p>
    <w:p w14:paraId="68304774" w14:textId="77777777" w:rsidR="001656D5" w:rsidRPr="00386261" w:rsidRDefault="001656D5" w:rsidP="00386261">
      <w:pPr>
        <w:pStyle w:val="NormalWeb"/>
        <w:spacing w:before="0" w:beforeAutospacing="0" w:after="0" w:afterAutospacing="0"/>
        <w:ind w:left="360" w:hanging="360"/>
        <w:rPr>
          <w:color w:val="000000" w:themeColor="text1"/>
        </w:rPr>
      </w:pPr>
      <w:r w:rsidRPr="00386261">
        <w:rPr>
          <w:rFonts w:ascii="Arial" w:hAnsi="Arial" w:cs="Arial"/>
          <w:color w:val="000000" w:themeColor="text1"/>
          <w:sz w:val="20"/>
          <w:szCs w:val="20"/>
        </w:rPr>
        <w:t xml:space="preserve">National University of Singapore. (n.d.). </w:t>
      </w:r>
      <w:r w:rsidRPr="00386261">
        <w:rPr>
          <w:rFonts w:ascii="Arial" w:hAnsi="Arial" w:cs="Arial"/>
          <w:i/>
          <w:iCs/>
          <w:color w:val="000000" w:themeColor="text1"/>
          <w:sz w:val="20"/>
          <w:szCs w:val="20"/>
        </w:rPr>
        <w:t>NUS Enterprise</w:t>
      </w:r>
      <w:r w:rsidRPr="00386261">
        <w:rPr>
          <w:rFonts w:ascii="Arial" w:hAnsi="Arial" w:cs="Arial"/>
          <w:color w:val="000000" w:themeColor="text1"/>
          <w:sz w:val="20"/>
          <w:szCs w:val="20"/>
        </w:rPr>
        <w:t>. https://enterprise.nus.edu.sg</w:t>
      </w:r>
    </w:p>
    <w:p w14:paraId="1F322A46" w14:textId="77777777" w:rsidR="001656D5" w:rsidRPr="00D848F2" w:rsidRDefault="001656D5" w:rsidP="004C2541">
      <w:pPr>
        <w:pStyle w:val="NormalWeb"/>
        <w:spacing w:before="0" w:beforeAutospacing="0" w:after="0" w:afterAutospacing="0"/>
        <w:ind w:left="360" w:hanging="360"/>
        <w:rPr>
          <w:rFonts w:ascii="Arial" w:hAnsi="Arial" w:cs="Arial"/>
          <w:color w:val="000000" w:themeColor="text1"/>
          <w:sz w:val="20"/>
          <w:szCs w:val="20"/>
        </w:rPr>
      </w:pPr>
      <w:r w:rsidRPr="00D848F2">
        <w:rPr>
          <w:rFonts w:ascii="Arial" w:hAnsi="Arial" w:cs="Arial"/>
          <w:color w:val="000000" w:themeColor="text1"/>
          <w:sz w:val="20"/>
          <w:szCs w:val="20"/>
        </w:rPr>
        <w:t xml:space="preserve">Novak, A. M., &amp; Jen, E. (2024). The editorial word: Trustworthiness. </w:t>
      </w:r>
      <w:r w:rsidRPr="00D848F2">
        <w:rPr>
          <w:rFonts w:ascii="Arial" w:hAnsi="Arial" w:cs="Arial"/>
          <w:i/>
          <w:iCs/>
          <w:color w:val="000000" w:themeColor="text1"/>
          <w:sz w:val="20"/>
          <w:szCs w:val="20"/>
        </w:rPr>
        <w:t>Journal of Advanced Academics, 35</w:t>
      </w:r>
      <w:r w:rsidRPr="00D848F2">
        <w:rPr>
          <w:rFonts w:ascii="Arial" w:hAnsi="Arial" w:cs="Arial"/>
          <w:color w:val="000000" w:themeColor="text1"/>
          <w:sz w:val="20"/>
          <w:szCs w:val="20"/>
        </w:rPr>
        <w:t>(4), 718–728. https://doi.org/10.1177/1932202X241288384</w:t>
      </w:r>
    </w:p>
    <w:p w14:paraId="628C7FF1" w14:textId="77777777" w:rsidR="001656D5" w:rsidRPr="001656D5" w:rsidRDefault="001656D5" w:rsidP="001656D5">
      <w:pPr>
        <w:pStyle w:val="NormalWeb"/>
        <w:spacing w:before="0" w:beforeAutospacing="0" w:after="0" w:afterAutospacing="0"/>
        <w:ind w:left="360" w:hanging="360"/>
        <w:rPr>
          <w:rFonts w:ascii="Arial" w:hAnsi="Arial" w:cs="Arial"/>
          <w:color w:val="000000" w:themeColor="text1"/>
          <w:sz w:val="20"/>
          <w:szCs w:val="20"/>
        </w:rPr>
      </w:pPr>
      <w:r w:rsidRPr="001656D5">
        <w:rPr>
          <w:rFonts w:ascii="Arial" w:hAnsi="Arial" w:cs="Arial"/>
          <w:color w:val="000000" w:themeColor="text1"/>
          <w:sz w:val="20"/>
          <w:szCs w:val="20"/>
        </w:rPr>
        <w:t xml:space="preserve">Peschl, H., Sug, I. I., Ripka, E., &amp; Canizales, S. (2023). Combining best practices framework with benchmarking to advance principles for responsible management education (PRME) performance. </w:t>
      </w:r>
      <w:r w:rsidRPr="001656D5">
        <w:rPr>
          <w:rFonts w:ascii="Arial" w:hAnsi="Arial" w:cs="Arial"/>
          <w:i/>
          <w:iCs/>
          <w:color w:val="000000" w:themeColor="text1"/>
          <w:sz w:val="20"/>
          <w:szCs w:val="20"/>
        </w:rPr>
        <w:t>The International Journal of Management Education, 21</w:t>
      </w:r>
      <w:r w:rsidRPr="001656D5">
        <w:rPr>
          <w:rFonts w:ascii="Arial" w:hAnsi="Arial" w:cs="Arial"/>
          <w:color w:val="000000" w:themeColor="text1"/>
          <w:sz w:val="20"/>
          <w:szCs w:val="20"/>
        </w:rPr>
        <w:t xml:space="preserve">(3), 100791. </w:t>
      </w:r>
      <w:hyperlink r:id="rId29" w:history="1">
        <w:r w:rsidRPr="001656D5">
          <w:rPr>
            <w:rStyle w:val="Hyperlink"/>
            <w:rFonts w:ascii="Arial" w:hAnsi="Arial" w:cs="Arial"/>
            <w:color w:val="000000" w:themeColor="text1"/>
            <w:sz w:val="20"/>
            <w:szCs w:val="20"/>
            <w:u w:val="none"/>
          </w:rPr>
          <w:t>https://doi.org/10.1016/j.ijme.2023.100791</w:t>
        </w:r>
      </w:hyperlink>
    </w:p>
    <w:p w14:paraId="43152973" w14:textId="77777777" w:rsidR="001656D5" w:rsidRPr="00D848F2" w:rsidRDefault="001656D5" w:rsidP="004C2541">
      <w:pPr>
        <w:pStyle w:val="NormalWeb"/>
        <w:spacing w:before="0" w:beforeAutospacing="0" w:after="0" w:afterAutospacing="0"/>
        <w:ind w:left="360" w:hanging="360"/>
        <w:rPr>
          <w:rFonts w:ascii="Arial" w:hAnsi="Arial" w:cs="Arial"/>
          <w:color w:val="000000" w:themeColor="text1"/>
          <w:sz w:val="20"/>
          <w:szCs w:val="20"/>
        </w:rPr>
      </w:pPr>
      <w:r w:rsidRPr="00D848F2">
        <w:rPr>
          <w:rFonts w:ascii="Arial" w:hAnsi="Arial" w:cs="Arial"/>
          <w:color w:val="000000" w:themeColor="text1"/>
          <w:sz w:val="20"/>
          <w:szCs w:val="20"/>
        </w:rPr>
        <w:t xml:space="preserve">Quacquarelli Symonds. (2026). </w:t>
      </w:r>
      <w:r w:rsidRPr="00D848F2">
        <w:rPr>
          <w:rStyle w:val="Emphasis"/>
          <w:rFonts w:ascii="Arial" w:hAnsi="Arial" w:cs="Arial"/>
          <w:color w:val="000000" w:themeColor="text1"/>
          <w:sz w:val="20"/>
          <w:szCs w:val="20"/>
        </w:rPr>
        <w:t>QS World University Rankings 2027</w:t>
      </w:r>
      <w:r w:rsidRPr="00D848F2">
        <w:rPr>
          <w:rFonts w:ascii="Arial" w:hAnsi="Arial" w:cs="Arial"/>
          <w:color w:val="000000" w:themeColor="text1"/>
          <w:sz w:val="20"/>
          <w:szCs w:val="20"/>
        </w:rPr>
        <w:t xml:space="preserve">. TopUniversities.com. </w:t>
      </w:r>
      <w:r w:rsidRPr="00D848F2">
        <w:rPr>
          <w:rFonts w:ascii="Arial" w:hAnsi="Arial" w:cs="Arial"/>
          <w:sz w:val="20"/>
          <w:szCs w:val="20"/>
        </w:rPr>
        <w:t>https://www.topuniversities.com/world-university-rankings</w:t>
      </w:r>
    </w:p>
    <w:p w14:paraId="1DE40602" w14:textId="77777777" w:rsidR="001656D5" w:rsidRPr="004C2541" w:rsidRDefault="001656D5" w:rsidP="004C2541">
      <w:pPr>
        <w:pStyle w:val="NormalWeb"/>
        <w:spacing w:before="0" w:beforeAutospacing="0" w:after="0" w:afterAutospacing="0"/>
        <w:ind w:left="360" w:hanging="360"/>
        <w:rPr>
          <w:color w:val="000000" w:themeColor="text1"/>
        </w:rPr>
      </w:pPr>
      <w:r w:rsidRPr="0026707F">
        <w:rPr>
          <w:rFonts w:ascii="Arial" w:hAnsi="Arial" w:cs="Arial"/>
          <w:color w:val="000000" w:themeColor="text1"/>
          <w:sz w:val="20"/>
          <w:szCs w:val="20"/>
        </w:rPr>
        <w:t xml:space="preserve">Rocha, R. G., do Paço, A., &amp; Alves, H. (2024). Entrepreneurship education for non-business students: A social learning perspective. </w:t>
      </w:r>
      <w:r w:rsidRPr="0026707F">
        <w:rPr>
          <w:rFonts w:ascii="Arial" w:hAnsi="Arial" w:cs="Arial"/>
          <w:i/>
          <w:iCs/>
          <w:color w:val="000000" w:themeColor="text1"/>
          <w:sz w:val="20"/>
          <w:szCs w:val="20"/>
        </w:rPr>
        <w:t xml:space="preserve">The International Journal of Management </w:t>
      </w:r>
      <w:r w:rsidRPr="004C2541">
        <w:rPr>
          <w:rFonts w:ascii="Arial" w:hAnsi="Arial" w:cs="Arial"/>
          <w:i/>
          <w:iCs/>
          <w:color w:val="000000" w:themeColor="text1"/>
          <w:sz w:val="20"/>
          <w:szCs w:val="20"/>
        </w:rPr>
        <w:t>Education, 22</w:t>
      </w:r>
      <w:r w:rsidRPr="004C2541">
        <w:rPr>
          <w:rFonts w:ascii="Arial" w:hAnsi="Arial" w:cs="Arial"/>
          <w:color w:val="000000" w:themeColor="text1"/>
          <w:sz w:val="20"/>
          <w:szCs w:val="20"/>
        </w:rPr>
        <w:t>(2), Article 100974.</w:t>
      </w:r>
      <w:hyperlink r:id="rId30" w:history="1">
        <w:r w:rsidRPr="004C2541">
          <w:rPr>
            <w:rStyle w:val="Hyperlink"/>
            <w:rFonts w:ascii="Arial" w:hAnsi="Arial" w:cs="Arial"/>
            <w:color w:val="000000" w:themeColor="text1"/>
            <w:sz w:val="20"/>
            <w:szCs w:val="20"/>
            <w:u w:val="none"/>
          </w:rPr>
          <w:t xml:space="preserve"> https://doi.org/10.1016/j.ijme.2024.100974</w:t>
        </w:r>
      </w:hyperlink>
    </w:p>
    <w:p w14:paraId="4FC73D69" w14:textId="77777777" w:rsidR="001656D5" w:rsidRPr="001656D5" w:rsidRDefault="001656D5" w:rsidP="001656D5">
      <w:pPr>
        <w:pStyle w:val="NormalWeb"/>
        <w:spacing w:before="0" w:beforeAutospacing="0" w:after="0" w:afterAutospacing="0"/>
        <w:ind w:left="360" w:hanging="360"/>
        <w:rPr>
          <w:rFonts w:ascii="Arial" w:hAnsi="Arial" w:cs="Arial"/>
          <w:color w:val="000000" w:themeColor="text1"/>
          <w:sz w:val="20"/>
          <w:szCs w:val="20"/>
        </w:rPr>
      </w:pPr>
      <w:r w:rsidRPr="001656D5">
        <w:rPr>
          <w:rFonts w:ascii="Arial" w:hAnsi="Arial" w:cs="Arial"/>
          <w:color w:val="000000" w:themeColor="text1"/>
          <w:sz w:val="20"/>
          <w:szCs w:val="20"/>
        </w:rPr>
        <w:t xml:space="preserve">Santos, I. K. S. D., Oliveira, A., Silva, S. A. D., &amp; Conde, W. L. (2024). Ações de vigilância alimentar e nutricional no Brasil e em Portugal: uma análise documental comparativa [Food and nutrition surveillance actions in Brazil and Portugal: a comparative documentary analysis]. </w:t>
      </w:r>
      <w:r w:rsidRPr="001656D5">
        <w:rPr>
          <w:rFonts w:ascii="Arial" w:hAnsi="Arial" w:cs="Arial"/>
          <w:i/>
          <w:iCs/>
          <w:color w:val="000000" w:themeColor="text1"/>
          <w:sz w:val="20"/>
          <w:szCs w:val="20"/>
        </w:rPr>
        <w:t>Cadernos de saude publica</w:t>
      </w:r>
      <w:r w:rsidRPr="001656D5">
        <w:rPr>
          <w:rFonts w:ascii="Arial" w:hAnsi="Arial" w:cs="Arial"/>
          <w:color w:val="000000" w:themeColor="text1"/>
          <w:sz w:val="20"/>
          <w:szCs w:val="20"/>
        </w:rPr>
        <w:t xml:space="preserve">, </w:t>
      </w:r>
      <w:r w:rsidRPr="001656D5">
        <w:rPr>
          <w:rFonts w:ascii="Arial" w:hAnsi="Arial" w:cs="Arial"/>
          <w:i/>
          <w:iCs/>
          <w:color w:val="000000" w:themeColor="text1"/>
          <w:sz w:val="20"/>
          <w:szCs w:val="20"/>
        </w:rPr>
        <w:t>40</w:t>
      </w:r>
      <w:r w:rsidRPr="001656D5">
        <w:rPr>
          <w:rFonts w:ascii="Arial" w:hAnsi="Arial" w:cs="Arial"/>
          <w:color w:val="000000" w:themeColor="text1"/>
          <w:sz w:val="20"/>
          <w:szCs w:val="20"/>
        </w:rPr>
        <w:t xml:space="preserve">(8), e00189823. </w:t>
      </w:r>
      <w:hyperlink r:id="rId31" w:history="1">
        <w:r w:rsidRPr="001656D5">
          <w:rPr>
            <w:rStyle w:val="Hyperlink"/>
            <w:rFonts w:ascii="Arial" w:hAnsi="Arial" w:cs="Arial"/>
            <w:color w:val="000000" w:themeColor="text1"/>
            <w:sz w:val="20"/>
            <w:szCs w:val="20"/>
            <w:u w:val="none"/>
          </w:rPr>
          <w:t>https://doi.org/10.1590/0102-311XPT189823</w:t>
        </w:r>
      </w:hyperlink>
    </w:p>
    <w:p w14:paraId="298BD850" w14:textId="77777777" w:rsidR="001656D5" w:rsidRPr="001656D5" w:rsidRDefault="001656D5" w:rsidP="001656D5">
      <w:pPr>
        <w:pStyle w:val="NormalWeb"/>
        <w:spacing w:before="0" w:beforeAutospacing="0" w:after="0" w:afterAutospacing="0"/>
        <w:ind w:left="360" w:hanging="360"/>
        <w:rPr>
          <w:rFonts w:ascii="Arial" w:hAnsi="Arial" w:cs="Arial"/>
          <w:color w:val="000000" w:themeColor="text1"/>
          <w:sz w:val="20"/>
          <w:szCs w:val="20"/>
        </w:rPr>
      </w:pPr>
      <w:r w:rsidRPr="001656D5">
        <w:rPr>
          <w:rFonts w:ascii="Arial" w:hAnsi="Arial" w:cs="Arial"/>
          <w:color w:val="000000" w:themeColor="text1"/>
          <w:sz w:val="20"/>
          <w:szCs w:val="20"/>
        </w:rPr>
        <w:t xml:space="preserve">Sheard, L. (2022). Telling a story or reporting the facts? Interpretation and description in the qualitative analysis of applied health research data: A documentary analysis of peer review reports. </w:t>
      </w:r>
      <w:r w:rsidRPr="001656D5">
        <w:rPr>
          <w:rFonts w:ascii="Arial" w:hAnsi="Arial" w:cs="Arial"/>
          <w:i/>
          <w:iCs/>
          <w:color w:val="000000" w:themeColor="text1"/>
          <w:sz w:val="20"/>
          <w:szCs w:val="20"/>
        </w:rPr>
        <w:t>SSM - Qualitative Research in Health, 2</w:t>
      </w:r>
      <w:r w:rsidRPr="001656D5">
        <w:rPr>
          <w:rFonts w:ascii="Arial" w:hAnsi="Arial" w:cs="Arial"/>
          <w:color w:val="000000" w:themeColor="text1"/>
          <w:sz w:val="20"/>
          <w:szCs w:val="20"/>
        </w:rPr>
        <w:t>, Article 100166.</w:t>
      </w:r>
      <w:hyperlink r:id="rId32" w:history="1">
        <w:r w:rsidRPr="001656D5">
          <w:rPr>
            <w:rStyle w:val="Hyperlink"/>
            <w:rFonts w:ascii="Arial" w:hAnsi="Arial" w:cs="Arial"/>
            <w:color w:val="000000" w:themeColor="text1"/>
            <w:sz w:val="20"/>
            <w:szCs w:val="20"/>
            <w:u w:val="none"/>
          </w:rPr>
          <w:t xml:space="preserve"> https://doi.org/10.1016/j.ssmqr.2022.100166</w:t>
        </w:r>
      </w:hyperlink>
    </w:p>
    <w:p w14:paraId="74F62F81" w14:textId="77777777" w:rsidR="001656D5" w:rsidRPr="004C2541" w:rsidRDefault="001656D5"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Sofiullah, M., Gomes Vale, E., &amp; Darr, D. (2023). Effectiveness of an interactive start-up simulation to foster entrepreneurial intentions among undergraduate university students: A quasi-experimental study. </w:t>
      </w:r>
      <w:r w:rsidRPr="004C2541">
        <w:rPr>
          <w:rFonts w:ascii="Arial" w:hAnsi="Arial" w:cs="Arial"/>
          <w:i/>
          <w:iCs/>
          <w:color w:val="000000" w:themeColor="text1"/>
          <w:sz w:val="20"/>
          <w:szCs w:val="20"/>
        </w:rPr>
        <w:t>Entrepreneurship Education, 6</w:t>
      </w:r>
      <w:r w:rsidRPr="004C2541">
        <w:rPr>
          <w:rFonts w:ascii="Arial" w:hAnsi="Arial" w:cs="Arial"/>
          <w:color w:val="000000" w:themeColor="text1"/>
          <w:sz w:val="20"/>
          <w:szCs w:val="20"/>
        </w:rPr>
        <w:t xml:space="preserve">, 445–467. </w:t>
      </w:r>
      <w:hyperlink r:id="rId33" w:history="1">
        <w:r w:rsidRPr="004C2541">
          <w:rPr>
            <w:rStyle w:val="Hyperlink"/>
            <w:rFonts w:ascii="Arial" w:hAnsi="Arial" w:cs="Arial"/>
            <w:color w:val="000000" w:themeColor="text1"/>
            <w:sz w:val="20"/>
            <w:szCs w:val="20"/>
            <w:u w:val="none"/>
          </w:rPr>
          <w:t>https://doi.org/10.1007/s41959-023-00108-z</w:t>
        </w:r>
      </w:hyperlink>
    </w:p>
    <w:p w14:paraId="23895BC8" w14:textId="77777777" w:rsidR="001656D5" w:rsidRPr="004C2541" w:rsidRDefault="001656D5"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Song, Y., &amp; Lu, G. (2024). The impact of university entrepreneurship support on college students' entrepreneurial intention: A cognitive-affective perspective. </w:t>
      </w:r>
      <w:r w:rsidRPr="004C2541">
        <w:rPr>
          <w:rFonts w:ascii="Arial" w:hAnsi="Arial" w:cs="Arial"/>
          <w:i/>
          <w:iCs/>
          <w:color w:val="000000" w:themeColor="text1"/>
          <w:sz w:val="20"/>
          <w:szCs w:val="20"/>
        </w:rPr>
        <w:t>The International Journal of Management Education, 22</w:t>
      </w:r>
      <w:r w:rsidRPr="004C2541">
        <w:rPr>
          <w:rFonts w:ascii="Arial" w:hAnsi="Arial" w:cs="Arial"/>
          <w:color w:val="000000" w:themeColor="text1"/>
          <w:sz w:val="20"/>
          <w:szCs w:val="20"/>
        </w:rPr>
        <w:t>(3), Article 101087.</w:t>
      </w:r>
      <w:hyperlink r:id="rId34" w:history="1">
        <w:r w:rsidRPr="004C2541">
          <w:rPr>
            <w:rStyle w:val="Hyperlink"/>
            <w:rFonts w:ascii="Arial" w:hAnsi="Arial" w:cs="Arial"/>
            <w:color w:val="000000" w:themeColor="text1"/>
            <w:sz w:val="20"/>
            <w:szCs w:val="20"/>
            <w:u w:val="none"/>
          </w:rPr>
          <w:t xml:space="preserve"> https://doi.org/10.1016/j.ijme.2024.101087</w:t>
        </w:r>
      </w:hyperlink>
    </w:p>
    <w:p w14:paraId="6792BB21" w14:textId="77777777" w:rsidR="001656D5" w:rsidRPr="004C2541" w:rsidRDefault="001656D5" w:rsidP="004C2541">
      <w:pPr>
        <w:pStyle w:val="NormalWeb"/>
        <w:spacing w:before="0" w:beforeAutospacing="0" w:after="0" w:afterAutospacing="0"/>
        <w:ind w:left="360" w:hanging="360"/>
        <w:rPr>
          <w:color w:val="000000" w:themeColor="text1"/>
        </w:rPr>
      </w:pPr>
      <w:r w:rsidRPr="004C2541">
        <w:rPr>
          <w:rFonts w:ascii="Arial" w:hAnsi="Arial" w:cs="Arial"/>
          <w:color w:val="000000" w:themeColor="text1"/>
          <w:sz w:val="20"/>
          <w:szCs w:val="20"/>
        </w:rPr>
        <w:t xml:space="preserve">Srivastava, M., Shivani, S., &amp; Dutta, S. (2024). An empirical contribution towards measuring sustainability-oriented entrepreneurial intentions: A study of Indian youth. </w:t>
      </w:r>
      <w:r w:rsidRPr="004C2541">
        <w:rPr>
          <w:rFonts w:ascii="Arial" w:hAnsi="Arial" w:cs="Arial"/>
          <w:i/>
          <w:iCs/>
          <w:color w:val="000000" w:themeColor="text1"/>
          <w:sz w:val="20"/>
          <w:szCs w:val="20"/>
        </w:rPr>
        <w:t>Environment, Development and Sustainability, 26</w:t>
      </w:r>
      <w:r w:rsidRPr="004C2541">
        <w:rPr>
          <w:rFonts w:ascii="Arial" w:hAnsi="Arial" w:cs="Arial"/>
          <w:color w:val="000000" w:themeColor="text1"/>
          <w:sz w:val="20"/>
          <w:szCs w:val="20"/>
        </w:rPr>
        <w:t xml:space="preserve">(3), 7319–7345. </w:t>
      </w:r>
      <w:hyperlink r:id="rId35" w:history="1">
        <w:r w:rsidRPr="004C2541">
          <w:rPr>
            <w:rStyle w:val="Hyperlink"/>
            <w:rFonts w:ascii="Arial" w:hAnsi="Arial" w:cs="Arial"/>
            <w:color w:val="000000" w:themeColor="text1"/>
            <w:sz w:val="20"/>
            <w:szCs w:val="20"/>
            <w:u w:val="none"/>
          </w:rPr>
          <w:t>https://doi.org/10.1007/s10668-023-03010-9</w:t>
        </w:r>
      </w:hyperlink>
    </w:p>
    <w:p w14:paraId="0321D907" w14:textId="77777777" w:rsidR="001656D5" w:rsidRPr="00386261" w:rsidRDefault="001656D5" w:rsidP="00386261">
      <w:pPr>
        <w:pStyle w:val="NormalWeb"/>
        <w:spacing w:before="0" w:beforeAutospacing="0" w:after="0" w:afterAutospacing="0"/>
        <w:ind w:left="360" w:hanging="360"/>
        <w:rPr>
          <w:color w:val="000000" w:themeColor="text1"/>
        </w:rPr>
      </w:pPr>
      <w:r w:rsidRPr="00386261">
        <w:rPr>
          <w:rFonts w:ascii="Arial" w:hAnsi="Arial" w:cs="Arial"/>
          <w:color w:val="000000" w:themeColor="text1"/>
          <w:sz w:val="20"/>
          <w:szCs w:val="20"/>
        </w:rPr>
        <w:t xml:space="preserve">Stanford Technology Ventures Program. (n.d.). </w:t>
      </w:r>
      <w:r w:rsidRPr="00386261">
        <w:rPr>
          <w:rFonts w:ascii="Arial" w:hAnsi="Arial" w:cs="Arial"/>
          <w:i/>
          <w:iCs/>
          <w:color w:val="000000" w:themeColor="text1"/>
          <w:sz w:val="20"/>
          <w:szCs w:val="20"/>
        </w:rPr>
        <w:t>Home</w:t>
      </w:r>
      <w:r w:rsidRPr="00386261">
        <w:rPr>
          <w:rFonts w:ascii="Arial" w:hAnsi="Arial" w:cs="Arial"/>
          <w:color w:val="000000" w:themeColor="text1"/>
          <w:sz w:val="20"/>
          <w:szCs w:val="20"/>
        </w:rPr>
        <w:t>. https://stvp.stanford.edu</w:t>
      </w:r>
    </w:p>
    <w:p w14:paraId="448F9492" w14:textId="77777777" w:rsidR="001656D5" w:rsidRPr="00386261" w:rsidRDefault="001656D5" w:rsidP="00386261">
      <w:pPr>
        <w:pStyle w:val="NormalWeb"/>
        <w:spacing w:before="0" w:beforeAutospacing="0" w:after="0" w:afterAutospacing="0"/>
        <w:ind w:left="360" w:hanging="360"/>
        <w:rPr>
          <w:rFonts w:ascii="Arial" w:hAnsi="Arial" w:cs="Arial"/>
          <w:color w:val="000000" w:themeColor="text1"/>
          <w:sz w:val="20"/>
          <w:szCs w:val="20"/>
        </w:rPr>
      </w:pPr>
      <w:r w:rsidRPr="00386261">
        <w:rPr>
          <w:rFonts w:ascii="Arial" w:hAnsi="Arial" w:cs="Arial"/>
          <w:color w:val="000000" w:themeColor="text1"/>
          <w:sz w:val="20"/>
          <w:szCs w:val="20"/>
        </w:rPr>
        <w:t xml:space="preserve">Syed, R. T., Tariq, U., Arnaut, M., &amp; Agrawal, R. (2024). Entrepreneurship educator: A vital cog in the wheel of entrepreneurship education and development in universities. </w:t>
      </w:r>
      <w:r w:rsidRPr="00386261">
        <w:rPr>
          <w:rFonts w:ascii="Arial" w:hAnsi="Arial" w:cs="Arial"/>
          <w:i/>
          <w:iCs/>
          <w:color w:val="000000" w:themeColor="text1"/>
          <w:sz w:val="20"/>
          <w:szCs w:val="20"/>
        </w:rPr>
        <w:t>Journal of Innovation and Entrepreneurship, 13</w:t>
      </w:r>
      <w:r w:rsidRPr="00386261">
        <w:rPr>
          <w:rFonts w:ascii="Arial" w:hAnsi="Arial" w:cs="Arial"/>
          <w:color w:val="000000" w:themeColor="text1"/>
          <w:sz w:val="20"/>
          <w:szCs w:val="20"/>
        </w:rPr>
        <w:t xml:space="preserve">(1), Article 66. </w:t>
      </w:r>
      <w:hyperlink r:id="rId36" w:history="1">
        <w:r w:rsidRPr="00386261">
          <w:rPr>
            <w:rStyle w:val="Hyperlink"/>
            <w:rFonts w:ascii="Arial" w:hAnsi="Arial" w:cs="Arial"/>
            <w:color w:val="000000" w:themeColor="text1"/>
            <w:sz w:val="20"/>
            <w:szCs w:val="20"/>
            <w:u w:val="none"/>
          </w:rPr>
          <w:t>https://doi.org/10.1186/s13731-024-00433-0</w:t>
        </w:r>
      </w:hyperlink>
    </w:p>
    <w:p w14:paraId="53437344" w14:textId="77777777" w:rsidR="001656D5" w:rsidRPr="00386261" w:rsidRDefault="001656D5" w:rsidP="00386261">
      <w:pPr>
        <w:pStyle w:val="NormalWeb"/>
        <w:spacing w:before="0" w:beforeAutospacing="0" w:after="0" w:afterAutospacing="0"/>
        <w:ind w:left="360" w:hanging="360"/>
        <w:rPr>
          <w:color w:val="000000" w:themeColor="text1"/>
        </w:rPr>
      </w:pPr>
      <w:r w:rsidRPr="00386261">
        <w:rPr>
          <w:rFonts w:ascii="Arial" w:hAnsi="Arial" w:cs="Arial"/>
          <w:color w:val="000000" w:themeColor="text1"/>
          <w:sz w:val="20"/>
          <w:szCs w:val="20"/>
        </w:rPr>
        <w:t xml:space="preserve">University College London. (n.d.). </w:t>
      </w:r>
      <w:r w:rsidRPr="00386261">
        <w:rPr>
          <w:rFonts w:ascii="Arial" w:hAnsi="Arial" w:cs="Arial"/>
          <w:i/>
          <w:iCs/>
          <w:color w:val="000000" w:themeColor="text1"/>
          <w:sz w:val="20"/>
          <w:szCs w:val="20"/>
        </w:rPr>
        <w:t>UCL Innovation &amp; Enterprise</w:t>
      </w:r>
      <w:r w:rsidRPr="00386261">
        <w:rPr>
          <w:rFonts w:ascii="Arial" w:hAnsi="Arial" w:cs="Arial"/>
          <w:color w:val="000000" w:themeColor="text1"/>
          <w:sz w:val="20"/>
          <w:szCs w:val="20"/>
        </w:rPr>
        <w:t>. https://www.ucl.ac.uk/enterprise</w:t>
      </w:r>
    </w:p>
    <w:p w14:paraId="5DA9DA75" w14:textId="77777777" w:rsidR="001656D5" w:rsidRPr="00386261" w:rsidRDefault="001656D5" w:rsidP="00386261">
      <w:pPr>
        <w:pStyle w:val="NormalWeb"/>
        <w:spacing w:before="0" w:beforeAutospacing="0" w:after="0" w:afterAutospacing="0"/>
        <w:ind w:left="360" w:hanging="360"/>
        <w:rPr>
          <w:color w:val="000000" w:themeColor="text1"/>
        </w:rPr>
      </w:pPr>
      <w:r w:rsidRPr="00386261">
        <w:rPr>
          <w:rFonts w:ascii="Arial" w:hAnsi="Arial" w:cs="Arial"/>
          <w:color w:val="000000" w:themeColor="text1"/>
          <w:sz w:val="20"/>
          <w:szCs w:val="20"/>
        </w:rPr>
        <w:t xml:space="preserve">University of Cambridge. (n.d.). </w:t>
      </w:r>
      <w:r w:rsidRPr="00386261">
        <w:rPr>
          <w:rFonts w:ascii="Arial" w:hAnsi="Arial" w:cs="Arial"/>
          <w:i/>
          <w:iCs/>
          <w:color w:val="000000" w:themeColor="text1"/>
          <w:sz w:val="20"/>
          <w:szCs w:val="20"/>
        </w:rPr>
        <w:t>The Entrepreneurship Centre</w:t>
      </w:r>
      <w:r w:rsidRPr="00386261">
        <w:rPr>
          <w:rFonts w:ascii="Arial" w:hAnsi="Arial" w:cs="Arial"/>
          <w:color w:val="000000" w:themeColor="text1"/>
          <w:sz w:val="20"/>
          <w:szCs w:val="20"/>
        </w:rPr>
        <w:t>. https://www.jbs.cam.ac.uk/entrepreneurship</w:t>
      </w:r>
    </w:p>
    <w:p w14:paraId="582EA3C7" w14:textId="77777777" w:rsidR="001656D5" w:rsidRPr="00386261" w:rsidRDefault="001656D5" w:rsidP="00386261">
      <w:pPr>
        <w:pStyle w:val="NormalWeb"/>
        <w:spacing w:before="0" w:beforeAutospacing="0" w:after="0" w:afterAutospacing="0"/>
        <w:ind w:left="360" w:hanging="360"/>
        <w:rPr>
          <w:color w:val="000000" w:themeColor="text1"/>
        </w:rPr>
      </w:pPr>
      <w:r w:rsidRPr="00386261">
        <w:rPr>
          <w:rFonts w:ascii="Arial" w:hAnsi="Arial" w:cs="Arial"/>
          <w:color w:val="000000" w:themeColor="text1"/>
          <w:sz w:val="20"/>
          <w:szCs w:val="20"/>
        </w:rPr>
        <w:t xml:space="preserve">University of Oxford. (n.d.). </w:t>
      </w:r>
      <w:r w:rsidRPr="00386261">
        <w:rPr>
          <w:rFonts w:ascii="Arial" w:hAnsi="Arial" w:cs="Arial"/>
          <w:i/>
          <w:iCs/>
          <w:color w:val="000000" w:themeColor="text1"/>
          <w:sz w:val="20"/>
          <w:szCs w:val="20"/>
        </w:rPr>
        <w:t>EnSpire Oxford</w:t>
      </w:r>
      <w:r w:rsidRPr="00386261">
        <w:rPr>
          <w:rFonts w:ascii="Arial" w:hAnsi="Arial" w:cs="Arial"/>
          <w:color w:val="000000" w:themeColor="text1"/>
          <w:sz w:val="20"/>
          <w:szCs w:val="20"/>
        </w:rPr>
        <w:t>. https://enspire.ox.ac.uk</w:t>
      </w:r>
    </w:p>
    <w:p w14:paraId="104DEB01" w14:textId="77777777" w:rsidR="001656D5" w:rsidRDefault="001656D5" w:rsidP="00333201">
      <w:pPr>
        <w:pStyle w:val="NormalWeb"/>
        <w:spacing w:before="0" w:beforeAutospacing="0" w:after="0" w:afterAutospacing="0"/>
        <w:ind w:left="360" w:hanging="360"/>
      </w:pPr>
      <w:r>
        <w:rPr>
          <w:rFonts w:ascii="Arial" w:hAnsi="Arial" w:cs="Arial"/>
          <w:color w:val="000000"/>
          <w:sz w:val="20"/>
          <w:szCs w:val="20"/>
        </w:rPr>
        <w:t xml:space="preserve">Xavier University. (2011, April). </w:t>
      </w:r>
      <w:r>
        <w:rPr>
          <w:rFonts w:ascii="Arial" w:hAnsi="Arial" w:cs="Arial"/>
          <w:i/>
          <w:iCs/>
          <w:color w:val="000000"/>
          <w:sz w:val="20"/>
          <w:szCs w:val="20"/>
        </w:rPr>
        <w:t>Student mall to rise in XU</w:t>
      </w:r>
      <w:r>
        <w:rPr>
          <w:rFonts w:ascii="Arial" w:hAnsi="Arial" w:cs="Arial"/>
          <w:color w:val="000000"/>
          <w:sz w:val="20"/>
          <w:szCs w:val="20"/>
        </w:rPr>
        <w:t xml:space="preserve"> [News release]. https://www.xu.edu.ph/xavier-news/20-2010-2011/546-student-mall-to-rise-in-xu</w:t>
      </w:r>
    </w:p>
    <w:p w14:paraId="183D3372" w14:textId="77777777" w:rsidR="001656D5" w:rsidRPr="00333201" w:rsidRDefault="001656D5" w:rsidP="00333201">
      <w:pPr>
        <w:pStyle w:val="NormalWeb"/>
        <w:spacing w:before="0" w:beforeAutospacing="0" w:after="0" w:afterAutospacing="0"/>
        <w:ind w:left="360" w:hanging="360"/>
      </w:pPr>
      <w:r>
        <w:rPr>
          <w:rFonts w:ascii="Arial" w:hAnsi="Arial" w:cs="Arial"/>
          <w:color w:val="000000"/>
          <w:sz w:val="20"/>
          <w:szCs w:val="20"/>
        </w:rPr>
        <w:t xml:space="preserve">Xavier University. (2012, August). </w:t>
      </w:r>
      <w:r>
        <w:rPr>
          <w:rFonts w:ascii="Arial" w:hAnsi="Arial" w:cs="Arial"/>
          <w:i/>
          <w:iCs/>
          <w:color w:val="000000"/>
          <w:sz w:val="20"/>
          <w:szCs w:val="20"/>
        </w:rPr>
        <w:t>XU opens student mall to public</w:t>
      </w:r>
      <w:r>
        <w:rPr>
          <w:rFonts w:ascii="Arial" w:hAnsi="Arial" w:cs="Arial"/>
          <w:color w:val="000000"/>
          <w:sz w:val="20"/>
          <w:szCs w:val="20"/>
        </w:rPr>
        <w:t xml:space="preserve"> [News release]. https://www.xu.edu.ph/xavier-news/22-2012-2013/771-xu-opens-student-mall-to-public</w:t>
      </w:r>
    </w:p>
    <w:p w14:paraId="7EEB6B16" w14:textId="77777777" w:rsidR="001656D5" w:rsidRPr="00386261" w:rsidRDefault="001656D5" w:rsidP="00333201">
      <w:pPr>
        <w:pStyle w:val="NormalWeb"/>
        <w:spacing w:before="0" w:beforeAutospacing="0" w:after="0" w:afterAutospacing="0"/>
        <w:ind w:left="360" w:hanging="360"/>
        <w:rPr>
          <w:color w:val="000000" w:themeColor="text1"/>
        </w:rPr>
      </w:pPr>
      <w:r w:rsidRPr="00386261">
        <w:rPr>
          <w:rFonts w:ascii="Arial" w:hAnsi="Arial" w:cs="Arial"/>
          <w:color w:val="000000" w:themeColor="text1"/>
          <w:sz w:val="20"/>
          <w:szCs w:val="20"/>
        </w:rPr>
        <w:t xml:space="preserve">Xavier University. (n.d.-a). </w:t>
      </w:r>
      <w:r w:rsidRPr="00386261">
        <w:rPr>
          <w:rFonts w:ascii="Arial" w:hAnsi="Arial" w:cs="Arial"/>
          <w:i/>
          <w:iCs/>
          <w:color w:val="000000" w:themeColor="text1"/>
          <w:sz w:val="20"/>
          <w:szCs w:val="20"/>
        </w:rPr>
        <w:t>Student Entrepreneurship Center</w:t>
      </w:r>
      <w:r w:rsidRPr="00386261">
        <w:rPr>
          <w:rFonts w:ascii="Arial" w:hAnsi="Arial" w:cs="Arial"/>
          <w:color w:val="000000" w:themeColor="text1"/>
          <w:sz w:val="20"/>
          <w:szCs w:val="20"/>
        </w:rPr>
        <w:t>. https://www.xu.edu.ph/student-entrepreneurship-center</w:t>
      </w:r>
    </w:p>
    <w:p w14:paraId="2878208E" w14:textId="77777777" w:rsidR="001656D5" w:rsidRPr="001656D5" w:rsidRDefault="001656D5" w:rsidP="001656D5">
      <w:pPr>
        <w:pStyle w:val="NormalWeb"/>
        <w:spacing w:before="0" w:beforeAutospacing="0" w:after="0" w:afterAutospacing="0"/>
        <w:ind w:left="360" w:hanging="360"/>
        <w:rPr>
          <w:rFonts w:ascii="Arial" w:hAnsi="Arial" w:cs="Arial"/>
          <w:color w:val="000000" w:themeColor="text1"/>
          <w:sz w:val="20"/>
          <w:szCs w:val="20"/>
        </w:rPr>
      </w:pPr>
      <w:r>
        <w:rPr>
          <w:rFonts w:ascii="Arial" w:hAnsi="Arial" w:cs="Arial"/>
          <w:color w:val="000000"/>
          <w:sz w:val="20"/>
          <w:szCs w:val="20"/>
        </w:rPr>
        <w:t xml:space="preserve">Xavier University. (n.d.-b). </w:t>
      </w:r>
      <w:r>
        <w:rPr>
          <w:rFonts w:ascii="Arial" w:hAnsi="Arial" w:cs="Arial"/>
          <w:i/>
          <w:iCs/>
          <w:color w:val="000000"/>
          <w:sz w:val="20"/>
          <w:szCs w:val="20"/>
        </w:rPr>
        <w:t>Student Entrepreneurship Program</w:t>
      </w:r>
      <w:r>
        <w:rPr>
          <w:rFonts w:ascii="Arial" w:hAnsi="Arial" w:cs="Arial"/>
          <w:color w:val="000000"/>
          <w:sz w:val="20"/>
          <w:szCs w:val="20"/>
        </w:rPr>
        <w:t xml:space="preserve">. </w:t>
      </w:r>
      <w:hyperlink r:id="rId37" w:history="1">
        <w:r w:rsidRPr="001656D5">
          <w:rPr>
            <w:rStyle w:val="Hyperlink"/>
            <w:rFonts w:ascii="Arial" w:hAnsi="Arial" w:cs="Arial"/>
            <w:color w:val="000000" w:themeColor="text1"/>
            <w:sz w:val="20"/>
            <w:szCs w:val="20"/>
            <w:u w:val="none"/>
          </w:rPr>
          <w:t>https://www.xu.edu.ph/programs-sec/student-entrepreneurship-program</w:t>
        </w:r>
      </w:hyperlink>
    </w:p>
    <w:p w14:paraId="0DA24EA7" w14:textId="77777777" w:rsidR="001656D5" w:rsidRPr="001656D5" w:rsidRDefault="001656D5" w:rsidP="001656D5">
      <w:pPr>
        <w:ind w:left="360" w:hanging="360"/>
        <w:rPr>
          <w:rFonts w:ascii="Arial" w:hAnsi="Arial" w:cs="Arial"/>
          <w:color w:val="000000" w:themeColor="text1"/>
          <w:sz w:val="20"/>
          <w:szCs w:val="20"/>
        </w:rPr>
      </w:pPr>
    </w:p>
    <w:p w14:paraId="4556D28A" w14:textId="77777777" w:rsidR="001656D5" w:rsidRPr="001656D5" w:rsidRDefault="001656D5" w:rsidP="001656D5">
      <w:pPr>
        <w:pStyle w:val="NormalWeb"/>
        <w:spacing w:before="0" w:beforeAutospacing="0" w:after="0" w:afterAutospacing="0"/>
        <w:ind w:left="360" w:hanging="360"/>
        <w:rPr>
          <w:rFonts w:ascii="Arial" w:hAnsi="Arial" w:cs="Arial"/>
          <w:color w:val="000000" w:themeColor="text1"/>
          <w:sz w:val="20"/>
          <w:szCs w:val="20"/>
        </w:rPr>
      </w:pPr>
    </w:p>
    <w:sectPr w:rsidR="001656D5" w:rsidRPr="001656D5" w:rsidSect="00747130">
      <w:type w:val="continuous"/>
      <w:pgSz w:w="12240" w:h="15840"/>
      <w:pgMar w:top="720" w:right="2016" w:bottom="2016" w:left="201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6227B7" w14:textId="77777777" w:rsidR="00AB354B" w:rsidRDefault="00AB354B" w:rsidP="00C37E61">
      <w:r>
        <w:separator/>
      </w:r>
    </w:p>
  </w:endnote>
  <w:endnote w:type="continuationSeparator" w:id="0">
    <w:p w14:paraId="12E0F7AB" w14:textId="77777777" w:rsidR="00AB354B" w:rsidRDefault="00AB354B"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B89C24" w14:textId="77777777" w:rsidR="00312CA6" w:rsidRDefault="00312C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7F3269" w14:textId="77777777" w:rsidR="00312CA6" w:rsidRDefault="00312C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961195" w14:textId="0C9DDE81" w:rsidR="00754C9A" w:rsidRPr="00312CA6" w:rsidRDefault="00754C9A" w:rsidP="00312C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412B2E"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BE3FE4" w14:textId="77777777" w:rsidR="00AB354B" w:rsidRDefault="00AB354B" w:rsidP="00C37E61">
      <w:r>
        <w:separator/>
      </w:r>
    </w:p>
  </w:footnote>
  <w:footnote w:type="continuationSeparator" w:id="0">
    <w:p w14:paraId="74AE67B1" w14:textId="77777777" w:rsidR="00AB354B" w:rsidRDefault="00AB354B"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6B2627" w14:textId="68272D2F" w:rsidR="00312CA6" w:rsidRDefault="00AB354B">
    <w:pPr>
      <w:pStyle w:val="Header"/>
    </w:pPr>
    <w:r>
      <w:rPr>
        <w:noProof/>
      </w:rPr>
      <w:pict w14:anchorId="421F67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53907" o:spid="_x0000_s1033" type="#_x0000_t136" alt="" style="position:absolute;margin-left:0;margin-top:0;width:520.65pt;height:57.8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8E2C88" w14:textId="5ECCF2C2" w:rsidR="00312CA6" w:rsidRDefault="00AB354B">
    <w:pPr>
      <w:pStyle w:val="Header"/>
    </w:pPr>
    <w:r>
      <w:rPr>
        <w:noProof/>
      </w:rPr>
      <w:pict w14:anchorId="0049E8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53908" o:spid="_x0000_s1032" type="#_x0000_t136" alt="" style="position:absolute;margin-left:0;margin-top:0;width:520.65pt;height:57.8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79D0D1" w14:textId="7474BF8B" w:rsidR="00296529" w:rsidRPr="00296529" w:rsidRDefault="00AB354B" w:rsidP="00296529">
    <w:pPr>
      <w:ind w:left="2160"/>
      <w:jc w:val="center"/>
      <w:rPr>
        <w:rFonts w:eastAsia="Calibri"/>
        <w:i/>
        <w:sz w:val="18"/>
        <w:szCs w:val="22"/>
      </w:rPr>
    </w:pPr>
    <w:r>
      <w:rPr>
        <w:noProof/>
      </w:rPr>
      <w:pict w14:anchorId="01A540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53906" o:spid="_x0000_s1031" type="#_x0000_t136" alt="" style="position:absolute;left:0;text-align:left;margin-left:0;margin-top:0;width:520.65pt;height:57.8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p w14:paraId="7F4CF0E3" w14:textId="77777777" w:rsidR="00296529" w:rsidRPr="00296529" w:rsidRDefault="00754C9A" w:rsidP="00296529">
    <w:pPr>
      <w:ind w:left="4320"/>
      <w:rPr>
        <w:rFonts w:eastAsia="Calibri"/>
        <w:i/>
        <w:sz w:val="18"/>
        <w:szCs w:val="22"/>
      </w:rPr>
    </w:pPr>
    <w:r>
      <w:rPr>
        <w:rFonts w:eastAsia="Calibri"/>
        <w:i/>
        <w:sz w:val="18"/>
        <w:szCs w:val="22"/>
      </w:rPr>
      <w:t>.</w:t>
    </w:r>
    <w:r w:rsidR="00296529" w:rsidRPr="00296529">
      <w:rPr>
        <w:rFonts w:eastAsia="Calibri"/>
        <w:i/>
        <w:sz w:val="18"/>
        <w:szCs w:val="22"/>
      </w:rPr>
      <w:t xml:space="preserve">     </w:t>
    </w:r>
  </w:p>
  <w:p w14:paraId="45C2242F" w14:textId="77777777" w:rsidR="00296529" w:rsidRPr="00296529" w:rsidRDefault="00754C9A" w:rsidP="00296529">
    <w:pPr>
      <w:jc w:val="center"/>
      <w:rPr>
        <w:rFonts w:eastAsia="Calibri"/>
        <w:i/>
        <w:sz w:val="18"/>
        <w:szCs w:val="22"/>
      </w:rPr>
    </w:pPr>
    <w:r>
      <w:rPr>
        <w:rFonts w:eastAsia="Calibri"/>
        <w:i/>
        <w:sz w:val="18"/>
        <w:szCs w:val="22"/>
      </w:rPr>
      <w:t>.</w:t>
    </w:r>
  </w:p>
  <w:p w14:paraId="43F2F252" w14:textId="77777777" w:rsidR="00296529" w:rsidRPr="00296529" w:rsidRDefault="00296529" w:rsidP="00296529">
    <w:pPr>
      <w:spacing w:after="200"/>
      <w:jc w:val="center"/>
      <w:rPr>
        <w:rFonts w:eastAsia="Calibri"/>
        <w:b/>
        <w:i/>
        <w:sz w:val="32"/>
        <w:szCs w:val="22"/>
      </w:rPr>
    </w:pPr>
    <w:r w:rsidRPr="00296529">
      <w:rPr>
        <w:rFonts w:eastAsia="Calibri"/>
        <w:b/>
        <w:i/>
        <w:sz w:val="32"/>
        <w:szCs w:val="22"/>
      </w:rPr>
      <w:t xml:space="preserve">              </w:t>
    </w:r>
    <w:r w:rsidR="00754C9A">
      <w:rPr>
        <w:rFonts w:eastAsia="Calibri"/>
        <w:b/>
        <w:i/>
        <w:sz w:val="32"/>
        <w:szCs w:val="22"/>
      </w:rPr>
      <w:t>.</w:t>
    </w:r>
    <w:r w:rsidRPr="00296529">
      <w:rPr>
        <w:rFonts w:eastAsia="Calibri"/>
        <w:b/>
        <w:i/>
        <w:sz w:val="32"/>
        <w:szCs w:val="22"/>
      </w:rPr>
      <w:t xml:space="preserve"> </w:t>
    </w:r>
  </w:p>
  <w:p w14:paraId="5A47060F" w14:textId="77777777" w:rsidR="00296529" w:rsidRDefault="00296529" w:rsidP="00296529">
    <w:pPr>
      <w:jc w:val="center"/>
      <w:rPr>
        <w:rFonts w:eastAsia="Calibri"/>
        <w:i/>
        <w:sz w:val="18"/>
        <w:szCs w:val="22"/>
      </w:rPr>
    </w:pPr>
    <w:r w:rsidRPr="00296529">
      <w:rPr>
        <w:rFonts w:eastAsia="Calibri"/>
        <w:i/>
        <w:sz w:val="18"/>
        <w:szCs w:val="22"/>
      </w:rPr>
      <w:t xml:space="preserve">                     </w:t>
    </w:r>
  </w:p>
  <w:p w14:paraId="71C05838" w14:textId="77777777" w:rsidR="00296529" w:rsidRDefault="00296529" w:rsidP="00296529">
    <w:pPr>
      <w:tabs>
        <w:tab w:val="left" w:pos="2145"/>
      </w:tabs>
      <w:rPr>
        <w:rFonts w:eastAsia="Calibri"/>
        <w:i/>
        <w:sz w:val="18"/>
        <w:szCs w:val="22"/>
      </w:rPr>
    </w:pPr>
    <w:r>
      <w:rPr>
        <w:rFonts w:eastAsia="Calibri"/>
        <w:i/>
        <w:sz w:val="18"/>
        <w:szCs w:val="22"/>
      </w:rPr>
      <w:tab/>
    </w:r>
    <w:r w:rsidR="00754C9A">
      <w:rPr>
        <w:rFonts w:eastAsia="Calibri"/>
        <w:i/>
        <w:sz w:val="18"/>
        <w:szCs w:val="22"/>
      </w:rPr>
      <w:t>.</w:t>
    </w:r>
  </w:p>
  <w:p w14:paraId="7B055653"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D2F25E" w14:textId="34E85782" w:rsidR="00312CA6" w:rsidRDefault="00AB354B">
    <w:pPr>
      <w:pStyle w:val="Header"/>
    </w:pPr>
    <w:r>
      <w:rPr>
        <w:noProof/>
      </w:rPr>
      <w:pict w14:anchorId="43A8BE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53910" o:spid="_x0000_s1030" type="#_x0000_t136" alt="" style="position:absolute;margin-left:0;margin-top:0;width:520.65pt;height:57.85pt;rotation:315;z-index:-2516449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r>
      <w:rPr>
        <w:noProof/>
      </w:rPr>
      <w:pict w14:anchorId="5D85ABB2">
        <v:shape id="_x0000_s1029" type="#_x0000_t136" alt="" style="position:absolute;margin-left:0;margin-top:0;width:520.65pt;height:57.85pt;rotation:315;z-index:-2516469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DF880B" w14:textId="5E28AA65" w:rsidR="00312CA6" w:rsidRDefault="00AB354B">
    <w:pPr>
      <w:pStyle w:val="Header"/>
    </w:pPr>
    <w:r>
      <w:rPr>
        <w:noProof/>
      </w:rPr>
      <w:pict w14:anchorId="353F21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53911" o:spid="_x0000_s1028" type="#_x0000_t136" alt="" style="position:absolute;margin-left:0;margin-top:0;width:520.65pt;height:57.85pt;rotation:315;z-index:-2516408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r>
      <w:rPr>
        <w:noProof/>
      </w:rPr>
      <w:pict w14:anchorId="329DE9DA">
        <v:shape id="_x0000_s1027" type="#_x0000_t136" alt="" style="position:absolute;margin-left:0;margin-top:0;width:520.65pt;height:57.85pt;rotation:315;z-index:-25164288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B44F22" w14:textId="714CB061" w:rsidR="00312CA6" w:rsidRPr="00296529" w:rsidRDefault="00AB354B" w:rsidP="00296529">
    <w:pPr>
      <w:ind w:left="2160"/>
      <w:jc w:val="center"/>
      <w:rPr>
        <w:rFonts w:eastAsia="Calibri"/>
        <w:i/>
        <w:sz w:val="18"/>
        <w:szCs w:val="22"/>
      </w:rPr>
    </w:pPr>
    <w:r>
      <w:rPr>
        <w:noProof/>
      </w:rPr>
      <w:pict w14:anchorId="7D761B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53909" o:spid="_x0000_s1026" type="#_x0000_t136" alt="" style="position:absolute;left:0;text-align:left;margin-left:0;margin-top:0;width:520.65pt;height:57.85pt;rotation:315;z-index:-25164902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r>
      <w:rPr>
        <w:noProof/>
      </w:rPr>
      <w:pict w14:anchorId="77DFBB68">
        <v:shape id="_x0000_s1025" type="#_x0000_t136" alt="" style="position:absolute;left:0;text-align:left;margin-left:0;margin-top:0;width:520.65pt;height:57.85pt;rotation:315;z-index:-25165107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p w14:paraId="794C95DD" w14:textId="77777777" w:rsidR="00312CA6" w:rsidRPr="00296529" w:rsidRDefault="00312CA6" w:rsidP="00296529">
    <w:pPr>
      <w:ind w:left="4320"/>
      <w:rPr>
        <w:rFonts w:eastAsia="Calibri"/>
        <w:i/>
        <w:sz w:val="18"/>
        <w:szCs w:val="22"/>
      </w:rPr>
    </w:pPr>
    <w:r>
      <w:rPr>
        <w:rFonts w:eastAsia="Calibri"/>
        <w:i/>
        <w:sz w:val="18"/>
        <w:szCs w:val="22"/>
      </w:rPr>
      <w:t>.</w:t>
    </w:r>
    <w:r w:rsidRPr="00296529">
      <w:rPr>
        <w:rFonts w:eastAsia="Calibri"/>
        <w:i/>
        <w:sz w:val="18"/>
        <w:szCs w:val="22"/>
      </w:rPr>
      <w:t xml:space="preserve">     </w:t>
    </w:r>
  </w:p>
  <w:p w14:paraId="0A1E44EC" w14:textId="77777777" w:rsidR="00312CA6" w:rsidRPr="00296529" w:rsidRDefault="00312CA6" w:rsidP="00296529">
    <w:pPr>
      <w:jc w:val="center"/>
      <w:rPr>
        <w:rFonts w:eastAsia="Calibri"/>
        <w:i/>
        <w:sz w:val="18"/>
        <w:szCs w:val="22"/>
      </w:rPr>
    </w:pPr>
    <w:r>
      <w:rPr>
        <w:rFonts w:eastAsia="Calibri"/>
        <w:i/>
        <w:sz w:val="18"/>
        <w:szCs w:val="22"/>
      </w:rPr>
      <w:t>.</w:t>
    </w:r>
  </w:p>
  <w:p w14:paraId="4646D6BE" w14:textId="77777777" w:rsidR="00312CA6" w:rsidRPr="00296529" w:rsidRDefault="00312CA6" w:rsidP="00296529">
    <w:pPr>
      <w:spacing w:after="200"/>
      <w:jc w:val="center"/>
      <w:rPr>
        <w:rFonts w:eastAsia="Calibri"/>
        <w:b/>
        <w:i/>
        <w:sz w:val="32"/>
        <w:szCs w:val="22"/>
      </w:rPr>
    </w:pPr>
    <w:r w:rsidRPr="00296529">
      <w:rPr>
        <w:rFonts w:eastAsia="Calibri"/>
        <w:b/>
        <w:i/>
        <w:sz w:val="32"/>
        <w:szCs w:val="22"/>
      </w:rPr>
      <w:t xml:space="preserve">              </w:t>
    </w:r>
    <w:r>
      <w:rPr>
        <w:rFonts w:eastAsia="Calibri"/>
        <w:b/>
        <w:i/>
        <w:sz w:val="32"/>
        <w:szCs w:val="22"/>
      </w:rPr>
      <w:t>.</w:t>
    </w:r>
    <w:r w:rsidRPr="00296529">
      <w:rPr>
        <w:rFonts w:eastAsia="Calibri"/>
        <w:b/>
        <w:i/>
        <w:sz w:val="32"/>
        <w:szCs w:val="22"/>
      </w:rPr>
      <w:t xml:space="preserve"> </w:t>
    </w:r>
  </w:p>
  <w:p w14:paraId="26A91C07" w14:textId="77777777" w:rsidR="00312CA6" w:rsidRDefault="00312CA6" w:rsidP="00296529">
    <w:pPr>
      <w:jc w:val="center"/>
      <w:rPr>
        <w:rFonts w:eastAsia="Calibri"/>
        <w:i/>
        <w:sz w:val="18"/>
        <w:szCs w:val="22"/>
      </w:rPr>
    </w:pPr>
    <w:r w:rsidRPr="00296529">
      <w:rPr>
        <w:rFonts w:eastAsia="Calibri"/>
        <w:i/>
        <w:sz w:val="18"/>
        <w:szCs w:val="22"/>
      </w:rPr>
      <w:t xml:space="preserve">                     </w:t>
    </w:r>
  </w:p>
  <w:p w14:paraId="40A50CB0" w14:textId="77777777" w:rsidR="00312CA6" w:rsidRDefault="00312CA6" w:rsidP="00296529">
    <w:pPr>
      <w:tabs>
        <w:tab w:val="left" w:pos="2145"/>
      </w:tabs>
      <w:rPr>
        <w:rFonts w:eastAsia="Calibri"/>
        <w:i/>
        <w:sz w:val="18"/>
        <w:szCs w:val="22"/>
      </w:rPr>
    </w:pPr>
    <w:r>
      <w:rPr>
        <w:rFonts w:eastAsia="Calibri"/>
        <w:i/>
        <w:sz w:val="18"/>
        <w:szCs w:val="22"/>
      </w:rPr>
      <w:tab/>
      <w:t>.</w:t>
    </w:r>
  </w:p>
  <w:p w14:paraId="16E4951B" w14:textId="77777777" w:rsidR="00312CA6" w:rsidRDefault="00312CA6">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7E207B"/>
    <w:multiLevelType w:val="multilevel"/>
    <w:tmpl w:val="AB542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5C6106"/>
    <w:multiLevelType w:val="multilevel"/>
    <w:tmpl w:val="C1FC7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15:restartNumberingAfterBreak="0">
    <w:nsid w:val="5247333B"/>
    <w:multiLevelType w:val="multilevel"/>
    <w:tmpl w:val="13DEA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3"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5"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7" w15:restartNumberingAfterBreak="0">
    <w:nsid w:val="75FF7BCF"/>
    <w:multiLevelType w:val="multilevel"/>
    <w:tmpl w:val="2B581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1038384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388452369">
    <w:abstractNumId w:val="17"/>
  </w:num>
  <w:num w:numId="3" w16cid:durableId="25179208">
    <w:abstractNumId w:val="26"/>
  </w:num>
  <w:num w:numId="4" w16cid:durableId="1652178073">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11482475">
    <w:abstractNumId w:val="7"/>
  </w:num>
  <w:num w:numId="6" w16cid:durableId="541678199">
    <w:abstractNumId w:val="6"/>
  </w:num>
  <w:num w:numId="7" w16cid:durableId="1753699232">
    <w:abstractNumId w:val="1"/>
  </w:num>
  <w:num w:numId="8" w16cid:durableId="592710641">
    <w:abstractNumId w:val="14"/>
  </w:num>
  <w:num w:numId="9" w16cid:durableId="976835453">
    <w:abstractNumId w:val="29"/>
  </w:num>
  <w:num w:numId="10" w16cid:durableId="249659283">
    <w:abstractNumId w:val="2"/>
  </w:num>
  <w:num w:numId="11" w16cid:durableId="1732656361">
    <w:abstractNumId w:val="21"/>
  </w:num>
  <w:num w:numId="12" w16cid:durableId="1657537769">
    <w:abstractNumId w:val="3"/>
  </w:num>
  <w:num w:numId="13" w16cid:durableId="1538161017">
    <w:abstractNumId w:val="20"/>
  </w:num>
  <w:num w:numId="14" w16cid:durableId="1156144008">
    <w:abstractNumId w:val="8"/>
  </w:num>
  <w:num w:numId="15" w16cid:durableId="283007475">
    <w:abstractNumId w:val="24"/>
  </w:num>
  <w:num w:numId="16" w16cid:durableId="1659307781">
    <w:abstractNumId w:val="5"/>
  </w:num>
  <w:num w:numId="17" w16cid:durableId="1898470046">
    <w:abstractNumId w:val="25"/>
  </w:num>
  <w:num w:numId="18" w16cid:durableId="73864778">
    <w:abstractNumId w:val="16"/>
  </w:num>
  <w:num w:numId="19" w16cid:durableId="713584812">
    <w:abstractNumId w:val="32"/>
  </w:num>
  <w:num w:numId="20" w16cid:durableId="453714349">
    <w:abstractNumId w:val="13"/>
  </w:num>
  <w:num w:numId="21" w16cid:durableId="1178041074">
    <w:abstractNumId w:val="10"/>
  </w:num>
  <w:num w:numId="22" w16cid:durableId="359479019">
    <w:abstractNumId w:val="15"/>
  </w:num>
  <w:num w:numId="23" w16cid:durableId="644360971">
    <w:abstractNumId w:val="22"/>
  </w:num>
  <w:num w:numId="24" w16cid:durableId="874537813">
    <w:abstractNumId w:val="30"/>
  </w:num>
  <w:num w:numId="25" w16cid:durableId="1393698916">
    <w:abstractNumId w:val="4"/>
  </w:num>
  <w:num w:numId="26" w16cid:durableId="629020859">
    <w:abstractNumId w:val="19"/>
  </w:num>
  <w:num w:numId="27" w16cid:durableId="1995836081">
    <w:abstractNumId w:val="23"/>
  </w:num>
  <w:num w:numId="28" w16cid:durableId="493186585">
    <w:abstractNumId w:val="31"/>
  </w:num>
  <w:num w:numId="29" w16cid:durableId="1522937024">
    <w:abstractNumId w:val="28"/>
  </w:num>
  <w:num w:numId="30" w16cid:durableId="319311731">
    <w:abstractNumId w:val="11"/>
  </w:num>
  <w:num w:numId="31" w16cid:durableId="855971305">
    <w:abstractNumId w:val="9"/>
  </w:num>
  <w:num w:numId="32" w16cid:durableId="206531686">
    <w:abstractNumId w:val="27"/>
  </w:num>
  <w:num w:numId="33" w16cid:durableId="1325476200">
    <w:abstractNumId w:val="12"/>
  </w:num>
  <w:num w:numId="34" w16cid:durableId="1530491985">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26DD5"/>
    <w:rsid w:val="00030174"/>
    <w:rsid w:val="0004579C"/>
    <w:rsid w:val="00045C72"/>
    <w:rsid w:val="000A47FA"/>
    <w:rsid w:val="000A65D3"/>
    <w:rsid w:val="000B1E33"/>
    <w:rsid w:val="000B5B2A"/>
    <w:rsid w:val="000D689F"/>
    <w:rsid w:val="000E7B7B"/>
    <w:rsid w:val="000E7D62"/>
    <w:rsid w:val="00103357"/>
    <w:rsid w:val="001064A5"/>
    <w:rsid w:val="00123C9F"/>
    <w:rsid w:val="00126190"/>
    <w:rsid w:val="00130F17"/>
    <w:rsid w:val="001320BF"/>
    <w:rsid w:val="00163BC4"/>
    <w:rsid w:val="001656D5"/>
    <w:rsid w:val="001739B2"/>
    <w:rsid w:val="00177010"/>
    <w:rsid w:val="00191062"/>
    <w:rsid w:val="00192B72"/>
    <w:rsid w:val="001A29D8"/>
    <w:rsid w:val="001A5CAA"/>
    <w:rsid w:val="001B0427"/>
    <w:rsid w:val="001D3A51"/>
    <w:rsid w:val="001E10D2"/>
    <w:rsid w:val="001E25B4"/>
    <w:rsid w:val="001E44FE"/>
    <w:rsid w:val="00200595"/>
    <w:rsid w:val="0020183E"/>
    <w:rsid w:val="00204835"/>
    <w:rsid w:val="00225EFB"/>
    <w:rsid w:val="00231920"/>
    <w:rsid w:val="0023195C"/>
    <w:rsid w:val="0024282C"/>
    <w:rsid w:val="00244F25"/>
    <w:rsid w:val="002460DC"/>
    <w:rsid w:val="00250985"/>
    <w:rsid w:val="002556F6"/>
    <w:rsid w:val="0026707F"/>
    <w:rsid w:val="002815E6"/>
    <w:rsid w:val="00283105"/>
    <w:rsid w:val="00284C4C"/>
    <w:rsid w:val="00287E68"/>
    <w:rsid w:val="00296529"/>
    <w:rsid w:val="002B27FB"/>
    <w:rsid w:val="002B62CD"/>
    <w:rsid w:val="002B685A"/>
    <w:rsid w:val="002C57D2"/>
    <w:rsid w:val="002E0D56"/>
    <w:rsid w:val="00312CA6"/>
    <w:rsid w:val="00312CEB"/>
    <w:rsid w:val="00315186"/>
    <w:rsid w:val="00333201"/>
    <w:rsid w:val="0033343E"/>
    <w:rsid w:val="00343F16"/>
    <w:rsid w:val="003512C2"/>
    <w:rsid w:val="00360E33"/>
    <w:rsid w:val="00371FB6"/>
    <w:rsid w:val="003763C1"/>
    <w:rsid w:val="00376BBE"/>
    <w:rsid w:val="00386261"/>
    <w:rsid w:val="0039224F"/>
    <w:rsid w:val="003A43A4"/>
    <w:rsid w:val="003A7E18"/>
    <w:rsid w:val="003C4C86"/>
    <w:rsid w:val="003C6258"/>
    <w:rsid w:val="003E2904"/>
    <w:rsid w:val="003F65A6"/>
    <w:rsid w:val="00401927"/>
    <w:rsid w:val="0041027F"/>
    <w:rsid w:val="00412475"/>
    <w:rsid w:val="00423789"/>
    <w:rsid w:val="00423EA0"/>
    <w:rsid w:val="00440F43"/>
    <w:rsid w:val="00441B6F"/>
    <w:rsid w:val="00446221"/>
    <w:rsid w:val="00450E62"/>
    <w:rsid w:val="004539DB"/>
    <w:rsid w:val="00461381"/>
    <w:rsid w:val="004652C2"/>
    <w:rsid w:val="00471A80"/>
    <w:rsid w:val="00472000"/>
    <w:rsid w:val="004A7DDE"/>
    <w:rsid w:val="004C2541"/>
    <w:rsid w:val="004C31CF"/>
    <w:rsid w:val="004C6910"/>
    <w:rsid w:val="004D305E"/>
    <w:rsid w:val="004D3E28"/>
    <w:rsid w:val="004D4277"/>
    <w:rsid w:val="005014AD"/>
    <w:rsid w:val="00502516"/>
    <w:rsid w:val="00505F06"/>
    <w:rsid w:val="00506828"/>
    <w:rsid w:val="0053056E"/>
    <w:rsid w:val="00554C9F"/>
    <w:rsid w:val="00554FDA"/>
    <w:rsid w:val="0057085C"/>
    <w:rsid w:val="00573C75"/>
    <w:rsid w:val="00581E46"/>
    <w:rsid w:val="005C784C"/>
    <w:rsid w:val="005D17F6"/>
    <w:rsid w:val="005E5539"/>
    <w:rsid w:val="006014AB"/>
    <w:rsid w:val="00602BF5"/>
    <w:rsid w:val="00617FDD"/>
    <w:rsid w:val="00633614"/>
    <w:rsid w:val="00633F68"/>
    <w:rsid w:val="00636EB2"/>
    <w:rsid w:val="006375B8"/>
    <w:rsid w:val="00642500"/>
    <w:rsid w:val="00655C3E"/>
    <w:rsid w:val="0066510A"/>
    <w:rsid w:val="00673F9F"/>
    <w:rsid w:val="00686953"/>
    <w:rsid w:val="00687DEA"/>
    <w:rsid w:val="00687E67"/>
    <w:rsid w:val="006909DC"/>
    <w:rsid w:val="006967F7"/>
    <w:rsid w:val="006A250C"/>
    <w:rsid w:val="006B21D3"/>
    <w:rsid w:val="006B57D0"/>
    <w:rsid w:val="006D30FF"/>
    <w:rsid w:val="006D6940"/>
    <w:rsid w:val="006F11EC"/>
    <w:rsid w:val="0070082C"/>
    <w:rsid w:val="00711CD5"/>
    <w:rsid w:val="00725077"/>
    <w:rsid w:val="007369E6"/>
    <w:rsid w:val="00746E59"/>
    <w:rsid w:val="00747130"/>
    <w:rsid w:val="00754C9A"/>
    <w:rsid w:val="0075599A"/>
    <w:rsid w:val="00761D52"/>
    <w:rsid w:val="007743D9"/>
    <w:rsid w:val="0077749E"/>
    <w:rsid w:val="00790ADA"/>
    <w:rsid w:val="007A178D"/>
    <w:rsid w:val="007D2288"/>
    <w:rsid w:val="007E088F"/>
    <w:rsid w:val="007F7B32"/>
    <w:rsid w:val="00803527"/>
    <w:rsid w:val="00804BC2"/>
    <w:rsid w:val="0081431A"/>
    <w:rsid w:val="0083216F"/>
    <w:rsid w:val="00860000"/>
    <w:rsid w:val="00863BD3"/>
    <w:rsid w:val="008641ED"/>
    <w:rsid w:val="00866D66"/>
    <w:rsid w:val="008671C6"/>
    <w:rsid w:val="00875803"/>
    <w:rsid w:val="008A5658"/>
    <w:rsid w:val="008A76A9"/>
    <w:rsid w:val="008B3F0D"/>
    <w:rsid w:val="008B459E"/>
    <w:rsid w:val="008E13AE"/>
    <w:rsid w:val="008E1506"/>
    <w:rsid w:val="008E710C"/>
    <w:rsid w:val="008F69D6"/>
    <w:rsid w:val="00902823"/>
    <w:rsid w:val="009116AE"/>
    <w:rsid w:val="00915CA6"/>
    <w:rsid w:val="00927834"/>
    <w:rsid w:val="009500A6"/>
    <w:rsid w:val="00953FCE"/>
    <w:rsid w:val="00957C18"/>
    <w:rsid w:val="00964D0D"/>
    <w:rsid w:val="009659BA"/>
    <w:rsid w:val="00983040"/>
    <w:rsid w:val="009B3FB9"/>
    <w:rsid w:val="009B6B47"/>
    <w:rsid w:val="009C2465"/>
    <w:rsid w:val="009D35A0"/>
    <w:rsid w:val="009D6468"/>
    <w:rsid w:val="009D7EB7"/>
    <w:rsid w:val="009E048A"/>
    <w:rsid w:val="009E08E9"/>
    <w:rsid w:val="009E3DB9"/>
    <w:rsid w:val="009E6E35"/>
    <w:rsid w:val="009F0EDA"/>
    <w:rsid w:val="00A03B96"/>
    <w:rsid w:val="00A05B19"/>
    <w:rsid w:val="00A1134E"/>
    <w:rsid w:val="00A12423"/>
    <w:rsid w:val="00A24E7E"/>
    <w:rsid w:val="00A258C3"/>
    <w:rsid w:val="00A347C0"/>
    <w:rsid w:val="00A438B1"/>
    <w:rsid w:val="00A51431"/>
    <w:rsid w:val="00A539AD"/>
    <w:rsid w:val="00A643A7"/>
    <w:rsid w:val="00A94063"/>
    <w:rsid w:val="00AA6219"/>
    <w:rsid w:val="00AA74E0"/>
    <w:rsid w:val="00AB354B"/>
    <w:rsid w:val="00AB703F"/>
    <w:rsid w:val="00AC6BB8"/>
    <w:rsid w:val="00AE008F"/>
    <w:rsid w:val="00B01FCD"/>
    <w:rsid w:val="00B1776C"/>
    <w:rsid w:val="00B2615A"/>
    <w:rsid w:val="00B52583"/>
    <w:rsid w:val="00B52896"/>
    <w:rsid w:val="00B57BC1"/>
    <w:rsid w:val="00B95236"/>
    <w:rsid w:val="00B96BD9"/>
    <w:rsid w:val="00BA1B01"/>
    <w:rsid w:val="00BA2641"/>
    <w:rsid w:val="00BB37AA"/>
    <w:rsid w:val="00BC53A0"/>
    <w:rsid w:val="00BD2D21"/>
    <w:rsid w:val="00BE20E1"/>
    <w:rsid w:val="00BE500D"/>
    <w:rsid w:val="00BE62AD"/>
    <w:rsid w:val="00BF121F"/>
    <w:rsid w:val="00BF1F80"/>
    <w:rsid w:val="00BF3753"/>
    <w:rsid w:val="00BF5421"/>
    <w:rsid w:val="00C0092C"/>
    <w:rsid w:val="00C166EF"/>
    <w:rsid w:val="00C17EB0"/>
    <w:rsid w:val="00C27F5F"/>
    <w:rsid w:val="00C30A0F"/>
    <w:rsid w:val="00C37E61"/>
    <w:rsid w:val="00C42725"/>
    <w:rsid w:val="00C6601B"/>
    <w:rsid w:val="00C70F1B"/>
    <w:rsid w:val="00C71A47"/>
    <w:rsid w:val="00C7464C"/>
    <w:rsid w:val="00C85588"/>
    <w:rsid w:val="00CD6755"/>
    <w:rsid w:val="00CD6856"/>
    <w:rsid w:val="00CE0089"/>
    <w:rsid w:val="00CE793C"/>
    <w:rsid w:val="00CF193C"/>
    <w:rsid w:val="00D04CD3"/>
    <w:rsid w:val="00D04E74"/>
    <w:rsid w:val="00D173F1"/>
    <w:rsid w:val="00D348E9"/>
    <w:rsid w:val="00D74CB0"/>
    <w:rsid w:val="00D8295D"/>
    <w:rsid w:val="00D83436"/>
    <w:rsid w:val="00D848F2"/>
    <w:rsid w:val="00DA05CD"/>
    <w:rsid w:val="00DC2A65"/>
    <w:rsid w:val="00DD34E9"/>
    <w:rsid w:val="00DE15F0"/>
    <w:rsid w:val="00DE5663"/>
    <w:rsid w:val="00DE78AA"/>
    <w:rsid w:val="00E053D0"/>
    <w:rsid w:val="00E15994"/>
    <w:rsid w:val="00E16642"/>
    <w:rsid w:val="00E24FB2"/>
    <w:rsid w:val="00E26BE7"/>
    <w:rsid w:val="00E3114E"/>
    <w:rsid w:val="00E31A70"/>
    <w:rsid w:val="00E35B02"/>
    <w:rsid w:val="00E379DE"/>
    <w:rsid w:val="00E57BDA"/>
    <w:rsid w:val="00E66496"/>
    <w:rsid w:val="00E66B35"/>
    <w:rsid w:val="00E66E10"/>
    <w:rsid w:val="00E715D7"/>
    <w:rsid w:val="00E74018"/>
    <w:rsid w:val="00E74813"/>
    <w:rsid w:val="00E769F6"/>
    <w:rsid w:val="00E803DA"/>
    <w:rsid w:val="00E8407C"/>
    <w:rsid w:val="00E84F3C"/>
    <w:rsid w:val="00EA012C"/>
    <w:rsid w:val="00EC40A6"/>
    <w:rsid w:val="00EC6A55"/>
    <w:rsid w:val="00ED0288"/>
    <w:rsid w:val="00ED450E"/>
    <w:rsid w:val="00EE52CB"/>
    <w:rsid w:val="00EF581D"/>
    <w:rsid w:val="00EF7FD8"/>
    <w:rsid w:val="00F06F59"/>
    <w:rsid w:val="00F17988"/>
    <w:rsid w:val="00F22897"/>
    <w:rsid w:val="00F2354B"/>
    <w:rsid w:val="00F469F0"/>
    <w:rsid w:val="00F53273"/>
    <w:rsid w:val="00F755E4"/>
    <w:rsid w:val="00F77D02"/>
    <w:rsid w:val="00F97C4D"/>
    <w:rsid w:val="00FB135D"/>
    <w:rsid w:val="00FB3A86"/>
    <w:rsid w:val="00FC4AE7"/>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F4AE36"/>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92C"/>
    <w:rPr>
      <w:sz w:val="24"/>
      <w:szCs w:val="24"/>
      <w:lang w:val="en-PH"/>
    </w:rPr>
  </w:style>
  <w:style w:type="paragraph" w:styleId="Heading1">
    <w:name w:val="heading 1"/>
    <w:basedOn w:val="Normal"/>
    <w:next w:val="Normal"/>
    <w:link w:val="Heading1Char"/>
    <w:uiPriority w:val="9"/>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D04E7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57BC1"/>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NormalWeb">
    <w:name w:val="Normal (Web)"/>
    <w:basedOn w:val="Normal"/>
    <w:uiPriority w:val="99"/>
    <w:unhideWhenUsed/>
    <w:rsid w:val="00B2615A"/>
    <w:pPr>
      <w:spacing w:before="100" w:beforeAutospacing="1" w:after="100" w:afterAutospacing="1"/>
    </w:pPr>
  </w:style>
  <w:style w:type="character" w:customStyle="1" w:styleId="Heading3Char">
    <w:name w:val="Heading 3 Char"/>
    <w:basedOn w:val="DefaultParagraphFont"/>
    <w:link w:val="Heading3"/>
    <w:uiPriority w:val="9"/>
    <w:rsid w:val="00B57BC1"/>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964D0D"/>
    <w:rPr>
      <w:rFonts w:ascii="Arial" w:hAnsi="Arial"/>
      <w:b/>
      <w:kern w:val="28"/>
      <w:sz w:val="28"/>
    </w:rPr>
  </w:style>
  <w:style w:type="character" w:styleId="Strong">
    <w:name w:val="Strong"/>
    <w:basedOn w:val="DefaultParagraphFont"/>
    <w:uiPriority w:val="22"/>
    <w:qFormat/>
    <w:rsid w:val="004C2541"/>
    <w:rPr>
      <w:b/>
      <w:bCs/>
    </w:rPr>
  </w:style>
  <w:style w:type="character" w:customStyle="1" w:styleId="contents">
    <w:name w:val="contents"/>
    <w:basedOn w:val="DefaultParagraphFont"/>
    <w:rsid w:val="0026707F"/>
  </w:style>
  <w:style w:type="paragraph" w:customStyle="1" w:styleId="my-2">
    <w:name w:val="my-2"/>
    <w:basedOn w:val="Normal"/>
    <w:rsid w:val="004D3E28"/>
    <w:pPr>
      <w:spacing w:before="100" w:beforeAutospacing="1" w:after="100" w:afterAutospacing="1"/>
    </w:pPr>
  </w:style>
  <w:style w:type="character" w:customStyle="1" w:styleId="inline-block">
    <w:name w:val="inline-block"/>
    <w:basedOn w:val="DefaultParagraphFont"/>
    <w:rsid w:val="004D3E28"/>
  </w:style>
  <w:style w:type="paragraph" w:customStyle="1" w:styleId="py-0">
    <w:name w:val="py-0"/>
    <w:basedOn w:val="Normal"/>
    <w:rsid w:val="00E24FB2"/>
    <w:pPr>
      <w:spacing w:before="100" w:beforeAutospacing="1" w:after="100" w:afterAutospacing="1"/>
    </w:pPr>
  </w:style>
  <w:style w:type="character" w:styleId="HTMLCode">
    <w:name w:val="HTML Code"/>
    <w:basedOn w:val="DefaultParagraphFont"/>
    <w:uiPriority w:val="99"/>
    <w:semiHidden/>
    <w:unhideWhenUsed/>
    <w:rsid w:val="00E24FB2"/>
    <w:rPr>
      <w:rFonts w:ascii="Courier New" w:eastAsia="Times New Roman" w:hAnsi="Courier New" w:cs="Courier New"/>
      <w:sz w:val="20"/>
      <w:szCs w:val="20"/>
    </w:rPr>
  </w:style>
  <w:style w:type="character" w:customStyle="1" w:styleId="Heading2Char">
    <w:name w:val="Heading 2 Char"/>
    <w:basedOn w:val="DefaultParagraphFont"/>
    <w:link w:val="Heading2"/>
    <w:semiHidden/>
    <w:rsid w:val="00D04E74"/>
    <w:rPr>
      <w:rFonts w:asciiTheme="majorHAnsi" w:eastAsiaTheme="majorEastAsia" w:hAnsiTheme="majorHAnsi" w:cstheme="majorBidi"/>
      <w:color w:val="365F91" w:themeColor="accent1" w:themeShade="BF"/>
      <w:sz w:val="26"/>
      <w:szCs w:val="26"/>
      <w:lang w:val="en-P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007/s10961-024-10085-7?utm_source=chatgpt.com" TargetMode="External"/><Relationship Id="rId26" Type="http://schemas.openxmlformats.org/officeDocument/2006/relationships/hyperlink" Target="https://doi.org/10.1108/JEEE-09-2023-0356?utm_source=chatgpt.com" TargetMode="External"/><Relationship Id="rId39" Type="http://schemas.openxmlformats.org/officeDocument/2006/relationships/theme" Target="theme/theme1.xml"/><Relationship Id="rId21" Type="http://schemas.openxmlformats.org/officeDocument/2006/relationships/hyperlink" Target="%20https://doi.org/10.1007/s13132-024-01819-x" TargetMode="External"/><Relationship Id="rId34" Type="http://schemas.openxmlformats.org/officeDocument/2006/relationships/hyperlink" Target="https://doi.org/10.1016/j.ijme.2024.101087"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yperlink" Target="https://doi.org/10.1108/JSBED-11-2021-0466" TargetMode="External"/><Relationship Id="rId33" Type="http://schemas.openxmlformats.org/officeDocument/2006/relationships/hyperlink" Target="https://doi.org/10.1007/s41959-023-00108-z"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doi.org/10.1016/j.glmedi.2024.100051" TargetMode="External"/><Relationship Id="rId29" Type="http://schemas.openxmlformats.org/officeDocument/2006/relationships/hyperlink" Target="https://doi.org/10.1016/j.ijme.2023.10079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5902/1983465969818" TargetMode="External"/><Relationship Id="rId32" Type="http://schemas.openxmlformats.org/officeDocument/2006/relationships/hyperlink" Target="https://doi.org/10.1016/j.ssmqr.2022.100166" TargetMode="External"/><Relationship Id="rId37" Type="http://schemas.openxmlformats.org/officeDocument/2006/relationships/hyperlink" Target="https://www.xu.edu.ph/programs-sec/student-entrepreneurship-program" TargetMode="Externa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doi.org/10.1016/j.stueduc.2022.101150" TargetMode="External"/><Relationship Id="rId28" Type="http://schemas.openxmlformats.org/officeDocument/2006/relationships/hyperlink" Target="https://doi.org/10.46743/2160-3715/2022.5044" TargetMode="External"/><Relationship Id="rId36" Type="http://schemas.openxmlformats.org/officeDocument/2006/relationships/hyperlink" Target="https://doi.org/10.1186/s13731-024-00433-0" TargetMode="External"/><Relationship Id="rId10" Type="http://schemas.openxmlformats.org/officeDocument/2006/relationships/footer" Target="footer1.xml"/><Relationship Id="rId19" Type="http://schemas.openxmlformats.org/officeDocument/2006/relationships/hyperlink" Target="https://doi.org/10.1007/s10961-024-10085-7" TargetMode="External"/><Relationship Id="rId31" Type="http://schemas.openxmlformats.org/officeDocument/2006/relationships/hyperlink" Target="https://doi.org/10.1590/0102-311XPT18982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doi.org/10.1108/JSBED-09-2022-0408" TargetMode="External"/><Relationship Id="rId27" Type="http://schemas.openxmlformats.org/officeDocument/2006/relationships/hyperlink" Target="https://doi.org/10.46743/2160-3715/2022.5044?utm_source=chatgpt.com" TargetMode="External"/><Relationship Id="rId30" Type="http://schemas.openxmlformats.org/officeDocument/2006/relationships/hyperlink" Target="https://doi.org/10.1016/j.ijme.2024.100974" TargetMode="External"/><Relationship Id="rId35" Type="http://schemas.openxmlformats.org/officeDocument/2006/relationships/hyperlink" Target="https://doi.org/10.1007/s10668-023-03010-9" TargetMode="External"/><Relationship Id="rId8" Type="http://schemas.openxmlformats.org/officeDocument/2006/relationships/header" Target="header1.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C:\Documents and Settings\logan\Local Settings\Temporary Internet Files\OLK35\2007 paper template.dot</Template>
  <TotalTime>89</TotalTime>
  <Pages>24</Pages>
  <Words>13390</Words>
  <Characters>76325</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89536</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LEO SANTIAGO III ARRABACA</cp:lastModifiedBy>
  <cp:revision>54</cp:revision>
  <cp:lastPrinted>1999-07-06T11:00:00Z</cp:lastPrinted>
  <dcterms:created xsi:type="dcterms:W3CDTF">2026-08-24T14:42:00Z</dcterms:created>
  <dcterms:modified xsi:type="dcterms:W3CDTF">2026-08-28T13:35:00Z</dcterms:modified>
</cp:coreProperties>
</file>