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E44D" w14:textId="77777777" w:rsidR="00DD2AAA" w:rsidRPr="00A322A9" w:rsidRDefault="00DD2AAA" w:rsidP="00A322A9">
      <w:pPr>
        <w:spacing w:before="720" w:after="560" w:line="360" w:lineRule="auto"/>
        <w:jc w:val="center"/>
        <w:rPr>
          <w:rFonts w:ascii="Times New Roman" w:hAnsi="Times New Roman" w:cs="Times New Roman"/>
          <w:b/>
          <w:bCs/>
          <w:sz w:val="24"/>
          <w:szCs w:val="24"/>
        </w:rPr>
      </w:pPr>
      <w:r w:rsidRPr="00A322A9">
        <w:rPr>
          <w:rFonts w:ascii="Times New Roman" w:hAnsi="Times New Roman" w:cs="Times New Roman"/>
          <w:b/>
          <w:bCs/>
          <w:sz w:val="32"/>
          <w:szCs w:val="24"/>
        </w:rPr>
        <w:t>Used Lead-Acid Batteries from Nigeria's Off-Grid Solar Sector: Environmental Health Risks, Regulatory Gaps and Circular-Economy Responses</w:t>
      </w:r>
    </w:p>
    <w:p w14:paraId="674163CB" w14:textId="77777777" w:rsidR="00E02039" w:rsidRDefault="00E02039" w:rsidP="00A322A9">
      <w:pPr>
        <w:spacing w:line="360" w:lineRule="auto"/>
        <w:rPr>
          <w:rFonts w:ascii="Times New Roman" w:hAnsi="Times New Roman" w:cs="Times New Roman"/>
          <w:b/>
          <w:bCs/>
          <w:sz w:val="24"/>
          <w:szCs w:val="24"/>
        </w:rPr>
      </w:pPr>
    </w:p>
    <w:p w14:paraId="529E4C78" w14:textId="77777777" w:rsidR="00DD2AAA" w:rsidRPr="00A322A9" w:rsidRDefault="00DD2AAA" w:rsidP="00A322A9">
      <w:pPr>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Abstract</w:t>
      </w:r>
    </w:p>
    <w:p w14:paraId="3D9DF3A4" w14:textId="79F588A6" w:rsidR="00DD2AAA" w:rsidRPr="00A322A9" w:rsidRDefault="003F5D34" w:rsidP="00A322A9">
      <w:pPr>
        <w:spacing w:line="360" w:lineRule="auto"/>
        <w:rPr>
          <w:rFonts w:ascii="Times New Roman" w:hAnsi="Times New Roman" w:cs="Times New Roman"/>
          <w:sz w:val="24"/>
          <w:szCs w:val="24"/>
        </w:rPr>
      </w:pPr>
      <w:r>
        <w:rPr>
          <w:rStyle w:val="Strong"/>
        </w:rPr>
        <w:t>Background:</w:t>
      </w:r>
      <w:r>
        <w:t xml:space="preserve"> Nigeria’s rapid expansion of off-grid solar systems is increasing the use and eventual disposal of lead-acid batteries, yet the contribution of solar-derived batteries to the country’s wider used lead-acid battery waste stream remains poorly quantified. </w:t>
      </w:r>
      <w:r>
        <w:rPr>
          <w:rStyle w:val="Strong"/>
        </w:rPr>
        <w:t>Aim:</w:t>
      </w:r>
      <w:r>
        <w:t xml:space="preserve"> This narrative review examined the management of used lead-acid batteries from Nigeria’s off-grid solar sector, associated environmental and public-health risks, regulatory gaps, and circular-economy responses. </w:t>
      </w:r>
      <w:r>
        <w:rPr>
          <w:rStyle w:val="Strong"/>
        </w:rPr>
        <w:t>Methodology:</w:t>
      </w:r>
      <w:r>
        <w:t xml:space="preserve"> MEDLINE, Scopus, the Cochrane Library and Google Scholar were searched from inception to August 2026, together with relevant institutional and Nigerian government sources. Evidence was </w:t>
      </w:r>
      <w:proofErr w:type="spellStart"/>
      <w:r>
        <w:t>categorised</w:t>
      </w:r>
      <w:proofErr w:type="spellEnd"/>
      <w:r>
        <w:t xml:space="preserve"> as Nigerian solar-battery evidence, Nigerian lead-acid battery evidence of unspecified origin, evidence from other African settings, or general lead toxicology. </w:t>
      </w:r>
      <w:r>
        <w:rPr>
          <w:rStyle w:val="Strong"/>
        </w:rPr>
        <w:t>Results:</w:t>
      </w:r>
      <w:r>
        <w:t xml:space="preserve"> No identified Nigerian study directly attributed measured lead exposure or contamination to batteries originating from off-grid solar systems. However, evidence from the wider Nigerian battery-recycling stream shows substantial occupational and environmental hazards. Informal recycling workers had a mean blood lead level of 40.17 µg/dL compared with 3.61 µg/dL among controls, while soil lead concentrations reached 29,000 ppm outside recycling facilities. Nigeria has battery regulations and an extended producer-responsibility framework, but important implementation gaps remain in enforcement, traceability, institutional coordination and informal-sector oversight. </w:t>
      </w:r>
      <w:r>
        <w:rPr>
          <w:rStyle w:val="Strong"/>
        </w:rPr>
        <w:t>Conclusion:</w:t>
      </w:r>
      <w:r>
        <w:t xml:space="preserve"> The downstream environmental and health burden attributable specifically to off-grid solar batteries remains unquantified. Source-level traceability at collection is therefore necessary to distinguish solar batteries within the wider waste stream and support sector-specific accountability.</w:t>
      </w:r>
    </w:p>
    <w:p w14:paraId="6F98A368" w14:textId="61324425" w:rsidR="00DD2AAA" w:rsidRPr="00A322A9" w:rsidRDefault="00DD2AAA" w:rsidP="00A322A9">
      <w:pPr>
        <w:spacing w:line="360" w:lineRule="auto"/>
        <w:rPr>
          <w:rFonts w:ascii="Times New Roman" w:hAnsi="Times New Roman" w:cs="Times New Roman"/>
          <w:sz w:val="24"/>
          <w:szCs w:val="24"/>
        </w:rPr>
      </w:pPr>
      <w:r w:rsidRPr="00306F00">
        <w:rPr>
          <w:rFonts w:ascii="Times New Roman" w:hAnsi="Times New Roman" w:cs="Times New Roman"/>
          <w:sz w:val="24"/>
          <w:szCs w:val="24"/>
        </w:rPr>
        <w:t>Keywords</w:t>
      </w:r>
      <w:r w:rsidRPr="00A322A9">
        <w:rPr>
          <w:rFonts w:ascii="Times New Roman" w:hAnsi="Times New Roman" w:cs="Times New Roman"/>
          <w:sz w:val="24"/>
          <w:szCs w:val="24"/>
        </w:rPr>
        <w:t>: used lead-acid batteries; off-grid solar; lead exposure; extended producer responsibility; circular economy; informal recycling</w:t>
      </w:r>
    </w:p>
    <w:p w14:paraId="4DC1BBE6" w14:textId="77777777" w:rsidR="00DD2AAA" w:rsidRPr="00A322A9" w:rsidRDefault="00DD2AAA" w:rsidP="00A322A9">
      <w:pPr>
        <w:spacing w:line="360" w:lineRule="auto"/>
        <w:rPr>
          <w:rFonts w:ascii="Times New Roman" w:hAnsi="Times New Roman" w:cs="Times New Roman"/>
          <w:sz w:val="24"/>
          <w:szCs w:val="24"/>
        </w:rPr>
      </w:pPr>
    </w:p>
    <w:p w14:paraId="1C524EC8" w14:textId="77777777" w:rsidR="00D44451" w:rsidRPr="00A322A9" w:rsidRDefault="00D44451" w:rsidP="00A322A9">
      <w:pPr>
        <w:spacing w:line="360" w:lineRule="auto"/>
        <w:rPr>
          <w:rFonts w:ascii="Times New Roman" w:hAnsi="Times New Roman" w:cs="Times New Roman"/>
          <w:b/>
          <w:bCs/>
          <w:sz w:val="28"/>
          <w:szCs w:val="28"/>
        </w:rPr>
      </w:pPr>
    </w:p>
    <w:p w14:paraId="1CA51B89" w14:textId="77777777" w:rsidR="00D44451" w:rsidRPr="00A322A9" w:rsidRDefault="00D44451" w:rsidP="00A322A9">
      <w:pPr>
        <w:spacing w:line="360" w:lineRule="auto"/>
        <w:rPr>
          <w:rFonts w:ascii="Times New Roman" w:hAnsi="Times New Roman" w:cs="Times New Roman"/>
          <w:b/>
          <w:bCs/>
          <w:sz w:val="28"/>
          <w:szCs w:val="28"/>
        </w:rPr>
      </w:pPr>
    </w:p>
    <w:p w14:paraId="051E1830" w14:textId="77777777" w:rsidR="00D44451" w:rsidRPr="00A322A9" w:rsidRDefault="00D44451" w:rsidP="00A322A9">
      <w:pPr>
        <w:spacing w:line="360" w:lineRule="auto"/>
        <w:rPr>
          <w:rFonts w:ascii="Times New Roman" w:hAnsi="Times New Roman" w:cs="Times New Roman"/>
          <w:b/>
          <w:bCs/>
          <w:sz w:val="28"/>
          <w:szCs w:val="28"/>
        </w:rPr>
      </w:pPr>
    </w:p>
    <w:p w14:paraId="6E928C80" w14:textId="77777777" w:rsidR="00D44451" w:rsidRPr="00A322A9" w:rsidRDefault="00D44451" w:rsidP="00A322A9">
      <w:pPr>
        <w:spacing w:line="360" w:lineRule="auto"/>
        <w:rPr>
          <w:rFonts w:ascii="Times New Roman" w:hAnsi="Times New Roman" w:cs="Times New Roman"/>
          <w:b/>
          <w:bCs/>
          <w:sz w:val="28"/>
          <w:szCs w:val="28"/>
        </w:rPr>
      </w:pPr>
    </w:p>
    <w:p w14:paraId="07250B01" w14:textId="77777777" w:rsidR="00D44451" w:rsidRPr="00A322A9" w:rsidRDefault="00D44451" w:rsidP="00A322A9">
      <w:pPr>
        <w:spacing w:line="360" w:lineRule="auto"/>
        <w:rPr>
          <w:rFonts w:ascii="Times New Roman" w:hAnsi="Times New Roman" w:cs="Times New Roman"/>
          <w:b/>
          <w:bCs/>
          <w:sz w:val="28"/>
          <w:szCs w:val="28"/>
        </w:rPr>
      </w:pPr>
    </w:p>
    <w:p w14:paraId="3323EC9F" w14:textId="77777777" w:rsidR="00D44451" w:rsidRPr="00A322A9" w:rsidRDefault="00D44451" w:rsidP="00A322A9">
      <w:pPr>
        <w:spacing w:line="360" w:lineRule="auto"/>
        <w:rPr>
          <w:rFonts w:ascii="Times New Roman" w:hAnsi="Times New Roman" w:cs="Times New Roman"/>
          <w:b/>
          <w:bCs/>
          <w:sz w:val="28"/>
          <w:szCs w:val="28"/>
        </w:rPr>
      </w:pPr>
    </w:p>
    <w:p w14:paraId="04395FA4"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t>1. Introduction</w:t>
      </w:r>
    </w:p>
    <w:p w14:paraId="2816BBD2"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Nigeria has one of the world’s largest electricity-access deficits, with millions of households and businesses experiencing either no grid connection or an unreliable supply</w:t>
      </w:r>
      <w:r>
        <w:rPr>
          <w:rFonts w:ascii="Times New Roman" w:hAnsi="Times New Roman" w:cs="Times New Roman"/>
          <w:sz w:val="24"/>
          <w:szCs w:val="24"/>
          <w:highlight w:val="yellow"/>
        </w:rPr>
        <w:t xml:space="preserve"> (World Bank, 2023)</w:t>
      </w:r>
      <w:r>
        <w:rPr>
          <w:rFonts w:ascii="Times New Roman" w:hAnsi="Times New Roman" w:cs="Times New Roman"/>
          <w:sz w:val="24"/>
          <w:szCs w:val="24"/>
        </w:rPr>
        <w:t xml:space="preserve">. Instead of grid solutions, electrification programmes have focused </w:t>
      </w:r>
      <w:r>
        <w:rPr>
          <w:rFonts w:ascii="Times New Roman" w:hAnsi="Times New Roman" w:cs="Times New Roman"/>
          <w:sz w:val="24"/>
          <w:szCs w:val="24"/>
          <w:highlight w:val="yellow"/>
        </w:rPr>
        <w:t>the</w:t>
      </w:r>
      <w:r>
        <w:rPr>
          <w:rFonts w:ascii="Times New Roman" w:hAnsi="Times New Roman" w:cs="Times New Roman"/>
          <w:sz w:val="24"/>
          <w:szCs w:val="24"/>
        </w:rPr>
        <w:t>i</w:t>
      </w:r>
      <w:r>
        <w:rPr>
          <w:rFonts w:ascii="Times New Roman" w:hAnsi="Times New Roman" w:cs="Times New Roman"/>
          <w:sz w:val="24"/>
          <w:szCs w:val="24"/>
          <w:highlight w:val="yellow"/>
        </w:rPr>
        <w:t>r</w:t>
      </w:r>
      <w:r>
        <w:rPr>
          <w:rFonts w:ascii="Times New Roman" w:hAnsi="Times New Roman" w:cs="Times New Roman"/>
          <w:sz w:val="24"/>
          <w:szCs w:val="24"/>
        </w:rPr>
        <w:t xml:space="preserve"> efforts on decentrali</w:t>
      </w:r>
      <w:r>
        <w:rPr>
          <w:rFonts w:ascii="Times New Roman" w:hAnsi="Times New Roman" w:cs="Times New Roman"/>
          <w:sz w:val="24"/>
          <w:szCs w:val="24"/>
          <w:highlight w:val="yellow"/>
        </w:rPr>
        <w:t>s</w:t>
      </w:r>
      <w:r>
        <w:rPr>
          <w:rFonts w:ascii="Times New Roman" w:hAnsi="Times New Roman" w:cs="Times New Roman"/>
          <w:sz w:val="24"/>
          <w:szCs w:val="24"/>
        </w:rPr>
        <w:t>ed solutions such as solar energy (</w:t>
      </w:r>
      <w:r>
        <w:rPr>
          <w:rFonts w:ascii="Times New Roman" w:hAnsi="Times New Roman" w:cs="Times New Roman"/>
        </w:rPr>
        <w:t>Adeyeye &amp; Mbohwa, 2026)</w:t>
      </w:r>
      <w:r>
        <w:rPr>
          <w:rFonts w:ascii="Times New Roman" w:hAnsi="Times New Roman" w:cs="Times New Roman"/>
          <w:sz w:val="24"/>
          <w:szCs w:val="24"/>
        </w:rPr>
        <w:t xml:space="preserve">. As of 2025, cumulative </w:t>
      </w:r>
      <w:r>
        <w:rPr>
          <w:rFonts w:ascii="Times New Roman" w:hAnsi="Times New Roman" w:cs="Times New Roman"/>
          <w:sz w:val="24"/>
          <w:szCs w:val="24"/>
          <w:highlight w:val="yellow"/>
        </w:rPr>
        <w:t xml:space="preserve">installed </w:t>
      </w:r>
      <w:r>
        <w:rPr>
          <w:rFonts w:ascii="Times New Roman" w:hAnsi="Times New Roman" w:cs="Times New Roman"/>
          <w:sz w:val="24"/>
          <w:szCs w:val="24"/>
        </w:rPr>
        <w:t>off-grid solar capacity is estimated at about 1.19 GW</w:t>
      </w:r>
      <w:r>
        <w:rPr>
          <w:rFonts w:ascii="Times New Roman" w:hAnsi="Times New Roman" w:cs="Times New Roman"/>
          <w:sz w:val="24"/>
          <w:szCs w:val="24"/>
          <w:highlight w:val="yellow"/>
        </w:rPr>
        <w:t>,</w:t>
      </w:r>
      <w:r>
        <w:rPr>
          <w:rFonts w:ascii="Times New Roman" w:hAnsi="Times New Roman" w:cs="Times New Roman"/>
          <w:sz w:val="24"/>
          <w:szCs w:val="24"/>
        </w:rPr>
        <w:t xml:space="preserve"> or 96% of total capacity (Global Solar Council, 2026). Capacity increased by 803 MW (141% over the previous year) in 2025</w:t>
      </w:r>
      <w:r>
        <w:rPr>
          <w:rFonts w:ascii="Times New Roman" w:hAnsi="Times New Roman" w:cs="Times New Roman"/>
          <w:sz w:val="24"/>
          <w:szCs w:val="24"/>
          <w:highlight w:val="yellow"/>
        </w:rPr>
        <w:t>,</w:t>
      </w:r>
      <w:r>
        <w:rPr>
          <w:rFonts w:ascii="Times New Roman" w:hAnsi="Times New Roman" w:cs="Times New Roman"/>
          <w:sz w:val="24"/>
          <w:szCs w:val="24"/>
        </w:rPr>
        <w:t xml:space="preserve"> and battery storage grew from approximately 10 MWh to 40.6 MWh (Global Solar Council, 2026).</w:t>
      </w:r>
    </w:p>
    <w:p w14:paraId="0B302555" w14:textId="77777777" w:rsidR="00DD2AAA" w:rsidRPr="003F5D34" w:rsidRDefault="00DD2AAA" w:rsidP="00A322A9">
      <w:pPr>
        <w:spacing w:line="360" w:lineRule="auto"/>
        <w:rPr>
          <w:rFonts w:ascii="Times New Roman" w:hAnsi="Times New Roman" w:cs="Times New Roman"/>
          <w:bCs/>
          <w:sz w:val="24"/>
          <w:szCs w:val="24"/>
        </w:rPr>
      </w:pPr>
      <w:r>
        <w:rPr>
          <w:rFonts w:ascii="Times New Roman" w:hAnsi="Times New Roman" w:cs="Times New Roman"/>
          <w:sz w:val="24"/>
          <w:szCs w:val="24"/>
        </w:rPr>
        <w:t xml:space="preserve">Almost all of that storage is temporary. </w:t>
      </w:r>
      <w:r>
        <w:rPr>
          <w:rFonts w:ascii="Times New Roman" w:hAnsi="Times New Roman" w:cs="Times New Roman"/>
          <w:sz w:val="24"/>
          <w:szCs w:val="24"/>
          <w:highlight w:val="yellow"/>
        </w:rPr>
        <w:t>L</w:t>
      </w:r>
      <w:r>
        <w:rPr>
          <w:rFonts w:ascii="Times New Roman" w:hAnsi="Times New Roman" w:cs="Times New Roman"/>
          <w:sz w:val="24"/>
          <w:szCs w:val="24"/>
        </w:rPr>
        <w:t xml:space="preserve">ead-acid </w:t>
      </w:r>
      <w:r>
        <w:rPr>
          <w:rFonts w:ascii="Times New Roman" w:hAnsi="Times New Roman" w:cs="Times New Roman"/>
          <w:sz w:val="24"/>
          <w:szCs w:val="24"/>
          <w:highlight w:val="yellow"/>
        </w:rPr>
        <w:t>batter</w:t>
      </w:r>
      <w:r>
        <w:rPr>
          <w:rFonts w:ascii="Times New Roman" w:hAnsi="Times New Roman" w:cs="Times New Roman"/>
          <w:sz w:val="24"/>
          <w:szCs w:val="24"/>
        </w:rPr>
        <w:t>i</w:t>
      </w:r>
      <w:r>
        <w:rPr>
          <w:rFonts w:ascii="Times New Roman" w:hAnsi="Times New Roman" w:cs="Times New Roman"/>
          <w:sz w:val="24"/>
          <w:szCs w:val="24"/>
          <w:highlight w:val="yellow"/>
        </w:rPr>
        <w:t>e</w:t>
      </w:r>
      <w:r>
        <w:rPr>
          <w:rFonts w:ascii="Times New Roman" w:hAnsi="Times New Roman" w:cs="Times New Roman"/>
          <w:sz w:val="24"/>
          <w:szCs w:val="24"/>
        </w:rPr>
        <w:t>s</w:t>
      </w:r>
      <w:r>
        <w:rPr>
          <w:rFonts w:ascii="Times New Roman" w:hAnsi="Times New Roman" w:cs="Times New Roman"/>
          <w:sz w:val="24"/>
          <w:szCs w:val="24"/>
          <w:highlight w:val="yellow"/>
        </w:rPr>
        <w:t xml:space="preserve"> are</w:t>
      </w:r>
      <w:r>
        <w:rPr>
          <w:rFonts w:ascii="Times New Roman" w:hAnsi="Times New Roman" w:cs="Times New Roman"/>
          <w:sz w:val="24"/>
          <w:szCs w:val="24"/>
        </w:rPr>
        <w:t xml:space="preserve"> the preferred chemistry for solar home systems and inverter systems in Nigeria </w:t>
      </w:r>
      <w:r>
        <w:rPr>
          <w:rFonts w:ascii="Times New Roman" w:hAnsi="Times New Roman" w:cs="Times New Roman"/>
          <w:sz w:val="24"/>
          <w:szCs w:val="24"/>
          <w:highlight w:val="yellow"/>
        </w:rPr>
        <w:t>becau</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th</w:t>
      </w:r>
      <w:r>
        <w:rPr>
          <w:rFonts w:ascii="Times New Roman" w:hAnsi="Times New Roman" w:cs="Times New Roman"/>
          <w:sz w:val="24"/>
          <w:szCs w:val="24"/>
          <w:highlight w:val="yellow"/>
        </w:rPr>
        <w:t xml:space="preserve">ey </w:t>
      </w:r>
      <w:r>
        <w:rPr>
          <w:rFonts w:ascii="Times New Roman" w:hAnsi="Times New Roman" w:cs="Times New Roman"/>
          <w:sz w:val="24"/>
          <w:szCs w:val="24"/>
        </w:rPr>
        <w:t>a</w:t>
      </w:r>
      <w:r>
        <w:rPr>
          <w:rFonts w:ascii="Times New Roman" w:hAnsi="Times New Roman" w:cs="Times New Roman"/>
          <w:sz w:val="24"/>
          <w:szCs w:val="24"/>
          <w:highlight w:val="yellow"/>
        </w:rPr>
        <w:t>re</w:t>
      </w:r>
      <w:r>
        <w:rPr>
          <w:rFonts w:ascii="Times New Roman" w:hAnsi="Times New Roman" w:cs="Times New Roman"/>
          <w:sz w:val="24"/>
          <w:szCs w:val="24"/>
        </w:rPr>
        <w:t xml:space="preserve"> cheaper to purchase</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locally serviceable</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while</w:t>
      </w:r>
      <w:r>
        <w:rPr>
          <w:rFonts w:ascii="Times New Roman" w:hAnsi="Times New Roman" w:cs="Times New Roman"/>
          <w:sz w:val="24"/>
          <w:szCs w:val="24"/>
        </w:rPr>
        <w:t xml:space="preserve"> the lithium</w:t>
      </w:r>
      <w:r>
        <w:rPr>
          <w:rFonts w:ascii="Times New Roman" w:hAnsi="Times New Roman" w:cs="Times New Roman"/>
          <w:sz w:val="24"/>
          <w:szCs w:val="24"/>
          <w:highlight w:val="yellow"/>
        </w:rPr>
        <w:t>-</w:t>
      </w:r>
      <w:r>
        <w:rPr>
          <w:rFonts w:ascii="Times New Roman" w:hAnsi="Times New Roman" w:cs="Times New Roman"/>
          <w:sz w:val="24"/>
          <w:szCs w:val="24"/>
        </w:rPr>
        <w:t>ion alternative is too expensive for pay-as-you-go customers. These duty cycles lead to a battery life of 3</w:t>
      </w:r>
      <w:r>
        <w:rPr>
          <w:rFonts w:ascii="Times New Roman" w:hAnsi="Times New Roman" w:cs="Times New Roman"/>
          <w:sz w:val="24"/>
          <w:szCs w:val="24"/>
          <w:highlight w:val="yellow"/>
        </w:rPr>
        <w:t>–</w:t>
      </w:r>
      <w:r>
        <w:rPr>
          <w:rFonts w:ascii="Times New Roman" w:hAnsi="Times New Roman" w:cs="Times New Roman"/>
          <w:sz w:val="24"/>
          <w:szCs w:val="24"/>
        </w:rPr>
        <w:t xml:space="preserve">5 years, and sometimes </w:t>
      </w:r>
      <w:r>
        <w:rPr>
          <w:rFonts w:ascii="Times New Roman" w:hAnsi="Times New Roman" w:cs="Times New Roman"/>
          <w:sz w:val="24"/>
          <w:szCs w:val="24"/>
          <w:highlight w:val="yellow"/>
        </w:rPr>
        <w:t>le</w:t>
      </w:r>
      <w:r>
        <w:rPr>
          <w:rFonts w:ascii="Times New Roman" w:hAnsi="Times New Roman" w:cs="Times New Roman"/>
          <w:sz w:val="24"/>
          <w:szCs w:val="24"/>
        </w:rPr>
        <w:t>s</w:t>
      </w:r>
      <w:r>
        <w:rPr>
          <w:rFonts w:ascii="Times New Roman" w:hAnsi="Times New Roman" w:cs="Times New Roman"/>
          <w:sz w:val="24"/>
          <w:szCs w:val="24"/>
          <w:highlight w:val="yellow"/>
        </w:rPr>
        <w:t>s, f</w:t>
      </w:r>
      <w:r>
        <w:rPr>
          <w:rFonts w:ascii="Times New Roman" w:hAnsi="Times New Roman" w:cs="Times New Roman"/>
          <w:sz w:val="24"/>
          <w:szCs w:val="24"/>
        </w:rPr>
        <w:t xml:space="preserve">or batteries that are deeply discharged, </w:t>
      </w:r>
      <w:r>
        <w:rPr>
          <w:rFonts w:ascii="Times New Roman" w:hAnsi="Times New Roman" w:cs="Times New Roman"/>
          <w:sz w:val="24"/>
          <w:szCs w:val="24"/>
          <w:highlight w:val="yellow"/>
        </w:rPr>
        <w:t>p</w:t>
      </w:r>
      <w:r>
        <w:rPr>
          <w:rFonts w:ascii="Times New Roman" w:hAnsi="Times New Roman" w:cs="Times New Roman"/>
          <w:sz w:val="24"/>
          <w:szCs w:val="24"/>
        </w:rPr>
        <w:t>o</w:t>
      </w:r>
      <w:r>
        <w:rPr>
          <w:rFonts w:ascii="Times New Roman" w:hAnsi="Times New Roman" w:cs="Times New Roman"/>
          <w:sz w:val="24"/>
          <w:szCs w:val="24"/>
          <w:highlight w:val="yellow"/>
        </w:rPr>
        <w:t>or</w:t>
      </w:r>
      <w:r>
        <w:rPr>
          <w:rFonts w:ascii="Times New Roman" w:hAnsi="Times New Roman" w:cs="Times New Roman"/>
          <w:sz w:val="24"/>
          <w:szCs w:val="24"/>
        </w:rPr>
        <w:t>l</w:t>
      </w:r>
      <w:r>
        <w:rPr>
          <w:rFonts w:ascii="Times New Roman" w:hAnsi="Times New Roman" w:cs="Times New Roman"/>
          <w:sz w:val="24"/>
          <w:szCs w:val="24"/>
          <w:highlight w:val="yellow"/>
        </w:rPr>
        <w:t>y</w:t>
      </w:r>
      <w:r>
        <w:rPr>
          <w:rFonts w:ascii="Times New Roman" w:hAnsi="Times New Roman" w:cs="Times New Roman"/>
          <w:sz w:val="24"/>
          <w:szCs w:val="24"/>
        </w:rPr>
        <w:t xml:space="preserve"> ventilated, or too large for the array. Each installation will thus produce a waste battery several times o</w:t>
      </w:r>
      <w:r>
        <w:rPr>
          <w:rFonts w:ascii="Times New Roman" w:hAnsi="Times New Roman" w:cs="Times New Roman"/>
          <w:sz w:val="24"/>
          <w:szCs w:val="24"/>
          <w:highlight w:val="yellow"/>
        </w:rPr>
        <w:t>ve</w:t>
      </w:r>
      <w:r>
        <w:rPr>
          <w:rFonts w:ascii="Times New Roman" w:hAnsi="Times New Roman" w:cs="Times New Roman"/>
          <w:sz w:val="24"/>
          <w:szCs w:val="24"/>
        </w:rPr>
        <w:t>r the lif</w:t>
      </w:r>
      <w:r>
        <w:rPr>
          <w:rFonts w:ascii="Times New Roman" w:hAnsi="Times New Roman" w:cs="Times New Roman"/>
          <w:sz w:val="24"/>
          <w:szCs w:val="24"/>
          <w:highlight w:val="yellow"/>
        </w:rPr>
        <w:t>etim</w:t>
      </w:r>
      <w:r>
        <w:rPr>
          <w:rFonts w:ascii="Times New Roman" w:hAnsi="Times New Roman" w:cs="Times New Roman"/>
          <w:sz w:val="24"/>
          <w:szCs w:val="24"/>
        </w:rPr>
        <w:t xml:space="preserve">e of the panels </w:t>
      </w:r>
      <w:r>
        <w:rPr>
          <w:rFonts w:ascii="Times New Roman" w:hAnsi="Times New Roman" w:cs="Times New Roman"/>
          <w:sz w:val="24"/>
          <w:szCs w:val="24"/>
          <w:highlight w:val="yellow"/>
        </w:rPr>
        <w:t xml:space="preserve">it </w:t>
      </w:r>
      <w:r>
        <w:rPr>
          <w:rFonts w:ascii="Times New Roman" w:hAnsi="Times New Roman" w:cs="Times New Roman"/>
          <w:sz w:val="24"/>
          <w:szCs w:val="24"/>
        </w:rPr>
        <w:t>support</w:t>
      </w:r>
      <w:r>
        <w:rPr>
          <w:rFonts w:ascii="Times New Roman" w:hAnsi="Times New Roman" w:cs="Times New Roman"/>
          <w:sz w:val="24"/>
          <w:szCs w:val="24"/>
          <w:highlight w:val="yellow"/>
        </w:rPr>
        <w:t>s</w:t>
      </w:r>
      <w:r>
        <w:rPr>
          <w:rFonts w:ascii="Times New Roman" w:hAnsi="Times New Roman" w:cs="Times New Roman"/>
          <w:sz w:val="24"/>
          <w:szCs w:val="24"/>
        </w:rPr>
        <w:t>.</w:t>
      </w:r>
      <w:r>
        <w:rPr>
          <w:rFonts w:ascii="Times New Roman" w:eastAsia="Times New Roman" w:hAnsi="Times New Roman"/>
          <w:b/>
          <w:sz w:val="24"/>
          <w:highlight w:val="yellow"/>
        </w:rPr>
        <w:t xml:space="preserve"> </w:t>
      </w:r>
      <w:r w:rsidRPr="003F5D34">
        <w:rPr>
          <w:rFonts w:ascii="Times New Roman" w:eastAsia="Times New Roman" w:hAnsi="Times New Roman"/>
          <w:bCs/>
          <w:sz w:val="24"/>
          <w:highlight w:val="yellow"/>
        </w:rPr>
        <w:t>More broadly, recent life-cycle-focused scholarship notes that lead-acid batteries remain widely used because of their mature technology, safety and comparatively low cost, while emphasising the importance of robust recycling to limit environmental toxicity at end of life (Wang et al., 2026).</w:t>
      </w:r>
    </w:p>
    <w:p w14:paraId="5114F0A4" w14:textId="77777777" w:rsidR="00DD2AAA" w:rsidRPr="003F5D34" w:rsidRDefault="00DD2AAA" w:rsidP="00A322A9">
      <w:pPr>
        <w:spacing w:line="360" w:lineRule="auto"/>
        <w:rPr>
          <w:rFonts w:ascii="Times New Roman" w:hAnsi="Times New Roman" w:cs="Times New Roman"/>
          <w:bCs/>
          <w:sz w:val="24"/>
          <w:szCs w:val="24"/>
        </w:rPr>
      </w:pPr>
      <w:r>
        <w:rPr>
          <w:rFonts w:ascii="Times New Roman" w:hAnsi="Times New Roman" w:cs="Times New Roman"/>
          <w:sz w:val="24"/>
          <w:szCs w:val="24"/>
        </w:rPr>
        <w:t xml:space="preserve">The batteries then </w:t>
      </w:r>
      <w:r>
        <w:rPr>
          <w:rFonts w:ascii="Times New Roman" w:hAnsi="Times New Roman" w:cs="Times New Roman"/>
          <w:sz w:val="24"/>
          <w:szCs w:val="24"/>
          <w:highlight w:val="yellow"/>
        </w:rPr>
        <w:t>enter the establ</w:t>
      </w:r>
      <w:r>
        <w:rPr>
          <w:rFonts w:ascii="Times New Roman" w:hAnsi="Times New Roman" w:cs="Times New Roman"/>
          <w:sz w:val="24"/>
          <w:szCs w:val="24"/>
        </w:rPr>
        <w:t>i</w:t>
      </w:r>
      <w:r>
        <w:rPr>
          <w:rFonts w:ascii="Times New Roman" w:hAnsi="Times New Roman" w:cs="Times New Roman"/>
          <w:sz w:val="24"/>
          <w:szCs w:val="24"/>
          <w:highlight w:val="yellow"/>
        </w:rPr>
        <w:t>sh</w:t>
      </w:r>
      <w:r>
        <w:rPr>
          <w:rFonts w:ascii="Times New Roman" w:hAnsi="Times New Roman" w:cs="Times New Roman"/>
          <w:sz w:val="24"/>
          <w:szCs w:val="24"/>
        </w:rPr>
        <w:t>ed used lead-acid batter</w:t>
      </w:r>
      <w:r>
        <w:rPr>
          <w:rFonts w:ascii="Times New Roman" w:hAnsi="Times New Roman" w:cs="Times New Roman"/>
          <w:sz w:val="24"/>
          <w:szCs w:val="24"/>
          <w:highlight w:val="yellow"/>
        </w:rPr>
        <w:t>y</w:t>
      </w:r>
      <w:r>
        <w:rPr>
          <w:rFonts w:ascii="Times New Roman" w:hAnsi="Times New Roman" w:cs="Times New Roman"/>
          <w:sz w:val="24"/>
          <w:szCs w:val="24"/>
        </w:rPr>
        <w:t xml:space="preserve"> (ULAB) </w:t>
      </w:r>
      <w:r>
        <w:rPr>
          <w:rFonts w:ascii="Times New Roman" w:hAnsi="Times New Roman" w:cs="Times New Roman"/>
          <w:sz w:val="24"/>
          <w:szCs w:val="24"/>
          <w:highlight w:val="yellow"/>
        </w:rPr>
        <w:t xml:space="preserve">trade, in </w:t>
      </w:r>
      <w:r>
        <w:rPr>
          <w:rFonts w:ascii="Times New Roman" w:hAnsi="Times New Roman" w:cs="Times New Roman"/>
          <w:sz w:val="24"/>
          <w:szCs w:val="24"/>
        </w:rPr>
        <w:t>w</w:t>
      </w:r>
      <w:r>
        <w:rPr>
          <w:rFonts w:ascii="Times New Roman" w:hAnsi="Times New Roman" w:cs="Times New Roman"/>
          <w:sz w:val="24"/>
          <w:szCs w:val="24"/>
          <w:highlight w:val="yellow"/>
        </w:rPr>
        <w:t>h</w:t>
      </w:r>
      <w:r>
        <w:rPr>
          <w:rFonts w:ascii="Times New Roman" w:hAnsi="Times New Roman" w:cs="Times New Roman"/>
          <w:sz w:val="24"/>
          <w:szCs w:val="24"/>
        </w:rPr>
        <w:t>i</w:t>
      </w:r>
      <w:r>
        <w:rPr>
          <w:rFonts w:ascii="Times New Roman" w:hAnsi="Times New Roman" w:cs="Times New Roman"/>
          <w:sz w:val="24"/>
          <w:szCs w:val="24"/>
          <w:highlight w:val="yellow"/>
        </w:rPr>
        <w:t xml:space="preserve">ch </w:t>
      </w:r>
      <w:r>
        <w:rPr>
          <w:rFonts w:ascii="Times New Roman" w:hAnsi="Times New Roman" w:cs="Times New Roman"/>
          <w:sz w:val="24"/>
          <w:szCs w:val="24"/>
        </w:rPr>
        <w:t>th</w:t>
      </w:r>
      <w:r>
        <w:rPr>
          <w:rFonts w:ascii="Times New Roman" w:hAnsi="Times New Roman" w:cs="Times New Roman"/>
          <w:sz w:val="24"/>
          <w:szCs w:val="24"/>
          <w:highlight w:val="yellow"/>
        </w:rPr>
        <w:t>eir</w:t>
      </w:r>
      <w:r>
        <w:rPr>
          <w:rFonts w:ascii="Times New Roman" w:hAnsi="Times New Roman" w:cs="Times New Roman"/>
          <w:sz w:val="24"/>
          <w:szCs w:val="24"/>
        </w:rPr>
        <w:t xml:space="preserve"> appreciable scrap value mak</w:t>
      </w:r>
      <w:r>
        <w:rPr>
          <w:rFonts w:ascii="Times New Roman" w:hAnsi="Times New Roman" w:cs="Times New Roman"/>
          <w:sz w:val="24"/>
          <w:szCs w:val="24"/>
          <w:highlight w:val="yellow"/>
        </w:rPr>
        <w:t>es</w:t>
      </w:r>
      <w:r>
        <w:rPr>
          <w:rFonts w:ascii="Times New Roman" w:hAnsi="Times New Roman" w:cs="Times New Roman"/>
          <w:sz w:val="24"/>
          <w:szCs w:val="24"/>
        </w:rPr>
        <w:t xml:space="preserve"> collection efficient. Following this,</w:t>
      </w:r>
      <w:r>
        <w:rPr>
          <w:rFonts w:ascii="Times New Roman" w:hAnsi="Times New Roman" w:cs="Times New Roman"/>
          <w:sz w:val="24"/>
          <w:szCs w:val="24"/>
          <w:highlight w:val="yellow"/>
        </w:rPr>
        <w:t xml:space="preserve"> collection and subsequent </w:t>
      </w:r>
      <w:r>
        <w:rPr>
          <w:rFonts w:ascii="Times New Roman" w:hAnsi="Times New Roman" w:cs="Times New Roman"/>
          <w:sz w:val="24"/>
          <w:szCs w:val="24"/>
          <w:highlight w:val="yellow"/>
        </w:rPr>
        <w:lastRenderedPageBreak/>
        <w:t>handling involve</w:t>
      </w:r>
      <w:r>
        <w:rPr>
          <w:rFonts w:ascii="Times New Roman" w:hAnsi="Times New Roman" w:cs="Times New Roman"/>
          <w:sz w:val="24"/>
          <w:szCs w:val="24"/>
        </w:rPr>
        <w:t xml:space="preserve"> a combination of informal collectors, unlicensed smelters, and registered smelters with below</w:t>
      </w:r>
      <w:r>
        <w:rPr>
          <w:rFonts w:ascii="Times New Roman" w:hAnsi="Times New Roman" w:cs="Times New Roman"/>
          <w:sz w:val="24"/>
          <w:szCs w:val="24"/>
          <w:highlight w:val="yellow"/>
        </w:rPr>
        <w:t>-</w:t>
      </w:r>
      <w:r>
        <w:rPr>
          <w:rFonts w:ascii="Times New Roman" w:hAnsi="Times New Roman" w:cs="Times New Roman"/>
          <w:sz w:val="24"/>
          <w:szCs w:val="24"/>
        </w:rPr>
        <w:t>standard facilities (Manhart &amp; Adjei, 2026).</w:t>
      </w:r>
      <w:r>
        <w:rPr>
          <w:rFonts w:ascii="Times New Roman" w:eastAsia="Times New Roman" w:hAnsi="Times New Roman"/>
          <w:b/>
          <w:sz w:val="24"/>
          <w:highlight w:val="yellow"/>
        </w:rPr>
        <w:t xml:space="preserve"> </w:t>
      </w:r>
      <w:r w:rsidRPr="003F5D34">
        <w:rPr>
          <w:rFonts w:ascii="Times New Roman" w:eastAsia="Times New Roman" w:hAnsi="Times New Roman"/>
          <w:bCs/>
          <w:sz w:val="24"/>
          <w:highlight w:val="yellow"/>
        </w:rPr>
        <w:t>Recent Nigerian evidence on informal e-waste management likewise shows that collection and pre-processing remain strongly informal, with weak record-keeping and uneven use of protective equipment, factors that complicate traceability and safe material recovery (Nnorom &amp; Faluyi, 2026). A health-centred circular-economy perspective further indicates that material recovery should be accompanied by exposure-control and governance safeguards, particularly in low- and middle-income settings (Dudzilah et al., 2026).</w:t>
      </w:r>
    </w:p>
    <w:p w14:paraId="2B609759" w14:textId="77777777" w:rsidR="00DD2AAA" w:rsidRPr="003F5D34"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poses a dilemma </w:t>
      </w:r>
      <w:r>
        <w:rPr>
          <w:rFonts w:ascii="Times New Roman" w:hAnsi="Times New Roman" w:cs="Times New Roman"/>
          <w:sz w:val="24"/>
          <w:szCs w:val="24"/>
          <w:highlight w:val="yellow"/>
        </w:rPr>
        <w:t>t</w:t>
      </w:r>
      <w:r>
        <w:rPr>
          <w:rFonts w:ascii="Times New Roman" w:hAnsi="Times New Roman" w:cs="Times New Roman"/>
          <w:sz w:val="24"/>
          <w:szCs w:val="24"/>
        </w:rPr>
        <w:t>h</w:t>
      </w:r>
      <w:r>
        <w:rPr>
          <w:rFonts w:ascii="Times New Roman" w:hAnsi="Times New Roman" w:cs="Times New Roman"/>
          <w:sz w:val="24"/>
          <w:szCs w:val="24"/>
          <w:highlight w:val="yellow"/>
        </w:rPr>
        <w:t>at</w:t>
      </w:r>
      <w:r>
        <w:rPr>
          <w:rFonts w:ascii="Times New Roman" w:hAnsi="Times New Roman" w:cs="Times New Roman"/>
          <w:sz w:val="24"/>
          <w:szCs w:val="24"/>
        </w:rPr>
        <w:t xml:space="preserve"> has not been discussed extensively in the renewable</w:t>
      </w:r>
      <w:r>
        <w:rPr>
          <w:rFonts w:ascii="Times New Roman" w:hAnsi="Times New Roman" w:cs="Times New Roman"/>
          <w:sz w:val="24"/>
          <w:szCs w:val="24"/>
          <w:highlight w:val="yellow"/>
        </w:rPr>
        <w:t>-</w:t>
      </w:r>
      <w:r>
        <w:rPr>
          <w:rFonts w:ascii="Times New Roman" w:hAnsi="Times New Roman" w:cs="Times New Roman"/>
          <w:sz w:val="24"/>
          <w:szCs w:val="24"/>
        </w:rPr>
        <w:t xml:space="preserve">energy literature. </w:t>
      </w:r>
      <w:r>
        <w:rPr>
          <w:rFonts w:ascii="Times New Roman" w:hAnsi="Times New Roman" w:cs="Times New Roman"/>
          <w:sz w:val="24"/>
          <w:szCs w:val="24"/>
          <w:highlight w:val="yellow"/>
        </w:rPr>
        <w:t>Off-grid solar</w:t>
      </w:r>
      <w:r>
        <w:rPr>
          <w:rFonts w:ascii="Times New Roman" w:hAnsi="Times New Roman" w:cs="Times New Roman"/>
          <w:sz w:val="24"/>
          <w:szCs w:val="24"/>
        </w:rPr>
        <w:t xml:space="preserve"> is </w:t>
      </w:r>
      <w:r>
        <w:rPr>
          <w:rFonts w:ascii="Times New Roman" w:hAnsi="Times New Roman" w:cs="Times New Roman"/>
          <w:sz w:val="24"/>
          <w:szCs w:val="24"/>
          <w:highlight w:val="yellow"/>
        </w:rPr>
        <w:t>pr</w:t>
      </w:r>
      <w:r>
        <w:rPr>
          <w:rFonts w:ascii="Times New Roman" w:hAnsi="Times New Roman" w:cs="Times New Roman"/>
          <w:sz w:val="24"/>
          <w:szCs w:val="24"/>
        </w:rPr>
        <w:t>o</w:t>
      </w:r>
      <w:r>
        <w:rPr>
          <w:rFonts w:ascii="Times New Roman" w:hAnsi="Times New Roman" w:cs="Times New Roman"/>
          <w:sz w:val="24"/>
          <w:szCs w:val="24"/>
          <w:highlight w:val="yellow"/>
        </w:rPr>
        <w:t>mo</w:t>
      </w:r>
      <w:r>
        <w:rPr>
          <w:rFonts w:ascii="Times New Roman" w:hAnsi="Times New Roman" w:cs="Times New Roman"/>
          <w:sz w:val="24"/>
          <w:szCs w:val="24"/>
        </w:rPr>
        <w:t xml:space="preserve">ted as an intervention for health improvement because it replaces kerosene lighting and diesel generation, and these health </w:t>
      </w:r>
      <w:r>
        <w:rPr>
          <w:rFonts w:ascii="Times New Roman" w:hAnsi="Times New Roman" w:cs="Times New Roman"/>
          <w:sz w:val="24"/>
          <w:szCs w:val="24"/>
          <w:highlight w:val="yellow"/>
        </w:rPr>
        <w:t>ben</w:t>
      </w:r>
      <w:r>
        <w:rPr>
          <w:rFonts w:ascii="Times New Roman" w:hAnsi="Times New Roman" w:cs="Times New Roman"/>
          <w:sz w:val="24"/>
          <w:szCs w:val="24"/>
        </w:rPr>
        <w:t>ef</w:t>
      </w:r>
      <w:r>
        <w:rPr>
          <w:rFonts w:ascii="Times New Roman" w:hAnsi="Times New Roman" w:cs="Times New Roman"/>
          <w:sz w:val="24"/>
          <w:szCs w:val="24"/>
          <w:highlight w:val="yellow"/>
        </w:rPr>
        <w:t>i</w:t>
      </w:r>
      <w:r>
        <w:rPr>
          <w:rFonts w:ascii="Times New Roman" w:hAnsi="Times New Roman" w:cs="Times New Roman"/>
          <w:sz w:val="24"/>
          <w:szCs w:val="24"/>
        </w:rPr>
        <w:t xml:space="preserve">ts are </w:t>
      </w:r>
      <w:r>
        <w:rPr>
          <w:rFonts w:ascii="Times New Roman" w:hAnsi="Times New Roman" w:cs="Times New Roman"/>
          <w:sz w:val="24"/>
          <w:szCs w:val="24"/>
          <w:highlight w:val="yellow"/>
        </w:rPr>
        <w:t>tangibl</w:t>
      </w:r>
      <w:r>
        <w:rPr>
          <w:rFonts w:ascii="Times New Roman" w:hAnsi="Times New Roman" w:cs="Times New Roman"/>
          <w:sz w:val="24"/>
          <w:szCs w:val="24"/>
        </w:rPr>
        <w:t xml:space="preserve">e. The batteries that power it, however, contribute </w:t>
      </w:r>
      <w:r>
        <w:rPr>
          <w:rFonts w:ascii="Times New Roman" w:hAnsi="Times New Roman" w:cs="Times New Roman"/>
          <w:sz w:val="24"/>
          <w:szCs w:val="24"/>
          <w:highlight w:val="yellow"/>
        </w:rPr>
        <w:t xml:space="preserve">to </w:t>
      </w:r>
      <w:r>
        <w:rPr>
          <w:rFonts w:ascii="Times New Roman" w:hAnsi="Times New Roman" w:cs="Times New Roman"/>
          <w:sz w:val="24"/>
          <w:szCs w:val="24"/>
        </w:rPr>
        <w:t xml:space="preserve">a waste stream that has been </w:t>
      </w:r>
      <w:r>
        <w:rPr>
          <w:rFonts w:ascii="Times New Roman" w:hAnsi="Times New Roman" w:cs="Times New Roman"/>
          <w:sz w:val="24"/>
          <w:szCs w:val="24"/>
          <w:highlight w:val="yellow"/>
        </w:rPr>
        <w:t>a</w:t>
      </w:r>
      <w:r>
        <w:rPr>
          <w:rFonts w:ascii="Times New Roman" w:hAnsi="Times New Roman" w:cs="Times New Roman"/>
          <w:sz w:val="24"/>
          <w:szCs w:val="24"/>
        </w:rPr>
        <w:t>s</w:t>
      </w:r>
      <w:r>
        <w:rPr>
          <w:rFonts w:ascii="Times New Roman" w:hAnsi="Times New Roman" w:cs="Times New Roman"/>
          <w:sz w:val="24"/>
          <w:szCs w:val="24"/>
          <w:highlight w:val="yellow"/>
        </w:rPr>
        <w:t>sociated wit</w:t>
      </w:r>
      <w:r>
        <w:rPr>
          <w:rFonts w:ascii="Times New Roman" w:hAnsi="Times New Roman" w:cs="Times New Roman"/>
          <w:sz w:val="24"/>
          <w:szCs w:val="24"/>
        </w:rPr>
        <w:t>h high levels of lead exposure</w:t>
      </w:r>
      <w:r w:rsidRPr="003F5D34">
        <w:rPr>
          <w:rFonts w:ascii="Times New Roman" w:hAnsi="Times New Roman" w:cs="Times New Roman"/>
          <w:sz w:val="24"/>
          <w:szCs w:val="24"/>
        </w:rPr>
        <w:t>.</w:t>
      </w:r>
      <w:r w:rsidRPr="003F5D34">
        <w:rPr>
          <w:rFonts w:ascii="Times New Roman" w:eastAsia="Times New Roman" w:hAnsi="Times New Roman"/>
          <w:sz w:val="24"/>
          <w:highlight w:val="yellow"/>
        </w:rPr>
        <w:t xml:space="preserve"> An earlier groundwater assessment around an abandoned lead-acid battery company in Ibadan found that more than half of the investigated well-water parameters exceeded WHO recommendations, indicating a local environmental-health concern around battery-related industrial activity (Oyeleke et al., 2017). A recent synthesis of Nigeria's wider waste-management system also identifies fragmented governance, weak enforcement and data scarcity as persistent constraints on circular-economy implementation (Omokaro et al., 2026).</w:t>
      </w:r>
    </w:p>
    <w:p w14:paraId="339B0E05" w14:textId="77777777" w:rsidR="00F36DBE" w:rsidRPr="003F5D34" w:rsidRDefault="00000000">
      <w:pPr>
        <w:spacing w:line="360" w:lineRule="auto"/>
        <w:rPr>
          <w:bCs/>
        </w:rPr>
      </w:pPr>
      <w:r w:rsidRPr="003F5D34">
        <w:rPr>
          <w:rFonts w:ascii="Times New Roman" w:eastAsia="Times New Roman" w:hAnsi="Times New Roman"/>
          <w:bCs/>
          <w:sz w:val="24"/>
          <w:highlight w:val="yellow"/>
        </w:rPr>
        <w:t>However, the available evidence does not distinguish batteries originating from off-grid solar installations from the broader Nigerian ULAB stream, and no identified study directly quantifies the environmental or health burden attributable specifically to solar-derived batteries. This source-attribution gap limits assessment of the downstream consequences of off-grid solar expansion and constrains evaluation of sector-specific regulatory and circular-economy responses.</w:t>
      </w:r>
    </w:p>
    <w:p w14:paraId="5E75A3BE"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This review explores the management of used lead</w:t>
      </w:r>
      <w:r>
        <w:rPr>
          <w:rFonts w:ascii="Times New Roman" w:hAnsi="Times New Roman" w:cs="Times New Roman"/>
          <w:sz w:val="24"/>
          <w:szCs w:val="24"/>
          <w:highlight w:val="yellow"/>
        </w:rPr>
        <w:t>-</w:t>
      </w:r>
      <w:r>
        <w:rPr>
          <w:rFonts w:ascii="Times New Roman" w:hAnsi="Times New Roman" w:cs="Times New Roman"/>
          <w:sz w:val="24"/>
          <w:szCs w:val="24"/>
        </w:rPr>
        <w:t>acid batteries,</w:t>
      </w:r>
      <w:r>
        <w:rPr>
          <w:rFonts w:ascii="Times New Roman" w:hAnsi="Times New Roman" w:cs="Times New Roman"/>
          <w:sz w:val="24"/>
          <w:szCs w:val="24"/>
          <w:highlight w:val="yellow"/>
        </w:rPr>
        <w:t xml:space="preserve"> their</w:t>
      </w:r>
      <w:r>
        <w:rPr>
          <w:rFonts w:ascii="Times New Roman" w:hAnsi="Times New Roman" w:cs="Times New Roman"/>
          <w:sz w:val="24"/>
          <w:szCs w:val="24"/>
        </w:rPr>
        <w:t xml:space="preserve"> potential environmental and health risks, the current state of the regulatory response</w:t>
      </w:r>
      <w:r>
        <w:rPr>
          <w:rFonts w:ascii="Times New Roman" w:hAnsi="Times New Roman" w:cs="Times New Roman"/>
          <w:sz w:val="24"/>
          <w:szCs w:val="24"/>
          <w:highlight w:val="yellow"/>
        </w:rPr>
        <w:t>,</w:t>
      </w:r>
      <w:r>
        <w:rPr>
          <w:rFonts w:ascii="Times New Roman" w:hAnsi="Times New Roman" w:cs="Times New Roman"/>
          <w:sz w:val="24"/>
          <w:szCs w:val="24"/>
        </w:rPr>
        <w:t xml:space="preserve"> and what circular</w:t>
      </w:r>
      <w:r>
        <w:rPr>
          <w:rFonts w:ascii="Times New Roman" w:hAnsi="Times New Roman" w:cs="Times New Roman"/>
          <w:sz w:val="24"/>
          <w:szCs w:val="24"/>
          <w:highlight w:val="yellow"/>
        </w:rPr>
        <w:t>-</w:t>
      </w:r>
      <w:r>
        <w:rPr>
          <w:rFonts w:ascii="Times New Roman" w:hAnsi="Times New Roman" w:cs="Times New Roman"/>
          <w:sz w:val="24"/>
          <w:szCs w:val="24"/>
        </w:rPr>
        <w:t>economy measures might be able to achieve.</w:t>
      </w:r>
    </w:p>
    <w:p w14:paraId="62178644"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lastRenderedPageBreak/>
        <w:t>2. Review Method</w:t>
      </w:r>
    </w:p>
    <w:p w14:paraId="3B86BB2A"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a narrative review. We searched MEDLINE via PubMed, Scopus, and the Cochrane Library from inception to August 2026, using Google Scholar to supplement the searches and trace citations. The search was expanded to institutional repositories such as those of </w:t>
      </w:r>
      <w:r>
        <w:rPr>
          <w:rFonts w:ascii="Times New Roman" w:hAnsi="Times New Roman" w:cs="Times New Roman"/>
          <w:sz w:val="24"/>
          <w:szCs w:val="24"/>
          <w:highlight w:val="yellow"/>
        </w:rPr>
        <w:t xml:space="preserve">the </w:t>
      </w:r>
      <w:r>
        <w:rPr>
          <w:rFonts w:ascii="Times New Roman" w:hAnsi="Times New Roman" w:cs="Times New Roman"/>
          <w:sz w:val="24"/>
          <w:szCs w:val="24"/>
        </w:rPr>
        <w:t>World Health Organization (WHO), United Nations Environment Program</w:t>
      </w:r>
      <w:r>
        <w:rPr>
          <w:rFonts w:ascii="Times New Roman" w:hAnsi="Times New Roman" w:cs="Times New Roman"/>
          <w:sz w:val="24"/>
          <w:szCs w:val="24"/>
          <w:highlight w:val="yellow"/>
        </w:rPr>
        <w:t>me</w:t>
      </w:r>
      <w:r>
        <w:rPr>
          <w:rFonts w:ascii="Times New Roman" w:hAnsi="Times New Roman" w:cs="Times New Roman"/>
          <w:sz w:val="24"/>
          <w:szCs w:val="24"/>
        </w:rPr>
        <w:t xml:space="preserve"> (UNEP), Center for Global Development and Pure Earth, as well as Nigerian government sources </w:t>
      </w:r>
      <w:r>
        <w:rPr>
          <w:rFonts w:ascii="Times New Roman" w:hAnsi="Times New Roman" w:cs="Times New Roman"/>
          <w:sz w:val="24"/>
          <w:szCs w:val="24"/>
          <w:highlight w:val="yellow"/>
        </w:rPr>
        <w:t>such as</w:t>
      </w:r>
      <w:r>
        <w:rPr>
          <w:rFonts w:ascii="Times New Roman" w:hAnsi="Times New Roman" w:cs="Times New Roman"/>
          <w:sz w:val="24"/>
          <w:szCs w:val="24"/>
        </w:rPr>
        <w:t xml:space="preserve"> the National Environmental Standards </w:t>
      </w:r>
      <w:r>
        <w:rPr>
          <w:rFonts w:ascii="Times New Roman" w:hAnsi="Times New Roman" w:cs="Times New Roman"/>
          <w:sz w:val="24"/>
          <w:szCs w:val="24"/>
          <w:highlight w:val="yellow"/>
        </w:rPr>
        <w:t xml:space="preserve">and </w:t>
      </w:r>
      <w:r>
        <w:rPr>
          <w:rFonts w:ascii="Times New Roman" w:hAnsi="Times New Roman" w:cs="Times New Roman"/>
          <w:sz w:val="24"/>
          <w:szCs w:val="24"/>
        </w:rPr>
        <w:t>Regulat</w:t>
      </w:r>
      <w:r>
        <w:rPr>
          <w:rFonts w:ascii="Times New Roman" w:hAnsi="Times New Roman" w:cs="Times New Roman"/>
          <w:sz w:val="24"/>
          <w:szCs w:val="24"/>
          <w:highlight w:val="yellow"/>
        </w:rPr>
        <w:t>ions Enf</w:t>
      </w:r>
      <w:r>
        <w:rPr>
          <w:rFonts w:ascii="Times New Roman" w:hAnsi="Times New Roman" w:cs="Times New Roman"/>
          <w:sz w:val="24"/>
          <w:szCs w:val="24"/>
        </w:rPr>
        <w:t>or</w:t>
      </w:r>
      <w:r>
        <w:rPr>
          <w:rFonts w:ascii="Times New Roman" w:hAnsi="Times New Roman" w:cs="Times New Roman"/>
          <w:sz w:val="24"/>
          <w:szCs w:val="24"/>
          <w:highlight w:val="yellow"/>
        </w:rPr>
        <w:t>cement</w:t>
      </w:r>
      <w:r>
        <w:rPr>
          <w:rFonts w:ascii="Times New Roman" w:hAnsi="Times New Roman" w:cs="Times New Roman"/>
          <w:sz w:val="24"/>
          <w:szCs w:val="24"/>
        </w:rPr>
        <w:t xml:space="preserve"> Agency (NESREA), Federal Ministry of Environment, and Rural Electrification Agency. Reference lists of retrieved articles and restricted search</w:t>
      </w:r>
      <w:r>
        <w:rPr>
          <w:rFonts w:ascii="Times New Roman" w:hAnsi="Times New Roman" w:cs="Times New Roman"/>
          <w:sz w:val="24"/>
          <w:szCs w:val="24"/>
          <w:highlight w:val="yellow"/>
        </w:rPr>
        <w:t>es</w:t>
      </w:r>
      <w:r>
        <w:rPr>
          <w:rFonts w:ascii="Times New Roman" w:hAnsi="Times New Roman" w:cs="Times New Roman"/>
          <w:sz w:val="24"/>
          <w:szCs w:val="24"/>
        </w:rPr>
        <w:t xml:space="preserve"> were hand</w:t>
      </w:r>
      <w:r>
        <w:rPr>
          <w:rFonts w:ascii="Times New Roman" w:hAnsi="Times New Roman" w:cs="Times New Roman"/>
          <w:sz w:val="24"/>
          <w:szCs w:val="24"/>
          <w:highlight w:val="yellow"/>
        </w:rPr>
        <w:t>-</w:t>
      </w:r>
      <w:r>
        <w:rPr>
          <w:rFonts w:ascii="Times New Roman" w:hAnsi="Times New Roman" w:cs="Times New Roman"/>
          <w:sz w:val="24"/>
          <w:szCs w:val="24"/>
        </w:rPr>
        <w:t xml:space="preserve">searched for additional articles </w:t>
      </w:r>
      <w:r>
        <w:rPr>
          <w:rFonts w:ascii="Times New Roman" w:hAnsi="Times New Roman" w:cs="Times New Roman"/>
          <w:sz w:val="24"/>
          <w:szCs w:val="24"/>
          <w:highlight w:val="yellow"/>
        </w:rPr>
        <w:t>pub</w:t>
      </w:r>
      <w:r>
        <w:rPr>
          <w:rFonts w:ascii="Times New Roman" w:hAnsi="Times New Roman" w:cs="Times New Roman"/>
          <w:sz w:val="24"/>
          <w:szCs w:val="24"/>
        </w:rPr>
        <w:t>l</w:t>
      </w:r>
      <w:r>
        <w:rPr>
          <w:rFonts w:ascii="Times New Roman" w:hAnsi="Times New Roman" w:cs="Times New Roman"/>
          <w:sz w:val="24"/>
          <w:szCs w:val="24"/>
          <w:highlight w:val="yellow"/>
        </w:rPr>
        <w:t>ished</w:t>
      </w:r>
      <w:r>
        <w:rPr>
          <w:rFonts w:ascii="Times New Roman" w:hAnsi="Times New Roman" w:cs="Times New Roman"/>
          <w:sz w:val="24"/>
          <w:szCs w:val="24"/>
        </w:rPr>
        <w:t xml:space="preserve"> in English.</w:t>
      </w:r>
    </w:p>
    <w:p w14:paraId="3AC719A4"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Search strings </w:t>
      </w:r>
      <w:r>
        <w:rPr>
          <w:rFonts w:ascii="Times New Roman" w:hAnsi="Times New Roman" w:cs="Times New Roman"/>
          <w:sz w:val="24"/>
          <w:szCs w:val="24"/>
          <w:highlight w:val="yellow"/>
        </w:rPr>
        <w:t>comb</w:t>
      </w:r>
      <w:r>
        <w:rPr>
          <w:rFonts w:ascii="Times New Roman" w:hAnsi="Times New Roman" w:cs="Times New Roman"/>
          <w:sz w:val="24"/>
          <w:szCs w:val="24"/>
        </w:rPr>
        <w:t>i</w:t>
      </w:r>
      <w:r>
        <w:rPr>
          <w:rFonts w:ascii="Times New Roman" w:hAnsi="Times New Roman" w:cs="Times New Roman"/>
          <w:sz w:val="24"/>
          <w:szCs w:val="24"/>
          <w:highlight w:val="yellow"/>
        </w:rPr>
        <w:t>n</w:t>
      </w:r>
      <w:r>
        <w:rPr>
          <w:rFonts w:ascii="Times New Roman" w:hAnsi="Times New Roman" w:cs="Times New Roman"/>
          <w:sz w:val="24"/>
          <w:szCs w:val="24"/>
        </w:rPr>
        <w:t xml:space="preserve">ed terms related to the exposure source, setting and </w:t>
      </w:r>
      <w:r>
        <w:rPr>
          <w:rFonts w:ascii="Times New Roman" w:hAnsi="Times New Roman" w:cs="Times New Roman"/>
          <w:sz w:val="24"/>
          <w:szCs w:val="24"/>
          <w:highlight w:val="yellow"/>
        </w:rPr>
        <w:t>outcom</w:t>
      </w:r>
      <w:r>
        <w:rPr>
          <w:rFonts w:ascii="Times New Roman" w:hAnsi="Times New Roman" w:cs="Times New Roman"/>
          <w:sz w:val="24"/>
          <w:szCs w:val="24"/>
        </w:rPr>
        <w:t>es of interest, such as lead-acid battery AND Nigeria, battery recycling AND blood lead, informal recycling AND lead exposure, and extended producer responsibility AND batteries.</w:t>
      </w:r>
    </w:p>
    <w:p w14:paraId="032F8B30"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sources were chosen because they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por</w:t>
      </w:r>
      <w:r>
        <w:rPr>
          <w:rFonts w:ascii="Times New Roman" w:hAnsi="Times New Roman" w:cs="Times New Roman"/>
          <w:sz w:val="24"/>
          <w:szCs w:val="24"/>
        </w:rPr>
        <w:t>ted measured environmental or human exposure to lead from battery recycling, provided information on battery waste flows or end-of-life battery practice</w:t>
      </w:r>
      <w:r>
        <w:rPr>
          <w:rFonts w:ascii="Times New Roman" w:hAnsi="Times New Roman" w:cs="Times New Roman"/>
          <w:sz w:val="24"/>
          <w:szCs w:val="24"/>
          <w:highlight w:val="yellow"/>
        </w:rPr>
        <w:t>s</w:t>
      </w:r>
      <w:r>
        <w:rPr>
          <w:rFonts w:ascii="Times New Roman" w:hAnsi="Times New Roman" w:cs="Times New Roman"/>
          <w:sz w:val="24"/>
          <w:szCs w:val="24"/>
        </w:rPr>
        <w:t xml:space="preserve">, or identified relevant regulations. Studies of independent sources of </w:t>
      </w:r>
      <w:r>
        <w:rPr>
          <w:rFonts w:ascii="Times New Roman" w:hAnsi="Times New Roman" w:cs="Times New Roman"/>
          <w:sz w:val="24"/>
          <w:szCs w:val="24"/>
          <w:highlight w:val="yellow"/>
        </w:rPr>
        <w:t xml:space="preserve">lead </w:t>
      </w:r>
      <w:r>
        <w:rPr>
          <w:rFonts w:ascii="Times New Roman" w:hAnsi="Times New Roman" w:cs="Times New Roman"/>
          <w:sz w:val="24"/>
          <w:szCs w:val="24"/>
        </w:rPr>
        <w:t xml:space="preserve">exposure (such as artisanal gold-ore processing and leaded </w:t>
      </w:r>
      <w:r>
        <w:rPr>
          <w:rFonts w:ascii="Times New Roman" w:hAnsi="Times New Roman" w:cs="Times New Roman"/>
          <w:sz w:val="24"/>
          <w:szCs w:val="24"/>
          <w:highlight w:val="yellow"/>
        </w:rPr>
        <w:t>petr</w:t>
      </w:r>
      <w:r>
        <w:rPr>
          <w:rFonts w:ascii="Times New Roman" w:hAnsi="Times New Roman" w:cs="Times New Roman"/>
          <w:sz w:val="24"/>
          <w:szCs w:val="24"/>
        </w:rPr>
        <w:t>ol) were not included except to distinguish between different sources of exposure.</w:t>
      </w:r>
    </w:p>
    <w:p w14:paraId="51FB6569" w14:textId="77777777" w:rsidR="00D44451" w:rsidRPr="00A322A9" w:rsidRDefault="00D44451" w:rsidP="00A322A9">
      <w:pPr>
        <w:spacing w:line="360" w:lineRule="auto"/>
        <w:rPr>
          <w:rFonts w:ascii="Times New Roman" w:hAnsi="Times New Roman" w:cs="Times New Roman"/>
          <w:sz w:val="24"/>
          <w:szCs w:val="24"/>
        </w:rPr>
      </w:pPr>
    </w:p>
    <w:p w14:paraId="346E5719" w14:textId="77777777" w:rsidR="00D44451" w:rsidRPr="00A322A9" w:rsidRDefault="00D44451" w:rsidP="00A322A9">
      <w:pPr>
        <w:spacing w:line="360" w:lineRule="auto"/>
        <w:rPr>
          <w:rFonts w:ascii="Times New Roman" w:hAnsi="Times New Roman" w:cs="Times New Roman"/>
          <w:sz w:val="24"/>
          <w:szCs w:val="24"/>
        </w:rPr>
      </w:pPr>
    </w:p>
    <w:p w14:paraId="08101E6C"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Each source was then categori</w:t>
      </w:r>
      <w:r>
        <w:rPr>
          <w:rFonts w:ascii="Times New Roman" w:hAnsi="Times New Roman" w:cs="Times New Roman"/>
          <w:sz w:val="24"/>
          <w:szCs w:val="24"/>
          <w:highlight w:val="yellow"/>
        </w:rPr>
        <w:t>s</w:t>
      </w:r>
      <w:r>
        <w:rPr>
          <w:rFonts w:ascii="Times New Roman" w:hAnsi="Times New Roman" w:cs="Times New Roman"/>
          <w:sz w:val="24"/>
          <w:szCs w:val="24"/>
        </w:rPr>
        <w:t xml:space="preserve">ed </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to</w:t>
      </w:r>
      <w:r>
        <w:rPr>
          <w:rFonts w:ascii="Times New Roman" w:hAnsi="Times New Roman" w:cs="Times New Roman"/>
          <w:sz w:val="24"/>
          <w:szCs w:val="24"/>
        </w:rPr>
        <w:t xml:space="preserve"> one of four types of evidence, </w:t>
      </w:r>
      <w:r>
        <w:rPr>
          <w:rFonts w:ascii="Times New Roman" w:hAnsi="Times New Roman" w:cs="Times New Roman"/>
          <w:sz w:val="24"/>
          <w:szCs w:val="24"/>
          <w:highlight w:val="yellow"/>
        </w:rPr>
        <w:t>with the loc</w:t>
      </w:r>
      <w:r>
        <w:rPr>
          <w:rFonts w:ascii="Times New Roman" w:hAnsi="Times New Roman" w:cs="Times New Roman"/>
          <w:sz w:val="24"/>
          <w:szCs w:val="24"/>
        </w:rPr>
        <w:t>a</w:t>
      </w:r>
      <w:r>
        <w:rPr>
          <w:rFonts w:ascii="Times New Roman" w:hAnsi="Times New Roman" w:cs="Times New Roman"/>
          <w:sz w:val="24"/>
          <w:szCs w:val="24"/>
          <w:highlight w:val="yellow"/>
        </w:rPr>
        <w:t>tio</w:t>
      </w:r>
      <w:r>
        <w:rPr>
          <w:rFonts w:ascii="Times New Roman" w:hAnsi="Times New Roman" w:cs="Times New Roman"/>
          <w:sz w:val="24"/>
          <w:szCs w:val="24"/>
        </w:rPr>
        <w:t>n indicated:</w:t>
      </w:r>
    </w:p>
    <w:p w14:paraId="6D6BBB85"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highlight w:val="yellow"/>
        </w:rPr>
        <w:t>S</w:t>
      </w:r>
      <w:r>
        <w:rPr>
          <w:rFonts w:ascii="Times New Roman" w:hAnsi="Times New Roman" w:cs="Times New Roman"/>
          <w:sz w:val="24"/>
          <w:szCs w:val="24"/>
        </w:rPr>
        <w:t>olar lead</w:t>
      </w:r>
      <w:r>
        <w:rPr>
          <w:rFonts w:ascii="Times New Roman" w:hAnsi="Times New Roman" w:cs="Times New Roman"/>
          <w:sz w:val="24"/>
          <w:szCs w:val="24"/>
          <w:highlight w:val="yellow"/>
        </w:rPr>
        <w:t>-</w:t>
      </w:r>
      <w:r>
        <w:rPr>
          <w:rFonts w:ascii="Times New Roman" w:hAnsi="Times New Roman" w:cs="Times New Roman"/>
          <w:sz w:val="24"/>
          <w:szCs w:val="24"/>
        </w:rPr>
        <w:t>acid batteries</w:t>
      </w:r>
      <w:r>
        <w:rPr>
          <w:rFonts w:ascii="Times New Roman" w:hAnsi="Times New Roman" w:cs="Times New Roman"/>
          <w:sz w:val="24"/>
          <w:szCs w:val="24"/>
          <w:highlight w:val="yellow"/>
        </w:rPr>
        <w:t xml:space="preserve"> in Nigeria</w:t>
      </w:r>
      <w:r>
        <w:rPr>
          <w:rFonts w:ascii="Times New Roman" w:hAnsi="Times New Roman" w:cs="Times New Roman"/>
          <w:sz w:val="24"/>
          <w:szCs w:val="24"/>
        </w:rPr>
        <w:t>.</w:t>
      </w:r>
    </w:p>
    <w:p w14:paraId="5905D68D"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Mix</w:t>
      </w:r>
      <w:r>
        <w:rPr>
          <w:rFonts w:ascii="Times New Roman" w:hAnsi="Times New Roman" w:cs="Times New Roman"/>
          <w:sz w:val="24"/>
          <w:szCs w:val="24"/>
          <w:highlight w:val="yellow"/>
        </w:rPr>
        <w:t>ed</w:t>
      </w:r>
      <w:r>
        <w:rPr>
          <w:rFonts w:ascii="Times New Roman" w:hAnsi="Times New Roman" w:cs="Times New Roman"/>
          <w:sz w:val="24"/>
          <w:szCs w:val="24"/>
        </w:rPr>
        <w:t xml:space="preserve"> or unknown</w:t>
      </w:r>
      <w:r>
        <w:rPr>
          <w:rFonts w:ascii="Times New Roman" w:hAnsi="Times New Roman" w:cs="Times New Roman"/>
          <w:sz w:val="24"/>
          <w:szCs w:val="24"/>
          <w:highlight w:val="yellow"/>
        </w:rPr>
        <w:t>-</w:t>
      </w:r>
      <w:r>
        <w:rPr>
          <w:rFonts w:ascii="Times New Roman" w:hAnsi="Times New Roman" w:cs="Times New Roman"/>
          <w:sz w:val="24"/>
          <w:szCs w:val="24"/>
        </w:rPr>
        <w:t>origin lead-acid batteries from Nigeria.</w:t>
      </w:r>
    </w:p>
    <w:p w14:paraId="5004B52A"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highlight w:val="yellow"/>
        </w:rPr>
        <w:t>Lead-acid batteries in o</w:t>
      </w:r>
      <w:r>
        <w:rPr>
          <w:rFonts w:ascii="Times New Roman" w:hAnsi="Times New Roman" w:cs="Times New Roman"/>
          <w:sz w:val="24"/>
          <w:szCs w:val="24"/>
        </w:rPr>
        <w:t>ther African contexts.</w:t>
      </w:r>
    </w:p>
    <w:p w14:paraId="5FA6F335" w14:textId="77777777" w:rsidR="00DD2AAA" w:rsidRPr="00A322A9" w:rsidRDefault="00DD2AAA" w:rsidP="00A322A9">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highlight w:val="yellow"/>
        </w:rPr>
        <w:t>G</w:t>
      </w:r>
      <w:r>
        <w:rPr>
          <w:rFonts w:ascii="Times New Roman" w:hAnsi="Times New Roman" w:cs="Times New Roman"/>
          <w:sz w:val="24"/>
          <w:szCs w:val="24"/>
        </w:rPr>
        <w:t xml:space="preserve">enerally available </w:t>
      </w:r>
      <w:r>
        <w:rPr>
          <w:rFonts w:ascii="Times New Roman" w:hAnsi="Times New Roman" w:cs="Times New Roman"/>
          <w:sz w:val="24"/>
          <w:szCs w:val="24"/>
          <w:highlight w:val="yellow"/>
        </w:rPr>
        <w:t xml:space="preserve">toxicological data </w:t>
      </w:r>
      <w:r>
        <w:rPr>
          <w:rFonts w:ascii="Times New Roman" w:hAnsi="Times New Roman" w:cs="Times New Roman"/>
          <w:sz w:val="24"/>
          <w:szCs w:val="24"/>
        </w:rPr>
        <w:t>on lead exposure.</w:t>
      </w:r>
    </w:p>
    <w:p w14:paraId="22CD2820"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highlight w:val="yellow"/>
        </w:rPr>
        <w:t>is</w:t>
      </w:r>
      <w:r>
        <w:rPr>
          <w:rFonts w:ascii="Times New Roman" w:hAnsi="Times New Roman" w:cs="Times New Roman"/>
          <w:sz w:val="24"/>
          <w:szCs w:val="24"/>
        </w:rPr>
        <w:t xml:space="preserve"> separation is important because battery</w:t>
      </w:r>
      <w:r>
        <w:rPr>
          <w:rFonts w:ascii="Times New Roman" w:hAnsi="Times New Roman" w:cs="Times New Roman"/>
          <w:sz w:val="24"/>
          <w:szCs w:val="24"/>
          <w:highlight w:val="yellow"/>
        </w:rPr>
        <w:t>-</w:t>
      </w:r>
      <w:r>
        <w:rPr>
          <w:rFonts w:ascii="Times New Roman" w:hAnsi="Times New Roman" w:cs="Times New Roman"/>
          <w:sz w:val="24"/>
          <w:szCs w:val="24"/>
        </w:rPr>
        <w:t xml:space="preserve">recycling studies in Nigeria </w:t>
      </w:r>
      <w:r>
        <w:rPr>
          <w:rFonts w:ascii="Times New Roman" w:hAnsi="Times New Roman" w:cs="Times New Roman"/>
          <w:sz w:val="24"/>
          <w:szCs w:val="24"/>
          <w:highlight w:val="yellow"/>
        </w:rPr>
        <w:t>rarely</w:t>
      </w:r>
      <w:r>
        <w:rPr>
          <w:rFonts w:ascii="Times New Roman" w:hAnsi="Times New Roman" w:cs="Times New Roman"/>
          <w:sz w:val="24"/>
          <w:szCs w:val="24"/>
        </w:rPr>
        <w:t xml:space="preserve"> describe whether the batteries studied </w:t>
      </w:r>
      <w:r>
        <w:rPr>
          <w:rFonts w:ascii="Times New Roman" w:hAnsi="Times New Roman" w:cs="Times New Roman"/>
          <w:sz w:val="24"/>
          <w:szCs w:val="24"/>
          <w:highlight w:val="yellow"/>
        </w:rPr>
        <w:t>originat</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from vehicles, telecommunication</w:t>
      </w:r>
      <w:r>
        <w:rPr>
          <w:rFonts w:ascii="Times New Roman" w:hAnsi="Times New Roman" w:cs="Times New Roman"/>
          <w:sz w:val="24"/>
          <w:szCs w:val="24"/>
          <w:highlight w:val="yellow"/>
        </w:rPr>
        <w:t>s</w:t>
      </w:r>
      <w:r>
        <w:rPr>
          <w:rFonts w:ascii="Times New Roman" w:hAnsi="Times New Roman" w:cs="Times New Roman"/>
          <w:sz w:val="24"/>
          <w:szCs w:val="24"/>
        </w:rPr>
        <w:t xml:space="preserve"> equipment, inverter systems, or solar power plants. Evidence in the second category, the</w:t>
      </w:r>
      <w:r>
        <w:rPr>
          <w:rFonts w:ascii="Times New Roman" w:hAnsi="Times New Roman" w:cs="Times New Roman"/>
          <w:sz w:val="24"/>
          <w:szCs w:val="24"/>
          <w:highlight w:val="yellow"/>
        </w:rPr>
        <w:t>refore</w:t>
      </w:r>
      <w:r>
        <w:rPr>
          <w:rFonts w:ascii="Times New Roman" w:hAnsi="Times New Roman" w:cs="Times New Roman"/>
          <w:sz w:val="24"/>
          <w:szCs w:val="24"/>
        </w:rPr>
        <w:t xml:space="preserve">, </w:t>
      </w:r>
      <w:r>
        <w:rPr>
          <w:rFonts w:ascii="Times New Roman" w:hAnsi="Times New Roman" w:cs="Times New Roman"/>
          <w:sz w:val="24"/>
          <w:szCs w:val="24"/>
          <w:highlight w:val="yellow"/>
        </w:rPr>
        <w:t>concern</w:t>
      </w:r>
      <w:r>
        <w:rPr>
          <w:rFonts w:ascii="Times New Roman" w:hAnsi="Times New Roman" w:cs="Times New Roman"/>
          <w:sz w:val="24"/>
          <w:szCs w:val="24"/>
        </w:rPr>
        <w:t xml:space="preserve">s only the </w:t>
      </w:r>
      <w:r>
        <w:rPr>
          <w:rFonts w:ascii="Times New Roman" w:hAnsi="Times New Roman" w:cs="Times New Roman"/>
          <w:sz w:val="24"/>
          <w:szCs w:val="24"/>
          <w:highlight w:val="yellow"/>
        </w:rPr>
        <w:t>wa</w:t>
      </w:r>
      <w:r>
        <w:rPr>
          <w:rFonts w:ascii="Times New Roman" w:hAnsi="Times New Roman" w:cs="Times New Roman"/>
          <w:sz w:val="24"/>
          <w:szCs w:val="24"/>
        </w:rPr>
        <w:t>st</w:t>
      </w:r>
      <w:r>
        <w:rPr>
          <w:rFonts w:ascii="Times New Roman" w:hAnsi="Times New Roman" w:cs="Times New Roman"/>
          <w:sz w:val="24"/>
          <w:szCs w:val="24"/>
          <w:highlight w:val="yellow"/>
        </w:rPr>
        <w:t xml:space="preserve">e stream </w:t>
      </w:r>
      <w:r>
        <w:rPr>
          <w:rFonts w:ascii="Times New Roman" w:hAnsi="Times New Roman" w:cs="Times New Roman"/>
          <w:sz w:val="24"/>
          <w:szCs w:val="24"/>
        </w:rPr>
        <w:lastRenderedPageBreak/>
        <w:t>in</w:t>
      </w:r>
      <w:r>
        <w:rPr>
          <w:rFonts w:ascii="Times New Roman" w:hAnsi="Times New Roman" w:cs="Times New Roman"/>
          <w:sz w:val="24"/>
          <w:szCs w:val="24"/>
          <w:highlight w:val="yellow"/>
        </w:rPr>
        <w:t>to which sol</w:t>
      </w:r>
      <w:r>
        <w:rPr>
          <w:rFonts w:ascii="Times New Roman" w:hAnsi="Times New Roman" w:cs="Times New Roman"/>
          <w:sz w:val="24"/>
          <w:szCs w:val="24"/>
        </w:rPr>
        <w:t>a</w:t>
      </w:r>
      <w:r>
        <w:rPr>
          <w:rFonts w:ascii="Times New Roman" w:hAnsi="Times New Roman" w:cs="Times New Roman"/>
          <w:sz w:val="24"/>
          <w:szCs w:val="24"/>
          <w:highlight w:val="yellow"/>
        </w:rPr>
        <w:t>r</w:t>
      </w:r>
      <w:r>
        <w:rPr>
          <w:rFonts w:ascii="Times New Roman" w:hAnsi="Times New Roman" w:cs="Times New Roman"/>
          <w:sz w:val="24"/>
          <w:szCs w:val="24"/>
        </w:rPr>
        <w:t xml:space="preserve"> batteries </w:t>
      </w:r>
      <w:r>
        <w:rPr>
          <w:rFonts w:ascii="Times New Roman" w:hAnsi="Times New Roman" w:cs="Times New Roman"/>
          <w:sz w:val="24"/>
          <w:szCs w:val="24"/>
          <w:highlight w:val="yellow"/>
        </w:rPr>
        <w:t>may</w:t>
      </w:r>
      <w:r>
        <w:rPr>
          <w:rFonts w:ascii="Times New Roman" w:hAnsi="Times New Roman" w:cs="Times New Roman"/>
          <w:sz w:val="24"/>
          <w:szCs w:val="24"/>
        </w:rPr>
        <w:t xml:space="preserve"> en</w:t>
      </w:r>
      <w:r>
        <w:rPr>
          <w:rFonts w:ascii="Times New Roman" w:hAnsi="Times New Roman" w:cs="Times New Roman"/>
          <w:sz w:val="24"/>
          <w:szCs w:val="24"/>
          <w:highlight w:val="yellow"/>
        </w:rPr>
        <w:t>ter</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does</w:t>
      </w:r>
      <w:r>
        <w:rPr>
          <w:rFonts w:ascii="Times New Roman" w:hAnsi="Times New Roman" w:cs="Times New Roman"/>
          <w:sz w:val="24"/>
          <w:szCs w:val="24"/>
        </w:rPr>
        <w:t xml:space="preserve"> not e</w:t>
      </w:r>
      <w:r>
        <w:rPr>
          <w:rFonts w:ascii="Times New Roman" w:hAnsi="Times New Roman" w:cs="Times New Roman"/>
          <w:sz w:val="24"/>
          <w:szCs w:val="24"/>
          <w:highlight w:val="yellow"/>
        </w:rPr>
        <w:t>stabl</w:t>
      </w:r>
      <w:r>
        <w:rPr>
          <w:rFonts w:ascii="Times New Roman" w:hAnsi="Times New Roman" w:cs="Times New Roman"/>
          <w:sz w:val="24"/>
          <w:szCs w:val="24"/>
        </w:rPr>
        <w:t>i</w:t>
      </w:r>
      <w:r>
        <w:rPr>
          <w:rFonts w:ascii="Times New Roman" w:hAnsi="Times New Roman" w:cs="Times New Roman"/>
          <w:sz w:val="24"/>
          <w:szCs w:val="24"/>
          <w:highlight w:val="yellow"/>
        </w:rPr>
        <w:t>sh</w:t>
      </w:r>
      <w:r>
        <w:rPr>
          <w:rFonts w:ascii="Times New Roman" w:hAnsi="Times New Roman" w:cs="Times New Roman"/>
          <w:sz w:val="24"/>
          <w:szCs w:val="24"/>
        </w:rPr>
        <w:t xml:space="preserve"> </w:t>
      </w:r>
      <w:r>
        <w:rPr>
          <w:rFonts w:ascii="Times New Roman" w:hAnsi="Times New Roman" w:cs="Times New Roman"/>
          <w:sz w:val="24"/>
          <w:szCs w:val="24"/>
          <w:highlight w:val="yellow"/>
        </w:rPr>
        <w:t>that</w:t>
      </w:r>
      <w:r>
        <w:rPr>
          <w:rFonts w:ascii="Times New Roman" w:hAnsi="Times New Roman" w:cs="Times New Roman"/>
          <w:sz w:val="24"/>
          <w:szCs w:val="24"/>
        </w:rPr>
        <w:t xml:space="preserve"> any battery </w:t>
      </w:r>
      <w:r>
        <w:rPr>
          <w:rFonts w:ascii="Times New Roman" w:hAnsi="Times New Roman" w:cs="Times New Roman"/>
          <w:sz w:val="24"/>
          <w:szCs w:val="24"/>
          <w:highlight w:val="yellow"/>
        </w:rPr>
        <w:t>studi</w:t>
      </w:r>
      <w:r>
        <w:rPr>
          <w:rFonts w:ascii="Times New Roman" w:hAnsi="Times New Roman" w:cs="Times New Roman"/>
          <w:sz w:val="24"/>
          <w:szCs w:val="24"/>
        </w:rPr>
        <w:t>e</w:t>
      </w:r>
      <w:r>
        <w:rPr>
          <w:rFonts w:ascii="Times New Roman" w:hAnsi="Times New Roman" w:cs="Times New Roman"/>
          <w:sz w:val="24"/>
          <w:szCs w:val="24"/>
          <w:highlight w:val="yellow"/>
        </w:rPr>
        <w:t>d was</w:t>
      </w:r>
      <w:r>
        <w:rPr>
          <w:rFonts w:ascii="Times New Roman" w:hAnsi="Times New Roman" w:cs="Times New Roman"/>
          <w:sz w:val="24"/>
          <w:szCs w:val="24"/>
        </w:rPr>
        <w:t xml:space="preserve"> solar</w:t>
      </w:r>
      <w:r>
        <w:rPr>
          <w:rFonts w:ascii="Times New Roman" w:hAnsi="Times New Roman" w:cs="Times New Roman"/>
          <w:sz w:val="24"/>
          <w:szCs w:val="24"/>
          <w:highlight w:val="yellow"/>
        </w:rPr>
        <w:t>-derived</w:t>
      </w:r>
      <w:r>
        <w:rPr>
          <w:rFonts w:ascii="Times New Roman" w:hAnsi="Times New Roman" w:cs="Times New Roman"/>
          <w:sz w:val="24"/>
          <w:szCs w:val="24"/>
        </w:rPr>
        <w:t>.</w:t>
      </w:r>
    </w:p>
    <w:p w14:paraId="33890E5F"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Throughout the review, measured contamination </w:t>
      </w:r>
      <w:r>
        <w:rPr>
          <w:rFonts w:ascii="Times New Roman" w:hAnsi="Times New Roman" w:cs="Times New Roman"/>
          <w:sz w:val="24"/>
          <w:szCs w:val="24"/>
          <w:highlight w:val="yellow"/>
        </w:rPr>
        <w:t>is disti</w:t>
      </w:r>
      <w:r>
        <w:rPr>
          <w:rFonts w:ascii="Times New Roman" w:hAnsi="Times New Roman" w:cs="Times New Roman"/>
          <w:sz w:val="24"/>
          <w:szCs w:val="24"/>
        </w:rPr>
        <w:t>n</w:t>
      </w:r>
      <w:r>
        <w:rPr>
          <w:rFonts w:ascii="Times New Roman" w:hAnsi="Times New Roman" w:cs="Times New Roman"/>
          <w:sz w:val="24"/>
          <w:szCs w:val="24"/>
          <w:highlight w:val="yellow"/>
        </w:rPr>
        <w:t>guishe</w:t>
      </w:r>
      <w:r>
        <w:rPr>
          <w:rFonts w:ascii="Times New Roman" w:hAnsi="Times New Roman" w:cs="Times New Roman"/>
          <w:sz w:val="24"/>
          <w:szCs w:val="24"/>
        </w:rPr>
        <w:t>d</w:t>
      </w:r>
      <w:r>
        <w:rPr>
          <w:rFonts w:ascii="Times New Roman" w:hAnsi="Times New Roman" w:cs="Times New Roman"/>
          <w:sz w:val="24"/>
          <w:szCs w:val="24"/>
          <w:highlight w:val="yellow"/>
        </w:rPr>
        <w:t xml:space="preserve"> from</w:t>
      </w:r>
      <w:r>
        <w:rPr>
          <w:rFonts w:ascii="Times New Roman" w:hAnsi="Times New Roman" w:cs="Times New Roman"/>
          <w:sz w:val="24"/>
          <w:szCs w:val="24"/>
        </w:rPr>
        <w:t xml:space="preserve"> projected or mode</w:t>
      </w:r>
      <w:r>
        <w:rPr>
          <w:rFonts w:ascii="Times New Roman" w:hAnsi="Times New Roman" w:cs="Times New Roman"/>
          <w:sz w:val="24"/>
          <w:szCs w:val="24"/>
          <w:highlight w:val="yellow"/>
        </w:rPr>
        <w:t>l</w:t>
      </w:r>
      <w:r>
        <w:rPr>
          <w:rFonts w:ascii="Times New Roman" w:hAnsi="Times New Roman" w:cs="Times New Roman"/>
          <w:sz w:val="24"/>
          <w:szCs w:val="24"/>
        </w:rPr>
        <w:t>led contamination, and established lead toxicology</w:t>
      </w:r>
      <w:r>
        <w:rPr>
          <w:rFonts w:ascii="Times New Roman" w:hAnsi="Times New Roman" w:cs="Times New Roman"/>
          <w:sz w:val="24"/>
          <w:szCs w:val="24"/>
          <w:highlight w:val="yellow"/>
        </w:rPr>
        <w:t xml:space="preserve"> is not used</w:t>
      </w:r>
      <w:r>
        <w:rPr>
          <w:rFonts w:ascii="Times New Roman" w:hAnsi="Times New Roman" w:cs="Times New Roman"/>
          <w:sz w:val="24"/>
          <w:szCs w:val="24"/>
        </w:rPr>
        <w:t xml:space="preserve"> as an indicator of exposure in any Nigerian community.</w:t>
      </w:r>
    </w:p>
    <w:p w14:paraId="2BF91593" w14:textId="77777777" w:rsidR="000E5810" w:rsidRPr="00A322A9" w:rsidRDefault="000E5810" w:rsidP="00A322A9">
      <w:pPr>
        <w:spacing w:line="360" w:lineRule="auto"/>
        <w:rPr>
          <w:rFonts w:ascii="Times New Roman" w:hAnsi="Times New Roman" w:cs="Times New Roman"/>
          <w:sz w:val="24"/>
          <w:szCs w:val="24"/>
        </w:rPr>
      </w:pPr>
    </w:p>
    <w:p w14:paraId="0DBD71B0" w14:textId="77777777" w:rsidR="000E5810" w:rsidRPr="00A322A9" w:rsidRDefault="000E5810" w:rsidP="00A322A9">
      <w:pPr>
        <w:pStyle w:val="BodyText"/>
        <w:spacing w:line="360" w:lineRule="auto"/>
        <w:rPr>
          <w:rFonts w:ascii="Times New Roman" w:hAnsi="Times New Roman" w:cs="Times New Roman"/>
        </w:rPr>
      </w:pPr>
      <w:r>
        <w:rPr>
          <w:rFonts w:ascii="Times New Roman" w:hAnsi="Times New Roman"/>
          <w:b/>
        </w:rPr>
        <w:t>Table 1. Characteristics and relevance of evidence included in the narrative review</w:t>
      </w:r>
    </w:p>
    <w:tbl>
      <w:tblPr>
        <w:tblStyle w:val="Table"/>
        <w:tblW w:w="5000" w:type="pct"/>
        <w:tblLayout w:type="fixed"/>
        <w:tblLook w:val="0020" w:firstRow="1" w:lastRow="0" w:firstColumn="0" w:lastColumn="0" w:noHBand="0" w:noVBand="0"/>
      </w:tblPr>
      <w:tblGrid>
        <w:gridCol w:w="1133"/>
        <w:gridCol w:w="1047"/>
        <w:gridCol w:w="1497"/>
        <w:gridCol w:w="1701"/>
        <w:gridCol w:w="988"/>
        <w:gridCol w:w="1497"/>
        <w:gridCol w:w="1497"/>
      </w:tblGrid>
      <w:tr w:rsidR="00AF4FDB" w:rsidRPr="00A322A9" w14:paraId="39799C19" w14:textId="77777777" w:rsidTr="00335A04">
        <w:trPr>
          <w:cnfStyle w:val="100000000000" w:firstRow="1" w:lastRow="0" w:firstColumn="0" w:lastColumn="0" w:oddVBand="0" w:evenVBand="0" w:oddHBand="0" w:evenHBand="0" w:firstRowFirstColumn="0" w:firstRowLastColumn="0" w:lastRowFirstColumn="0" w:lastRowLastColumn="0"/>
          <w:tblHeader/>
        </w:trPr>
        <w:tc>
          <w:tcPr>
            <w:tcW w:w="1123" w:type="dxa"/>
            <w:tcMar>
              <w:top w:w="25" w:type="dxa"/>
              <w:left w:w="35" w:type="dxa"/>
              <w:bottom w:w="25" w:type="dxa"/>
              <w:right w:w="35" w:type="dxa"/>
            </w:tcMar>
            <w:vAlign w:val="top"/>
          </w:tcPr>
          <w:p w14:paraId="37BF12C7"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Study</w:t>
            </w:r>
          </w:p>
        </w:tc>
        <w:tc>
          <w:tcPr>
            <w:tcW w:w="1037" w:type="dxa"/>
            <w:tcMar>
              <w:top w:w="25" w:type="dxa"/>
              <w:left w:w="35" w:type="dxa"/>
              <w:bottom w:w="25" w:type="dxa"/>
              <w:right w:w="35" w:type="dxa"/>
            </w:tcMar>
            <w:vAlign w:val="top"/>
          </w:tcPr>
          <w:p w14:paraId="38402BB8"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Location</w:t>
            </w:r>
          </w:p>
        </w:tc>
        <w:tc>
          <w:tcPr>
            <w:tcW w:w="1483" w:type="dxa"/>
            <w:tcMar>
              <w:top w:w="25" w:type="dxa"/>
              <w:left w:w="35" w:type="dxa"/>
              <w:bottom w:w="25" w:type="dxa"/>
              <w:right w:w="35" w:type="dxa"/>
            </w:tcMar>
            <w:vAlign w:val="top"/>
          </w:tcPr>
          <w:p w14:paraId="10D9FA01"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Evidence examined</w:t>
            </w:r>
          </w:p>
        </w:tc>
        <w:tc>
          <w:tcPr>
            <w:tcW w:w="1685" w:type="dxa"/>
            <w:tcMar>
              <w:top w:w="25" w:type="dxa"/>
              <w:left w:w="35" w:type="dxa"/>
              <w:bottom w:w="25" w:type="dxa"/>
              <w:right w:w="35" w:type="dxa"/>
            </w:tcMar>
            <w:vAlign w:val="top"/>
          </w:tcPr>
          <w:p w14:paraId="1558A8C5"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Main finding</w:t>
            </w:r>
          </w:p>
        </w:tc>
        <w:tc>
          <w:tcPr>
            <w:tcW w:w="979" w:type="dxa"/>
            <w:tcMar>
              <w:top w:w="25" w:type="dxa"/>
              <w:left w:w="35" w:type="dxa"/>
              <w:bottom w:w="25" w:type="dxa"/>
              <w:right w:w="35" w:type="dxa"/>
            </w:tcMar>
            <w:vAlign w:val="top"/>
          </w:tcPr>
          <w:p w14:paraId="054F4E15"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Evidence category</w:t>
            </w:r>
          </w:p>
        </w:tc>
        <w:tc>
          <w:tcPr>
            <w:tcW w:w="1483" w:type="dxa"/>
            <w:tcMar>
              <w:top w:w="25" w:type="dxa"/>
              <w:left w:w="35" w:type="dxa"/>
              <w:bottom w:w="25" w:type="dxa"/>
              <w:right w:w="35" w:type="dxa"/>
            </w:tcMar>
            <w:vAlign w:val="top"/>
          </w:tcPr>
          <w:p w14:paraId="4E733E2A"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Connection to Nigerian solar batteries</w:t>
            </w:r>
          </w:p>
        </w:tc>
        <w:tc>
          <w:tcPr>
            <w:tcW w:w="1483" w:type="dxa"/>
            <w:tcMar>
              <w:top w:w="25" w:type="dxa"/>
              <w:left w:w="35" w:type="dxa"/>
              <w:bottom w:w="25" w:type="dxa"/>
              <w:right w:w="35" w:type="dxa"/>
            </w:tcMar>
            <w:vAlign w:val="top"/>
          </w:tcPr>
          <w:p w14:paraId="3624B67D" w14:textId="77777777" w:rsidR="000E5810" w:rsidRPr="00A322A9" w:rsidRDefault="000E5810" w:rsidP="00A322A9">
            <w:pPr>
              <w:pStyle w:val="Compact"/>
              <w:spacing w:before="0" w:after="0"/>
              <w:rPr>
                <w:rFonts w:ascii="Times New Roman" w:hAnsi="Times New Roman" w:cs="Times New Roman"/>
                <w:b/>
                <w:bCs/>
              </w:rPr>
            </w:pPr>
            <w:r w:rsidRPr="00A322A9">
              <w:rPr>
                <w:rFonts w:ascii="Times New Roman" w:hAnsi="Times New Roman" w:cs="Times New Roman"/>
                <w:b/>
                <w:bCs/>
                <w:sz w:val="17"/>
              </w:rPr>
              <w:t>Main limitation</w:t>
            </w:r>
          </w:p>
        </w:tc>
      </w:tr>
      <w:tr w:rsidR="00AF4FDB" w:rsidRPr="00A322A9" w14:paraId="6BF12025" w14:textId="77777777" w:rsidTr="00335A04">
        <w:tc>
          <w:tcPr>
            <w:tcW w:w="1123" w:type="dxa"/>
            <w:tcMar>
              <w:top w:w="25" w:type="dxa"/>
              <w:left w:w="35" w:type="dxa"/>
              <w:bottom w:w="25" w:type="dxa"/>
              <w:right w:w="35" w:type="dxa"/>
            </w:tcMar>
          </w:tcPr>
          <w:p w14:paraId="096637E3" w14:textId="77777777" w:rsidR="000E5810" w:rsidRPr="00A322A9" w:rsidRDefault="00AF4FDB" w:rsidP="00A322A9">
            <w:pPr>
              <w:pStyle w:val="Compact"/>
              <w:spacing w:before="0" w:after="0"/>
              <w:rPr>
                <w:rFonts w:ascii="Times New Roman" w:hAnsi="Times New Roman" w:cs="Times New Roman"/>
              </w:rPr>
            </w:pPr>
            <w:r w:rsidRPr="00A322A9">
              <w:rPr>
                <w:rFonts w:ascii="Times New Roman" w:hAnsi="Times New Roman" w:cs="Times New Roman"/>
                <w:sz w:val="17"/>
              </w:rPr>
              <w:t>Sani-</w:t>
            </w:r>
            <w:proofErr w:type="spellStart"/>
            <w:r w:rsidRPr="00A322A9">
              <w:rPr>
                <w:rFonts w:ascii="Times New Roman" w:hAnsi="Times New Roman" w:cs="Times New Roman"/>
                <w:sz w:val="17"/>
              </w:rPr>
              <w:t>Gwarzo</w:t>
            </w:r>
            <w:proofErr w:type="spellEnd"/>
            <w:r w:rsidRPr="00A322A9">
              <w:rPr>
                <w:rFonts w:ascii="Times New Roman" w:hAnsi="Times New Roman" w:cs="Times New Roman"/>
                <w:sz w:val="17"/>
              </w:rPr>
              <w:t xml:space="preserve"> et al. (2025)</w:t>
            </w:r>
            <w:r w:rsidR="000E5810" w:rsidRPr="00A322A9">
              <w:rPr>
                <w:rFonts w:ascii="Times New Roman" w:hAnsi="Times New Roman" w:cs="Times New Roman"/>
                <w:sz w:val="17"/>
              </w:rPr>
              <w:t> </w:t>
            </w:r>
          </w:p>
        </w:tc>
        <w:tc>
          <w:tcPr>
            <w:tcW w:w="1037" w:type="dxa"/>
            <w:tcMar>
              <w:top w:w="25" w:type="dxa"/>
              <w:left w:w="35" w:type="dxa"/>
              <w:bottom w:w="25" w:type="dxa"/>
              <w:right w:w="35" w:type="dxa"/>
            </w:tcMar>
          </w:tcPr>
          <w:p w14:paraId="317AB9E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Northern Nigeria</w:t>
            </w:r>
          </w:p>
        </w:tc>
        <w:tc>
          <w:tcPr>
            <w:tcW w:w="1483" w:type="dxa"/>
            <w:tcMar>
              <w:top w:w="25" w:type="dxa"/>
              <w:left w:w="35" w:type="dxa"/>
              <w:bottom w:w="25" w:type="dxa"/>
              <w:right w:w="35" w:type="dxa"/>
            </w:tcMar>
          </w:tcPr>
          <w:p w14:paraId="4C3AED3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Blood lead in 98 informal battery recycling workers against 98 matched controls</w:t>
            </w:r>
          </w:p>
        </w:tc>
        <w:tc>
          <w:tcPr>
            <w:tcW w:w="1685" w:type="dxa"/>
            <w:tcMar>
              <w:top w:w="25" w:type="dxa"/>
              <w:left w:w="35" w:type="dxa"/>
              <w:bottom w:w="25" w:type="dxa"/>
              <w:right w:w="35" w:type="dxa"/>
            </w:tcMar>
          </w:tcPr>
          <w:p w14:paraId="0BAA70E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Mean blood lead 40.17 µg/dL against 3.61 µg/dL; 78.1% of workers at or above 20 µg/dL</w:t>
            </w:r>
          </w:p>
        </w:tc>
        <w:tc>
          <w:tcPr>
            <w:tcW w:w="979" w:type="dxa"/>
            <w:tcMar>
              <w:top w:w="25" w:type="dxa"/>
              <w:left w:w="35" w:type="dxa"/>
              <w:bottom w:w="25" w:type="dxa"/>
              <w:right w:w="35" w:type="dxa"/>
            </w:tcMar>
          </w:tcPr>
          <w:p w14:paraId="24BB252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3A8D99C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 prior use of the batteries not documented</w:t>
            </w:r>
          </w:p>
        </w:tc>
        <w:tc>
          <w:tcPr>
            <w:tcW w:w="1483" w:type="dxa"/>
            <w:tcMar>
              <w:top w:w="25" w:type="dxa"/>
              <w:left w:w="35" w:type="dxa"/>
              <w:bottom w:w="25" w:type="dxa"/>
              <w:right w:w="35" w:type="dxa"/>
            </w:tcMar>
          </w:tcPr>
          <w:p w14:paraId="6550E86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Cross-sectional; single occupational group; battery origin unrecorded</w:t>
            </w:r>
          </w:p>
        </w:tc>
      </w:tr>
      <w:tr w:rsidR="00AF4FDB" w:rsidRPr="00A322A9" w14:paraId="3FF05F8C" w14:textId="77777777" w:rsidTr="00335A04">
        <w:tc>
          <w:tcPr>
            <w:tcW w:w="1123" w:type="dxa"/>
            <w:tcMar>
              <w:top w:w="25" w:type="dxa"/>
              <w:left w:w="35" w:type="dxa"/>
              <w:bottom w:w="25" w:type="dxa"/>
              <w:right w:w="35" w:type="dxa"/>
            </w:tcMar>
          </w:tcPr>
          <w:p w14:paraId="1C6B0C0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Gottesfeld et al. (2018)</w:t>
            </w:r>
          </w:p>
        </w:tc>
        <w:tc>
          <w:tcPr>
            <w:tcW w:w="1037" w:type="dxa"/>
            <w:tcMar>
              <w:top w:w="25" w:type="dxa"/>
              <w:left w:w="35" w:type="dxa"/>
              <w:bottom w:w="25" w:type="dxa"/>
              <w:right w:w="35" w:type="dxa"/>
            </w:tcMar>
          </w:tcPr>
          <w:p w14:paraId="51B9214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Seven African countries, including Lagos and Ogun States</w:t>
            </w:r>
          </w:p>
        </w:tc>
        <w:tc>
          <w:tcPr>
            <w:tcW w:w="1483" w:type="dxa"/>
            <w:tcMar>
              <w:top w:w="25" w:type="dxa"/>
              <w:left w:w="35" w:type="dxa"/>
              <w:bottom w:w="25" w:type="dxa"/>
              <w:right w:w="35" w:type="dxa"/>
            </w:tcMar>
          </w:tcPr>
          <w:p w14:paraId="463DF46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Soil lead at lead battery manufacturing and recycling facilities</w:t>
            </w:r>
          </w:p>
        </w:tc>
        <w:tc>
          <w:tcPr>
            <w:tcW w:w="1685" w:type="dxa"/>
            <w:tcMar>
              <w:top w:w="25" w:type="dxa"/>
              <w:left w:w="35" w:type="dxa"/>
              <w:bottom w:w="25" w:type="dxa"/>
              <w:right w:w="35" w:type="dxa"/>
            </w:tcMar>
          </w:tcPr>
          <w:p w14:paraId="51D7322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Nigerian samples reached 29,000 ppm outside and 140,000 ppm inside facilities; 15 of 21 above 400 ppm</w:t>
            </w:r>
          </w:p>
        </w:tc>
        <w:tc>
          <w:tcPr>
            <w:tcW w:w="979" w:type="dxa"/>
            <w:tcMar>
              <w:top w:w="25" w:type="dxa"/>
              <w:left w:w="35" w:type="dxa"/>
              <w:bottom w:w="25" w:type="dxa"/>
              <w:right w:w="35" w:type="dxa"/>
            </w:tcMar>
          </w:tcPr>
          <w:p w14:paraId="47AB9DE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 (Nigerian samples); 3 (pooled)</w:t>
            </w:r>
          </w:p>
        </w:tc>
        <w:tc>
          <w:tcPr>
            <w:tcW w:w="1483" w:type="dxa"/>
            <w:tcMar>
              <w:top w:w="25" w:type="dxa"/>
              <w:left w:w="35" w:type="dxa"/>
              <w:bottom w:w="25" w:type="dxa"/>
              <w:right w:w="35" w:type="dxa"/>
            </w:tcMar>
          </w:tcPr>
          <w:p w14:paraId="1DD5159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facilities handle automotive and industrial batteries</w:t>
            </w:r>
          </w:p>
        </w:tc>
        <w:tc>
          <w:tcPr>
            <w:tcW w:w="1483" w:type="dxa"/>
            <w:tcMar>
              <w:top w:w="25" w:type="dxa"/>
              <w:left w:w="35" w:type="dxa"/>
              <w:bottom w:w="25" w:type="dxa"/>
              <w:right w:w="35" w:type="dxa"/>
            </w:tcMar>
          </w:tcPr>
          <w:p w14:paraId="12AADD1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Licensed facilities only; Nigerian data not separately analysed</w:t>
            </w:r>
          </w:p>
        </w:tc>
      </w:tr>
      <w:tr w:rsidR="00AF4FDB" w:rsidRPr="00A322A9" w14:paraId="6ACA11A0" w14:textId="77777777" w:rsidTr="00335A04">
        <w:tc>
          <w:tcPr>
            <w:tcW w:w="1123" w:type="dxa"/>
            <w:tcMar>
              <w:top w:w="25" w:type="dxa"/>
              <w:left w:w="35" w:type="dxa"/>
              <w:bottom w:w="25" w:type="dxa"/>
              <w:right w:w="35" w:type="dxa"/>
            </w:tcMar>
          </w:tcPr>
          <w:p w14:paraId="038E4D7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Oloruntoba et al. (2021)</w:t>
            </w:r>
          </w:p>
        </w:tc>
        <w:tc>
          <w:tcPr>
            <w:tcW w:w="1037" w:type="dxa"/>
            <w:tcMar>
              <w:top w:w="25" w:type="dxa"/>
              <w:left w:w="35" w:type="dxa"/>
              <w:bottom w:w="25" w:type="dxa"/>
              <w:right w:w="35" w:type="dxa"/>
            </w:tcMar>
          </w:tcPr>
          <w:p w14:paraId="053D716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Ibadan, Nigeria</w:t>
            </w:r>
          </w:p>
        </w:tc>
        <w:tc>
          <w:tcPr>
            <w:tcW w:w="1483" w:type="dxa"/>
            <w:tcMar>
              <w:top w:w="25" w:type="dxa"/>
              <w:left w:w="35" w:type="dxa"/>
              <w:bottom w:w="25" w:type="dxa"/>
              <w:right w:w="35" w:type="dxa"/>
            </w:tcMar>
          </w:tcPr>
          <w:p w14:paraId="2134E466"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Soil, water and plant metals around a ULAB recycling centre</w:t>
            </w:r>
          </w:p>
        </w:tc>
        <w:tc>
          <w:tcPr>
            <w:tcW w:w="1685" w:type="dxa"/>
            <w:tcMar>
              <w:top w:w="25" w:type="dxa"/>
              <w:left w:w="35" w:type="dxa"/>
              <w:bottom w:w="25" w:type="dxa"/>
              <w:right w:w="35" w:type="dxa"/>
            </w:tcMar>
          </w:tcPr>
          <w:p w14:paraId="052ADE5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Lead exceeded permissible limits in water and plants at all sampled locations; soil-to-plant transfer factor 1.92</w:t>
            </w:r>
          </w:p>
        </w:tc>
        <w:tc>
          <w:tcPr>
            <w:tcW w:w="979" w:type="dxa"/>
            <w:tcMar>
              <w:top w:w="25" w:type="dxa"/>
              <w:left w:w="35" w:type="dxa"/>
              <w:bottom w:w="25" w:type="dxa"/>
              <w:right w:w="35" w:type="dxa"/>
            </w:tcMar>
          </w:tcPr>
          <w:p w14:paraId="589FAB4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007ACB8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w:t>
            </w:r>
          </w:p>
        </w:tc>
        <w:tc>
          <w:tcPr>
            <w:tcW w:w="1483" w:type="dxa"/>
            <w:tcMar>
              <w:top w:w="25" w:type="dxa"/>
              <w:left w:w="35" w:type="dxa"/>
              <w:bottom w:w="25" w:type="dxa"/>
              <w:right w:w="35" w:type="dxa"/>
            </w:tcMar>
          </w:tcPr>
          <w:p w14:paraId="01DF339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Single site; battery origin unspecified</w:t>
            </w:r>
          </w:p>
        </w:tc>
      </w:tr>
      <w:tr w:rsidR="00AF4FDB" w:rsidRPr="00A322A9" w14:paraId="7BFDD5A2" w14:textId="77777777" w:rsidTr="00335A04">
        <w:tc>
          <w:tcPr>
            <w:tcW w:w="1123" w:type="dxa"/>
            <w:tcMar>
              <w:top w:w="25" w:type="dxa"/>
              <w:left w:w="35" w:type="dxa"/>
              <w:bottom w:w="25" w:type="dxa"/>
              <w:right w:w="35" w:type="dxa"/>
            </w:tcMar>
          </w:tcPr>
          <w:p w14:paraId="6513053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Adeleke et al. (2026)</w:t>
            </w:r>
          </w:p>
        </w:tc>
        <w:tc>
          <w:tcPr>
            <w:tcW w:w="1037" w:type="dxa"/>
            <w:tcMar>
              <w:top w:w="25" w:type="dxa"/>
              <w:left w:w="35" w:type="dxa"/>
              <w:bottom w:w="25" w:type="dxa"/>
              <w:right w:w="35" w:type="dxa"/>
            </w:tcMar>
          </w:tcPr>
          <w:p w14:paraId="25BB2735"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Ogijo</w:t>
            </w:r>
            <w:proofErr w:type="spellEnd"/>
            <w:r w:rsidRPr="00A322A9">
              <w:rPr>
                <w:rFonts w:ascii="Times New Roman" w:hAnsi="Times New Roman" w:cs="Times New Roman"/>
                <w:sz w:val="17"/>
              </w:rPr>
              <w:t>, Ogun State, Nigeria</w:t>
            </w:r>
          </w:p>
        </w:tc>
        <w:tc>
          <w:tcPr>
            <w:tcW w:w="1483" w:type="dxa"/>
            <w:tcMar>
              <w:top w:w="25" w:type="dxa"/>
              <w:left w:w="35" w:type="dxa"/>
              <w:bottom w:w="25" w:type="dxa"/>
              <w:right w:w="35" w:type="dxa"/>
            </w:tcMar>
          </w:tcPr>
          <w:p w14:paraId="17DBE02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Heavy metals in edible plants at a battery waste disposal site</w:t>
            </w:r>
          </w:p>
        </w:tc>
        <w:tc>
          <w:tcPr>
            <w:tcW w:w="1685" w:type="dxa"/>
            <w:tcMar>
              <w:top w:w="25" w:type="dxa"/>
              <w:left w:w="35" w:type="dxa"/>
              <w:bottom w:w="25" w:type="dxa"/>
              <w:right w:w="35" w:type="dxa"/>
            </w:tcMar>
          </w:tcPr>
          <w:p w14:paraId="69328E4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Pb, Cd, Cr, Co and Zn above FAO/WHO vegetable guideline values in both seasons</w:t>
            </w:r>
          </w:p>
        </w:tc>
        <w:tc>
          <w:tcPr>
            <w:tcW w:w="979" w:type="dxa"/>
            <w:tcMar>
              <w:top w:w="25" w:type="dxa"/>
              <w:left w:w="35" w:type="dxa"/>
              <w:bottom w:w="25" w:type="dxa"/>
              <w:right w:w="35" w:type="dxa"/>
            </w:tcMar>
          </w:tcPr>
          <w:p w14:paraId="53894BC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552BFEA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recorded</w:t>
            </w:r>
          </w:p>
        </w:tc>
        <w:tc>
          <w:tcPr>
            <w:tcW w:w="1483" w:type="dxa"/>
            <w:tcMar>
              <w:top w:w="25" w:type="dxa"/>
              <w:left w:w="35" w:type="dxa"/>
              <w:bottom w:w="25" w:type="dxa"/>
              <w:right w:w="35" w:type="dxa"/>
            </w:tcMar>
          </w:tcPr>
          <w:p w14:paraId="13D5612E"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Plant tissue only; no human biomonitoring</w:t>
            </w:r>
          </w:p>
        </w:tc>
      </w:tr>
      <w:tr w:rsidR="00AF4FDB" w:rsidRPr="00A322A9" w14:paraId="146BBA67" w14:textId="77777777" w:rsidTr="00335A04">
        <w:tc>
          <w:tcPr>
            <w:tcW w:w="1123" w:type="dxa"/>
            <w:tcMar>
              <w:top w:w="25" w:type="dxa"/>
              <w:left w:w="35" w:type="dxa"/>
              <w:bottom w:w="25" w:type="dxa"/>
              <w:right w:w="35" w:type="dxa"/>
            </w:tcMar>
          </w:tcPr>
          <w:p w14:paraId="53F9A355"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Olawoyin</w:t>
            </w:r>
            <w:proofErr w:type="spellEnd"/>
            <w:r w:rsidRPr="00A322A9">
              <w:rPr>
                <w:rFonts w:ascii="Times New Roman" w:hAnsi="Times New Roman" w:cs="Times New Roman"/>
                <w:sz w:val="17"/>
              </w:rPr>
              <w:t xml:space="preserve"> and Ogunrinde (2025)</w:t>
            </w:r>
          </w:p>
        </w:tc>
        <w:tc>
          <w:tcPr>
            <w:tcW w:w="1037" w:type="dxa"/>
            <w:tcMar>
              <w:top w:w="25" w:type="dxa"/>
              <w:left w:w="35" w:type="dxa"/>
              <w:bottom w:w="25" w:type="dxa"/>
              <w:right w:w="35" w:type="dxa"/>
            </w:tcMar>
          </w:tcPr>
          <w:p w14:paraId="2AFBDAE8"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Ogijo</w:t>
            </w:r>
            <w:proofErr w:type="spellEnd"/>
            <w:r w:rsidRPr="00A322A9">
              <w:rPr>
                <w:rFonts w:ascii="Times New Roman" w:hAnsi="Times New Roman" w:cs="Times New Roman"/>
                <w:sz w:val="17"/>
              </w:rPr>
              <w:t>, Ogun State, Nigeria</w:t>
            </w:r>
          </w:p>
        </w:tc>
        <w:tc>
          <w:tcPr>
            <w:tcW w:w="1483" w:type="dxa"/>
            <w:tcMar>
              <w:top w:w="25" w:type="dxa"/>
              <w:left w:w="35" w:type="dxa"/>
              <w:bottom w:w="25" w:type="dxa"/>
              <w:right w:w="35" w:type="dxa"/>
            </w:tcMar>
          </w:tcPr>
          <w:p w14:paraId="1B09C6C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Commissioned blood and soil lead testing reported through investigative journalism</w:t>
            </w:r>
          </w:p>
        </w:tc>
        <w:tc>
          <w:tcPr>
            <w:tcW w:w="1685" w:type="dxa"/>
            <w:tcMar>
              <w:top w:w="25" w:type="dxa"/>
              <w:left w:w="35" w:type="dxa"/>
              <w:bottom w:w="25" w:type="dxa"/>
              <w:right w:w="35" w:type="dxa"/>
            </w:tcMar>
          </w:tcPr>
          <w:p w14:paraId="611AB71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Elevated blood lead in seven of ten residents tested; school soil at 1,901 ppm</w:t>
            </w:r>
          </w:p>
        </w:tc>
        <w:tc>
          <w:tcPr>
            <w:tcW w:w="979" w:type="dxa"/>
            <w:tcMar>
              <w:top w:w="25" w:type="dxa"/>
              <w:left w:w="35" w:type="dxa"/>
              <w:bottom w:w="25" w:type="dxa"/>
              <w:right w:w="35" w:type="dxa"/>
            </w:tcMar>
          </w:tcPr>
          <w:p w14:paraId="58EF23E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2</w:t>
            </w:r>
          </w:p>
        </w:tc>
        <w:tc>
          <w:tcPr>
            <w:tcW w:w="1483" w:type="dxa"/>
            <w:tcMar>
              <w:top w:w="25" w:type="dxa"/>
              <w:left w:w="35" w:type="dxa"/>
              <w:bottom w:w="25" w:type="dxa"/>
              <w:right w:w="35" w:type="dxa"/>
            </w:tcMar>
          </w:tcPr>
          <w:p w14:paraId="69405AD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batteries explicitly automotive</w:t>
            </w:r>
          </w:p>
        </w:tc>
        <w:tc>
          <w:tcPr>
            <w:tcW w:w="1483" w:type="dxa"/>
            <w:tcMar>
              <w:top w:w="25" w:type="dxa"/>
              <w:left w:w="35" w:type="dxa"/>
              <w:bottom w:w="25" w:type="dxa"/>
              <w:right w:w="35" w:type="dxa"/>
            </w:tcMar>
          </w:tcPr>
          <w:p w14:paraId="64EA87E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Not peer-reviewed; small self-selected sample</w:t>
            </w:r>
          </w:p>
        </w:tc>
      </w:tr>
      <w:tr w:rsidR="00AF4FDB" w:rsidRPr="00A322A9" w14:paraId="5E445FFA" w14:textId="77777777" w:rsidTr="00335A04">
        <w:tc>
          <w:tcPr>
            <w:tcW w:w="1123" w:type="dxa"/>
            <w:tcMar>
              <w:top w:w="25" w:type="dxa"/>
              <w:left w:w="35" w:type="dxa"/>
              <w:bottom w:w="25" w:type="dxa"/>
              <w:right w:w="35" w:type="dxa"/>
            </w:tcMar>
          </w:tcPr>
          <w:p w14:paraId="03DAB7F8"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Haefliger</w:t>
            </w:r>
            <w:proofErr w:type="spellEnd"/>
            <w:r w:rsidRPr="00A322A9">
              <w:rPr>
                <w:rFonts w:ascii="Times New Roman" w:hAnsi="Times New Roman" w:cs="Times New Roman"/>
                <w:sz w:val="17"/>
              </w:rPr>
              <w:t xml:space="preserve"> et al. (2009)</w:t>
            </w:r>
          </w:p>
        </w:tc>
        <w:tc>
          <w:tcPr>
            <w:tcW w:w="1037" w:type="dxa"/>
            <w:tcMar>
              <w:top w:w="25" w:type="dxa"/>
              <w:left w:w="35" w:type="dxa"/>
              <w:bottom w:w="25" w:type="dxa"/>
              <w:right w:w="35" w:type="dxa"/>
            </w:tcMar>
          </w:tcPr>
          <w:p w14:paraId="78D0618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Dakar, Senegal</w:t>
            </w:r>
          </w:p>
        </w:tc>
        <w:tc>
          <w:tcPr>
            <w:tcW w:w="1483" w:type="dxa"/>
            <w:tcMar>
              <w:top w:w="25" w:type="dxa"/>
              <w:left w:w="35" w:type="dxa"/>
              <w:bottom w:w="25" w:type="dxa"/>
              <w:right w:w="35" w:type="dxa"/>
            </w:tcMar>
          </w:tcPr>
          <w:p w14:paraId="6D3B9B3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Mass lead intoxication in an informal ULAB recycling community</w:t>
            </w:r>
          </w:p>
        </w:tc>
        <w:tc>
          <w:tcPr>
            <w:tcW w:w="1685" w:type="dxa"/>
            <w:tcMar>
              <w:top w:w="25" w:type="dxa"/>
              <w:left w:w="35" w:type="dxa"/>
              <w:bottom w:w="25" w:type="dxa"/>
              <w:right w:w="35" w:type="dxa"/>
            </w:tcMar>
          </w:tcPr>
          <w:p w14:paraId="22BD848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18 child deaths; blood lead 39.8–613.9 µg/dL in 50 children; outdoor soil to 302,000 mg/kg</w:t>
            </w:r>
          </w:p>
        </w:tc>
        <w:tc>
          <w:tcPr>
            <w:tcW w:w="979" w:type="dxa"/>
            <w:tcMar>
              <w:top w:w="25" w:type="dxa"/>
              <w:left w:w="35" w:type="dxa"/>
              <w:bottom w:w="25" w:type="dxa"/>
              <w:right w:w="35" w:type="dxa"/>
            </w:tcMar>
          </w:tcPr>
          <w:p w14:paraId="5B925E99"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194403D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automotive ULAB</w:t>
            </w:r>
          </w:p>
        </w:tc>
        <w:tc>
          <w:tcPr>
            <w:tcW w:w="1483" w:type="dxa"/>
            <w:tcMar>
              <w:top w:w="25" w:type="dxa"/>
              <w:left w:w="35" w:type="dxa"/>
              <w:bottom w:w="25" w:type="dxa"/>
              <w:right w:w="35" w:type="dxa"/>
            </w:tcMar>
          </w:tcPr>
          <w:p w14:paraId="6153933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Non-Nigerian; outbreak investigation rather than representative sampling</w:t>
            </w:r>
          </w:p>
        </w:tc>
      </w:tr>
      <w:tr w:rsidR="00AF4FDB" w:rsidRPr="00A322A9" w14:paraId="0FDE15B6" w14:textId="77777777" w:rsidTr="00335A04">
        <w:tc>
          <w:tcPr>
            <w:tcW w:w="1123" w:type="dxa"/>
            <w:tcMar>
              <w:top w:w="25" w:type="dxa"/>
              <w:left w:w="35" w:type="dxa"/>
              <w:bottom w:w="25" w:type="dxa"/>
              <w:right w:w="35" w:type="dxa"/>
            </w:tcMar>
          </w:tcPr>
          <w:p w14:paraId="0022EB57"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Ondayo</w:t>
            </w:r>
            <w:proofErr w:type="spellEnd"/>
            <w:r w:rsidRPr="00A322A9">
              <w:rPr>
                <w:rFonts w:ascii="Times New Roman" w:hAnsi="Times New Roman" w:cs="Times New Roman"/>
                <w:sz w:val="17"/>
              </w:rPr>
              <w:t xml:space="preserve"> et al. (2016)</w:t>
            </w:r>
          </w:p>
        </w:tc>
        <w:tc>
          <w:tcPr>
            <w:tcW w:w="1037" w:type="dxa"/>
            <w:tcMar>
              <w:top w:w="25" w:type="dxa"/>
              <w:left w:w="35" w:type="dxa"/>
              <w:bottom w:w="25" w:type="dxa"/>
              <w:right w:w="35" w:type="dxa"/>
            </w:tcMar>
          </w:tcPr>
          <w:p w14:paraId="56AB233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Nairobi, Kenya</w:t>
            </w:r>
          </w:p>
        </w:tc>
        <w:tc>
          <w:tcPr>
            <w:tcW w:w="1483" w:type="dxa"/>
            <w:tcMar>
              <w:top w:w="25" w:type="dxa"/>
              <w:left w:w="35" w:type="dxa"/>
              <w:bottom w:w="25" w:type="dxa"/>
              <w:right w:w="35" w:type="dxa"/>
            </w:tcMar>
          </w:tcPr>
          <w:p w14:paraId="7E72370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Soil and floor dust lead near informal ULAB operations</w:t>
            </w:r>
          </w:p>
        </w:tc>
        <w:tc>
          <w:tcPr>
            <w:tcW w:w="1685" w:type="dxa"/>
            <w:tcMar>
              <w:top w:w="25" w:type="dxa"/>
              <w:left w:w="35" w:type="dxa"/>
              <w:bottom w:w="25" w:type="dxa"/>
              <w:right w:w="35" w:type="dxa"/>
            </w:tcMar>
          </w:tcPr>
          <w:p w14:paraId="7EB5745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All floor dust samples exceeded United States guidance values</w:t>
            </w:r>
          </w:p>
        </w:tc>
        <w:tc>
          <w:tcPr>
            <w:tcW w:w="979" w:type="dxa"/>
            <w:tcMar>
              <w:top w:w="25" w:type="dxa"/>
              <w:left w:w="35" w:type="dxa"/>
              <w:bottom w:w="25" w:type="dxa"/>
              <w:right w:w="35" w:type="dxa"/>
            </w:tcMar>
          </w:tcPr>
          <w:p w14:paraId="123DDA7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69F205FA"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w:t>
            </w:r>
          </w:p>
        </w:tc>
        <w:tc>
          <w:tcPr>
            <w:tcW w:w="1483" w:type="dxa"/>
            <w:tcMar>
              <w:top w:w="25" w:type="dxa"/>
              <w:left w:w="35" w:type="dxa"/>
              <w:bottom w:w="25" w:type="dxa"/>
              <w:right w:w="35" w:type="dxa"/>
            </w:tcMar>
          </w:tcPr>
          <w:p w14:paraId="04DC3B5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Non-Nigerian; environmental sampling only</w:t>
            </w:r>
          </w:p>
        </w:tc>
      </w:tr>
      <w:tr w:rsidR="00AF4FDB" w:rsidRPr="00A322A9" w14:paraId="2FA71235" w14:textId="77777777" w:rsidTr="00335A04">
        <w:tc>
          <w:tcPr>
            <w:tcW w:w="1123" w:type="dxa"/>
            <w:tcMar>
              <w:top w:w="25" w:type="dxa"/>
              <w:left w:w="35" w:type="dxa"/>
              <w:bottom w:w="25" w:type="dxa"/>
              <w:right w:w="35" w:type="dxa"/>
            </w:tcMar>
          </w:tcPr>
          <w:p w14:paraId="55F3A010" w14:textId="77777777" w:rsidR="000E5810" w:rsidRPr="00A322A9" w:rsidRDefault="000E5810" w:rsidP="00A322A9">
            <w:pPr>
              <w:pStyle w:val="Compact"/>
              <w:spacing w:before="0" w:after="0"/>
              <w:rPr>
                <w:rFonts w:ascii="Times New Roman" w:hAnsi="Times New Roman" w:cs="Times New Roman"/>
              </w:rPr>
            </w:pPr>
            <w:proofErr w:type="spellStart"/>
            <w:r w:rsidRPr="00A322A9">
              <w:rPr>
                <w:rFonts w:ascii="Times New Roman" w:hAnsi="Times New Roman" w:cs="Times New Roman"/>
                <w:sz w:val="17"/>
              </w:rPr>
              <w:t>Kinally</w:t>
            </w:r>
            <w:proofErr w:type="spellEnd"/>
            <w:r w:rsidRPr="00A322A9">
              <w:rPr>
                <w:rFonts w:ascii="Times New Roman" w:hAnsi="Times New Roman" w:cs="Times New Roman"/>
                <w:sz w:val="17"/>
              </w:rPr>
              <w:t xml:space="preserve"> et al. (2024)</w:t>
            </w:r>
          </w:p>
        </w:tc>
        <w:tc>
          <w:tcPr>
            <w:tcW w:w="1037" w:type="dxa"/>
            <w:tcMar>
              <w:top w:w="25" w:type="dxa"/>
              <w:left w:w="35" w:type="dxa"/>
              <w:bottom w:w="25" w:type="dxa"/>
              <w:right w:w="35" w:type="dxa"/>
            </w:tcMar>
          </w:tcPr>
          <w:p w14:paraId="7E506172"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Malawi</w:t>
            </w:r>
          </w:p>
        </w:tc>
        <w:tc>
          <w:tcPr>
            <w:tcW w:w="1483" w:type="dxa"/>
            <w:tcMar>
              <w:top w:w="25" w:type="dxa"/>
              <w:left w:w="35" w:type="dxa"/>
              <w:bottom w:w="25" w:type="dxa"/>
              <w:right w:w="35" w:type="dxa"/>
            </w:tcMar>
          </w:tcPr>
          <w:p w14:paraId="6CB7583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Life cycle assessment of informal solar home system waste management</w:t>
            </w:r>
          </w:p>
        </w:tc>
        <w:tc>
          <w:tcPr>
            <w:tcW w:w="1685" w:type="dxa"/>
            <w:tcMar>
              <w:top w:w="25" w:type="dxa"/>
              <w:left w:w="35" w:type="dxa"/>
              <w:bottom w:w="25" w:type="dxa"/>
              <w:right w:w="35" w:type="dxa"/>
            </w:tcMar>
          </w:tcPr>
          <w:p w14:paraId="50C0DF8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3.5–4.7 kg of lead released per solar battery; batteries account for 54–99% of system lifecycle impact</w:t>
            </w:r>
          </w:p>
        </w:tc>
        <w:tc>
          <w:tcPr>
            <w:tcW w:w="979" w:type="dxa"/>
            <w:tcMar>
              <w:top w:w="25" w:type="dxa"/>
              <w:left w:w="35" w:type="dxa"/>
              <w:bottom w:w="25" w:type="dxa"/>
              <w:right w:w="35" w:type="dxa"/>
            </w:tcMar>
          </w:tcPr>
          <w:p w14:paraId="124BD68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 solar-specific</w:t>
            </w:r>
          </w:p>
        </w:tc>
        <w:tc>
          <w:tcPr>
            <w:tcW w:w="1483" w:type="dxa"/>
            <w:tcMar>
              <w:top w:w="25" w:type="dxa"/>
              <w:left w:w="35" w:type="dxa"/>
              <w:bottom w:w="25" w:type="dxa"/>
              <w:right w:w="35" w:type="dxa"/>
            </w:tcMar>
          </w:tcPr>
          <w:p w14:paraId="02727B8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Closest available evidence, but non-Nigerian</w:t>
            </w:r>
          </w:p>
        </w:tc>
        <w:tc>
          <w:tcPr>
            <w:tcW w:w="1483" w:type="dxa"/>
            <w:tcMar>
              <w:top w:w="25" w:type="dxa"/>
              <w:left w:w="35" w:type="dxa"/>
              <w:bottom w:w="25" w:type="dxa"/>
              <w:right w:w="35" w:type="dxa"/>
            </w:tcMar>
          </w:tcPr>
          <w:p w14:paraId="7CFA76A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 xml:space="preserve">Models pollutant release rather than human or environmental burden; authors identify health </w:t>
            </w:r>
            <w:r w:rsidRPr="00A322A9">
              <w:rPr>
                <w:rFonts w:ascii="Times New Roman" w:hAnsi="Times New Roman" w:cs="Times New Roman"/>
                <w:sz w:val="17"/>
              </w:rPr>
              <w:lastRenderedPageBreak/>
              <w:t>effects as unexamined</w:t>
            </w:r>
          </w:p>
        </w:tc>
      </w:tr>
      <w:tr w:rsidR="00AF4FDB" w:rsidRPr="00A322A9" w14:paraId="2C0AFCAD" w14:textId="77777777" w:rsidTr="00335A04">
        <w:tc>
          <w:tcPr>
            <w:tcW w:w="1123" w:type="dxa"/>
            <w:tcMar>
              <w:top w:w="25" w:type="dxa"/>
              <w:left w:w="35" w:type="dxa"/>
              <w:bottom w:w="25" w:type="dxa"/>
              <w:right w:w="35" w:type="dxa"/>
            </w:tcMar>
          </w:tcPr>
          <w:p w14:paraId="37723985"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lastRenderedPageBreak/>
              <w:t>Bonnifield and Mallory (2026)</w:t>
            </w:r>
          </w:p>
        </w:tc>
        <w:tc>
          <w:tcPr>
            <w:tcW w:w="1037" w:type="dxa"/>
            <w:tcMar>
              <w:top w:w="25" w:type="dxa"/>
              <w:left w:w="35" w:type="dxa"/>
              <w:bottom w:w="25" w:type="dxa"/>
              <w:right w:w="35" w:type="dxa"/>
            </w:tcMar>
          </w:tcPr>
          <w:p w14:paraId="34157AF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Sub-Saharan Africa</w:t>
            </w:r>
          </w:p>
        </w:tc>
        <w:tc>
          <w:tcPr>
            <w:tcW w:w="1483" w:type="dxa"/>
            <w:tcMar>
              <w:top w:w="25" w:type="dxa"/>
              <w:left w:w="35" w:type="dxa"/>
              <w:bottom w:w="25" w:type="dxa"/>
              <w:right w:w="35" w:type="dxa"/>
            </w:tcMar>
          </w:tcPr>
          <w:p w14:paraId="371BDCF4"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Modelled contribution of off-grid solar to ULAB arisings</w:t>
            </w:r>
          </w:p>
        </w:tc>
        <w:tc>
          <w:tcPr>
            <w:tcW w:w="1685" w:type="dxa"/>
            <w:tcMar>
              <w:top w:w="25" w:type="dxa"/>
              <w:left w:w="35" w:type="dxa"/>
              <w:bottom w:w="25" w:type="dxa"/>
              <w:right w:w="35" w:type="dxa"/>
            </w:tcMar>
          </w:tcPr>
          <w:p w14:paraId="42F85A7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Off-grid solar estimated at 13–47% of regional ULAB waste</w:t>
            </w:r>
          </w:p>
        </w:tc>
        <w:tc>
          <w:tcPr>
            <w:tcW w:w="979" w:type="dxa"/>
            <w:tcMar>
              <w:top w:w="25" w:type="dxa"/>
              <w:left w:w="35" w:type="dxa"/>
              <w:bottom w:w="25" w:type="dxa"/>
              <w:right w:w="35" w:type="dxa"/>
            </w:tcMar>
          </w:tcPr>
          <w:p w14:paraId="4CB2D780"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 modelled</w:t>
            </w:r>
          </w:p>
        </w:tc>
        <w:tc>
          <w:tcPr>
            <w:tcW w:w="1483" w:type="dxa"/>
            <w:tcMar>
              <w:top w:w="25" w:type="dxa"/>
              <w:left w:w="35" w:type="dxa"/>
              <w:bottom w:w="25" w:type="dxa"/>
              <w:right w:w="35" w:type="dxa"/>
            </w:tcMar>
          </w:tcPr>
          <w:p w14:paraId="04022EA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Directly relevant, but an estimate rather than a measurement</w:t>
            </w:r>
          </w:p>
        </w:tc>
        <w:tc>
          <w:tcPr>
            <w:tcW w:w="1483" w:type="dxa"/>
            <w:tcMar>
              <w:top w:w="25" w:type="dxa"/>
              <w:left w:w="35" w:type="dxa"/>
              <w:bottom w:w="25" w:type="dxa"/>
              <w:right w:w="35" w:type="dxa"/>
            </w:tcMar>
          </w:tcPr>
          <w:p w14:paraId="62C49EB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Modelled from scattered fieldwork; no Nigerian breakdown</w:t>
            </w:r>
          </w:p>
        </w:tc>
      </w:tr>
      <w:tr w:rsidR="00AF4FDB" w:rsidRPr="00A322A9" w14:paraId="5500DE86" w14:textId="77777777" w:rsidTr="00335A04">
        <w:tc>
          <w:tcPr>
            <w:tcW w:w="1123" w:type="dxa"/>
            <w:tcMar>
              <w:top w:w="25" w:type="dxa"/>
              <w:left w:w="35" w:type="dxa"/>
              <w:bottom w:w="25" w:type="dxa"/>
              <w:right w:w="35" w:type="dxa"/>
            </w:tcMar>
          </w:tcPr>
          <w:p w14:paraId="3C8C32EB" w14:textId="77777777" w:rsidR="000E5810" w:rsidRPr="00A322A9" w:rsidRDefault="000E5810" w:rsidP="00A322A9">
            <w:pPr>
              <w:pStyle w:val="Compact"/>
              <w:spacing w:before="0" w:after="0"/>
              <w:rPr>
                <w:rFonts w:ascii="Times New Roman" w:hAnsi="Times New Roman" w:cs="Times New Roman"/>
              </w:rPr>
            </w:pPr>
            <w:r>
              <w:rPr>
                <w:rFonts w:ascii="Times New Roman" w:hAnsi="Times New Roman"/>
                <w:sz w:val="17"/>
              </w:rPr>
              <w:t>Manhart &amp; Adjei (2026)</w:t>
            </w:r>
          </w:p>
        </w:tc>
        <w:tc>
          <w:tcPr>
            <w:tcW w:w="1037" w:type="dxa"/>
            <w:tcMar>
              <w:top w:w="25" w:type="dxa"/>
              <w:left w:w="35" w:type="dxa"/>
              <w:bottom w:w="25" w:type="dxa"/>
              <w:right w:w="35" w:type="dxa"/>
            </w:tcMar>
          </w:tcPr>
          <w:p w14:paraId="698A327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Ghana, Nigeria, Tanzania</w:t>
            </w:r>
          </w:p>
        </w:tc>
        <w:tc>
          <w:tcPr>
            <w:tcW w:w="1483" w:type="dxa"/>
            <w:tcMar>
              <w:top w:w="25" w:type="dxa"/>
              <w:left w:w="35" w:type="dxa"/>
              <w:bottom w:w="25" w:type="dxa"/>
              <w:right w:w="35" w:type="dxa"/>
            </w:tcMar>
          </w:tcPr>
          <w:p w14:paraId="75BE076B"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Status of ULAB recycling and sector policy options</w:t>
            </w:r>
          </w:p>
        </w:tc>
        <w:tc>
          <w:tcPr>
            <w:tcW w:w="1685" w:type="dxa"/>
            <w:tcMar>
              <w:top w:w="25" w:type="dxa"/>
              <w:left w:w="35" w:type="dxa"/>
              <w:bottom w:w="25" w:type="dxa"/>
              <w:right w:w="35" w:type="dxa"/>
            </w:tcMar>
          </w:tcPr>
          <w:p w14:paraId="162F831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Informal collection networks supply registered plants applying sub-standard processes</w:t>
            </w:r>
          </w:p>
        </w:tc>
        <w:tc>
          <w:tcPr>
            <w:tcW w:w="979" w:type="dxa"/>
            <w:tcMar>
              <w:top w:w="25" w:type="dxa"/>
              <w:left w:w="35" w:type="dxa"/>
              <w:bottom w:w="25" w:type="dxa"/>
              <w:right w:w="35" w:type="dxa"/>
            </w:tcMar>
          </w:tcPr>
          <w:p w14:paraId="37C3EBE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3</w:t>
            </w:r>
          </w:p>
        </w:tc>
        <w:tc>
          <w:tcPr>
            <w:tcW w:w="1483" w:type="dxa"/>
            <w:tcMar>
              <w:top w:w="25" w:type="dxa"/>
              <w:left w:w="35" w:type="dxa"/>
              <w:bottom w:w="25" w:type="dxa"/>
              <w:right w:w="35" w:type="dxa"/>
            </w:tcMar>
          </w:tcPr>
          <w:p w14:paraId="723EF19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describes destination rather than origin</w:t>
            </w:r>
          </w:p>
        </w:tc>
        <w:tc>
          <w:tcPr>
            <w:tcW w:w="1483" w:type="dxa"/>
            <w:tcMar>
              <w:top w:w="25" w:type="dxa"/>
              <w:left w:w="35" w:type="dxa"/>
              <w:bottom w:w="25" w:type="dxa"/>
              <w:right w:w="35" w:type="dxa"/>
            </w:tcMar>
          </w:tcPr>
          <w:p w14:paraId="73C7D9F1"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Descriptive; no measurement of contamination or exposure</w:t>
            </w:r>
          </w:p>
        </w:tc>
      </w:tr>
      <w:tr w:rsidR="00AF4FDB" w:rsidRPr="00A322A9" w14:paraId="0DA49751" w14:textId="77777777" w:rsidTr="00335A04">
        <w:tc>
          <w:tcPr>
            <w:tcW w:w="1123" w:type="dxa"/>
            <w:tcMar>
              <w:top w:w="25" w:type="dxa"/>
              <w:left w:w="35" w:type="dxa"/>
              <w:bottom w:w="25" w:type="dxa"/>
              <w:right w:w="35" w:type="dxa"/>
            </w:tcMar>
          </w:tcPr>
          <w:p w14:paraId="1D658AC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World Health Organization (2024)</w:t>
            </w:r>
          </w:p>
        </w:tc>
        <w:tc>
          <w:tcPr>
            <w:tcW w:w="1037" w:type="dxa"/>
            <w:tcMar>
              <w:top w:w="25" w:type="dxa"/>
              <w:left w:w="35" w:type="dxa"/>
              <w:bottom w:w="25" w:type="dxa"/>
              <w:right w:w="35" w:type="dxa"/>
            </w:tcMar>
          </w:tcPr>
          <w:p w14:paraId="5B89D4CD"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Global</w:t>
            </w:r>
          </w:p>
        </w:tc>
        <w:tc>
          <w:tcPr>
            <w:tcW w:w="1483" w:type="dxa"/>
            <w:tcMar>
              <w:top w:w="25" w:type="dxa"/>
              <w:left w:w="35" w:type="dxa"/>
              <w:bottom w:w="25" w:type="dxa"/>
              <w:right w:w="35" w:type="dxa"/>
            </w:tcMar>
          </w:tcPr>
          <w:p w14:paraId="51B59483"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Toxicological profile of lead</w:t>
            </w:r>
          </w:p>
        </w:tc>
        <w:tc>
          <w:tcPr>
            <w:tcW w:w="1685" w:type="dxa"/>
            <w:tcMar>
              <w:top w:w="25" w:type="dxa"/>
              <w:left w:w="35" w:type="dxa"/>
              <w:bottom w:w="25" w:type="dxa"/>
              <w:right w:w="35" w:type="dxa"/>
            </w:tcMar>
          </w:tcPr>
          <w:p w14:paraId="3E0F4FD7"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 identified safe exposure threshold; neurological, haematological, renal and cardiovascular effects</w:t>
            </w:r>
          </w:p>
        </w:tc>
        <w:tc>
          <w:tcPr>
            <w:tcW w:w="979" w:type="dxa"/>
            <w:tcMar>
              <w:top w:w="25" w:type="dxa"/>
              <w:left w:w="35" w:type="dxa"/>
              <w:bottom w:w="25" w:type="dxa"/>
              <w:right w:w="35" w:type="dxa"/>
            </w:tcMar>
          </w:tcPr>
          <w:p w14:paraId="6C76B44F"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4</w:t>
            </w:r>
          </w:p>
        </w:tc>
        <w:tc>
          <w:tcPr>
            <w:tcW w:w="1483" w:type="dxa"/>
            <w:tcMar>
              <w:top w:w="25" w:type="dxa"/>
              <w:left w:w="35" w:type="dxa"/>
              <w:bottom w:w="25" w:type="dxa"/>
              <w:right w:w="35" w:type="dxa"/>
            </w:tcMar>
          </w:tcPr>
          <w:p w14:paraId="20F0264C"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None; establishes hazard rather than exposure</w:t>
            </w:r>
          </w:p>
        </w:tc>
        <w:tc>
          <w:tcPr>
            <w:tcW w:w="1483" w:type="dxa"/>
            <w:tcMar>
              <w:top w:w="25" w:type="dxa"/>
              <w:left w:w="35" w:type="dxa"/>
              <w:bottom w:w="25" w:type="dxa"/>
              <w:right w:w="35" w:type="dxa"/>
            </w:tcMar>
          </w:tcPr>
          <w:p w14:paraId="37FA0528" w14:textId="77777777" w:rsidR="000E5810" w:rsidRPr="00A322A9" w:rsidRDefault="000E5810" w:rsidP="00A322A9">
            <w:pPr>
              <w:pStyle w:val="Compact"/>
              <w:spacing w:before="0" w:after="0"/>
              <w:rPr>
                <w:rFonts w:ascii="Times New Roman" w:hAnsi="Times New Roman" w:cs="Times New Roman"/>
              </w:rPr>
            </w:pPr>
            <w:r w:rsidRPr="00A322A9">
              <w:rPr>
                <w:rFonts w:ascii="Times New Roman" w:hAnsi="Times New Roman" w:cs="Times New Roman"/>
                <w:sz w:val="17"/>
              </w:rPr>
              <w:t>General toxicology; not source- or setting-specific</w:t>
            </w:r>
          </w:p>
        </w:tc>
      </w:tr>
    </w:tbl>
    <w:p w14:paraId="7E4DB259" w14:textId="77777777" w:rsidR="000E5810" w:rsidRPr="00A322A9" w:rsidRDefault="000E5810" w:rsidP="00A322A9">
      <w:pPr>
        <w:spacing w:line="360" w:lineRule="auto"/>
        <w:rPr>
          <w:rFonts w:ascii="Times New Roman" w:hAnsi="Times New Roman" w:cs="Times New Roman"/>
          <w:sz w:val="24"/>
          <w:szCs w:val="24"/>
        </w:rPr>
      </w:pPr>
    </w:p>
    <w:p w14:paraId="05BFFBD1" w14:textId="77777777" w:rsidR="000E5810" w:rsidRPr="00A322A9" w:rsidRDefault="000E5810" w:rsidP="00A322A9">
      <w:pPr>
        <w:spacing w:line="360" w:lineRule="auto"/>
        <w:rPr>
          <w:rFonts w:ascii="Times New Roman" w:hAnsi="Times New Roman" w:cs="Times New Roman"/>
          <w:b/>
          <w:bCs/>
          <w:sz w:val="28"/>
          <w:szCs w:val="28"/>
        </w:rPr>
      </w:pPr>
    </w:p>
    <w:p w14:paraId="312C4197" w14:textId="77777777" w:rsidR="00D44451" w:rsidRPr="00A322A9" w:rsidRDefault="00D44451" w:rsidP="00A322A9">
      <w:pPr>
        <w:spacing w:line="360" w:lineRule="auto"/>
        <w:rPr>
          <w:rFonts w:ascii="Times New Roman" w:hAnsi="Times New Roman" w:cs="Times New Roman"/>
          <w:b/>
          <w:bCs/>
          <w:sz w:val="28"/>
          <w:szCs w:val="28"/>
        </w:rPr>
      </w:pPr>
    </w:p>
    <w:p w14:paraId="09DD0E55"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t>3. Use and End-of-Life Management of Solar Batteries</w:t>
      </w:r>
    </w:p>
    <w:p w14:paraId="007B8981" w14:textId="77777777" w:rsidR="00DD2AAA" w:rsidRPr="00A322A9" w:rsidRDefault="00DD2AAA" w:rsidP="00A322A9">
      <w:pPr>
        <w:pStyle w:val="NormalWeb"/>
        <w:spacing w:line="360" w:lineRule="auto"/>
      </w:pPr>
      <w:r>
        <w:t>In Nigeria's off</w:t>
      </w:r>
      <w:r>
        <w:rPr>
          <w:highlight w:val="yellow"/>
        </w:rPr>
        <w:t>-</w:t>
      </w:r>
      <w:r>
        <w:t>grid systems, lead</w:t>
      </w:r>
      <w:r>
        <w:rPr>
          <w:highlight w:val="yellow"/>
        </w:rPr>
        <w:t>-</w:t>
      </w:r>
      <w:r>
        <w:t>acid batteries are</w:t>
      </w:r>
      <w:r>
        <w:rPr>
          <w:highlight w:val="yellow"/>
        </w:rPr>
        <w:t xml:space="preserve"> used</w:t>
      </w:r>
      <w:r>
        <w:t xml:space="preserve"> in three primary configurations. Small, usually 12 V, solar home systems are designed for h</w:t>
      </w:r>
      <w:r>
        <w:rPr>
          <w:highlight w:val="yellow"/>
        </w:rPr>
        <w:t>ous</w:t>
      </w:r>
      <w:r>
        <w:t>e</w:t>
      </w:r>
      <w:r>
        <w:rPr>
          <w:highlight w:val="yellow"/>
        </w:rPr>
        <w:t>hold</w:t>
      </w:r>
      <w:r>
        <w:t xml:space="preserve"> lighting and phone</w:t>
      </w:r>
      <w:r>
        <w:rPr>
          <w:highlight w:val="yellow"/>
        </w:rPr>
        <w:t>-</w:t>
      </w:r>
      <w:r>
        <w:t>charging needs. Larger deep</w:t>
      </w:r>
      <w:r>
        <w:rPr>
          <w:highlight w:val="yellow"/>
        </w:rPr>
        <w:t>-</w:t>
      </w:r>
      <w:r>
        <w:t>cycle banks are used in household and commercial inverter system</w:t>
      </w:r>
      <w:r>
        <w:rPr>
          <w:highlight w:val="yellow"/>
        </w:rPr>
        <w:t>s</w:t>
      </w:r>
      <w:r>
        <w:t xml:space="preserve">, typically </w:t>
      </w:r>
      <w:r>
        <w:rPr>
          <w:highlight w:val="yellow"/>
        </w:rPr>
        <w:t xml:space="preserve">with </w:t>
      </w:r>
      <w:r>
        <w:t>4</w:t>
      </w:r>
      <w:r>
        <w:rPr>
          <w:highlight w:val="yellow"/>
        </w:rPr>
        <w:t>–</w:t>
      </w:r>
      <w:r>
        <w:t xml:space="preserve">8 units in series, and make up the majority of installed mass. </w:t>
      </w:r>
      <w:r>
        <w:rPr>
          <w:highlight w:val="yellow"/>
        </w:rPr>
        <w:t>M</w:t>
      </w:r>
      <w:r>
        <w:t xml:space="preserve">ini-grids have large battery banks, but lithium-ion batteries are increasingly replacing lead-acid batteries at this scale as the price of LIBs continues to </w:t>
      </w:r>
      <w:r>
        <w:rPr>
          <w:highlight w:val="yellow"/>
        </w:rPr>
        <w:t>fall</w:t>
      </w:r>
      <w:r>
        <w:t xml:space="preserve"> (Adesina et al., 2023).</w:t>
      </w:r>
    </w:p>
    <w:p w14:paraId="1E56DD4D"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In practice</w:t>
      </w:r>
      <w:r>
        <w:rPr>
          <w:rFonts w:ascii="Times New Roman" w:hAnsi="Times New Roman" w:cs="Times New Roman"/>
          <w:sz w:val="24"/>
          <w:szCs w:val="24"/>
          <w:highlight w:val="yellow"/>
        </w:rPr>
        <w:t>,</w:t>
      </w:r>
      <w:r>
        <w:rPr>
          <w:rFonts w:ascii="Times New Roman" w:hAnsi="Times New Roman" w:cs="Times New Roman"/>
          <w:sz w:val="24"/>
          <w:szCs w:val="24"/>
        </w:rPr>
        <w:t xml:space="preserve"> service life is shorter than specifi</w:t>
      </w:r>
      <w:r>
        <w:rPr>
          <w:rFonts w:ascii="Times New Roman" w:hAnsi="Times New Roman" w:cs="Times New Roman"/>
          <w:sz w:val="24"/>
          <w:szCs w:val="24"/>
          <w:highlight w:val="yellow"/>
        </w:rPr>
        <w:t>ed</w:t>
      </w:r>
      <w:r>
        <w:rPr>
          <w:rFonts w:ascii="Times New Roman" w:hAnsi="Times New Roman" w:cs="Times New Roman"/>
          <w:sz w:val="24"/>
          <w:szCs w:val="24"/>
        </w:rPr>
        <w:t xml:space="preserve">. </w:t>
      </w:r>
      <w:r>
        <w:rPr>
          <w:rFonts w:ascii="Times New Roman" w:hAnsi="Times New Roman" w:cs="Times New Roman"/>
        </w:rPr>
        <w:t xml:space="preserve">Nazim </w:t>
      </w:r>
      <w:r>
        <w:rPr>
          <w:rFonts w:ascii="Times New Roman" w:hAnsi="Times New Roman" w:cs="Times New Roman"/>
          <w:highlight w:val="yellow"/>
        </w:rPr>
        <w:t>and</w:t>
      </w:r>
      <w:r>
        <w:rPr>
          <w:rFonts w:ascii="Times New Roman" w:hAnsi="Times New Roman" w:cs="Times New Roman"/>
        </w:rPr>
        <w:t xml:space="preserve"> Elavarasan (2026) argue </w:t>
      </w:r>
      <w:r>
        <w:rPr>
          <w:rFonts w:ascii="Times New Roman" w:hAnsi="Times New Roman" w:cs="Times New Roman"/>
          <w:sz w:val="24"/>
          <w:szCs w:val="24"/>
        </w:rPr>
        <w:t>that it is shortened by deep discharge, high ambient temperature</w:t>
      </w:r>
      <w:r>
        <w:rPr>
          <w:rFonts w:ascii="Times New Roman" w:hAnsi="Times New Roman" w:cs="Times New Roman"/>
          <w:sz w:val="24"/>
          <w:szCs w:val="24"/>
          <w:highlight w:val="yellow"/>
        </w:rPr>
        <w:t>s</w:t>
      </w:r>
      <w:r>
        <w:rPr>
          <w:rFonts w:ascii="Times New Roman" w:hAnsi="Times New Roman" w:cs="Times New Roman"/>
          <w:sz w:val="24"/>
          <w:szCs w:val="24"/>
        </w:rPr>
        <w:t xml:space="preserve">, failure to maintain flooded cells </w:t>
      </w:r>
      <w:r>
        <w:rPr>
          <w:rFonts w:ascii="Times New Roman" w:hAnsi="Times New Roman" w:cs="Times New Roman"/>
          <w:sz w:val="24"/>
          <w:szCs w:val="24"/>
          <w:highlight w:val="yellow"/>
        </w:rPr>
        <w:t xml:space="preserve">properly, </w:t>
      </w:r>
      <w:r>
        <w:rPr>
          <w:rFonts w:ascii="Times New Roman" w:hAnsi="Times New Roman" w:cs="Times New Roman"/>
          <w:sz w:val="24"/>
          <w:szCs w:val="24"/>
        </w:rPr>
        <w:t xml:space="preserve">or </w:t>
      </w:r>
      <w:r>
        <w:rPr>
          <w:rFonts w:ascii="Times New Roman" w:hAnsi="Times New Roman" w:cs="Times New Roman"/>
          <w:sz w:val="24"/>
          <w:szCs w:val="24"/>
          <w:highlight w:val="yellow"/>
        </w:rPr>
        <w:t>the</w:t>
      </w:r>
      <w:r>
        <w:rPr>
          <w:rFonts w:ascii="Times New Roman" w:hAnsi="Times New Roman" w:cs="Times New Roman"/>
          <w:sz w:val="24"/>
          <w:szCs w:val="24"/>
        </w:rPr>
        <w:t xml:space="preserve"> us</w:t>
      </w:r>
      <w:r>
        <w:rPr>
          <w:rFonts w:ascii="Times New Roman" w:hAnsi="Times New Roman" w:cs="Times New Roman"/>
          <w:sz w:val="24"/>
          <w:szCs w:val="24"/>
          <w:highlight w:val="yellow"/>
        </w:rPr>
        <w:t>e of</w:t>
      </w:r>
      <w:r>
        <w:rPr>
          <w:rFonts w:ascii="Times New Roman" w:hAnsi="Times New Roman" w:cs="Times New Roman"/>
          <w:sz w:val="24"/>
          <w:szCs w:val="24"/>
        </w:rPr>
        <w:t xml:space="preserve"> a correspondingly undersized array</w:t>
      </w:r>
      <w:r>
        <w:rPr>
          <w:rFonts w:ascii="Times New Roman" w:hAnsi="Times New Roman" w:cs="Times New Roman"/>
          <w:sz w:val="24"/>
          <w:szCs w:val="24"/>
          <w:highlight w:val="yellow"/>
        </w:rPr>
        <w:t>,</w:t>
      </w:r>
      <w:r>
        <w:rPr>
          <w:rFonts w:ascii="Times New Roman" w:hAnsi="Times New Roman" w:cs="Times New Roman"/>
          <w:sz w:val="24"/>
          <w:szCs w:val="24"/>
        </w:rPr>
        <w:t xml:space="preserve"> which leaves batteries constantly undercharged. </w:t>
      </w:r>
      <w:r>
        <w:rPr>
          <w:rFonts w:ascii="Times New Roman" w:hAnsi="Times New Roman" w:cs="Times New Roman"/>
          <w:sz w:val="24"/>
          <w:szCs w:val="24"/>
          <w:highlight w:val="yellow"/>
        </w:rPr>
        <w:t>Batteries sold as f</w:t>
      </w:r>
      <w:r>
        <w:rPr>
          <w:rFonts w:ascii="Times New Roman" w:hAnsi="Times New Roman" w:cs="Times New Roman"/>
          <w:sz w:val="24"/>
          <w:szCs w:val="24"/>
        </w:rPr>
        <w:t xml:space="preserve">ive-year batteries typically fail </w:t>
      </w:r>
      <w:r>
        <w:rPr>
          <w:rFonts w:ascii="Times New Roman" w:hAnsi="Times New Roman" w:cs="Times New Roman"/>
          <w:sz w:val="24"/>
          <w:szCs w:val="24"/>
          <w:highlight w:val="yellow"/>
        </w:rPr>
        <w:t>with</w:t>
      </w:r>
      <w:r>
        <w:rPr>
          <w:rFonts w:ascii="Times New Roman" w:hAnsi="Times New Roman" w:cs="Times New Roman"/>
          <w:sz w:val="24"/>
          <w:szCs w:val="24"/>
        </w:rPr>
        <w:t>in two or three years.</w:t>
      </w:r>
    </w:p>
    <w:p w14:paraId="057498BC"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The next step is </w:t>
      </w:r>
      <w:r>
        <w:rPr>
          <w:rFonts w:ascii="Times New Roman" w:hAnsi="Times New Roman" w:cs="Times New Roman"/>
          <w:sz w:val="24"/>
          <w:szCs w:val="24"/>
          <w:highlight w:val="yellow"/>
        </w:rPr>
        <w:t>driven</w:t>
      </w:r>
      <w:r>
        <w:rPr>
          <w:rFonts w:ascii="Times New Roman" w:hAnsi="Times New Roman" w:cs="Times New Roman"/>
          <w:sz w:val="24"/>
          <w:szCs w:val="24"/>
        </w:rPr>
        <w:t xml:space="preserve"> </w:t>
      </w:r>
      <w:r>
        <w:rPr>
          <w:rFonts w:ascii="Times New Roman" w:hAnsi="Times New Roman" w:cs="Times New Roman"/>
          <w:sz w:val="24"/>
          <w:szCs w:val="24"/>
          <w:highlight w:val="yellow"/>
        </w:rPr>
        <w:t>by</w:t>
      </w:r>
      <w:r>
        <w:rPr>
          <w:rFonts w:ascii="Times New Roman" w:hAnsi="Times New Roman" w:cs="Times New Roman"/>
          <w:sz w:val="24"/>
          <w:szCs w:val="24"/>
        </w:rPr>
        <w:t xml:space="preserve"> scrap value </w:t>
      </w:r>
      <w:r>
        <w:rPr>
          <w:rFonts w:ascii="Times New Roman" w:hAnsi="Times New Roman" w:cs="Times New Roman"/>
          <w:sz w:val="24"/>
          <w:szCs w:val="24"/>
          <w:highlight w:val="yellow"/>
        </w:rPr>
        <w:t>r</w:t>
      </w:r>
      <w:r>
        <w:rPr>
          <w:rFonts w:ascii="Times New Roman" w:hAnsi="Times New Roman" w:cs="Times New Roman"/>
          <w:sz w:val="24"/>
          <w:szCs w:val="24"/>
        </w:rPr>
        <w:t>at</w:t>
      </w:r>
      <w:r>
        <w:rPr>
          <w:rFonts w:ascii="Times New Roman" w:hAnsi="Times New Roman" w:cs="Times New Roman"/>
          <w:sz w:val="24"/>
          <w:szCs w:val="24"/>
          <w:highlight w:val="yellow"/>
        </w:rPr>
        <w:t>her</w:t>
      </w:r>
      <w:r>
        <w:rPr>
          <w:rFonts w:ascii="Times New Roman" w:hAnsi="Times New Roman" w:cs="Times New Roman"/>
          <w:sz w:val="24"/>
          <w:szCs w:val="24"/>
        </w:rPr>
        <w:t xml:space="preserve"> th</w:t>
      </w:r>
      <w:r>
        <w:rPr>
          <w:rFonts w:ascii="Times New Roman" w:hAnsi="Times New Roman" w:cs="Times New Roman"/>
          <w:sz w:val="24"/>
          <w:szCs w:val="24"/>
          <w:highlight w:val="yellow"/>
        </w:rPr>
        <w:t>an</w:t>
      </w:r>
      <w:r>
        <w:rPr>
          <w:rFonts w:ascii="Times New Roman" w:hAnsi="Times New Roman" w:cs="Times New Roman"/>
          <w:sz w:val="24"/>
          <w:szCs w:val="24"/>
        </w:rPr>
        <w:t xml:space="preserve"> regulation. Lead can be recovered and sold, and informal networks of itinerant buyers</w:t>
      </w:r>
      <w:r>
        <w:rPr>
          <w:rFonts w:ascii="Times New Roman" w:hAnsi="Times New Roman" w:cs="Times New Roman"/>
          <w:sz w:val="24"/>
          <w:szCs w:val="24"/>
          <w:highlight w:val="yellow"/>
        </w:rPr>
        <w:t>,</w:t>
      </w:r>
      <w:r>
        <w:rPr>
          <w:rFonts w:ascii="Times New Roman" w:hAnsi="Times New Roman" w:cs="Times New Roman"/>
          <w:sz w:val="24"/>
          <w:szCs w:val="24"/>
        </w:rPr>
        <w:t xml:space="preserve"> mechanics</w:t>
      </w:r>
      <w:r>
        <w:rPr>
          <w:rFonts w:ascii="Times New Roman" w:hAnsi="Times New Roman" w:cs="Times New Roman"/>
          <w:sz w:val="24"/>
          <w:szCs w:val="24"/>
          <w:highlight w:val="yellow"/>
        </w:rPr>
        <w:t>,</w:t>
      </w:r>
      <w:r>
        <w:rPr>
          <w:rFonts w:ascii="Times New Roman" w:hAnsi="Times New Roman" w:cs="Times New Roman"/>
          <w:sz w:val="24"/>
          <w:szCs w:val="24"/>
        </w:rPr>
        <w:t xml:space="preserve"> and scrap dealers efficiently collect used batteries from households and installers and sell them. The problem with the Nigeria</w:t>
      </w:r>
      <w:r>
        <w:rPr>
          <w:rFonts w:ascii="Times New Roman" w:hAnsi="Times New Roman" w:cs="Times New Roman"/>
          <w:sz w:val="24"/>
          <w:szCs w:val="24"/>
          <w:highlight w:val="yellow"/>
        </w:rPr>
        <w:t>n</w:t>
      </w:r>
      <w:r>
        <w:rPr>
          <w:rFonts w:ascii="Times New Roman" w:hAnsi="Times New Roman" w:cs="Times New Roman"/>
          <w:sz w:val="24"/>
          <w:szCs w:val="24"/>
        </w:rPr>
        <w:t xml:space="preserve"> system </w:t>
      </w:r>
      <w:r>
        <w:rPr>
          <w:rFonts w:ascii="Times New Roman" w:hAnsi="Times New Roman" w:cs="Times New Roman"/>
          <w:sz w:val="24"/>
          <w:szCs w:val="24"/>
          <w:highlight w:val="yellow"/>
        </w:rPr>
        <w:t>l</w:t>
      </w:r>
      <w:r>
        <w:rPr>
          <w:rFonts w:ascii="Times New Roman" w:hAnsi="Times New Roman" w:cs="Times New Roman"/>
          <w:sz w:val="24"/>
          <w:szCs w:val="24"/>
        </w:rPr>
        <w:t>i</w:t>
      </w:r>
      <w:r>
        <w:rPr>
          <w:rFonts w:ascii="Times New Roman" w:hAnsi="Times New Roman" w:cs="Times New Roman"/>
          <w:sz w:val="24"/>
          <w:szCs w:val="24"/>
          <w:highlight w:val="yellow"/>
        </w:rPr>
        <w:t>e</w:t>
      </w:r>
      <w:r>
        <w:rPr>
          <w:rFonts w:ascii="Times New Roman" w:hAnsi="Times New Roman" w:cs="Times New Roman"/>
          <w:sz w:val="24"/>
          <w:szCs w:val="24"/>
        </w:rPr>
        <w:t>s not i</w:t>
      </w:r>
      <w:r>
        <w:rPr>
          <w:rFonts w:ascii="Times New Roman" w:hAnsi="Times New Roman" w:cs="Times New Roman"/>
          <w:sz w:val="24"/>
          <w:szCs w:val="24"/>
          <w:highlight w:val="yellow"/>
        </w:rPr>
        <w:t>n</w:t>
      </w:r>
      <w:r>
        <w:rPr>
          <w:rFonts w:ascii="Times New Roman" w:hAnsi="Times New Roman" w:cs="Times New Roman"/>
          <w:sz w:val="24"/>
          <w:szCs w:val="24"/>
        </w:rPr>
        <w:t xml:space="preserve"> collection but i</w:t>
      </w:r>
      <w:r>
        <w:rPr>
          <w:rFonts w:ascii="Times New Roman" w:hAnsi="Times New Roman" w:cs="Times New Roman"/>
          <w:sz w:val="24"/>
          <w:szCs w:val="24"/>
          <w:highlight w:val="yellow"/>
        </w:rPr>
        <w:t>n</w:t>
      </w:r>
      <w:r>
        <w:rPr>
          <w:rFonts w:ascii="Times New Roman" w:hAnsi="Times New Roman" w:cs="Times New Roman"/>
          <w:sz w:val="24"/>
          <w:szCs w:val="24"/>
        </w:rPr>
        <w:t xml:space="preserve"> processing.</w:t>
      </w:r>
    </w:p>
    <w:p w14:paraId="65142765"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Collected batteries </w:t>
      </w:r>
      <w:r>
        <w:rPr>
          <w:rFonts w:ascii="Times New Roman" w:hAnsi="Times New Roman" w:cs="Times New Roman"/>
          <w:sz w:val="24"/>
          <w:szCs w:val="24"/>
          <w:highlight w:val="yellow"/>
        </w:rPr>
        <w:t>pass</w:t>
      </w:r>
      <w:r>
        <w:rPr>
          <w:rFonts w:ascii="Times New Roman" w:hAnsi="Times New Roman" w:cs="Times New Roman"/>
          <w:sz w:val="24"/>
          <w:szCs w:val="24"/>
        </w:rPr>
        <w:t xml:space="preserve"> t</w:t>
      </w:r>
      <w:r>
        <w:rPr>
          <w:rFonts w:ascii="Times New Roman" w:hAnsi="Times New Roman" w:cs="Times New Roman"/>
          <w:sz w:val="24"/>
          <w:szCs w:val="24"/>
          <w:highlight w:val="yellow"/>
        </w:rPr>
        <w:t>hr</w:t>
      </w:r>
      <w:r>
        <w:rPr>
          <w:rFonts w:ascii="Times New Roman" w:hAnsi="Times New Roman" w:cs="Times New Roman"/>
          <w:sz w:val="24"/>
          <w:szCs w:val="24"/>
        </w:rPr>
        <w:t>o</w:t>
      </w:r>
      <w:r>
        <w:rPr>
          <w:rFonts w:ascii="Times New Roman" w:hAnsi="Times New Roman" w:cs="Times New Roman"/>
          <w:sz w:val="24"/>
          <w:szCs w:val="24"/>
          <w:highlight w:val="yellow"/>
        </w:rPr>
        <w:t>ugh</w:t>
      </w:r>
      <w:r>
        <w:rPr>
          <w:rFonts w:ascii="Times New Roman" w:hAnsi="Times New Roman" w:cs="Times New Roman"/>
          <w:sz w:val="24"/>
          <w:szCs w:val="24"/>
        </w:rPr>
        <w:t xml:space="preserve"> aggregators to smelters. Some </w:t>
      </w:r>
      <w:r>
        <w:rPr>
          <w:rFonts w:ascii="Times New Roman" w:hAnsi="Times New Roman" w:cs="Times New Roman"/>
          <w:sz w:val="24"/>
          <w:szCs w:val="24"/>
          <w:highlight w:val="yellow"/>
        </w:rPr>
        <w:t xml:space="preserve">smelters </w:t>
      </w:r>
      <w:r>
        <w:rPr>
          <w:rFonts w:ascii="Times New Roman" w:hAnsi="Times New Roman" w:cs="Times New Roman"/>
          <w:sz w:val="24"/>
          <w:szCs w:val="24"/>
        </w:rPr>
        <w:t>are registered</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where</w:t>
      </w:r>
      <w:r>
        <w:rPr>
          <w:rFonts w:ascii="Times New Roman" w:hAnsi="Times New Roman" w:cs="Times New Roman"/>
          <w:sz w:val="24"/>
          <w:szCs w:val="24"/>
        </w:rPr>
        <w:t>a</w:t>
      </w:r>
      <w:r>
        <w:rPr>
          <w:rFonts w:ascii="Times New Roman" w:hAnsi="Times New Roman" w:cs="Times New Roman"/>
          <w:sz w:val="24"/>
          <w:szCs w:val="24"/>
          <w:highlight w:val="yellow"/>
        </w:rPr>
        <w:t>s</w:t>
      </w:r>
      <w:r>
        <w:rPr>
          <w:rFonts w:ascii="Times New Roman" w:hAnsi="Times New Roman" w:cs="Times New Roman"/>
          <w:sz w:val="24"/>
          <w:szCs w:val="24"/>
        </w:rPr>
        <w:t xml:space="preserve"> others are entirely informal, and evidence from around sub-Saharan Africa suggests that the difference is not as s</w:t>
      </w:r>
      <w:r>
        <w:rPr>
          <w:rFonts w:ascii="Times New Roman" w:hAnsi="Times New Roman" w:cs="Times New Roman"/>
          <w:sz w:val="24"/>
          <w:szCs w:val="24"/>
          <w:highlight w:val="yellow"/>
        </w:rPr>
        <w:t>ubst</w:t>
      </w:r>
      <w:r>
        <w:rPr>
          <w:rFonts w:ascii="Times New Roman" w:hAnsi="Times New Roman" w:cs="Times New Roman"/>
          <w:sz w:val="24"/>
          <w:szCs w:val="24"/>
        </w:rPr>
        <w:t>ant</w:t>
      </w:r>
      <w:r>
        <w:rPr>
          <w:rFonts w:ascii="Times New Roman" w:hAnsi="Times New Roman" w:cs="Times New Roman"/>
          <w:sz w:val="24"/>
          <w:szCs w:val="24"/>
          <w:highlight w:val="yellow"/>
        </w:rPr>
        <w:t>ial</w:t>
      </w:r>
      <w:r>
        <w:rPr>
          <w:rFonts w:ascii="Times New Roman" w:hAnsi="Times New Roman" w:cs="Times New Roman"/>
          <w:sz w:val="24"/>
          <w:szCs w:val="24"/>
        </w:rPr>
        <w:t xml:space="preserve"> as it should be </w:t>
      </w:r>
      <w:r>
        <w:rPr>
          <w:rFonts w:ascii="Times New Roman" w:hAnsi="Times New Roman" w:cs="Times New Roman"/>
          <w:sz w:val="24"/>
          <w:szCs w:val="24"/>
          <w:highlight w:val="yellow"/>
        </w:rPr>
        <w:t>bec</w:t>
      </w:r>
      <w:r>
        <w:rPr>
          <w:rFonts w:ascii="Times New Roman" w:hAnsi="Times New Roman" w:cs="Times New Roman"/>
          <w:sz w:val="24"/>
          <w:szCs w:val="24"/>
        </w:rPr>
        <w:t>a</w:t>
      </w:r>
      <w:r>
        <w:rPr>
          <w:rFonts w:ascii="Times New Roman" w:hAnsi="Times New Roman" w:cs="Times New Roman"/>
          <w:sz w:val="24"/>
          <w:szCs w:val="24"/>
          <w:highlight w:val="yellow"/>
        </w:rPr>
        <w:t>u</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informal collection networks often </w:t>
      </w:r>
      <w:r>
        <w:rPr>
          <w:rFonts w:ascii="Times New Roman" w:hAnsi="Times New Roman" w:cs="Times New Roman"/>
          <w:sz w:val="24"/>
          <w:szCs w:val="24"/>
          <w:highlight w:val="yellow"/>
        </w:rPr>
        <w:t>su</w:t>
      </w:r>
      <w:r>
        <w:rPr>
          <w:rFonts w:ascii="Times New Roman" w:hAnsi="Times New Roman" w:cs="Times New Roman"/>
          <w:sz w:val="24"/>
          <w:szCs w:val="24"/>
        </w:rPr>
        <w:t>p</w:t>
      </w:r>
      <w:r>
        <w:rPr>
          <w:rFonts w:ascii="Times New Roman" w:hAnsi="Times New Roman" w:cs="Times New Roman"/>
          <w:sz w:val="24"/>
          <w:szCs w:val="24"/>
          <w:highlight w:val="yellow"/>
        </w:rPr>
        <w:t>ply</w:t>
      </w:r>
      <w:r>
        <w:rPr>
          <w:rFonts w:ascii="Times New Roman" w:hAnsi="Times New Roman" w:cs="Times New Roman"/>
          <w:sz w:val="24"/>
          <w:szCs w:val="24"/>
        </w:rPr>
        <w:t xml:space="preserve"> registered industrial plants operating sub-standard processes (Manhart &amp; Adjei, 2026). </w:t>
      </w:r>
      <w:r>
        <w:rPr>
          <w:rFonts w:ascii="Times New Roman" w:hAnsi="Times New Roman" w:cs="Times New Roman"/>
          <w:sz w:val="24"/>
          <w:szCs w:val="24"/>
          <w:highlight w:val="yellow"/>
        </w:rPr>
        <w:t>I</w:t>
      </w:r>
      <w:r>
        <w:rPr>
          <w:rFonts w:ascii="Times New Roman" w:hAnsi="Times New Roman" w:cs="Times New Roman"/>
          <w:sz w:val="24"/>
          <w:szCs w:val="24"/>
        </w:rPr>
        <w:t>nformal processing includes manually opening the casings, draining the sulphuric</w:t>
      </w:r>
      <w:r>
        <w:rPr>
          <w:rFonts w:ascii="Times New Roman" w:hAnsi="Times New Roman" w:cs="Times New Roman"/>
          <w:sz w:val="24"/>
          <w:szCs w:val="24"/>
          <w:highlight w:val="yellow"/>
        </w:rPr>
        <w:t>-</w:t>
      </w:r>
      <w:r>
        <w:rPr>
          <w:rFonts w:ascii="Times New Roman" w:hAnsi="Times New Roman" w:cs="Times New Roman"/>
          <w:sz w:val="24"/>
          <w:szCs w:val="24"/>
        </w:rPr>
        <w:t>acid electrolyte</w:t>
      </w:r>
      <w:r>
        <w:rPr>
          <w:rFonts w:ascii="Times New Roman" w:hAnsi="Times New Roman" w:cs="Times New Roman"/>
          <w:sz w:val="24"/>
          <w:szCs w:val="24"/>
          <w:highlight w:val="yellow"/>
        </w:rPr>
        <w:t>,</w:t>
      </w:r>
      <w:r>
        <w:rPr>
          <w:rFonts w:ascii="Times New Roman" w:hAnsi="Times New Roman" w:cs="Times New Roman"/>
          <w:sz w:val="24"/>
          <w:szCs w:val="24"/>
        </w:rPr>
        <w:t xml:space="preserve"> and smelting the lead plates in unlined pits or crude furnaces without pollution</w:t>
      </w:r>
      <w:r>
        <w:rPr>
          <w:rFonts w:ascii="Times New Roman" w:hAnsi="Times New Roman" w:cs="Times New Roman"/>
          <w:sz w:val="24"/>
          <w:szCs w:val="24"/>
          <w:highlight w:val="yellow"/>
        </w:rPr>
        <w:t>-</w:t>
      </w:r>
      <w:r>
        <w:rPr>
          <w:rFonts w:ascii="Times New Roman" w:hAnsi="Times New Roman" w:cs="Times New Roman"/>
          <w:sz w:val="24"/>
          <w:szCs w:val="24"/>
        </w:rPr>
        <w:t>control measures.</w:t>
      </w:r>
    </w:p>
    <w:p w14:paraId="51382DA3"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There is also second</w:t>
      </w:r>
      <w:r>
        <w:rPr>
          <w:rFonts w:ascii="Times New Roman" w:hAnsi="Times New Roman" w:cs="Times New Roman"/>
          <w:sz w:val="24"/>
          <w:szCs w:val="24"/>
          <w:highlight w:val="yellow"/>
        </w:rPr>
        <w:t>-</w:t>
      </w:r>
      <w:r>
        <w:rPr>
          <w:rFonts w:ascii="Times New Roman" w:hAnsi="Times New Roman" w:cs="Times New Roman"/>
          <w:sz w:val="24"/>
          <w:szCs w:val="24"/>
        </w:rPr>
        <w:t>life reuse. Batteries</w:t>
      </w:r>
      <w:r>
        <w:rPr>
          <w:rFonts w:ascii="Times New Roman" w:hAnsi="Times New Roman" w:cs="Times New Roman"/>
          <w:sz w:val="24"/>
          <w:szCs w:val="24"/>
          <w:highlight w:val="yellow"/>
        </w:rPr>
        <w:t xml:space="preserve"> that</w:t>
      </w:r>
      <w:r>
        <w:rPr>
          <w:rFonts w:ascii="Times New Roman" w:hAnsi="Times New Roman" w:cs="Times New Roman"/>
          <w:sz w:val="24"/>
          <w:szCs w:val="24"/>
        </w:rPr>
        <w:t xml:space="preserve"> no longer provid</w:t>
      </w:r>
      <w:r>
        <w:rPr>
          <w:rFonts w:ascii="Times New Roman" w:hAnsi="Times New Roman" w:cs="Times New Roman"/>
          <w:sz w:val="24"/>
          <w:szCs w:val="24"/>
          <w:highlight w:val="yellow"/>
        </w:rPr>
        <w:t>e</w:t>
      </w:r>
      <w:r>
        <w:rPr>
          <w:rFonts w:ascii="Times New Roman" w:hAnsi="Times New Roman" w:cs="Times New Roman"/>
          <w:sz w:val="24"/>
          <w:szCs w:val="24"/>
        </w:rPr>
        <w:t xml:space="preserve"> a satisfactory charge for one </w:t>
      </w:r>
      <w:r>
        <w:rPr>
          <w:rFonts w:ascii="Times New Roman" w:hAnsi="Times New Roman" w:cs="Times New Roman"/>
          <w:sz w:val="24"/>
          <w:szCs w:val="24"/>
          <w:highlight w:val="yellow"/>
        </w:rPr>
        <w:t>applicatio</w:t>
      </w:r>
      <w:r>
        <w:rPr>
          <w:rFonts w:ascii="Times New Roman" w:hAnsi="Times New Roman" w:cs="Times New Roman"/>
          <w:sz w:val="24"/>
          <w:szCs w:val="24"/>
        </w:rPr>
        <w:t xml:space="preserve">n are sold for less demanding tasks, while informal “refurbishment” is carried out by cleaning the plates or replacing the electrolyte. This can be desirable </w:t>
      </w:r>
      <w:r>
        <w:rPr>
          <w:rFonts w:ascii="Times New Roman" w:hAnsi="Times New Roman" w:cs="Times New Roman"/>
          <w:sz w:val="24"/>
          <w:szCs w:val="24"/>
          <w:highlight w:val="yellow"/>
        </w:rPr>
        <w:t>because i</w:t>
      </w:r>
      <w:r>
        <w:rPr>
          <w:rFonts w:ascii="Times New Roman" w:hAnsi="Times New Roman" w:cs="Times New Roman"/>
          <w:sz w:val="24"/>
          <w:szCs w:val="24"/>
        </w:rPr>
        <w:t>t extend</w:t>
      </w:r>
      <w:r>
        <w:rPr>
          <w:rFonts w:ascii="Times New Roman" w:hAnsi="Times New Roman" w:cs="Times New Roman"/>
          <w:sz w:val="24"/>
          <w:szCs w:val="24"/>
          <w:highlight w:val="yellow"/>
        </w:rPr>
        <w:t>s</w:t>
      </w:r>
      <w:r>
        <w:rPr>
          <w:rFonts w:ascii="Times New Roman" w:hAnsi="Times New Roman" w:cs="Times New Roman"/>
          <w:sz w:val="24"/>
          <w:szCs w:val="24"/>
        </w:rPr>
        <w:t xml:space="preserve"> useful life, but it makes </w:t>
      </w:r>
      <w:r>
        <w:rPr>
          <w:rFonts w:ascii="Times New Roman" w:hAnsi="Times New Roman" w:cs="Times New Roman"/>
          <w:sz w:val="24"/>
          <w:szCs w:val="24"/>
          <w:highlight w:val="yellow"/>
        </w:rPr>
        <w:t>eventual end-of-life traceabil</w:t>
      </w:r>
      <w:r>
        <w:rPr>
          <w:rFonts w:ascii="Times New Roman" w:hAnsi="Times New Roman" w:cs="Times New Roman"/>
          <w:sz w:val="24"/>
          <w:szCs w:val="24"/>
        </w:rPr>
        <w:t>it</w:t>
      </w:r>
      <w:r>
        <w:rPr>
          <w:rFonts w:ascii="Times New Roman" w:hAnsi="Times New Roman" w:cs="Times New Roman"/>
          <w:sz w:val="24"/>
          <w:szCs w:val="24"/>
          <w:highlight w:val="yellow"/>
        </w:rPr>
        <w:t>y</w:t>
      </w:r>
      <w:r>
        <w:rPr>
          <w:rFonts w:ascii="Times New Roman" w:hAnsi="Times New Roman" w:cs="Times New Roman"/>
          <w:sz w:val="24"/>
          <w:szCs w:val="24"/>
        </w:rPr>
        <w:t xml:space="preserve"> more difficult.</w:t>
      </w:r>
    </w:p>
    <w:p w14:paraId="733BA393"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The specific route taken by solar batteries has not been recorded. It is a reasonable inference, ho</w:t>
      </w:r>
      <w:r>
        <w:rPr>
          <w:rFonts w:ascii="Times New Roman" w:hAnsi="Times New Roman" w:cs="Times New Roman"/>
          <w:sz w:val="24"/>
          <w:szCs w:val="24"/>
          <w:highlight w:val="yellow"/>
        </w:rPr>
        <w:t>wever</w:t>
      </w:r>
      <w:r>
        <w:rPr>
          <w:rFonts w:ascii="Times New Roman" w:hAnsi="Times New Roman" w:cs="Times New Roman"/>
          <w:sz w:val="24"/>
          <w:szCs w:val="24"/>
        </w:rPr>
        <w:t>, because there is no separate solar</w:t>
      </w:r>
      <w:r>
        <w:rPr>
          <w:rFonts w:ascii="Times New Roman" w:hAnsi="Times New Roman" w:cs="Times New Roman"/>
          <w:sz w:val="24"/>
          <w:szCs w:val="24"/>
          <w:highlight w:val="yellow"/>
        </w:rPr>
        <w:t>-</w:t>
      </w:r>
      <w:r>
        <w:rPr>
          <w:rFonts w:ascii="Times New Roman" w:hAnsi="Times New Roman" w:cs="Times New Roman"/>
          <w:sz w:val="24"/>
          <w:szCs w:val="24"/>
        </w:rPr>
        <w:t>battery collection system in Nigeria, no labe</w:t>
      </w:r>
      <w:r>
        <w:rPr>
          <w:rFonts w:ascii="Times New Roman" w:hAnsi="Times New Roman" w:cs="Times New Roman"/>
          <w:sz w:val="24"/>
          <w:szCs w:val="24"/>
          <w:highlight w:val="yellow"/>
        </w:rPr>
        <w:t>l</w:t>
      </w:r>
      <w:r>
        <w:rPr>
          <w:rFonts w:ascii="Times New Roman" w:hAnsi="Times New Roman" w:cs="Times New Roman"/>
          <w:sz w:val="24"/>
          <w:szCs w:val="24"/>
        </w:rPr>
        <w:t xml:space="preserve">ling to differentiate a solar battery from an automotive battery at the point of </w:t>
      </w:r>
      <w:r>
        <w:rPr>
          <w:rFonts w:ascii="Times New Roman" w:hAnsi="Times New Roman" w:cs="Times New Roman"/>
          <w:sz w:val="24"/>
          <w:szCs w:val="24"/>
          <w:highlight w:val="yellow"/>
        </w:rPr>
        <w:t xml:space="preserve">scrap </w:t>
      </w:r>
      <w:r>
        <w:rPr>
          <w:rFonts w:ascii="Times New Roman" w:hAnsi="Times New Roman" w:cs="Times New Roman"/>
          <w:sz w:val="24"/>
          <w:szCs w:val="24"/>
        </w:rPr>
        <w:t>purchase, and no economic reason for a collector to distin</w:t>
      </w:r>
      <w:r>
        <w:rPr>
          <w:rFonts w:ascii="Times New Roman" w:hAnsi="Times New Roman" w:cs="Times New Roman"/>
          <w:sz w:val="24"/>
          <w:szCs w:val="24"/>
          <w:highlight w:val="yellow"/>
        </w:rPr>
        <w:t>gu</w:t>
      </w:r>
      <w:r>
        <w:rPr>
          <w:rFonts w:ascii="Times New Roman" w:hAnsi="Times New Roman" w:cs="Times New Roman"/>
          <w:sz w:val="24"/>
          <w:szCs w:val="24"/>
        </w:rPr>
        <w:t>i</w:t>
      </w:r>
      <w:r>
        <w:rPr>
          <w:rFonts w:ascii="Times New Roman" w:hAnsi="Times New Roman" w:cs="Times New Roman"/>
          <w:sz w:val="24"/>
          <w:szCs w:val="24"/>
          <w:highlight w:val="yellow"/>
        </w:rPr>
        <w:t>sh</w:t>
      </w:r>
      <w:r>
        <w:rPr>
          <w:rFonts w:ascii="Times New Roman" w:hAnsi="Times New Roman" w:cs="Times New Roman"/>
          <w:sz w:val="24"/>
          <w:szCs w:val="24"/>
        </w:rPr>
        <w:t xml:space="preserve"> between the two. Solar batteries a</w:t>
      </w:r>
      <w:r>
        <w:rPr>
          <w:rFonts w:ascii="Times New Roman" w:hAnsi="Times New Roman" w:cs="Times New Roman"/>
          <w:sz w:val="24"/>
          <w:szCs w:val="24"/>
          <w:highlight w:val="yellow"/>
        </w:rPr>
        <w:t>re therefo</w:t>
      </w:r>
      <w:r>
        <w:rPr>
          <w:rFonts w:ascii="Times New Roman" w:hAnsi="Times New Roman" w:cs="Times New Roman"/>
          <w:sz w:val="24"/>
          <w:szCs w:val="24"/>
        </w:rPr>
        <w:t xml:space="preserve">re added to the automotive ULAB stream </w:t>
      </w:r>
      <w:r>
        <w:rPr>
          <w:rFonts w:ascii="Times New Roman" w:hAnsi="Times New Roman" w:cs="Times New Roman"/>
          <w:sz w:val="24"/>
          <w:szCs w:val="24"/>
          <w:highlight w:val="yellow"/>
        </w:rPr>
        <w:t>bec</w:t>
      </w:r>
      <w:r>
        <w:rPr>
          <w:rFonts w:ascii="Times New Roman" w:hAnsi="Times New Roman" w:cs="Times New Roman"/>
          <w:sz w:val="24"/>
          <w:szCs w:val="24"/>
        </w:rPr>
        <w:t>a</w:t>
      </w:r>
      <w:r>
        <w:rPr>
          <w:rFonts w:ascii="Times New Roman" w:hAnsi="Times New Roman" w:cs="Times New Roman"/>
          <w:sz w:val="24"/>
          <w:szCs w:val="24"/>
          <w:highlight w:val="yellow"/>
        </w:rPr>
        <w:t>u</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there is only one stream available to them.</w:t>
      </w:r>
    </w:p>
    <w:p w14:paraId="51FF24AE" w14:textId="77777777" w:rsidR="00DD2AAA" w:rsidRPr="00A322A9" w:rsidRDefault="00DD2AAA" w:rsidP="00A322A9">
      <w:pPr>
        <w:keepNext/>
        <w:spacing w:line="360" w:lineRule="auto"/>
        <w:rPr>
          <w:rFonts w:ascii="Times New Roman" w:hAnsi="Times New Roman" w:cs="Times New Roman"/>
          <w:b/>
          <w:bCs/>
          <w:sz w:val="28"/>
          <w:szCs w:val="28"/>
        </w:rPr>
      </w:pPr>
      <w:r w:rsidRPr="00A322A9">
        <w:rPr>
          <w:rFonts w:ascii="Times New Roman" w:hAnsi="Times New Roman" w:cs="Times New Roman"/>
          <w:b/>
          <w:bCs/>
          <w:sz w:val="28"/>
          <w:szCs w:val="28"/>
        </w:rPr>
        <w:t>4. Environmental Contamination and Exposure Pathways</w:t>
      </w:r>
    </w:p>
    <w:p w14:paraId="442EFECD" w14:textId="77777777" w:rsidR="005C02B2" w:rsidRPr="00A322A9" w:rsidRDefault="005C02B2" w:rsidP="00A322A9">
      <w:pPr>
        <w:spacing w:line="360" w:lineRule="auto"/>
        <w:rPr>
          <w:rFonts w:ascii="Times New Roman" w:hAnsi="Times New Roman" w:cs="Times New Roman"/>
          <w:sz w:val="24"/>
          <w:szCs w:val="24"/>
        </w:rPr>
      </w:pPr>
    </w:p>
    <w:p w14:paraId="59F1E546" w14:textId="77777777" w:rsidR="005C02B2" w:rsidRPr="00A322A9" w:rsidRDefault="005C02B2" w:rsidP="00A322A9">
      <w:pPr>
        <w:spacing w:line="360" w:lineRule="auto"/>
        <w:rPr>
          <w:rFonts w:ascii="Times New Roman" w:hAnsi="Times New Roman" w:cs="Times New Roman"/>
          <w:sz w:val="24"/>
          <w:szCs w:val="24"/>
        </w:rPr>
      </w:pPr>
      <w:r w:rsidRPr="00A322A9">
        <w:rPr>
          <w:rFonts w:ascii="Times New Roman" w:hAnsi="Times New Roman" w:cs="Times New Roman"/>
          <w:noProof/>
          <w:sz w:val="24"/>
          <w:szCs w:val="24"/>
        </w:rPr>
        <w:lastRenderedPageBreak/>
        <w:drawing>
          <wp:inline distT="0" distB="0" distL="0" distR="0" wp14:anchorId="511F8195" wp14:editId="740B53A4">
            <wp:extent cx="5943600" cy="39008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00805"/>
                    </a:xfrm>
                    <a:prstGeom prst="rect">
                      <a:avLst/>
                    </a:prstGeom>
                  </pic:spPr>
                </pic:pic>
              </a:graphicData>
            </a:graphic>
          </wp:inline>
        </w:drawing>
      </w:r>
    </w:p>
    <w:p w14:paraId="2FF5905D" w14:textId="77777777" w:rsidR="0022496C" w:rsidRPr="00A322A9" w:rsidRDefault="0022496C" w:rsidP="00A322A9">
      <w:pPr>
        <w:pStyle w:val="pdq2pgselectionanchorcontainer"/>
        <w:spacing w:line="360" w:lineRule="auto"/>
      </w:pPr>
      <w:r w:rsidRPr="00A322A9">
        <w:rPr>
          <w:rStyle w:val="Strong"/>
        </w:rPr>
        <w:t xml:space="preserve">Figure </w:t>
      </w:r>
      <w:r w:rsidR="000E5810" w:rsidRPr="00A322A9">
        <w:rPr>
          <w:rStyle w:val="Strong"/>
        </w:rPr>
        <w:t>1</w:t>
      </w:r>
      <w:r w:rsidRPr="00A322A9">
        <w:rPr>
          <w:rStyle w:val="Strong"/>
        </w:rPr>
        <w:t>. Lead-acid battery anatomy, hazardous releases and exposure pathways</w:t>
      </w:r>
    </w:p>
    <w:p w14:paraId="7AB002C5" w14:textId="77777777" w:rsidR="0022496C" w:rsidRPr="00A322A9" w:rsidRDefault="0022496C" w:rsidP="00A322A9">
      <w:pPr>
        <w:spacing w:line="360" w:lineRule="auto"/>
        <w:rPr>
          <w:rFonts w:ascii="Times New Roman" w:hAnsi="Times New Roman" w:cs="Times New Roman"/>
          <w:sz w:val="24"/>
          <w:szCs w:val="24"/>
        </w:rPr>
      </w:pPr>
    </w:p>
    <w:p w14:paraId="4D67283E" w14:textId="77777777" w:rsidR="0022496C" w:rsidRPr="00A322A9" w:rsidRDefault="0022496C" w:rsidP="00A322A9">
      <w:pPr>
        <w:spacing w:line="360" w:lineRule="auto"/>
        <w:rPr>
          <w:rFonts w:ascii="Times New Roman" w:hAnsi="Times New Roman" w:cs="Times New Roman"/>
          <w:sz w:val="24"/>
          <w:szCs w:val="24"/>
        </w:rPr>
      </w:pPr>
    </w:p>
    <w:p w14:paraId="097FA2ED" w14:textId="77777777" w:rsidR="006078DC" w:rsidRDefault="00000000">
      <w:pPr>
        <w:spacing w:after="0" w:line="360" w:lineRule="auto"/>
      </w:pPr>
      <w:r>
        <w:rPr>
          <w:rFonts w:ascii="Times New Roman" w:hAnsi="Times New Roman"/>
          <w:sz w:val="24"/>
        </w:rPr>
        <w:t>Used lead-acid battery recycling can release lead into the environment at several stages, including battery breaking, electrolyte drainage, separation and handling of lead-containing components, smelting, refining, and disposal of slag and other residues. The World Health Organization identifies ULAB recycling as an important source of environmental lead contamination and human exposure, with releases occurring as contaminated dust, particulate matter, fumes, wastewater and solid residues (World Health Organization, 2017). Figure 1 summari</w:t>
      </w:r>
      <w:r>
        <w:rPr>
          <w:rFonts w:ascii="Times New Roman" w:hAnsi="Times New Roman"/>
          <w:sz w:val="24"/>
          <w:highlight w:val="yellow"/>
        </w:rPr>
        <w:t>s</w:t>
      </w:r>
      <w:r>
        <w:rPr>
          <w:rFonts w:ascii="Times New Roman" w:hAnsi="Times New Roman"/>
          <w:sz w:val="24"/>
        </w:rPr>
        <w:t>es the principal release and exposure pathways relevant to the Nigerian ULAB stream.</w:t>
      </w:r>
    </w:p>
    <w:p w14:paraId="009A0DC2" w14:textId="77777777" w:rsidR="006078DC" w:rsidRDefault="00000000">
      <w:pPr>
        <w:spacing w:after="0" w:line="360" w:lineRule="auto"/>
      </w:pPr>
      <w:r>
        <w:rPr>
          <w:rFonts w:ascii="Times New Roman" w:hAnsi="Times New Roman"/>
          <w:b/>
          <w:sz w:val="24"/>
        </w:rPr>
        <w:t>4.1 Release Mechanisms During Handling and Processing</w:t>
      </w:r>
    </w:p>
    <w:p w14:paraId="310E6CAC" w14:textId="77777777" w:rsidR="006078DC" w:rsidRDefault="00000000">
      <w:pPr>
        <w:spacing w:after="0" w:line="360" w:lineRule="auto"/>
      </w:pPr>
      <w:r>
        <w:rPr>
          <w:rFonts w:ascii="Times New Roman" w:hAnsi="Times New Roman"/>
          <w:sz w:val="24"/>
        </w:rPr>
        <w:t>Physical or mechanical breaking of lead-acid batteries can damage the casing and expose lead-containing plates, active material and sul</w:t>
      </w:r>
      <w:r>
        <w:rPr>
          <w:rFonts w:ascii="Times New Roman" w:hAnsi="Times New Roman"/>
          <w:sz w:val="24"/>
          <w:highlight w:val="yellow"/>
        </w:rPr>
        <w:t>ph</w:t>
      </w:r>
      <w:r>
        <w:rPr>
          <w:rFonts w:ascii="Times New Roman" w:hAnsi="Times New Roman"/>
          <w:sz w:val="24"/>
        </w:rPr>
        <w:t xml:space="preserve">uric-acid electrolyte. Manual battery breaking and uncontrolled electrolyte drainage can contaminate work surfaces, soil and water, while </w:t>
      </w:r>
      <w:r>
        <w:rPr>
          <w:rFonts w:ascii="Times New Roman" w:hAnsi="Times New Roman"/>
          <w:sz w:val="24"/>
        </w:rPr>
        <w:lastRenderedPageBreak/>
        <w:t>movement and handling of lead-bearing components can generate contaminated dust. High-temperature smelting and refining can a</w:t>
      </w:r>
      <w:r>
        <w:rPr>
          <w:rFonts w:ascii="Times New Roman" w:hAnsi="Times New Roman"/>
          <w:sz w:val="24"/>
          <w:highlight w:val="yellow"/>
        </w:rPr>
        <w:t>ls</w:t>
      </w:r>
      <w:r>
        <w:rPr>
          <w:rFonts w:ascii="Times New Roman" w:hAnsi="Times New Roman"/>
          <w:sz w:val="24"/>
        </w:rPr>
        <w:t>o release lead-containing fumes and fine particulate matter if effective capture and filtration systems are absent (World Health Organization, 2017).</w:t>
      </w:r>
    </w:p>
    <w:p w14:paraId="116BC7DF" w14:textId="77777777" w:rsidR="006078DC" w:rsidRDefault="00000000">
      <w:pPr>
        <w:spacing w:after="0" w:line="360" w:lineRule="auto"/>
      </w:pPr>
      <w:r>
        <w:rPr>
          <w:rFonts w:ascii="Times New Roman" w:hAnsi="Times New Roman"/>
          <w:sz w:val="24"/>
        </w:rPr>
        <w:t>These pathways are particularly relevant where recycling operations lack adequate engineering controls. Recent assessments of ULAB recycling in Ghana, Nigeria and Tanzania identify manual or semi-automated battery breaking, uncontrolled electrolyte drainage, insufficient capture of furnace and refining fumes, poor housekeeping and dust control, unsafe handling of filter dust, and inadequate management of lead-bearing slags as important environmental and occupational deficiencies (Manhart &amp; Adjei, 2026). The evidence describes the wider African ULAB recycling system and does not establish that the batteries involved originated from off-grid solar installations.</w:t>
      </w:r>
    </w:p>
    <w:p w14:paraId="6EDF7CA1" w14:textId="77777777" w:rsidR="006078DC" w:rsidRDefault="00000000">
      <w:pPr>
        <w:spacing w:after="0" w:line="360" w:lineRule="auto"/>
      </w:pPr>
      <w:r>
        <w:rPr>
          <w:rFonts w:ascii="Times New Roman" w:hAnsi="Times New Roman"/>
          <w:b/>
          <w:sz w:val="24"/>
        </w:rPr>
        <w:t>4.2 Soil Contamination</w:t>
      </w:r>
    </w:p>
    <w:p w14:paraId="0EBD210B" w14:textId="77777777" w:rsidR="006078DC" w:rsidRDefault="00000000">
      <w:pPr>
        <w:spacing w:after="0" w:line="360" w:lineRule="auto"/>
      </w:pPr>
      <w:r>
        <w:rPr>
          <w:rFonts w:ascii="Times New Roman" w:hAnsi="Times New Roman"/>
          <w:sz w:val="24"/>
        </w:rPr>
        <w:t>Soil is an important sink for lead released during battery recycling. Lead-bearing dust and particles generated during dismantling and smelting can settle on surrounding land, while spills, discarded battery components, slag and contaminated wastewater can introduce lead directly into soil. In a study of formal battery manufacturing and recycling facilities in seven African countries, Gottesfeld et al. (2018) analysed 118 soil samples from 15 recycling plants and one battery-manufacturing facility. Lead concentrations ranged from below 40 mg/kg to 140,000 mg/kg, and the mean concentration in soil outside plant boundaries was approximately 2,600 mg/kg.</w:t>
      </w:r>
    </w:p>
    <w:p w14:paraId="08A95820" w14:textId="77777777" w:rsidR="006078DC" w:rsidRDefault="00000000">
      <w:pPr>
        <w:spacing w:after="0" w:line="360" w:lineRule="auto"/>
      </w:pPr>
      <w:r>
        <w:rPr>
          <w:rFonts w:ascii="Times New Roman" w:hAnsi="Times New Roman"/>
          <w:sz w:val="24"/>
        </w:rPr>
        <w:t>The Nigerian samples in that study were collected from facilities in Lagos and Ogun States. Concentrations reached 29,000 mg/kg outside facilities and 140,000 mg/kg inside facilities (Gottesfeld et al., 2018). These measurements demonstrate substantial contamination around Nigerian lead-battery processing sites, but the original applications of the batteries were not recorded. They therefore provide evidence about the ULAB waste stream into which solar batteries may enter, rather than evidence that off-grid solar batteries caused the measured contamination.</w:t>
      </w:r>
    </w:p>
    <w:p w14:paraId="63A66EC8" w14:textId="77777777" w:rsidR="006078DC" w:rsidRDefault="00000000">
      <w:pPr>
        <w:spacing w:after="0" w:line="360" w:lineRule="auto"/>
      </w:pPr>
      <w:r>
        <w:rPr>
          <w:rFonts w:ascii="Times New Roman" w:hAnsi="Times New Roman"/>
          <w:b/>
          <w:sz w:val="24"/>
        </w:rPr>
        <w:t>4.3 Surface Water and Groundwater Contamination</w:t>
      </w:r>
    </w:p>
    <w:p w14:paraId="02F4E07A" w14:textId="77777777" w:rsidR="006078DC" w:rsidRDefault="00000000">
      <w:pPr>
        <w:spacing w:after="0" w:line="360" w:lineRule="auto"/>
      </w:pPr>
      <w:r>
        <w:rPr>
          <w:rFonts w:ascii="Times New Roman" w:hAnsi="Times New Roman"/>
          <w:sz w:val="24"/>
        </w:rPr>
        <w:t>Battery recycling can contaminate water when sul</w:t>
      </w:r>
      <w:r>
        <w:rPr>
          <w:rFonts w:ascii="Times New Roman" w:hAnsi="Times New Roman"/>
          <w:sz w:val="24"/>
          <w:highlight w:val="yellow"/>
        </w:rPr>
        <w:t>ph</w:t>
      </w:r>
      <w:r>
        <w:rPr>
          <w:rFonts w:ascii="Times New Roman" w:hAnsi="Times New Roman"/>
          <w:sz w:val="24"/>
        </w:rPr>
        <w:t>uric-acid electrolyte, contaminated process water and lead-bearing residues are discharged onto the ground or into drainage systems. Rainfall and surface runoff can mobili</w:t>
      </w:r>
      <w:r>
        <w:rPr>
          <w:rFonts w:ascii="Times New Roman" w:hAnsi="Times New Roman"/>
          <w:sz w:val="24"/>
          <w:highlight w:val="yellow"/>
        </w:rPr>
        <w:t>s</w:t>
      </w:r>
      <w:r>
        <w:rPr>
          <w:rFonts w:ascii="Times New Roman" w:hAnsi="Times New Roman"/>
          <w:sz w:val="24"/>
        </w:rPr>
        <w:t xml:space="preserve">e contaminants from processing and disposal areas into </w:t>
      </w:r>
      <w:r>
        <w:rPr>
          <w:rFonts w:ascii="Times New Roman" w:hAnsi="Times New Roman"/>
          <w:sz w:val="24"/>
        </w:rPr>
        <w:lastRenderedPageBreak/>
        <w:t>surface water, while infiltration through soil can provide a pathway to groundwater (World Health Organization, 2017).</w:t>
      </w:r>
    </w:p>
    <w:p w14:paraId="0754586E" w14:textId="77777777" w:rsidR="006078DC" w:rsidRDefault="00000000">
      <w:pPr>
        <w:spacing w:after="0" w:line="360" w:lineRule="auto"/>
      </w:pPr>
      <w:r>
        <w:rPr>
          <w:rFonts w:ascii="Times New Roman" w:hAnsi="Times New Roman"/>
          <w:sz w:val="24"/>
        </w:rPr>
        <w:t>Direct Nigerian evidence is available from a ULAB recycling centre in Ibadan. Oloruntoba et al. (2021) analysed water, soil and plant samples around the facility and found that metal concentrations in water exceeded permissible limits at more than half of the sampling locations. Lead concentrations in water and plants exceeded the relevant permissible limits at all sampled locations. The investigators also documented crude battery-breaking practices and discharge of battery acid into the surrounding environment. The study therefore demonstrates plausible pathways from ULAB processing to water contamination and uptake by vegetation, although it did not identify the prior use of the batteries being recycled.</w:t>
      </w:r>
    </w:p>
    <w:p w14:paraId="49D1189A" w14:textId="77777777" w:rsidR="006078DC" w:rsidRDefault="00000000">
      <w:pPr>
        <w:spacing w:after="0" w:line="360" w:lineRule="auto"/>
      </w:pPr>
      <w:r>
        <w:rPr>
          <w:rFonts w:ascii="Times New Roman" w:hAnsi="Times New Roman"/>
          <w:b/>
          <w:sz w:val="24"/>
        </w:rPr>
        <w:t>4.4 Airborne Contamination and Atmospheric Deposition</w:t>
      </w:r>
    </w:p>
    <w:p w14:paraId="75A9B5F5" w14:textId="77777777" w:rsidR="006078DC" w:rsidRDefault="00000000">
      <w:pPr>
        <w:spacing w:after="0" w:line="360" w:lineRule="auto"/>
      </w:pPr>
      <w:r>
        <w:rPr>
          <w:rFonts w:ascii="Times New Roman" w:hAnsi="Times New Roman"/>
          <w:sz w:val="24"/>
        </w:rPr>
        <w:t>Mechanical breaking, handling of lead-bearing components and high-temperature smelting can generate contaminated dust, particles and lead fumes. Workers can inhale these emissions directly, while deposited dust can contaminate skin, clothing, work surfaces and surrounding environments. Contaminated dust carried home on workers</w:t>
      </w:r>
      <w:r>
        <w:rPr>
          <w:rFonts w:ascii="Times New Roman" w:hAnsi="Times New Roman"/>
          <w:sz w:val="24"/>
          <w:highlight w:val="yellow"/>
        </w:rPr>
        <w:t>’</w:t>
      </w:r>
      <w:r>
        <w:rPr>
          <w:rFonts w:ascii="Times New Roman" w:hAnsi="Times New Roman"/>
          <w:sz w:val="24"/>
        </w:rPr>
        <w:t xml:space="preserve"> clothing, footwear, skin or hair can also create a secondary household exposure pathway (World Health Organization, 2017).</w:t>
      </w:r>
    </w:p>
    <w:p w14:paraId="0AB669C0" w14:textId="77777777" w:rsidR="006078DC" w:rsidRDefault="00000000">
      <w:pPr>
        <w:spacing w:after="0" w:line="360" w:lineRule="auto"/>
      </w:pPr>
      <w:r>
        <w:rPr>
          <w:rFonts w:ascii="Times New Roman" w:hAnsi="Times New Roman"/>
          <w:sz w:val="24"/>
        </w:rPr>
        <w:t>Poor control of furnace and refining emissions, inadequate housekeeping and unsafe handling of lead-containing residues have been identified in African ULAB recycling systems, including facilities assessed in Nigeria (Manhart &amp; Adjei, 2026). Once emitted, lead-bearing particles may settle onto soil, buildings, vegetation and surface water or be resuspended as dust. The extensive soil contamination documented around African recycling facilities is consistent with the potential for contamination to extend beyond immediate processing areas, although individual studies do not always identify the specific transport mechanism (Gottesfeld et al., 2018).</w:t>
      </w:r>
    </w:p>
    <w:p w14:paraId="1303940A" w14:textId="77777777" w:rsidR="006078DC" w:rsidRDefault="00000000">
      <w:pPr>
        <w:spacing w:after="0" w:line="360" w:lineRule="auto"/>
      </w:pPr>
      <w:r>
        <w:rPr>
          <w:rFonts w:ascii="Times New Roman" w:hAnsi="Times New Roman"/>
          <w:b/>
          <w:sz w:val="24"/>
        </w:rPr>
        <w:t>4.5 Transfer to Vegetation and the Food Chain</w:t>
      </w:r>
    </w:p>
    <w:p w14:paraId="0B52FA56" w14:textId="77777777" w:rsidR="006078DC" w:rsidRDefault="00000000">
      <w:pPr>
        <w:spacing w:after="0" w:line="360" w:lineRule="auto"/>
      </w:pPr>
      <w:r>
        <w:rPr>
          <w:rFonts w:ascii="Times New Roman" w:hAnsi="Times New Roman"/>
          <w:sz w:val="24"/>
        </w:rPr>
        <w:t>Lead released into soil and water can become available to plants and create a potential dietary exposure pathway. Around the Ibadan ULAB recycling facility, Oloruntoba et al. (2021) reported lead concentrations above permissible limits in sampled plants and a soil-to-</w:t>
      </w:r>
      <w:r>
        <w:rPr>
          <w:rFonts w:ascii="Times New Roman" w:hAnsi="Times New Roman"/>
          <w:i/>
          <w:sz w:val="24"/>
          <w:highlight w:val="yellow"/>
        </w:rPr>
        <w:t>Amaranthus viridis</w:t>
      </w:r>
      <w:r>
        <w:rPr>
          <w:rFonts w:ascii="Times New Roman" w:hAnsi="Times New Roman"/>
          <w:sz w:val="24"/>
        </w:rPr>
        <w:t xml:space="preserve"> transfer factor of 1.92. This is relevant because vegetation grown near contaminated recycling environments may be consumed or used for other household purposes.</w:t>
      </w:r>
    </w:p>
    <w:p w14:paraId="095A5949" w14:textId="77777777" w:rsidR="006078DC" w:rsidRDefault="00000000">
      <w:pPr>
        <w:spacing w:after="0" w:line="360" w:lineRule="auto"/>
      </w:pPr>
      <w:r>
        <w:rPr>
          <w:rFonts w:ascii="Times New Roman" w:hAnsi="Times New Roman"/>
          <w:sz w:val="24"/>
        </w:rPr>
        <w:t xml:space="preserve">More recent evidence from Ogijo, Ogun State, further demonstrates the potential for transfer of battery-waste contaminants into edible plants. Adeleke et al. (2026) analysed edible plants and </w:t>
      </w:r>
      <w:r>
        <w:rPr>
          <w:rFonts w:ascii="Times New Roman" w:hAnsi="Times New Roman"/>
          <w:sz w:val="24"/>
        </w:rPr>
        <w:lastRenderedPageBreak/>
        <w:t>paired soil samples around a battery-recycling site and reported that concentrations of zinc, cadmium, lead, chromium and cobalt in the sampled plant species exceeded the FAO/WHO guideline values applied by the authors in both wet and dry seasons. Bioaccumulation factors for cadmium, lead and zinc exceeded 1.0 in several dry-season cases. As with the Ibadan study, however, the batteries were not traced to off-grid solar installations.</w:t>
      </w:r>
    </w:p>
    <w:p w14:paraId="6A200728" w14:textId="77777777" w:rsidR="006078DC" w:rsidRDefault="00000000">
      <w:pPr>
        <w:spacing w:after="0" w:line="360" w:lineRule="auto"/>
      </w:pPr>
      <w:r>
        <w:rPr>
          <w:rFonts w:ascii="Times New Roman" w:hAnsi="Times New Roman"/>
          <w:b/>
          <w:sz w:val="24"/>
        </w:rPr>
        <w:t>4.6 Relevance to Off-Grid Solar Batteries</w:t>
      </w:r>
    </w:p>
    <w:p w14:paraId="69BF67DD" w14:textId="77777777" w:rsidR="006078DC" w:rsidRDefault="00000000">
      <w:pPr>
        <w:spacing w:after="0" w:line="360" w:lineRule="auto"/>
      </w:pPr>
      <w:r>
        <w:rPr>
          <w:rFonts w:ascii="Times New Roman" w:hAnsi="Times New Roman"/>
          <w:sz w:val="24"/>
        </w:rPr>
        <w:t>Direct Nigerian evidence linking measured environmental contamination specifically to batteries originating from off-grid solar systems remains absent. The closest solar-specific evidence identified in this review comes from Malawi, where Kinally et al. (2024) conducted a life-cycle assessment of informal solar-home-system waste management using data on lead pollution from informal lead-acid battery recycling. Lead-acid batteries were the largest contributor in many environmental impact categories, accounting for 54</w:t>
      </w:r>
      <w:r>
        <w:rPr>
          <w:rFonts w:ascii="Times New Roman" w:hAnsi="Times New Roman"/>
          <w:sz w:val="24"/>
          <w:highlight w:val="yellow"/>
        </w:rPr>
        <w:t>–</w:t>
      </w:r>
      <w:r>
        <w:rPr>
          <w:rFonts w:ascii="Times New Roman" w:hAnsi="Times New Roman"/>
          <w:sz w:val="24"/>
        </w:rPr>
        <w:t>99% of the impacts assessed, with the burden amplified by short battery lifetimes and informal end-of-life practices.</w:t>
      </w:r>
    </w:p>
    <w:p w14:paraId="6F007D6C" w14:textId="77777777" w:rsidR="006078DC" w:rsidRDefault="00000000">
      <w:pPr>
        <w:spacing w:after="0" w:line="360" w:lineRule="auto"/>
      </w:pPr>
      <w:r>
        <w:rPr>
          <w:rFonts w:ascii="Times New Roman" w:hAnsi="Times New Roman"/>
          <w:sz w:val="24"/>
        </w:rPr>
        <w:t>The Malawi findings show that lead-acid batteries originating specifically from off-grid solar systems can generate substantial environmental burdens where end-of-life processing is poorly controlled, but they should not be used as a quantitative estimate of Nigerian contamination. The Nigerian evidence supports a narrower conclusion: lead-acid battery recycling in Nigeria has documented pathways involving contaminated soil, water, dust and vegetation, and solar lead-acid batteries are expected to enter this broader waste stream; however, no identified Nigerian study has traced measured environmental contamination back specifically to batteries originating from off-grid solar installations.</w:t>
      </w:r>
    </w:p>
    <w:p w14:paraId="00D886E8"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5. Public-Health Risks</w:t>
      </w:r>
    </w:p>
    <w:p w14:paraId="0DBC30B3"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Lead is a cumulative</w:t>
      </w:r>
      <w:r>
        <w:rPr>
          <w:rFonts w:ascii="Times New Roman" w:hAnsi="Times New Roman" w:cs="Times New Roman"/>
          <w:sz w:val="24"/>
          <w:szCs w:val="24"/>
          <w:highlight w:val="yellow"/>
        </w:rPr>
        <w:t>, non-threshold</w:t>
      </w:r>
      <w:r>
        <w:rPr>
          <w:rFonts w:ascii="Times New Roman" w:hAnsi="Times New Roman" w:cs="Times New Roman"/>
          <w:sz w:val="24"/>
          <w:szCs w:val="24"/>
        </w:rPr>
        <w:t xml:space="preserve"> toxicant with no identified safe exposure threshold. It adversely a</w:t>
      </w:r>
      <w:r>
        <w:rPr>
          <w:rFonts w:ascii="Times New Roman" w:hAnsi="Times New Roman" w:cs="Times New Roman"/>
          <w:sz w:val="24"/>
          <w:szCs w:val="24"/>
          <w:highlight w:val="yellow"/>
        </w:rPr>
        <w:t>ffe</w:t>
      </w:r>
      <w:r>
        <w:rPr>
          <w:rFonts w:ascii="Times New Roman" w:hAnsi="Times New Roman" w:cs="Times New Roman"/>
          <w:sz w:val="24"/>
          <w:szCs w:val="24"/>
        </w:rPr>
        <w:t>cts the central nervous system, peripheral nervous system, haematopoietic system, kidneys, cardiovascular system and reproductive function (World Health Organization, 202</w:t>
      </w:r>
      <w:r>
        <w:rPr>
          <w:rFonts w:ascii="Times New Roman" w:hAnsi="Times New Roman" w:cs="Times New Roman"/>
          <w:sz w:val="24"/>
          <w:szCs w:val="24"/>
          <w:highlight w:val="yellow"/>
        </w:rPr>
        <w:t>4</w:t>
      </w:r>
      <w:r>
        <w:rPr>
          <w:rFonts w:ascii="Times New Roman" w:hAnsi="Times New Roman" w:cs="Times New Roman"/>
          <w:sz w:val="24"/>
          <w:szCs w:val="24"/>
        </w:rPr>
        <w:t>). In children, neurodevelopmental effects are the primary concern and o</w:t>
      </w:r>
      <w:r>
        <w:rPr>
          <w:rFonts w:ascii="Times New Roman" w:hAnsi="Times New Roman" w:cs="Times New Roman"/>
          <w:sz w:val="24"/>
          <w:szCs w:val="24"/>
          <w:highlight w:val="yellow"/>
        </w:rPr>
        <w:t>cc</w:t>
      </w:r>
      <w:r>
        <w:rPr>
          <w:rFonts w:ascii="Times New Roman" w:hAnsi="Times New Roman" w:cs="Times New Roman"/>
          <w:sz w:val="24"/>
          <w:szCs w:val="24"/>
        </w:rPr>
        <w:t>u</w:t>
      </w:r>
      <w:r>
        <w:rPr>
          <w:rFonts w:ascii="Times New Roman" w:hAnsi="Times New Roman" w:cs="Times New Roman"/>
          <w:sz w:val="24"/>
          <w:szCs w:val="24"/>
          <w:highlight w:val="yellow"/>
        </w:rPr>
        <w:t>r</w:t>
      </w:r>
      <w:r>
        <w:rPr>
          <w:rFonts w:ascii="Times New Roman" w:hAnsi="Times New Roman" w:cs="Times New Roman"/>
          <w:sz w:val="24"/>
          <w:szCs w:val="24"/>
        </w:rPr>
        <w:t xml:space="preserve"> at concentrations that were once </w:t>
      </w:r>
      <w:r>
        <w:rPr>
          <w:rFonts w:ascii="Times New Roman" w:hAnsi="Times New Roman" w:cs="Times New Roman"/>
          <w:sz w:val="24"/>
          <w:szCs w:val="24"/>
          <w:highlight w:val="yellow"/>
        </w:rPr>
        <w:t>c</w:t>
      </w:r>
      <w:r>
        <w:rPr>
          <w:rFonts w:ascii="Times New Roman" w:hAnsi="Times New Roman" w:cs="Times New Roman"/>
          <w:sz w:val="24"/>
          <w:szCs w:val="24"/>
        </w:rPr>
        <w:t>o</w:t>
      </w:r>
      <w:r>
        <w:rPr>
          <w:rFonts w:ascii="Times New Roman" w:hAnsi="Times New Roman" w:cs="Times New Roman"/>
          <w:sz w:val="24"/>
          <w:szCs w:val="24"/>
          <w:highlight w:val="yellow"/>
        </w:rPr>
        <w:t>nsidered</w:t>
      </w:r>
      <w:r>
        <w:rPr>
          <w:rFonts w:ascii="Times New Roman" w:hAnsi="Times New Roman" w:cs="Times New Roman"/>
          <w:sz w:val="24"/>
          <w:szCs w:val="24"/>
        </w:rPr>
        <w:t xml:space="preserve"> </w:t>
      </w:r>
      <w:r>
        <w:rPr>
          <w:rFonts w:ascii="Times New Roman" w:hAnsi="Times New Roman" w:cs="Times New Roman"/>
          <w:sz w:val="24"/>
          <w:szCs w:val="24"/>
          <w:highlight w:val="yellow"/>
        </w:rPr>
        <w:t>“</w:t>
      </w:r>
      <w:r>
        <w:rPr>
          <w:rFonts w:ascii="Times New Roman" w:hAnsi="Times New Roman" w:cs="Times New Roman"/>
          <w:sz w:val="24"/>
          <w:szCs w:val="24"/>
        </w:rPr>
        <w:t>unremarkable</w:t>
      </w:r>
      <w:r>
        <w:rPr>
          <w:rFonts w:ascii="Times New Roman" w:hAnsi="Times New Roman" w:cs="Times New Roman"/>
          <w:sz w:val="24"/>
          <w:szCs w:val="24"/>
          <w:highlight w:val="yellow"/>
        </w:rPr>
        <w:t>”</w:t>
      </w:r>
      <w:r>
        <w:rPr>
          <w:rFonts w:ascii="Times New Roman" w:hAnsi="Times New Roman" w:cs="Times New Roman"/>
          <w:sz w:val="24"/>
          <w:szCs w:val="24"/>
        </w:rPr>
        <w:t xml:space="preserve"> (World Health Organization, 202</w:t>
      </w:r>
      <w:r>
        <w:rPr>
          <w:rFonts w:ascii="Times New Roman" w:hAnsi="Times New Roman" w:cs="Times New Roman"/>
          <w:sz w:val="24"/>
          <w:szCs w:val="24"/>
          <w:highlight w:val="yellow"/>
        </w:rPr>
        <w:t>4</w:t>
      </w:r>
      <w:r>
        <w:rPr>
          <w:rFonts w:ascii="Times New Roman" w:hAnsi="Times New Roman" w:cs="Times New Roman"/>
          <w:sz w:val="24"/>
          <w:szCs w:val="24"/>
        </w:rPr>
        <w:t xml:space="preserve">). This is level 4 evidence and is </w:t>
      </w:r>
      <w:r>
        <w:rPr>
          <w:rFonts w:ascii="Times New Roman" w:hAnsi="Times New Roman" w:cs="Times New Roman"/>
          <w:sz w:val="24"/>
          <w:szCs w:val="24"/>
          <w:highlight w:val="yellow"/>
        </w:rPr>
        <w:t>gener</w:t>
      </w:r>
      <w:r>
        <w:rPr>
          <w:rFonts w:ascii="Times New Roman" w:hAnsi="Times New Roman" w:cs="Times New Roman"/>
          <w:sz w:val="24"/>
          <w:szCs w:val="24"/>
        </w:rPr>
        <w:t>a</w:t>
      </w:r>
      <w:r>
        <w:rPr>
          <w:rFonts w:ascii="Times New Roman" w:hAnsi="Times New Roman" w:cs="Times New Roman"/>
          <w:sz w:val="24"/>
          <w:szCs w:val="24"/>
          <w:highlight w:val="yellow"/>
        </w:rPr>
        <w:t>lly acc</w:t>
      </w:r>
      <w:r>
        <w:rPr>
          <w:rFonts w:ascii="Times New Roman" w:hAnsi="Times New Roman" w:cs="Times New Roman"/>
          <w:sz w:val="24"/>
          <w:szCs w:val="24"/>
        </w:rPr>
        <w:t>e</w:t>
      </w:r>
      <w:r>
        <w:rPr>
          <w:rFonts w:ascii="Times New Roman" w:hAnsi="Times New Roman" w:cs="Times New Roman"/>
          <w:sz w:val="24"/>
          <w:szCs w:val="24"/>
          <w:highlight w:val="yellow"/>
        </w:rPr>
        <w:t>pt</w:t>
      </w:r>
      <w:r>
        <w:rPr>
          <w:rFonts w:ascii="Times New Roman" w:hAnsi="Times New Roman" w:cs="Times New Roman"/>
          <w:sz w:val="24"/>
          <w:szCs w:val="24"/>
        </w:rPr>
        <w:t>ed.</w:t>
      </w:r>
    </w:p>
    <w:p w14:paraId="07A50246"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highlight w:val="yellow"/>
        </w:rPr>
        <w:t>O</w:t>
      </w:r>
      <w:r>
        <w:rPr>
          <w:rFonts w:ascii="Times New Roman" w:hAnsi="Times New Roman" w:cs="Times New Roman"/>
          <w:sz w:val="24"/>
          <w:szCs w:val="24"/>
        </w:rPr>
        <w:t>ccupation</w:t>
      </w:r>
      <w:r>
        <w:rPr>
          <w:rFonts w:ascii="Times New Roman" w:hAnsi="Times New Roman" w:cs="Times New Roman"/>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ev</w:t>
      </w:r>
      <w:r>
        <w:rPr>
          <w:rFonts w:ascii="Times New Roman" w:hAnsi="Times New Roman" w:cs="Times New Roman"/>
          <w:sz w:val="24"/>
          <w:szCs w:val="24"/>
        </w:rPr>
        <w:t>i</w:t>
      </w:r>
      <w:r>
        <w:rPr>
          <w:rFonts w:ascii="Times New Roman" w:hAnsi="Times New Roman" w:cs="Times New Roman"/>
          <w:sz w:val="24"/>
          <w:szCs w:val="24"/>
          <w:highlight w:val="yellow"/>
        </w:rPr>
        <w:t>de</w:t>
      </w:r>
      <w:r>
        <w:rPr>
          <w:rFonts w:ascii="Times New Roman" w:hAnsi="Times New Roman" w:cs="Times New Roman"/>
          <w:sz w:val="24"/>
          <w:szCs w:val="24"/>
        </w:rPr>
        <w:t>n</w:t>
      </w:r>
      <w:r>
        <w:rPr>
          <w:rFonts w:ascii="Times New Roman" w:hAnsi="Times New Roman" w:cs="Times New Roman"/>
          <w:sz w:val="24"/>
          <w:szCs w:val="24"/>
          <w:highlight w:val="yellow"/>
        </w:rPr>
        <w:t>ce from</w:t>
      </w:r>
      <w:r>
        <w:rPr>
          <w:rFonts w:ascii="Times New Roman" w:hAnsi="Times New Roman" w:cs="Times New Roman"/>
          <w:sz w:val="24"/>
          <w:szCs w:val="24"/>
        </w:rPr>
        <w:t xml:space="preserve"> Nigeria is direct and recent. </w:t>
      </w:r>
      <w:r>
        <w:rPr>
          <w:rFonts w:ascii="Times New Roman" w:hAnsi="Times New Roman" w:cs="Times New Roman"/>
        </w:rPr>
        <w:t xml:space="preserve">Sani-Gwarzo et al. </w:t>
      </w:r>
      <w:r>
        <w:rPr>
          <w:rFonts w:ascii="Times New Roman" w:hAnsi="Times New Roman" w:cs="Times New Roman"/>
          <w:sz w:val="24"/>
          <w:szCs w:val="24"/>
          <w:highlight w:val="yellow"/>
        </w:rPr>
        <w:t>(2025)</w:t>
      </w:r>
      <w:r>
        <w:rPr>
          <w:rFonts w:ascii="Times New Roman" w:hAnsi="Times New Roman" w:cs="Times New Roman"/>
          <w:sz w:val="24"/>
          <w:szCs w:val="24"/>
        </w:rPr>
        <w:t xml:space="preserve"> </w:t>
      </w:r>
      <w:r>
        <w:rPr>
          <w:rFonts w:ascii="Times New Roman" w:hAnsi="Times New Roman" w:cs="Times New Roman"/>
          <w:sz w:val="24"/>
          <w:szCs w:val="24"/>
          <w:highlight w:val="yellow"/>
        </w:rPr>
        <w:t>con</w:t>
      </w:r>
      <w:r>
        <w:rPr>
          <w:rFonts w:ascii="Times New Roman" w:hAnsi="Times New Roman" w:cs="Times New Roman"/>
          <w:sz w:val="24"/>
          <w:szCs w:val="24"/>
        </w:rPr>
        <w:t>d</w:t>
      </w:r>
      <w:r>
        <w:rPr>
          <w:rFonts w:ascii="Times New Roman" w:hAnsi="Times New Roman" w:cs="Times New Roman"/>
          <w:sz w:val="24"/>
          <w:szCs w:val="24"/>
          <w:highlight w:val="yellow"/>
        </w:rPr>
        <w:t>ucte</w:t>
      </w:r>
      <w:r>
        <w:rPr>
          <w:rFonts w:ascii="Times New Roman" w:hAnsi="Times New Roman" w:cs="Times New Roman"/>
          <w:sz w:val="24"/>
          <w:szCs w:val="24"/>
        </w:rPr>
        <w:t>d a cross</w:t>
      </w:r>
      <w:r>
        <w:rPr>
          <w:rFonts w:ascii="Times New Roman" w:hAnsi="Times New Roman" w:cs="Times New Roman"/>
          <w:sz w:val="24"/>
          <w:szCs w:val="24"/>
          <w:highlight w:val="yellow"/>
        </w:rPr>
        <w:t>-</w:t>
      </w:r>
      <w:r>
        <w:rPr>
          <w:rFonts w:ascii="Times New Roman" w:hAnsi="Times New Roman" w:cs="Times New Roman"/>
          <w:sz w:val="24"/>
          <w:szCs w:val="24"/>
        </w:rPr>
        <w:t xml:space="preserve">sectional comparison </w:t>
      </w:r>
      <w:r>
        <w:rPr>
          <w:rFonts w:ascii="Times New Roman" w:hAnsi="Times New Roman" w:cs="Times New Roman"/>
          <w:sz w:val="24"/>
          <w:szCs w:val="24"/>
          <w:highlight w:val="yellow"/>
        </w:rPr>
        <w:t>of</w:t>
      </w:r>
      <w:r>
        <w:rPr>
          <w:rFonts w:ascii="Times New Roman" w:hAnsi="Times New Roman" w:cs="Times New Roman"/>
          <w:sz w:val="24"/>
          <w:szCs w:val="24"/>
        </w:rPr>
        <w:t xml:space="preserve"> 98 informal battery</w:t>
      </w:r>
      <w:r>
        <w:rPr>
          <w:rFonts w:ascii="Times New Roman" w:hAnsi="Times New Roman" w:cs="Times New Roman"/>
          <w:sz w:val="24"/>
          <w:szCs w:val="24"/>
          <w:highlight w:val="yellow"/>
        </w:rPr>
        <w:t>-</w:t>
      </w:r>
      <w:r>
        <w:rPr>
          <w:rFonts w:ascii="Times New Roman" w:hAnsi="Times New Roman" w:cs="Times New Roman"/>
          <w:sz w:val="24"/>
          <w:szCs w:val="24"/>
        </w:rPr>
        <w:t xml:space="preserve">recycling workers and 98 healthcare-worker </w:t>
      </w:r>
      <w:r>
        <w:rPr>
          <w:rFonts w:ascii="Times New Roman" w:hAnsi="Times New Roman" w:cs="Times New Roman"/>
          <w:sz w:val="24"/>
          <w:szCs w:val="24"/>
        </w:rPr>
        <w:lastRenderedPageBreak/>
        <w:t xml:space="preserve">controls of the same age and </w:t>
      </w:r>
      <w:r>
        <w:rPr>
          <w:rFonts w:ascii="Times New Roman" w:hAnsi="Times New Roman" w:cs="Times New Roman"/>
          <w:sz w:val="24"/>
          <w:szCs w:val="24"/>
          <w:highlight w:val="yellow"/>
        </w:rPr>
        <w:t xml:space="preserve">with </w:t>
      </w:r>
      <w:r>
        <w:rPr>
          <w:rFonts w:ascii="Times New Roman" w:hAnsi="Times New Roman" w:cs="Times New Roman"/>
          <w:sz w:val="24"/>
          <w:szCs w:val="24"/>
        </w:rPr>
        <w:t>a sex ratio of 1:1 in northern Nigeria. The mean blood lead levels of recycling workers and control</w:t>
      </w:r>
      <w:r>
        <w:rPr>
          <w:rFonts w:ascii="Times New Roman" w:hAnsi="Times New Roman" w:cs="Times New Roman"/>
          <w:sz w:val="24"/>
          <w:szCs w:val="24"/>
          <w:highlight w:val="yellow"/>
        </w:rPr>
        <w:t>s</w:t>
      </w:r>
      <w:r>
        <w:rPr>
          <w:rFonts w:ascii="Times New Roman" w:hAnsi="Times New Roman" w:cs="Times New Roman"/>
          <w:sz w:val="24"/>
          <w:szCs w:val="24"/>
        </w:rPr>
        <w:t xml:space="preserve"> were 40.17</w:t>
      </w:r>
      <w:r>
        <w:rPr>
          <w:rFonts w:ascii="Times New Roman" w:hAnsi="Times New Roman" w:cs="Times New Roman"/>
          <w:sz w:val="24"/>
          <w:szCs w:val="24"/>
          <w:highlight w:val="yellow"/>
        </w:rPr>
        <w:t xml:space="preserve"> </w:t>
      </w:r>
      <w:r>
        <w:rPr>
          <w:rFonts w:ascii="Times New Roman" w:hAnsi="Times New Roman" w:cs="Times New Roman"/>
          <w:sz w:val="24"/>
          <w:szCs w:val="24"/>
        </w:rPr>
        <w:t>µg/dL and 3.61</w:t>
      </w:r>
      <w:r>
        <w:rPr>
          <w:rFonts w:ascii="Times New Roman" w:hAnsi="Times New Roman" w:cs="Times New Roman"/>
          <w:sz w:val="24"/>
          <w:szCs w:val="24"/>
          <w:highlight w:val="yellow"/>
        </w:rPr>
        <w:t xml:space="preserve"> </w:t>
      </w:r>
      <w:r>
        <w:rPr>
          <w:rFonts w:ascii="Times New Roman" w:hAnsi="Times New Roman" w:cs="Times New Roman"/>
          <w:sz w:val="24"/>
          <w:szCs w:val="24"/>
        </w:rPr>
        <w:t>µg/dL, respectively, and 78.1%</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workers had blood lead level</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ab</w:t>
      </w:r>
      <w:r>
        <w:rPr>
          <w:rFonts w:ascii="Times New Roman" w:hAnsi="Times New Roman" w:cs="Times New Roman"/>
          <w:sz w:val="24"/>
          <w:szCs w:val="24"/>
        </w:rPr>
        <w:t>o</w:t>
      </w:r>
      <w:r>
        <w:rPr>
          <w:rFonts w:ascii="Times New Roman" w:hAnsi="Times New Roman" w:cs="Times New Roman"/>
          <w:sz w:val="24"/>
          <w:szCs w:val="24"/>
          <w:highlight w:val="yellow"/>
        </w:rPr>
        <w:t>v</w:t>
      </w:r>
      <w:r>
        <w:rPr>
          <w:rFonts w:ascii="Times New Roman" w:hAnsi="Times New Roman" w:cs="Times New Roman"/>
          <w:sz w:val="24"/>
          <w:szCs w:val="24"/>
        </w:rPr>
        <w:t>e 20</w:t>
      </w:r>
      <w:r>
        <w:rPr>
          <w:rFonts w:ascii="Times New Roman" w:hAnsi="Times New Roman" w:cs="Times New Roman"/>
          <w:sz w:val="24"/>
          <w:szCs w:val="24"/>
          <w:highlight w:val="yellow"/>
        </w:rPr>
        <w:t xml:space="preserve"> µg/dL, whereas no control had a blood lead level above 20 </w:t>
      </w:r>
      <w:r>
        <w:rPr>
          <w:rFonts w:ascii="Times New Roman" w:hAnsi="Times New Roman" w:cs="Times New Roman"/>
          <w:sz w:val="24"/>
          <w:szCs w:val="24"/>
        </w:rPr>
        <w:t>µg/dL (</w:t>
      </w:r>
      <w:r>
        <w:rPr>
          <w:rFonts w:ascii="Times New Roman" w:hAnsi="Times New Roman" w:cs="Times New Roman"/>
        </w:rPr>
        <w:t>Sani-Gwarzo et al.</w:t>
      </w:r>
      <w:r>
        <w:rPr>
          <w:rFonts w:ascii="Times New Roman" w:hAnsi="Times New Roman" w:cs="Times New Roman"/>
          <w:highlight w:val="yellow"/>
        </w:rPr>
        <w:t>,</w:t>
      </w:r>
      <w:r>
        <w:rPr>
          <w:rFonts w:ascii="Times New Roman" w:hAnsi="Times New Roman" w:cs="Times New Roman"/>
        </w:rPr>
        <w:t xml:space="preserve"> 2025</w:t>
      </w:r>
      <w:r>
        <w:rPr>
          <w:rFonts w:ascii="Times New Roman" w:hAnsi="Times New Roman" w:cs="Times New Roman"/>
          <w:sz w:val="24"/>
          <w:szCs w:val="24"/>
        </w:rPr>
        <w:t>). The authors conclude</w:t>
      </w:r>
      <w:r>
        <w:rPr>
          <w:rFonts w:ascii="Times New Roman" w:hAnsi="Times New Roman" w:cs="Times New Roman"/>
          <w:sz w:val="24"/>
          <w:szCs w:val="24"/>
          <w:highlight w:val="yellow"/>
        </w:rPr>
        <w:t>d</w:t>
      </w:r>
      <w:r>
        <w:rPr>
          <w:rFonts w:ascii="Times New Roman" w:hAnsi="Times New Roman" w:cs="Times New Roman"/>
          <w:sz w:val="24"/>
          <w:szCs w:val="24"/>
        </w:rPr>
        <w:t xml:space="preserve"> that the only </w:t>
      </w:r>
      <w:r>
        <w:rPr>
          <w:rFonts w:ascii="Times New Roman" w:hAnsi="Times New Roman" w:cs="Times New Roman"/>
          <w:sz w:val="24"/>
          <w:szCs w:val="24"/>
          <w:highlight w:val="yellow"/>
        </w:rPr>
        <w:t xml:space="preserve">measured </w:t>
      </w:r>
      <w:r>
        <w:rPr>
          <w:rFonts w:ascii="Times New Roman" w:hAnsi="Times New Roman" w:cs="Times New Roman"/>
          <w:sz w:val="24"/>
          <w:szCs w:val="24"/>
        </w:rPr>
        <w:t>variable that did not</w:t>
      </w:r>
      <w:r>
        <w:rPr>
          <w:rFonts w:ascii="Times New Roman" w:hAnsi="Times New Roman" w:cs="Times New Roman"/>
          <w:sz w:val="24"/>
          <w:szCs w:val="24"/>
          <w:highlight w:val="yellow"/>
        </w:rPr>
        <w:t xml:space="preserve"> independently</w:t>
      </w:r>
      <w:r>
        <w:rPr>
          <w:rFonts w:ascii="Times New Roman" w:hAnsi="Times New Roman" w:cs="Times New Roman"/>
          <w:sz w:val="24"/>
          <w:szCs w:val="24"/>
        </w:rPr>
        <w:t xml:space="preserve"> predict blood lead </w:t>
      </w:r>
      <w:r>
        <w:rPr>
          <w:rFonts w:ascii="Times New Roman" w:hAnsi="Times New Roman" w:cs="Times New Roman"/>
          <w:sz w:val="24"/>
          <w:szCs w:val="24"/>
          <w:highlight w:val="yellow"/>
        </w:rPr>
        <w:t>level</w:t>
      </w:r>
      <w:r>
        <w:rPr>
          <w:rFonts w:ascii="Times New Roman" w:hAnsi="Times New Roman" w:cs="Times New Roman"/>
          <w:sz w:val="24"/>
          <w:szCs w:val="24"/>
        </w:rPr>
        <w:t xml:space="preserve"> was occupation, suggesting that reclaimed batteries themselves </w:t>
      </w:r>
      <w:r>
        <w:rPr>
          <w:rFonts w:ascii="Times New Roman" w:hAnsi="Times New Roman" w:cs="Times New Roman"/>
          <w:sz w:val="24"/>
          <w:szCs w:val="24"/>
          <w:highlight w:val="yellow"/>
        </w:rPr>
        <w:t>we</w:t>
      </w:r>
      <w:r>
        <w:rPr>
          <w:rFonts w:ascii="Times New Roman" w:hAnsi="Times New Roman" w:cs="Times New Roman"/>
          <w:sz w:val="24"/>
          <w:szCs w:val="24"/>
        </w:rPr>
        <w:t>re the source (</w:t>
      </w:r>
      <w:r>
        <w:rPr>
          <w:rFonts w:ascii="Times New Roman" w:hAnsi="Times New Roman" w:cs="Times New Roman"/>
        </w:rPr>
        <w:t>Sani-Gwarzo et al.</w:t>
      </w:r>
      <w:r>
        <w:rPr>
          <w:rFonts w:ascii="Times New Roman" w:hAnsi="Times New Roman" w:cs="Times New Roman"/>
          <w:highlight w:val="yellow"/>
        </w:rPr>
        <w:t>,</w:t>
      </w:r>
      <w:r>
        <w:rPr>
          <w:rFonts w:ascii="Times New Roman" w:hAnsi="Times New Roman" w:cs="Times New Roman"/>
        </w:rPr>
        <w:t xml:space="preserve"> 2025</w:t>
      </w:r>
      <w:r>
        <w:rPr>
          <w:rFonts w:ascii="Times New Roman" w:hAnsi="Times New Roman" w:cs="Times New Roman"/>
          <w:sz w:val="24"/>
          <w:szCs w:val="24"/>
        </w:rPr>
        <w:t>). This is second</w:t>
      </w:r>
      <w:r>
        <w:rPr>
          <w:rFonts w:ascii="Times New Roman" w:hAnsi="Times New Roman" w:cs="Times New Roman"/>
          <w:sz w:val="24"/>
          <w:szCs w:val="24"/>
          <w:highlight w:val="yellow"/>
        </w:rPr>
        <w:t>-</w:t>
      </w:r>
      <w:r>
        <w:rPr>
          <w:rFonts w:ascii="Times New Roman" w:hAnsi="Times New Roman" w:cs="Times New Roman"/>
          <w:sz w:val="24"/>
          <w:szCs w:val="24"/>
        </w:rPr>
        <w:t xml:space="preserve">level evidence. Workers </w:t>
      </w:r>
      <w:r>
        <w:rPr>
          <w:rFonts w:ascii="Times New Roman" w:hAnsi="Times New Roman" w:cs="Times New Roman"/>
          <w:sz w:val="24"/>
          <w:szCs w:val="24"/>
          <w:highlight w:val="yellow"/>
        </w:rPr>
        <w:t>h</w:t>
      </w:r>
      <w:r>
        <w:rPr>
          <w:rFonts w:ascii="Times New Roman" w:hAnsi="Times New Roman" w:cs="Times New Roman"/>
          <w:sz w:val="24"/>
          <w:szCs w:val="24"/>
        </w:rPr>
        <w:t>a</w:t>
      </w:r>
      <w:r>
        <w:rPr>
          <w:rFonts w:ascii="Times New Roman" w:hAnsi="Times New Roman" w:cs="Times New Roman"/>
          <w:sz w:val="24"/>
          <w:szCs w:val="24"/>
          <w:highlight w:val="yellow"/>
        </w:rPr>
        <w:t>ndl</w:t>
      </w:r>
      <w:r>
        <w:rPr>
          <w:rFonts w:ascii="Times New Roman" w:hAnsi="Times New Roman" w:cs="Times New Roman"/>
          <w:sz w:val="24"/>
          <w:szCs w:val="24"/>
        </w:rPr>
        <w:t>ed lead-acid batteries</w:t>
      </w:r>
      <w:r>
        <w:rPr>
          <w:rFonts w:ascii="Times New Roman" w:hAnsi="Times New Roman" w:cs="Times New Roman"/>
          <w:sz w:val="24"/>
          <w:szCs w:val="24"/>
          <w:highlight w:val="yellow"/>
        </w:rPr>
        <w:t>;</w:t>
      </w:r>
      <w:r>
        <w:rPr>
          <w:rFonts w:ascii="Times New Roman" w:hAnsi="Times New Roman" w:cs="Times New Roman"/>
          <w:sz w:val="24"/>
          <w:szCs w:val="24"/>
        </w:rPr>
        <w:t xml:space="preserve"> however, no record of the batteries' previous use was kept.</w:t>
      </w:r>
    </w:p>
    <w:p w14:paraId="6054DBBB"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There is limited evidence of community exposure in Nigeria. The Ogijo testing revealed that seven of 10 residents were exposed to harmful blood lead levels, all factory workers had harmful BLLs</w:t>
      </w:r>
      <w:r>
        <w:rPr>
          <w:rFonts w:ascii="Times New Roman" w:hAnsi="Times New Roman" w:cs="Times New Roman"/>
          <w:sz w:val="24"/>
          <w:szCs w:val="24"/>
          <w:highlight w:val="yellow"/>
        </w:rPr>
        <w:t>,</w:t>
      </w:r>
      <w:r>
        <w:rPr>
          <w:rFonts w:ascii="Times New Roman" w:hAnsi="Times New Roman" w:cs="Times New Roman"/>
          <w:sz w:val="24"/>
          <w:szCs w:val="24"/>
        </w:rPr>
        <w:t xml:space="preserve"> and </w:t>
      </w:r>
      <w:r>
        <w:rPr>
          <w:rFonts w:ascii="Times New Roman" w:hAnsi="Times New Roman" w:cs="Times New Roman"/>
          <w:sz w:val="24"/>
          <w:szCs w:val="24"/>
          <w:highlight w:val="yellow"/>
        </w:rPr>
        <w:t>m</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 xml:space="preserve"> than</w:t>
      </w:r>
      <w:r>
        <w:rPr>
          <w:rFonts w:ascii="Times New Roman" w:hAnsi="Times New Roman" w:cs="Times New Roman"/>
          <w:sz w:val="24"/>
          <w:szCs w:val="24"/>
        </w:rPr>
        <w:t xml:space="preserve"> half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children tested had harmful BLLs linked to permanent neurological damage (Olawoyin &amp; Ogunrinde, 2025). The sample was small</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self-selected</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work is not peer-reviewed</w:t>
      </w:r>
      <w:r>
        <w:rPr>
          <w:rFonts w:ascii="Times New Roman" w:hAnsi="Times New Roman" w:cs="Times New Roman"/>
          <w:sz w:val="24"/>
          <w:szCs w:val="24"/>
          <w:highlight w:val="yellow"/>
        </w:rPr>
        <w:t>; therefore</w:t>
      </w:r>
      <w:r>
        <w:rPr>
          <w:rFonts w:ascii="Times New Roman" w:hAnsi="Times New Roman" w:cs="Times New Roman"/>
          <w:sz w:val="24"/>
          <w:szCs w:val="24"/>
        </w:rPr>
        <w:t xml:space="preserve">, the research </w:t>
      </w:r>
      <w:r>
        <w:rPr>
          <w:rFonts w:ascii="Times New Roman" w:hAnsi="Times New Roman" w:cs="Times New Roman"/>
          <w:sz w:val="24"/>
          <w:szCs w:val="24"/>
          <w:highlight w:val="yellow"/>
        </w:rPr>
        <w:t>prov</w:t>
      </w:r>
      <w:r>
        <w:rPr>
          <w:rFonts w:ascii="Times New Roman" w:hAnsi="Times New Roman" w:cs="Times New Roman"/>
          <w:sz w:val="24"/>
          <w:szCs w:val="24"/>
        </w:rPr>
        <w:t>i</w:t>
      </w:r>
      <w:r>
        <w:rPr>
          <w:rFonts w:ascii="Times New Roman" w:hAnsi="Times New Roman" w:cs="Times New Roman"/>
          <w:sz w:val="24"/>
          <w:szCs w:val="24"/>
          <w:highlight w:val="yellow"/>
        </w:rPr>
        <w:t>de</w:t>
      </w:r>
      <w:r>
        <w:rPr>
          <w:rFonts w:ascii="Times New Roman" w:hAnsi="Times New Roman" w:cs="Times New Roman"/>
          <w:sz w:val="24"/>
          <w:szCs w:val="24"/>
        </w:rPr>
        <w:t xml:space="preserve">s evidence of a problem </w:t>
      </w:r>
      <w:r>
        <w:rPr>
          <w:rFonts w:ascii="Times New Roman" w:hAnsi="Times New Roman" w:cs="Times New Roman"/>
          <w:sz w:val="24"/>
          <w:szCs w:val="24"/>
          <w:highlight w:val="yellow"/>
        </w:rPr>
        <w:t>rather tha</w:t>
      </w:r>
      <w:r>
        <w:rPr>
          <w:rFonts w:ascii="Times New Roman" w:hAnsi="Times New Roman" w:cs="Times New Roman"/>
          <w:sz w:val="24"/>
          <w:szCs w:val="24"/>
        </w:rPr>
        <w:t>n a measure of its prevalence.</w:t>
      </w:r>
    </w:p>
    <w:p w14:paraId="327E8225"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The evidence from the region </w:t>
      </w:r>
      <w:r>
        <w:rPr>
          <w:rFonts w:ascii="Times New Roman" w:hAnsi="Times New Roman" w:cs="Times New Roman"/>
          <w:sz w:val="24"/>
          <w:szCs w:val="24"/>
          <w:highlight w:val="yellow"/>
        </w:rPr>
        <w:t>indicat</w:t>
      </w:r>
      <w:r>
        <w:rPr>
          <w:rFonts w:ascii="Times New Roman" w:hAnsi="Times New Roman" w:cs="Times New Roman"/>
          <w:sz w:val="24"/>
          <w:szCs w:val="24"/>
        </w:rPr>
        <w:t>es the potential</w:t>
      </w:r>
      <w:r>
        <w:rPr>
          <w:rFonts w:ascii="Times New Roman" w:hAnsi="Times New Roman" w:cs="Times New Roman"/>
          <w:sz w:val="24"/>
          <w:szCs w:val="24"/>
          <w:highlight w:val="yellow"/>
        </w:rPr>
        <w:t xml:space="preserve"> severity of</w:t>
      </w:r>
      <w:r>
        <w:rPr>
          <w:rFonts w:ascii="Times New Roman" w:hAnsi="Times New Roman" w:cs="Times New Roman"/>
          <w:sz w:val="24"/>
          <w:szCs w:val="24"/>
        </w:rPr>
        <w:t xml:space="preserve"> informal ULAB recycling. Between November 2007 and March 2008, 18 children </w:t>
      </w:r>
      <w:r>
        <w:rPr>
          <w:rFonts w:ascii="Times New Roman" w:hAnsi="Times New Roman" w:cs="Times New Roman"/>
          <w:sz w:val="24"/>
          <w:szCs w:val="24"/>
          <w:highlight w:val="yellow"/>
        </w:rPr>
        <w:t>di</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in a community involved in ULAB recycling in Dakar, Senegal. Of the 81 remaining residents surveyed, 100 per cent had blood lead levels (BLL</w:t>
      </w:r>
      <w:r>
        <w:rPr>
          <w:rFonts w:ascii="Times New Roman" w:hAnsi="Times New Roman" w:cs="Times New Roman"/>
          <w:sz w:val="24"/>
          <w:szCs w:val="24"/>
          <w:highlight w:val="yellow"/>
        </w:rPr>
        <w:t>s</w:t>
      </w:r>
      <w:r>
        <w:rPr>
          <w:rFonts w:ascii="Times New Roman" w:hAnsi="Times New Roman" w:cs="Times New Roman"/>
          <w:sz w:val="24"/>
          <w:szCs w:val="24"/>
        </w:rPr>
        <w:t>) above lead</w:t>
      </w:r>
      <w:r>
        <w:rPr>
          <w:rFonts w:ascii="Times New Roman" w:hAnsi="Times New Roman" w:cs="Times New Roman"/>
          <w:sz w:val="24"/>
          <w:szCs w:val="24"/>
          <w:highlight w:val="yellow"/>
        </w:rPr>
        <w:t>-</w:t>
      </w:r>
      <w:r>
        <w:rPr>
          <w:rFonts w:ascii="Times New Roman" w:hAnsi="Times New Roman" w:cs="Times New Roman"/>
          <w:sz w:val="24"/>
          <w:szCs w:val="24"/>
        </w:rPr>
        <w:t>detection levels</w:t>
      </w:r>
      <w:r>
        <w:rPr>
          <w:rFonts w:ascii="Times New Roman" w:hAnsi="Times New Roman" w:cs="Times New Roman"/>
          <w:sz w:val="24"/>
          <w:szCs w:val="24"/>
          <w:highlight w:val="yellow"/>
        </w:rPr>
        <w:t>;</w:t>
      </w:r>
      <w:r>
        <w:rPr>
          <w:rFonts w:ascii="Times New Roman" w:hAnsi="Times New Roman" w:cs="Times New Roman"/>
          <w:sz w:val="24"/>
          <w:szCs w:val="24"/>
        </w:rPr>
        <w:t xml:space="preserve"> 50 children had BLL</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ranging</w:t>
      </w:r>
      <w:r>
        <w:rPr>
          <w:rFonts w:ascii="Times New Roman" w:hAnsi="Times New Roman" w:cs="Times New Roman"/>
          <w:sz w:val="24"/>
          <w:szCs w:val="24"/>
        </w:rPr>
        <w:t xml:space="preserve"> from 39.8 to 613.9 µg/dL</w:t>
      </w:r>
      <w:r>
        <w:rPr>
          <w:rFonts w:ascii="Times New Roman" w:hAnsi="Times New Roman" w:cs="Times New Roman"/>
          <w:sz w:val="24"/>
          <w:szCs w:val="24"/>
          <w:highlight w:val="yellow"/>
        </w:rPr>
        <w:t>,</w:t>
      </w:r>
      <w:r>
        <w:rPr>
          <w:rFonts w:ascii="Times New Roman" w:hAnsi="Times New Roman" w:cs="Times New Roman"/>
          <w:sz w:val="24"/>
          <w:szCs w:val="24"/>
        </w:rPr>
        <w:t xml:space="preserve"> with an average BLL of 129.5 µg/dL (Haefliger et al., 2009). Soil lead reached 302,000 mg/kg outdoors and 14,000 mg/kg indoors (Haefliger et al., 2009). In Nairobi, soil and floor</w:t>
      </w:r>
      <w:r>
        <w:rPr>
          <w:rFonts w:ascii="Times New Roman" w:hAnsi="Times New Roman" w:cs="Times New Roman"/>
          <w:sz w:val="24"/>
          <w:szCs w:val="24"/>
          <w:highlight w:val="yellow"/>
        </w:rPr>
        <w:t>-</w:t>
      </w:r>
      <w:r>
        <w:rPr>
          <w:rFonts w:ascii="Times New Roman" w:hAnsi="Times New Roman" w:cs="Times New Roman"/>
          <w:sz w:val="24"/>
          <w:szCs w:val="24"/>
        </w:rPr>
        <w:t>dust sampling around ULAB operations in three informal settlements revealed that all floor</w:t>
      </w:r>
      <w:r>
        <w:rPr>
          <w:rFonts w:ascii="Times New Roman" w:hAnsi="Times New Roman" w:cs="Times New Roman"/>
          <w:sz w:val="24"/>
          <w:szCs w:val="24"/>
          <w:highlight w:val="yellow"/>
        </w:rPr>
        <w:t>-</w:t>
      </w:r>
      <w:r>
        <w:rPr>
          <w:rFonts w:ascii="Times New Roman" w:hAnsi="Times New Roman" w:cs="Times New Roman"/>
          <w:sz w:val="24"/>
          <w:szCs w:val="24"/>
        </w:rPr>
        <w:t>dust samples e</w:t>
      </w:r>
      <w:r>
        <w:rPr>
          <w:rFonts w:ascii="Times New Roman" w:hAnsi="Times New Roman" w:cs="Times New Roman"/>
          <w:sz w:val="24"/>
          <w:szCs w:val="24"/>
          <w:highlight w:val="yellow"/>
        </w:rPr>
        <w:t>xc</w:t>
      </w:r>
      <w:r>
        <w:rPr>
          <w:rFonts w:ascii="Times New Roman" w:hAnsi="Times New Roman" w:cs="Times New Roman"/>
          <w:sz w:val="24"/>
          <w:szCs w:val="24"/>
        </w:rPr>
        <w:t>ee</w:t>
      </w:r>
      <w:r>
        <w:rPr>
          <w:rFonts w:ascii="Times New Roman" w:hAnsi="Times New Roman" w:cs="Times New Roman"/>
          <w:sz w:val="24"/>
          <w:szCs w:val="24"/>
          <w:highlight w:val="yellow"/>
        </w:rPr>
        <w:t>ded</w:t>
      </w:r>
      <w:r>
        <w:rPr>
          <w:rFonts w:ascii="Times New Roman" w:hAnsi="Times New Roman" w:cs="Times New Roman"/>
          <w:sz w:val="24"/>
          <w:szCs w:val="24"/>
        </w:rPr>
        <w:t xml:space="preserve"> the guidance value recommended by the United States (Ondayo et al., 2016). Both </w:t>
      </w:r>
      <w:r>
        <w:rPr>
          <w:rFonts w:ascii="Times New Roman" w:hAnsi="Times New Roman" w:cs="Times New Roman"/>
          <w:sz w:val="24"/>
          <w:szCs w:val="24"/>
          <w:highlight w:val="yellow"/>
        </w:rPr>
        <w:t xml:space="preserve">studies </w:t>
      </w:r>
      <w:r>
        <w:rPr>
          <w:rFonts w:ascii="Times New Roman" w:hAnsi="Times New Roman" w:cs="Times New Roman"/>
          <w:sz w:val="24"/>
          <w:szCs w:val="24"/>
        </w:rPr>
        <w:t>are category 3</w:t>
      </w:r>
      <w:r>
        <w:rPr>
          <w:rFonts w:ascii="Times New Roman" w:hAnsi="Times New Roman" w:cs="Times New Roman"/>
          <w:sz w:val="24"/>
          <w:szCs w:val="24"/>
          <w:highlight w:val="yellow"/>
        </w:rPr>
        <w:t xml:space="preserve"> evidence</w:t>
      </w:r>
      <w:r>
        <w:rPr>
          <w:rFonts w:ascii="Times New Roman" w:hAnsi="Times New Roman" w:cs="Times New Roman"/>
          <w:sz w:val="24"/>
          <w:szCs w:val="24"/>
        </w:rPr>
        <w:t>.</w:t>
      </w:r>
    </w:p>
    <w:p w14:paraId="3A538222"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The clinical implication is at </w:t>
      </w:r>
      <w:r>
        <w:rPr>
          <w:rFonts w:ascii="Times New Roman" w:hAnsi="Times New Roman" w:cs="Times New Roman"/>
          <w:sz w:val="24"/>
          <w:szCs w:val="24"/>
          <w:highlight w:val="yellow"/>
        </w:rPr>
        <w:t xml:space="preserve">the </w:t>
      </w:r>
      <w:r>
        <w:rPr>
          <w:rFonts w:ascii="Times New Roman" w:hAnsi="Times New Roman" w:cs="Times New Roman"/>
          <w:sz w:val="24"/>
          <w:szCs w:val="24"/>
        </w:rPr>
        <w:t>population level, not t</w:t>
      </w:r>
      <w:r>
        <w:rPr>
          <w:rFonts w:ascii="Times New Roman" w:hAnsi="Times New Roman" w:cs="Times New Roman"/>
          <w:sz w:val="24"/>
          <w:szCs w:val="24"/>
          <w:highlight w:val="yellow"/>
        </w:rPr>
        <w:t>he</w:t>
      </w:r>
      <w:r>
        <w:rPr>
          <w:rFonts w:ascii="Times New Roman" w:hAnsi="Times New Roman" w:cs="Times New Roman"/>
          <w:sz w:val="24"/>
          <w:szCs w:val="24"/>
        </w:rPr>
        <w:t xml:space="preserve"> individual level</w:t>
      </w:r>
      <w:r>
        <w:rPr>
          <w:rFonts w:ascii="Times New Roman" w:hAnsi="Times New Roman" w:cs="Times New Roman"/>
          <w:sz w:val="24"/>
          <w:szCs w:val="24"/>
          <w:highlight w:val="yellow"/>
        </w:rPr>
        <w:t>,</w:t>
      </w:r>
      <w:r>
        <w:rPr>
          <w:rFonts w:ascii="Times New Roman" w:hAnsi="Times New Roman" w:cs="Times New Roman"/>
          <w:sz w:val="24"/>
          <w:szCs w:val="24"/>
        </w:rPr>
        <w:t xml:space="preserve"> for Nigeria. At the blood lead </w:t>
      </w:r>
      <w:r>
        <w:rPr>
          <w:rFonts w:ascii="Times New Roman" w:hAnsi="Times New Roman" w:cs="Times New Roman"/>
          <w:sz w:val="24"/>
          <w:szCs w:val="24"/>
          <w:highlight w:val="yellow"/>
        </w:rPr>
        <w:t>levels repor</w:t>
      </w:r>
      <w:r>
        <w:rPr>
          <w:rFonts w:ascii="Times New Roman" w:hAnsi="Times New Roman" w:cs="Times New Roman"/>
          <w:sz w:val="24"/>
          <w:szCs w:val="24"/>
        </w:rPr>
        <w:t>t</w:t>
      </w:r>
      <w:r>
        <w:rPr>
          <w:rFonts w:ascii="Times New Roman" w:hAnsi="Times New Roman" w:cs="Times New Roman"/>
          <w:sz w:val="24"/>
          <w:szCs w:val="24"/>
          <w:highlight w:val="yellow"/>
        </w:rPr>
        <w:t>ed by</w:t>
      </w:r>
      <w:r>
        <w:rPr>
          <w:rFonts w:ascii="Times New Roman" w:hAnsi="Times New Roman" w:cs="Times New Roman"/>
          <w:sz w:val="24"/>
          <w:szCs w:val="24"/>
        </w:rPr>
        <w:t xml:space="preserve"> </w:t>
      </w:r>
      <w:r>
        <w:rPr>
          <w:rFonts w:ascii="Times New Roman" w:hAnsi="Times New Roman" w:cs="Times New Roman"/>
        </w:rPr>
        <w:t xml:space="preserve">Sani-Gwarzo </w:t>
      </w:r>
      <w:r>
        <w:rPr>
          <w:rFonts w:ascii="Times New Roman" w:hAnsi="Times New Roman" w:cs="Times New Roman"/>
          <w:sz w:val="24"/>
          <w:szCs w:val="24"/>
        </w:rPr>
        <w:t>and colleagues, workers can suffer from peripheral neuropathy, an</w:t>
      </w:r>
      <w:r>
        <w:rPr>
          <w:rFonts w:ascii="Times New Roman" w:hAnsi="Times New Roman" w:cs="Times New Roman"/>
          <w:sz w:val="24"/>
          <w:szCs w:val="24"/>
          <w:highlight w:val="yellow"/>
        </w:rPr>
        <w:t>a</w:t>
      </w:r>
      <w:r>
        <w:rPr>
          <w:rFonts w:ascii="Times New Roman" w:hAnsi="Times New Roman" w:cs="Times New Roman"/>
          <w:sz w:val="24"/>
          <w:szCs w:val="24"/>
        </w:rPr>
        <w:t>emia, nephropathy, hypertension, and reproductive problems</w:t>
      </w:r>
      <w:r>
        <w:rPr>
          <w:rFonts w:ascii="Times New Roman" w:hAnsi="Times New Roman" w:cs="Times New Roman"/>
          <w:sz w:val="24"/>
          <w:szCs w:val="24"/>
          <w:highlight w:val="yellow"/>
        </w:rPr>
        <w:t>,</w:t>
      </w:r>
      <w:r>
        <w:rPr>
          <w:rFonts w:ascii="Times New Roman" w:hAnsi="Times New Roman" w:cs="Times New Roman"/>
          <w:sz w:val="24"/>
          <w:szCs w:val="24"/>
        </w:rPr>
        <w:t xml:space="preserve"> all of which are plausible </w:t>
      </w:r>
      <w:r>
        <w:rPr>
          <w:rFonts w:ascii="Times New Roman" w:hAnsi="Times New Roman" w:cs="Times New Roman"/>
          <w:sz w:val="24"/>
          <w:szCs w:val="24"/>
          <w:highlight w:val="yellow"/>
        </w:rPr>
        <w:t xml:space="preserve">in </w:t>
      </w:r>
      <w:r>
        <w:rPr>
          <w:rFonts w:ascii="Times New Roman" w:hAnsi="Times New Roman" w:cs="Times New Roman"/>
          <w:sz w:val="24"/>
          <w:szCs w:val="24"/>
        </w:rPr>
        <w:t>a</w:t>
      </w:r>
      <w:r>
        <w:rPr>
          <w:rFonts w:ascii="Times New Roman" w:hAnsi="Times New Roman" w:cs="Times New Roman"/>
          <w:sz w:val="24"/>
          <w:szCs w:val="24"/>
          <w:highlight w:val="yellow"/>
        </w:rPr>
        <w:t xml:space="preserve"> workforce 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this age profile. Take-home dust and contaminated soil a</w:t>
      </w:r>
      <w:r>
        <w:rPr>
          <w:rFonts w:ascii="Times New Roman" w:hAnsi="Times New Roman" w:cs="Times New Roman"/>
          <w:sz w:val="24"/>
          <w:szCs w:val="24"/>
          <w:highlight w:val="yellow"/>
        </w:rPr>
        <w:t>re</w:t>
      </w:r>
      <w:r>
        <w:rPr>
          <w:rFonts w:ascii="Times New Roman" w:hAnsi="Times New Roman" w:cs="Times New Roman"/>
          <w:sz w:val="24"/>
          <w:szCs w:val="24"/>
        </w:rPr>
        <w:t xml:space="preserve"> problem</w:t>
      </w:r>
      <w:r>
        <w:rPr>
          <w:rFonts w:ascii="Times New Roman" w:hAnsi="Times New Roman" w:cs="Times New Roman"/>
          <w:sz w:val="24"/>
          <w:szCs w:val="24"/>
          <w:highlight w:val="yellow"/>
        </w:rPr>
        <w:t>s</w:t>
      </w:r>
      <w:r>
        <w:rPr>
          <w:rFonts w:ascii="Times New Roman" w:hAnsi="Times New Roman" w:cs="Times New Roman"/>
          <w:sz w:val="24"/>
          <w:szCs w:val="24"/>
        </w:rPr>
        <w:t xml:space="preserve"> t</w:t>
      </w:r>
      <w:r>
        <w:rPr>
          <w:rFonts w:ascii="Times New Roman" w:hAnsi="Times New Roman" w:cs="Times New Roman"/>
          <w:sz w:val="24"/>
          <w:szCs w:val="24"/>
          <w:highlight w:val="yellow"/>
        </w:rPr>
        <w:t>o w</w:t>
      </w:r>
      <w:r>
        <w:rPr>
          <w:rFonts w:ascii="Times New Roman" w:hAnsi="Times New Roman" w:cs="Times New Roman"/>
          <w:sz w:val="24"/>
          <w:szCs w:val="24"/>
        </w:rPr>
        <w:t>h</w:t>
      </w:r>
      <w:r>
        <w:rPr>
          <w:rFonts w:ascii="Times New Roman" w:hAnsi="Times New Roman" w:cs="Times New Roman"/>
          <w:sz w:val="24"/>
          <w:szCs w:val="24"/>
          <w:highlight w:val="yellow"/>
        </w:rPr>
        <w:t>ich exposed</w:t>
      </w:r>
      <w:r>
        <w:rPr>
          <w:rFonts w:ascii="Times New Roman" w:hAnsi="Times New Roman" w:cs="Times New Roman"/>
          <w:sz w:val="24"/>
          <w:szCs w:val="24"/>
        </w:rPr>
        <w:t xml:space="preserve"> children </w:t>
      </w:r>
      <w:r>
        <w:rPr>
          <w:rFonts w:ascii="Times New Roman" w:hAnsi="Times New Roman" w:cs="Times New Roman"/>
          <w:sz w:val="24"/>
          <w:szCs w:val="24"/>
          <w:highlight w:val="yellow"/>
        </w:rPr>
        <w:t>may b</w:t>
      </w:r>
      <w:r>
        <w:rPr>
          <w:rFonts w:ascii="Times New Roman" w:hAnsi="Times New Roman" w:cs="Times New Roman"/>
          <w:sz w:val="24"/>
          <w:szCs w:val="24"/>
        </w:rPr>
        <w:t>e</w:t>
      </w:r>
      <w:r>
        <w:rPr>
          <w:rFonts w:ascii="Times New Roman" w:hAnsi="Times New Roman" w:cs="Times New Roman"/>
          <w:sz w:val="24"/>
          <w:szCs w:val="24"/>
          <w:highlight w:val="yellow"/>
        </w:rPr>
        <w:t xml:space="preserve"> vuln</w:t>
      </w:r>
      <w:r>
        <w:rPr>
          <w:rFonts w:ascii="Times New Roman" w:hAnsi="Times New Roman" w:cs="Times New Roman"/>
          <w:sz w:val="24"/>
          <w:szCs w:val="24"/>
        </w:rPr>
        <w:t>e</w:t>
      </w:r>
      <w:r>
        <w:rPr>
          <w:rFonts w:ascii="Times New Roman" w:hAnsi="Times New Roman" w:cs="Times New Roman"/>
          <w:sz w:val="24"/>
          <w:szCs w:val="24"/>
          <w:highlight w:val="yellow"/>
        </w:rPr>
        <w:t>rable,</w:t>
      </w:r>
      <w:r>
        <w:rPr>
          <w:rFonts w:ascii="Times New Roman" w:hAnsi="Times New Roman" w:cs="Times New Roman"/>
          <w:sz w:val="24"/>
          <w:szCs w:val="24"/>
        </w:rPr>
        <w:t xml:space="preserve"> wi</w:t>
      </w:r>
      <w:r>
        <w:rPr>
          <w:rFonts w:ascii="Times New Roman" w:hAnsi="Times New Roman" w:cs="Times New Roman"/>
          <w:sz w:val="24"/>
          <w:szCs w:val="24"/>
          <w:highlight w:val="yellow"/>
        </w:rPr>
        <w:t>th the potentia</w:t>
      </w:r>
      <w:r>
        <w:rPr>
          <w:rFonts w:ascii="Times New Roman" w:hAnsi="Times New Roman" w:cs="Times New Roman"/>
          <w:sz w:val="24"/>
          <w:szCs w:val="24"/>
        </w:rPr>
        <w:t xml:space="preserve">l </w:t>
      </w:r>
      <w:r>
        <w:rPr>
          <w:rFonts w:ascii="Times New Roman" w:hAnsi="Times New Roman" w:cs="Times New Roman"/>
          <w:sz w:val="24"/>
          <w:szCs w:val="24"/>
          <w:highlight w:val="yellow"/>
        </w:rPr>
        <w:t>for</w:t>
      </w:r>
      <w:r>
        <w:rPr>
          <w:rFonts w:ascii="Times New Roman" w:hAnsi="Times New Roman" w:cs="Times New Roman"/>
          <w:sz w:val="24"/>
          <w:szCs w:val="24"/>
        </w:rPr>
        <w:t xml:space="preserve"> irreversible cognitive deficits.</w:t>
      </w:r>
    </w:p>
    <w:p w14:paraId="30B43123"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connection with solar is indirect. </w:t>
      </w:r>
      <w:r>
        <w:rPr>
          <w:rFonts w:ascii="Times New Roman" w:hAnsi="Times New Roman" w:cs="Times New Roman"/>
          <w:sz w:val="24"/>
          <w:szCs w:val="24"/>
          <w:highlight w:val="yellow"/>
        </w:rPr>
        <w:t>N</w:t>
      </w:r>
      <w:r>
        <w:rPr>
          <w:rFonts w:ascii="Times New Roman" w:hAnsi="Times New Roman" w:cs="Times New Roman"/>
          <w:sz w:val="24"/>
          <w:szCs w:val="24"/>
        </w:rPr>
        <w:t xml:space="preserve">o study has quantified the proportion of Nigerian ULAB throughput that originates from solar batteries </w:t>
      </w:r>
      <w:r>
        <w:rPr>
          <w:rFonts w:ascii="Times New Roman" w:hAnsi="Times New Roman" w:cs="Times New Roman"/>
          <w:sz w:val="24"/>
          <w:szCs w:val="24"/>
          <w:highlight w:val="yellow"/>
        </w:rPr>
        <w:t>while</w:t>
      </w:r>
      <w:r>
        <w:rPr>
          <w:rFonts w:ascii="Times New Roman" w:hAnsi="Times New Roman" w:cs="Times New Roman"/>
          <w:sz w:val="24"/>
          <w:szCs w:val="24"/>
        </w:rPr>
        <w:t xml:space="preserve"> also measur</w:t>
      </w:r>
      <w:r>
        <w:rPr>
          <w:rFonts w:ascii="Times New Roman" w:hAnsi="Times New Roman" w:cs="Times New Roman"/>
          <w:sz w:val="24"/>
          <w:szCs w:val="24"/>
          <w:highlight w:val="yellow"/>
        </w:rPr>
        <w:t>ing</w:t>
      </w:r>
      <w:r>
        <w:rPr>
          <w:rFonts w:ascii="Times New Roman" w:hAnsi="Times New Roman" w:cs="Times New Roman"/>
          <w:sz w:val="24"/>
          <w:szCs w:val="24"/>
        </w:rPr>
        <w:t xml:space="preserve"> the blood lead levels of population</w:t>
      </w:r>
      <w:r>
        <w:rPr>
          <w:rFonts w:ascii="Times New Roman" w:hAnsi="Times New Roman" w:cs="Times New Roman"/>
          <w:sz w:val="24"/>
          <w:szCs w:val="24"/>
          <w:highlight w:val="yellow"/>
        </w:rPr>
        <w:t>s</w:t>
      </w:r>
      <w:r>
        <w:rPr>
          <w:rFonts w:ascii="Times New Roman" w:hAnsi="Times New Roman" w:cs="Times New Roman"/>
          <w:sz w:val="24"/>
          <w:szCs w:val="24"/>
        </w:rPr>
        <w:t xml:space="preserve"> exposed to solar</w:t>
      </w:r>
      <w:r>
        <w:rPr>
          <w:rFonts w:ascii="Times New Roman" w:hAnsi="Times New Roman" w:cs="Times New Roman"/>
          <w:sz w:val="24"/>
          <w:szCs w:val="24"/>
          <w:highlight w:val="yellow"/>
        </w:rPr>
        <w:t>-</w:t>
      </w:r>
      <w:r>
        <w:rPr>
          <w:rFonts w:ascii="Times New Roman" w:hAnsi="Times New Roman" w:cs="Times New Roman"/>
          <w:sz w:val="24"/>
          <w:szCs w:val="24"/>
        </w:rPr>
        <w:t xml:space="preserve">battery recycling. This review </w:t>
      </w:r>
      <w:r>
        <w:rPr>
          <w:rFonts w:ascii="Times New Roman" w:hAnsi="Times New Roman" w:cs="Times New Roman"/>
          <w:sz w:val="24"/>
          <w:szCs w:val="24"/>
          <w:highlight w:val="yellow"/>
        </w:rPr>
        <w:t>supp</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t</w:t>
      </w:r>
      <w:r>
        <w:rPr>
          <w:rFonts w:ascii="Times New Roman" w:hAnsi="Times New Roman" w:cs="Times New Roman"/>
          <w:sz w:val="24"/>
          <w:szCs w:val="24"/>
          <w:highlight w:val="yellow"/>
        </w:rPr>
        <w:t>s</w:t>
      </w:r>
      <w:r>
        <w:rPr>
          <w:rFonts w:ascii="Times New Roman" w:hAnsi="Times New Roman" w:cs="Times New Roman"/>
          <w:sz w:val="24"/>
          <w:szCs w:val="24"/>
        </w:rPr>
        <w:t xml:space="preserve"> the assertion that solar batteries are part of a waste stream </w:t>
      </w:r>
      <w:r>
        <w:rPr>
          <w:rFonts w:ascii="Times New Roman" w:hAnsi="Times New Roman" w:cs="Times New Roman"/>
          <w:sz w:val="24"/>
          <w:szCs w:val="24"/>
          <w:highlight w:val="yellow"/>
        </w:rPr>
        <w:t xml:space="preserve">in </w:t>
      </w:r>
      <w:r>
        <w:rPr>
          <w:rFonts w:ascii="Times New Roman" w:hAnsi="Times New Roman" w:cs="Times New Roman"/>
          <w:sz w:val="24"/>
          <w:szCs w:val="24"/>
        </w:rPr>
        <w:t>wh</w:t>
      </w:r>
      <w:r>
        <w:rPr>
          <w:rFonts w:ascii="Times New Roman" w:hAnsi="Times New Roman" w:cs="Times New Roman"/>
          <w:sz w:val="24"/>
          <w:szCs w:val="24"/>
          <w:highlight w:val="yellow"/>
        </w:rPr>
        <w:t>ic</w:t>
      </w:r>
      <w:r>
        <w:rPr>
          <w:rFonts w:ascii="Times New Roman" w:hAnsi="Times New Roman" w:cs="Times New Roman"/>
          <w:sz w:val="24"/>
          <w:szCs w:val="24"/>
        </w:rPr>
        <w:t>h severe expos</w:t>
      </w:r>
      <w:r>
        <w:rPr>
          <w:rFonts w:ascii="Times New Roman" w:hAnsi="Times New Roman" w:cs="Times New Roman"/>
          <w:sz w:val="24"/>
          <w:szCs w:val="24"/>
          <w:highlight w:val="yellow"/>
        </w:rPr>
        <w:t>ure has been document</w:t>
      </w:r>
      <w:r>
        <w:rPr>
          <w:rFonts w:ascii="Times New Roman" w:hAnsi="Times New Roman" w:cs="Times New Roman"/>
          <w:sz w:val="24"/>
          <w:szCs w:val="24"/>
        </w:rPr>
        <w:t xml:space="preserve">ed, but not that solar batteries </w:t>
      </w:r>
      <w:r>
        <w:rPr>
          <w:rFonts w:ascii="Times New Roman" w:hAnsi="Times New Roman" w:cs="Times New Roman"/>
          <w:sz w:val="24"/>
          <w:szCs w:val="24"/>
          <w:highlight w:val="yellow"/>
        </w:rPr>
        <w:t xml:space="preserve">themselves </w:t>
      </w:r>
      <w:r>
        <w:rPr>
          <w:rFonts w:ascii="Times New Roman" w:hAnsi="Times New Roman" w:cs="Times New Roman"/>
          <w:sz w:val="24"/>
          <w:szCs w:val="24"/>
        </w:rPr>
        <w:t>are causing severe exposure.</w:t>
      </w:r>
    </w:p>
    <w:p w14:paraId="0BCDDCF1"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6. Nigerian Policy and Regulatory Gaps</w:t>
      </w:r>
    </w:p>
    <w:p w14:paraId="73A1B921" w14:textId="77777777" w:rsidR="00306F00" w:rsidRPr="00306F00" w:rsidRDefault="00306F00" w:rsidP="00306F00">
      <w:pPr>
        <w:spacing w:line="360" w:lineRule="auto"/>
        <w:rPr>
          <w:rFonts w:ascii="Times New Roman" w:hAnsi="Times New Roman" w:cs="Times New Roman"/>
          <w:sz w:val="24"/>
          <w:szCs w:val="24"/>
        </w:rPr>
      </w:pPr>
      <w:r>
        <w:rPr>
          <w:rFonts w:ascii="Times New Roman" w:hAnsi="Times New Roman" w:cs="Times New Roman"/>
          <w:sz w:val="24"/>
          <w:szCs w:val="24"/>
        </w:rPr>
        <w:t>Nigeria's regulatory framework is more developed than current outcomes suggest, which helps to locate the problem in implementation rather than in the complete absence of regulation. NESREA has instituted the National Environmental (Battery Control) Regulations 2021</w:t>
      </w:r>
      <w:r>
        <w:rPr>
          <w:rFonts w:ascii="Times New Roman" w:hAnsi="Times New Roman" w:cs="Times New Roman"/>
          <w:sz w:val="24"/>
          <w:szCs w:val="24"/>
          <w:highlight w:val="yellow"/>
        </w:rPr>
        <w:t>,</w:t>
      </w:r>
      <w:r>
        <w:rPr>
          <w:rFonts w:ascii="Times New Roman" w:hAnsi="Times New Roman" w:cs="Times New Roman"/>
          <w:sz w:val="24"/>
          <w:szCs w:val="24"/>
        </w:rPr>
        <w:t xml:space="preserve"> which prescribe the use, collection and recycling of used batteries under an extended producer</w:t>
      </w:r>
      <w:r>
        <w:rPr>
          <w:rFonts w:ascii="Times New Roman" w:hAnsi="Times New Roman" w:cs="Times New Roman"/>
          <w:sz w:val="24"/>
          <w:szCs w:val="24"/>
          <w:highlight w:val="yellow"/>
        </w:rPr>
        <w:t>-</w:t>
      </w:r>
      <w:r>
        <w:rPr>
          <w:rFonts w:ascii="Times New Roman" w:hAnsi="Times New Roman" w:cs="Times New Roman"/>
          <w:sz w:val="24"/>
          <w:szCs w:val="24"/>
        </w:rPr>
        <w:t>responsibility approach. In 2021</w:t>
      </w:r>
      <w:r>
        <w:rPr>
          <w:rFonts w:ascii="Times New Roman" w:hAnsi="Times New Roman" w:cs="Times New Roman"/>
          <w:sz w:val="24"/>
          <w:szCs w:val="24"/>
          <w:highlight w:val="yellow"/>
        </w:rPr>
        <w:t>,</w:t>
      </w:r>
      <w:r>
        <w:rPr>
          <w:rFonts w:ascii="Times New Roman" w:hAnsi="Times New Roman" w:cs="Times New Roman"/>
          <w:sz w:val="24"/>
          <w:szCs w:val="24"/>
        </w:rPr>
        <w:t xml:space="preserve"> the Federal Ministry of Environment also finali</w:t>
      </w:r>
      <w:r>
        <w:rPr>
          <w:rFonts w:ascii="Times New Roman" w:hAnsi="Times New Roman" w:cs="Times New Roman"/>
          <w:sz w:val="24"/>
          <w:szCs w:val="24"/>
          <w:highlight w:val="yellow"/>
        </w:rPr>
        <w:t>s</w:t>
      </w:r>
      <w:r>
        <w:rPr>
          <w:rFonts w:ascii="Times New Roman" w:hAnsi="Times New Roman" w:cs="Times New Roman"/>
          <w:sz w:val="24"/>
          <w:szCs w:val="24"/>
        </w:rPr>
        <w:t xml:space="preserve">ed the National Waste Battery Management Policy (Ebii, 2021). Further, the National Environmental (Electrical and Electronics Sector) Regulations, enacted in 2011, were later amended to </w:t>
      </w:r>
      <w:r>
        <w:rPr>
          <w:rFonts w:ascii="Times New Roman" w:hAnsi="Times New Roman" w:cs="Times New Roman"/>
          <w:sz w:val="24"/>
          <w:szCs w:val="24"/>
          <w:highlight w:val="yellow"/>
        </w:rPr>
        <w:t>st</w:t>
      </w:r>
      <w:r>
        <w:rPr>
          <w:rFonts w:ascii="Times New Roman" w:hAnsi="Times New Roman" w:cs="Times New Roman"/>
          <w:sz w:val="24"/>
          <w:szCs w:val="24"/>
        </w:rPr>
        <w:t>r</w:t>
      </w:r>
      <w:r>
        <w:rPr>
          <w:rFonts w:ascii="Times New Roman" w:hAnsi="Times New Roman" w:cs="Times New Roman"/>
          <w:sz w:val="24"/>
          <w:szCs w:val="24"/>
          <w:highlight w:val="yellow"/>
        </w:rPr>
        <w:t>eng</w:t>
      </w:r>
      <w:r>
        <w:rPr>
          <w:rFonts w:ascii="Times New Roman" w:hAnsi="Times New Roman" w:cs="Times New Roman"/>
          <w:sz w:val="24"/>
          <w:szCs w:val="24"/>
        </w:rPr>
        <w:t>then EPR for e-waste. The amended rules will make it compulsory for manufacturers, importers, collection centres and recyclers to register with the E-waste Producer Responsibility Organisation Nigeria. This amendment result</w:t>
      </w:r>
      <w:r>
        <w:rPr>
          <w:rFonts w:ascii="Times New Roman" w:hAnsi="Times New Roman" w:cs="Times New Roman"/>
          <w:sz w:val="24"/>
          <w:szCs w:val="24"/>
          <w:highlight w:val="yellow"/>
        </w:rPr>
        <w:t>ed</w:t>
      </w:r>
      <w:r>
        <w:rPr>
          <w:rFonts w:ascii="Times New Roman" w:hAnsi="Times New Roman" w:cs="Times New Roman"/>
          <w:sz w:val="24"/>
          <w:szCs w:val="24"/>
        </w:rPr>
        <w:t xml:space="preserve"> </w:t>
      </w:r>
      <w:r>
        <w:rPr>
          <w:rFonts w:ascii="Times New Roman" w:hAnsi="Times New Roman" w:cs="Times New Roman"/>
          <w:sz w:val="24"/>
          <w:szCs w:val="24"/>
          <w:highlight w:val="yellow"/>
        </w:rPr>
        <w:t>fr</w:t>
      </w:r>
      <w:r>
        <w:rPr>
          <w:rFonts w:ascii="Times New Roman" w:hAnsi="Times New Roman" w:cs="Times New Roman"/>
          <w:sz w:val="24"/>
          <w:szCs w:val="24"/>
        </w:rPr>
        <w:t>o</w:t>
      </w:r>
      <w:r>
        <w:rPr>
          <w:rFonts w:ascii="Times New Roman" w:hAnsi="Times New Roman" w:cs="Times New Roman"/>
          <w:sz w:val="24"/>
          <w:szCs w:val="24"/>
          <w:highlight w:val="yellow"/>
        </w:rPr>
        <w:t>m</w:t>
      </w:r>
      <w:r>
        <w:rPr>
          <w:rFonts w:ascii="Times New Roman" w:hAnsi="Times New Roman" w:cs="Times New Roman"/>
          <w:sz w:val="24"/>
          <w:szCs w:val="24"/>
        </w:rPr>
        <w:t xml:space="preserve"> a Global Environment Facility project implemented by the United Nations Environment Programme and executed by NESREA (United Nations Environment Programme, 202</w:t>
      </w:r>
      <w:r>
        <w:rPr>
          <w:rFonts w:ascii="Times New Roman" w:hAnsi="Times New Roman" w:cs="Times New Roman"/>
          <w:sz w:val="24"/>
          <w:szCs w:val="24"/>
          <w:highlight w:val="yellow"/>
        </w:rPr>
        <w:t>3</w:t>
      </w:r>
      <w:r>
        <w:rPr>
          <w:rFonts w:ascii="Times New Roman" w:hAnsi="Times New Roman" w:cs="Times New Roman"/>
          <w:sz w:val="24"/>
          <w:szCs w:val="24"/>
        </w:rPr>
        <w:t>).</w:t>
      </w:r>
    </w:p>
    <w:p w14:paraId="1E480DF1" w14:textId="77777777" w:rsidR="00306F00" w:rsidRPr="00306F00" w:rsidRDefault="00306F00" w:rsidP="00306F00">
      <w:pPr>
        <w:spacing w:line="360" w:lineRule="auto"/>
        <w:rPr>
          <w:rFonts w:ascii="Times New Roman" w:hAnsi="Times New Roman" w:cs="Times New Roman"/>
          <w:sz w:val="24"/>
          <w:szCs w:val="24"/>
        </w:rPr>
      </w:pPr>
    </w:p>
    <w:p w14:paraId="4D4BA034" w14:textId="77777777" w:rsidR="00306F00" w:rsidRPr="00306F00" w:rsidRDefault="00306F00" w:rsidP="00306F00">
      <w:pPr>
        <w:spacing w:line="360" w:lineRule="auto"/>
        <w:rPr>
          <w:rFonts w:ascii="Times New Roman" w:hAnsi="Times New Roman" w:cs="Times New Roman"/>
          <w:sz w:val="24"/>
          <w:szCs w:val="24"/>
        </w:rPr>
      </w:pPr>
      <w:r>
        <w:rPr>
          <w:rFonts w:ascii="Times New Roman" w:hAnsi="Times New Roman" w:cs="Times New Roman"/>
          <w:sz w:val="24"/>
          <w:szCs w:val="24"/>
        </w:rPr>
        <w:t xml:space="preserve">However, four gaps </w:t>
      </w:r>
      <w:r>
        <w:rPr>
          <w:rFonts w:ascii="Times New Roman" w:hAnsi="Times New Roman" w:cs="Times New Roman"/>
          <w:sz w:val="24"/>
          <w:szCs w:val="24"/>
          <w:highlight w:val="yellow"/>
        </w:rPr>
        <w:t xml:space="preserve">have been </w:t>
      </w:r>
      <w:r>
        <w:rPr>
          <w:rFonts w:ascii="Times New Roman" w:hAnsi="Times New Roman" w:cs="Times New Roman"/>
          <w:sz w:val="24"/>
          <w:szCs w:val="24"/>
        </w:rPr>
        <w:t xml:space="preserve">identified </w:t>
      </w:r>
      <w:r>
        <w:rPr>
          <w:rFonts w:ascii="Times New Roman" w:hAnsi="Times New Roman" w:cs="Times New Roman"/>
          <w:sz w:val="24"/>
          <w:szCs w:val="24"/>
          <w:highlight w:val="yellow"/>
        </w:rPr>
        <w:t>t</w:t>
      </w:r>
      <w:r>
        <w:rPr>
          <w:rFonts w:ascii="Times New Roman" w:hAnsi="Times New Roman" w:cs="Times New Roman"/>
          <w:sz w:val="24"/>
          <w:szCs w:val="24"/>
        </w:rPr>
        <w:t>h</w:t>
      </w:r>
      <w:r>
        <w:rPr>
          <w:rFonts w:ascii="Times New Roman" w:hAnsi="Times New Roman" w:cs="Times New Roman"/>
          <w:sz w:val="24"/>
          <w:szCs w:val="24"/>
          <w:highlight w:val="yellow"/>
        </w:rPr>
        <w:t>at</w:t>
      </w:r>
      <w:r>
        <w:rPr>
          <w:rFonts w:ascii="Times New Roman" w:hAnsi="Times New Roman" w:cs="Times New Roman"/>
          <w:sz w:val="24"/>
          <w:szCs w:val="24"/>
        </w:rPr>
        <w:t xml:space="preserve"> do not prevent the effective governance of battery waste in Nigeria: lack of enforcement, lack of traceability, lack of institutional responsibilities, and the continued dominance of informal collection and processing.</w:t>
      </w:r>
    </w:p>
    <w:p w14:paraId="694DD9EF" w14:textId="77777777" w:rsidR="00306F00" w:rsidRPr="00306F00" w:rsidRDefault="00306F00" w:rsidP="00306F00">
      <w:pPr>
        <w:spacing w:line="360" w:lineRule="auto"/>
        <w:rPr>
          <w:rFonts w:ascii="Times New Roman" w:hAnsi="Times New Roman" w:cs="Times New Roman"/>
          <w:sz w:val="24"/>
          <w:szCs w:val="24"/>
        </w:rPr>
      </w:pPr>
    </w:p>
    <w:p w14:paraId="6AAE8701" w14:textId="77777777" w:rsidR="00306F00" w:rsidRPr="00306F00" w:rsidRDefault="00306F00" w:rsidP="00306F0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first and most significant gap is related to enforcement capacity. </w:t>
      </w:r>
      <w:r>
        <w:rPr>
          <w:rFonts w:ascii="Times New Roman" w:hAnsi="Times New Roman" w:cs="Times New Roman"/>
          <w:sz w:val="24"/>
          <w:szCs w:val="24"/>
          <w:highlight w:val="yellow"/>
        </w:rPr>
        <w:t>T</w:t>
      </w:r>
      <w:r>
        <w:rPr>
          <w:rFonts w:ascii="Times New Roman" w:hAnsi="Times New Roman" w:cs="Times New Roman"/>
          <w:sz w:val="24"/>
          <w:szCs w:val="24"/>
        </w:rPr>
        <w:t xml:space="preserve">he legal mandate to monitor compliance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and enforce the battery regulations is vested in NESREA, which needs </w:t>
      </w:r>
      <w:r>
        <w:rPr>
          <w:rFonts w:ascii="Times New Roman" w:hAnsi="Times New Roman" w:cs="Times New Roman"/>
          <w:sz w:val="24"/>
          <w:szCs w:val="24"/>
          <w:highlight w:val="yellow"/>
        </w:rPr>
        <w:t>ad</w:t>
      </w:r>
      <w:r>
        <w:rPr>
          <w:rFonts w:ascii="Times New Roman" w:hAnsi="Times New Roman" w:cs="Times New Roman"/>
          <w:sz w:val="24"/>
          <w:szCs w:val="24"/>
        </w:rPr>
        <w:t>e</w:t>
      </w:r>
      <w:r>
        <w:rPr>
          <w:rFonts w:ascii="Times New Roman" w:hAnsi="Times New Roman" w:cs="Times New Roman"/>
          <w:sz w:val="24"/>
          <w:szCs w:val="24"/>
          <w:highlight w:val="yellow"/>
        </w:rPr>
        <w:t>q</w:t>
      </w:r>
      <w:r>
        <w:rPr>
          <w:rFonts w:ascii="Times New Roman" w:hAnsi="Times New Roman" w:cs="Times New Roman"/>
          <w:sz w:val="24"/>
          <w:szCs w:val="24"/>
        </w:rPr>
        <w:t>u</w:t>
      </w:r>
      <w:r>
        <w:rPr>
          <w:rFonts w:ascii="Times New Roman" w:hAnsi="Times New Roman" w:cs="Times New Roman"/>
          <w:sz w:val="24"/>
          <w:szCs w:val="24"/>
          <w:highlight w:val="yellow"/>
        </w:rPr>
        <w:t>ate</w:t>
      </w:r>
      <w:r>
        <w:rPr>
          <w:rFonts w:ascii="Times New Roman" w:hAnsi="Times New Roman" w:cs="Times New Roman"/>
          <w:sz w:val="24"/>
          <w:szCs w:val="24"/>
        </w:rPr>
        <w:t xml:space="preserve"> staff, reliable data, laboratory capacity and supporting infrastructure to </w:t>
      </w:r>
      <w:r>
        <w:rPr>
          <w:rFonts w:ascii="Times New Roman" w:hAnsi="Times New Roman" w:cs="Times New Roman"/>
          <w:sz w:val="24"/>
          <w:szCs w:val="24"/>
          <w:highlight w:val="yellow"/>
        </w:rPr>
        <w:t>moni</w:t>
      </w:r>
      <w:r>
        <w:rPr>
          <w:rFonts w:ascii="Times New Roman" w:hAnsi="Times New Roman" w:cs="Times New Roman"/>
          <w:sz w:val="24"/>
          <w:szCs w:val="24"/>
        </w:rPr>
        <w:t>to</w:t>
      </w:r>
      <w:r>
        <w:rPr>
          <w:rFonts w:ascii="Times New Roman" w:hAnsi="Times New Roman" w:cs="Times New Roman"/>
          <w:sz w:val="24"/>
          <w:szCs w:val="24"/>
          <w:highlight w:val="yellow"/>
        </w:rPr>
        <w:t>r</w:t>
      </w:r>
      <w:r>
        <w:rPr>
          <w:rFonts w:ascii="Times New Roman" w:hAnsi="Times New Roman" w:cs="Times New Roman"/>
          <w:sz w:val="24"/>
          <w:szCs w:val="24"/>
        </w:rPr>
        <w:t xml:space="preserve"> effectively the informal sector, which is widely </w:t>
      </w:r>
      <w:r>
        <w:rPr>
          <w:rFonts w:ascii="Times New Roman" w:hAnsi="Times New Roman" w:cs="Times New Roman"/>
          <w:sz w:val="24"/>
          <w:szCs w:val="24"/>
          <w:highlight w:val="yellow"/>
        </w:rPr>
        <w:t>di</w:t>
      </w:r>
      <w:r>
        <w:rPr>
          <w:rFonts w:ascii="Times New Roman" w:hAnsi="Times New Roman" w:cs="Times New Roman"/>
          <w:sz w:val="24"/>
          <w:szCs w:val="24"/>
        </w:rPr>
        <w:t>sp</w:t>
      </w:r>
      <w:r>
        <w:rPr>
          <w:rFonts w:ascii="Times New Roman" w:hAnsi="Times New Roman" w:cs="Times New Roman"/>
          <w:sz w:val="24"/>
          <w:szCs w:val="24"/>
          <w:highlight w:val="yellow"/>
        </w:rPr>
        <w:t>e</w:t>
      </w:r>
      <w:r>
        <w:rPr>
          <w:rFonts w:ascii="Times New Roman" w:hAnsi="Times New Roman" w:cs="Times New Roman"/>
          <w:sz w:val="24"/>
          <w:szCs w:val="24"/>
        </w:rPr>
        <w:t>r</w:t>
      </w:r>
      <w:r>
        <w:rPr>
          <w:rFonts w:ascii="Times New Roman" w:hAnsi="Times New Roman" w:cs="Times New Roman"/>
          <w:sz w:val="24"/>
          <w:szCs w:val="24"/>
          <w:highlight w:val="yellow"/>
        </w:rPr>
        <w:t>s</w:t>
      </w:r>
      <w:r>
        <w:rPr>
          <w:rFonts w:ascii="Times New Roman" w:hAnsi="Times New Roman" w:cs="Times New Roman"/>
          <w:sz w:val="24"/>
          <w:szCs w:val="24"/>
        </w:rPr>
        <w:t xml:space="preserve">ed across the country. These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sou</w:t>
      </w:r>
      <w:r>
        <w:rPr>
          <w:rFonts w:ascii="Times New Roman" w:hAnsi="Times New Roman" w:cs="Times New Roman"/>
          <w:sz w:val="24"/>
          <w:szCs w:val="24"/>
        </w:rPr>
        <w:t>r</w:t>
      </w:r>
      <w:r>
        <w:rPr>
          <w:rFonts w:ascii="Times New Roman" w:hAnsi="Times New Roman" w:cs="Times New Roman"/>
          <w:sz w:val="24"/>
          <w:szCs w:val="24"/>
          <w:highlight w:val="yellow"/>
        </w:rPr>
        <w:t>ce</w:t>
      </w:r>
      <w:r>
        <w:rPr>
          <w:rFonts w:ascii="Times New Roman" w:hAnsi="Times New Roman" w:cs="Times New Roman"/>
          <w:sz w:val="24"/>
          <w:szCs w:val="24"/>
        </w:rPr>
        <w:t xml:space="preserve">s are still scarce. </w:t>
      </w:r>
      <w:r>
        <w:rPr>
          <w:rFonts w:ascii="Times New Roman" w:hAnsi="Times New Roman" w:cs="Times New Roman"/>
          <w:sz w:val="24"/>
          <w:szCs w:val="24"/>
          <w:highlight w:val="yellow"/>
        </w:rPr>
        <w:t>M</w:t>
      </w:r>
      <w:r>
        <w:rPr>
          <w:rFonts w:ascii="Times New Roman" w:hAnsi="Times New Roman" w:cs="Times New Roman"/>
          <w:sz w:val="24"/>
          <w:szCs w:val="24"/>
        </w:rPr>
        <w:t>o</w:t>
      </w:r>
      <w:r>
        <w:rPr>
          <w:rFonts w:ascii="Times New Roman" w:hAnsi="Times New Roman" w:cs="Times New Roman"/>
          <w:sz w:val="24"/>
          <w:szCs w:val="24"/>
          <w:highlight w:val="yellow"/>
        </w:rPr>
        <w:t>reover</w:t>
      </w:r>
      <w:r>
        <w:rPr>
          <w:rFonts w:ascii="Times New Roman" w:hAnsi="Times New Roman" w:cs="Times New Roman"/>
          <w:sz w:val="24"/>
          <w:szCs w:val="24"/>
        </w:rPr>
        <w:t xml:space="preserve">, many African countries lack the capacity to conduct blood-lead testing, </w:t>
      </w:r>
      <w:r>
        <w:rPr>
          <w:rFonts w:ascii="Times New Roman" w:hAnsi="Times New Roman" w:cs="Times New Roman"/>
          <w:sz w:val="24"/>
          <w:szCs w:val="24"/>
        </w:rPr>
        <w:lastRenderedPageBreak/>
        <w:t>thereby limiting routine testing and monitoring even when exposure is suspected (Gottesfeld et al., 2018).</w:t>
      </w:r>
    </w:p>
    <w:p w14:paraId="447E21C1" w14:textId="77777777" w:rsidR="00306F00" w:rsidRPr="00306F00" w:rsidRDefault="00306F00" w:rsidP="00306F00">
      <w:pPr>
        <w:spacing w:line="360" w:lineRule="auto"/>
        <w:rPr>
          <w:rFonts w:ascii="Times New Roman" w:hAnsi="Times New Roman" w:cs="Times New Roman"/>
          <w:sz w:val="24"/>
          <w:szCs w:val="24"/>
        </w:rPr>
      </w:pPr>
    </w:p>
    <w:p w14:paraId="35E1D4A3" w14:textId="77777777" w:rsidR="00306F00" w:rsidRPr="00306F00" w:rsidRDefault="00306F00" w:rsidP="00306F00">
      <w:pPr>
        <w:spacing w:line="360" w:lineRule="auto"/>
        <w:rPr>
          <w:rFonts w:ascii="Times New Roman" w:hAnsi="Times New Roman" w:cs="Times New Roman"/>
          <w:sz w:val="24"/>
          <w:szCs w:val="24"/>
        </w:rPr>
      </w:pPr>
      <w:r>
        <w:rPr>
          <w:rFonts w:ascii="Times New Roman" w:hAnsi="Times New Roman" w:cs="Times New Roman"/>
          <w:sz w:val="24"/>
          <w:szCs w:val="24"/>
        </w:rPr>
        <w:t>Traceability is the second gap</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the focus of this review. There is no requirement for collection </w:t>
      </w:r>
      <w:r>
        <w:rPr>
          <w:rFonts w:ascii="Times New Roman" w:hAnsi="Times New Roman" w:cs="Times New Roman"/>
          <w:sz w:val="24"/>
          <w:szCs w:val="24"/>
          <w:highlight w:val="yellow"/>
        </w:rPr>
        <w:t>poin</w:t>
      </w:r>
      <w:r>
        <w:rPr>
          <w:rFonts w:ascii="Times New Roman" w:hAnsi="Times New Roman" w:cs="Times New Roman"/>
          <w:sz w:val="24"/>
          <w:szCs w:val="24"/>
        </w:rPr>
        <w:t>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 xml:space="preserve">o document the previous application or sectoral origin of </w:t>
      </w:r>
      <w:r>
        <w:rPr>
          <w:rFonts w:ascii="Times New Roman" w:hAnsi="Times New Roman" w:cs="Times New Roman"/>
          <w:sz w:val="24"/>
          <w:szCs w:val="24"/>
          <w:highlight w:val="yellow"/>
        </w:rPr>
        <w:t>a</w:t>
      </w:r>
      <w:r>
        <w:rPr>
          <w:rFonts w:ascii="Times New Roman" w:hAnsi="Times New Roman" w:cs="Times New Roman"/>
          <w:sz w:val="24"/>
          <w:szCs w:val="24"/>
        </w:rPr>
        <w:t xml:space="preserve"> used battery. If batteries from solar installations join the general ULAB stream, they will no longer be distinguishable from automotive</w:t>
      </w:r>
      <w:r>
        <w:rPr>
          <w:rFonts w:ascii="Times New Roman" w:hAnsi="Times New Roman" w:cs="Times New Roman"/>
          <w:sz w:val="24"/>
          <w:szCs w:val="24"/>
          <w:highlight w:val="yellow"/>
        </w:rPr>
        <w:t>,</w:t>
      </w:r>
      <w:r>
        <w:rPr>
          <w:rFonts w:ascii="Times New Roman" w:hAnsi="Times New Roman" w:cs="Times New Roman"/>
          <w:sz w:val="24"/>
          <w:szCs w:val="24"/>
        </w:rPr>
        <w:t xml:space="preserve"> telecommunication</w:t>
      </w:r>
      <w:r>
        <w:rPr>
          <w:rFonts w:ascii="Times New Roman" w:hAnsi="Times New Roman" w:cs="Times New Roman"/>
          <w:sz w:val="24"/>
          <w:szCs w:val="24"/>
          <w:highlight w:val="yellow"/>
        </w:rPr>
        <w:t>s,</w:t>
      </w:r>
      <w:r>
        <w:rPr>
          <w:rFonts w:ascii="Times New Roman" w:hAnsi="Times New Roman" w:cs="Times New Roman"/>
          <w:sz w:val="24"/>
          <w:szCs w:val="24"/>
        </w:rPr>
        <w:t xml:space="preserve"> or inverter batteries. This makes it difficult to </w:t>
      </w:r>
      <w:r>
        <w:rPr>
          <w:rFonts w:ascii="Times New Roman" w:hAnsi="Times New Roman" w:cs="Times New Roman"/>
          <w:sz w:val="24"/>
          <w:szCs w:val="24"/>
          <w:highlight w:val="yellow"/>
        </w:rPr>
        <w:t xml:space="preserve">determine </w:t>
      </w:r>
      <w:r>
        <w:rPr>
          <w:rFonts w:ascii="Times New Roman" w:hAnsi="Times New Roman" w:cs="Times New Roman"/>
          <w:sz w:val="24"/>
          <w:szCs w:val="24"/>
        </w:rPr>
        <w:t>accurately who is responsible for solar-battery waste and how much off-grid</w:t>
      </w:r>
      <w:r>
        <w:rPr>
          <w:rFonts w:ascii="Times New Roman" w:hAnsi="Times New Roman" w:cs="Times New Roman"/>
          <w:sz w:val="24"/>
          <w:szCs w:val="24"/>
          <w:highlight w:val="yellow"/>
        </w:rPr>
        <w:t xml:space="preserve"> solar</w:t>
      </w:r>
      <w:r>
        <w:rPr>
          <w:rFonts w:ascii="Times New Roman" w:hAnsi="Times New Roman" w:cs="Times New Roman"/>
          <w:sz w:val="24"/>
          <w:szCs w:val="24"/>
        </w:rPr>
        <w:t xml:space="preserve"> systems contribute to </w:t>
      </w:r>
      <w:r>
        <w:rPr>
          <w:rFonts w:ascii="Times New Roman" w:hAnsi="Times New Roman" w:cs="Times New Roman"/>
          <w:sz w:val="24"/>
          <w:szCs w:val="24"/>
          <w:highlight w:val="yellow"/>
        </w:rPr>
        <w:t>na</w:t>
      </w:r>
      <w:r>
        <w:rPr>
          <w:rFonts w:ascii="Times New Roman" w:hAnsi="Times New Roman" w:cs="Times New Roman"/>
          <w:sz w:val="24"/>
          <w:szCs w:val="24"/>
        </w:rPr>
        <w:t>t</w:t>
      </w:r>
      <w:r>
        <w:rPr>
          <w:rFonts w:ascii="Times New Roman" w:hAnsi="Times New Roman" w:cs="Times New Roman"/>
          <w:sz w:val="24"/>
          <w:szCs w:val="24"/>
          <w:highlight w:val="yellow"/>
        </w:rPr>
        <w:t>ional ULAB</w:t>
      </w:r>
      <w:r>
        <w:rPr>
          <w:rFonts w:ascii="Times New Roman" w:hAnsi="Times New Roman" w:cs="Times New Roman"/>
          <w:sz w:val="24"/>
          <w:szCs w:val="24"/>
        </w:rPr>
        <w:t xml:space="preserve"> waste volumes.</w:t>
      </w:r>
    </w:p>
    <w:p w14:paraId="33A73DCB" w14:textId="77777777" w:rsidR="00306F00" w:rsidRPr="00306F00" w:rsidRDefault="00306F00" w:rsidP="00306F00">
      <w:pPr>
        <w:spacing w:line="360" w:lineRule="auto"/>
        <w:rPr>
          <w:rFonts w:ascii="Times New Roman" w:hAnsi="Times New Roman" w:cs="Times New Roman"/>
          <w:sz w:val="24"/>
          <w:szCs w:val="24"/>
        </w:rPr>
      </w:pPr>
    </w:p>
    <w:p w14:paraId="31FA60A6" w14:textId="77777777" w:rsidR="00306F00" w:rsidRPr="00306F00" w:rsidRDefault="00306F00" w:rsidP="00306F00">
      <w:pPr>
        <w:spacing w:line="360" w:lineRule="auto"/>
        <w:rPr>
          <w:rFonts w:ascii="Times New Roman" w:hAnsi="Times New Roman" w:cs="Times New Roman"/>
          <w:sz w:val="24"/>
          <w:szCs w:val="24"/>
        </w:rPr>
      </w:pPr>
      <w:r>
        <w:rPr>
          <w:rFonts w:ascii="Times New Roman" w:hAnsi="Times New Roman" w:cs="Times New Roman"/>
          <w:sz w:val="24"/>
          <w:szCs w:val="24"/>
        </w:rPr>
        <w:t>Institutional fragmentation is the third gap. The Nigerian Electricity Regulatory Commission (NERC), the Rural Electrification Agency (REA) and the Federal Ministry of Power are responsible for off-grid solar development, w</w:t>
      </w:r>
      <w:r>
        <w:rPr>
          <w:rFonts w:ascii="Times New Roman" w:hAnsi="Times New Roman" w:cs="Times New Roman"/>
          <w:sz w:val="24"/>
          <w:szCs w:val="24"/>
          <w:highlight w:val="yellow"/>
        </w:rPr>
        <w:t>h</w:t>
      </w:r>
      <w:r>
        <w:rPr>
          <w:rFonts w:ascii="Times New Roman" w:hAnsi="Times New Roman" w:cs="Times New Roman"/>
          <w:sz w:val="24"/>
          <w:szCs w:val="24"/>
        </w:rPr>
        <w:t>i</w:t>
      </w:r>
      <w:r>
        <w:rPr>
          <w:rFonts w:ascii="Times New Roman" w:hAnsi="Times New Roman" w:cs="Times New Roman"/>
          <w:sz w:val="24"/>
          <w:szCs w:val="24"/>
          <w:highlight w:val="yellow"/>
        </w:rPr>
        <w:t>le</w:t>
      </w:r>
      <w:r>
        <w:rPr>
          <w:rFonts w:ascii="Times New Roman" w:hAnsi="Times New Roman" w:cs="Times New Roman"/>
          <w:sz w:val="24"/>
          <w:szCs w:val="24"/>
        </w:rPr>
        <w:t xml:space="preserve"> the Federal Ministry of Environment (FMENV) i</w:t>
      </w:r>
      <w:r>
        <w:rPr>
          <w:rFonts w:ascii="Times New Roman" w:hAnsi="Times New Roman" w:cs="Times New Roman"/>
          <w:sz w:val="24"/>
          <w:szCs w:val="24"/>
          <w:highlight w:val="yellow"/>
        </w:rPr>
        <w:t>s</w:t>
      </w:r>
      <w:r>
        <w:rPr>
          <w:rFonts w:ascii="Times New Roman" w:hAnsi="Times New Roman" w:cs="Times New Roman"/>
          <w:sz w:val="24"/>
          <w:szCs w:val="24"/>
        </w:rPr>
        <w:t xml:space="preserve"> the major intervenor in </w:t>
      </w:r>
      <w:r>
        <w:rPr>
          <w:rFonts w:ascii="Times New Roman" w:hAnsi="Times New Roman" w:cs="Times New Roman"/>
          <w:sz w:val="24"/>
          <w:szCs w:val="24"/>
          <w:highlight w:val="yellow"/>
        </w:rPr>
        <w:t>ba</w:t>
      </w:r>
      <w:r>
        <w:rPr>
          <w:rFonts w:ascii="Times New Roman" w:hAnsi="Times New Roman" w:cs="Times New Roman"/>
          <w:sz w:val="24"/>
          <w:szCs w:val="24"/>
        </w:rPr>
        <w:t>t</w:t>
      </w:r>
      <w:r>
        <w:rPr>
          <w:rFonts w:ascii="Times New Roman" w:hAnsi="Times New Roman" w:cs="Times New Roman"/>
          <w:sz w:val="24"/>
          <w:szCs w:val="24"/>
          <w:highlight w:val="yellow"/>
        </w:rPr>
        <w:t>tery-wast</w:t>
      </w:r>
      <w:r>
        <w:rPr>
          <w:rFonts w:ascii="Times New Roman" w:hAnsi="Times New Roman" w:cs="Times New Roman"/>
          <w:sz w:val="24"/>
          <w:szCs w:val="24"/>
        </w:rPr>
        <w:t>e management. In the past, energy</w:t>
      </w:r>
      <w:r>
        <w:rPr>
          <w:rFonts w:ascii="Times New Roman" w:hAnsi="Times New Roman" w:cs="Times New Roman"/>
          <w:sz w:val="24"/>
          <w:szCs w:val="24"/>
          <w:highlight w:val="yellow"/>
        </w:rPr>
        <w:t>-</w:t>
      </w:r>
      <w:r>
        <w:rPr>
          <w:rFonts w:ascii="Times New Roman" w:hAnsi="Times New Roman" w:cs="Times New Roman"/>
          <w:sz w:val="24"/>
          <w:szCs w:val="24"/>
        </w:rPr>
        <w:t xml:space="preserve">sector products did not have </w:t>
      </w:r>
      <w:r>
        <w:rPr>
          <w:rFonts w:ascii="Times New Roman" w:hAnsi="Times New Roman" w:cs="Times New Roman"/>
          <w:sz w:val="24"/>
          <w:szCs w:val="24"/>
          <w:highlight w:val="yellow"/>
        </w:rPr>
        <w:t>suffici</w:t>
      </w:r>
      <w:r>
        <w:rPr>
          <w:rFonts w:ascii="Times New Roman" w:hAnsi="Times New Roman" w:cs="Times New Roman"/>
          <w:sz w:val="24"/>
          <w:szCs w:val="24"/>
        </w:rPr>
        <w:t>en</w:t>
      </w:r>
      <w:r>
        <w:rPr>
          <w:rFonts w:ascii="Times New Roman" w:hAnsi="Times New Roman" w:cs="Times New Roman"/>
          <w:sz w:val="24"/>
          <w:szCs w:val="24"/>
          <w:highlight w:val="yellow"/>
        </w:rPr>
        <w:t>tly</w:t>
      </w:r>
      <w:r>
        <w:rPr>
          <w:rFonts w:ascii="Times New Roman" w:hAnsi="Times New Roman" w:cs="Times New Roman"/>
          <w:sz w:val="24"/>
          <w:szCs w:val="24"/>
        </w:rPr>
        <w:t xml:space="preserve"> explicit “end-of-life” requirements for solar</w:t>
      </w:r>
      <w:r>
        <w:rPr>
          <w:rFonts w:ascii="Times New Roman" w:hAnsi="Times New Roman" w:cs="Times New Roman"/>
          <w:sz w:val="24"/>
          <w:szCs w:val="24"/>
          <w:highlight w:val="yellow"/>
        </w:rPr>
        <w:t>-</w:t>
      </w:r>
      <w:r>
        <w:rPr>
          <w:rFonts w:ascii="Times New Roman" w:hAnsi="Times New Roman" w:cs="Times New Roman"/>
          <w:sz w:val="24"/>
          <w:szCs w:val="24"/>
        </w:rPr>
        <w:t>system developers and battery importers. This energy-</w:t>
      </w:r>
      <w:r>
        <w:rPr>
          <w:rFonts w:ascii="Times New Roman" w:hAnsi="Times New Roman" w:cs="Times New Roman"/>
          <w:sz w:val="24"/>
          <w:szCs w:val="24"/>
          <w:highlight w:val="yellow"/>
        </w:rPr>
        <w:t>s</w:t>
      </w:r>
      <w:r>
        <w:rPr>
          <w:rFonts w:ascii="Times New Roman" w:hAnsi="Times New Roman" w:cs="Times New Roman"/>
          <w:sz w:val="24"/>
          <w:szCs w:val="24"/>
        </w:rPr>
        <w:t>e</w:t>
      </w:r>
      <w:r>
        <w:rPr>
          <w:rFonts w:ascii="Times New Roman" w:hAnsi="Times New Roman" w:cs="Times New Roman"/>
          <w:sz w:val="24"/>
          <w:szCs w:val="24"/>
          <w:highlight w:val="yellow"/>
        </w:rPr>
        <w:t>cto</w:t>
      </w:r>
      <w:r>
        <w:rPr>
          <w:rFonts w:ascii="Times New Roman" w:hAnsi="Times New Roman" w:cs="Times New Roman"/>
          <w:sz w:val="24"/>
          <w:szCs w:val="24"/>
        </w:rPr>
        <w:t xml:space="preserve">r divide and accountability </w:t>
      </w:r>
      <w:r>
        <w:rPr>
          <w:rFonts w:ascii="Times New Roman" w:hAnsi="Times New Roman" w:cs="Times New Roman"/>
          <w:sz w:val="24"/>
          <w:szCs w:val="24"/>
          <w:highlight w:val="yellow"/>
        </w:rPr>
        <w:t>gap w</w:t>
      </w:r>
      <w:r>
        <w:rPr>
          <w:rFonts w:ascii="Times New Roman" w:hAnsi="Times New Roman" w:cs="Times New Roman"/>
          <w:sz w:val="24"/>
          <w:szCs w:val="24"/>
        </w:rPr>
        <w:t>e</w:t>
      </w:r>
      <w:r>
        <w:rPr>
          <w:rFonts w:ascii="Times New Roman" w:hAnsi="Times New Roman" w:cs="Times New Roman"/>
          <w:sz w:val="24"/>
          <w:szCs w:val="24"/>
          <w:highlight w:val="yellow"/>
        </w:rPr>
        <w:t>ak</w:t>
      </w:r>
      <w:r>
        <w:rPr>
          <w:rFonts w:ascii="Times New Roman" w:hAnsi="Times New Roman" w:cs="Times New Roman"/>
          <w:sz w:val="24"/>
          <w:szCs w:val="24"/>
        </w:rPr>
        <w:t xml:space="preserve">en accountability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the battery lifecycle.</w:t>
      </w:r>
    </w:p>
    <w:p w14:paraId="6D5A9A37" w14:textId="77777777" w:rsidR="00306F00" w:rsidRPr="00306F00" w:rsidRDefault="00306F00" w:rsidP="00306F00">
      <w:pPr>
        <w:spacing w:line="360" w:lineRule="auto"/>
        <w:rPr>
          <w:rFonts w:ascii="Times New Roman" w:hAnsi="Times New Roman" w:cs="Times New Roman"/>
          <w:sz w:val="24"/>
          <w:szCs w:val="24"/>
        </w:rPr>
      </w:pPr>
    </w:p>
    <w:p w14:paraId="47DB2EFC" w14:textId="77777777" w:rsidR="00A322A9" w:rsidRDefault="00306F00" w:rsidP="00306F00">
      <w:pPr>
        <w:spacing w:line="360" w:lineRule="auto"/>
        <w:rPr>
          <w:rFonts w:ascii="Times New Roman" w:hAnsi="Times New Roman" w:cs="Times New Roman"/>
          <w:b/>
          <w:bCs/>
          <w:sz w:val="24"/>
          <w:szCs w:val="24"/>
        </w:rPr>
      </w:pPr>
      <w:r>
        <w:rPr>
          <w:rFonts w:ascii="Times New Roman" w:hAnsi="Times New Roman" w:cs="Times New Roman"/>
          <w:sz w:val="24"/>
          <w:szCs w:val="24"/>
        </w:rPr>
        <w:t>The fourth gap is informality. For extended producer responsibility</w:t>
      </w:r>
      <w:r>
        <w:rPr>
          <w:rFonts w:ascii="Times New Roman" w:hAnsi="Times New Roman" w:cs="Times New Roman"/>
          <w:sz w:val="24"/>
          <w:szCs w:val="24"/>
          <w:highlight w:val="yellow"/>
        </w:rPr>
        <w:t xml:space="preserve"> to succeed</w:t>
      </w:r>
      <w:r>
        <w:rPr>
          <w:rFonts w:ascii="Times New Roman" w:hAnsi="Times New Roman" w:cs="Times New Roman"/>
          <w:sz w:val="24"/>
          <w:szCs w:val="24"/>
        </w:rPr>
        <w:t>, producers and importers should be identifiable and able to be registered, monitored and held accountable. Yet, import</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distribution networks for solar batteries in Nigeria a</w:t>
      </w:r>
      <w:r>
        <w:rPr>
          <w:rFonts w:ascii="Times New Roman" w:hAnsi="Times New Roman" w:cs="Times New Roman"/>
          <w:sz w:val="24"/>
          <w:szCs w:val="24"/>
          <w:highlight w:val="yellow"/>
        </w:rPr>
        <w:t>re weak, a</w:t>
      </w:r>
      <w:r>
        <w:rPr>
          <w:rFonts w:ascii="Times New Roman" w:hAnsi="Times New Roman" w:cs="Times New Roman"/>
          <w:sz w:val="24"/>
          <w:szCs w:val="24"/>
        </w:rPr>
        <w:t>nd m</w:t>
      </w:r>
      <w:r>
        <w:rPr>
          <w:rFonts w:ascii="Times New Roman" w:hAnsi="Times New Roman" w:cs="Times New Roman"/>
          <w:sz w:val="24"/>
          <w:szCs w:val="24"/>
          <w:highlight w:val="yellow"/>
        </w:rPr>
        <w:t>uch</w:t>
      </w:r>
      <w:r>
        <w:rPr>
          <w:rFonts w:ascii="Times New Roman" w:hAnsi="Times New Roman" w:cs="Times New Roman"/>
          <w:sz w:val="24"/>
          <w:szCs w:val="24"/>
        </w:rPr>
        <w:t xml:space="preserve"> of the collection and processing is </w:t>
      </w:r>
      <w:r>
        <w:rPr>
          <w:rFonts w:ascii="Times New Roman" w:hAnsi="Times New Roman" w:cs="Times New Roman"/>
          <w:sz w:val="24"/>
          <w:szCs w:val="24"/>
          <w:highlight w:val="yellow"/>
        </w:rPr>
        <w:t>u</w:t>
      </w:r>
      <w:r>
        <w:rPr>
          <w:rFonts w:ascii="Times New Roman" w:hAnsi="Times New Roman" w:cs="Times New Roman"/>
          <w:sz w:val="24"/>
          <w:szCs w:val="24"/>
        </w:rPr>
        <w:t xml:space="preserve">nregistered. This reduces the effectiveness of producer-responsibility initiatives and enables used batteries to </w:t>
      </w:r>
      <w:r>
        <w:rPr>
          <w:rFonts w:ascii="Times New Roman" w:hAnsi="Times New Roman" w:cs="Times New Roman"/>
          <w:sz w:val="24"/>
          <w:szCs w:val="24"/>
          <w:highlight w:val="yellow"/>
        </w:rPr>
        <w:t>mov</w:t>
      </w:r>
      <w:r>
        <w:rPr>
          <w:rFonts w:ascii="Times New Roman" w:hAnsi="Times New Roman" w:cs="Times New Roman"/>
          <w:sz w:val="24"/>
          <w:szCs w:val="24"/>
        </w:rPr>
        <w:t>e through collection and recycling systems that are not necessarily well regulated.</w:t>
      </w:r>
    </w:p>
    <w:p w14:paraId="3EA64EE4"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7. Circular-Economy Responses</w:t>
      </w:r>
    </w:p>
    <w:p w14:paraId="0D2D5666"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 xml:space="preserve">Lead-acid batteries have significant potential for circular management </w:t>
      </w:r>
      <w:r>
        <w:rPr>
          <w:rFonts w:ascii="Times New Roman" w:hAnsi="Times New Roman" w:cs="Times New Roman"/>
          <w:sz w:val="24"/>
          <w:szCs w:val="24"/>
          <w:highlight w:val="yellow"/>
        </w:rPr>
        <w:t>because</w:t>
      </w:r>
      <w:r>
        <w:rPr>
          <w:rFonts w:ascii="Times New Roman" w:hAnsi="Times New Roman" w:cs="Times New Roman"/>
          <w:sz w:val="24"/>
          <w:szCs w:val="24"/>
        </w:rPr>
        <w:t xml:space="preserve"> the lead i</w:t>
      </w:r>
      <w:r>
        <w:rPr>
          <w:rFonts w:ascii="Times New Roman" w:hAnsi="Times New Roman" w:cs="Times New Roman"/>
          <w:sz w:val="24"/>
          <w:szCs w:val="24"/>
          <w:highlight w:val="yellow"/>
        </w:rPr>
        <w:t>s</w:t>
      </w:r>
      <w:r>
        <w:rPr>
          <w:rFonts w:ascii="Times New Roman" w:hAnsi="Times New Roman" w:cs="Times New Roman"/>
          <w:sz w:val="24"/>
          <w:szCs w:val="24"/>
        </w:rPr>
        <w:t xml:space="preserve"> recoverable and reusable</w:t>
      </w:r>
      <w:r>
        <w:rPr>
          <w:rFonts w:ascii="Times New Roman" w:hAnsi="Times New Roman" w:cs="Times New Roman"/>
          <w:sz w:val="24"/>
          <w:szCs w:val="24"/>
          <w:highlight w:val="yellow"/>
        </w:rPr>
        <w:t>,</w:t>
      </w:r>
      <w:r>
        <w:rPr>
          <w:rFonts w:ascii="Times New Roman" w:hAnsi="Times New Roman" w:cs="Times New Roman"/>
          <w:sz w:val="24"/>
          <w:szCs w:val="24"/>
        </w:rPr>
        <w:t xml:space="preserve"> and scrap value ha</w:t>
      </w:r>
      <w:r>
        <w:rPr>
          <w:rFonts w:ascii="Times New Roman" w:hAnsi="Times New Roman" w:cs="Times New Roman"/>
          <w:sz w:val="24"/>
          <w:szCs w:val="24"/>
          <w:highlight w:val="yellow"/>
        </w:rPr>
        <w:t>s</w:t>
      </w:r>
      <w:r>
        <w:rPr>
          <w:rFonts w:ascii="Times New Roman" w:hAnsi="Times New Roman" w:cs="Times New Roman"/>
          <w:sz w:val="24"/>
          <w:szCs w:val="24"/>
        </w:rPr>
        <w:t xml:space="preserve"> already prove</w:t>
      </w:r>
      <w:r>
        <w:rPr>
          <w:rFonts w:ascii="Times New Roman" w:hAnsi="Times New Roman" w:cs="Times New Roman"/>
          <w:sz w:val="24"/>
          <w:szCs w:val="24"/>
          <w:highlight w:val="yellow"/>
        </w:rPr>
        <w:t>d</w:t>
      </w:r>
      <w:r>
        <w:rPr>
          <w:rFonts w:ascii="Times New Roman" w:hAnsi="Times New Roman" w:cs="Times New Roman"/>
          <w:sz w:val="24"/>
          <w:szCs w:val="24"/>
        </w:rPr>
        <w:t xml:space="preserve"> to be a strong economic driver for collection. The main problem in Nigeria, however,</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not only the collection of spent batteries </w:t>
      </w:r>
      <w:r>
        <w:rPr>
          <w:rFonts w:ascii="Times New Roman" w:hAnsi="Times New Roman" w:cs="Times New Roman"/>
          <w:sz w:val="24"/>
          <w:szCs w:val="24"/>
        </w:rPr>
        <w:lastRenderedPageBreak/>
        <w:t>but also the</w:t>
      </w:r>
      <w:r>
        <w:rPr>
          <w:rFonts w:ascii="Times New Roman" w:hAnsi="Times New Roman" w:cs="Times New Roman"/>
          <w:sz w:val="24"/>
          <w:szCs w:val="24"/>
          <w:highlight w:val="yellow"/>
        </w:rPr>
        <w:t>ir</w:t>
      </w:r>
      <w:r>
        <w:rPr>
          <w:rFonts w:ascii="Times New Roman" w:hAnsi="Times New Roman" w:cs="Times New Roman"/>
          <w:sz w:val="24"/>
          <w:szCs w:val="24"/>
        </w:rPr>
        <w:t xml:space="preserve"> traceability and environmentally </w:t>
      </w:r>
      <w:r>
        <w:rPr>
          <w:rFonts w:ascii="Times New Roman" w:hAnsi="Times New Roman" w:cs="Times New Roman"/>
          <w:sz w:val="24"/>
          <w:szCs w:val="24"/>
          <w:highlight w:val="yellow"/>
        </w:rPr>
        <w:t>sou</w:t>
      </w:r>
      <w:r>
        <w:rPr>
          <w:rFonts w:ascii="Times New Roman" w:hAnsi="Times New Roman" w:cs="Times New Roman"/>
          <w:sz w:val="24"/>
          <w:szCs w:val="24"/>
        </w:rPr>
        <w:t xml:space="preserve">nd </w:t>
      </w:r>
      <w:r>
        <w:rPr>
          <w:rFonts w:ascii="Times New Roman" w:hAnsi="Times New Roman" w:cs="Times New Roman"/>
          <w:sz w:val="24"/>
          <w:szCs w:val="24"/>
          <w:highlight w:val="yellow"/>
        </w:rPr>
        <w:t>processi</w:t>
      </w:r>
      <w:r>
        <w:rPr>
          <w:rFonts w:ascii="Times New Roman" w:hAnsi="Times New Roman" w:cs="Times New Roman"/>
          <w:sz w:val="24"/>
          <w:szCs w:val="24"/>
        </w:rPr>
        <w:t>n</w:t>
      </w:r>
      <w:r>
        <w:rPr>
          <w:rFonts w:ascii="Times New Roman" w:hAnsi="Times New Roman" w:cs="Times New Roman"/>
          <w:sz w:val="24"/>
          <w:szCs w:val="24"/>
          <w:highlight w:val="yellow"/>
        </w:rPr>
        <w:t>g</w:t>
      </w:r>
      <w:r>
        <w:rPr>
          <w:rFonts w:ascii="Times New Roman" w:hAnsi="Times New Roman" w:cs="Times New Roman"/>
          <w:sz w:val="24"/>
          <w:szCs w:val="24"/>
        </w:rPr>
        <w:t>. The following five measures would address the above gaps in regulation and operation.</w:t>
      </w:r>
    </w:p>
    <w:p w14:paraId="1F584B2B" w14:textId="77777777" w:rsidR="00581023" w:rsidRPr="00581023" w:rsidRDefault="00581023" w:rsidP="00581023">
      <w:pPr>
        <w:spacing w:line="360" w:lineRule="auto"/>
        <w:rPr>
          <w:rFonts w:ascii="Times New Roman" w:hAnsi="Times New Roman" w:cs="Times New Roman"/>
          <w:sz w:val="24"/>
          <w:szCs w:val="24"/>
        </w:rPr>
      </w:pPr>
    </w:p>
    <w:p w14:paraId="1948685F"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The first step in this regard is to adopt a source</w:t>
      </w:r>
      <w:r>
        <w:rPr>
          <w:rFonts w:ascii="Times New Roman" w:hAnsi="Times New Roman" w:cs="Times New Roman"/>
          <w:sz w:val="24"/>
          <w:szCs w:val="24"/>
          <w:highlight w:val="yellow"/>
        </w:rPr>
        <w:t>-</w:t>
      </w:r>
      <w:r>
        <w:rPr>
          <w:rFonts w:ascii="Times New Roman" w:hAnsi="Times New Roman" w:cs="Times New Roman"/>
          <w:sz w:val="24"/>
          <w:szCs w:val="24"/>
        </w:rPr>
        <w:t xml:space="preserve">tagged collection system. Installers and mini-grid owners may need to document </w:t>
      </w:r>
      <w:r>
        <w:rPr>
          <w:rFonts w:ascii="Times New Roman" w:hAnsi="Times New Roman" w:cs="Times New Roman"/>
          <w:sz w:val="24"/>
          <w:szCs w:val="24"/>
          <w:highlight w:val="yellow"/>
        </w:rPr>
        <w:t>ba</w:t>
      </w:r>
      <w:r>
        <w:rPr>
          <w:rFonts w:ascii="Times New Roman" w:hAnsi="Times New Roman" w:cs="Times New Roman"/>
          <w:sz w:val="24"/>
          <w:szCs w:val="24"/>
        </w:rPr>
        <w:t>t</w:t>
      </w:r>
      <w:r>
        <w:rPr>
          <w:rFonts w:ascii="Times New Roman" w:hAnsi="Times New Roman" w:cs="Times New Roman"/>
          <w:sz w:val="24"/>
          <w:szCs w:val="24"/>
          <w:highlight w:val="yellow"/>
        </w:rPr>
        <w:t>t</w:t>
      </w:r>
      <w:r>
        <w:rPr>
          <w:rFonts w:ascii="Times New Roman" w:hAnsi="Times New Roman" w:cs="Times New Roman"/>
          <w:sz w:val="24"/>
          <w:szCs w:val="24"/>
        </w:rPr>
        <w:t>e</w:t>
      </w:r>
      <w:r>
        <w:rPr>
          <w:rFonts w:ascii="Times New Roman" w:hAnsi="Times New Roman" w:cs="Times New Roman"/>
          <w:sz w:val="24"/>
          <w:szCs w:val="24"/>
          <w:highlight w:val="yellow"/>
        </w:rPr>
        <w:t>ry</w:t>
      </w:r>
      <w:r>
        <w:rPr>
          <w:rFonts w:ascii="Times New Roman" w:hAnsi="Times New Roman" w:cs="Times New Roman"/>
          <w:sz w:val="24"/>
          <w:szCs w:val="24"/>
        </w:rPr>
        <w:t xml:space="preserve"> serial numbers, installation sites and dates, and when the batteries are used and returned. </w:t>
      </w:r>
      <w:r>
        <w:rPr>
          <w:rFonts w:ascii="Times New Roman" w:hAnsi="Times New Roman" w:cs="Times New Roman"/>
          <w:sz w:val="24"/>
          <w:szCs w:val="24"/>
          <w:highlight w:val="yellow"/>
        </w:rPr>
        <w:t>Maintain</w:t>
      </w:r>
      <w:r>
        <w:rPr>
          <w:rFonts w:ascii="Times New Roman" w:hAnsi="Times New Roman" w:cs="Times New Roman"/>
          <w:sz w:val="24"/>
          <w:szCs w:val="24"/>
        </w:rPr>
        <w:t xml:space="preserve">ing these records </w:t>
      </w:r>
      <w:r>
        <w:rPr>
          <w:rFonts w:ascii="Times New Roman" w:hAnsi="Times New Roman" w:cs="Times New Roman"/>
          <w:sz w:val="24"/>
          <w:szCs w:val="24"/>
          <w:highlight w:val="yellow"/>
        </w:rPr>
        <w:t>thr</w:t>
      </w:r>
      <w:r>
        <w:rPr>
          <w:rFonts w:ascii="Times New Roman" w:hAnsi="Times New Roman" w:cs="Times New Roman"/>
          <w:sz w:val="24"/>
          <w:szCs w:val="24"/>
        </w:rPr>
        <w:t>o</w:t>
      </w:r>
      <w:r>
        <w:rPr>
          <w:rFonts w:ascii="Times New Roman" w:hAnsi="Times New Roman" w:cs="Times New Roman"/>
          <w:sz w:val="24"/>
          <w:szCs w:val="24"/>
          <w:highlight w:val="yellow"/>
        </w:rPr>
        <w:t>u</w:t>
      </w:r>
      <w:r>
        <w:rPr>
          <w:rFonts w:ascii="Times New Roman" w:hAnsi="Times New Roman" w:cs="Times New Roman"/>
          <w:sz w:val="24"/>
          <w:szCs w:val="24"/>
        </w:rPr>
        <w:t>g</w:t>
      </w:r>
      <w:r>
        <w:rPr>
          <w:rFonts w:ascii="Times New Roman" w:hAnsi="Times New Roman" w:cs="Times New Roman"/>
          <w:sz w:val="24"/>
          <w:szCs w:val="24"/>
          <w:highlight w:val="yellow"/>
        </w:rPr>
        <w:t>hout</w:t>
      </w:r>
      <w:r>
        <w:rPr>
          <w:rFonts w:ascii="Times New Roman" w:hAnsi="Times New Roman" w:cs="Times New Roman"/>
          <w:sz w:val="24"/>
          <w:szCs w:val="24"/>
        </w:rPr>
        <w:t xml:space="preserve"> the battery's life would p</w:t>
      </w:r>
      <w:r>
        <w:rPr>
          <w:rFonts w:ascii="Times New Roman" w:hAnsi="Times New Roman" w:cs="Times New Roman"/>
          <w:sz w:val="24"/>
          <w:szCs w:val="24"/>
          <w:highlight w:val="yellow"/>
        </w:rPr>
        <w:t>rovide</w:t>
      </w:r>
      <w:r>
        <w:rPr>
          <w:rFonts w:ascii="Times New Roman" w:hAnsi="Times New Roman" w:cs="Times New Roman"/>
          <w:sz w:val="24"/>
          <w:szCs w:val="24"/>
        </w:rPr>
        <w:t xml:space="preserve"> the missing origin d</w:t>
      </w:r>
      <w:r>
        <w:rPr>
          <w:rFonts w:ascii="Times New Roman" w:hAnsi="Times New Roman" w:cs="Times New Roman"/>
          <w:sz w:val="24"/>
          <w:szCs w:val="24"/>
          <w:highlight w:val="yellow"/>
        </w:rPr>
        <w:t>ata,</w:t>
      </w:r>
      <w:r>
        <w:rPr>
          <w:rFonts w:ascii="Times New Roman" w:hAnsi="Times New Roman" w:cs="Times New Roman"/>
          <w:sz w:val="24"/>
          <w:szCs w:val="24"/>
        </w:rPr>
        <w:t xml:space="preserve"> enabl</w:t>
      </w:r>
      <w:r>
        <w:rPr>
          <w:rFonts w:ascii="Times New Roman" w:hAnsi="Times New Roman" w:cs="Times New Roman"/>
          <w:sz w:val="24"/>
          <w:szCs w:val="24"/>
          <w:highlight w:val="yellow"/>
        </w:rPr>
        <w:t>ing</w:t>
      </w:r>
      <w:r>
        <w:rPr>
          <w:rFonts w:ascii="Times New Roman" w:hAnsi="Times New Roman" w:cs="Times New Roman"/>
          <w:sz w:val="24"/>
          <w:szCs w:val="24"/>
        </w:rPr>
        <w:t xml:space="preserve"> estimation of the share of </w:t>
      </w:r>
      <w:r>
        <w:rPr>
          <w:rFonts w:ascii="Times New Roman" w:hAnsi="Times New Roman" w:cs="Times New Roman"/>
          <w:sz w:val="24"/>
          <w:szCs w:val="24"/>
          <w:highlight w:val="yellow"/>
        </w:rPr>
        <w:t xml:space="preserve">national LAB volumes attributable to </w:t>
      </w:r>
      <w:r>
        <w:rPr>
          <w:rFonts w:ascii="Times New Roman" w:hAnsi="Times New Roman" w:cs="Times New Roman"/>
          <w:sz w:val="24"/>
          <w:szCs w:val="24"/>
        </w:rPr>
        <w:t>off-grid solar systems. It would also enhance the monitoring and evaluation of other interventions.</w:t>
      </w:r>
    </w:p>
    <w:p w14:paraId="09D8BD63" w14:textId="77777777" w:rsidR="00581023" w:rsidRPr="00581023" w:rsidRDefault="00581023" w:rsidP="00581023">
      <w:pPr>
        <w:spacing w:line="360" w:lineRule="auto"/>
        <w:rPr>
          <w:rFonts w:ascii="Times New Roman" w:hAnsi="Times New Roman" w:cs="Times New Roman"/>
          <w:sz w:val="24"/>
          <w:szCs w:val="24"/>
        </w:rPr>
      </w:pPr>
    </w:p>
    <w:p w14:paraId="5AE62D45"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Second, the current Extended Producer Responsibility system needs to be tailored to the off-grid solar market. Importers, distributors, solar developers and mini-grid operators could have specific roles in financing and</w:t>
      </w:r>
      <w:r>
        <w:rPr>
          <w:rFonts w:ascii="Times New Roman" w:hAnsi="Times New Roman" w:cs="Times New Roman"/>
          <w:sz w:val="24"/>
          <w:szCs w:val="24"/>
          <w:highlight w:val="yellow"/>
        </w:rPr>
        <w:t xml:space="preserve"> ensuring the</w:t>
      </w:r>
      <w:r>
        <w:rPr>
          <w:rFonts w:ascii="Times New Roman" w:hAnsi="Times New Roman" w:cs="Times New Roman"/>
          <w:sz w:val="24"/>
          <w:szCs w:val="24"/>
        </w:rPr>
        <w:t xml:space="preserve"> safe recycling of storage batteries. This system could be </w:t>
      </w:r>
      <w:r>
        <w:rPr>
          <w:rFonts w:ascii="Times New Roman" w:hAnsi="Times New Roman" w:cs="Times New Roman"/>
          <w:sz w:val="24"/>
          <w:szCs w:val="24"/>
          <w:highlight w:val="yellow"/>
        </w:rPr>
        <w:t>fin</w:t>
      </w:r>
      <w:r>
        <w:rPr>
          <w:rFonts w:ascii="Times New Roman" w:hAnsi="Times New Roman" w:cs="Times New Roman"/>
          <w:sz w:val="24"/>
          <w:szCs w:val="24"/>
        </w:rPr>
        <w:t>a</w:t>
      </w:r>
      <w:r>
        <w:rPr>
          <w:rFonts w:ascii="Times New Roman" w:hAnsi="Times New Roman" w:cs="Times New Roman"/>
          <w:sz w:val="24"/>
          <w:szCs w:val="24"/>
          <w:highlight w:val="yellow"/>
        </w:rPr>
        <w:t>nce</w:t>
      </w:r>
      <w:r>
        <w:rPr>
          <w:rFonts w:ascii="Times New Roman" w:hAnsi="Times New Roman" w:cs="Times New Roman"/>
          <w:sz w:val="24"/>
          <w:szCs w:val="24"/>
        </w:rPr>
        <w:t>d through a levy</w:t>
      </w:r>
      <w:r>
        <w:rPr>
          <w:rFonts w:ascii="Times New Roman" w:hAnsi="Times New Roman" w:cs="Times New Roman"/>
          <w:sz w:val="24"/>
          <w:szCs w:val="24"/>
          <w:highlight w:val="yellow"/>
        </w:rPr>
        <w:t xml:space="preserve"> imposed</w:t>
      </w:r>
      <w:r>
        <w:rPr>
          <w:rFonts w:ascii="Times New Roman" w:hAnsi="Times New Roman" w:cs="Times New Roman"/>
          <w:sz w:val="24"/>
          <w:szCs w:val="24"/>
        </w:rPr>
        <w:t xml:space="preserve"> when the goods are imported. Nigeria already has a legal framework for EPR, so the key will be to clarify and reinforce sector-specific requirements rather than creat</w:t>
      </w:r>
      <w:r>
        <w:rPr>
          <w:rFonts w:ascii="Times New Roman" w:hAnsi="Times New Roman" w:cs="Times New Roman"/>
          <w:sz w:val="24"/>
          <w:szCs w:val="24"/>
          <w:highlight w:val="yellow"/>
        </w:rPr>
        <w:t>e</w:t>
      </w:r>
      <w:r>
        <w:rPr>
          <w:rFonts w:ascii="Times New Roman" w:hAnsi="Times New Roman" w:cs="Times New Roman"/>
          <w:sz w:val="24"/>
          <w:szCs w:val="24"/>
        </w:rPr>
        <w:t xml:space="preserve"> a new regulatory framework.</w:t>
      </w:r>
    </w:p>
    <w:p w14:paraId="4B6393A5" w14:textId="77777777" w:rsidR="00581023" w:rsidRPr="00581023" w:rsidRDefault="00581023" w:rsidP="00581023">
      <w:pPr>
        <w:spacing w:line="360" w:lineRule="auto"/>
        <w:rPr>
          <w:rFonts w:ascii="Times New Roman" w:hAnsi="Times New Roman" w:cs="Times New Roman"/>
          <w:sz w:val="24"/>
          <w:szCs w:val="24"/>
        </w:rPr>
      </w:pPr>
    </w:p>
    <w:p w14:paraId="46240A24"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Thirdly, a deposit-return scheme would help formal collection. This would involve customer</w:t>
      </w:r>
      <w:r>
        <w:rPr>
          <w:rFonts w:ascii="Times New Roman" w:hAnsi="Times New Roman" w:cs="Times New Roman"/>
          <w:sz w:val="24"/>
          <w:szCs w:val="24"/>
          <w:highlight w:val="yellow"/>
        </w:rPr>
        <w:t>s</w:t>
      </w:r>
      <w:r>
        <w:rPr>
          <w:rFonts w:ascii="Times New Roman" w:hAnsi="Times New Roman" w:cs="Times New Roman"/>
          <w:sz w:val="24"/>
          <w:szCs w:val="24"/>
        </w:rPr>
        <w:t xml:space="preserve"> paying a refundable deposit </w:t>
      </w:r>
      <w:r>
        <w:rPr>
          <w:rFonts w:ascii="Times New Roman" w:hAnsi="Times New Roman" w:cs="Times New Roman"/>
          <w:sz w:val="24"/>
          <w:szCs w:val="24"/>
          <w:highlight w:val="yellow"/>
        </w:rPr>
        <w:t>w</w:t>
      </w:r>
      <w:r>
        <w:rPr>
          <w:rFonts w:ascii="Times New Roman" w:hAnsi="Times New Roman" w:cs="Times New Roman"/>
          <w:sz w:val="24"/>
          <w:szCs w:val="24"/>
        </w:rPr>
        <w:t>he</w:t>
      </w:r>
      <w:r>
        <w:rPr>
          <w:rFonts w:ascii="Times New Roman" w:hAnsi="Times New Roman" w:cs="Times New Roman"/>
          <w:sz w:val="24"/>
          <w:szCs w:val="24"/>
          <w:highlight w:val="yellow"/>
        </w:rPr>
        <w:t>n</w:t>
      </w:r>
      <w:r>
        <w:rPr>
          <w:rFonts w:ascii="Times New Roman" w:hAnsi="Times New Roman" w:cs="Times New Roman"/>
          <w:sz w:val="24"/>
          <w:szCs w:val="24"/>
        </w:rPr>
        <w:t xml:space="preserve"> </w:t>
      </w:r>
      <w:r>
        <w:rPr>
          <w:rFonts w:ascii="Times New Roman" w:hAnsi="Times New Roman" w:cs="Times New Roman"/>
          <w:sz w:val="24"/>
          <w:szCs w:val="24"/>
          <w:highlight w:val="yellow"/>
        </w:rPr>
        <w:t>p</w:t>
      </w:r>
      <w:r>
        <w:rPr>
          <w:rFonts w:ascii="Times New Roman" w:hAnsi="Times New Roman" w:cs="Times New Roman"/>
          <w:sz w:val="24"/>
          <w:szCs w:val="24"/>
        </w:rPr>
        <w:t>u</w:t>
      </w:r>
      <w:r>
        <w:rPr>
          <w:rFonts w:ascii="Times New Roman" w:hAnsi="Times New Roman" w:cs="Times New Roman"/>
          <w:sz w:val="24"/>
          <w:szCs w:val="24"/>
          <w:highlight w:val="yellow"/>
        </w:rPr>
        <w:t>rchas</w:t>
      </w:r>
      <w:r>
        <w:rPr>
          <w:rFonts w:ascii="Times New Roman" w:hAnsi="Times New Roman" w:cs="Times New Roman"/>
          <w:sz w:val="24"/>
          <w:szCs w:val="24"/>
        </w:rPr>
        <w:t xml:space="preserve">ing a battery and receiving it back when they return the spent battery to an authorised collector. The direct cash-on-cash incentive for formal return could make the scheme a viable </w:t>
      </w:r>
      <w:r>
        <w:rPr>
          <w:rFonts w:ascii="Times New Roman" w:hAnsi="Times New Roman" w:cs="Times New Roman"/>
          <w:sz w:val="24"/>
          <w:szCs w:val="24"/>
          <w:highlight w:val="yellow"/>
        </w:rPr>
        <w:t>alterna</w:t>
      </w:r>
      <w:r>
        <w:rPr>
          <w:rFonts w:ascii="Times New Roman" w:hAnsi="Times New Roman" w:cs="Times New Roman"/>
          <w:sz w:val="24"/>
          <w:szCs w:val="24"/>
        </w:rPr>
        <w:t>ti</w:t>
      </w:r>
      <w:r>
        <w:rPr>
          <w:rFonts w:ascii="Times New Roman" w:hAnsi="Times New Roman" w:cs="Times New Roman"/>
          <w:sz w:val="24"/>
          <w:szCs w:val="24"/>
          <w:highlight w:val="yellow"/>
        </w:rPr>
        <w:t>ve</w:t>
      </w:r>
      <w:r>
        <w:rPr>
          <w:rFonts w:ascii="Times New Roman" w:hAnsi="Times New Roman" w:cs="Times New Roman"/>
          <w:sz w:val="24"/>
          <w:szCs w:val="24"/>
        </w:rPr>
        <w:t xml:space="preserve"> to informal buyers and help divert fewer batteries to informal smelters. It would, however, have to be designed </w:t>
      </w:r>
      <w:r>
        <w:rPr>
          <w:rFonts w:ascii="Times New Roman" w:hAnsi="Times New Roman" w:cs="Times New Roman"/>
          <w:sz w:val="24"/>
          <w:szCs w:val="24"/>
          <w:highlight w:val="yellow"/>
        </w:rPr>
        <w:t>around</w:t>
      </w:r>
      <w:r>
        <w:rPr>
          <w:rFonts w:ascii="Times New Roman" w:hAnsi="Times New Roman" w:cs="Times New Roman"/>
          <w:sz w:val="24"/>
          <w:szCs w:val="24"/>
        </w:rPr>
        <w:t xml:space="preserve"> the existing </w:t>
      </w:r>
      <w:r>
        <w:rPr>
          <w:rFonts w:ascii="Times New Roman" w:hAnsi="Times New Roman" w:cs="Times New Roman"/>
          <w:sz w:val="24"/>
          <w:szCs w:val="24"/>
          <w:highlight w:val="yellow"/>
        </w:rPr>
        <w:t>“</w:t>
      </w:r>
      <w:r>
        <w:rPr>
          <w:rFonts w:ascii="Times New Roman" w:hAnsi="Times New Roman" w:cs="Times New Roman"/>
          <w:sz w:val="24"/>
          <w:szCs w:val="24"/>
        </w:rPr>
        <w:t>scrap</w:t>
      </w:r>
      <w:r>
        <w:rPr>
          <w:rFonts w:ascii="Times New Roman" w:hAnsi="Times New Roman" w:cs="Times New Roman"/>
          <w:sz w:val="24"/>
          <w:szCs w:val="24"/>
          <w:highlight w:val="yellow"/>
        </w:rPr>
        <w:t>”</w:t>
      </w:r>
      <w:r>
        <w:rPr>
          <w:rFonts w:ascii="Times New Roman" w:hAnsi="Times New Roman" w:cs="Times New Roman"/>
          <w:sz w:val="24"/>
          <w:szCs w:val="24"/>
        </w:rPr>
        <w:t xml:space="preserve"> economy and the</w:t>
      </w:r>
      <w:r>
        <w:rPr>
          <w:rFonts w:ascii="Times New Roman" w:hAnsi="Times New Roman" w:cs="Times New Roman"/>
          <w:sz w:val="24"/>
          <w:szCs w:val="24"/>
          <w:highlight w:val="yellow"/>
        </w:rPr>
        <w:t xml:space="preserve"> economic</w:t>
      </w:r>
      <w:r>
        <w:rPr>
          <w:rFonts w:ascii="Times New Roman" w:hAnsi="Times New Roman" w:cs="Times New Roman"/>
          <w:sz w:val="24"/>
          <w:szCs w:val="24"/>
        </w:rPr>
        <w:t xml:space="preserve"> importance of informal collectors.</w:t>
      </w:r>
    </w:p>
    <w:p w14:paraId="6FA5E1D0" w14:textId="77777777" w:rsidR="00581023" w:rsidRPr="00581023" w:rsidRDefault="00581023" w:rsidP="00581023">
      <w:pPr>
        <w:spacing w:line="360" w:lineRule="auto"/>
        <w:rPr>
          <w:rFonts w:ascii="Times New Roman" w:hAnsi="Times New Roman" w:cs="Times New Roman"/>
          <w:sz w:val="24"/>
          <w:szCs w:val="24"/>
        </w:rPr>
      </w:pPr>
    </w:p>
    <w:p w14:paraId="49D4E77E"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Fourth, informal collectors and small-scale processors should be integrated into the formal system. There are many of these actors, and they</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re established and </w:t>
      </w:r>
      <w:r>
        <w:rPr>
          <w:rFonts w:ascii="Times New Roman" w:hAnsi="Times New Roman" w:cs="Times New Roman"/>
          <w:sz w:val="24"/>
          <w:szCs w:val="24"/>
          <w:highlight w:val="yellow"/>
        </w:rPr>
        <w:t>c</w:t>
      </w:r>
      <w:r>
        <w:rPr>
          <w:rFonts w:ascii="Times New Roman" w:hAnsi="Times New Roman" w:cs="Times New Roman"/>
          <w:sz w:val="24"/>
          <w:szCs w:val="24"/>
        </w:rPr>
        <w:t>e</w:t>
      </w:r>
      <w:r>
        <w:rPr>
          <w:rFonts w:ascii="Times New Roman" w:hAnsi="Times New Roman" w:cs="Times New Roman"/>
          <w:sz w:val="24"/>
          <w:szCs w:val="24"/>
          <w:highlight w:val="yellow"/>
        </w:rPr>
        <w:t>ntral</w:t>
      </w:r>
      <w:r>
        <w:rPr>
          <w:rFonts w:ascii="Times New Roman" w:hAnsi="Times New Roman" w:cs="Times New Roman"/>
          <w:sz w:val="24"/>
          <w:szCs w:val="24"/>
        </w:rPr>
        <w:t xml:space="preserve"> to current battery-recovery networks. Therefore</w:t>
      </w:r>
      <w:r>
        <w:rPr>
          <w:rFonts w:ascii="Times New Roman" w:hAnsi="Times New Roman" w:cs="Times New Roman"/>
          <w:sz w:val="24"/>
          <w:szCs w:val="24"/>
          <w:highlight w:val="yellow"/>
        </w:rPr>
        <w:t>,</w:t>
      </w:r>
      <w:r>
        <w:rPr>
          <w:rFonts w:ascii="Times New Roman" w:hAnsi="Times New Roman" w:cs="Times New Roman"/>
          <w:sz w:val="24"/>
          <w:szCs w:val="24"/>
        </w:rPr>
        <w:t xml:space="preserve"> registration, training, pro</w:t>
      </w:r>
      <w:r>
        <w:rPr>
          <w:rFonts w:ascii="Times New Roman" w:hAnsi="Times New Roman" w:cs="Times New Roman"/>
          <w:sz w:val="24"/>
          <w:szCs w:val="24"/>
          <w:highlight w:val="yellow"/>
        </w:rPr>
        <w:t>vision of pro</w:t>
      </w:r>
      <w:r>
        <w:rPr>
          <w:rFonts w:ascii="Times New Roman" w:hAnsi="Times New Roman" w:cs="Times New Roman"/>
          <w:sz w:val="24"/>
          <w:szCs w:val="24"/>
        </w:rPr>
        <w:t>tective equipment</w:t>
      </w:r>
      <w:r>
        <w:rPr>
          <w:rFonts w:ascii="Times New Roman" w:hAnsi="Times New Roman" w:cs="Times New Roman"/>
          <w:sz w:val="24"/>
          <w:szCs w:val="24"/>
          <w:highlight w:val="yellow"/>
        </w:rPr>
        <w:t>,</w:t>
      </w:r>
      <w:r>
        <w:rPr>
          <w:rFonts w:ascii="Times New Roman" w:hAnsi="Times New Roman" w:cs="Times New Roman"/>
          <w:sz w:val="24"/>
          <w:szCs w:val="24"/>
        </w:rPr>
        <w:t xml:space="preserve"> and formal </w:t>
      </w:r>
      <w:r>
        <w:rPr>
          <w:rFonts w:ascii="Times New Roman" w:hAnsi="Times New Roman" w:cs="Times New Roman"/>
          <w:sz w:val="24"/>
          <w:szCs w:val="24"/>
          <w:highlight w:val="yellow"/>
        </w:rPr>
        <w:t>li</w:t>
      </w:r>
      <w:r>
        <w:rPr>
          <w:rFonts w:ascii="Times New Roman" w:hAnsi="Times New Roman" w:cs="Times New Roman"/>
          <w:sz w:val="24"/>
          <w:szCs w:val="24"/>
        </w:rPr>
        <w:t>n</w:t>
      </w:r>
      <w:r>
        <w:rPr>
          <w:rFonts w:ascii="Times New Roman" w:hAnsi="Times New Roman" w:cs="Times New Roman"/>
          <w:sz w:val="24"/>
          <w:szCs w:val="24"/>
          <w:highlight w:val="yellow"/>
        </w:rPr>
        <w:t>k</w:t>
      </w:r>
      <w:r>
        <w:rPr>
          <w:rFonts w:ascii="Times New Roman" w:hAnsi="Times New Roman" w:cs="Times New Roman"/>
          <w:sz w:val="24"/>
          <w:szCs w:val="24"/>
        </w:rPr>
        <w:t xml:space="preserve">s with compatible recycling facilities may be more feasible than trying to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move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them </w:t>
      </w:r>
      <w:r>
        <w:rPr>
          <w:rFonts w:ascii="Times New Roman" w:hAnsi="Times New Roman" w:cs="Times New Roman"/>
          <w:sz w:val="24"/>
          <w:szCs w:val="24"/>
          <w:highlight w:val="yellow"/>
        </w:rPr>
        <w:t>fr</w:t>
      </w:r>
      <w:r>
        <w:rPr>
          <w:rFonts w:ascii="Times New Roman" w:hAnsi="Times New Roman" w:cs="Times New Roman"/>
          <w:sz w:val="24"/>
          <w:szCs w:val="24"/>
        </w:rPr>
        <w:t>o</w:t>
      </w:r>
      <w:r>
        <w:rPr>
          <w:rFonts w:ascii="Times New Roman" w:hAnsi="Times New Roman" w:cs="Times New Roman"/>
          <w:sz w:val="24"/>
          <w:szCs w:val="24"/>
          <w:highlight w:val="yellow"/>
        </w:rPr>
        <w:t>m</w:t>
      </w:r>
      <w:r>
        <w:rPr>
          <w:rFonts w:ascii="Times New Roman" w:hAnsi="Times New Roman" w:cs="Times New Roman"/>
          <w:sz w:val="24"/>
          <w:szCs w:val="24"/>
        </w:rPr>
        <w:t xml:space="preserve"> the value chain. This integration would help ensure that Nigeria maintains the effectiveness of informal </w:t>
      </w:r>
      <w:r>
        <w:rPr>
          <w:rFonts w:ascii="Times New Roman" w:hAnsi="Times New Roman" w:cs="Times New Roman"/>
          <w:sz w:val="24"/>
          <w:szCs w:val="24"/>
          <w:highlight w:val="yellow"/>
        </w:rPr>
        <w:t xml:space="preserve">waste-collection </w:t>
      </w:r>
      <w:r>
        <w:rPr>
          <w:rFonts w:ascii="Times New Roman" w:hAnsi="Times New Roman" w:cs="Times New Roman"/>
          <w:sz w:val="24"/>
          <w:szCs w:val="24"/>
        </w:rPr>
        <w:t xml:space="preserve">networks </w:t>
      </w:r>
      <w:r>
        <w:rPr>
          <w:rFonts w:ascii="Times New Roman" w:hAnsi="Times New Roman" w:cs="Times New Roman"/>
          <w:sz w:val="24"/>
          <w:szCs w:val="24"/>
          <w:highlight w:val="yellow"/>
        </w:rPr>
        <w:t>whi</w:t>
      </w:r>
      <w:r>
        <w:rPr>
          <w:rFonts w:ascii="Times New Roman" w:hAnsi="Times New Roman" w:cs="Times New Roman"/>
          <w:sz w:val="24"/>
          <w:szCs w:val="24"/>
        </w:rPr>
        <w:t>le mitigat</w:t>
      </w:r>
      <w:r>
        <w:rPr>
          <w:rFonts w:ascii="Times New Roman" w:hAnsi="Times New Roman" w:cs="Times New Roman"/>
          <w:sz w:val="24"/>
          <w:szCs w:val="24"/>
          <w:highlight w:val="yellow"/>
        </w:rPr>
        <w:t>ing</w:t>
      </w:r>
      <w:r>
        <w:rPr>
          <w:rFonts w:ascii="Times New Roman" w:hAnsi="Times New Roman" w:cs="Times New Roman"/>
          <w:sz w:val="24"/>
          <w:szCs w:val="24"/>
        </w:rPr>
        <w:t xml:space="preserve"> unsafe processing and disposal methods.</w:t>
      </w:r>
    </w:p>
    <w:p w14:paraId="07C19B3A" w14:textId="77777777" w:rsidR="00581023" w:rsidRPr="00581023" w:rsidRDefault="00581023" w:rsidP="00581023">
      <w:pPr>
        <w:spacing w:line="360" w:lineRule="auto"/>
        <w:rPr>
          <w:rFonts w:ascii="Times New Roman" w:hAnsi="Times New Roman" w:cs="Times New Roman"/>
          <w:sz w:val="24"/>
          <w:szCs w:val="24"/>
        </w:rPr>
      </w:pPr>
    </w:p>
    <w:p w14:paraId="296CBA5E" w14:textId="77777777" w:rsidR="00581023" w:rsidRPr="00581023"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 xml:space="preserve">Fifthly, recycling standards and the siting of recycling facilities need to be made more robust. </w:t>
      </w:r>
      <w:r>
        <w:rPr>
          <w:rFonts w:ascii="Times New Roman" w:hAnsi="Times New Roman" w:cs="Times New Roman"/>
          <w:sz w:val="24"/>
          <w:szCs w:val="24"/>
          <w:highlight w:val="yellow"/>
        </w:rPr>
        <w:t>F</w:t>
      </w:r>
      <w:r>
        <w:rPr>
          <w:rFonts w:ascii="Times New Roman" w:hAnsi="Times New Roman" w:cs="Times New Roman"/>
          <w:sz w:val="24"/>
          <w:szCs w:val="24"/>
        </w:rPr>
        <w:t>ormal registration of facilities does not imply e</w:t>
      </w:r>
      <w:r>
        <w:rPr>
          <w:rFonts w:ascii="Times New Roman" w:hAnsi="Times New Roman" w:cs="Times New Roman"/>
          <w:sz w:val="24"/>
          <w:szCs w:val="24"/>
          <w:highlight w:val="yellow"/>
        </w:rPr>
        <w:t>nvir</w:t>
      </w:r>
      <w:r>
        <w:rPr>
          <w:rFonts w:ascii="Times New Roman" w:hAnsi="Times New Roman" w:cs="Times New Roman"/>
          <w:sz w:val="24"/>
          <w:szCs w:val="24"/>
        </w:rPr>
        <w:t>o</w:t>
      </w:r>
      <w:r>
        <w:rPr>
          <w:rFonts w:ascii="Times New Roman" w:hAnsi="Times New Roman" w:cs="Times New Roman"/>
          <w:sz w:val="24"/>
          <w:szCs w:val="24"/>
          <w:highlight w:val="yellow"/>
        </w:rPr>
        <w:t xml:space="preserve">nmental </w:t>
      </w:r>
      <w:r>
        <w:rPr>
          <w:rFonts w:ascii="Times New Roman" w:hAnsi="Times New Roman" w:cs="Times New Roman"/>
          <w:sz w:val="24"/>
          <w:szCs w:val="24"/>
        </w:rPr>
        <w:t xml:space="preserve">compatibility, as evidenced by the significant contamination around registered facilities. Therefore, the introduction of collection systems must be accompanied by efficient emission controls, </w:t>
      </w:r>
      <w:r>
        <w:rPr>
          <w:rFonts w:ascii="Times New Roman" w:hAnsi="Times New Roman" w:cs="Times New Roman"/>
          <w:sz w:val="24"/>
          <w:szCs w:val="24"/>
          <w:highlight w:val="yellow"/>
        </w:rPr>
        <w:t xml:space="preserve">effluent </w:t>
      </w:r>
      <w:r>
        <w:rPr>
          <w:rFonts w:ascii="Times New Roman" w:hAnsi="Times New Roman" w:cs="Times New Roman"/>
          <w:sz w:val="24"/>
          <w:szCs w:val="24"/>
        </w:rPr>
        <w:t>purification, safe management of slag, and buffer distances between recycling plants and households, schools and farmlands.</w:t>
      </w:r>
    </w:p>
    <w:p w14:paraId="4B3667C3" w14:textId="77777777" w:rsidR="00581023" w:rsidRPr="00581023" w:rsidRDefault="00581023" w:rsidP="00581023">
      <w:pPr>
        <w:spacing w:line="360" w:lineRule="auto"/>
        <w:rPr>
          <w:rFonts w:ascii="Times New Roman" w:hAnsi="Times New Roman" w:cs="Times New Roman"/>
          <w:sz w:val="24"/>
          <w:szCs w:val="24"/>
        </w:rPr>
      </w:pPr>
    </w:p>
    <w:p w14:paraId="013785DA" w14:textId="77777777" w:rsidR="00581023" w:rsidRPr="00A322A9" w:rsidRDefault="00581023" w:rsidP="00581023">
      <w:pPr>
        <w:spacing w:line="360" w:lineRule="auto"/>
        <w:rPr>
          <w:rFonts w:ascii="Times New Roman" w:hAnsi="Times New Roman" w:cs="Times New Roman"/>
          <w:sz w:val="24"/>
          <w:szCs w:val="24"/>
        </w:rPr>
      </w:pPr>
      <w:r>
        <w:rPr>
          <w:rFonts w:ascii="Times New Roman" w:hAnsi="Times New Roman" w:cs="Times New Roman"/>
          <w:sz w:val="24"/>
          <w:szCs w:val="24"/>
        </w:rPr>
        <w:t>The possibility of second</w:t>
      </w:r>
      <w:r>
        <w:rPr>
          <w:rFonts w:ascii="Times New Roman" w:hAnsi="Times New Roman" w:cs="Times New Roman"/>
          <w:sz w:val="24"/>
          <w:szCs w:val="24"/>
          <w:highlight w:val="yellow"/>
        </w:rPr>
        <w:t>-</w:t>
      </w:r>
      <w:r>
        <w:rPr>
          <w:rFonts w:ascii="Times New Roman" w:hAnsi="Times New Roman" w:cs="Times New Roman"/>
          <w:sz w:val="24"/>
          <w:szCs w:val="24"/>
        </w:rPr>
        <w:t>life use should be treated with caution. Re</w:t>
      </w:r>
      <w:r>
        <w:rPr>
          <w:rFonts w:ascii="Times New Roman" w:hAnsi="Times New Roman" w:cs="Times New Roman"/>
          <w:sz w:val="24"/>
          <w:szCs w:val="24"/>
          <w:highlight w:val="yellow"/>
        </w:rPr>
        <w:t>us</w:t>
      </w:r>
      <w:r>
        <w:rPr>
          <w:rFonts w:ascii="Times New Roman" w:hAnsi="Times New Roman" w:cs="Times New Roman"/>
          <w:sz w:val="24"/>
          <w:szCs w:val="24"/>
        </w:rPr>
        <w:t>ing old batteries i</w:t>
      </w:r>
      <w:r>
        <w:rPr>
          <w:rFonts w:ascii="Times New Roman" w:hAnsi="Times New Roman" w:cs="Times New Roman"/>
          <w:sz w:val="24"/>
          <w:szCs w:val="24"/>
          <w:highlight w:val="yellow"/>
        </w:rPr>
        <w:t>n</w:t>
      </w:r>
      <w:r>
        <w:rPr>
          <w:rFonts w:ascii="Times New Roman" w:hAnsi="Times New Roman" w:cs="Times New Roman"/>
          <w:sz w:val="24"/>
          <w:szCs w:val="24"/>
        </w:rPr>
        <w:t xml:space="preserve"> new applications can help prolong their useful life and slow waste production, but it can also move batteries to new users and complicate their re-collection. Second-life programmes should consequently </w:t>
      </w:r>
      <w:r>
        <w:rPr>
          <w:rFonts w:ascii="Times New Roman" w:hAnsi="Times New Roman" w:cs="Times New Roman"/>
          <w:sz w:val="24"/>
          <w:szCs w:val="24"/>
          <w:highlight w:val="yellow"/>
        </w:rPr>
        <w:t>in</w:t>
      </w:r>
      <w:r>
        <w:rPr>
          <w:rFonts w:ascii="Times New Roman" w:hAnsi="Times New Roman" w:cs="Times New Roman"/>
          <w:sz w:val="24"/>
          <w:szCs w:val="24"/>
        </w:rPr>
        <w:t>c</w:t>
      </w:r>
      <w:r>
        <w:rPr>
          <w:rFonts w:ascii="Times New Roman" w:hAnsi="Times New Roman" w:cs="Times New Roman"/>
          <w:sz w:val="24"/>
          <w:szCs w:val="24"/>
          <w:highlight w:val="yellow"/>
        </w:rPr>
        <w:t>lud</w:t>
      </w:r>
      <w:r>
        <w:rPr>
          <w:rFonts w:ascii="Times New Roman" w:hAnsi="Times New Roman" w:cs="Times New Roman"/>
          <w:sz w:val="24"/>
          <w:szCs w:val="24"/>
        </w:rPr>
        <w:t xml:space="preserve">e documentation, monitoring and compulsory return of batteries so that second-life </w:t>
      </w:r>
      <w:r>
        <w:rPr>
          <w:rFonts w:ascii="Times New Roman" w:hAnsi="Times New Roman" w:cs="Times New Roman"/>
          <w:sz w:val="24"/>
          <w:szCs w:val="24"/>
          <w:highlight w:val="yellow"/>
        </w:rPr>
        <w:t xml:space="preserve">use </w:t>
      </w:r>
      <w:r>
        <w:rPr>
          <w:rFonts w:ascii="Times New Roman" w:hAnsi="Times New Roman" w:cs="Times New Roman"/>
          <w:sz w:val="24"/>
          <w:szCs w:val="24"/>
        </w:rPr>
        <w:t>does</w:t>
      </w:r>
      <w:r>
        <w:rPr>
          <w:rFonts w:ascii="Times New Roman" w:hAnsi="Times New Roman" w:cs="Times New Roman"/>
          <w:sz w:val="24"/>
          <w:szCs w:val="24"/>
          <w:highlight w:val="yellow"/>
        </w:rPr>
        <w:t xml:space="preserve"> </w:t>
      </w:r>
      <w:r>
        <w:rPr>
          <w:rFonts w:ascii="Times New Roman" w:hAnsi="Times New Roman" w:cs="Times New Roman"/>
          <w:sz w:val="24"/>
          <w:szCs w:val="24"/>
        </w:rPr>
        <w:t>n</w:t>
      </w:r>
      <w:r>
        <w:rPr>
          <w:rFonts w:ascii="Times New Roman" w:hAnsi="Times New Roman" w:cs="Times New Roman"/>
          <w:sz w:val="24"/>
          <w:szCs w:val="24"/>
          <w:highlight w:val="yellow"/>
        </w:rPr>
        <w:t>o</w:t>
      </w:r>
      <w:r>
        <w:rPr>
          <w:rFonts w:ascii="Times New Roman" w:hAnsi="Times New Roman" w:cs="Times New Roman"/>
          <w:sz w:val="24"/>
          <w:szCs w:val="24"/>
        </w:rPr>
        <w:t>t undermin</w:t>
      </w:r>
      <w:r>
        <w:rPr>
          <w:rFonts w:ascii="Times New Roman" w:hAnsi="Times New Roman" w:cs="Times New Roman"/>
          <w:sz w:val="24"/>
          <w:szCs w:val="24"/>
          <w:highlight w:val="yellow"/>
        </w:rPr>
        <w:t>e end-of-lif</w:t>
      </w:r>
      <w:r>
        <w:rPr>
          <w:rFonts w:ascii="Times New Roman" w:hAnsi="Times New Roman" w:cs="Times New Roman"/>
          <w:sz w:val="24"/>
          <w:szCs w:val="24"/>
        </w:rPr>
        <w:t>e accountability.</w:t>
      </w:r>
    </w:p>
    <w:p w14:paraId="4A169FC9" w14:textId="77777777" w:rsidR="00DD2AAA" w:rsidRPr="00A322A9" w:rsidRDefault="00DD2AAA" w:rsidP="00A322A9">
      <w:pPr>
        <w:spacing w:line="360" w:lineRule="auto"/>
        <w:rPr>
          <w:rFonts w:ascii="Times New Roman" w:hAnsi="Times New Roman" w:cs="Times New Roman"/>
          <w:sz w:val="24"/>
          <w:szCs w:val="24"/>
        </w:rPr>
      </w:pPr>
    </w:p>
    <w:p w14:paraId="60FCC693" w14:textId="77777777" w:rsidR="00A322A9" w:rsidRDefault="00A322A9" w:rsidP="00A322A9">
      <w:pPr>
        <w:spacing w:line="360" w:lineRule="auto"/>
        <w:rPr>
          <w:rFonts w:ascii="Times New Roman" w:hAnsi="Times New Roman" w:cs="Times New Roman"/>
          <w:b/>
          <w:bCs/>
          <w:sz w:val="24"/>
          <w:szCs w:val="24"/>
        </w:rPr>
      </w:pPr>
    </w:p>
    <w:p w14:paraId="5C5AD190" w14:textId="77777777" w:rsidR="00DD2AAA" w:rsidRPr="00A322A9" w:rsidRDefault="00DD2AAA" w:rsidP="00A322A9">
      <w:pPr>
        <w:keepNext/>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8. Evidence Gaps and Conclusion</w:t>
      </w:r>
    </w:p>
    <w:p w14:paraId="23266B30"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Nigeria</w:t>
      </w:r>
      <w:r>
        <w:rPr>
          <w:rFonts w:ascii="Times New Roman" w:hAnsi="Times New Roman" w:cs="Times New Roman"/>
          <w:sz w:val="24"/>
          <w:szCs w:val="24"/>
          <w:highlight w:val="yellow"/>
        </w:rPr>
        <w:t>n</w:t>
      </w:r>
      <w:r>
        <w:rPr>
          <w:rFonts w:ascii="Times New Roman" w:hAnsi="Times New Roman" w:cs="Times New Roman"/>
          <w:sz w:val="24"/>
          <w:szCs w:val="24"/>
        </w:rPr>
        <w:t xml:space="preserve"> evidence shows that recycling lead-acid batteries is correlated with high occupational and environmental lead levels. Directly</w:t>
      </w:r>
      <w:r>
        <w:rPr>
          <w:rFonts w:ascii="Times New Roman" w:hAnsi="Times New Roman" w:cs="Times New Roman"/>
          <w:sz w:val="24"/>
          <w:szCs w:val="24"/>
          <w:highlight w:val="yellow"/>
        </w:rPr>
        <w:t xml:space="preserve"> </w:t>
      </w:r>
      <w:r>
        <w:rPr>
          <w:rFonts w:ascii="Times New Roman" w:hAnsi="Times New Roman" w:cs="Times New Roman"/>
          <w:sz w:val="24"/>
          <w:szCs w:val="24"/>
        </w:rPr>
        <w:t>measured data indicate higher blood-lead levels among informal recycling workers</w:t>
      </w:r>
      <w:r>
        <w:rPr>
          <w:rFonts w:ascii="Times New Roman" w:hAnsi="Times New Roman" w:cs="Times New Roman"/>
          <w:sz w:val="24"/>
          <w:szCs w:val="24"/>
          <w:highlight w:val="yellow"/>
        </w:rPr>
        <w:t xml:space="preserve"> than among matched controls</w:t>
      </w:r>
      <w:r>
        <w:rPr>
          <w:rFonts w:ascii="Times New Roman" w:hAnsi="Times New Roman" w:cs="Times New Roman"/>
          <w:sz w:val="24"/>
          <w:szCs w:val="24"/>
        </w:rPr>
        <w:t>, soil-lead levels exce</w:t>
      </w:r>
      <w:r>
        <w:rPr>
          <w:rFonts w:ascii="Times New Roman" w:hAnsi="Times New Roman" w:cs="Times New Roman"/>
          <w:sz w:val="24"/>
          <w:szCs w:val="24"/>
          <w:highlight w:val="yellow"/>
        </w:rPr>
        <w:t>eding</w:t>
      </w:r>
      <w:r>
        <w:rPr>
          <w:rFonts w:ascii="Times New Roman" w:hAnsi="Times New Roman" w:cs="Times New Roman"/>
          <w:sz w:val="24"/>
          <w:szCs w:val="24"/>
        </w:rPr>
        <w:t xml:space="preserve"> international guidance levels at recycling sites in Lagos and Ogun States, and higher levels of heavy metals in edible plants grown near battery-waste sites (</w:t>
      </w:r>
      <w:r>
        <w:rPr>
          <w:rFonts w:ascii="Times New Roman" w:hAnsi="Times New Roman" w:cs="Times New Roman"/>
        </w:rPr>
        <w:t>Sani-Gwarzo et al.</w:t>
      </w:r>
      <w:r>
        <w:rPr>
          <w:rFonts w:ascii="Times New Roman" w:hAnsi="Times New Roman" w:cs="Times New Roman"/>
          <w:highlight w:val="yellow"/>
        </w:rPr>
        <w:t xml:space="preserve">, </w:t>
      </w:r>
      <w:r>
        <w:rPr>
          <w:rFonts w:ascii="Times New Roman" w:hAnsi="Times New Roman" w:cs="Times New Roman"/>
        </w:rPr>
        <w:t>2025</w:t>
      </w:r>
      <w:r>
        <w:rPr>
          <w:rFonts w:ascii="Times New Roman" w:hAnsi="Times New Roman" w:cs="Times New Roman"/>
          <w:sz w:val="24"/>
          <w:szCs w:val="24"/>
        </w:rPr>
        <w:t xml:space="preserve">; Gottesfeld et al., 2018; Oloruntoba et al., 2021; Adeleke et al., 2026). This evidence does not </w:t>
      </w:r>
      <w:r>
        <w:rPr>
          <w:rFonts w:ascii="Times New Roman" w:hAnsi="Times New Roman" w:cs="Times New Roman"/>
          <w:sz w:val="24"/>
          <w:szCs w:val="24"/>
          <w:highlight w:val="yellow"/>
        </w:rPr>
        <w:t>estab</w:t>
      </w:r>
      <w:r>
        <w:rPr>
          <w:rFonts w:ascii="Times New Roman" w:hAnsi="Times New Roman" w:cs="Times New Roman"/>
          <w:sz w:val="24"/>
          <w:szCs w:val="24"/>
        </w:rPr>
        <w:t>l</w:t>
      </w:r>
      <w:r>
        <w:rPr>
          <w:rFonts w:ascii="Times New Roman" w:hAnsi="Times New Roman" w:cs="Times New Roman"/>
          <w:sz w:val="24"/>
          <w:szCs w:val="24"/>
          <w:highlight w:val="yellow"/>
        </w:rPr>
        <w:t>ish</w:t>
      </w:r>
      <w:r>
        <w:rPr>
          <w:rFonts w:ascii="Times New Roman" w:hAnsi="Times New Roman" w:cs="Times New Roman"/>
          <w:sz w:val="24"/>
          <w:szCs w:val="24"/>
        </w:rPr>
        <w:t xml:space="preserve"> that the contamination or exposure is exclusively </w:t>
      </w:r>
      <w:r>
        <w:rPr>
          <w:rFonts w:ascii="Times New Roman" w:hAnsi="Times New Roman" w:cs="Times New Roman"/>
          <w:sz w:val="24"/>
          <w:szCs w:val="24"/>
          <w:highlight w:val="yellow"/>
        </w:rPr>
        <w:t>att</w:t>
      </w:r>
      <w:r>
        <w:rPr>
          <w:rFonts w:ascii="Times New Roman" w:hAnsi="Times New Roman" w:cs="Times New Roman"/>
          <w:sz w:val="24"/>
          <w:szCs w:val="24"/>
        </w:rPr>
        <w:t>r</w:t>
      </w:r>
      <w:r>
        <w:rPr>
          <w:rFonts w:ascii="Times New Roman" w:hAnsi="Times New Roman" w:cs="Times New Roman"/>
          <w:sz w:val="24"/>
          <w:szCs w:val="24"/>
          <w:highlight w:val="yellow"/>
        </w:rPr>
        <w:t>ibutable t</w:t>
      </w:r>
      <w:r>
        <w:rPr>
          <w:rFonts w:ascii="Times New Roman" w:hAnsi="Times New Roman" w:cs="Times New Roman"/>
          <w:sz w:val="24"/>
          <w:szCs w:val="24"/>
        </w:rPr>
        <w:t xml:space="preserve">o batteries from off-grid solar installations. Nigerian studies do not always </w:t>
      </w:r>
      <w:r>
        <w:rPr>
          <w:rFonts w:ascii="Times New Roman" w:hAnsi="Times New Roman" w:cs="Times New Roman"/>
          <w:sz w:val="24"/>
          <w:szCs w:val="24"/>
          <w:highlight w:val="yellow"/>
        </w:rPr>
        <w:t>recor</w:t>
      </w:r>
      <w:r>
        <w:rPr>
          <w:rFonts w:ascii="Times New Roman" w:hAnsi="Times New Roman" w:cs="Times New Roman"/>
          <w:sz w:val="24"/>
          <w:szCs w:val="24"/>
        </w:rPr>
        <w:t>d the batteries</w:t>
      </w:r>
      <w:r>
        <w:rPr>
          <w:rFonts w:ascii="Times New Roman" w:hAnsi="Times New Roman" w:cs="Times New Roman"/>
          <w:sz w:val="24"/>
          <w:szCs w:val="24"/>
          <w:highlight w:val="yellow"/>
        </w:rPr>
        <w:t>'</w:t>
      </w:r>
      <w:r>
        <w:rPr>
          <w:rFonts w:ascii="Times New Roman" w:hAnsi="Times New Roman" w:cs="Times New Roman"/>
          <w:sz w:val="24"/>
          <w:szCs w:val="24"/>
        </w:rPr>
        <w:t xml:space="preserve"> previous </w:t>
      </w:r>
      <w:r>
        <w:rPr>
          <w:rFonts w:ascii="Times New Roman" w:hAnsi="Times New Roman" w:cs="Times New Roman"/>
          <w:sz w:val="24"/>
          <w:szCs w:val="24"/>
          <w:highlight w:val="yellow"/>
        </w:rPr>
        <w:t>applica</w:t>
      </w:r>
      <w:r>
        <w:rPr>
          <w:rFonts w:ascii="Times New Roman" w:hAnsi="Times New Roman" w:cs="Times New Roman"/>
          <w:sz w:val="24"/>
          <w:szCs w:val="24"/>
        </w:rPr>
        <w:t>ti</w:t>
      </w:r>
      <w:r>
        <w:rPr>
          <w:rFonts w:ascii="Times New Roman" w:hAnsi="Times New Roman" w:cs="Times New Roman"/>
          <w:sz w:val="24"/>
          <w:szCs w:val="24"/>
          <w:highlight w:val="yellow"/>
        </w:rPr>
        <w:t>on</w:t>
      </w:r>
      <w:r>
        <w:rPr>
          <w:rFonts w:ascii="Times New Roman" w:hAnsi="Times New Roman" w:cs="Times New Roman"/>
          <w:sz w:val="24"/>
          <w:szCs w:val="24"/>
        </w:rPr>
        <w:t>s, whether automotive, telecommunications, inverter</w:t>
      </w:r>
      <w:r>
        <w:rPr>
          <w:rFonts w:ascii="Times New Roman" w:hAnsi="Times New Roman" w:cs="Times New Roman"/>
          <w:sz w:val="24"/>
          <w:szCs w:val="24"/>
          <w:highlight w:val="yellow"/>
        </w:rPr>
        <w:t>,</w:t>
      </w:r>
      <w:r>
        <w:rPr>
          <w:rFonts w:ascii="Times New Roman" w:hAnsi="Times New Roman" w:cs="Times New Roman"/>
          <w:sz w:val="24"/>
          <w:szCs w:val="24"/>
        </w:rPr>
        <w:t xml:space="preserve"> or solar. The available evidence thus confirms the </w:t>
      </w:r>
      <w:r>
        <w:rPr>
          <w:rFonts w:ascii="Times New Roman" w:hAnsi="Times New Roman" w:cs="Times New Roman"/>
          <w:sz w:val="24"/>
          <w:szCs w:val="24"/>
        </w:rPr>
        <w:lastRenderedPageBreak/>
        <w:t xml:space="preserve">risks of the waste system </w:t>
      </w:r>
      <w:r>
        <w:rPr>
          <w:rFonts w:ascii="Times New Roman" w:hAnsi="Times New Roman" w:cs="Times New Roman"/>
          <w:sz w:val="24"/>
          <w:szCs w:val="24"/>
          <w:highlight w:val="yellow"/>
        </w:rPr>
        <w:t xml:space="preserve">into </w:t>
      </w:r>
      <w:r>
        <w:rPr>
          <w:rFonts w:ascii="Times New Roman" w:hAnsi="Times New Roman" w:cs="Times New Roman"/>
          <w:sz w:val="24"/>
          <w:szCs w:val="24"/>
        </w:rPr>
        <w:t>wh</w:t>
      </w:r>
      <w:r>
        <w:rPr>
          <w:rFonts w:ascii="Times New Roman" w:hAnsi="Times New Roman" w:cs="Times New Roman"/>
          <w:sz w:val="24"/>
          <w:szCs w:val="24"/>
          <w:highlight w:val="yellow"/>
        </w:rPr>
        <w:t>ich</w:t>
      </w:r>
      <w:r>
        <w:rPr>
          <w:rFonts w:ascii="Times New Roman" w:hAnsi="Times New Roman" w:cs="Times New Roman"/>
          <w:sz w:val="24"/>
          <w:szCs w:val="24"/>
        </w:rPr>
        <w:t xml:space="preserve"> solar batteries enter but does not in</w:t>
      </w:r>
      <w:r>
        <w:rPr>
          <w:rFonts w:ascii="Times New Roman" w:hAnsi="Times New Roman" w:cs="Times New Roman"/>
          <w:sz w:val="24"/>
          <w:szCs w:val="24"/>
          <w:highlight w:val="yellow"/>
        </w:rPr>
        <w:t>d</w:t>
      </w:r>
      <w:r>
        <w:rPr>
          <w:rFonts w:ascii="Times New Roman" w:hAnsi="Times New Roman" w:cs="Times New Roman"/>
          <w:sz w:val="24"/>
          <w:szCs w:val="24"/>
        </w:rPr>
        <w:t>i</w:t>
      </w:r>
      <w:r>
        <w:rPr>
          <w:rFonts w:ascii="Times New Roman" w:hAnsi="Times New Roman" w:cs="Times New Roman"/>
          <w:sz w:val="24"/>
          <w:szCs w:val="24"/>
          <w:highlight w:val="yellow"/>
        </w:rPr>
        <w:t>ca</w:t>
      </w:r>
      <w:r>
        <w:rPr>
          <w:rFonts w:ascii="Times New Roman" w:hAnsi="Times New Roman" w:cs="Times New Roman"/>
          <w:sz w:val="24"/>
          <w:szCs w:val="24"/>
        </w:rPr>
        <w:t>t</w:t>
      </w:r>
      <w:r>
        <w:rPr>
          <w:rFonts w:ascii="Times New Roman" w:hAnsi="Times New Roman" w:cs="Times New Roman"/>
          <w:sz w:val="24"/>
          <w:szCs w:val="24"/>
          <w:highlight w:val="yellow"/>
        </w:rPr>
        <w:t>e</w:t>
      </w:r>
      <w:r>
        <w:rPr>
          <w:rFonts w:ascii="Times New Roman" w:hAnsi="Times New Roman" w:cs="Times New Roman"/>
          <w:sz w:val="24"/>
          <w:szCs w:val="24"/>
        </w:rPr>
        <w:t xml:space="preserve"> the size of the solar sector</w:t>
      </w:r>
      <w:r>
        <w:rPr>
          <w:rFonts w:ascii="Times New Roman" w:hAnsi="Times New Roman" w:cs="Times New Roman"/>
          <w:sz w:val="24"/>
          <w:szCs w:val="24"/>
          <w:highlight w:val="yellow"/>
        </w:rPr>
        <w:t>'s contribution</w:t>
      </w:r>
      <w:r>
        <w:rPr>
          <w:rFonts w:ascii="Times New Roman" w:hAnsi="Times New Roman" w:cs="Times New Roman"/>
          <w:sz w:val="24"/>
          <w:szCs w:val="24"/>
        </w:rPr>
        <w:t>.</w:t>
      </w:r>
    </w:p>
    <w:p w14:paraId="13EADD2B" w14:textId="77777777" w:rsidR="00DD2AAA" w:rsidRPr="00A322A9" w:rsidRDefault="00DD2AAA" w:rsidP="00A322A9">
      <w:pPr>
        <w:spacing w:line="360" w:lineRule="auto"/>
        <w:rPr>
          <w:rFonts w:ascii="Times New Roman" w:hAnsi="Times New Roman" w:cs="Times New Roman"/>
          <w:sz w:val="24"/>
          <w:szCs w:val="24"/>
        </w:rPr>
      </w:pPr>
    </w:p>
    <w:p w14:paraId="34336E19"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This distinction has policy implications. Nigeria has the necessary instruments</w:t>
      </w:r>
      <w:r>
        <w:rPr>
          <w:rFonts w:ascii="Times New Roman" w:hAnsi="Times New Roman" w:cs="Times New Roman"/>
          <w:sz w:val="24"/>
          <w:szCs w:val="24"/>
          <w:highlight w:val="yellow"/>
        </w:rPr>
        <w:t>,</w:t>
      </w:r>
      <w:r>
        <w:rPr>
          <w:rFonts w:ascii="Times New Roman" w:hAnsi="Times New Roman" w:cs="Times New Roman"/>
          <w:sz w:val="24"/>
          <w:szCs w:val="24"/>
        </w:rPr>
        <w:t xml:space="preserve"> including</w:t>
      </w:r>
      <w:r>
        <w:rPr>
          <w:rFonts w:ascii="Times New Roman" w:hAnsi="Times New Roman" w:cs="Times New Roman"/>
          <w:sz w:val="24"/>
          <w:szCs w:val="24"/>
          <w:highlight w:val="yellow"/>
        </w:rPr>
        <w:t xml:space="preserve"> battery-sector</w:t>
      </w:r>
      <w:r>
        <w:rPr>
          <w:rFonts w:ascii="Times New Roman" w:hAnsi="Times New Roman" w:cs="Times New Roman"/>
          <w:sz w:val="24"/>
          <w:szCs w:val="24"/>
        </w:rPr>
        <w:t xml:space="preserve"> regulations and exten</w:t>
      </w:r>
      <w:r>
        <w:rPr>
          <w:rFonts w:ascii="Times New Roman" w:hAnsi="Times New Roman" w:cs="Times New Roman"/>
          <w:sz w:val="24"/>
          <w:szCs w:val="24"/>
          <w:highlight w:val="yellow"/>
        </w:rPr>
        <w:t>ded</w:t>
      </w:r>
      <w:r>
        <w:rPr>
          <w:rFonts w:ascii="Times New Roman" w:hAnsi="Times New Roman" w:cs="Times New Roman"/>
          <w:sz w:val="24"/>
          <w:szCs w:val="24"/>
        </w:rPr>
        <w:t xml:space="preserve"> producer responsibility, and there is a model </w:t>
      </w:r>
      <w:r>
        <w:rPr>
          <w:rFonts w:ascii="Times New Roman" w:hAnsi="Times New Roman" w:cs="Times New Roman"/>
          <w:sz w:val="24"/>
          <w:szCs w:val="24"/>
          <w:highlight w:val="yellow"/>
        </w:rPr>
        <w:t>in</w:t>
      </w:r>
      <w:r>
        <w:rPr>
          <w:rFonts w:ascii="Times New Roman" w:hAnsi="Times New Roman" w:cs="Times New Roman"/>
          <w:sz w:val="24"/>
          <w:szCs w:val="24"/>
        </w:rPr>
        <w:t xml:space="preserve"> the e-waste sector, where producers are registered and fees are charged for </w:t>
      </w:r>
      <w:r>
        <w:rPr>
          <w:rFonts w:ascii="Times New Roman" w:hAnsi="Times New Roman" w:cs="Times New Roman"/>
          <w:sz w:val="24"/>
          <w:szCs w:val="24"/>
          <w:highlight w:val="yellow"/>
        </w:rPr>
        <w:t>e-was</w:t>
      </w:r>
      <w:r>
        <w:rPr>
          <w:rFonts w:ascii="Times New Roman" w:hAnsi="Times New Roman" w:cs="Times New Roman"/>
          <w:sz w:val="24"/>
          <w:szCs w:val="24"/>
        </w:rPr>
        <w:t xml:space="preserve">te collection. The main drawbacks relate to enforcement, traceability and coordination between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energy and environmental sectors. </w:t>
      </w:r>
      <w:r>
        <w:rPr>
          <w:rFonts w:ascii="Times New Roman" w:hAnsi="Times New Roman" w:cs="Times New Roman"/>
          <w:sz w:val="24"/>
          <w:szCs w:val="24"/>
          <w:highlight w:val="yellow"/>
        </w:rPr>
        <w:t>S</w:t>
      </w:r>
      <w:r>
        <w:rPr>
          <w:rFonts w:ascii="Times New Roman" w:hAnsi="Times New Roman" w:cs="Times New Roman"/>
          <w:sz w:val="24"/>
          <w:szCs w:val="24"/>
        </w:rPr>
        <w:t>ource</w:t>
      </w:r>
      <w:r>
        <w:rPr>
          <w:rFonts w:ascii="Times New Roman" w:hAnsi="Times New Roman" w:cs="Times New Roman"/>
          <w:sz w:val="24"/>
          <w:szCs w:val="24"/>
          <w:highlight w:val="yellow"/>
        </w:rPr>
        <w:t>-</w:t>
      </w:r>
      <w:r>
        <w:rPr>
          <w:rFonts w:ascii="Times New Roman" w:hAnsi="Times New Roman" w:cs="Times New Roman"/>
          <w:sz w:val="24"/>
          <w:szCs w:val="24"/>
        </w:rPr>
        <w:t>tagged recording</w:t>
      </w:r>
      <w:r>
        <w:rPr>
          <w:rFonts w:ascii="Times New Roman" w:hAnsi="Times New Roman" w:cs="Times New Roman"/>
          <w:sz w:val="24"/>
          <w:szCs w:val="24"/>
          <w:highlight w:val="yellow"/>
        </w:rPr>
        <w:t xml:space="preserve"> from the point of installation</w:t>
      </w:r>
      <w:r>
        <w:rPr>
          <w:rFonts w:ascii="Times New Roman" w:hAnsi="Times New Roman" w:cs="Times New Roman"/>
          <w:sz w:val="24"/>
          <w:szCs w:val="24"/>
        </w:rPr>
        <w:t xml:space="preserve"> would fill this data gap </w:t>
      </w:r>
      <w:r>
        <w:rPr>
          <w:rFonts w:ascii="Times New Roman" w:hAnsi="Times New Roman" w:cs="Times New Roman"/>
          <w:sz w:val="24"/>
          <w:szCs w:val="24"/>
          <w:highlight w:val="yellow"/>
        </w:rPr>
        <w:t>by enabling</w:t>
      </w:r>
      <w:r>
        <w:rPr>
          <w:rFonts w:ascii="Times New Roman" w:hAnsi="Times New Roman" w:cs="Times New Roman"/>
          <w:sz w:val="24"/>
          <w:szCs w:val="24"/>
        </w:rPr>
        <w:t xml:space="preserve"> estimat</w:t>
      </w:r>
      <w:r>
        <w:rPr>
          <w:rFonts w:ascii="Times New Roman" w:hAnsi="Times New Roman" w:cs="Times New Roman"/>
          <w:sz w:val="24"/>
          <w:szCs w:val="24"/>
          <w:highlight w:val="yellow"/>
        </w:rPr>
        <w:t>ion of</w:t>
      </w:r>
      <w:r>
        <w:rPr>
          <w:rFonts w:ascii="Times New Roman" w:hAnsi="Times New Roman" w:cs="Times New Roman"/>
          <w:sz w:val="24"/>
          <w:szCs w:val="24"/>
        </w:rPr>
        <w:t xml:space="preserve"> how much ULAB </w:t>
      </w:r>
      <w:r>
        <w:rPr>
          <w:rFonts w:ascii="Times New Roman" w:hAnsi="Times New Roman" w:cs="Times New Roman"/>
          <w:sz w:val="24"/>
          <w:szCs w:val="24"/>
          <w:highlight w:val="yellow"/>
        </w:rPr>
        <w:t>w</w:t>
      </w:r>
      <w:r>
        <w:rPr>
          <w:rFonts w:ascii="Times New Roman" w:hAnsi="Times New Roman" w:cs="Times New Roman"/>
          <w:sz w:val="24"/>
          <w:szCs w:val="24"/>
        </w:rPr>
        <w:t>a</w:t>
      </w:r>
      <w:r>
        <w:rPr>
          <w:rFonts w:ascii="Times New Roman" w:hAnsi="Times New Roman" w:cs="Times New Roman"/>
          <w:sz w:val="24"/>
          <w:szCs w:val="24"/>
          <w:highlight w:val="yellow"/>
        </w:rPr>
        <w:t>ste</w:t>
      </w:r>
      <w:r>
        <w:rPr>
          <w:rFonts w:ascii="Times New Roman" w:hAnsi="Times New Roman" w:cs="Times New Roman"/>
          <w:sz w:val="24"/>
          <w:szCs w:val="24"/>
        </w:rPr>
        <w:t xml:space="preserve"> </w:t>
      </w:r>
      <w:r>
        <w:rPr>
          <w:rFonts w:ascii="Times New Roman" w:hAnsi="Times New Roman" w:cs="Times New Roman"/>
          <w:sz w:val="24"/>
          <w:szCs w:val="24"/>
          <w:highlight w:val="yellow"/>
        </w:rPr>
        <w:t>is</w:t>
      </w:r>
      <w:r>
        <w:rPr>
          <w:rFonts w:ascii="Times New Roman" w:hAnsi="Times New Roman" w:cs="Times New Roman"/>
          <w:sz w:val="24"/>
          <w:szCs w:val="24"/>
        </w:rPr>
        <w:t xml:space="preserve"> sourced from off-grid solar systems. It would also </w:t>
      </w:r>
      <w:r>
        <w:rPr>
          <w:rFonts w:ascii="Times New Roman" w:hAnsi="Times New Roman" w:cs="Times New Roman"/>
          <w:sz w:val="24"/>
          <w:szCs w:val="24"/>
          <w:highlight w:val="yellow"/>
        </w:rPr>
        <w:t>pr</w:t>
      </w:r>
      <w:r>
        <w:rPr>
          <w:rFonts w:ascii="Times New Roman" w:hAnsi="Times New Roman" w:cs="Times New Roman"/>
          <w:sz w:val="24"/>
          <w:szCs w:val="24"/>
        </w:rPr>
        <w:t>o</w:t>
      </w:r>
      <w:r>
        <w:rPr>
          <w:rFonts w:ascii="Times New Roman" w:hAnsi="Times New Roman" w:cs="Times New Roman"/>
          <w:sz w:val="24"/>
          <w:szCs w:val="24"/>
          <w:highlight w:val="yellow"/>
        </w:rPr>
        <w:t>vid</w:t>
      </w:r>
      <w:r>
        <w:rPr>
          <w:rFonts w:ascii="Times New Roman" w:hAnsi="Times New Roman" w:cs="Times New Roman"/>
          <w:sz w:val="24"/>
          <w:szCs w:val="24"/>
        </w:rPr>
        <w:t>e a framework for assessing sector-specific producer</w:t>
      </w:r>
      <w:r>
        <w:rPr>
          <w:rFonts w:ascii="Times New Roman" w:hAnsi="Times New Roman" w:cs="Times New Roman"/>
          <w:sz w:val="24"/>
          <w:szCs w:val="24"/>
          <w:highlight w:val="yellow"/>
        </w:rPr>
        <w:t>-</w:t>
      </w:r>
      <w:r>
        <w:rPr>
          <w:rFonts w:ascii="Times New Roman" w:hAnsi="Times New Roman" w:cs="Times New Roman"/>
          <w:sz w:val="24"/>
          <w:szCs w:val="24"/>
        </w:rPr>
        <w:t xml:space="preserve">responsibility and deposit-refund systems. </w:t>
      </w:r>
      <w:r>
        <w:rPr>
          <w:rFonts w:ascii="Times New Roman" w:hAnsi="Times New Roman" w:cs="Times New Roman"/>
          <w:sz w:val="24"/>
          <w:szCs w:val="24"/>
          <w:highlight w:val="yellow"/>
        </w:rPr>
        <w:t>I</w:t>
      </w:r>
      <w:r>
        <w:rPr>
          <w:rFonts w:ascii="Times New Roman" w:hAnsi="Times New Roman" w:cs="Times New Roman"/>
          <w:sz w:val="24"/>
          <w:szCs w:val="24"/>
        </w:rPr>
        <w:t xml:space="preserve">nformal collectors must be included in these arrangements </w:t>
      </w:r>
      <w:r>
        <w:rPr>
          <w:rFonts w:ascii="Times New Roman" w:hAnsi="Times New Roman" w:cs="Times New Roman"/>
          <w:sz w:val="24"/>
          <w:szCs w:val="24"/>
          <w:highlight w:val="yellow"/>
        </w:rPr>
        <w:t>bec</w:t>
      </w:r>
      <w:r>
        <w:rPr>
          <w:rFonts w:ascii="Times New Roman" w:hAnsi="Times New Roman" w:cs="Times New Roman"/>
          <w:sz w:val="24"/>
          <w:szCs w:val="24"/>
        </w:rPr>
        <w:t>a</w:t>
      </w:r>
      <w:r>
        <w:rPr>
          <w:rFonts w:ascii="Times New Roman" w:hAnsi="Times New Roman" w:cs="Times New Roman"/>
          <w:sz w:val="24"/>
          <w:szCs w:val="24"/>
          <w:highlight w:val="yellow"/>
        </w:rPr>
        <w:t>u</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they already collect a large proportion of the available scrap, and environmental controls</w:t>
      </w:r>
      <w:r>
        <w:rPr>
          <w:rFonts w:ascii="Times New Roman" w:hAnsi="Times New Roman" w:cs="Times New Roman"/>
          <w:sz w:val="24"/>
          <w:szCs w:val="24"/>
          <w:highlight w:val="yellow"/>
        </w:rPr>
        <w:t xml:space="preserve"> need to be improved</w:t>
      </w:r>
      <w:r>
        <w:rPr>
          <w:rFonts w:ascii="Times New Roman" w:hAnsi="Times New Roman" w:cs="Times New Roman"/>
          <w:sz w:val="24"/>
          <w:szCs w:val="24"/>
        </w:rPr>
        <w:t xml:space="preserve"> at all recycling facilities, </w:t>
      </w:r>
      <w:r>
        <w:rPr>
          <w:rFonts w:ascii="Times New Roman" w:hAnsi="Times New Roman" w:cs="Times New Roman"/>
          <w:sz w:val="24"/>
          <w:szCs w:val="24"/>
          <w:highlight w:val="yellow"/>
        </w:rPr>
        <w:t xml:space="preserve">whether </w:t>
      </w:r>
      <w:r>
        <w:rPr>
          <w:rFonts w:ascii="Times New Roman" w:hAnsi="Times New Roman" w:cs="Times New Roman"/>
          <w:sz w:val="24"/>
          <w:szCs w:val="24"/>
        </w:rPr>
        <w:t xml:space="preserve">formal or </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rmal</w:t>
      </w:r>
      <w:r>
        <w:rPr>
          <w:rFonts w:ascii="Times New Roman" w:hAnsi="Times New Roman" w:cs="Times New Roman"/>
          <w:sz w:val="24"/>
          <w:szCs w:val="24"/>
        </w:rPr>
        <w:t>.</w:t>
      </w:r>
    </w:p>
    <w:p w14:paraId="341386C1" w14:textId="77777777" w:rsidR="00DD2AAA" w:rsidRPr="00A322A9" w:rsidRDefault="00DD2AAA" w:rsidP="00A322A9">
      <w:pPr>
        <w:spacing w:line="360" w:lineRule="auto"/>
        <w:rPr>
          <w:rFonts w:ascii="Times New Roman" w:hAnsi="Times New Roman" w:cs="Times New Roman"/>
          <w:sz w:val="24"/>
          <w:szCs w:val="24"/>
        </w:rPr>
      </w:pPr>
    </w:p>
    <w:p w14:paraId="6C257380" w14:textId="77777777" w:rsidR="00DD2AAA" w:rsidRPr="00A322A9"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highlight w:val="yellow"/>
        </w:rPr>
        <w:t>R</w:t>
      </w:r>
      <w:r>
        <w:rPr>
          <w:rFonts w:ascii="Times New Roman" w:hAnsi="Times New Roman" w:cs="Times New Roman"/>
          <w:sz w:val="24"/>
          <w:szCs w:val="24"/>
        </w:rPr>
        <w:t xml:space="preserve">esponsibility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implementing these measures is </w:t>
      </w:r>
      <w:r>
        <w:rPr>
          <w:rFonts w:ascii="Times New Roman" w:hAnsi="Times New Roman" w:cs="Times New Roman"/>
          <w:sz w:val="24"/>
          <w:szCs w:val="24"/>
          <w:highlight w:val="yellow"/>
        </w:rPr>
        <w:t>di</w:t>
      </w:r>
      <w:r>
        <w:rPr>
          <w:rFonts w:ascii="Times New Roman" w:hAnsi="Times New Roman" w:cs="Times New Roman"/>
          <w:sz w:val="24"/>
          <w:szCs w:val="24"/>
        </w:rPr>
        <w:t>s</w:t>
      </w:r>
      <w:r>
        <w:rPr>
          <w:rFonts w:ascii="Times New Roman" w:hAnsi="Times New Roman" w:cs="Times New Roman"/>
          <w:sz w:val="24"/>
          <w:szCs w:val="24"/>
          <w:highlight w:val="yellow"/>
        </w:rPr>
        <w:t>t</w:t>
      </w:r>
      <w:r>
        <w:rPr>
          <w:rFonts w:ascii="Times New Roman" w:hAnsi="Times New Roman" w:cs="Times New Roman"/>
          <w:sz w:val="24"/>
          <w:szCs w:val="24"/>
        </w:rPr>
        <w:t>r</w:t>
      </w:r>
      <w:r>
        <w:rPr>
          <w:rFonts w:ascii="Times New Roman" w:hAnsi="Times New Roman" w:cs="Times New Roman"/>
          <w:sz w:val="24"/>
          <w:szCs w:val="24"/>
          <w:highlight w:val="yellow"/>
        </w:rPr>
        <w:t>ibut</w:t>
      </w:r>
      <w:r>
        <w:rPr>
          <w:rFonts w:ascii="Times New Roman" w:hAnsi="Times New Roman" w:cs="Times New Roman"/>
          <w:sz w:val="24"/>
          <w:szCs w:val="24"/>
        </w:rPr>
        <w:t>ed throughout the battery lifecycle. NESREA and the Federal Ministry of Environment have the main regulatory authority for environment</w:t>
      </w:r>
      <w:r>
        <w:rPr>
          <w:rFonts w:ascii="Times New Roman" w:hAnsi="Times New Roman" w:cs="Times New Roman"/>
          <w:sz w:val="24"/>
          <w:szCs w:val="24"/>
          <w:highlight w:val="yellow"/>
        </w:rPr>
        <w:t>al matters</w:t>
      </w:r>
      <w:r>
        <w:rPr>
          <w:rFonts w:ascii="Times New Roman" w:hAnsi="Times New Roman" w:cs="Times New Roman"/>
          <w:sz w:val="24"/>
          <w:szCs w:val="24"/>
        </w:rPr>
        <w:t xml:space="preserve">; </w:t>
      </w:r>
      <w:r>
        <w:rPr>
          <w:rFonts w:ascii="Times New Roman" w:hAnsi="Times New Roman" w:cs="Times New Roman"/>
          <w:sz w:val="24"/>
          <w:szCs w:val="24"/>
          <w:highlight w:val="yellow"/>
        </w:rPr>
        <w:t>p</w:t>
      </w:r>
      <w:r>
        <w:rPr>
          <w:rFonts w:ascii="Times New Roman" w:hAnsi="Times New Roman" w:cs="Times New Roman"/>
          <w:sz w:val="24"/>
          <w:szCs w:val="24"/>
        </w:rPr>
        <w:t>ro</w:t>
      </w:r>
      <w:r>
        <w:rPr>
          <w:rFonts w:ascii="Times New Roman" w:hAnsi="Times New Roman" w:cs="Times New Roman"/>
          <w:sz w:val="24"/>
          <w:szCs w:val="24"/>
          <w:highlight w:val="yellow"/>
        </w:rPr>
        <w:t>gram</w:t>
      </w:r>
      <w:r>
        <w:rPr>
          <w:rFonts w:ascii="Times New Roman" w:hAnsi="Times New Roman" w:cs="Times New Roman"/>
          <w:sz w:val="24"/>
          <w:szCs w:val="24"/>
        </w:rPr>
        <w:t xml:space="preserve">me designers can include end-of-life aspects in programme financing, which can be facilitated by the Rural Electrification Agency and development financiers. Solar developers and battery importers are </w:t>
      </w:r>
      <w:r>
        <w:rPr>
          <w:rFonts w:ascii="Times New Roman" w:hAnsi="Times New Roman" w:cs="Times New Roman"/>
          <w:sz w:val="24"/>
          <w:szCs w:val="24"/>
          <w:highlight w:val="yellow"/>
        </w:rPr>
        <w:t>po</w:t>
      </w:r>
      <w:r>
        <w:rPr>
          <w:rFonts w:ascii="Times New Roman" w:hAnsi="Times New Roman" w:cs="Times New Roman"/>
          <w:sz w:val="24"/>
          <w:szCs w:val="24"/>
        </w:rPr>
        <w:t>s</w:t>
      </w:r>
      <w:r>
        <w:rPr>
          <w:rFonts w:ascii="Times New Roman" w:hAnsi="Times New Roman" w:cs="Times New Roman"/>
          <w:sz w:val="24"/>
          <w:szCs w:val="24"/>
          <w:highlight w:val="yellow"/>
        </w:rPr>
        <w:t>ition</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to document </w:t>
      </w:r>
      <w:r>
        <w:rPr>
          <w:rFonts w:ascii="Times New Roman" w:hAnsi="Times New Roman" w:cs="Times New Roman"/>
          <w:sz w:val="24"/>
          <w:szCs w:val="24"/>
          <w:highlight w:val="yellow"/>
        </w:rPr>
        <w:t>a</w:t>
      </w:r>
      <w:r>
        <w:rPr>
          <w:rFonts w:ascii="Times New Roman" w:hAnsi="Times New Roman" w:cs="Times New Roman"/>
          <w:sz w:val="24"/>
          <w:szCs w:val="24"/>
        </w:rPr>
        <w:t xml:space="preserve"> battery's origin when it is sold and installed</w:t>
      </w:r>
      <w:r>
        <w:rPr>
          <w:rFonts w:ascii="Times New Roman" w:hAnsi="Times New Roman" w:cs="Times New Roman"/>
          <w:sz w:val="24"/>
          <w:szCs w:val="24"/>
          <w:highlight w:val="yellow"/>
        </w:rPr>
        <w:t>,</w:t>
      </w:r>
      <w:r>
        <w:rPr>
          <w:rFonts w:ascii="Times New Roman" w:hAnsi="Times New Roman" w:cs="Times New Roman"/>
          <w:sz w:val="24"/>
          <w:szCs w:val="24"/>
        </w:rPr>
        <w:t xml:space="preserve"> while battery</w:t>
      </w:r>
      <w:r>
        <w:rPr>
          <w:rFonts w:ascii="Times New Roman" w:hAnsi="Times New Roman" w:cs="Times New Roman"/>
          <w:sz w:val="24"/>
          <w:szCs w:val="24"/>
          <w:highlight w:val="yellow"/>
        </w:rPr>
        <w:t>-</w:t>
      </w:r>
      <w:r>
        <w:rPr>
          <w:rFonts w:ascii="Times New Roman" w:hAnsi="Times New Roman" w:cs="Times New Roman"/>
          <w:sz w:val="24"/>
          <w:szCs w:val="24"/>
        </w:rPr>
        <w:t>recycling facilities will be required to meet standards for emissions control, effluent treatment</w:t>
      </w:r>
      <w:r>
        <w:rPr>
          <w:rFonts w:ascii="Times New Roman" w:hAnsi="Times New Roman" w:cs="Times New Roman"/>
          <w:sz w:val="24"/>
          <w:szCs w:val="24"/>
          <w:highlight w:val="yellow"/>
        </w:rPr>
        <w:t>,</w:t>
      </w:r>
      <w:r>
        <w:rPr>
          <w:rFonts w:ascii="Times New Roman" w:hAnsi="Times New Roman" w:cs="Times New Roman"/>
          <w:sz w:val="24"/>
          <w:szCs w:val="24"/>
        </w:rPr>
        <w:t xml:space="preserve"> residual-waste management</w:t>
      </w:r>
      <w:r>
        <w:rPr>
          <w:rFonts w:ascii="Times New Roman" w:hAnsi="Times New Roman" w:cs="Times New Roman"/>
          <w:sz w:val="24"/>
          <w:szCs w:val="24"/>
          <w:highlight w:val="yellow"/>
        </w:rPr>
        <w:t>,</w:t>
      </w:r>
      <w:r>
        <w:rPr>
          <w:rFonts w:ascii="Times New Roman" w:hAnsi="Times New Roman" w:cs="Times New Roman"/>
          <w:sz w:val="24"/>
          <w:szCs w:val="24"/>
        </w:rPr>
        <w:t xml:space="preserve"> and safe siting. </w:t>
      </w:r>
      <w:r>
        <w:rPr>
          <w:rFonts w:ascii="Times New Roman" w:hAnsi="Times New Roman" w:cs="Times New Roman"/>
          <w:sz w:val="24"/>
          <w:szCs w:val="24"/>
          <w:highlight w:val="yellow"/>
        </w:rPr>
        <w:t>R</w:t>
      </w:r>
      <w:r>
        <w:rPr>
          <w:rFonts w:ascii="Times New Roman" w:hAnsi="Times New Roman" w:cs="Times New Roman"/>
          <w:sz w:val="24"/>
          <w:szCs w:val="24"/>
        </w:rPr>
        <w:t>esearch institutions</w:t>
      </w:r>
      <w:r>
        <w:rPr>
          <w:rFonts w:ascii="Times New Roman" w:hAnsi="Times New Roman" w:cs="Times New Roman"/>
          <w:sz w:val="24"/>
          <w:szCs w:val="24"/>
          <w:highlight w:val="yellow"/>
        </w:rPr>
        <w:t xml:space="preserve"> also need</w:t>
      </w:r>
      <w:r>
        <w:rPr>
          <w:rFonts w:ascii="Times New Roman" w:hAnsi="Times New Roman" w:cs="Times New Roman"/>
          <w:sz w:val="24"/>
          <w:szCs w:val="24"/>
        </w:rPr>
        <w:t xml:space="preserve"> to produce waste-flow, environmental and biomonitoring data to support eff</w:t>
      </w:r>
      <w:r>
        <w:rPr>
          <w:rFonts w:ascii="Times New Roman" w:hAnsi="Times New Roman" w:cs="Times New Roman"/>
          <w:sz w:val="24"/>
          <w:szCs w:val="24"/>
          <w:highlight w:val="yellow"/>
        </w:rPr>
        <w:t>ect</w:t>
      </w:r>
      <w:r>
        <w:rPr>
          <w:rFonts w:ascii="Times New Roman" w:hAnsi="Times New Roman" w:cs="Times New Roman"/>
          <w:sz w:val="24"/>
          <w:szCs w:val="24"/>
        </w:rPr>
        <w:t>i</w:t>
      </w:r>
      <w:r>
        <w:rPr>
          <w:rFonts w:ascii="Times New Roman" w:hAnsi="Times New Roman" w:cs="Times New Roman"/>
          <w:sz w:val="24"/>
          <w:szCs w:val="24"/>
          <w:highlight w:val="yellow"/>
        </w:rPr>
        <w:t>v</w:t>
      </w:r>
      <w:r>
        <w:rPr>
          <w:rFonts w:ascii="Times New Roman" w:hAnsi="Times New Roman" w:cs="Times New Roman"/>
          <w:sz w:val="24"/>
          <w:szCs w:val="24"/>
        </w:rPr>
        <w:t>e monitoring.</w:t>
      </w:r>
    </w:p>
    <w:p w14:paraId="73CCEA16" w14:textId="77777777" w:rsidR="00DD2AAA" w:rsidRPr="00A322A9" w:rsidRDefault="00DD2AAA" w:rsidP="00A322A9">
      <w:pPr>
        <w:spacing w:line="360" w:lineRule="auto"/>
        <w:rPr>
          <w:rFonts w:ascii="Times New Roman" w:hAnsi="Times New Roman" w:cs="Times New Roman"/>
          <w:sz w:val="24"/>
          <w:szCs w:val="24"/>
        </w:rPr>
      </w:pPr>
    </w:p>
    <w:p w14:paraId="173D401C" w14:textId="606D19CE" w:rsidR="00DD2AAA" w:rsidRDefault="00DD2AAA" w:rsidP="00A322A9">
      <w:pPr>
        <w:spacing w:line="360" w:lineRule="auto"/>
        <w:rPr>
          <w:rFonts w:ascii="Times New Roman" w:hAnsi="Times New Roman" w:cs="Times New Roman"/>
          <w:sz w:val="24"/>
          <w:szCs w:val="24"/>
        </w:rPr>
      </w:pPr>
      <w:r>
        <w:rPr>
          <w:rFonts w:ascii="Times New Roman" w:hAnsi="Times New Roman" w:cs="Times New Roman"/>
          <w:sz w:val="24"/>
          <w:szCs w:val="24"/>
        </w:rPr>
        <w:t xml:space="preserve">Three urgent research needs arise. </w:t>
      </w:r>
      <w:r>
        <w:rPr>
          <w:rFonts w:ascii="Times New Roman" w:hAnsi="Times New Roman" w:cs="Times New Roman"/>
          <w:sz w:val="24"/>
          <w:szCs w:val="24"/>
          <w:highlight w:val="yellow"/>
        </w:rPr>
        <w:t>First</w:t>
      </w:r>
      <w:r>
        <w:rPr>
          <w:rFonts w:ascii="Times New Roman" w:hAnsi="Times New Roman" w:cs="Times New Roman"/>
          <w:sz w:val="24"/>
          <w:szCs w:val="24"/>
        </w:rPr>
        <w:t xml:space="preserve">, battery-origin records need to be </w:t>
      </w:r>
      <w:r>
        <w:rPr>
          <w:rFonts w:ascii="Times New Roman" w:hAnsi="Times New Roman" w:cs="Times New Roman"/>
          <w:sz w:val="24"/>
          <w:szCs w:val="24"/>
          <w:highlight w:val="yellow"/>
        </w:rPr>
        <w:t>intro</w:t>
      </w:r>
      <w:r>
        <w:rPr>
          <w:rFonts w:ascii="Times New Roman" w:hAnsi="Times New Roman" w:cs="Times New Roman"/>
          <w:sz w:val="24"/>
          <w:szCs w:val="24"/>
        </w:rPr>
        <w:t>d</w:t>
      </w:r>
      <w:r>
        <w:rPr>
          <w:rFonts w:ascii="Times New Roman" w:hAnsi="Times New Roman" w:cs="Times New Roman"/>
          <w:sz w:val="24"/>
          <w:szCs w:val="24"/>
          <w:highlight w:val="yellow"/>
        </w:rPr>
        <w:t>uc</w:t>
      </w:r>
      <w:r>
        <w:rPr>
          <w:rFonts w:ascii="Times New Roman" w:hAnsi="Times New Roman" w:cs="Times New Roman"/>
          <w:sz w:val="24"/>
          <w:szCs w:val="24"/>
        </w:rPr>
        <w:t xml:space="preserve">ed </w:t>
      </w:r>
      <w:r>
        <w:rPr>
          <w:rFonts w:ascii="Times New Roman" w:hAnsi="Times New Roman" w:cs="Times New Roman"/>
          <w:sz w:val="24"/>
          <w:szCs w:val="24"/>
          <w:highlight w:val="yellow"/>
        </w:rPr>
        <w:t>s</w:t>
      </w:r>
      <w:r>
        <w:rPr>
          <w:rFonts w:ascii="Times New Roman" w:hAnsi="Times New Roman" w:cs="Times New Roman"/>
          <w:sz w:val="24"/>
          <w:szCs w:val="24"/>
        </w:rPr>
        <w:t xml:space="preserve">o </w:t>
      </w:r>
      <w:r>
        <w:rPr>
          <w:rFonts w:ascii="Times New Roman" w:hAnsi="Times New Roman" w:cs="Times New Roman"/>
          <w:sz w:val="24"/>
          <w:szCs w:val="24"/>
          <w:highlight w:val="yellow"/>
        </w:rPr>
        <w:t>th</w:t>
      </w:r>
      <w:r>
        <w:rPr>
          <w:rFonts w:ascii="Times New Roman" w:hAnsi="Times New Roman" w:cs="Times New Roman"/>
          <w:sz w:val="24"/>
          <w:szCs w:val="24"/>
        </w:rPr>
        <w:t xml:space="preserve">at the contribution of the solar sector </w:t>
      </w:r>
      <w:r>
        <w:rPr>
          <w:rFonts w:ascii="Times New Roman" w:hAnsi="Times New Roman" w:cs="Times New Roman"/>
          <w:sz w:val="24"/>
          <w:szCs w:val="24"/>
          <w:highlight w:val="yellow"/>
        </w:rPr>
        <w:t>ca</w:t>
      </w:r>
      <w:r>
        <w:rPr>
          <w:rFonts w:ascii="Times New Roman" w:hAnsi="Times New Roman" w:cs="Times New Roman"/>
          <w:sz w:val="24"/>
          <w:szCs w:val="24"/>
        </w:rPr>
        <w:t>n</w:t>
      </w:r>
      <w:r>
        <w:rPr>
          <w:rFonts w:ascii="Times New Roman" w:hAnsi="Times New Roman" w:cs="Times New Roman"/>
          <w:sz w:val="24"/>
          <w:szCs w:val="24"/>
          <w:highlight w:val="yellow"/>
        </w:rPr>
        <w:t xml:space="preserve"> be quan</w:t>
      </w:r>
      <w:r>
        <w:rPr>
          <w:rFonts w:ascii="Times New Roman" w:hAnsi="Times New Roman" w:cs="Times New Roman"/>
          <w:sz w:val="24"/>
          <w:szCs w:val="24"/>
        </w:rPr>
        <w:t>t</w:t>
      </w:r>
      <w:r>
        <w:rPr>
          <w:rFonts w:ascii="Times New Roman" w:hAnsi="Times New Roman" w:cs="Times New Roman"/>
          <w:sz w:val="24"/>
          <w:szCs w:val="24"/>
          <w:highlight w:val="yellow"/>
        </w:rPr>
        <w:t>ified rather than</w:t>
      </w:r>
      <w:r>
        <w:rPr>
          <w:rFonts w:ascii="Times New Roman" w:hAnsi="Times New Roman" w:cs="Times New Roman"/>
          <w:sz w:val="24"/>
          <w:szCs w:val="24"/>
        </w:rPr>
        <w:t xml:space="preserve"> assumed. Secondly, community biomonitoring around Nigerian recycling sites should be scaled </w:t>
      </w:r>
      <w:r>
        <w:rPr>
          <w:rFonts w:ascii="Times New Roman" w:hAnsi="Times New Roman" w:cs="Times New Roman"/>
          <w:sz w:val="24"/>
          <w:szCs w:val="24"/>
          <w:highlight w:val="yellow"/>
        </w:rPr>
        <w:t xml:space="preserve">up </w:t>
      </w:r>
      <w:r>
        <w:rPr>
          <w:rFonts w:ascii="Times New Roman" w:hAnsi="Times New Roman" w:cs="Times New Roman"/>
          <w:sz w:val="24"/>
          <w:szCs w:val="24"/>
        </w:rPr>
        <w:t xml:space="preserve">to provide a </w:t>
      </w:r>
      <w:r>
        <w:rPr>
          <w:rFonts w:ascii="Times New Roman" w:hAnsi="Times New Roman" w:cs="Times New Roman"/>
          <w:sz w:val="24"/>
          <w:szCs w:val="24"/>
          <w:highlight w:val="yellow"/>
        </w:rPr>
        <w:t>r</w:t>
      </w:r>
      <w:r>
        <w:rPr>
          <w:rFonts w:ascii="Times New Roman" w:hAnsi="Times New Roman" w:cs="Times New Roman"/>
          <w:sz w:val="24"/>
          <w:szCs w:val="24"/>
        </w:rPr>
        <w:t>o</w:t>
      </w:r>
      <w:r>
        <w:rPr>
          <w:rFonts w:ascii="Times New Roman" w:hAnsi="Times New Roman" w:cs="Times New Roman"/>
          <w:sz w:val="24"/>
          <w:szCs w:val="24"/>
          <w:highlight w:val="yellow"/>
        </w:rPr>
        <w:t>bust</w:t>
      </w:r>
      <w:r>
        <w:rPr>
          <w:rFonts w:ascii="Times New Roman" w:hAnsi="Times New Roman" w:cs="Times New Roman"/>
          <w:sz w:val="24"/>
          <w:szCs w:val="24"/>
        </w:rPr>
        <w:t xml:space="preserve"> estimate of the prevalence and distribution of lead exposure because the </w:t>
      </w:r>
      <w:r>
        <w:rPr>
          <w:rFonts w:ascii="Times New Roman" w:hAnsi="Times New Roman" w:cs="Times New Roman"/>
          <w:sz w:val="24"/>
          <w:szCs w:val="24"/>
          <w:highlight w:val="yellow"/>
        </w:rPr>
        <w:t xml:space="preserve">available </w:t>
      </w:r>
      <w:r>
        <w:rPr>
          <w:rFonts w:ascii="Times New Roman" w:hAnsi="Times New Roman" w:cs="Times New Roman"/>
          <w:sz w:val="24"/>
          <w:szCs w:val="24"/>
        </w:rPr>
        <w:t>community</w:t>
      </w:r>
      <w:r>
        <w:rPr>
          <w:rFonts w:ascii="Times New Roman" w:hAnsi="Times New Roman" w:cs="Times New Roman"/>
          <w:sz w:val="24"/>
          <w:szCs w:val="24"/>
          <w:highlight w:val="yellow"/>
        </w:rPr>
        <w:t>-</w:t>
      </w:r>
      <w:r>
        <w:rPr>
          <w:rFonts w:ascii="Times New Roman" w:hAnsi="Times New Roman" w:cs="Times New Roman"/>
          <w:sz w:val="24"/>
          <w:szCs w:val="24"/>
        </w:rPr>
        <w:t xml:space="preserve">monitoring evidence is very limited and comes from a commissioned sample. Thirdly, the effectiveness and </w:t>
      </w:r>
      <w:r>
        <w:rPr>
          <w:rFonts w:ascii="Times New Roman" w:hAnsi="Times New Roman" w:cs="Times New Roman"/>
          <w:sz w:val="24"/>
          <w:szCs w:val="24"/>
        </w:rPr>
        <w:lastRenderedPageBreak/>
        <w:t xml:space="preserve">impact of the National Environmental (Battery Control) Regulations 2021 should be assessed </w:t>
      </w:r>
      <w:r>
        <w:rPr>
          <w:rFonts w:ascii="Times New Roman" w:hAnsi="Times New Roman" w:cs="Times New Roman"/>
          <w:sz w:val="24"/>
          <w:szCs w:val="24"/>
          <w:highlight w:val="yellow"/>
        </w:rPr>
        <w:t xml:space="preserve">on the </w:t>
      </w:r>
      <w:r>
        <w:rPr>
          <w:rFonts w:ascii="Times New Roman" w:hAnsi="Times New Roman" w:cs="Times New Roman"/>
          <w:sz w:val="24"/>
          <w:szCs w:val="24"/>
        </w:rPr>
        <w:t>bas</w:t>
      </w:r>
      <w:r>
        <w:rPr>
          <w:rFonts w:ascii="Times New Roman" w:hAnsi="Times New Roman" w:cs="Times New Roman"/>
          <w:sz w:val="24"/>
          <w:szCs w:val="24"/>
          <w:highlight w:val="yellow"/>
        </w:rPr>
        <w:t>is</w:t>
      </w:r>
      <w:r>
        <w:rPr>
          <w:rFonts w:ascii="Times New Roman" w:hAnsi="Times New Roman" w:cs="Times New Roman"/>
          <w:sz w:val="24"/>
          <w:szCs w:val="24"/>
        </w:rPr>
        <w:t xml:space="preserve"> o</w:t>
      </w:r>
      <w:r>
        <w:rPr>
          <w:rFonts w:ascii="Times New Roman" w:hAnsi="Times New Roman" w:cs="Times New Roman"/>
          <w:sz w:val="24"/>
          <w:szCs w:val="24"/>
          <w:highlight w:val="yellow"/>
        </w:rPr>
        <w:t>f</w:t>
      </w:r>
      <w:r>
        <w:rPr>
          <w:rFonts w:ascii="Times New Roman" w:hAnsi="Times New Roman" w:cs="Times New Roman"/>
          <w:sz w:val="24"/>
          <w:szCs w:val="24"/>
        </w:rPr>
        <w:t xml:space="preserve"> actual collection and recycling activities. This narrative review is not exhaustive, and</w:t>
      </w:r>
      <w:r>
        <w:rPr>
          <w:rFonts w:ascii="Times New Roman" w:hAnsi="Times New Roman" w:cs="Times New Roman"/>
          <w:sz w:val="24"/>
          <w:szCs w:val="24"/>
          <w:highlight w:val="yellow"/>
        </w:rPr>
        <w:t xml:space="preserve"> its</w:t>
      </w:r>
      <w:r>
        <w:rPr>
          <w:rFonts w:ascii="Times New Roman" w:hAnsi="Times New Roman" w:cs="Times New Roman"/>
          <w:sz w:val="24"/>
          <w:szCs w:val="24"/>
        </w:rPr>
        <w:t xml:space="preserve"> results and conclusions are limited by the existing evidence. However, the downstream fate and health consequences </w:t>
      </w:r>
      <w:r>
        <w:rPr>
          <w:rFonts w:ascii="Times New Roman" w:hAnsi="Times New Roman" w:cs="Times New Roman"/>
          <w:sz w:val="24"/>
          <w:szCs w:val="24"/>
          <w:highlight w:val="yellow"/>
        </w:rPr>
        <w:t>of these batter</w:t>
      </w:r>
      <w:r>
        <w:rPr>
          <w:rFonts w:ascii="Times New Roman" w:hAnsi="Times New Roman" w:cs="Times New Roman"/>
          <w:sz w:val="24"/>
          <w:szCs w:val="24"/>
        </w:rPr>
        <w:t>i</w:t>
      </w:r>
      <w:r>
        <w:rPr>
          <w:rFonts w:ascii="Times New Roman" w:hAnsi="Times New Roman" w:cs="Times New Roman"/>
          <w:sz w:val="24"/>
          <w:szCs w:val="24"/>
          <w:highlight w:val="yellow"/>
        </w:rPr>
        <w:t>e</w:t>
      </w:r>
      <w:r>
        <w:rPr>
          <w:rFonts w:ascii="Times New Roman" w:hAnsi="Times New Roman" w:cs="Times New Roman"/>
          <w:sz w:val="24"/>
          <w:szCs w:val="24"/>
        </w:rPr>
        <w:t>s have not been quantified.</w:t>
      </w:r>
      <w:r w:rsidR="003F5D34">
        <w:rPr>
          <w:rFonts w:ascii="Times New Roman" w:hAnsi="Times New Roman" w:cs="Times New Roman"/>
          <w:sz w:val="24"/>
          <w:szCs w:val="24"/>
        </w:rPr>
        <w:t xml:space="preserve"> </w:t>
      </w:r>
    </w:p>
    <w:p w14:paraId="5FCC73A3" w14:textId="77777777" w:rsidR="003F5D34" w:rsidRDefault="003F5D34" w:rsidP="00A322A9">
      <w:pPr>
        <w:spacing w:line="360" w:lineRule="auto"/>
        <w:rPr>
          <w:rFonts w:ascii="Times New Roman" w:hAnsi="Times New Roman" w:cs="Times New Roman"/>
          <w:sz w:val="24"/>
          <w:szCs w:val="24"/>
        </w:rPr>
      </w:pPr>
    </w:p>
    <w:p w14:paraId="0B198252" w14:textId="615C38C4" w:rsidR="003F5D34" w:rsidRPr="003F5D34" w:rsidRDefault="003F5D34" w:rsidP="003F5D34">
      <w:pPr>
        <w:spacing w:before="100" w:beforeAutospacing="1" w:after="100" w:afterAutospacing="1" w:line="240" w:lineRule="auto"/>
        <w:outlineLvl w:val="2"/>
        <w:rPr>
          <w:rFonts w:ascii="Times New Roman" w:eastAsia="Times New Roman" w:hAnsi="Times New Roman" w:cs="Times New Roman"/>
          <w:b/>
          <w:bCs/>
          <w:sz w:val="27"/>
          <w:szCs w:val="27"/>
        </w:rPr>
      </w:pPr>
      <w:r w:rsidRPr="003F5D34">
        <w:rPr>
          <w:rFonts w:ascii="Times New Roman" w:eastAsia="Times New Roman" w:hAnsi="Times New Roman" w:cs="Times New Roman"/>
          <w:b/>
          <w:bCs/>
          <w:sz w:val="27"/>
          <w:szCs w:val="27"/>
        </w:rPr>
        <w:t xml:space="preserve">Limitation </w:t>
      </w:r>
    </w:p>
    <w:p w14:paraId="6CA93131" w14:textId="29FAAFD7" w:rsidR="003F5D34" w:rsidRPr="003F5D34" w:rsidRDefault="003F5D34" w:rsidP="003F5D34">
      <w:pPr>
        <w:spacing w:before="100" w:beforeAutospacing="1" w:after="100" w:afterAutospacing="1" w:line="240" w:lineRule="auto"/>
        <w:rPr>
          <w:rFonts w:ascii="Times New Roman" w:eastAsia="Times New Roman" w:hAnsi="Times New Roman" w:cs="Times New Roman"/>
          <w:sz w:val="24"/>
          <w:szCs w:val="24"/>
        </w:rPr>
      </w:pPr>
      <w:r w:rsidRPr="003F5D34">
        <w:rPr>
          <w:rFonts w:ascii="Times New Roman" w:eastAsia="Times New Roman" w:hAnsi="Times New Roman" w:cs="Times New Roman"/>
          <w:sz w:val="24"/>
          <w:szCs w:val="24"/>
        </w:rPr>
        <w:t xml:space="preserve">This narrative review is constrained by the available evidence. Nigerian battery-recycling studies generally do not record the previous application of used batteries, so measured contamination and exposure cannot be attributed specifically to off-grid solar systems. Community biomonitoring evidence is also limited, and some relevant evidence comes from non-Nigerian or modelled settings. Consequently, the review can </w:t>
      </w:r>
      <w:proofErr w:type="spellStart"/>
      <w:r w:rsidRPr="003F5D34">
        <w:rPr>
          <w:rFonts w:ascii="Times New Roman" w:eastAsia="Times New Roman" w:hAnsi="Times New Roman" w:cs="Times New Roman"/>
          <w:sz w:val="24"/>
          <w:szCs w:val="24"/>
        </w:rPr>
        <w:t>characterise</w:t>
      </w:r>
      <w:proofErr w:type="spellEnd"/>
      <w:r w:rsidRPr="003F5D34">
        <w:rPr>
          <w:rFonts w:ascii="Times New Roman" w:eastAsia="Times New Roman" w:hAnsi="Times New Roman" w:cs="Times New Roman"/>
          <w:sz w:val="24"/>
          <w:szCs w:val="24"/>
        </w:rPr>
        <w:t xml:space="preserve"> risks within the wider used lead-acid battery stream but cannot quantify the solar sector’s specific environmental or health burden.</w:t>
      </w:r>
    </w:p>
    <w:p w14:paraId="79F7CE0F" w14:textId="77777777" w:rsidR="003F5D34" w:rsidRDefault="003F5D34" w:rsidP="00A322A9">
      <w:pPr>
        <w:spacing w:line="360" w:lineRule="auto"/>
        <w:rPr>
          <w:rFonts w:ascii="Times New Roman" w:hAnsi="Times New Roman" w:cs="Times New Roman"/>
          <w:sz w:val="24"/>
          <w:szCs w:val="24"/>
        </w:rPr>
      </w:pPr>
    </w:p>
    <w:p w14:paraId="23D13E3A" w14:textId="77777777" w:rsidR="00D31EB2" w:rsidRDefault="00D31EB2" w:rsidP="00D31EB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D4CF88F" w14:textId="77777777" w:rsidR="00D31EB2" w:rsidRDefault="00D31EB2" w:rsidP="00D31EB2">
      <w:pPr>
        <w:spacing w:after="0" w:line="240" w:lineRule="auto"/>
        <w:rPr>
          <w:rFonts w:ascii="Times New Roman" w:hAnsi="Times New Roman" w:cs="Times New Roman"/>
          <w:b/>
        </w:rPr>
      </w:pPr>
    </w:p>
    <w:p w14:paraId="7CE85658" w14:textId="77777777" w:rsidR="00D31EB2" w:rsidRDefault="00D31EB2" w:rsidP="00D31EB2">
      <w:pPr>
        <w:spacing w:after="0" w:line="240" w:lineRule="auto"/>
        <w:rPr>
          <w:rFonts w:ascii="Times New Roman" w:hAnsi="Times New Roman" w:cs="Times New Roman"/>
          <w:b/>
        </w:rPr>
      </w:pPr>
    </w:p>
    <w:p w14:paraId="78456A59" w14:textId="77777777" w:rsidR="00D31EB2" w:rsidRDefault="00D31EB2" w:rsidP="00D31EB2">
      <w:pPr>
        <w:spacing w:after="0" w:line="240" w:lineRule="auto"/>
        <w:rPr>
          <w:rFonts w:ascii="Times New Roman" w:hAnsi="Times New Roman" w:cs="Times New Roman"/>
          <w:b/>
        </w:rPr>
      </w:pPr>
    </w:p>
    <w:p w14:paraId="1A0DC641" w14:textId="77777777" w:rsidR="00D31EB2" w:rsidRPr="002D08AC" w:rsidRDefault="00D31EB2" w:rsidP="00D31E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7B7113" w14:textId="77777777" w:rsidR="00D31EB2" w:rsidRPr="00A322A9" w:rsidRDefault="00D31EB2" w:rsidP="00A322A9">
      <w:pPr>
        <w:spacing w:line="360" w:lineRule="auto"/>
        <w:rPr>
          <w:rFonts w:ascii="Times New Roman" w:hAnsi="Times New Roman" w:cs="Times New Roman"/>
          <w:sz w:val="24"/>
          <w:szCs w:val="24"/>
        </w:rPr>
      </w:pPr>
    </w:p>
    <w:p w14:paraId="23ADA7FE" w14:textId="77777777" w:rsidR="00DD2AAA" w:rsidRPr="00A322A9" w:rsidRDefault="00DD2AAA" w:rsidP="00A322A9">
      <w:pPr>
        <w:spacing w:line="360" w:lineRule="auto"/>
        <w:rPr>
          <w:rFonts w:ascii="Times New Roman" w:hAnsi="Times New Roman" w:cs="Times New Roman"/>
          <w:b/>
          <w:bCs/>
          <w:sz w:val="24"/>
          <w:szCs w:val="24"/>
        </w:rPr>
      </w:pPr>
      <w:r w:rsidRPr="00A322A9">
        <w:rPr>
          <w:rFonts w:ascii="Times New Roman" w:hAnsi="Times New Roman" w:cs="Times New Roman"/>
          <w:b/>
          <w:bCs/>
          <w:sz w:val="24"/>
          <w:szCs w:val="24"/>
        </w:rPr>
        <w:t>References</w:t>
      </w:r>
    </w:p>
    <w:p w14:paraId="581276B1" w14:textId="2255B331"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Olawoyin, O., &amp; Ogunrinde, F. (2025, November 18). Lead in their blood: How battery recyclers are poisoning Nigerians. </w:t>
      </w:r>
      <w:proofErr w:type="spellStart"/>
      <w:r w:rsidRPr="00A322A9">
        <w:rPr>
          <w:rFonts w:ascii="Times New Roman" w:hAnsi="Times New Roman" w:cs="Times New Roman"/>
          <w:i/>
          <w:iCs/>
        </w:rPr>
        <w:t>TheCable</w:t>
      </w:r>
      <w:proofErr w:type="spellEnd"/>
      <w:r w:rsidRPr="00A322A9">
        <w:rPr>
          <w:rFonts w:ascii="Times New Roman" w:hAnsi="Times New Roman" w:cs="Times New Roman"/>
        </w:rPr>
        <w:t xml:space="preserve">. </w:t>
      </w:r>
    </w:p>
    <w:p w14:paraId="57603FB6"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Adeleke, A. T., </w:t>
      </w:r>
      <w:proofErr w:type="spellStart"/>
      <w:r w:rsidRPr="00A322A9">
        <w:rPr>
          <w:rFonts w:ascii="Times New Roman" w:hAnsi="Times New Roman" w:cs="Times New Roman"/>
        </w:rPr>
        <w:t>Odunaike</w:t>
      </w:r>
      <w:proofErr w:type="spellEnd"/>
      <w:r w:rsidRPr="00A322A9">
        <w:rPr>
          <w:rFonts w:ascii="Times New Roman" w:hAnsi="Times New Roman" w:cs="Times New Roman"/>
        </w:rPr>
        <w:t xml:space="preserve">, R. K., Adeleke, M. T., Ajiboye, O. H., Oyebisi, K. T., &amp; Ayinla, S. O. (2026). Heavy metal contamination in plants associated with battery waste disposal at a recycling site in Ogun State, southwestern Nigeria. </w:t>
      </w:r>
      <w:r w:rsidRPr="00A322A9">
        <w:rPr>
          <w:rFonts w:ascii="Times New Roman" w:hAnsi="Times New Roman" w:cs="Times New Roman"/>
          <w:i/>
          <w:iCs/>
        </w:rPr>
        <w:t>African Journal of Pure and Applied Sciences, 7</w:t>
      </w:r>
      <w:r w:rsidRPr="00A322A9">
        <w:rPr>
          <w:rFonts w:ascii="Times New Roman" w:hAnsi="Times New Roman" w:cs="Times New Roman"/>
        </w:rPr>
        <w:t xml:space="preserve">(1), 78–87. </w:t>
      </w:r>
      <w:hyperlink r:id="rId8">
        <w:r w:rsidRPr="00A322A9">
          <w:rPr>
            <w:rFonts w:ascii="Times New Roman" w:hAnsi="Times New Roman" w:cs="Times New Roman"/>
          </w:rPr>
          <w:t>https://doi.org/10.33886/ajpas.v7i1.818</w:t>
        </w:r>
      </w:hyperlink>
    </w:p>
    <w:p w14:paraId="22791A09"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Adesina, L. M., Ogunbiyi, O., &amp; Makinde, K. (2023). Design, implementation and performance analysis of an off-grid solar powered system for a Nigerian household. </w:t>
      </w:r>
      <w:proofErr w:type="spellStart"/>
      <w:r w:rsidRPr="00A322A9">
        <w:rPr>
          <w:rFonts w:ascii="Times New Roman" w:hAnsi="Times New Roman" w:cs="Times New Roman"/>
          <w:i/>
          <w:iCs/>
        </w:rPr>
        <w:t>MethodsX</w:t>
      </w:r>
      <w:proofErr w:type="spellEnd"/>
      <w:r w:rsidRPr="00A322A9">
        <w:rPr>
          <w:rFonts w:ascii="Times New Roman" w:hAnsi="Times New Roman" w:cs="Times New Roman"/>
          <w:i/>
          <w:iCs/>
        </w:rPr>
        <w:t>, 10</w:t>
      </w:r>
      <w:r w:rsidRPr="00A322A9">
        <w:rPr>
          <w:rFonts w:ascii="Times New Roman" w:hAnsi="Times New Roman" w:cs="Times New Roman"/>
        </w:rPr>
        <w:t xml:space="preserve">, 102247. </w:t>
      </w:r>
      <w:hyperlink r:id="rId9">
        <w:r w:rsidRPr="00A322A9">
          <w:rPr>
            <w:rFonts w:ascii="Times New Roman" w:hAnsi="Times New Roman" w:cs="Times New Roman"/>
          </w:rPr>
          <w:t>https://doi.org/10.1016/j.mex.2023.102247</w:t>
        </w:r>
      </w:hyperlink>
    </w:p>
    <w:p w14:paraId="1AE89AD9"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lastRenderedPageBreak/>
        <w:t xml:space="preserve">Adeyeye, K. A., &amp; </w:t>
      </w:r>
      <w:proofErr w:type="spellStart"/>
      <w:r w:rsidRPr="00A322A9">
        <w:rPr>
          <w:rFonts w:ascii="Times New Roman" w:hAnsi="Times New Roman" w:cs="Times New Roman"/>
        </w:rPr>
        <w:t>Mbohwa</w:t>
      </w:r>
      <w:proofErr w:type="spellEnd"/>
      <w:r w:rsidRPr="00A322A9">
        <w:rPr>
          <w:rFonts w:ascii="Times New Roman" w:hAnsi="Times New Roman" w:cs="Times New Roman"/>
        </w:rPr>
        <w:t xml:space="preserve">, C. (2026). Bridging Nigeria's urban energy gap: Assessing hybrid energy microgrids trends, deployment, and future pathways. </w:t>
      </w:r>
      <w:r w:rsidRPr="00A322A9">
        <w:rPr>
          <w:rFonts w:ascii="Times New Roman" w:hAnsi="Times New Roman" w:cs="Times New Roman"/>
          <w:i/>
          <w:iCs/>
        </w:rPr>
        <w:t>Results in Engineering, 29</w:t>
      </w:r>
      <w:r w:rsidRPr="00A322A9">
        <w:rPr>
          <w:rFonts w:ascii="Times New Roman" w:hAnsi="Times New Roman" w:cs="Times New Roman"/>
        </w:rPr>
        <w:t xml:space="preserve">, 108558. </w:t>
      </w:r>
      <w:hyperlink r:id="rId10">
        <w:r w:rsidRPr="00A322A9">
          <w:rPr>
            <w:rFonts w:ascii="Times New Roman" w:hAnsi="Times New Roman" w:cs="Times New Roman"/>
          </w:rPr>
          <w:t>https://doi.org/10.1016/j.rineng.2025.108558</w:t>
        </w:r>
      </w:hyperlink>
    </w:p>
    <w:p w14:paraId="6889268F"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 xml:space="preserve">Bonnifield, R., &amp; Mallory, C. (2026). </w:t>
      </w:r>
      <w:r>
        <w:rPr>
          <w:rFonts w:ascii="Times New Roman" w:hAnsi="Times New Roman" w:cs="Times New Roman"/>
          <w:i/>
          <w:iCs/>
        </w:rPr>
        <w:t>Lead-safe off-grid electrification: Understanding the issues in sub-Saharan Africa</w:t>
      </w:r>
      <w:r>
        <w:rPr>
          <w:rFonts w:ascii="Times New Roman" w:hAnsi="Times New Roman" w:cs="Times New Roman"/>
          <w:highlight w:val="yellow"/>
        </w:rPr>
        <w:t xml:space="preserve"> (CGD Policy Paper No. 383)</w:t>
      </w:r>
      <w:r>
        <w:rPr>
          <w:rFonts w:ascii="Times New Roman" w:hAnsi="Times New Roman" w:cs="Times New Roman"/>
        </w:rPr>
        <w:t>. Center for Global Development.</w:t>
      </w:r>
      <w:r>
        <w:rPr>
          <w:rFonts w:ascii="Times New Roman" w:hAnsi="Times New Roman" w:cs="Times New Roman"/>
          <w:highlight w:val="yellow"/>
        </w:rPr>
        <w:t xml:space="preserve"> </w:t>
      </w:r>
      <w:hyperlink r:id="rId11">
        <w:r>
          <w:rPr>
            <w:rFonts w:ascii="Times New Roman" w:hAnsi="Times New Roman" w:cs="Times New Roman"/>
            <w:highlight w:val="yellow"/>
          </w:rPr>
          <w:t>https://www.cgdev.org/publication/lead-safe-off-grid-electrification-understanding-issues-sub-saharan-africa</w:t>
        </w:r>
      </w:hyperlink>
    </w:p>
    <w:p w14:paraId="709930D6" w14:textId="77777777" w:rsidR="00F36DBE" w:rsidRDefault="00000000">
      <w:pPr>
        <w:spacing w:after="200" w:line="360" w:lineRule="auto"/>
        <w:ind w:left="720" w:hanging="720"/>
      </w:pPr>
      <w:r>
        <w:rPr>
          <w:rFonts w:ascii="Times New Roman" w:eastAsia="Times New Roman" w:hAnsi="Times New Roman"/>
          <w:b/>
          <w:sz w:val="24"/>
          <w:highlight w:val="yellow"/>
        </w:rPr>
        <w:t xml:space="preserve">Dudzilah, G., Kakra, E. M., Adeoba, M. I., &amp; Sodje, V. (2026). Closing the loop on e-waste: Health-centered circular economy pathways to reduce environmental and health risks in low- and middle-income countries. </w:t>
      </w:r>
      <w:r>
        <w:rPr>
          <w:rFonts w:ascii="Times New Roman" w:eastAsia="Times New Roman" w:hAnsi="Times New Roman"/>
          <w:b/>
          <w:i/>
          <w:sz w:val="24"/>
          <w:highlight w:val="yellow"/>
        </w:rPr>
        <w:t>Journal of Global Agriculture and Ecology, 18</w:t>
      </w:r>
      <w:r>
        <w:rPr>
          <w:rFonts w:ascii="Times New Roman" w:eastAsia="Times New Roman" w:hAnsi="Times New Roman"/>
          <w:b/>
          <w:sz w:val="24"/>
          <w:highlight w:val="yellow"/>
        </w:rPr>
        <w:t xml:space="preserve">(1), 139–157. </w:t>
      </w:r>
      <w:hyperlink r:id="rId12">
        <w:r w:rsidR="00F36DBE">
          <w:rPr>
            <w:rFonts w:ascii="Times New Roman" w:eastAsia="Times New Roman" w:hAnsi="Times New Roman"/>
            <w:b/>
            <w:sz w:val="24"/>
            <w:highlight w:val="yellow"/>
          </w:rPr>
          <w:t>https://doi.org/10.56557/jogae/2026/v18i110314</w:t>
        </w:r>
      </w:hyperlink>
    </w:p>
    <w:p w14:paraId="3FF3695E"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 xml:space="preserve">Global Solar Council. (2026). </w:t>
      </w:r>
      <w:r>
        <w:rPr>
          <w:rFonts w:ascii="Times New Roman" w:hAnsi="Times New Roman" w:cs="Times New Roman"/>
          <w:i/>
          <w:iCs/>
        </w:rPr>
        <w:t>Africa market outlook for solar PV</w:t>
      </w:r>
      <w:r>
        <w:rPr>
          <w:rFonts w:ascii="Times New Roman" w:hAnsi="Times New Roman" w:cs="Times New Roman"/>
          <w:i/>
          <w:iCs/>
          <w:highlight w:val="yellow"/>
        </w:rPr>
        <w:t>:</w:t>
      </w:r>
      <w:r>
        <w:rPr>
          <w:rFonts w:ascii="Times New Roman" w:hAnsi="Times New Roman" w:cs="Times New Roman"/>
          <w:i/>
          <w:iCs/>
        </w:rPr>
        <w:t xml:space="preserve"> 2026–2029</w:t>
      </w:r>
      <w:r>
        <w:rPr>
          <w:rFonts w:ascii="Times New Roman" w:hAnsi="Times New Roman" w:cs="Times New Roman"/>
        </w:rPr>
        <w:t xml:space="preserve">. </w:t>
      </w:r>
      <w:hyperlink r:id="rId13">
        <w:r>
          <w:rPr>
            <w:rFonts w:ascii="Times New Roman" w:hAnsi="Times New Roman" w:cs="Times New Roman"/>
            <w:highlight w:val="yellow"/>
          </w:rPr>
          <w:t>https://www.g</w:t>
        </w:r>
      </w:hyperlink>
      <w:hyperlink r:id="rId14">
        <w:r>
          <w:rPr>
            <w:rFonts w:ascii="Times New Roman" w:hAnsi="Times New Roman" w:cs="Times New Roman"/>
          </w:rPr>
          <w:t>lobal</w:t>
        </w:r>
      </w:hyperlink>
      <w:hyperlink r:id="rId15">
        <w:r>
          <w:rPr>
            <w:rFonts w:ascii="Times New Roman" w:hAnsi="Times New Roman" w:cs="Times New Roman"/>
            <w:highlight w:val="yellow"/>
          </w:rPr>
          <w:t>s</w:t>
        </w:r>
      </w:hyperlink>
      <w:hyperlink r:id="rId16">
        <w:r>
          <w:rPr>
            <w:rFonts w:ascii="Times New Roman" w:hAnsi="Times New Roman" w:cs="Times New Roman"/>
          </w:rPr>
          <w:t>olar</w:t>
        </w:r>
      </w:hyperlink>
      <w:hyperlink r:id="rId17">
        <w:r>
          <w:rPr>
            <w:rFonts w:ascii="Times New Roman" w:hAnsi="Times New Roman" w:cs="Times New Roman"/>
            <w:highlight w:val="yellow"/>
          </w:rPr>
          <w:t>c</w:t>
        </w:r>
      </w:hyperlink>
      <w:hyperlink r:id="rId18">
        <w:r>
          <w:rPr>
            <w:rFonts w:ascii="Times New Roman" w:hAnsi="Times New Roman" w:cs="Times New Roman"/>
          </w:rPr>
          <w:t>ouncil.</w:t>
        </w:r>
      </w:hyperlink>
      <w:hyperlink r:id="rId19">
        <w:r>
          <w:rPr>
            <w:rFonts w:ascii="Times New Roman" w:hAnsi="Times New Roman" w:cs="Times New Roman"/>
            <w:highlight w:val="yellow"/>
          </w:rPr>
          <w:t>org/resources/africa-market-outlook-2026-2029/</w:t>
        </w:r>
      </w:hyperlink>
    </w:p>
    <w:p w14:paraId="781E1D14"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Gottesfeld, P., Were, F. H., </w:t>
      </w:r>
      <w:proofErr w:type="spellStart"/>
      <w:r w:rsidRPr="00A322A9">
        <w:rPr>
          <w:rFonts w:ascii="Times New Roman" w:hAnsi="Times New Roman" w:cs="Times New Roman"/>
        </w:rPr>
        <w:t>Adogame</w:t>
      </w:r>
      <w:proofErr w:type="spellEnd"/>
      <w:r w:rsidRPr="00A322A9">
        <w:rPr>
          <w:rFonts w:ascii="Times New Roman" w:hAnsi="Times New Roman" w:cs="Times New Roman"/>
        </w:rPr>
        <w:t xml:space="preserve">, L., Gharbi, S., San, D., Nota, M. M., &amp; Kuepouo, G. (2018). Soil contamination from lead battery manufacturing and recycling in seven African countries. </w:t>
      </w:r>
      <w:r w:rsidRPr="00A322A9">
        <w:rPr>
          <w:rFonts w:ascii="Times New Roman" w:hAnsi="Times New Roman" w:cs="Times New Roman"/>
          <w:i/>
          <w:iCs/>
        </w:rPr>
        <w:t>Environmental Research, 161</w:t>
      </w:r>
      <w:r w:rsidRPr="00A322A9">
        <w:rPr>
          <w:rFonts w:ascii="Times New Roman" w:hAnsi="Times New Roman" w:cs="Times New Roman"/>
        </w:rPr>
        <w:t xml:space="preserve">, 609–614. </w:t>
      </w:r>
      <w:hyperlink r:id="rId20">
        <w:r w:rsidRPr="00A322A9">
          <w:rPr>
            <w:rFonts w:ascii="Times New Roman" w:hAnsi="Times New Roman" w:cs="Times New Roman"/>
          </w:rPr>
          <w:t>https://doi.org/10.1016/j.envres.2017.11.055</w:t>
        </w:r>
      </w:hyperlink>
    </w:p>
    <w:p w14:paraId="364E719E"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 xml:space="preserve">Haefliger, P., Mathieu-Nolf, M., Lociciro, S., Ndiaye, C., Coly, M., Diouf, A., </w:t>
      </w:r>
      <w:r>
        <w:rPr>
          <w:rFonts w:ascii="Times New Roman" w:hAnsi="Times New Roman" w:cs="Times New Roman"/>
          <w:highlight w:val="yellow"/>
        </w:rPr>
        <w:t>Fay</w:t>
      </w:r>
      <w:r>
        <w:rPr>
          <w:rFonts w:ascii="Times New Roman" w:hAnsi="Times New Roman" w:cs="Times New Roman"/>
        </w:rPr>
        <w:t>e</w:t>
      </w:r>
      <w:r>
        <w:rPr>
          <w:rFonts w:ascii="Times New Roman" w:hAnsi="Times New Roman" w:cs="Times New Roman"/>
          <w:highlight w:val="yellow"/>
        </w:rPr>
        <w:t>, A. L., Sow, A., Tempowski, J., Pronczuk, J., Filipe Junior, A. P., Ber</w:t>
      </w:r>
      <w:r>
        <w:rPr>
          <w:rFonts w:ascii="Times New Roman" w:hAnsi="Times New Roman" w:cs="Times New Roman"/>
        </w:rPr>
        <w:t>t</w:t>
      </w:r>
      <w:r>
        <w:rPr>
          <w:rFonts w:ascii="Times New Roman" w:hAnsi="Times New Roman" w:cs="Times New Roman"/>
          <w:highlight w:val="yellow"/>
        </w:rPr>
        <w:t>ollini,</w:t>
      </w:r>
      <w:r>
        <w:rPr>
          <w:rFonts w:ascii="Times New Roman" w:hAnsi="Times New Roman" w:cs="Times New Roman"/>
        </w:rPr>
        <w:t xml:space="preserve"> </w:t>
      </w:r>
      <w:r>
        <w:rPr>
          <w:rFonts w:ascii="Times New Roman" w:hAnsi="Times New Roman" w:cs="Times New Roman"/>
          <w:highlight w:val="yellow"/>
        </w:rPr>
        <w:t>R., &amp; Neir</w:t>
      </w:r>
      <w:r>
        <w:rPr>
          <w:rFonts w:ascii="Times New Roman" w:hAnsi="Times New Roman" w:cs="Times New Roman"/>
        </w:rPr>
        <w:t>a</w:t>
      </w:r>
      <w:r>
        <w:rPr>
          <w:rFonts w:ascii="Times New Roman" w:hAnsi="Times New Roman" w:cs="Times New Roman"/>
          <w:highlight w:val="yellow"/>
        </w:rPr>
        <w:t>, M</w:t>
      </w:r>
      <w:r>
        <w:rPr>
          <w:rFonts w:ascii="Times New Roman" w:hAnsi="Times New Roman" w:cs="Times New Roman"/>
        </w:rPr>
        <w:t xml:space="preserve">. (2009). Mass lead intoxication from informal used lead-acid battery recycling in Dakar, Senegal. </w:t>
      </w:r>
      <w:r>
        <w:rPr>
          <w:rFonts w:ascii="Times New Roman" w:hAnsi="Times New Roman" w:cs="Times New Roman"/>
          <w:i/>
          <w:iCs/>
        </w:rPr>
        <w:t>Environmental Health Perspectives, 117</w:t>
      </w:r>
      <w:r>
        <w:rPr>
          <w:rFonts w:ascii="Times New Roman" w:hAnsi="Times New Roman" w:cs="Times New Roman"/>
        </w:rPr>
        <w:t xml:space="preserve">(10), 1535–1540. </w:t>
      </w:r>
      <w:hyperlink r:id="rId21">
        <w:r>
          <w:rPr>
            <w:rFonts w:ascii="Times New Roman" w:hAnsi="Times New Roman" w:cs="Times New Roman"/>
          </w:rPr>
          <w:t>https://doi.org/10.1289/ehp.0900696</w:t>
        </w:r>
      </w:hyperlink>
    </w:p>
    <w:p w14:paraId="7A697CDB"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Ebii, C. (2021, December 10). </w:t>
      </w:r>
      <w:r w:rsidRPr="00A322A9">
        <w:rPr>
          <w:rFonts w:ascii="Times New Roman" w:hAnsi="Times New Roman" w:cs="Times New Roman"/>
          <w:i/>
          <w:iCs/>
        </w:rPr>
        <w:t>Developing the RE sector responsibly - battery waste management in Nigeria</w:t>
      </w:r>
      <w:r w:rsidRPr="00A322A9">
        <w:rPr>
          <w:rFonts w:ascii="Times New Roman" w:hAnsi="Times New Roman" w:cs="Times New Roman"/>
        </w:rPr>
        <w:t xml:space="preserve"> [Interview]. Heinrich Böll Stiftung. </w:t>
      </w:r>
      <w:hyperlink r:id="rId22">
        <w:r w:rsidRPr="00A322A9">
          <w:rPr>
            <w:rFonts w:ascii="Times New Roman" w:hAnsi="Times New Roman" w:cs="Times New Roman"/>
          </w:rPr>
          <w:t>https://ng.boell.org/en/2021/12/10/developing-renewable-energy-sector-responsibly-establishing-regulatory-framework-battery</w:t>
        </w:r>
      </w:hyperlink>
    </w:p>
    <w:p w14:paraId="3BE7E22F"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t>Kinally</w:t>
      </w:r>
      <w:proofErr w:type="spellEnd"/>
      <w:r w:rsidRPr="00A322A9">
        <w:rPr>
          <w:rFonts w:ascii="Times New Roman" w:hAnsi="Times New Roman" w:cs="Times New Roman"/>
        </w:rPr>
        <w:t xml:space="preserve">, C., Antonanzas-Torres, F., Podd, F., &amp; Gallego-Schmid, A. (2024). Life cycle assessment of solar home system informal waste management practices in Malawi. </w:t>
      </w:r>
      <w:r w:rsidRPr="00A322A9">
        <w:rPr>
          <w:rFonts w:ascii="Times New Roman" w:hAnsi="Times New Roman" w:cs="Times New Roman"/>
          <w:i/>
          <w:iCs/>
        </w:rPr>
        <w:t>Applied Energy, 364</w:t>
      </w:r>
      <w:r w:rsidRPr="00A322A9">
        <w:rPr>
          <w:rFonts w:ascii="Times New Roman" w:hAnsi="Times New Roman" w:cs="Times New Roman"/>
        </w:rPr>
        <w:t xml:space="preserve">, 123190. </w:t>
      </w:r>
      <w:hyperlink r:id="rId23">
        <w:r w:rsidRPr="00A322A9">
          <w:rPr>
            <w:rFonts w:ascii="Times New Roman" w:hAnsi="Times New Roman" w:cs="Times New Roman"/>
          </w:rPr>
          <w:t>https://doi.org/10.1016/j.apenergy.2024.123190</w:t>
        </w:r>
      </w:hyperlink>
    </w:p>
    <w:p w14:paraId="49DCEC08"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sz w:val="24"/>
        </w:rPr>
        <w:t xml:space="preserve">Manhart, A., &amp; Adjei, F. (2026). </w:t>
      </w:r>
      <w:r>
        <w:rPr>
          <w:rFonts w:ascii="Times New Roman" w:hAnsi="Times New Roman"/>
          <w:i/>
          <w:sz w:val="24"/>
        </w:rPr>
        <w:t>Lead-acid battery recycling in selected African settings: Status quo and considerations for sector policies</w:t>
      </w:r>
      <w:r>
        <w:rPr>
          <w:rFonts w:ascii="Times New Roman" w:hAnsi="Times New Roman"/>
          <w:sz w:val="24"/>
          <w:highlight w:val="yellow"/>
        </w:rPr>
        <w:t xml:space="preserve"> (CGD Policy Paper No. 387)</w:t>
      </w:r>
      <w:r>
        <w:rPr>
          <w:rFonts w:ascii="Times New Roman" w:hAnsi="Times New Roman"/>
          <w:sz w:val="24"/>
        </w:rPr>
        <w:t xml:space="preserve">. Center for </w:t>
      </w:r>
      <w:r>
        <w:rPr>
          <w:rFonts w:ascii="Times New Roman" w:hAnsi="Times New Roman"/>
          <w:sz w:val="24"/>
        </w:rPr>
        <w:lastRenderedPageBreak/>
        <w:t xml:space="preserve">Global Development. </w:t>
      </w:r>
      <w:hyperlink r:id="rId24">
        <w:r>
          <w:rPr>
            <w:rFonts w:ascii="Times New Roman" w:hAnsi="Times New Roman"/>
            <w:sz w:val="24"/>
          </w:rPr>
          <w:t>https://www.cgdev.org/publication/lead-acid-battery-recycling-selected-african-settings-status-quo-and-considerations</w:t>
        </w:r>
      </w:hyperlink>
    </w:p>
    <w:p w14:paraId="3B57C945"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Nazim, M. S., &amp; Elavarasan, R. M. (2026). Extending battery lifecycles: A holistic review of second-life lithium-ion technology in sustainable energy systems from assessment to emerging trends. </w:t>
      </w:r>
      <w:r w:rsidRPr="00A322A9">
        <w:rPr>
          <w:rFonts w:ascii="Times New Roman" w:hAnsi="Times New Roman" w:cs="Times New Roman"/>
          <w:i/>
          <w:iCs/>
        </w:rPr>
        <w:t>Renewable and Sustainable Energy Reviews, 233</w:t>
      </w:r>
      <w:r w:rsidRPr="00A322A9">
        <w:rPr>
          <w:rFonts w:ascii="Times New Roman" w:hAnsi="Times New Roman" w:cs="Times New Roman"/>
        </w:rPr>
        <w:t xml:space="preserve">, 116848. </w:t>
      </w:r>
      <w:hyperlink r:id="rId25">
        <w:r w:rsidRPr="00A322A9">
          <w:rPr>
            <w:rFonts w:ascii="Times New Roman" w:hAnsi="Times New Roman" w:cs="Times New Roman"/>
          </w:rPr>
          <w:t>https://doi.org/10.1016/j.rser.2026.116848</w:t>
        </w:r>
      </w:hyperlink>
    </w:p>
    <w:p w14:paraId="31D13828" w14:textId="77777777" w:rsidR="00F36DBE" w:rsidRDefault="00000000">
      <w:pPr>
        <w:spacing w:after="200" w:line="360" w:lineRule="auto"/>
        <w:ind w:left="720" w:hanging="720"/>
      </w:pPr>
      <w:r>
        <w:rPr>
          <w:rFonts w:ascii="Times New Roman" w:eastAsia="Times New Roman" w:hAnsi="Times New Roman"/>
          <w:b/>
          <w:sz w:val="24"/>
          <w:highlight w:val="yellow"/>
        </w:rPr>
        <w:t xml:space="preserve">Nnorom, I. C., &amp; Faluyi, I. (2026). Informal e-waste management in Nigeria: A comprehensive analysis of practices, challenges, and opportunities for sustainable solutions towards a circular economy. </w:t>
      </w:r>
      <w:r>
        <w:rPr>
          <w:rFonts w:ascii="Times New Roman" w:eastAsia="Times New Roman" w:hAnsi="Times New Roman"/>
          <w:b/>
          <w:i/>
          <w:sz w:val="24"/>
          <w:highlight w:val="yellow"/>
        </w:rPr>
        <w:t>Waste Management &amp; Research, 44</w:t>
      </w:r>
      <w:r>
        <w:rPr>
          <w:rFonts w:ascii="Times New Roman" w:eastAsia="Times New Roman" w:hAnsi="Times New Roman"/>
          <w:b/>
          <w:sz w:val="24"/>
          <w:highlight w:val="yellow"/>
        </w:rPr>
        <w:t xml:space="preserve">(9), 1542–1555. </w:t>
      </w:r>
      <w:hyperlink r:id="rId26">
        <w:r w:rsidR="00F36DBE">
          <w:rPr>
            <w:rFonts w:ascii="Times New Roman" w:eastAsia="Times New Roman" w:hAnsi="Times New Roman"/>
            <w:b/>
            <w:sz w:val="24"/>
            <w:highlight w:val="yellow"/>
          </w:rPr>
          <w:t>https://doi.org/10.1177/0734242X261435297</w:t>
        </w:r>
      </w:hyperlink>
    </w:p>
    <w:p w14:paraId="42641313" w14:textId="77777777" w:rsidR="00A322A9" w:rsidRPr="00A322A9" w:rsidRDefault="00A322A9" w:rsidP="00A322A9">
      <w:pPr>
        <w:spacing w:after="200" w:line="360" w:lineRule="auto"/>
        <w:ind w:left="720" w:hanging="720"/>
        <w:rPr>
          <w:rFonts w:ascii="Times New Roman" w:hAnsi="Times New Roman" w:cs="Times New Roman"/>
        </w:rPr>
      </w:pPr>
      <w:r w:rsidRPr="00A322A9">
        <w:rPr>
          <w:rFonts w:ascii="Times New Roman" w:hAnsi="Times New Roman" w:cs="Times New Roman"/>
        </w:rPr>
        <w:t xml:space="preserve">Oloruntoba, E., </w:t>
      </w:r>
      <w:proofErr w:type="spellStart"/>
      <w:r w:rsidRPr="00A322A9">
        <w:rPr>
          <w:rFonts w:ascii="Times New Roman" w:hAnsi="Times New Roman" w:cs="Times New Roman"/>
        </w:rPr>
        <w:t>Gurusa</w:t>
      </w:r>
      <w:proofErr w:type="spellEnd"/>
      <w:r w:rsidRPr="00A322A9">
        <w:rPr>
          <w:rFonts w:ascii="Times New Roman" w:hAnsi="Times New Roman" w:cs="Times New Roman"/>
        </w:rPr>
        <w:t xml:space="preserve">, O., </w:t>
      </w:r>
      <w:proofErr w:type="spellStart"/>
      <w:r w:rsidRPr="00A322A9">
        <w:rPr>
          <w:rFonts w:ascii="Times New Roman" w:hAnsi="Times New Roman" w:cs="Times New Roman"/>
        </w:rPr>
        <w:t>Omokhodion</w:t>
      </w:r>
      <w:proofErr w:type="spellEnd"/>
      <w:r w:rsidRPr="00A322A9">
        <w:rPr>
          <w:rFonts w:ascii="Times New Roman" w:hAnsi="Times New Roman" w:cs="Times New Roman"/>
        </w:rPr>
        <w:t xml:space="preserve">, F., </w:t>
      </w:r>
      <w:proofErr w:type="spellStart"/>
      <w:r w:rsidRPr="00A322A9">
        <w:rPr>
          <w:rFonts w:ascii="Times New Roman" w:hAnsi="Times New Roman" w:cs="Times New Roman"/>
        </w:rPr>
        <w:t>Fobil</w:t>
      </w:r>
      <w:proofErr w:type="spellEnd"/>
      <w:r w:rsidRPr="00A322A9">
        <w:rPr>
          <w:rFonts w:ascii="Times New Roman" w:hAnsi="Times New Roman" w:cs="Times New Roman"/>
        </w:rPr>
        <w:t xml:space="preserve">, J., Basu, N., Arko-Mensah, J., &amp; Robin, T. (2021). Spatial distribution of heavy metals and pollution of environmental media around a used lead-acid battery recycling center in Ibadan, Nigeria. </w:t>
      </w:r>
      <w:r w:rsidRPr="00A322A9">
        <w:rPr>
          <w:rFonts w:ascii="Times New Roman" w:hAnsi="Times New Roman" w:cs="Times New Roman"/>
          <w:i/>
          <w:iCs/>
        </w:rPr>
        <w:t>Journal of Health and Pollution, 11</w:t>
      </w:r>
      <w:r w:rsidRPr="00A322A9">
        <w:rPr>
          <w:rFonts w:ascii="Times New Roman" w:hAnsi="Times New Roman" w:cs="Times New Roman"/>
        </w:rPr>
        <w:t xml:space="preserve">(29), 210304. </w:t>
      </w:r>
      <w:hyperlink r:id="rId27">
        <w:r w:rsidRPr="00A322A9">
          <w:rPr>
            <w:rFonts w:ascii="Times New Roman" w:hAnsi="Times New Roman" w:cs="Times New Roman"/>
          </w:rPr>
          <w:t>https://doi.org/10.5696/2156-9614-11.29.210304</w:t>
        </w:r>
      </w:hyperlink>
    </w:p>
    <w:p w14:paraId="143C90C1" w14:textId="77777777" w:rsidR="00F36DBE" w:rsidRDefault="00000000">
      <w:pPr>
        <w:spacing w:after="200" w:line="360" w:lineRule="auto"/>
        <w:ind w:left="720" w:hanging="720"/>
      </w:pPr>
      <w:r>
        <w:rPr>
          <w:rFonts w:ascii="Times New Roman" w:eastAsia="Times New Roman" w:hAnsi="Times New Roman"/>
          <w:b/>
          <w:sz w:val="24"/>
          <w:highlight w:val="yellow"/>
        </w:rPr>
        <w:t xml:space="preserve">Omokaro, G. O., Michael, I., Efeni, O. S., Adeyanju, O. I., &amp; Obomejero, J. (2026). Waste management in Nigeria: Systemic failures, circular economy pathways and sustainable solutions. </w:t>
      </w:r>
      <w:r>
        <w:rPr>
          <w:rFonts w:ascii="Times New Roman" w:eastAsia="Times New Roman" w:hAnsi="Times New Roman"/>
          <w:b/>
          <w:i/>
          <w:sz w:val="24"/>
          <w:highlight w:val="yellow"/>
        </w:rPr>
        <w:t>Environmental Development, 57</w:t>
      </w:r>
      <w:r>
        <w:rPr>
          <w:rFonts w:ascii="Times New Roman" w:eastAsia="Times New Roman" w:hAnsi="Times New Roman"/>
          <w:b/>
          <w:sz w:val="24"/>
          <w:highlight w:val="yellow"/>
        </w:rPr>
        <w:t xml:space="preserve">, 101363. </w:t>
      </w:r>
      <w:hyperlink r:id="rId28">
        <w:r w:rsidR="00F36DBE">
          <w:rPr>
            <w:rFonts w:ascii="Times New Roman" w:eastAsia="Times New Roman" w:hAnsi="Times New Roman"/>
            <w:b/>
            <w:sz w:val="24"/>
            <w:highlight w:val="yellow"/>
          </w:rPr>
          <w:t>https://doi.org/10.1016/j.envdev.2025.101363</w:t>
        </w:r>
      </w:hyperlink>
    </w:p>
    <w:p w14:paraId="7289EF36" w14:textId="77777777" w:rsidR="00A322A9" w:rsidRPr="00A322A9" w:rsidRDefault="00A322A9" w:rsidP="00A322A9">
      <w:pPr>
        <w:spacing w:after="200" w:line="360" w:lineRule="auto"/>
        <w:ind w:left="720" w:hanging="720"/>
        <w:rPr>
          <w:rFonts w:ascii="Times New Roman" w:hAnsi="Times New Roman" w:cs="Times New Roman"/>
        </w:rPr>
      </w:pPr>
      <w:proofErr w:type="spellStart"/>
      <w:r w:rsidRPr="00A322A9">
        <w:rPr>
          <w:rFonts w:ascii="Times New Roman" w:hAnsi="Times New Roman" w:cs="Times New Roman"/>
        </w:rPr>
        <w:t>Ondayo</w:t>
      </w:r>
      <w:proofErr w:type="spellEnd"/>
      <w:r w:rsidRPr="00A322A9">
        <w:rPr>
          <w:rFonts w:ascii="Times New Roman" w:hAnsi="Times New Roman" w:cs="Times New Roman"/>
        </w:rPr>
        <w:t xml:space="preserve">, M. A., Simiyu, G. M., </w:t>
      </w:r>
      <w:proofErr w:type="spellStart"/>
      <w:r w:rsidRPr="00A322A9">
        <w:rPr>
          <w:rFonts w:ascii="Times New Roman" w:hAnsi="Times New Roman" w:cs="Times New Roman"/>
        </w:rPr>
        <w:t>Raburu</w:t>
      </w:r>
      <w:proofErr w:type="spellEnd"/>
      <w:r w:rsidRPr="00A322A9">
        <w:rPr>
          <w:rFonts w:ascii="Times New Roman" w:hAnsi="Times New Roman" w:cs="Times New Roman"/>
        </w:rPr>
        <w:t xml:space="preserve">, P. O., &amp; Were, F. H. (2016). Child exposure to lead in the vicinities of informal used lead-acid battery recycling operations in Nairobi slums, Kenya. </w:t>
      </w:r>
      <w:r w:rsidRPr="00A322A9">
        <w:rPr>
          <w:rFonts w:ascii="Times New Roman" w:hAnsi="Times New Roman" w:cs="Times New Roman"/>
          <w:i/>
          <w:iCs/>
        </w:rPr>
        <w:t>Journal of Health and Pollution, 6</w:t>
      </w:r>
      <w:r w:rsidRPr="00A322A9">
        <w:rPr>
          <w:rFonts w:ascii="Times New Roman" w:hAnsi="Times New Roman" w:cs="Times New Roman"/>
        </w:rPr>
        <w:t xml:space="preserve">(12), 15–25. </w:t>
      </w:r>
      <w:hyperlink r:id="rId29">
        <w:r w:rsidRPr="00A322A9">
          <w:rPr>
            <w:rFonts w:ascii="Times New Roman" w:hAnsi="Times New Roman" w:cs="Times New Roman"/>
          </w:rPr>
          <w:t>https://doi.org/10.5696/2156-9614-6.12.15</w:t>
        </w:r>
      </w:hyperlink>
    </w:p>
    <w:p w14:paraId="30AAE62D" w14:textId="77777777" w:rsidR="00F36DBE" w:rsidRDefault="00000000">
      <w:pPr>
        <w:spacing w:after="200" w:line="360" w:lineRule="auto"/>
        <w:ind w:left="720" w:hanging="720"/>
      </w:pPr>
      <w:r>
        <w:rPr>
          <w:rFonts w:ascii="Times New Roman" w:eastAsia="Times New Roman" w:hAnsi="Times New Roman"/>
          <w:b/>
          <w:sz w:val="24"/>
          <w:highlight w:val="yellow"/>
        </w:rPr>
        <w:t xml:space="preserve">Oyeleke, P. O., Okparaocha, F. J., Afolabi, Q. O., Okotie, U. J., &amp; Shorinmade, A. Y. (2017). Quality of groundwater around an abandoned lead-acid battery company in Ibadan, Nigeria. </w:t>
      </w:r>
      <w:r>
        <w:rPr>
          <w:rFonts w:ascii="Times New Roman" w:eastAsia="Times New Roman" w:hAnsi="Times New Roman"/>
          <w:b/>
          <w:i/>
          <w:sz w:val="24"/>
          <w:highlight w:val="yellow"/>
        </w:rPr>
        <w:t>Asian Journal of Physical and Chemical Sciences, 3</w:t>
      </w:r>
      <w:r>
        <w:rPr>
          <w:rFonts w:ascii="Times New Roman" w:eastAsia="Times New Roman" w:hAnsi="Times New Roman"/>
          <w:b/>
          <w:sz w:val="24"/>
          <w:highlight w:val="yellow"/>
        </w:rPr>
        <w:t xml:space="preserve">(1), 1–8. </w:t>
      </w:r>
      <w:hyperlink r:id="rId30">
        <w:r w:rsidR="00F36DBE">
          <w:rPr>
            <w:rFonts w:ascii="Times New Roman" w:eastAsia="Times New Roman" w:hAnsi="Times New Roman"/>
            <w:b/>
            <w:sz w:val="24"/>
            <w:highlight w:val="yellow"/>
          </w:rPr>
          <w:t>https://doi.org/10.9734/AJOPACS/2017/36293</w:t>
        </w:r>
      </w:hyperlink>
    </w:p>
    <w:p w14:paraId="274D140E" w14:textId="77777777" w:rsidR="006078DC" w:rsidRDefault="00000000">
      <w:pPr>
        <w:spacing w:after="200" w:line="360" w:lineRule="auto"/>
        <w:ind w:left="720" w:hanging="720"/>
      </w:pPr>
      <w:r>
        <w:rPr>
          <w:rFonts w:ascii="Times New Roman" w:hAnsi="Times New Roman"/>
          <w:sz w:val="24"/>
        </w:rPr>
        <w:t xml:space="preserve">Sani-Gwarzo, N., Garba, R. M., Muhammad, M., Gadanya, M. A., Umar-Tsafe, N., Amin, S. M., Nguku, P., Gumel, A. G., Tirima, S., Abah, S., Iliyasu, Z., Uzochukwu, B., &amp; Nasidi, A. (2025). Comparison of blood lead levels between battery recycling workers and controls </w:t>
      </w:r>
      <w:r>
        <w:rPr>
          <w:rFonts w:ascii="Times New Roman" w:hAnsi="Times New Roman"/>
          <w:sz w:val="24"/>
        </w:rPr>
        <w:lastRenderedPageBreak/>
        <w:t xml:space="preserve">in Northern Nigeria. </w:t>
      </w:r>
      <w:r>
        <w:rPr>
          <w:rFonts w:ascii="Times New Roman" w:hAnsi="Times New Roman"/>
          <w:i/>
          <w:sz w:val="24"/>
        </w:rPr>
        <w:t>International Journal of Environmental Health Research, 35</w:t>
      </w:r>
      <w:r>
        <w:rPr>
          <w:rFonts w:ascii="Times New Roman" w:hAnsi="Times New Roman"/>
          <w:sz w:val="24"/>
        </w:rPr>
        <w:t>(6), 1640</w:t>
      </w:r>
      <w:r>
        <w:rPr>
          <w:rFonts w:ascii="Times New Roman" w:hAnsi="Times New Roman"/>
          <w:sz w:val="24"/>
          <w:highlight w:val="yellow"/>
        </w:rPr>
        <w:t>–</w:t>
      </w:r>
      <w:r>
        <w:rPr>
          <w:rFonts w:ascii="Times New Roman" w:hAnsi="Times New Roman"/>
          <w:sz w:val="24"/>
        </w:rPr>
        <w:t xml:space="preserve">1649. </w:t>
      </w:r>
      <w:hyperlink r:id="rId31">
        <w:r w:rsidR="006078DC">
          <w:rPr>
            <w:rFonts w:ascii="Times New Roman" w:hAnsi="Times New Roman"/>
            <w:sz w:val="24"/>
          </w:rPr>
          <w:t>https://doi.org/10.1080/09603123.2024.2400699</w:t>
        </w:r>
      </w:hyperlink>
    </w:p>
    <w:p w14:paraId="53073068"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United Nations Environment Programme. (202</w:t>
      </w:r>
      <w:r>
        <w:rPr>
          <w:rFonts w:ascii="Times New Roman" w:hAnsi="Times New Roman" w:cs="Times New Roman"/>
          <w:highlight w:val="yellow"/>
        </w:rPr>
        <w:t>3</w:t>
      </w:r>
      <w:r>
        <w:rPr>
          <w:rFonts w:ascii="Times New Roman" w:hAnsi="Times New Roman" w:cs="Times New Roman"/>
        </w:rPr>
        <w:t xml:space="preserve">, January 5). Nigeria acts to fight growing e-waste epidemic. </w:t>
      </w:r>
      <w:hyperlink r:id="rId32">
        <w:r>
          <w:rPr>
            <w:rFonts w:ascii="Times New Roman" w:hAnsi="Times New Roman" w:cs="Times New Roman"/>
          </w:rPr>
          <w:t>https://www.unep.org/gef/news-and-stories/press-release/nigeria-acts-fight-growing-e-waste-epidemic</w:t>
        </w:r>
      </w:hyperlink>
    </w:p>
    <w:p w14:paraId="55D8DF05" w14:textId="77777777" w:rsidR="00F36DBE" w:rsidRDefault="00000000">
      <w:pPr>
        <w:spacing w:after="200" w:line="360" w:lineRule="auto"/>
        <w:ind w:left="720" w:hanging="720"/>
      </w:pPr>
      <w:r w:rsidRPr="00F63670">
        <w:rPr>
          <w:rFonts w:ascii="Times New Roman" w:eastAsia="Times New Roman" w:hAnsi="Times New Roman"/>
          <w:b/>
          <w:sz w:val="24"/>
          <w:highlight w:val="yellow"/>
          <w:lang w:val="nl-BE"/>
        </w:rPr>
        <w:t xml:space="preserve">Wang, H., Chen, X., Cai, M., Wang, S., Zhou, F., Wu, Y., Wang, D., Wang, H., Wang, B., Pang, F., Peng, J., Huang, W., Liu, X., Wang, D., &amp; Yin, H. (2026). </w:t>
      </w:r>
      <w:r>
        <w:rPr>
          <w:rFonts w:ascii="Times New Roman" w:eastAsia="Times New Roman" w:hAnsi="Times New Roman"/>
          <w:b/>
          <w:sz w:val="24"/>
          <w:highlight w:val="yellow"/>
        </w:rPr>
        <w:t xml:space="preserve">Recycling of lead-acid batteries: A review. </w:t>
      </w:r>
      <w:r>
        <w:rPr>
          <w:rFonts w:ascii="Times New Roman" w:eastAsia="Times New Roman" w:hAnsi="Times New Roman"/>
          <w:b/>
          <w:i/>
          <w:sz w:val="24"/>
          <w:highlight w:val="yellow"/>
        </w:rPr>
        <w:t>Energy Storage Materials, 85</w:t>
      </w:r>
      <w:r>
        <w:rPr>
          <w:rFonts w:ascii="Times New Roman" w:eastAsia="Times New Roman" w:hAnsi="Times New Roman"/>
          <w:b/>
          <w:sz w:val="24"/>
          <w:highlight w:val="yellow"/>
        </w:rPr>
        <w:t xml:space="preserve">, 104895. </w:t>
      </w:r>
      <w:hyperlink r:id="rId33">
        <w:r w:rsidR="00F36DBE">
          <w:rPr>
            <w:rFonts w:ascii="Times New Roman" w:eastAsia="Times New Roman" w:hAnsi="Times New Roman"/>
            <w:b/>
            <w:sz w:val="24"/>
            <w:highlight w:val="yellow"/>
          </w:rPr>
          <w:t>https://doi.org/10.1016/j.ensm.2026.104895</w:t>
        </w:r>
      </w:hyperlink>
    </w:p>
    <w:p w14:paraId="7BF0A977"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 xml:space="preserve">World Bank. (2023, October 21). </w:t>
      </w:r>
      <w:r>
        <w:rPr>
          <w:rFonts w:ascii="Times New Roman" w:hAnsi="Times New Roman" w:cs="Times New Roman"/>
          <w:i/>
          <w:iCs/>
        </w:rPr>
        <w:t>Nigeria Distributed Access through Renewable Energy Scale-up Project</w:t>
      </w:r>
      <w:r>
        <w:rPr>
          <w:rFonts w:ascii="Times New Roman" w:hAnsi="Times New Roman" w:cs="Times New Roman"/>
          <w:highlight w:val="yellow"/>
        </w:rPr>
        <w:t xml:space="preserve"> (P179687) [Project Information Document (PID), appraisal stage, Report No. PIDA0043]</w:t>
      </w:r>
      <w:r>
        <w:rPr>
          <w:rFonts w:ascii="Times New Roman" w:hAnsi="Times New Roman" w:cs="Times New Roman"/>
        </w:rPr>
        <w:t xml:space="preserve">. </w:t>
      </w:r>
      <w:hyperlink r:id="rId34">
        <w:r>
          <w:rPr>
            <w:rFonts w:ascii="Times New Roman" w:hAnsi="Times New Roman" w:cs="Times New Roman"/>
            <w:highlight w:val="yellow"/>
          </w:rPr>
          <w:t>https://documents1.w</w:t>
        </w:r>
      </w:hyperlink>
      <w:hyperlink r:id="rId35">
        <w:r>
          <w:rPr>
            <w:rFonts w:ascii="Times New Roman" w:hAnsi="Times New Roman" w:cs="Times New Roman"/>
          </w:rPr>
          <w:t>orld</w:t>
        </w:r>
      </w:hyperlink>
      <w:hyperlink r:id="rId36">
        <w:r>
          <w:rPr>
            <w:rFonts w:ascii="Times New Roman" w:hAnsi="Times New Roman" w:cs="Times New Roman"/>
            <w:highlight w:val="yellow"/>
          </w:rPr>
          <w:t>b</w:t>
        </w:r>
      </w:hyperlink>
      <w:hyperlink r:id="rId37">
        <w:r>
          <w:rPr>
            <w:rFonts w:ascii="Times New Roman" w:hAnsi="Times New Roman" w:cs="Times New Roman"/>
          </w:rPr>
          <w:t>ank.</w:t>
        </w:r>
      </w:hyperlink>
      <w:hyperlink r:id="rId38">
        <w:r>
          <w:rPr>
            <w:rFonts w:ascii="Times New Roman" w:hAnsi="Times New Roman" w:cs="Times New Roman"/>
            <w:highlight w:val="yellow"/>
          </w:rPr>
          <w:t>org/curated/en/099102123031011480/pdf/P1796870457a64000bdc50ae740da8d880.pdf</w:t>
        </w:r>
      </w:hyperlink>
    </w:p>
    <w:p w14:paraId="5AA23496" w14:textId="77777777" w:rsidR="006078DC" w:rsidRDefault="00000000">
      <w:pPr>
        <w:spacing w:after="200" w:line="360" w:lineRule="auto"/>
        <w:ind w:left="720" w:hanging="720"/>
      </w:pPr>
      <w:r>
        <w:rPr>
          <w:rFonts w:ascii="Times New Roman" w:hAnsi="Times New Roman"/>
          <w:sz w:val="24"/>
        </w:rPr>
        <w:t xml:space="preserve">World Health Organization. (2017). </w:t>
      </w:r>
      <w:r>
        <w:rPr>
          <w:rFonts w:ascii="Times New Roman" w:hAnsi="Times New Roman"/>
          <w:i/>
          <w:sz w:val="24"/>
        </w:rPr>
        <w:t>Recycling used lead-acid batteries: Health considerations</w:t>
      </w:r>
      <w:r>
        <w:rPr>
          <w:rFonts w:ascii="Times New Roman" w:hAnsi="Times New Roman"/>
          <w:sz w:val="24"/>
        </w:rPr>
        <w:t xml:space="preserve">. </w:t>
      </w:r>
      <w:hyperlink r:id="rId39">
        <w:r w:rsidR="006078DC">
          <w:rPr>
            <w:rFonts w:ascii="Times New Roman" w:hAnsi="Times New Roman"/>
            <w:sz w:val="24"/>
          </w:rPr>
          <w:t>https://www.who.int/publications/i/item/9789241512855</w:t>
        </w:r>
      </w:hyperlink>
    </w:p>
    <w:p w14:paraId="1BC85029" w14:textId="77777777" w:rsidR="00A322A9" w:rsidRPr="00A322A9" w:rsidRDefault="00A322A9" w:rsidP="00A322A9">
      <w:pPr>
        <w:spacing w:after="200" w:line="360" w:lineRule="auto"/>
        <w:ind w:left="720" w:hanging="720"/>
        <w:rPr>
          <w:rFonts w:ascii="Times New Roman" w:hAnsi="Times New Roman" w:cs="Times New Roman"/>
        </w:rPr>
      </w:pPr>
      <w:r>
        <w:rPr>
          <w:rFonts w:ascii="Times New Roman" w:hAnsi="Times New Roman" w:cs="Times New Roman"/>
        </w:rPr>
        <w:t>World Health Organization. (202</w:t>
      </w:r>
      <w:r>
        <w:rPr>
          <w:rFonts w:ascii="Times New Roman" w:hAnsi="Times New Roman" w:cs="Times New Roman"/>
          <w:highlight w:val="yellow"/>
        </w:rPr>
        <w:t>4, September 27</w:t>
      </w:r>
      <w:r>
        <w:rPr>
          <w:rFonts w:ascii="Times New Roman" w:hAnsi="Times New Roman" w:cs="Times New Roman"/>
        </w:rPr>
        <w:t>).</w:t>
      </w:r>
      <w:r>
        <w:rPr>
          <w:rFonts w:ascii="Times New Roman" w:hAnsi="Times New Roman" w:cs="Times New Roman"/>
          <w:highlight w:val="yellow"/>
        </w:rPr>
        <w:t xml:space="preserve"> Chemical safety:</w:t>
      </w:r>
      <w:r>
        <w:rPr>
          <w:rFonts w:ascii="Times New Roman" w:hAnsi="Times New Roman" w:cs="Times New Roman"/>
        </w:rPr>
        <w:t xml:space="preserve"> </w:t>
      </w:r>
      <w:r>
        <w:rPr>
          <w:rFonts w:ascii="Times New Roman" w:hAnsi="Times New Roman" w:cs="Times New Roman"/>
          <w:i/>
          <w:iCs/>
        </w:rPr>
        <w:t>Lead poisoning</w:t>
      </w:r>
      <w:r>
        <w:rPr>
          <w:rFonts w:ascii="Times New Roman" w:hAnsi="Times New Roman" w:cs="Times New Roman"/>
        </w:rPr>
        <w:t xml:space="preserve">. </w:t>
      </w:r>
      <w:hyperlink r:id="rId40">
        <w:r>
          <w:rPr>
            <w:rFonts w:ascii="Times New Roman" w:hAnsi="Times New Roman" w:cs="Times New Roman"/>
            <w:highlight w:val="yellow"/>
          </w:rPr>
          <w:t>https://www.wh</w:t>
        </w:r>
      </w:hyperlink>
      <w:hyperlink r:id="rId41">
        <w:r>
          <w:rPr>
            <w:rFonts w:ascii="Times New Roman" w:hAnsi="Times New Roman" w:cs="Times New Roman"/>
          </w:rPr>
          <w:t>o</w:t>
        </w:r>
      </w:hyperlink>
      <w:hyperlink r:id="rId42">
        <w:r>
          <w:rPr>
            <w:rFonts w:ascii="Times New Roman" w:hAnsi="Times New Roman" w:cs="Times New Roman"/>
            <w:highlight w:val="yellow"/>
          </w:rPr>
          <w:t>.int/news-</w:t>
        </w:r>
      </w:hyperlink>
      <w:hyperlink r:id="rId43">
        <w:r>
          <w:rPr>
            <w:rFonts w:ascii="Times New Roman" w:hAnsi="Times New Roman" w:cs="Times New Roman"/>
          </w:rPr>
          <w:t>r</w:t>
        </w:r>
      </w:hyperlink>
      <w:hyperlink r:id="rId44">
        <w:r>
          <w:rPr>
            <w:rFonts w:ascii="Times New Roman" w:hAnsi="Times New Roman" w:cs="Times New Roman"/>
            <w:highlight w:val="yellow"/>
          </w:rPr>
          <w:t>oom/questions-and-answers/item/chemical-safety-lea</w:t>
        </w:r>
      </w:hyperlink>
      <w:hyperlink r:id="rId45">
        <w:r>
          <w:rPr>
            <w:rFonts w:ascii="Times New Roman" w:hAnsi="Times New Roman" w:cs="Times New Roman"/>
          </w:rPr>
          <w:t>d</w:t>
        </w:r>
      </w:hyperlink>
      <w:hyperlink r:id="rId46">
        <w:r>
          <w:rPr>
            <w:rFonts w:ascii="Times New Roman" w:hAnsi="Times New Roman" w:cs="Times New Roman"/>
            <w:highlight w:val="yellow"/>
          </w:rPr>
          <w:t>-poisoning/</w:t>
        </w:r>
      </w:hyperlink>
    </w:p>
    <w:p w14:paraId="6EB7FD6C" w14:textId="77777777" w:rsidR="00A322A9" w:rsidRPr="00A322A9" w:rsidRDefault="00A322A9" w:rsidP="00A322A9">
      <w:pPr>
        <w:spacing w:line="360" w:lineRule="auto"/>
        <w:rPr>
          <w:rFonts w:ascii="Times New Roman" w:hAnsi="Times New Roman" w:cs="Times New Roman"/>
          <w:b/>
          <w:bCs/>
        </w:rPr>
      </w:pPr>
    </w:p>
    <w:p w14:paraId="238211D8" w14:textId="77777777" w:rsidR="00F343EA" w:rsidRPr="00A322A9" w:rsidRDefault="00F343EA" w:rsidP="00A322A9">
      <w:pPr>
        <w:spacing w:line="360" w:lineRule="auto"/>
        <w:rPr>
          <w:rFonts w:ascii="Times New Roman" w:hAnsi="Times New Roman" w:cs="Times New Roman"/>
          <w:b/>
          <w:bCs/>
          <w:sz w:val="24"/>
          <w:szCs w:val="24"/>
        </w:rPr>
      </w:pPr>
    </w:p>
    <w:p w14:paraId="4FF35DD0" w14:textId="77777777" w:rsidR="00DD2AAA" w:rsidRPr="00A322A9" w:rsidRDefault="00DD2AAA" w:rsidP="00A322A9">
      <w:pPr>
        <w:spacing w:line="360" w:lineRule="auto"/>
        <w:rPr>
          <w:rFonts w:ascii="Times New Roman" w:hAnsi="Times New Roman" w:cs="Times New Roman"/>
          <w:sz w:val="24"/>
          <w:szCs w:val="24"/>
        </w:rPr>
      </w:pPr>
    </w:p>
    <w:sectPr w:rsidR="00DD2AAA" w:rsidRPr="00A322A9">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24AD" w14:textId="77777777" w:rsidR="00C61D71" w:rsidRDefault="00C61D71" w:rsidP="00E02039">
      <w:pPr>
        <w:spacing w:after="0" w:line="240" w:lineRule="auto"/>
      </w:pPr>
      <w:r>
        <w:separator/>
      </w:r>
    </w:p>
  </w:endnote>
  <w:endnote w:type="continuationSeparator" w:id="0">
    <w:p w14:paraId="1497B584" w14:textId="77777777" w:rsidR="00C61D71" w:rsidRDefault="00C61D71" w:rsidP="00E0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24B2" w14:textId="77777777" w:rsidR="00E02039" w:rsidRDefault="00E02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8A91" w14:textId="77777777" w:rsidR="00E02039" w:rsidRDefault="00E02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5E38" w14:textId="77777777" w:rsidR="00E02039" w:rsidRDefault="00E02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4821" w14:textId="77777777" w:rsidR="00C61D71" w:rsidRDefault="00C61D71" w:rsidP="00E02039">
      <w:pPr>
        <w:spacing w:after="0" w:line="240" w:lineRule="auto"/>
      </w:pPr>
      <w:r>
        <w:separator/>
      </w:r>
    </w:p>
  </w:footnote>
  <w:footnote w:type="continuationSeparator" w:id="0">
    <w:p w14:paraId="7A5AACE3" w14:textId="77777777" w:rsidR="00C61D71" w:rsidRDefault="00C61D71" w:rsidP="00E02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0AC5" w14:textId="77777777" w:rsidR="00E02039" w:rsidRDefault="00000000">
    <w:pPr>
      <w:pStyle w:val="Header"/>
    </w:pPr>
    <w:r>
      <w:rPr>
        <w:noProof/>
      </w:rPr>
      <w:pict w14:anchorId="0695B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AEB9" w14:textId="77777777" w:rsidR="00E02039" w:rsidRDefault="00000000">
    <w:pPr>
      <w:pStyle w:val="Header"/>
    </w:pPr>
    <w:r>
      <w:rPr>
        <w:noProof/>
      </w:rPr>
      <w:pict w14:anchorId="0B3F7A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DE19" w14:textId="77777777" w:rsidR="00E02039" w:rsidRDefault="00000000">
    <w:pPr>
      <w:pStyle w:val="Header"/>
    </w:pPr>
    <w:r>
      <w:rPr>
        <w:noProof/>
      </w:rPr>
      <w:pict w14:anchorId="691E0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97189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11DF6"/>
    <w:multiLevelType w:val="hybridMultilevel"/>
    <w:tmpl w:val="5E462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849B1"/>
    <w:multiLevelType w:val="multilevel"/>
    <w:tmpl w:val="90EA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4670360">
    <w:abstractNumId w:val="0"/>
  </w:num>
  <w:num w:numId="2" w16cid:durableId="767847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AAA"/>
    <w:rsid w:val="000D6678"/>
    <w:rsid w:val="000E5810"/>
    <w:rsid w:val="001069D7"/>
    <w:rsid w:val="0022496C"/>
    <w:rsid w:val="00306F00"/>
    <w:rsid w:val="00336DEE"/>
    <w:rsid w:val="003A3CAF"/>
    <w:rsid w:val="003B2930"/>
    <w:rsid w:val="003F5D34"/>
    <w:rsid w:val="0051661F"/>
    <w:rsid w:val="00581023"/>
    <w:rsid w:val="005C02B2"/>
    <w:rsid w:val="005C119C"/>
    <w:rsid w:val="005F2E99"/>
    <w:rsid w:val="006078DC"/>
    <w:rsid w:val="008779D7"/>
    <w:rsid w:val="009E1AEB"/>
    <w:rsid w:val="00A322A9"/>
    <w:rsid w:val="00A50045"/>
    <w:rsid w:val="00A5551A"/>
    <w:rsid w:val="00AF4FDB"/>
    <w:rsid w:val="00C561AF"/>
    <w:rsid w:val="00C61D71"/>
    <w:rsid w:val="00D31EB2"/>
    <w:rsid w:val="00D44451"/>
    <w:rsid w:val="00D45483"/>
    <w:rsid w:val="00DD2AAA"/>
    <w:rsid w:val="00E02039"/>
    <w:rsid w:val="00E150B7"/>
    <w:rsid w:val="00E261F1"/>
    <w:rsid w:val="00F343EA"/>
    <w:rsid w:val="00F36DBE"/>
    <w:rsid w:val="00F63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11B56"/>
  <w15:chartTrackingRefBased/>
  <w15:docId w15:val="{B9425237-0FF2-48E7-8585-A074228D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2249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496C"/>
    <w:rPr>
      <w:b/>
      <w:bCs/>
    </w:rPr>
  </w:style>
  <w:style w:type="paragraph" w:styleId="BodyText">
    <w:name w:val="Body Text"/>
    <w:basedOn w:val="Normal"/>
    <w:link w:val="BodyTextChar"/>
    <w:qFormat/>
    <w:rsid w:val="000E5810"/>
    <w:pPr>
      <w:spacing w:before="180" w:after="180" w:line="240" w:lineRule="auto"/>
    </w:pPr>
    <w:rPr>
      <w:sz w:val="24"/>
      <w:szCs w:val="24"/>
    </w:rPr>
  </w:style>
  <w:style w:type="character" w:customStyle="1" w:styleId="BodyTextChar">
    <w:name w:val="Body Text Char"/>
    <w:basedOn w:val="DefaultParagraphFont"/>
    <w:link w:val="BodyText"/>
    <w:rsid w:val="000E5810"/>
    <w:rPr>
      <w:sz w:val="24"/>
      <w:szCs w:val="24"/>
    </w:rPr>
  </w:style>
  <w:style w:type="paragraph" w:customStyle="1" w:styleId="Compact">
    <w:name w:val="Compact"/>
    <w:basedOn w:val="BodyText"/>
    <w:qFormat/>
    <w:rsid w:val="000E5810"/>
    <w:pPr>
      <w:spacing w:before="36" w:after="36"/>
    </w:pPr>
  </w:style>
  <w:style w:type="table" w:customStyle="1" w:styleId="Table">
    <w:name w:val="Table"/>
    <w:semiHidden/>
    <w:unhideWhenUsed/>
    <w:qFormat/>
    <w:rsid w:val="000E5810"/>
    <w:pPr>
      <w:spacing w:after="200" w:line="240" w:lineRule="auto"/>
    </w:pPr>
    <w:rPr>
      <w:sz w:val="24"/>
      <w:szCs w:val="24"/>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E5810"/>
    <w:rPr>
      <w:color w:val="0563C1" w:themeColor="hyperlink"/>
      <w:u w:val="single"/>
    </w:rPr>
  </w:style>
  <w:style w:type="character" w:styleId="UnresolvedMention">
    <w:name w:val="Unresolved Mention"/>
    <w:basedOn w:val="DefaultParagraphFont"/>
    <w:uiPriority w:val="99"/>
    <w:semiHidden/>
    <w:unhideWhenUsed/>
    <w:rsid w:val="000E5810"/>
    <w:rPr>
      <w:color w:val="605E5C"/>
      <w:shd w:val="clear" w:color="auto" w:fill="E1DFDD"/>
    </w:rPr>
  </w:style>
  <w:style w:type="character" w:styleId="Emphasis">
    <w:name w:val="Emphasis"/>
    <w:basedOn w:val="DefaultParagraphFont"/>
    <w:uiPriority w:val="20"/>
    <w:qFormat/>
    <w:rsid w:val="000E5810"/>
    <w:rPr>
      <w:i/>
      <w:iCs/>
    </w:rPr>
  </w:style>
  <w:style w:type="paragraph" w:styleId="NormalWeb">
    <w:name w:val="Normal (Web)"/>
    <w:basedOn w:val="Normal"/>
    <w:uiPriority w:val="99"/>
    <w:unhideWhenUsed/>
    <w:rsid w:val="00AF4FD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4451"/>
    <w:pPr>
      <w:ind w:left="720"/>
      <w:contextualSpacing/>
    </w:pPr>
  </w:style>
  <w:style w:type="paragraph" w:styleId="Header">
    <w:name w:val="header"/>
    <w:basedOn w:val="Normal"/>
    <w:link w:val="HeaderChar"/>
    <w:uiPriority w:val="99"/>
    <w:unhideWhenUsed/>
    <w:rsid w:val="00E0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039"/>
  </w:style>
  <w:style w:type="paragraph" w:styleId="Footer">
    <w:name w:val="footer"/>
    <w:basedOn w:val="Normal"/>
    <w:link w:val="FooterChar"/>
    <w:uiPriority w:val="99"/>
    <w:unhideWhenUsed/>
    <w:rsid w:val="00E0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2018">
      <w:bodyDiv w:val="1"/>
      <w:marLeft w:val="0"/>
      <w:marRight w:val="0"/>
      <w:marTop w:val="0"/>
      <w:marBottom w:val="0"/>
      <w:divBdr>
        <w:top w:val="none" w:sz="0" w:space="0" w:color="auto"/>
        <w:left w:val="none" w:sz="0" w:space="0" w:color="auto"/>
        <w:bottom w:val="none" w:sz="0" w:space="0" w:color="auto"/>
        <w:right w:val="none" w:sz="0" w:space="0" w:color="auto"/>
      </w:divBdr>
      <w:divsChild>
        <w:div w:id="691959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0875660">
      <w:bodyDiv w:val="1"/>
      <w:marLeft w:val="0"/>
      <w:marRight w:val="0"/>
      <w:marTop w:val="0"/>
      <w:marBottom w:val="0"/>
      <w:divBdr>
        <w:top w:val="none" w:sz="0" w:space="0" w:color="auto"/>
        <w:left w:val="none" w:sz="0" w:space="0" w:color="auto"/>
        <w:bottom w:val="none" w:sz="0" w:space="0" w:color="auto"/>
        <w:right w:val="none" w:sz="0" w:space="0" w:color="auto"/>
      </w:divBdr>
      <w:divsChild>
        <w:div w:id="17698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637470">
      <w:bodyDiv w:val="1"/>
      <w:marLeft w:val="0"/>
      <w:marRight w:val="0"/>
      <w:marTop w:val="0"/>
      <w:marBottom w:val="0"/>
      <w:divBdr>
        <w:top w:val="none" w:sz="0" w:space="0" w:color="auto"/>
        <w:left w:val="none" w:sz="0" w:space="0" w:color="auto"/>
        <w:bottom w:val="none" w:sz="0" w:space="0" w:color="auto"/>
        <w:right w:val="none" w:sz="0" w:space="0" w:color="auto"/>
      </w:divBdr>
      <w:divsChild>
        <w:div w:id="389618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956730">
      <w:bodyDiv w:val="1"/>
      <w:marLeft w:val="0"/>
      <w:marRight w:val="0"/>
      <w:marTop w:val="0"/>
      <w:marBottom w:val="0"/>
      <w:divBdr>
        <w:top w:val="none" w:sz="0" w:space="0" w:color="auto"/>
        <w:left w:val="none" w:sz="0" w:space="0" w:color="auto"/>
        <w:bottom w:val="none" w:sz="0" w:space="0" w:color="auto"/>
        <w:right w:val="none" w:sz="0" w:space="0" w:color="auto"/>
      </w:divBdr>
    </w:div>
    <w:div w:id="719211297">
      <w:bodyDiv w:val="1"/>
      <w:marLeft w:val="0"/>
      <w:marRight w:val="0"/>
      <w:marTop w:val="0"/>
      <w:marBottom w:val="0"/>
      <w:divBdr>
        <w:top w:val="none" w:sz="0" w:space="0" w:color="auto"/>
        <w:left w:val="none" w:sz="0" w:space="0" w:color="auto"/>
        <w:bottom w:val="none" w:sz="0" w:space="0" w:color="auto"/>
        <w:right w:val="none" w:sz="0" w:space="0" w:color="auto"/>
      </w:divBdr>
      <w:divsChild>
        <w:div w:id="197618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lobalsolarcouncil.org/resources/africa-market-outlook-2026-2029/" TargetMode="External"/><Relationship Id="rId18" Type="http://schemas.openxmlformats.org/officeDocument/2006/relationships/hyperlink" Target="https://www.globalsolarcouncil.org/resources/africa-market-outlook-2026-2029/" TargetMode="External"/><Relationship Id="rId26" Type="http://schemas.openxmlformats.org/officeDocument/2006/relationships/hyperlink" Target="https://doi.org/10.1177/0734242X261435297" TargetMode="External"/><Relationship Id="rId39" Type="http://schemas.openxmlformats.org/officeDocument/2006/relationships/hyperlink" Target="https://www.who.int/publications/i/item/9789241512855" TargetMode="External"/><Relationship Id="rId21" Type="http://schemas.openxmlformats.org/officeDocument/2006/relationships/hyperlink" Target="https://doi.org/10.1289/ehp.0900696" TargetMode="External"/><Relationship Id="rId34" Type="http://schemas.openxmlformats.org/officeDocument/2006/relationships/hyperlink" Target="https://documents1.worldbank.org/curated/en/099102123031011480/pdf/P1796870457a64000bdc50ae740da8d880.pdf" TargetMode="External"/><Relationship Id="rId42" Type="http://schemas.openxmlformats.org/officeDocument/2006/relationships/hyperlink" Target="https://www.who.int/news-room/questions-and-answers/item/chemical-safety-lead-poisoning/"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lobalsolarcouncil.org/resources/africa-market-outlook-2026-2029/" TargetMode="External"/><Relationship Id="rId29" Type="http://schemas.openxmlformats.org/officeDocument/2006/relationships/hyperlink" Target="https://doi.org/10.5696/2156-9614-6.12.15" TargetMode="External"/><Relationship Id="rId11" Type="http://schemas.openxmlformats.org/officeDocument/2006/relationships/hyperlink" Target="https://www.cgdev.org/publication/lead-safe-off-grid-electrification-understanding-issues-sub-saharan-africa" TargetMode="External"/><Relationship Id="rId24" Type="http://schemas.openxmlformats.org/officeDocument/2006/relationships/hyperlink" Target="https://www.cgdev.org/publication/lead-acid-battery-recycling-selected-african-settings-status-quo-and-considerations" TargetMode="External"/><Relationship Id="rId32" Type="http://schemas.openxmlformats.org/officeDocument/2006/relationships/hyperlink" Target="https://www.unep.org/gef/news-and-stories/press-release/nigeria-acts-fight-growing-e-waste-epidemic" TargetMode="External"/><Relationship Id="rId37" Type="http://schemas.openxmlformats.org/officeDocument/2006/relationships/hyperlink" Target="https://documents1.worldbank.org/curated/en/099102123031011480/pdf/P1796870457a64000bdc50ae740da8d880.pdf" TargetMode="External"/><Relationship Id="rId40" Type="http://schemas.openxmlformats.org/officeDocument/2006/relationships/hyperlink" Target="https://www.who.int/news-room/questions-and-answers/item/chemical-safety-lead-poisoning/" TargetMode="External"/><Relationship Id="rId45" Type="http://schemas.openxmlformats.org/officeDocument/2006/relationships/hyperlink" Target="https://www.who.int/news-room/questions-and-answers/item/chemical-safety-lead-poisoning/"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16/j.rineng.2025.108558" TargetMode="External"/><Relationship Id="rId19" Type="http://schemas.openxmlformats.org/officeDocument/2006/relationships/hyperlink" Target="https://www.globalsolarcouncil.org/resources/africa-market-outlook-2026-2029/" TargetMode="External"/><Relationship Id="rId31" Type="http://schemas.openxmlformats.org/officeDocument/2006/relationships/hyperlink" Target="https://doi.org/10.1080/09603123.2024.2400699" TargetMode="External"/><Relationship Id="rId44" Type="http://schemas.openxmlformats.org/officeDocument/2006/relationships/hyperlink" Target="https://www.who.int/news-room/questions-and-answers/item/chemical-safety-lead-poisoning/"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mex.2023.102247" TargetMode="External"/><Relationship Id="rId14" Type="http://schemas.openxmlformats.org/officeDocument/2006/relationships/hyperlink" Target="https://www.globalsolarcouncil.org/resources/africa-market-outlook-2026-2029/" TargetMode="External"/><Relationship Id="rId22" Type="http://schemas.openxmlformats.org/officeDocument/2006/relationships/hyperlink" Target="https://ng.boell.org/en/2021/12/10/developing-renewable-energy-sector-responsibly-establishing-regulatory-framework-battery" TargetMode="External"/><Relationship Id="rId27" Type="http://schemas.openxmlformats.org/officeDocument/2006/relationships/hyperlink" Target="https://doi.org/10.5696/2156-9614-11.29.210304" TargetMode="External"/><Relationship Id="rId30" Type="http://schemas.openxmlformats.org/officeDocument/2006/relationships/hyperlink" Target="https://doi.org/10.9734/AJOPACS/2017/36293" TargetMode="External"/><Relationship Id="rId35" Type="http://schemas.openxmlformats.org/officeDocument/2006/relationships/hyperlink" Target="https://documents1.worldbank.org/curated/en/099102123031011480/pdf/P1796870457a64000bdc50ae740da8d880.pdf" TargetMode="External"/><Relationship Id="rId43" Type="http://schemas.openxmlformats.org/officeDocument/2006/relationships/hyperlink" Target="https://www.who.int/news-room/questions-and-answers/item/chemical-safety-lead-poisoning/" TargetMode="External"/><Relationship Id="rId48" Type="http://schemas.openxmlformats.org/officeDocument/2006/relationships/header" Target="header2.xml"/><Relationship Id="rId8" Type="http://schemas.openxmlformats.org/officeDocument/2006/relationships/hyperlink" Target="https://doi.org/10.33886/ajpas.v7i1.818" TargetMode="Externa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doi.org/10.56557/jogae/2026/v18i110314" TargetMode="External"/><Relationship Id="rId17" Type="http://schemas.openxmlformats.org/officeDocument/2006/relationships/hyperlink" Target="https://www.globalsolarcouncil.org/resources/africa-market-outlook-2026-2029/" TargetMode="External"/><Relationship Id="rId25" Type="http://schemas.openxmlformats.org/officeDocument/2006/relationships/hyperlink" Target="https://doi.org/10.1016/j.rser.2026.116848" TargetMode="External"/><Relationship Id="rId33" Type="http://schemas.openxmlformats.org/officeDocument/2006/relationships/hyperlink" Target="https://doi.org/10.1016/j.ensm.2026.104895" TargetMode="External"/><Relationship Id="rId38" Type="http://schemas.openxmlformats.org/officeDocument/2006/relationships/hyperlink" Target="https://documents1.worldbank.org/curated/en/099102123031011480/pdf/P1796870457a64000bdc50ae740da8d880.pdf" TargetMode="External"/><Relationship Id="rId46" Type="http://schemas.openxmlformats.org/officeDocument/2006/relationships/hyperlink" Target="https://www.who.int/news-room/questions-and-answers/item/chemical-safety-lead-poisoning/" TargetMode="External"/><Relationship Id="rId20" Type="http://schemas.openxmlformats.org/officeDocument/2006/relationships/hyperlink" Target="https://doi.org/10.1016/j.envres.2017.11.055" TargetMode="External"/><Relationship Id="rId41" Type="http://schemas.openxmlformats.org/officeDocument/2006/relationships/hyperlink" Target="https://www.who.int/news-room/questions-and-answers/item/chemical-safety-lead-poisoning/"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lobalsolarcouncil.org/resources/africa-market-outlook-2026-2029/" TargetMode="External"/><Relationship Id="rId23" Type="http://schemas.openxmlformats.org/officeDocument/2006/relationships/hyperlink" Target="https://doi.org/10.1016/j.apenergy.2024.123190" TargetMode="External"/><Relationship Id="rId28" Type="http://schemas.openxmlformats.org/officeDocument/2006/relationships/hyperlink" Target="https://doi.org/10.1016/j.envdev.2025.101363" TargetMode="External"/><Relationship Id="rId36" Type="http://schemas.openxmlformats.org/officeDocument/2006/relationships/hyperlink" Target="https://documents1.worldbank.org/curated/en/099102123031011480/pdf/P1796870457a64000bdc50ae740da8d880.pdf"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7148</Words>
  <Characters>40744</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Editor-90</cp:lastModifiedBy>
  <cp:revision>8</cp:revision>
  <dcterms:created xsi:type="dcterms:W3CDTF">2026-09-11T15:59:00Z</dcterms:created>
  <dcterms:modified xsi:type="dcterms:W3CDTF">2026-09-25T13:18:00Z</dcterms:modified>
</cp:coreProperties>
</file>