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5836" w14:textId="77777777" w:rsidR="006E6A7F" w:rsidRPr="00335620" w:rsidRDefault="006E6A7F" w:rsidP="006E6A7F">
      <w:pPr>
        <w:jc w:val="both"/>
        <w:rPr>
          <w:rFonts w:ascii="Times New Roman" w:hAnsi="Times New Roman" w:cs="Times New Roman"/>
          <w:b/>
          <w:bCs/>
          <w:i/>
          <w:iCs/>
          <w:sz w:val="24"/>
          <w:szCs w:val="24"/>
          <w:u w:val="single"/>
          <w:lang w:val="en-US"/>
        </w:rPr>
      </w:pPr>
      <w:r w:rsidRPr="00335620">
        <w:rPr>
          <w:rFonts w:ascii="Times New Roman" w:hAnsi="Times New Roman" w:cs="Times New Roman"/>
          <w:b/>
          <w:bCs/>
          <w:i/>
          <w:iCs/>
          <w:sz w:val="24"/>
          <w:szCs w:val="24"/>
          <w:u w:val="single"/>
          <w:lang w:val="en-US"/>
        </w:rPr>
        <w:t>Original Research Article</w:t>
      </w:r>
    </w:p>
    <w:p w14:paraId="7F4DDC44" w14:textId="77777777" w:rsidR="0092677D" w:rsidRPr="00335620" w:rsidRDefault="00C06F87" w:rsidP="0092677D">
      <w:pPr>
        <w:jc w:val="both"/>
        <w:rPr>
          <w:rFonts w:ascii="Times New Roman" w:hAnsi="Times New Roman" w:cs="Times New Roman"/>
          <w:sz w:val="24"/>
          <w:szCs w:val="24"/>
        </w:rPr>
      </w:pPr>
      <w:r w:rsidRPr="00335620">
        <w:rPr>
          <w:rFonts w:ascii="Times New Roman" w:hAnsi="Times New Roman" w:cs="Times New Roman"/>
          <w:b/>
          <w:bCs/>
          <w:sz w:val="24"/>
          <w:szCs w:val="24"/>
        </w:rPr>
        <w:t>Moss-Dwelling Testate Amoebae in Patratu Valley, Jharkhand, India: A Pilot Study</w:t>
      </w:r>
      <w:r w:rsidR="0092677D" w:rsidRPr="00335620">
        <w:rPr>
          <w:rFonts w:ascii="Times New Roman" w:hAnsi="Times New Roman" w:cs="Times New Roman"/>
          <w:sz w:val="24"/>
          <w:szCs w:val="24"/>
        </w:rPr>
        <w:t xml:space="preserve"> </w:t>
      </w:r>
    </w:p>
    <w:p w14:paraId="690815EF" w14:textId="77777777" w:rsidR="0013720A" w:rsidRPr="00335620" w:rsidRDefault="0013720A" w:rsidP="00663306">
      <w:pPr>
        <w:jc w:val="both"/>
        <w:rPr>
          <w:rFonts w:ascii="Times New Roman" w:hAnsi="Times New Roman" w:cs="Times New Roman"/>
          <w:sz w:val="24"/>
          <w:szCs w:val="24"/>
        </w:rPr>
      </w:pPr>
    </w:p>
    <w:p w14:paraId="763E6E21" w14:textId="77777777" w:rsidR="0092677D"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 xml:space="preserve">ABSTRACT </w:t>
      </w:r>
    </w:p>
    <w:p w14:paraId="5413CEF0" w14:textId="3394FAA1" w:rsidR="00335620" w:rsidRPr="00660F58" w:rsidRDefault="00335620" w:rsidP="00335620">
      <w:pPr>
        <w:spacing w:before="100" w:beforeAutospacing="1" w:after="100" w:afterAutospacing="1" w:line="240" w:lineRule="auto"/>
        <w:rPr>
          <w:rFonts w:ascii="Times New Roman" w:eastAsia="Times New Roman" w:hAnsi="Times New Roman" w:cs="Times New Roman"/>
          <w:sz w:val="24"/>
          <w:szCs w:val="24"/>
          <w:lang w:eastAsia="en-GB"/>
        </w:rPr>
      </w:pPr>
      <w:r w:rsidRPr="00660F58">
        <w:rPr>
          <w:rFonts w:ascii="Times New Roman" w:eastAsia="Times New Roman" w:hAnsi="Times New Roman" w:cs="Times New Roman"/>
          <w:sz w:val="24"/>
          <w:szCs w:val="24"/>
          <w:lang w:eastAsia="en-GB"/>
        </w:rPr>
        <w:t xml:space="preserve">Testate amoebae are shell-bearing protists that occur in a wide range of terrestrial and aquatic habitats and can provide useful information on microbial diversity and environmental conditions. This pilot study documents moss-dwelling testate amoebae from Patratu Valley, Jharkhand, India, where information on these organisms has been limited. Moss samples were collected from soil- and wall-associated microhabitats on 22 February 2026 and processed using the non-flooded Petri dish method. Permanent slide preparations were examined microscopically for species-level identification, and registered slides were deposited in the National Zoological Collections of the Gangetic Plains Regional Centre, Zoological Survey of India, Patna. The survey recorded 12 species belonging to five genera and five families. The recorded taxa included species of </w:t>
      </w:r>
      <w:r w:rsidRPr="00660F58">
        <w:rPr>
          <w:rFonts w:ascii="Times New Roman" w:eastAsia="Times New Roman" w:hAnsi="Times New Roman" w:cs="Times New Roman"/>
          <w:i/>
          <w:iCs/>
          <w:sz w:val="24"/>
          <w:szCs w:val="24"/>
          <w:lang w:eastAsia="en-GB"/>
        </w:rPr>
        <w:t>Cyclopyxis</w:t>
      </w:r>
      <w:r w:rsidRPr="00660F58">
        <w:rPr>
          <w:rFonts w:ascii="Times New Roman" w:eastAsia="Times New Roman" w:hAnsi="Times New Roman" w:cs="Times New Roman"/>
          <w:sz w:val="24"/>
          <w:szCs w:val="24"/>
          <w:lang w:eastAsia="en-GB"/>
        </w:rPr>
        <w:t xml:space="preserve">, </w:t>
      </w:r>
      <w:r w:rsidRPr="00660F58">
        <w:rPr>
          <w:rFonts w:ascii="Times New Roman" w:eastAsia="Times New Roman" w:hAnsi="Times New Roman" w:cs="Times New Roman"/>
          <w:i/>
          <w:iCs/>
          <w:sz w:val="24"/>
          <w:szCs w:val="24"/>
          <w:lang w:eastAsia="en-GB"/>
        </w:rPr>
        <w:t>Difflugia</w:t>
      </w:r>
      <w:r w:rsidRPr="00660F58">
        <w:rPr>
          <w:rFonts w:ascii="Times New Roman" w:eastAsia="Times New Roman" w:hAnsi="Times New Roman" w:cs="Times New Roman"/>
          <w:sz w:val="24"/>
          <w:szCs w:val="24"/>
          <w:lang w:eastAsia="en-GB"/>
        </w:rPr>
        <w:t xml:space="preserve">, </w:t>
      </w:r>
      <w:r w:rsidRPr="00660F58">
        <w:rPr>
          <w:rFonts w:ascii="Times New Roman" w:eastAsia="Times New Roman" w:hAnsi="Times New Roman" w:cs="Times New Roman"/>
          <w:i/>
          <w:iCs/>
          <w:sz w:val="24"/>
          <w:szCs w:val="24"/>
          <w:lang w:eastAsia="en-GB"/>
        </w:rPr>
        <w:t>Centropyxis</w:t>
      </w:r>
      <w:r w:rsidRPr="00660F58">
        <w:rPr>
          <w:rFonts w:ascii="Times New Roman" w:eastAsia="Times New Roman" w:hAnsi="Times New Roman" w:cs="Times New Roman"/>
          <w:sz w:val="24"/>
          <w:szCs w:val="24"/>
          <w:lang w:eastAsia="en-GB"/>
        </w:rPr>
        <w:t xml:space="preserve">, </w:t>
      </w:r>
      <w:r w:rsidRPr="00660F58">
        <w:rPr>
          <w:rFonts w:ascii="Times New Roman" w:eastAsia="Times New Roman" w:hAnsi="Times New Roman" w:cs="Times New Roman"/>
          <w:i/>
          <w:iCs/>
          <w:sz w:val="24"/>
          <w:szCs w:val="24"/>
          <w:lang w:eastAsia="en-GB"/>
        </w:rPr>
        <w:t>Euglypha</w:t>
      </w:r>
      <w:r w:rsidRPr="00660F58">
        <w:rPr>
          <w:rFonts w:ascii="Times New Roman" w:eastAsia="Times New Roman" w:hAnsi="Times New Roman" w:cs="Times New Roman"/>
          <w:sz w:val="24"/>
          <w:szCs w:val="24"/>
          <w:lang w:eastAsia="en-GB"/>
        </w:rPr>
        <w:t xml:space="preserve">, and </w:t>
      </w:r>
      <w:r w:rsidRPr="00660F58">
        <w:rPr>
          <w:rFonts w:ascii="Times New Roman" w:eastAsia="Times New Roman" w:hAnsi="Times New Roman" w:cs="Times New Roman"/>
          <w:i/>
          <w:iCs/>
          <w:sz w:val="24"/>
          <w:szCs w:val="24"/>
          <w:lang w:eastAsia="en-GB"/>
        </w:rPr>
        <w:t>Trinema</w:t>
      </w:r>
      <w:r>
        <w:rPr>
          <w:rFonts w:ascii="Times New Roman" w:eastAsia="Times New Roman" w:hAnsi="Times New Roman" w:cs="Times New Roman"/>
          <w:sz w:val="24"/>
          <w:szCs w:val="24"/>
          <w:lang w:eastAsia="en-GB"/>
        </w:rPr>
        <w:t xml:space="preserve">. These observations provide a preliminary inventory of testate amoebae associated with moss microhabitats in the study area and extend baseline information on their regional occurrence. Because the investigation was based on a single pilot survey and did not quantify abundance or environmental variables, the recorded species richness should not be interpreted as a complete assessment of the local assemblage or as evidence of ecosystem condition. Broader spatial and seasonal sampling, together with </w:t>
      </w:r>
      <w:r>
        <w:rPr>
          <w:rFonts w:ascii="Times New Roman" w:eastAsia="Times New Roman" w:hAnsi="Times New Roman" w:cs="Times New Roman"/>
          <w:sz w:val="24"/>
          <w:szCs w:val="24"/>
          <w:highlight w:val="yellow"/>
          <w:lang w:eastAsia="en-GB"/>
        </w:rPr>
        <w:t>standardised</w:t>
      </w:r>
      <w:r>
        <w:rPr>
          <w:rFonts w:ascii="Times New Roman" w:eastAsia="Times New Roman" w:hAnsi="Times New Roman" w:cs="Times New Roman"/>
          <w:sz w:val="24"/>
          <w:szCs w:val="24"/>
          <w:lang w:eastAsia="en-GB"/>
        </w:rPr>
        <w:t xml:space="preserve"> measurements of environmental variables, will be required to evaluate patterns of assemblage composition and their potential value in environmental monitoring.</w:t>
      </w:r>
    </w:p>
    <w:p w14:paraId="16F6BD35" w14:textId="77777777" w:rsidR="00335620" w:rsidRPr="00335620" w:rsidRDefault="00335620" w:rsidP="0092677D">
      <w:pPr>
        <w:jc w:val="both"/>
        <w:rPr>
          <w:rFonts w:ascii="Times New Roman" w:hAnsi="Times New Roman" w:cs="Times New Roman"/>
          <w:b/>
          <w:bCs/>
          <w:sz w:val="24"/>
          <w:szCs w:val="24"/>
        </w:rPr>
      </w:pPr>
    </w:p>
    <w:p w14:paraId="2A75FFF6" w14:textId="77777777" w:rsidR="00923223" w:rsidRDefault="0092677D" w:rsidP="00D414AB">
      <w:pPr>
        <w:jc w:val="both"/>
        <w:rPr>
          <w:rFonts w:ascii="Times New Roman" w:hAnsi="Times New Roman" w:cs="Times New Roman"/>
          <w:b/>
          <w:bCs/>
          <w:sz w:val="24"/>
          <w:szCs w:val="24"/>
        </w:rPr>
      </w:pPr>
      <w:r w:rsidRPr="00335620">
        <w:rPr>
          <w:rFonts w:ascii="Times New Roman" w:hAnsi="Times New Roman" w:cs="Times New Roman"/>
          <w:b/>
          <w:bCs/>
          <w:sz w:val="24"/>
          <w:szCs w:val="24"/>
        </w:rPr>
        <w:t>Keywords:</w:t>
      </w:r>
      <w:r w:rsidRPr="00335620">
        <w:rPr>
          <w:rFonts w:ascii="Times New Roman" w:hAnsi="Times New Roman" w:cs="Times New Roman"/>
          <w:sz w:val="24"/>
          <w:szCs w:val="24"/>
        </w:rPr>
        <w:t xml:space="preserve"> </w:t>
      </w:r>
      <w:r w:rsidR="00BC110D" w:rsidRPr="00BC110D">
        <w:rPr>
          <w:rFonts w:ascii="Times New Roman" w:hAnsi="Times New Roman" w:cs="Times New Roman"/>
          <w:sz w:val="24"/>
          <w:szCs w:val="24"/>
        </w:rPr>
        <w:t>Testate amoebae; moss microhabitats; Patratu Valley; Jharkhand; protists; species diversity; faunal inventory; bioindicators; microbial diversity; environmental monitoring</w:t>
      </w:r>
      <w:r w:rsidR="00BC110D" w:rsidRPr="00BC110D">
        <w:rPr>
          <w:rFonts w:ascii="Times New Roman" w:hAnsi="Times New Roman" w:cs="Times New Roman"/>
          <w:b/>
          <w:bCs/>
          <w:sz w:val="24"/>
          <w:szCs w:val="24"/>
        </w:rPr>
        <w:t xml:space="preserve"> </w:t>
      </w:r>
    </w:p>
    <w:p w14:paraId="39714C02" w14:textId="2907C750" w:rsidR="00E735FF" w:rsidRPr="00335620" w:rsidRDefault="00E735FF" w:rsidP="00D414AB">
      <w:pPr>
        <w:jc w:val="both"/>
        <w:rPr>
          <w:rFonts w:ascii="Times New Roman" w:hAnsi="Times New Roman" w:cs="Times New Roman"/>
          <w:b/>
          <w:bCs/>
          <w:sz w:val="24"/>
          <w:szCs w:val="24"/>
        </w:rPr>
      </w:pPr>
      <w:r w:rsidRPr="00335620">
        <w:rPr>
          <w:rFonts w:ascii="Times New Roman" w:hAnsi="Times New Roman" w:cs="Times New Roman"/>
          <w:b/>
          <w:bCs/>
          <w:sz w:val="24"/>
          <w:szCs w:val="24"/>
        </w:rPr>
        <w:t>INTRODUCTION</w:t>
      </w:r>
    </w:p>
    <w:p w14:paraId="4A7DB2C1" w14:textId="77777777" w:rsidR="00D7607F" w:rsidRPr="00335620" w:rsidRDefault="001C6F0D" w:rsidP="005B4030">
      <w:pPr>
        <w:jc w:val="both"/>
        <w:rPr>
          <w:rFonts w:ascii="Times New Roman" w:hAnsi="Times New Roman" w:cs="Times New Roman"/>
          <w:sz w:val="24"/>
          <w:szCs w:val="24"/>
        </w:rPr>
      </w:pPr>
      <w:r>
        <w:rPr>
          <w:highlight w:val="yellow"/>
        </w:rPr>
        <w:t xml:space="preserve">The Patratu Valley, Jharkhand, in eastern India, forms part of the wider Patratu landscape of the Damodar River basin, of which the Nalkari River is an important tributary. The physiography of the region consists of hills, plateau surfaces, uplands, and plains; deciduous forests occur on the hills, while agricultural activities are concentrated on the flatter areas. The region is characterised by the presence of Precambrian igneous and metamorphic rocks, along with coal-bearing Gondwana sedimentary formations, while marked rainfall seasonality and mining-related terrain modification contribute to the environmental complexity of the region (Pandey &amp; Kumar, 2014). </w:t>
      </w:r>
    </w:p>
    <w:p w14:paraId="533F81A2" w14:textId="77777777" w:rsidR="00912BCE" w:rsidRPr="00335620" w:rsidRDefault="005B4030" w:rsidP="005B4030">
      <w:pPr>
        <w:jc w:val="both"/>
        <w:rPr>
          <w:rFonts w:ascii="Times New Roman" w:hAnsi="Times New Roman" w:cs="Times New Roman"/>
          <w:sz w:val="24"/>
          <w:szCs w:val="24"/>
        </w:rPr>
      </w:pPr>
      <w:r>
        <w:rPr>
          <w:highlight w:val="yellow"/>
        </w:rPr>
        <w:t xml:space="preserve">Shelled protozoa, specifically testate amoebae, occupy a large number of habitats. They are highly susceptible to ecological alterations (Nguyen-Viet et al., 2007) and are therefore useful biomarkers of ecological variation because of their short generation intervals (Vincke et al., 2004; Mattheeussen et al., 2005). These organisms occur in different parts of the world, from tropical to polar regions and from terrestrial to marine environments. These species are especially diverse and numerous in </w:t>
      </w:r>
      <w:r>
        <w:rPr>
          <w:i/>
          <w:highlight w:val="yellow"/>
        </w:rPr>
        <w:t>Sphagnum</w:t>
      </w:r>
      <w:r>
        <w:rPr>
          <w:highlight w:val="yellow"/>
        </w:rPr>
        <w:t xml:space="preserve"> mosses, in which they exhibit differential ecological affinities across ecosystems and in relation to various environmental factors (Charman, 1997). Owing to their ability to respond to changes in moisture, pH, and other environmental factors, they are used as indicators of ecological change (Adl et al., 2012). </w:t>
      </w:r>
    </w:p>
    <w:p w14:paraId="465D16CB" w14:textId="77777777" w:rsidR="00325C9E" w:rsidRPr="00335620" w:rsidRDefault="00000000">
      <w:pPr>
        <w:jc w:val="both"/>
        <w:rPr>
          <w:rFonts w:ascii="Times New Roman" w:hAnsi="Times New Roman" w:cs="Times New Roman"/>
          <w:sz w:val="24"/>
          <w:szCs w:val="24"/>
        </w:rPr>
      </w:pPr>
      <w:r>
        <w:lastRenderedPageBreak/>
        <w:t xml:space="preserve">Mosses provide heterogeneous microhabitats in which testate amoeba assemblages can vary with substrate moisture, pH, temperature, and other local environmental conditions. Studies of moss- and bryophyte-associated communities have therefore </w:t>
      </w:r>
      <w:r>
        <w:rPr>
          <w:highlight w:val="yellow"/>
        </w:rPr>
        <w:t>emphasised</w:t>
      </w:r>
      <w:r>
        <w:t xml:space="preserve"> the importance of microhabitat characteristics when interpreting species occurrence and assemblage composition (Mieczan &amp; Adamczuk, 2015; Purushothaman et al., 2019; Souto et al., 2021).</w:t>
      </w:r>
    </w:p>
    <w:p w14:paraId="7C4035A5" w14:textId="77777777" w:rsidR="00325C9E" w:rsidRPr="00335620" w:rsidRDefault="00000000">
      <w:pPr>
        <w:jc w:val="both"/>
        <w:rPr>
          <w:rFonts w:ascii="Times New Roman" w:hAnsi="Times New Roman" w:cs="Times New Roman"/>
          <w:sz w:val="24"/>
          <w:szCs w:val="24"/>
        </w:rPr>
      </w:pPr>
      <w:r w:rsidRPr="00335620">
        <w:t>The ecological value of testate amoebae as indicators is strongest when taxonomic observations are accompanied by measurements of environmental gradients and sufficient spatial or temporal replication. Recent syntheses and biomonitoring studies show that their indicator use is commonly linked to hydrology, pH, pollution, and habitat condition rather than to species presence alone (Freitas et al., 2022; Kuuri-Riutta et al., 2022; McKeown et al., 2024).</w:t>
      </w:r>
    </w:p>
    <w:p w14:paraId="4F6B77D1" w14:textId="3898677A" w:rsidR="00421E6E" w:rsidRPr="00335620" w:rsidRDefault="00000000" w:rsidP="00421E6E">
      <w:pPr>
        <w:jc w:val="both"/>
        <w:rPr>
          <w:rFonts w:ascii="Times New Roman" w:hAnsi="Times New Roman" w:cs="Times New Roman"/>
          <w:sz w:val="24"/>
          <w:szCs w:val="24"/>
        </w:rPr>
      </w:pPr>
      <w:r w:rsidRPr="00335620">
        <w:t>More broadly, testate amoebae are useful ecological indicators because their assemblages can respond to hydrological and chemical gradients while their tests remain identifiable after collection. However, interpretation is strongest when community data are linked to replicated environmental measurements and local calibration rather than to species presence alone (Mitchell et al., 2008; Payne, 2013; McKeown et al., 2024</w:t>
      </w:r>
      <w:r w:rsidRPr="00D21FF7">
        <w:t>).</w:t>
      </w:r>
      <w:r w:rsidR="00D21FF7" w:rsidRPr="00D21FF7">
        <w:rPr>
          <w:rFonts w:ascii="Times New Roman" w:hAnsi="Times New Roman" w:cs="Times New Roman"/>
          <w:sz w:val="24"/>
          <w:szCs w:val="24"/>
        </w:rPr>
        <w:t xml:space="preserve"> </w:t>
      </w:r>
      <w:r w:rsidRPr="00D21FF7">
        <w:rPr>
          <w:highlight w:val="yellow"/>
        </w:rPr>
        <w:t>Recent studies further show that interpretation of testate amoeba assemblages depends on sampling design and explicit environmental context: hydrological sampling position and season can affect assemblage representation, while hydrological condition and atmospheric ammonia exposure can be associated with changes in community composition (Liu et al., 2024; Evans et al., 2025; Liu et al., 2025).</w:t>
      </w:r>
      <w:r w:rsidR="00D21FF7">
        <w:rPr>
          <w:rFonts w:ascii="Times New Roman" w:hAnsi="Times New Roman" w:cs="Times New Roman"/>
          <w:sz w:val="24"/>
          <w:szCs w:val="24"/>
        </w:rPr>
        <w:t xml:space="preserve"> </w:t>
      </w:r>
      <w:r w:rsidR="006C3DD3">
        <w:rPr>
          <w:highlight w:val="yellow"/>
        </w:rPr>
        <w:t>However, studies on protozoan diversity in Patratu Valley, especially on free-living protozoa such as testate amoebae, have not been reported (Bindu et al., 2024). Therefore, the present study represents an attempt to address this gap. Twelve species of testate amoebae spanning five genera and five families were recorded, suggesting that unexplored protozoan diversity may occur in the moss ecosystems of the area. Future work on protozoan taxonomy could be useful for environmental monitoring and management in the valley.</w:t>
      </w:r>
    </w:p>
    <w:p w14:paraId="68E05B86" w14:textId="40B33C33" w:rsidR="00325C9E" w:rsidRPr="00335620" w:rsidRDefault="00000000">
      <w:pPr>
        <w:jc w:val="both"/>
        <w:rPr>
          <w:rFonts w:ascii="Times New Roman" w:hAnsi="Times New Roman" w:cs="Times New Roman"/>
          <w:sz w:val="24"/>
          <w:szCs w:val="24"/>
        </w:rPr>
      </w:pPr>
      <w:r w:rsidRPr="00335620">
        <w:t>Within India, evidence from tropical forest microhabitats indicates that soil and tree-moss assemblages may differ in community structure and relative abundance, supporting the need for site-specific inventories before broader ecological interpretation. Comparable bryophyte surveys from other regions likewise demonstrate that moss-associated testate amoebae can contain diverse and spatially structured assemblages (Purushothaman et al., 2019; Souto et al., 2021; Mieczan &amp; Adamczuk, 2015</w:t>
      </w:r>
      <w:r w:rsidR="0020063E">
        <w:t xml:space="preserve">; </w:t>
      </w:r>
      <w:r w:rsidR="0020063E" w:rsidRPr="0020063E">
        <w:t>Kumar et al., 2024</w:t>
      </w:r>
      <w:r w:rsidRPr="00335620">
        <w:t>).</w:t>
      </w:r>
    </w:p>
    <w:p w14:paraId="02241247" w14:textId="77777777" w:rsidR="007F37D9" w:rsidRPr="00335620" w:rsidRDefault="00D56718" w:rsidP="007F37D9">
      <w:pPr>
        <w:jc w:val="both"/>
        <w:rPr>
          <w:rFonts w:ascii="Times New Roman" w:hAnsi="Times New Roman" w:cs="Times New Roman"/>
          <w:b/>
          <w:bCs/>
          <w:sz w:val="24"/>
          <w:szCs w:val="24"/>
        </w:rPr>
      </w:pPr>
      <w:r w:rsidRPr="00335620">
        <w:rPr>
          <w:rFonts w:ascii="Times New Roman" w:hAnsi="Times New Roman" w:cs="Times New Roman"/>
          <w:b/>
          <w:bCs/>
          <w:sz w:val="24"/>
          <w:szCs w:val="24"/>
        </w:rPr>
        <w:t>GLOBAL AND INDIAN DIVERSITY OF TESTATE AMOEBAE</w:t>
      </w:r>
    </w:p>
    <w:p w14:paraId="27AD5F04" w14:textId="5F816251" w:rsidR="00216FE4" w:rsidRPr="00D21FF7" w:rsidRDefault="007F37D9">
      <w:pPr>
        <w:jc w:val="both"/>
        <w:rPr>
          <w:rFonts w:ascii="Times New Roman" w:hAnsi="Times New Roman" w:cs="Times New Roman"/>
          <w:bCs/>
          <w:sz w:val="24"/>
          <w:szCs w:val="24"/>
        </w:rPr>
      </w:pPr>
      <w:r>
        <w:rPr>
          <w:highlight w:val="yellow"/>
        </w:rPr>
        <w:t>Free-living amoebae also show a broad global distribution, with more than 675 species belonging to 104 genera and 22 families, including records from polar regions. In India, this diversity is reflected by 209 species belonging to 37 genera, classified under two classes and two orders (Bindu et al., 2024). This wide distribution underlines the versatility of testate amoebae and their role as bioindicators, as they occur in polar environments, across India, and in other habitats.</w:t>
      </w:r>
      <w:r w:rsidR="00D21FF7">
        <w:rPr>
          <w:rFonts w:ascii="Times New Roman" w:hAnsi="Times New Roman" w:cs="Times New Roman"/>
          <w:sz w:val="24"/>
          <w:szCs w:val="24"/>
        </w:rPr>
        <w:t xml:space="preserve"> </w:t>
      </w:r>
      <w:r w:rsidRPr="00D21FF7">
        <w:rPr>
          <w:bCs/>
          <w:highlight w:val="yellow"/>
        </w:rPr>
        <w:t>Recent Indian surveys have also documented moss-associated testate amoebae in other localities of Jharkhand and Bihar, adding site-specific records that can support broader regional comparisons (Kumar et al., 2025; Kumar &amp; Bindu, 2026).</w:t>
      </w:r>
    </w:p>
    <w:p w14:paraId="4122F65E" w14:textId="77777777" w:rsidR="00325C9E" w:rsidRPr="00335620" w:rsidRDefault="00000000">
      <w:pPr>
        <w:jc w:val="both"/>
        <w:rPr>
          <w:rFonts w:ascii="Times New Roman" w:hAnsi="Times New Roman" w:cs="Times New Roman"/>
          <w:sz w:val="24"/>
          <w:szCs w:val="24"/>
        </w:rPr>
      </w:pPr>
      <w:r w:rsidRPr="00335620">
        <w:t xml:space="preserve">The broad geographic occurrence of testate amoebae does not imply ecological uniformity. Comparative studies show that assemblage composition can vary substantially among habitats and microhabitats, while several small-bodied taxa recur across widely separated moss systems. Accordingly, regional inventories are useful for documenting distribution, but ecological comparisons </w:t>
      </w:r>
      <w:r w:rsidRPr="00335620">
        <w:lastRenderedPageBreak/>
        <w:t>require attention to substrate type and environmental context (Vincke et al., 2004; Mieczan &amp; Adamczuk, 2015; Souto et al., 2021).</w:t>
      </w:r>
    </w:p>
    <w:p w14:paraId="75524CC9" w14:textId="77777777" w:rsidR="00333113" w:rsidRPr="00335620" w:rsidRDefault="00000000">
      <w:pPr>
        <w:jc w:val="both"/>
        <w:rPr>
          <w:rFonts w:ascii="Times New Roman" w:hAnsi="Times New Roman" w:cs="Times New Roman"/>
          <w:sz w:val="24"/>
          <w:szCs w:val="24"/>
        </w:rPr>
      </w:pPr>
      <w:r w:rsidRPr="00335620">
        <w:t>Biogeographic comparisons also indicate that widespread morphotaxa do not necessarily form equivalent communities across regions. Regional setting, substrate moisture, and habitat chemistry can alter assemblage structure even where several taxa are shared, supporting the use of local inventories as ecological baselines rather than assuming uniform environmental meaning for the same taxon everywhere (Booth &amp; Zygmunt, 2005; Mitchell et al., 2008; Vincke et al., 2004).</w:t>
      </w:r>
    </w:p>
    <w:p w14:paraId="7158B6A6" w14:textId="77777777" w:rsidR="00216FE4" w:rsidRDefault="00000000">
      <w:pPr>
        <w:jc w:val="both"/>
        <w:rPr>
          <w:rFonts w:ascii="Times New Roman" w:hAnsi="Times New Roman" w:cs="Times New Roman"/>
          <w:sz w:val="24"/>
          <w:szCs w:val="24"/>
        </w:rPr>
      </w:pPr>
      <w:r>
        <w:rPr>
          <w:highlight w:val="yellow"/>
        </w:rPr>
        <w:t>Research gap: Prior to the present pilot survey, site-specific information on moss-dwelling testate amoebae in Patratu Valley was lacking. This constitutes a local baseline gap regarding the taxa occurring in the sampled moss microhabitats and limits the basis for designing future replicated ecological assessments in the valley.</w:t>
      </w:r>
    </w:p>
    <w:p w14:paraId="7363F36A" w14:textId="77777777" w:rsidR="00216FE4" w:rsidRDefault="00000000">
      <w:pPr>
        <w:jc w:val="both"/>
        <w:rPr>
          <w:rFonts w:ascii="Times New Roman" w:hAnsi="Times New Roman" w:cs="Times New Roman"/>
          <w:sz w:val="24"/>
          <w:szCs w:val="24"/>
        </w:rPr>
      </w:pPr>
      <w:r>
        <w:rPr>
          <w:b/>
          <w:highlight w:val="yellow"/>
        </w:rPr>
        <w:t>Objective: The objective of this pilot study was to document the species composition of moss-dwelling testate amoebae in the sampled soil- and wall-associated microhabitats of Patratu Valley and to provide preliminary baseline information for future ecological investigation.</w:t>
      </w:r>
    </w:p>
    <w:p w14:paraId="5C7E261D" w14:textId="77777777" w:rsidR="0092677D" w:rsidRPr="00335620" w:rsidRDefault="0092677D" w:rsidP="007F37D9">
      <w:pPr>
        <w:jc w:val="both"/>
        <w:rPr>
          <w:rFonts w:ascii="Times New Roman" w:hAnsi="Times New Roman" w:cs="Times New Roman"/>
          <w:b/>
          <w:bCs/>
          <w:sz w:val="24"/>
          <w:szCs w:val="24"/>
        </w:rPr>
      </w:pPr>
      <w:r w:rsidRPr="00335620">
        <w:rPr>
          <w:rFonts w:ascii="Times New Roman" w:hAnsi="Times New Roman" w:cs="Times New Roman"/>
          <w:b/>
          <w:bCs/>
          <w:sz w:val="24"/>
          <w:szCs w:val="24"/>
        </w:rPr>
        <w:t>MATERIAL AND METHODS</w:t>
      </w:r>
    </w:p>
    <w:p w14:paraId="7A5409BB" w14:textId="77777777" w:rsidR="00962872" w:rsidRPr="00962872" w:rsidRDefault="00962872" w:rsidP="00962872">
      <w:pPr>
        <w:jc w:val="both"/>
        <w:rPr>
          <w:rFonts w:ascii="Times New Roman" w:hAnsi="Times New Roman" w:cs="Times New Roman"/>
          <w:sz w:val="24"/>
          <w:szCs w:val="24"/>
          <w:highlight w:val="green"/>
        </w:rPr>
      </w:pPr>
      <w:r w:rsidRPr="00962872">
        <w:rPr>
          <w:rFonts w:ascii="Times New Roman" w:hAnsi="Times New Roman" w:cs="Times New Roman"/>
          <w:sz w:val="24"/>
          <w:szCs w:val="24"/>
          <w:highlight w:val="green"/>
        </w:rPr>
        <w:t>Moss samples were collected from soil- and wall-associated biotopes in Patratu Valley on 22 February 2026 as part of a pilot investigation of moss-associated microfauna. The sampling site was recorded at 24.295° N, 84.5316° E. Sampling encompassed moss growing on soil and wall surfaces to represent different substrate-associated microhabitats within the study area. Moss material was removed from the respective substrates by scraping with a spatula, placed in polythene bags, and transported to the laboratory for subsequent processing and microscopic examination.</w:t>
      </w:r>
    </w:p>
    <w:p w14:paraId="050634BC" w14:textId="77777777" w:rsidR="00962872" w:rsidRPr="00962872" w:rsidRDefault="00962872" w:rsidP="00962872">
      <w:pPr>
        <w:jc w:val="both"/>
        <w:rPr>
          <w:rFonts w:ascii="Times New Roman" w:hAnsi="Times New Roman" w:cs="Times New Roman"/>
          <w:sz w:val="24"/>
          <w:szCs w:val="24"/>
          <w:highlight w:val="green"/>
        </w:rPr>
      </w:pPr>
      <w:r w:rsidRPr="00962872">
        <w:rPr>
          <w:rFonts w:ascii="Times New Roman" w:hAnsi="Times New Roman" w:cs="Times New Roman"/>
          <w:sz w:val="24"/>
          <w:szCs w:val="24"/>
          <w:highlight w:val="green"/>
        </w:rPr>
        <w:t>In the laboratory, samples were processed using the non-flooded Petri dish method described by Foissner (1992). This method was employed to facilitate the examination of organisms associated with the collected moss material. Permanent slide mounts were subsequently prepared from each processed sample for detailed morphological observation and taxonomic identification. The preparations were examined using Labomed Lx 400 microscopes equipped with a Sony CMOS camera attachment. Photomicrographs were captured to document the morphological features of the specimens and support identification to the species level.</w:t>
      </w:r>
    </w:p>
    <w:p w14:paraId="5A21D60E" w14:textId="77777777" w:rsidR="00962872" w:rsidRPr="00962872" w:rsidRDefault="00962872" w:rsidP="00962872">
      <w:pPr>
        <w:jc w:val="both"/>
        <w:rPr>
          <w:rFonts w:ascii="Times New Roman" w:hAnsi="Times New Roman" w:cs="Times New Roman"/>
          <w:sz w:val="24"/>
          <w:szCs w:val="24"/>
        </w:rPr>
      </w:pPr>
      <w:r w:rsidRPr="00962872">
        <w:rPr>
          <w:rFonts w:ascii="Times New Roman" w:hAnsi="Times New Roman" w:cs="Times New Roman"/>
          <w:sz w:val="24"/>
          <w:szCs w:val="24"/>
          <w:highlight w:val="green"/>
        </w:rPr>
        <w:t>All registered permanent slide preparations were deposited in the National Zoological Collections of the Gangetic Plains Regional Centre, Zoological Survey of India, Patna. These preparations serve as voucher material for the present study and provide a reference for subsequent taxonomic verification and comparative investigations.</w:t>
      </w:r>
    </w:p>
    <w:p w14:paraId="1947AFE5" w14:textId="77777777" w:rsidR="0092677D" w:rsidRPr="00335620" w:rsidRDefault="0092677D" w:rsidP="0092677D">
      <w:pPr>
        <w:jc w:val="both"/>
        <w:rPr>
          <w:rFonts w:ascii="Times New Roman" w:hAnsi="Times New Roman" w:cs="Times New Roman"/>
          <w:b/>
          <w:bCs/>
          <w:sz w:val="24"/>
          <w:szCs w:val="24"/>
        </w:rPr>
      </w:pPr>
      <w:r w:rsidRPr="00335620">
        <w:rPr>
          <w:b/>
        </w:rPr>
        <w:t>RESULTS AND DISCUSSION</w:t>
      </w:r>
    </w:p>
    <w:p w14:paraId="6E339C76" w14:textId="77777777" w:rsidR="0092677D" w:rsidRPr="00335620" w:rsidRDefault="0092677D" w:rsidP="0092677D">
      <w:pPr>
        <w:jc w:val="both"/>
        <w:rPr>
          <w:rFonts w:ascii="Times New Roman" w:hAnsi="Times New Roman" w:cs="Times New Roman"/>
          <w:sz w:val="24"/>
          <w:szCs w:val="24"/>
        </w:rPr>
      </w:pPr>
      <w:r>
        <w:rPr>
          <w:highlight w:val="yellow"/>
        </w:rPr>
        <w:t>The study yielded 12 species of testate amoebae spanning five genera and five families in Patratu Valley during this preliminary investigation.</w:t>
      </w:r>
    </w:p>
    <w:p w14:paraId="4D064484" w14:textId="77777777" w:rsidR="0092677D" w:rsidRPr="00335620" w:rsidRDefault="0092677D" w:rsidP="0092677D">
      <w:pPr>
        <w:jc w:val="both"/>
        <w:rPr>
          <w:rFonts w:ascii="Times New Roman" w:hAnsi="Times New Roman" w:cs="Times New Roman"/>
          <w:sz w:val="24"/>
          <w:szCs w:val="24"/>
        </w:rPr>
      </w:pPr>
      <w:r w:rsidRPr="00335620">
        <w:t>Systematic list of Testate Amoebae from Patratu Valley: Findings from the present study (Plates 1 and 2) (Classification as per Adl et al., 2019; see also Adl et al., 2012)</w:t>
      </w:r>
    </w:p>
    <w:p w14:paraId="047F5A4B" w14:textId="77777777" w:rsidR="00333113" w:rsidRPr="006056F3" w:rsidRDefault="00000000">
      <w:pPr>
        <w:jc w:val="both"/>
        <w:rPr>
          <w:rFonts w:ascii="Times New Roman" w:hAnsi="Times New Roman" w:cs="Times New Roman"/>
          <w:sz w:val="24"/>
          <w:szCs w:val="24"/>
          <w:highlight w:val="green"/>
        </w:rPr>
      </w:pPr>
      <w:r w:rsidRPr="006056F3">
        <w:rPr>
          <w:highlight w:val="green"/>
        </w:rPr>
        <w:t>The photomicrographs are organised sequentially as Plate 1 (taxa 1–6) and Plate 2 (taxa 7–12), corresponding directly to the numbered systematic list.</w:t>
      </w:r>
    </w:p>
    <w:p w14:paraId="24B796A9" w14:textId="77777777" w:rsidR="00BA7E63" w:rsidRPr="006056F3" w:rsidRDefault="00BA7E63"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Domain Amorphea Adl et al., 2012 </w:t>
      </w:r>
    </w:p>
    <w:p w14:paraId="321B99B4" w14:textId="77777777" w:rsidR="00BA7E63" w:rsidRPr="006056F3" w:rsidRDefault="00BA7E63"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lastRenderedPageBreak/>
        <w:t>Supergroup Amoebozoa Lühe, 1913, sensu Cavalier-Smith, 1998</w:t>
      </w:r>
    </w:p>
    <w:p w14:paraId="67E44CBB"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Phylum Tubulinea Smirnov et al., 2005</w:t>
      </w:r>
    </w:p>
    <w:p w14:paraId="3C608092" w14:textId="77777777" w:rsidR="0092677D" w:rsidRPr="00A10D52" w:rsidRDefault="0092677D" w:rsidP="0092677D">
      <w:pPr>
        <w:jc w:val="both"/>
        <w:rPr>
          <w:rFonts w:ascii="Times New Roman" w:hAnsi="Times New Roman" w:cs="Times New Roman"/>
          <w:sz w:val="24"/>
          <w:szCs w:val="24"/>
          <w:highlight w:val="green"/>
          <w:lang w:val="nl-BE"/>
        </w:rPr>
      </w:pPr>
      <w:r w:rsidRPr="00A10D52">
        <w:rPr>
          <w:rFonts w:ascii="Times New Roman" w:hAnsi="Times New Roman" w:cs="Times New Roman"/>
          <w:sz w:val="24"/>
          <w:szCs w:val="24"/>
          <w:highlight w:val="green"/>
          <w:lang w:val="nl-BE"/>
        </w:rPr>
        <w:t>Class Elardia Kang et al., 2017</w:t>
      </w:r>
    </w:p>
    <w:p w14:paraId="5D312453" w14:textId="77777777" w:rsidR="0092677D" w:rsidRPr="00A10D52" w:rsidRDefault="0092677D" w:rsidP="0092677D">
      <w:pPr>
        <w:jc w:val="both"/>
        <w:rPr>
          <w:rFonts w:ascii="Times New Roman" w:hAnsi="Times New Roman" w:cs="Times New Roman"/>
          <w:sz w:val="24"/>
          <w:szCs w:val="24"/>
          <w:highlight w:val="green"/>
          <w:lang w:val="nl-BE"/>
        </w:rPr>
      </w:pPr>
      <w:r w:rsidRPr="00A10D52">
        <w:rPr>
          <w:rFonts w:ascii="Times New Roman" w:hAnsi="Times New Roman" w:cs="Times New Roman"/>
          <w:sz w:val="24"/>
          <w:szCs w:val="24"/>
          <w:highlight w:val="green"/>
          <w:lang w:val="nl-BE"/>
        </w:rPr>
        <w:t>Order Arcellinida Kent, 1880</w:t>
      </w:r>
    </w:p>
    <w:p w14:paraId="414B6256" w14:textId="77777777" w:rsidR="0092677D" w:rsidRPr="00A10D52" w:rsidRDefault="0092677D" w:rsidP="0092677D">
      <w:pPr>
        <w:jc w:val="both"/>
        <w:rPr>
          <w:rFonts w:ascii="Times New Roman" w:hAnsi="Times New Roman" w:cs="Times New Roman"/>
          <w:sz w:val="24"/>
          <w:szCs w:val="24"/>
          <w:highlight w:val="green"/>
          <w:lang w:val="nl-BE"/>
        </w:rPr>
      </w:pPr>
      <w:r w:rsidRPr="00A10D52">
        <w:rPr>
          <w:rFonts w:ascii="Times New Roman" w:hAnsi="Times New Roman" w:cs="Times New Roman"/>
          <w:sz w:val="24"/>
          <w:szCs w:val="24"/>
          <w:highlight w:val="green"/>
          <w:lang w:val="nl-BE"/>
        </w:rPr>
        <w:t>Family Netzeliidae Kosakyan et al., 2016</w:t>
      </w:r>
    </w:p>
    <w:p w14:paraId="04086373" w14:textId="77777777" w:rsidR="006D467A" w:rsidRPr="00A10D52" w:rsidRDefault="006D467A" w:rsidP="007E4F78">
      <w:pPr>
        <w:pStyle w:val="ListParagraph"/>
        <w:spacing w:line="360" w:lineRule="auto"/>
        <w:ind w:left="360" w:hanging="360"/>
        <w:rPr>
          <w:rFonts w:ascii="Times New Roman" w:hAnsi="Times New Roman" w:cs="Times New Roman"/>
          <w:sz w:val="24"/>
          <w:szCs w:val="24"/>
          <w:highlight w:val="green"/>
          <w:lang w:val="nl-BE"/>
        </w:rPr>
      </w:pPr>
      <w:r w:rsidRPr="00A10D52">
        <w:rPr>
          <w:rFonts w:ascii="Times New Roman" w:hAnsi="Times New Roman" w:cs="Times New Roman"/>
          <w:i/>
          <w:iCs/>
          <w:sz w:val="24"/>
          <w:szCs w:val="24"/>
          <w:highlight w:val="green"/>
          <w:lang w:val="nl-BE"/>
        </w:rPr>
        <w:t>1. Cyclopyxis  arcelloides</w:t>
      </w:r>
      <w:r w:rsidRPr="00A10D52">
        <w:rPr>
          <w:rFonts w:ascii="Times New Roman" w:hAnsi="Times New Roman" w:cs="Times New Roman"/>
          <w:b/>
          <w:bCs/>
          <w:i/>
          <w:iCs/>
          <w:sz w:val="24"/>
          <w:szCs w:val="24"/>
          <w:highlight w:val="green"/>
          <w:lang w:val="nl-BE"/>
        </w:rPr>
        <w:t xml:space="preserve"> </w:t>
      </w:r>
      <w:r w:rsidRPr="00A10D52">
        <w:rPr>
          <w:rFonts w:ascii="Times New Roman" w:hAnsi="Times New Roman" w:cs="Times New Roman"/>
          <w:sz w:val="24"/>
          <w:szCs w:val="24"/>
          <w:highlight w:val="green"/>
          <w:lang w:val="nl-BE"/>
        </w:rPr>
        <w:t>(Penard, 1902) Deflandre, 1929</w:t>
      </w:r>
    </w:p>
    <w:p w14:paraId="50DBDCF6" w14:textId="77777777" w:rsidR="006D467A" w:rsidRPr="00A10D52" w:rsidRDefault="006D467A" w:rsidP="006D467A">
      <w:pPr>
        <w:pStyle w:val="ListParagraph"/>
        <w:spacing w:line="360" w:lineRule="auto"/>
        <w:ind w:left="0"/>
        <w:jc w:val="both"/>
        <w:rPr>
          <w:rFonts w:ascii="Times New Roman" w:hAnsi="Times New Roman" w:cs="Times New Roman"/>
          <w:sz w:val="24"/>
          <w:szCs w:val="24"/>
          <w:highlight w:val="green"/>
          <w:lang w:val="nl-BE"/>
        </w:rPr>
      </w:pPr>
      <w:bookmarkStart w:id="0" w:name="_Hlk156986147"/>
      <w:r w:rsidRPr="00A10D52">
        <w:rPr>
          <w:rFonts w:ascii="Times New Roman" w:hAnsi="Times New Roman" w:cs="Times New Roman"/>
          <w:sz w:val="24"/>
          <w:szCs w:val="24"/>
          <w:highlight w:val="green"/>
          <w:lang w:val="nl-BE"/>
        </w:rPr>
        <w:t xml:space="preserve">1902. </w:t>
      </w:r>
      <w:r w:rsidRPr="00A10D52">
        <w:rPr>
          <w:rFonts w:ascii="Times New Roman" w:hAnsi="Times New Roman" w:cs="Times New Roman"/>
          <w:i/>
          <w:iCs/>
          <w:sz w:val="24"/>
          <w:szCs w:val="24"/>
          <w:highlight w:val="green"/>
          <w:lang w:val="nl-BE"/>
        </w:rPr>
        <w:t>Centropyxis arcelloides</w:t>
      </w:r>
      <w:r w:rsidRPr="00A10D52">
        <w:rPr>
          <w:rFonts w:ascii="Times New Roman" w:hAnsi="Times New Roman" w:cs="Times New Roman"/>
          <w:sz w:val="24"/>
          <w:szCs w:val="24"/>
          <w:highlight w:val="green"/>
          <w:lang w:val="nl-BE"/>
        </w:rPr>
        <w:t xml:space="preserve"> Penard, </w:t>
      </w:r>
      <w:r w:rsidRPr="00A10D52">
        <w:rPr>
          <w:rFonts w:ascii="Times New Roman" w:hAnsi="Times New Roman" w:cs="Times New Roman"/>
          <w:i/>
          <w:iCs/>
          <w:sz w:val="24"/>
          <w:szCs w:val="24"/>
          <w:highlight w:val="green"/>
          <w:lang w:val="nl-BE"/>
        </w:rPr>
        <w:t>Faune Rhizopodique du bassin du Léman, Geneve</w:t>
      </w:r>
      <w:r w:rsidRPr="00A10D52">
        <w:rPr>
          <w:rFonts w:ascii="Times New Roman" w:hAnsi="Times New Roman" w:cs="Times New Roman"/>
          <w:sz w:val="24"/>
          <w:szCs w:val="24"/>
          <w:highlight w:val="green"/>
          <w:lang w:val="nl-BE"/>
        </w:rPr>
        <w:t>, p. 309.</w:t>
      </w:r>
    </w:p>
    <w:p w14:paraId="1DB8AD53" w14:textId="77777777" w:rsidR="006D467A" w:rsidRPr="006056F3" w:rsidRDefault="006D467A" w:rsidP="006D467A">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1929. </w:t>
      </w:r>
      <w:r w:rsidRPr="006056F3">
        <w:rPr>
          <w:rFonts w:ascii="Times New Roman" w:hAnsi="Times New Roman" w:cs="Times New Roman"/>
          <w:i/>
          <w:iCs/>
          <w:sz w:val="24"/>
          <w:szCs w:val="24"/>
          <w:highlight w:val="green"/>
        </w:rPr>
        <w:t xml:space="preserve">Centropyxis </w:t>
      </w:r>
      <w:r w:rsidRPr="006056F3">
        <w:rPr>
          <w:rFonts w:ascii="Times New Roman" w:hAnsi="Times New Roman" w:cs="Times New Roman"/>
          <w:sz w:val="24"/>
          <w:szCs w:val="24"/>
          <w:highlight w:val="green"/>
        </w:rPr>
        <w:t>(</w:t>
      </w:r>
      <w:r w:rsidRPr="006056F3">
        <w:rPr>
          <w:rFonts w:ascii="Times New Roman" w:hAnsi="Times New Roman" w:cs="Times New Roman"/>
          <w:i/>
          <w:iCs/>
          <w:sz w:val="24"/>
          <w:szCs w:val="24"/>
          <w:highlight w:val="green"/>
        </w:rPr>
        <w:t>Cyclopyxis</w:t>
      </w:r>
      <w:r w:rsidRPr="006056F3">
        <w:rPr>
          <w:rFonts w:ascii="Times New Roman" w:hAnsi="Times New Roman" w:cs="Times New Roman"/>
          <w:sz w:val="24"/>
          <w:szCs w:val="24"/>
          <w:highlight w:val="green"/>
        </w:rPr>
        <w:t xml:space="preserve">) </w:t>
      </w:r>
      <w:r w:rsidRPr="006056F3">
        <w:rPr>
          <w:rFonts w:ascii="Times New Roman" w:hAnsi="Times New Roman" w:cs="Times New Roman"/>
          <w:i/>
          <w:iCs/>
          <w:sz w:val="24"/>
          <w:szCs w:val="24"/>
          <w:highlight w:val="green"/>
        </w:rPr>
        <w:t>arcelloides</w:t>
      </w:r>
      <w:r w:rsidRPr="006056F3">
        <w:rPr>
          <w:rFonts w:ascii="Times New Roman" w:hAnsi="Times New Roman" w:cs="Times New Roman"/>
          <w:sz w:val="24"/>
          <w:szCs w:val="24"/>
          <w:highlight w:val="green"/>
        </w:rPr>
        <w:t xml:space="preserve"> Deflandre, </w:t>
      </w:r>
      <w:r w:rsidRPr="006056F3">
        <w:rPr>
          <w:rFonts w:ascii="Times New Roman" w:hAnsi="Times New Roman" w:cs="Times New Roman"/>
          <w:i/>
          <w:iCs/>
          <w:sz w:val="24"/>
          <w:szCs w:val="24"/>
          <w:highlight w:val="green"/>
        </w:rPr>
        <w:t>Arch. Protistenkd</w:t>
      </w:r>
      <w:r w:rsidRPr="006056F3">
        <w:rPr>
          <w:rFonts w:ascii="Times New Roman" w:hAnsi="Times New Roman" w:cs="Times New Roman"/>
          <w:sz w:val="24"/>
          <w:szCs w:val="24"/>
          <w:highlight w:val="green"/>
        </w:rPr>
        <w:t>., 67, p.367.</w:t>
      </w:r>
    </w:p>
    <w:p w14:paraId="50DE0877" w14:textId="77777777" w:rsidR="006D467A" w:rsidRPr="006056F3" w:rsidRDefault="006D467A" w:rsidP="006D467A">
      <w:pPr>
        <w:pStyle w:val="ListParagraph"/>
        <w:spacing w:line="360" w:lineRule="auto"/>
        <w:ind w:left="0"/>
        <w:jc w:val="both"/>
        <w:rPr>
          <w:rFonts w:ascii="Times New Roman" w:hAnsi="Times New Roman"/>
          <w:sz w:val="24"/>
          <w:szCs w:val="24"/>
          <w:highlight w:val="green"/>
        </w:rPr>
      </w:pPr>
      <w:bookmarkStart w:id="1" w:name="_Hlk156986215"/>
      <w:bookmarkEnd w:id="0"/>
      <w:r w:rsidRPr="006056F3">
        <w:rPr>
          <w:rFonts w:ascii="Times New Roman" w:hAnsi="Times New Roman"/>
          <w:i/>
          <w:iCs/>
          <w:sz w:val="24"/>
          <w:szCs w:val="24"/>
          <w:highlight w:val="green"/>
        </w:rPr>
        <w:t>Distribution</w:t>
      </w:r>
      <w:r w:rsidRPr="006056F3">
        <w:rPr>
          <w:rFonts w:ascii="Times New Roman" w:hAnsi="Times New Roman"/>
          <w:sz w:val="24"/>
          <w:szCs w:val="24"/>
          <w:highlight w:val="green"/>
        </w:rPr>
        <w:t xml:space="preserve">: India: Andhra Pradesh, Arunachal Pradesh, </w:t>
      </w:r>
      <w:r w:rsidR="00CE2358" w:rsidRPr="006056F3">
        <w:rPr>
          <w:rFonts w:ascii="Times New Roman" w:hAnsi="Times New Roman"/>
          <w:sz w:val="24"/>
          <w:szCs w:val="24"/>
          <w:highlight w:val="green"/>
        </w:rPr>
        <w:t xml:space="preserve">Bihar, </w:t>
      </w:r>
      <w:r w:rsidRPr="006056F3">
        <w:rPr>
          <w:rFonts w:ascii="Times New Roman" w:hAnsi="Times New Roman"/>
          <w:sz w:val="24"/>
          <w:szCs w:val="24"/>
          <w:highlight w:val="green"/>
        </w:rPr>
        <w:t>Himachal Pradesh, Kerala, Manipur, Meghalaya, Mizoram, Odisha, Sikkim, Tamil Nadu, Uttar Pradesh, Uttarakhand, West Bengal, Chandigarh, Punjab.</w:t>
      </w:r>
    </w:p>
    <w:bookmarkEnd w:id="1"/>
    <w:p w14:paraId="70F7A9B9" w14:textId="77777777" w:rsidR="0092677D" w:rsidRPr="006056F3" w:rsidRDefault="0092677D" w:rsidP="001000B0">
      <w:pPr>
        <w:pStyle w:val="ListParagraph"/>
        <w:numPr>
          <w:ilvl w:val="0"/>
          <w:numId w:val="8"/>
        </w:numPr>
        <w:ind w:left="426"/>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Cyclopyxis eurystoma</w:t>
      </w:r>
      <w:r w:rsidRPr="006056F3">
        <w:rPr>
          <w:rFonts w:ascii="Times New Roman" w:hAnsi="Times New Roman" w:cs="Times New Roman"/>
          <w:sz w:val="24"/>
          <w:szCs w:val="24"/>
          <w:highlight w:val="green"/>
        </w:rPr>
        <w:t xml:space="preserve"> Deflandre, 1929  </w:t>
      </w:r>
    </w:p>
    <w:p w14:paraId="68371F02" w14:textId="77777777" w:rsidR="002C0C0F" w:rsidRPr="006056F3" w:rsidRDefault="002C0C0F" w:rsidP="001000B0">
      <w:pPr>
        <w:spacing w:line="360" w:lineRule="auto"/>
        <w:ind w:left="426" w:hanging="426"/>
        <w:jc w:val="both"/>
        <w:rPr>
          <w:rFonts w:ascii="Times New Roman" w:hAnsi="Times New Roman" w:cs="Times New Roman"/>
          <w:sz w:val="24"/>
          <w:szCs w:val="24"/>
          <w:highlight w:val="green"/>
        </w:rPr>
      </w:pPr>
      <w:bookmarkStart w:id="2" w:name="_Hlk156988155"/>
      <w:r w:rsidRPr="006056F3">
        <w:rPr>
          <w:rFonts w:ascii="Times New Roman" w:hAnsi="Times New Roman" w:cs="Times New Roman"/>
          <w:sz w:val="24"/>
          <w:szCs w:val="24"/>
          <w:highlight w:val="green"/>
        </w:rPr>
        <w:t xml:space="preserve">1929. </w:t>
      </w:r>
      <w:r w:rsidRPr="006056F3">
        <w:rPr>
          <w:rFonts w:ascii="Times New Roman" w:hAnsi="Times New Roman" w:cs="Times New Roman"/>
          <w:i/>
          <w:iCs/>
          <w:sz w:val="24"/>
          <w:szCs w:val="24"/>
          <w:highlight w:val="green"/>
        </w:rPr>
        <w:t>Centropyxis</w:t>
      </w:r>
      <w:r w:rsidRPr="006056F3">
        <w:rPr>
          <w:rFonts w:ascii="Times New Roman" w:hAnsi="Times New Roman" w:cs="Times New Roman"/>
          <w:sz w:val="24"/>
          <w:szCs w:val="24"/>
          <w:highlight w:val="green"/>
        </w:rPr>
        <w:t xml:space="preserve"> (</w:t>
      </w:r>
      <w:r w:rsidRPr="006056F3">
        <w:rPr>
          <w:rFonts w:ascii="Times New Roman" w:hAnsi="Times New Roman" w:cs="Times New Roman"/>
          <w:i/>
          <w:iCs/>
          <w:sz w:val="24"/>
          <w:szCs w:val="24"/>
          <w:highlight w:val="green"/>
        </w:rPr>
        <w:t>Cyclopyxis) eurystoma</w:t>
      </w:r>
      <w:r w:rsidRPr="006056F3">
        <w:rPr>
          <w:rFonts w:ascii="Times New Roman" w:hAnsi="Times New Roman" w:cs="Times New Roman"/>
          <w:sz w:val="24"/>
          <w:szCs w:val="24"/>
          <w:highlight w:val="green"/>
        </w:rPr>
        <w:t xml:space="preserve"> Deflandre, </w:t>
      </w:r>
      <w:r w:rsidRPr="006056F3">
        <w:rPr>
          <w:rFonts w:ascii="Times New Roman" w:hAnsi="Times New Roman" w:cs="Times New Roman"/>
          <w:i/>
          <w:iCs/>
          <w:sz w:val="24"/>
          <w:szCs w:val="24"/>
          <w:highlight w:val="green"/>
        </w:rPr>
        <w:t>Arch. Protistenkd</w:t>
      </w:r>
      <w:r w:rsidRPr="006056F3">
        <w:rPr>
          <w:rFonts w:ascii="Times New Roman" w:hAnsi="Times New Roman" w:cs="Times New Roman"/>
          <w:sz w:val="24"/>
          <w:szCs w:val="24"/>
          <w:highlight w:val="green"/>
        </w:rPr>
        <w:t>., 67: 370</w:t>
      </w:r>
      <w:bookmarkEnd w:id="2"/>
      <w:r w:rsidRPr="006056F3">
        <w:rPr>
          <w:rFonts w:ascii="Times New Roman" w:hAnsi="Times New Roman" w:cs="Times New Roman"/>
          <w:sz w:val="24"/>
          <w:szCs w:val="24"/>
          <w:highlight w:val="green"/>
        </w:rPr>
        <w:t>.</w:t>
      </w:r>
    </w:p>
    <w:p w14:paraId="25AD72DC" w14:textId="77777777" w:rsidR="002C0C0F" w:rsidRPr="006056F3" w:rsidRDefault="002C0C0F" w:rsidP="001000B0">
      <w:pPr>
        <w:spacing w:after="0" w:line="360" w:lineRule="auto"/>
        <w:ind w:left="426" w:hanging="426"/>
        <w:jc w:val="both"/>
        <w:rPr>
          <w:rFonts w:ascii="Times New Roman" w:hAnsi="Times New Roman"/>
          <w:sz w:val="24"/>
          <w:szCs w:val="24"/>
          <w:highlight w:val="green"/>
        </w:rPr>
      </w:pPr>
      <w:bookmarkStart w:id="3" w:name="_Hlk156988171"/>
      <w:r w:rsidRPr="006056F3">
        <w:rPr>
          <w:rFonts w:ascii="Times New Roman" w:hAnsi="Times New Roman"/>
          <w:i/>
          <w:iCs/>
          <w:sz w:val="24"/>
          <w:szCs w:val="24"/>
          <w:highlight w:val="green"/>
        </w:rPr>
        <w:t>Distribution</w:t>
      </w:r>
      <w:r w:rsidRPr="006056F3">
        <w:rPr>
          <w:rFonts w:ascii="Times New Roman" w:hAnsi="Times New Roman"/>
          <w:sz w:val="24"/>
          <w:szCs w:val="24"/>
          <w:highlight w:val="green"/>
        </w:rPr>
        <w:t xml:space="preserve">: India: Arunachal Pradesh, Assam, </w:t>
      </w:r>
      <w:r w:rsidR="00CE2358" w:rsidRPr="006056F3">
        <w:rPr>
          <w:rFonts w:ascii="Times New Roman" w:hAnsi="Times New Roman"/>
          <w:sz w:val="24"/>
          <w:szCs w:val="24"/>
          <w:highlight w:val="green"/>
        </w:rPr>
        <w:t xml:space="preserve">Bihar, </w:t>
      </w:r>
      <w:r w:rsidRPr="006056F3">
        <w:rPr>
          <w:rFonts w:ascii="Times New Roman" w:hAnsi="Times New Roman"/>
          <w:sz w:val="24"/>
          <w:szCs w:val="24"/>
          <w:highlight w:val="green"/>
        </w:rPr>
        <w:t>Himachal Pradesh, Kerala, Maharashtra, Nagaland, Tamil Nadu, Telangana, Uttarakhand, West Bengal, Punjab</w:t>
      </w:r>
    </w:p>
    <w:bookmarkEnd w:id="3"/>
    <w:p w14:paraId="7436C729"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Family Difflugiidae Wallich, 1864</w:t>
      </w:r>
    </w:p>
    <w:p w14:paraId="74836C93" w14:textId="77777777" w:rsidR="0092677D" w:rsidRPr="006056F3" w:rsidRDefault="0092677D" w:rsidP="00865402">
      <w:pPr>
        <w:pStyle w:val="ListParagraph"/>
        <w:numPr>
          <w:ilvl w:val="0"/>
          <w:numId w:val="8"/>
        </w:numPr>
        <w:ind w:left="426"/>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Difflugia globulosa</w:t>
      </w:r>
      <w:r w:rsidRPr="006056F3">
        <w:rPr>
          <w:rFonts w:ascii="Times New Roman" w:hAnsi="Times New Roman" w:cs="Times New Roman"/>
          <w:sz w:val="24"/>
          <w:szCs w:val="24"/>
          <w:highlight w:val="green"/>
        </w:rPr>
        <w:t xml:space="preserve"> (Dujardin, 1837) Penard, 1902 </w:t>
      </w:r>
    </w:p>
    <w:p w14:paraId="70E926D4" w14:textId="77777777" w:rsidR="0042508D" w:rsidRPr="006056F3" w:rsidRDefault="0042508D" w:rsidP="0042508D">
      <w:pPr>
        <w:spacing w:line="360" w:lineRule="auto"/>
        <w:ind w:left="360"/>
        <w:jc w:val="both"/>
        <w:rPr>
          <w:rFonts w:ascii="Times New Roman" w:hAnsi="Times New Roman" w:cs="Times New Roman"/>
          <w:sz w:val="24"/>
          <w:szCs w:val="24"/>
          <w:highlight w:val="green"/>
          <w:lang w:val="it-IT"/>
        </w:rPr>
      </w:pPr>
      <w:bookmarkStart w:id="4" w:name="_Hlk156986920"/>
      <w:r w:rsidRPr="006056F3">
        <w:rPr>
          <w:rFonts w:ascii="Times New Roman" w:hAnsi="Times New Roman" w:cs="Times New Roman"/>
          <w:sz w:val="24"/>
          <w:szCs w:val="24"/>
          <w:highlight w:val="green"/>
          <w:lang w:val="it-IT"/>
        </w:rPr>
        <w:t xml:space="preserve">1837. </w:t>
      </w:r>
      <w:r w:rsidRPr="006056F3">
        <w:rPr>
          <w:rFonts w:ascii="Times New Roman" w:hAnsi="Times New Roman" w:cs="Times New Roman"/>
          <w:i/>
          <w:iCs/>
          <w:sz w:val="24"/>
          <w:szCs w:val="24"/>
          <w:highlight w:val="green"/>
          <w:lang w:val="it-IT"/>
        </w:rPr>
        <w:t>Difflugia globosa</w:t>
      </w:r>
      <w:r w:rsidRPr="006056F3">
        <w:rPr>
          <w:rFonts w:ascii="Times New Roman" w:hAnsi="Times New Roman" w:cs="Times New Roman"/>
          <w:sz w:val="24"/>
          <w:szCs w:val="24"/>
          <w:highlight w:val="green"/>
          <w:lang w:val="it-IT"/>
        </w:rPr>
        <w:t xml:space="preserve"> Dujardin, </w:t>
      </w:r>
      <w:r w:rsidRPr="006056F3">
        <w:rPr>
          <w:rFonts w:ascii="Times New Roman" w:hAnsi="Times New Roman" w:cs="Times New Roman"/>
          <w:i/>
          <w:iCs/>
          <w:sz w:val="24"/>
          <w:szCs w:val="24"/>
          <w:highlight w:val="green"/>
          <w:lang w:val="it-IT"/>
        </w:rPr>
        <w:t>Ann. Sci. nat. Zool</w:t>
      </w:r>
      <w:r w:rsidRPr="006056F3">
        <w:rPr>
          <w:rFonts w:ascii="Times New Roman" w:hAnsi="Times New Roman" w:cs="Times New Roman"/>
          <w:sz w:val="24"/>
          <w:szCs w:val="24"/>
          <w:highlight w:val="green"/>
          <w:lang w:val="it-IT"/>
        </w:rPr>
        <w:t>. (2) 8: 310, pl. 9. Fig. 1.</w:t>
      </w:r>
    </w:p>
    <w:p w14:paraId="3B8394B8" w14:textId="77777777" w:rsidR="0042508D" w:rsidRPr="00A10D52" w:rsidRDefault="0042508D" w:rsidP="0042508D">
      <w:pPr>
        <w:spacing w:line="360" w:lineRule="auto"/>
        <w:ind w:left="360"/>
        <w:jc w:val="both"/>
        <w:rPr>
          <w:rFonts w:ascii="Times New Roman" w:hAnsi="Times New Roman" w:cs="Times New Roman"/>
          <w:sz w:val="24"/>
          <w:szCs w:val="24"/>
          <w:highlight w:val="green"/>
          <w:lang w:val="it-IT"/>
        </w:rPr>
      </w:pPr>
      <w:r w:rsidRPr="006056F3">
        <w:rPr>
          <w:rFonts w:ascii="Times New Roman" w:hAnsi="Times New Roman" w:cs="Times New Roman"/>
          <w:sz w:val="24"/>
          <w:szCs w:val="24"/>
          <w:highlight w:val="green"/>
          <w:lang w:val="it-IT"/>
        </w:rPr>
        <w:t xml:space="preserve">1902. </w:t>
      </w:r>
      <w:r w:rsidRPr="006056F3">
        <w:rPr>
          <w:rFonts w:ascii="Times New Roman" w:hAnsi="Times New Roman" w:cs="Times New Roman"/>
          <w:i/>
          <w:iCs/>
          <w:sz w:val="24"/>
          <w:szCs w:val="24"/>
          <w:highlight w:val="green"/>
          <w:lang w:val="it-IT"/>
        </w:rPr>
        <w:t>Difflugia</w:t>
      </w:r>
      <w:r w:rsidRPr="006056F3">
        <w:rPr>
          <w:rFonts w:ascii="Times New Roman" w:hAnsi="Times New Roman" w:cs="Times New Roman"/>
          <w:sz w:val="24"/>
          <w:szCs w:val="24"/>
          <w:highlight w:val="green"/>
          <w:lang w:val="it-IT"/>
        </w:rPr>
        <w:t xml:space="preserve"> globulosa Penard, </w:t>
      </w:r>
      <w:r w:rsidRPr="006056F3">
        <w:rPr>
          <w:rFonts w:ascii="Times New Roman" w:hAnsi="Times New Roman" w:cs="Times New Roman"/>
          <w:i/>
          <w:iCs/>
          <w:sz w:val="24"/>
          <w:szCs w:val="24"/>
          <w:highlight w:val="green"/>
          <w:lang w:val="it-IT"/>
        </w:rPr>
        <w:t xml:space="preserve">Faune Rhizopodique du Bassin de Leman. </w:t>
      </w:r>
      <w:r w:rsidRPr="00A10D52">
        <w:rPr>
          <w:rFonts w:ascii="Times New Roman" w:hAnsi="Times New Roman" w:cs="Times New Roman"/>
          <w:i/>
          <w:iCs/>
          <w:sz w:val="24"/>
          <w:szCs w:val="24"/>
          <w:highlight w:val="green"/>
          <w:lang w:val="it-IT"/>
        </w:rPr>
        <w:t>Geneve: Kundig</w:t>
      </w:r>
      <w:r w:rsidRPr="00A10D52">
        <w:rPr>
          <w:rFonts w:ascii="Times New Roman" w:hAnsi="Times New Roman" w:cs="Times New Roman"/>
          <w:sz w:val="24"/>
          <w:szCs w:val="24"/>
          <w:highlight w:val="green"/>
          <w:lang w:val="it-IT"/>
        </w:rPr>
        <w:t>, pp.714.</w:t>
      </w:r>
      <w:bookmarkEnd w:id="4"/>
    </w:p>
    <w:p w14:paraId="41ED1A81" w14:textId="77777777" w:rsidR="0042508D" w:rsidRPr="00A10D52" w:rsidRDefault="0042508D" w:rsidP="0042508D">
      <w:pPr>
        <w:spacing w:line="360" w:lineRule="auto"/>
        <w:ind w:left="360"/>
        <w:jc w:val="both"/>
        <w:rPr>
          <w:rFonts w:ascii="Times New Roman" w:hAnsi="Times New Roman"/>
          <w:sz w:val="24"/>
          <w:szCs w:val="24"/>
          <w:highlight w:val="green"/>
          <w:lang w:val="it-IT"/>
        </w:rPr>
      </w:pPr>
      <w:bookmarkStart w:id="5" w:name="_Hlk156986947"/>
      <w:r w:rsidRPr="00A10D52">
        <w:rPr>
          <w:rFonts w:ascii="Times New Roman" w:hAnsi="Times New Roman"/>
          <w:i/>
          <w:iCs/>
          <w:sz w:val="24"/>
          <w:szCs w:val="24"/>
          <w:highlight w:val="green"/>
          <w:lang w:val="it-IT"/>
        </w:rPr>
        <w:t>Distribution</w:t>
      </w:r>
      <w:r w:rsidRPr="00A10D52">
        <w:rPr>
          <w:rFonts w:ascii="Times New Roman" w:hAnsi="Times New Roman"/>
          <w:sz w:val="24"/>
          <w:szCs w:val="24"/>
          <w:highlight w:val="green"/>
          <w:lang w:val="it-IT"/>
        </w:rPr>
        <w:t xml:space="preserve">: India: Andhra Pradesh, Assam, </w:t>
      </w:r>
      <w:r w:rsidR="00160E68" w:rsidRPr="00A10D52">
        <w:rPr>
          <w:rFonts w:ascii="Times New Roman" w:hAnsi="Times New Roman"/>
          <w:sz w:val="24"/>
          <w:szCs w:val="24"/>
          <w:highlight w:val="green"/>
          <w:lang w:val="it-IT"/>
        </w:rPr>
        <w:t xml:space="preserve">Bihar, </w:t>
      </w:r>
      <w:r w:rsidRPr="00A10D52">
        <w:rPr>
          <w:rFonts w:ascii="Times New Roman" w:hAnsi="Times New Roman"/>
          <w:sz w:val="24"/>
          <w:szCs w:val="24"/>
          <w:highlight w:val="green"/>
          <w:lang w:val="it-IT"/>
        </w:rPr>
        <w:t>Himachal Pradesh, Meghalaya, Odisha, Rajasthan, Tamil Nadu, Uttar Pradesh, West Bengal, Punjab</w:t>
      </w:r>
    </w:p>
    <w:bookmarkEnd w:id="5"/>
    <w:p w14:paraId="401EA187"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Family Centropyxidae Jung, 1942</w:t>
      </w:r>
    </w:p>
    <w:p w14:paraId="722789A3" w14:textId="77777777" w:rsidR="0092677D" w:rsidRPr="006056F3" w:rsidRDefault="0092677D" w:rsidP="006F4304">
      <w:pPr>
        <w:pStyle w:val="ListParagraph"/>
        <w:numPr>
          <w:ilvl w:val="0"/>
          <w:numId w:val="8"/>
        </w:numPr>
        <w:ind w:left="567"/>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Centropyxis aerophila</w:t>
      </w:r>
      <w:r w:rsidRPr="006056F3">
        <w:rPr>
          <w:rFonts w:ascii="Times New Roman" w:hAnsi="Times New Roman" w:cs="Times New Roman"/>
          <w:sz w:val="24"/>
          <w:szCs w:val="24"/>
          <w:highlight w:val="green"/>
        </w:rPr>
        <w:t xml:space="preserve"> Deflandre, 1929  </w:t>
      </w:r>
    </w:p>
    <w:p w14:paraId="71D82AFF" w14:textId="77777777" w:rsidR="00FC6316" w:rsidRPr="006056F3" w:rsidRDefault="00FC6316" w:rsidP="00FC6316">
      <w:pPr>
        <w:spacing w:line="360" w:lineRule="auto"/>
        <w:ind w:left="36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1929. </w:t>
      </w:r>
      <w:r w:rsidRPr="006056F3">
        <w:rPr>
          <w:rFonts w:ascii="Times New Roman" w:hAnsi="Times New Roman" w:cs="Times New Roman"/>
          <w:i/>
          <w:iCs/>
          <w:sz w:val="24"/>
          <w:szCs w:val="24"/>
          <w:highlight w:val="green"/>
        </w:rPr>
        <w:t>Centropyxis aerophila</w:t>
      </w:r>
      <w:r w:rsidRPr="006056F3">
        <w:rPr>
          <w:rFonts w:ascii="Times New Roman" w:hAnsi="Times New Roman" w:cs="Times New Roman"/>
          <w:sz w:val="24"/>
          <w:szCs w:val="24"/>
          <w:highlight w:val="green"/>
        </w:rPr>
        <w:t xml:space="preserve"> Deflandre </w:t>
      </w:r>
      <w:r w:rsidRPr="006056F3">
        <w:rPr>
          <w:rFonts w:ascii="Times New Roman" w:hAnsi="Times New Roman" w:cs="Times New Roman"/>
          <w:i/>
          <w:iCs/>
          <w:sz w:val="24"/>
          <w:szCs w:val="24"/>
          <w:highlight w:val="green"/>
        </w:rPr>
        <w:t>Arch. Protistenkd</w:t>
      </w:r>
      <w:r w:rsidRPr="006056F3">
        <w:rPr>
          <w:rFonts w:ascii="Times New Roman" w:hAnsi="Times New Roman" w:cs="Times New Roman"/>
          <w:sz w:val="24"/>
          <w:szCs w:val="24"/>
          <w:highlight w:val="green"/>
        </w:rPr>
        <w:t>., 67:330.</w:t>
      </w:r>
    </w:p>
    <w:p w14:paraId="0CF6715A" w14:textId="77777777" w:rsidR="00FC6316" w:rsidRPr="006056F3" w:rsidRDefault="00FC6316" w:rsidP="00FC6316">
      <w:pPr>
        <w:spacing w:line="360" w:lineRule="auto"/>
        <w:ind w:left="360"/>
        <w:jc w:val="both"/>
        <w:rPr>
          <w:rFonts w:ascii="Times New Roman" w:hAnsi="Times New Roman"/>
          <w:sz w:val="24"/>
          <w:szCs w:val="24"/>
          <w:highlight w:val="green"/>
        </w:rPr>
      </w:pPr>
      <w:r w:rsidRPr="006056F3">
        <w:rPr>
          <w:rFonts w:ascii="Times New Roman" w:hAnsi="Times New Roman"/>
          <w:i/>
          <w:iCs/>
          <w:sz w:val="24"/>
          <w:szCs w:val="24"/>
          <w:highlight w:val="green"/>
        </w:rPr>
        <w:t>Distribution</w:t>
      </w:r>
      <w:r w:rsidRPr="006056F3">
        <w:rPr>
          <w:rFonts w:ascii="Times New Roman" w:hAnsi="Times New Roman"/>
          <w:sz w:val="24"/>
          <w:szCs w:val="24"/>
          <w:highlight w:val="green"/>
        </w:rPr>
        <w:t xml:space="preserve">: India: Andhra Pradesh, Arunachal Pradesh, </w:t>
      </w:r>
      <w:r w:rsidR="009349C8" w:rsidRPr="006056F3">
        <w:rPr>
          <w:rFonts w:ascii="Times New Roman" w:hAnsi="Times New Roman"/>
          <w:sz w:val="24"/>
          <w:szCs w:val="24"/>
          <w:highlight w:val="green"/>
        </w:rPr>
        <w:t xml:space="preserve">Bihar, </w:t>
      </w:r>
      <w:r w:rsidRPr="006056F3">
        <w:rPr>
          <w:rFonts w:ascii="Times New Roman" w:hAnsi="Times New Roman"/>
          <w:sz w:val="24"/>
          <w:szCs w:val="24"/>
          <w:highlight w:val="green"/>
        </w:rPr>
        <w:t>Himachal Pradesh, Kerala, Manipur, Meghalaya, Mizoram, Nagaland, Odisha, Sikkim, Tamil Nadu, Telangana, Tripura, Uttar Pradesh, Uttarakhand, West Bengal, Chandigarh, Punjab</w:t>
      </w:r>
    </w:p>
    <w:p w14:paraId="65672EC8" w14:textId="77777777" w:rsidR="00297A32" w:rsidRPr="006056F3" w:rsidRDefault="00297A32" w:rsidP="006F4304">
      <w:pPr>
        <w:pStyle w:val="ListParagraph"/>
        <w:numPr>
          <w:ilvl w:val="0"/>
          <w:numId w:val="8"/>
        </w:numPr>
        <w:spacing w:line="360" w:lineRule="auto"/>
        <w:ind w:left="426"/>
        <w:rPr>
          <w:rFonts w:ascii="Times New Roman" w:eastAsia="Calibri" w:hAnsi="Times New Roman" w:cs="Times New Roman"/>
          <w:kern w:val="0"/>
          <w:sz w:val="24"/>
          <w:szCs w:val="24"/>
          <w:highlight w:val="green"/>
          <w14:ligatures w14:val="none"/>
        </w:rPr>
      </w:pPr>
      <w:bookmarkStart w:id="6" w:name="_Hlk177983085"/>
      <w:r w:rsidRPr="006056F3">
        <w:rPr>
          <w:rFonts w:ascii="Times New Roman" w:eastAsia="Calibri" w:hAnsi="Times New Roman" w:cs="Times New Roman"/>
          <w:i/>
          <w:kern w:val="0"/>
          <w:sz w:val="24"/>
          <w:szCs w:val="24"/>
          <w:highlight w:val="green"/>
          <w14:ligatures w14:val="none"/>
        </w:rPr>
        <w:t>Centropyxis aculeata</w:t>
      </w:r>
      <w:r w:rsidRPr="006056F3">
        <w:rPr>
          <w:rFonts w:ascii="Times New Roman" w:eastAsia="Calibri" w:hAnsi="Times New Roman" w:cs="Times New Roman"/>
          <w:kern w:val="0"/>
          <w:sz w:val="24"/>
          <w:szCs w:val="24"/>
          <w:highlight w:val="green"/>
          <w14:ligatures w14:val="none"/>
        </w:rPr>
        <w:t xml:space="preserve"> (Ehrenberg, 1838) Stein, 1859</w:t>
      </w:r>
    </w:p>
    <w:p w14:paraId="427AAB7D" w14:textId="77777777" w:rsidR="00297A32" w:rsidRPr="006056F3" w:rsidRDefault="00297A32" w:rsidP="00297A32">
      <w:pPr>
        <w:spacing w:line="360" w:lineRule="auto"/>
        <w:contextualSpacing/>
        <w:jc w:val="both"/>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kern w:val="0"/>
          <w:sz w:val="24"/>
          <w:szCs w:val="24"/>
          <w:highlight w:val="green"/>
          <w14:ligatures w14:val="none"/>
        </w:rPr>
        <w:lastRenderedPageBreak/>
        <w:t xml:space="preserve">1958. </w:t>
      </w:r>
      <w:r w:rsidRPr="006056F3">
        <w:rPr>
          <w:rFonts w:ascii="Times New Roman" w:eastAsia="Calibri" w:hAnsi="Times New Roman" w:cs="Times New Roman"/>
          <w:i/>
          <w:iCs/>
          <w:kern w:val="0"/>
          <w:sz w:val="24"/>
          <w:szCs w:val="24"/>
          <w:highlight w:val="green"/>
          <w14:ligatures w14:val="none"/>
        </w:rPr>
        <w:t>Centropyxis aculeata</w:t>
      </w:r>
      <w:r w:rsidRPr="006056F3">
        <w:rPr>
          <w:rFonts w:ascii="Times New Roman" w:eastAsia="Calibri" w:hAnsi="Times New Roman" w:cs="Times New Roman"/>
          <w:kern w:val="0"/>
          <w:sz w:val="24"/>
          <w:szCs w:val="24"/>
          <w:highlight w:val="green"/>
          <w14:ligatures w14:val="none"/>
        </w:rPr>
        <w:t xml:space="preserve"> </w:t>
      </w:r>
      <w:r w:rsidRPr="006056F3">
        <w:rPr>
          <w:rFonts w:ascii="Times New Roman" w:eastAsia="Calibri" w:hAnsi="Times New Roman" w:cs="Times New Roman"/>
          <w:i/>
          <w:iCs/>
          <w:kern w:val="0"/>
          <w:sz w:val="24"/>
          <w:szCs w:val="24"/>
          <w:highlight w:val="green"/>
          <w14:ligatures w14:val="none"/>
        </w:rPr>
        <w:t>minima</w:t>
      </w:r>
      <w:r w:rsidRPr="006056F3">
        <w:rPr>
          <w:rFonts w:ascii="Times New Roman" w:eastAsia="Calibri" w:hAnsi="Times New Roman" w:cs="Times New Roman"/>
          <w:kern w:val="0"/>
          <w:sz w:val="24"/>
          <w:szCs w:val="24"/>
          <w:highlight w:val="green"/>
          <w14:ligatures w14:val="none"/>
        </w:rPr>
        <w:t xml:space="preserve"> Van Oye, </w:t>
      </w:r>
      <w:r w:rsidRPr="006056F3">
        <w:rPr>
          <w:rFonts w:ascii="Times New Roman" w:eastAsia="Calibri" w:hAnsi="Times New Roman" w:cs="Times New Roman"/>
          <w:i/>
          <w:iCs/>
          <w:kern w:val="0"/>
          <w:sz w:val="24"/>
          <w:szCs w:val="24"/>
          <w:highlight w:val="green"/>
          <w14:ligatures w14:val="none"/>
        </w:rPr>
        <w:t>Etude sur les Rhizopdes des marais du-ouest</w:t>
      </w:r>
      <w:r w:rsidRPr="006056F3">
        <w:rPr>
          <w:rFonts w:ascii="Times New Roman" w:eastAsia="Calibri" w:hAnsi="Times New Roman" w:cs="Times New Roman"/>
          <w:kern w:val="0"/>
          <w:sz w:val="24"/>
          <w:szCs w:val="24"/>
          <w:highlight w:val="green"/>
          <w14:ligatures w14:val="none"/>
        </w:rPr>
        <w:t xml:space="preserve"> </w:t>
      </w:r>
      <w:r w:rsidRPr="006056F3">
        <w:rPr>
          <w:rFonts w:ascii="Times New Roman" w:eastAsia="Calibri" w:hAnsi="Times New Roman" w:cs="Times New Roman"/>
          <w:i/>
          <w:iCs/>
          <w:kern w:val="0"/>
          <w:sz w:val="24"/>
          <w:szCs w:val="24"/>
          <w:highlight w:val="green"/>
          <w14:ligatures w14:val="none"/>
        </w:rPr>
        <w:t>d’Uvira (Congo-belge), Hydrobiologia</w:t>
      </w:r>
      <w:r w:rsidRPr="006056F3">
        <w:rPr>
          <w:rFonts w:ascii="Times New Roman" w:eastAsia="Calibri" w:hAnsi="Times New Roman" w:cs="Times New Roman"/>
          <w:kern w:val="0"/>
          <w:sz w:val="24"/>
          <w:szCs w:val="24"/>
          <w:highlight w:val="green"/>
          <w14:ligatures w14:val="none"/>
        </w:rPr>
        <w:t>, 10:85-137.</w:t>
      </w:r>
    </w:p>
    <w:p w14:paraId="7711A569" w14:textId="77777777" w:rsidR="003229CC" w:rsidRPr="006056F3" w:rsidRDefault="003229CC" w:rsidP="003229CC">
      <w:pPr>
        <w:spacing w:line="360" w:lineRule="auto"/>
        <w:contextualSpacing/>
        <w:jc w:val="both"/>
        <w:rPr>
          <w:rFonts w:ascii="Times New Roman" w:eastAsia="Calibri" w:hAnsi="Times New Roman" w:cs="Times New Roman"/>
          <w:i/>
          <w:kern w:val="0"/>
          <w:sz w:val="24"/>
          <w:szCs w:val="24"/>
          <w:highlight w:val="green"/>
          <w14:ligatures w14:val="none"/>
        </w:rPr>
      </w:pPr>
      <w:proofErr w:type="gramStart"/>
      <w:r w:rsidRPr="006056F3">
        <w:rPr>
          <w:rFonts w:ascii="Times New Roman" w:eastAsia="Calibri" w:hAnsi="Times New Roman" w:cs="Mangal"/>
          <w:i/>
          <w:iCs/>
          <w:kern w:val="0"/>
          <w:sz w:val="24"/>
          <w:szCs w:val="24"/>
          <w:highlight w:val="green"/>
          <w14:ligatures w14:val="none"/>
        </w:rPr>
        <w:t>Distribution</w:t>
      </w:r>
      <w:r w:rsidRPr="006056F3">
        <w:rPr>
          <w:rFonts w:ascii="Times New Roman" w:eastAsia="Calibri" w:hAnsi="Times New Roman" w:cs="Mangal"/>
          <w:kern w:val="0"/>
          <w:sz w:val="24"/>
          <w:szCs w:val="24"/>
          <w:highlight w:val="green"/>
          <w14:ligatures w14:val="none"/>
        </w:rPr>
        <w:t xml:space="preserve"> :</w:t>
      </w:r>
      <w:proofErr w:type="gramEnd"/>
      <w:r w:rsidRPr="006056F3">
        <w:rPr>
          <w:rFonts w:ascii="Times New Roman" w:eastAsia="Calibri" w:hAnsi="Times New Roman" w:cs="Mangal"/>
          <w:kern w:val="0"/>
          <w:sz w:val="24"/>
          <w:szCs w:val="24"/>
          <w:highlight w:val="green"/>
          <w14:ligatures w14:val="none"/>
        </w:rPr>
        <w:t xml:space="preserve"> </w:t>
      </w:r>
      <w:proofErr w:type="gramStart"/>
      <w:r w:rsidRPr="006056F3">
        <w:rPr>
          <w:rFonts w:ascii="Times New Roman" w:eastAsia="Calibri" w:hAnsi="Times New Roman" w:cs="Mangal"/>
          <w:kern w:val="0"/>
          <w:sz w:val="24"/>
          <w:szCs w:val="24"/>
          <w:highlight w:val="green"/>
          <w14:ligatures w14:val="none"/>
        </w:rPr>
        <w:t>India :</w:t>
      </w:r>
      <w:proofErr w:type="gramEnd"/>
      <w:r w:rsidRPr="006056F3">
        <w:rPr>
          <w:rFonts w:ascii="Times New Roman" w:eastAsia="Calibri" w:hAnsi="Times New Roman" w:cs="Mangal"/>
          <w:kern w:val="0"/>
          <w:sz w:val="24"/>
          <w:szCs w:val="24"/>
          <w:highlight w:val="green"/>
          <w14:ligatures w14:val="none"/>
        </w:rPr>
        <w:t xml:space="preserve"> Andhra Pradesh, Arunachal Pradesh, Assam, Bihar, Himachal Pradesh, Kerala, Maharashtra, Meghalaya, Mizoram, Nagaland, Odisha, Rajasthan, Sikkim, Tamil Nadu, Telangana, Tripura, Uttar Pradesh, Uttarakhand, West Bengal, Chandigarh</w:t>
      </w:r>
    </w:p>
    <w:p w14:paraId="7B03A686" w14:textId="77777777" w:rsidR="00E05460" w:rsidRPr="006056F3" w:rsidRDefault="00E05460" w:rsidP="006F4304">
      <w:pPr>
        <w:pStyle w:val="ListParagraph"/>
        <w:numPr>
          <w:ilvl w:val="0"/>
          <w:numId w:val="8"/>
        </w:numPr>
        <w:spacing w:line="360" w:lineRule="auto"/>
        <w:ind w:left="426"/>
        <w:rPr>
          <w:rFonts w:ascii="Times New Roman" w:hAnsi="Times New Roman" w:cs="Times New Roman"/>
          <w:i/>
          <w:sz w:val="24"/>
          <w:szCs w:val="24"/>
          <w:highlight w:val="green"/>
        </w:rPr>
      </w:pPr>
      <w:r w:rsidRPr="006056F3">
        <w:rPr>
          <w:rFonts w:ascii="Times New Roman" w:hAnsi="Times New Roman" w:cs="Times New Roman"/>
          <w:i/>
          <w:sz w:val="24"/>
          <w:szCs w:val="24"/>
          <w:highlight w:val="green"/>
        </w:rPr>
        <w:t xml:space="preserve">Centropyxis ecornis </w:t>
      </w:r>
      <w:r w:rsidRPr="006056F3">
        <w:rPr>
          <w:rFonts w:ascii="Times New Roman" w:hAnsi="Times New Roman" w:cs="Times New Roman"/>
          <w:iCs/>
          <w:sz w:val="24"/>
          <w:szCs w:val="24"/>
          <w:highlight w:val="green"/>
        </w:rPr>
        <w:t>(Ehrenberg, 1841)</w:t>
      </w:r>
    </w:p>
    <w:p w14:paraId="56186CC6" w14:textId="77777777" w:rsidR="00E05460" w:rsidRPr="006056F3" w:rsidRDefault="00E05460" w:rsidP="00E05460">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1841. </w:t>
      </w:r>
      <w:r w:rsidRPr="006056F3">
        <w:rPr>
          <w:rFonts w:ascii="Times New Roman" w:hAnsi="Times New Roman" w:cs="Times New Roman"/>
          <w:i/>
          <w:iCs/>
          <w:sz w:val="24"/>
          <w:szCs w:val="24"/>
          <w:highlight w:val="green"/>
        </w:rPr>
        <w:t>Arcella ecornis</w:t>
      </w:r>
      <w:r w:rsidRPr="006056F3">
        <w:rPr>
          <w:rFonts w:ascii="Times New Roman" w:hAnsi="Times New Roman" w:cs="Times New Roman"/>
          <w:sz w:val="24"/>
          <w:szCs w:val="24"/>
          <w:highlight w:val="green"/>
        </w:rPr>
        <w:t xml:space="preserve"> Ehrenberg, </w:t>
      </w:r>
      <w:r w:rsidRPr="006056F3">
        <w:rPr>
          <w:rFonts w:ascii="Times New Roman" w:hAnsi="Times New Roman" w:cs="Times New Roman"/>
          <w:i/>
          <w:iCs/>
          <w:sz w:val="24"/>
          <w:szCs w:val="24"/>
          <w:highlight w:val="green"/>
        </w:rPr>
        <w:t>Abh. Akad. Wiss. Berlin</w:t>
      </w:r>
      <w:r w:rsidRPr="006056F3">
        <w:rPr>
          <w:rFonts w:ascii="Times New Roman" w:hAnsi="Times New Roman" w:cs="Times New Roman"/>
          <w:sz w:val="24"/>
          <w:szCs w:val="24"/>
          <w:highlight w:val="green"/>
        </w:rPr>
        <w:t>, p. 368.</w:t>
      </w:r>
    </w:p>
    <w:p w14:paraId="0211B8C8" w14:textId="77777777" w:rsidR="00E05460" w:rsidRPr="006056F3" w:rsidRDefault="00E05460" w:rsidP="00E05460">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1879. </w:t>
      </w:r>
      <w:r w:rsidRPr="006056F3">
        <w:rPr>
          <w:rFonts w:ascii="Times New Roman" w:hAnsi="Times New Roman" w:cs="Times New Roman"/>
          <w:i/>
          <w:iCs/>
          <w:sz w:val="24"/>
          <w:szCs w:val="24"/>
          <w:highlight w:val="green"/>
        </w:rPr>
        <w:t>Centropyxis ecornis</w:t>
      </w:r>
      <w:r w:rsidRPr="006056F3">
        <w:rPr>
          <w:rFonts w:ascii="Times New Roman" w:hAnsi="Times New Roman" w:cs="Times New Roman"/>
          <w:sz w:val="24"/>
          <w:szCs w:val="24"/>
          <w:highlight w:val="green"/>
        </w:rPr>
        <w:t xml:space="preserve"> Leidy, </w:t>
      </w:r>
      <w:r w:rsidRPr="006056F3">
        <w:rPr>
          <w:rFonts w:ascii="Times New Roman" w:hAnsi="Times New Roman" w:cs="Times New Roman"/>
          <w:i/>
          <w:iCs/>
          <w:sz w:val="24"/>
          <w:szCs w:val="24"/>
          <w:highlight w:val="green"/>
        </w:rPr>
        <w:t>Freshwater Rhizopods of North America</w:t>
      </w:r>
      <w:r w:rsidRPr="006056F3">
        <w:rPr>
          <w:rFonts w:ascii="Times New Roman" w:hAnsi="Times New Roman" w:cs="Times New Roman"/>
          <w:sz w:val="24"/>
          <w:szCs w:val="24"/>
          <w:highlight w:val="green"/>
        </w:rPr>
        <w:t>, pl.30, figs.20-24.</w:t>
      </w:r>
    </w:p>
    <w:p w14:paraId="7CEA83C1" w14:textId="77777777" w:rsidR="00E05460" w:rsidRPr="006056F3" w:rsidRDefault="00E05460" w:rsidP="00E05460">
      <w:pPr>
        <w:pStyle w:val="ListParagraph"/>
        <w:spacing w:line="360" w:lineRule="auto"/>
        <w:ind w:left="0"/>
        <w:jc w:val="both"/>
        <w:rPr>
          <w:rFonts w:ascii="Times New Roman" w:hAnsi="Times New Roman" w:cs="Times New Roman"/>
          <w:i/>
          <w:sz w:val="24"/>
          <w:szCs w:val="24"/>
          <w:highlight w:val="green"/>
        </w:rPr>
      </w:pPr>
      <w:r w:rsidRPr="006056F3">
        <w:rPr>
          <w:rFonts w:ascii="Times New Roman" w:hAnsi="Times New Roman"/>
          <w:i/>
          <w:iCs/>
          <w:sz w:val="24"/>
          <w:szCs w:val="24"/>
          <w:highlight w:val="green"/>
        </w:rPr>
        <w:t>Distribution</w:t>
      </w:r>
      <w:r w:rsidRPr="006056F3">
        <w:rPr>
          <w:rFonts w:ascii="Times New Roman" w:hAnsi="Times New Roman"/>
          <w:sz w:val="24"/>
          <w:szCs w:val="24"/>
          <w:highlight w:val="green"/>
        </w:rPr>
        <w:t xml:space="preserve">: India: Andhra Pradesh, Arunachal Pradesh, Assam, </w:t>
      </w:r>
      <w:r w:rsidR="00B95F7C" w:rsidRPr="006056F3">
        <w:rPr>
          <w:rFonts w:ascii="Times New Roman" w:hAnsi="Times New Roman"/>
          <w:sz w:val="24"/>
          <w:szCs w:val="24"/>
          <w:highlight w:val="green"/>
        </w:rPr>
        <w:t xml:space="preserve">Bihar, </w:t>
      </w:r>
      <w:r w:rsidRPr="006056F3">
        <w:rPr>
          <w:rFonts w:ascii="Times New Roman" w:hAnsi="Times New Roman"/>
          <w:sz w:val="24"/>
          <w:szCs w:val="24"/>
          <w:highlight w:val="green"/>
        </w:rPr>
        <w:t>Himachal Pradesh, Kerala, Maharashtra, Meghalaya, Nagaland, Odisha, Sikkim, Tamil Nadu, Telangana, Uttar pradesh, Uttarakhand, West Bengal, Punjab</w:t>
      </w:r>
    </w:p>
    <w:bookmarkEnd w:id="6"/>
    <w:p w14:paraId="4BCD7EAC" w14:textId="77777777" w:rsidR="0092677D" w:rsidRPr="006056F3" w:rsidRDefault="0092677D" w:rsidP="008C7125">
      <w:pPr>
        <w:pStyle w:val="ListParagraph"/>
        <w:numPr>
          <w:ilvl w:val="0"/>
          <w:numId w:val="8"/>
        </w:numPr>
        <w:ind w:left="284"/>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Centropyxis platystoma</w:t>
      </w:r>
      <w:r w:rsidRPr="006056F3">
        <w:rPr>
          <w:rFonts w:ascii="Times New Roman" w:hAnsi="Times New Roman" w:cs="Times New Roman"/>
          <w:sz w:val="24"/>
          <w:szCs w:val="24"/>
          <w:highlight w:val="green"/>
        </w:rPr>
        <w:t xml:space="preserve"> (Penard, 1890) Deflandre, 1929 </w:t>
      </w:r>
    </w:p>
    <w:p w14:paraId="25816B1F" w14:textId="77777777" w:rsidR="003A1723" w:rsidRPr="006056F3" w:rsidRDefault="003A1723" w:rsidP="008C7125">
      <w:pPr>
        <w:spacing w:line="360" w:lineRule="auto"/>
        <w:ind w:left="360" w:hanging="502"/>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1929. </w:t>
      </w:r>
      <w:r w:rsidRPr="006056F3">
        <w:rPr>
          <w:rFonts w:ascii="Times New Roman" w:hAnsi="Times New Roman" w:cs="Times New Roman"/>
          <w:i/>
          <w:iCs/>
          <w:sz w:val="24"/>
          <w:szCs w:val="24"/>
          <w:highlight w:val="green"/>
        </w:rPr>
        <w:t xml:space="preserve">Centropyxis platystoma </w:t>
      </w:r>
      <w:r w:rsidRPr="006056F3">
        <w:rPr>
          <w:rFonts w:ascii="Times New Roman" w:hAnsi="Times New Roman" w:cs="Times New Roman"/>
          <w:sz w:val="24"/>
          <w:szCs w:val="24"/>
          <w:highlight w:val="green"/>
        </w:rPr>
        <w:t xml:space="preserve">Defalndre, </w:t>
      </w:r>
      <w:r w:rsidRPr="006056F3">
        <w:rPr>
          <w:rFonts w:ascii="Times New Roman" w:hAnsi="Times New Roman" w:cs="Times New Roman"/>
          <w:i/>
          <w:iCs/>
          <w:sz w:val="24"/>
          <w:szCs w:val="24"/>
          <w:highlight w:val="green"/>
        </w:rPr>
        <w:t xml:space="preserve">Arch. Protistenkd., </w:t>
      </w:r>
      <w:r w:rsidRPr="006056F3">
        <w:rPr>
          <w:rFonts w:ascii="Times New Roman" w:hAnsi="Times New Roman" w:cs="Times New Roman"/>
          <w:sz w:val="24"/>
          <w:szCs w:val="24"/>
          <w:highlight w:val="green"/>
        </w:rPr>
        <w:t>67:</w:t>
      </w:r>
      <w:r w:rsidRPr="006056F3">
        <w:rPr>
          <w:rFonts w:ascii="Times New Roman" w:hAnsi="Times New Roman" w:cs="Times New Roman"/>
          <w:i/>
          <w:iCs/>
          <w:sz w:val="24"/>
          <w:szCs w:val="24"/>
          <w:highlight w:val="green"/>
        </w:rPr>
        <w:t xml:space="preserve"> </w:t>
      </w:r>
      <w:r w:rsidRPr="006056F3">
        <w:rPr>
          <w:rFonts w:ascii="Times New Roman" w:hAnsi="Times New Roman" w:cs="Times New Roman"/>
          <w:sz w:val="24"/>
          <w:szCs w:val="24"/>
          <w:highlight w:val="green"/>
        </w:rPr>
        <w:t>338.</w:t>
      </w:r>
    </w:p>
    <w:p w14:paraId="70F7478B" w14:textId="77777777" w:rsidR="003A1723" w:rsidRPr="006056F3" w:rsidRDefault="003A1723" w:rsidP="008C7125">
      <w:pPr>
        <w:spacing w:line="360" w:lineRule="auto"/>
        <w:ind w:left="360" w:hanging="502"/>
        <w:jc w:val="both"/>
        <w:rPr>
          <w:rFonts w:ascii="Times New Roman" w:hAnsi="Times New Roman" w:cs="Times New Roman"/>
          <w:i/>
          <w:sz w:val="24"/>
          <w:szCs w:val="24"/>
          <w:highlight w:val="green"/>
        </w:rPr>
      </w:pPr>
      <w:r w:rsidRPr="006056F3">
        <w:rPr>
          <w:rFonts w:ascii="Times New Roman" w:hAnsi="Times New Roman" w:cs="Times New Roman"/>
          <w:i/>
          <w:iCs/>
          <w:sz w:val="24"/>
          <w:szCs w:val="24"/>
          <w:highlight w:val="green"/>
        </w:rPr>
        <w:t>Distribution</w:t>
      </w:r>
      <w:r w:rsidRPr="006056F3">
        <w:rPr>
          <w:rFonts w:ascii="Times New Roman" w:hAnsi="Times New Roman" w:cs="Times New Roman"/>
          <w:sz w:val="24"/>
          <w:szCs w:val="24"/>
          <w:highlight w:val="green"/>
        </w:rPr>
        <w:t xml:space="preserve">: India: Andhra Pradesh, Arunachal Pradesh, Assam, </w:t>
      </w:r>
      <w:r w:rsidR="002A70A7" w:rsidRPr="006056F3">
        <w:rPr>
          <w:rFonts w:ascii="Times New Roman" w:hAnsi="Times New Roman" w:cs="Times New Roman"/>
          <w:sz w:val="24"/>
          <w:szCs w:val="24"/>
          <w:highlight w:val="green"/>
        </w:rPr>
        <w:t xml:space="preserve">Bihar, </w:t>
      </w:r>
      <w:r w:rsidRPr="006056F3">
        <w:rPr>
          <w:rFonts w:ascii="Times New Roman" w:hAnsi="Times New Roman" w:cs="Times New Roman"/>
          <w:sz w:val="24"/>
          <w:szCs w:val="24"/>
          <w:highlight w:val="green"/>
        </w:rPr>
        <w:t>Himachal Pradesh, Kerala, Manipur, Meghalaya, Mizoram, Nagaland, Odisha, Sikkim, Tamil Nadu, Tripura, Uttar Pradesh, West Bengal, Chandigarh, Punjab</w:t>
      </w:r>
    </w:p>
    <w:p w14:paraId="5980A40B"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Phylum Cercozoa Cavalier-Smith, 2018</w:t>
      </w:r>
    </w:p>
    <w:p w14:paraId="37222046"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Class Silicofilosea Adl et al., 2012</w:t>
      </w:r>
    </w:p>
    <w:p w14:paraId="333CF4F2"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Order Euglyphida Cavalier-Smith, 1997</w:t>
      </w:r>
    </w:p>
    <w:p w14:paraId="448DC7BF"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Family Euglyphidae Lara et al., 2007</w:t>
      </w:r>
    </w:p>
    <w:p w14:paraId="0E34D071" w14:textId="77777777" w:rsidR="0092677D" w:rsidRPr="006056F3" w:rsidRDefault="0092677D" w:rsidP="008C7125">
      <w:pPr>
        <w:pStyle w:val="ListParagraph"/>
        <w:numPr>
          <w:ilvl w:val="0"/>
          <w:numId w:val="8"/>
        </w:numPr>
        <w:ind w:left="284"/>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Euglypha rotunda</w:t>
      </w:r>
      <w:r w:rsidRPr="006056F3">
        <w:rPr>
          <w:rFonts w:ascii="Times New Roman" w:hAnsi="Times New Roman" w:cs="Times New Roman"/>
          <w:sz w:val="24"/>
          <w:szCs w:val="24"/>
          <w:highlight w:val="green"/>
        </w:rPr>
        <w:t xml:space="preserve"> (Ehrenberg, 1845)  </w:t>
      </w:r>
    </w:p>
    <w:p w14:paraId="1B2D41AA" w14:textId="77777777" w:rsidR="00B057CF" w:rsidRPr="006056F3" w:rsidRDefault="00B057CF" w:rsidP="008C7125">
      <w:pPr>
        <w:spacing w:line="360" w:lineRule="auto"/>
        <w:ind w:left="709" w:hanging="709"/>
        <w:contextualSpacing/>
        <w:jc w:val="both"/>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kern w:val="0"/>
          <w:sz w:val="24"/>
          <w:szCs w:val="24"/>
          <w:highlight w:val="green"/>
          <w14:ligatures w14:val="none"/>
        </w:rPr>
        <w:t xml:space="preserve">1911. </w:t>
      </w:r>
      <w:r w:rsidRPr="006056F3">
        <w:rPr>
          <w:rFonts w:ascii="Times New Roman" w:eastAsia="Calibri" w:hAnsi="Times New Roman" w:cs="Times New Roman"/>
          <w:i/>
          <w:iCs/>
          <w:kern w:val="0"/>
          <w:sz w:val="24"/>
          <w:szCs w:val="24"/>
          <w:highlight w:val="green"/>
          <w14:ligatures w14:val="none"/>
        </w:rPr>
        <w:t>Euglypha rotunda</w:t>
      </w:r>
      <w:r w:rsidRPr="006056F3">
        <w:rPr>
          <w:rFonts w:ascii="Times New Roman" w:eastAsia="Calibri" w:hAnsi="Times New Roman" w:cs="Times New Roman"/>
          <w:kern w:val="0"/>
          <w:sz w:val="24"/>
          <w:szCs w:val="24"/>
          <w:highlight w:val="green"/>
          <w14:ligatures w14:val="none"/>
        </w:rPr>
        <w:t xml:space="preserve"> Wailes and Penard, </w:t>
      </w:r>
      <w:r w:rsidRPr="006056F3">
        <w:rPr>
          <w:rFonts w:ascii="Times New Roman" w:eastAsia="Calibri" w:hAnsi="Times New Roman" w:cs="Times New Roman"/>
          <w:i/>
          <w:iCs/>
          <w:kern w:val="0"/>
          <w:sz w:val="24"/>
          <w:szCs w:val="24"/>
          <w:highlight w:val="green"/>
          <w14:ligatures w14:val="none"/>
        </w:rPr>
        <w:t>Proc. R. Irish Acad</w:t>
      </w:r>
      <w:r w:rsidRPr="006056F3">
        <w:rPr>
          <w:rFonts w:ascii="Times New Roman" w:eastAsia="Calibri" w:hAnsi="Times New Roman" w:cs="Times New Roman"/>
          <w:kern w:val="0"/>
          <w:sz w:val="24"/>
          <w:szCs w:val="24"/>
          <w:highlight w:val="green"/>
          <w14:ligatures w14:val="none"/>
        </w:rPr>
        <w:t>., 31: 60-62.</w:t>
      </w:r>
    </w:p>
    <w:p w14:paraId="323CDC98" w14:textId="77777777" w:rsidR="00B057CF" w:rsidRPr="006056F3" w:rsidRDefault="00B057CF" w:rsidP="008C7125">
      <w:pPr>
        <w:spacing w:line="360" w:lineRule="auto"/>
        <w:ind w:left="709" w:hanging="709"/>
        <w:contextualSpacing/>
        <w:jc w:val="both"/>
        <w:rPr>
          <w:rFonts w:ascii="Times New Roman" w:eastAsia="Calibri" w:hAnsi="Times New Roman" w:cs="Times New Roman"/>
          <w:i/>
          <w:kern w:val="0"/>
          <w:sz w:val="24"/>
          <w:szCs w:val="24"/>
          <w:highlight w:val="green"/>
          <w14:ligatures w14:val="none"/>
        </w:rPr>
      </w:pPr>
      <w:r w:rsidRPr="006056F3">
        <w:rPr>
          <w:rFonts w:ascii="Times New Roman" w:eastAsia="Calibri" w:hAnsi="Times New Roman" w:cs="Times New Roman"/>
          <w:i/>
          <w:iCs/>
          <w:kern w:val="0"/>
          <w:sz w:val="24"/>
          <w:szCs w:val="24"/>
          <w:highlight w:val="green"/>
          <w14:ligatures w14:val="none"/>
        </w:rPr>
        <w:t>Distribution</w:t>
      </w:r>
      <w:r w:rsidRPr="006056F3">
        <w:rPr>
          <w:rFonts w:ascii="Times New Roman" w:eastAsia="Calibri" w:hAnsi="Times New Roman" w:cs="Times New Roman"/>
          <w:kern w:val="0"/>
          <w:sz w:val="24"/>
          <w:szCs w:val="24"/>
          <w:highlight w:val="green"/>
          <w14:ligatures w14:val="none"/>
        </w:rPr>
        <w:t xml:space="preserve">: India: </w:t>
      </w:r>
      <w:r w:rsidR="00B21A63" w:rsidRPr="006056F3">
        <w:rPr>
          <w:rFonts w:ascii="Times New Roman" w:eastAsia="Calibri" w:hAnsi="Times New Roman" w:cs="Times New Roman"/>
          <w:kern w:val="0"/>
          <w:sz w:val="24"/>
          <w:szCs w:val="24"/>
          <w:highlight w:val="green"/>
          <w14:ligatures w14:val="none"/>
        </w:rPr>
        <w:t xml:space="preserve">Bihar, </w:t>
      </w:r>
      <w:r w:rsidRPr="006056F3">
        <w:rPr>
          <w:rFonts w:ascii="Times New Roman" w:eastAsia="Calibri" w:hAnsi="Times New Roman" w:cs="Times New Roman"/>
          <w:kern w:val="0"/>
          <w:sz w:val="24"/>
          <w:szCs w:val="24"/>
          <w:highlight w:val="green"/>
          <w14:ligatures w14:val="none"/>
        </w:rPr>
        <w:t>Himachal Pradesh, Kerala, Maharashtra, Odisha, Telangana, Tripura, Uttarpradesh, Uttarakhand, Punjab</w:t>
      </w:r>
    </w:p>
    <w:p w14:paraId="63E771C8" w14:textId="77777777" w:rsidR="007D2EE2" w:rsidRPr="006056F3" w:rsidRDefault="007D2EE2" w:rsidP="007D2EE2">
      <w:pPr>
        <w:pStyle w:val="ListParagraph"/>
        <w:numPr>
          <w:ilvl w:val="0"/>
          <w:numId w:val="8"/>
        </w:numPr>
        <w:spacing w:line="360" w:lineRule="auto"/>
        <w:ind w:left="426"/>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i/>
          <w:kern w:val="0"/>
          <w:sz w:val="24"/>
          <w:szCs w:val="24"/>
          <w:highlight w:val="green"/>
          <w14:ligatures w14:val="none"/>
        </w:rPr>
        <w:t xml:space="preserve">Euglypha simplex </w:t>
      </w:r>
      <w:r w:rsidRPr="006056F3">
        <w:rPr>
          <w:rFonts w:ascii="Times New Roman" w:eastAsia="Calibri" w:hAnsi="Times New Roman" w:cs="Times New Roman"/>
          <w:kern w:val="0"/>
          <w:sz w:val="24"/>
          <w:szCs w:val="24"/>
          <w:highlight w:val="green"/>
          <w14:ligatures w14:val="none"/>
        </w:rPr>
        <w:t>Decloitre, 1965</w:t>
      </w:r>
    </w:p>
    <w:p w14:paraId="4104F932" w14:textId="77777777" w:rsidR="007D2EE2" w:rsidRPr="006056F3" w:rsidRDefault="007D2EE2" w:rsidP="007D2EE2">
      <w:pPr>
        <w:spacing w:line="360" w:lineRule="auto"/>
        <w:contextualSpacing/>
        <w:jc w:val="both"/>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kern w:val="0"/>
          <w:sz w:val="24"/>
          <w:szCs w:val="24"/>
          <w:highlight w:val="green"/>
          <w14:ligatures w14:val="none"/>
        </w:rPr>
        <w:t xml:space="preserve">1965. </w:t>
      </w:r>
      <w:r w:rsidRPr="006056F3">
        <w:rPr>
          <w:rFonts w:ascii="Times New Roman" w:eastAsia="Calibri" w:hAnsi="Times New Roman" w:cs="Times New Roman"/>
          <w:i/>
          <w:iCs/>
          <w:kern w:val="0"/>
          <w:sz w:val="24"/>
          <w:szCs w:val="24"/>
          <w:highlight w:val="green"/>
          <w14:ligatures w14:val="none"/>
        </w:rPr>
        <w:t>Euglypha simplex</w:t>
      </w:r>
      <w:r w:rsidRPr="006056F3">
        <w:rPr>
          <w:rFonts w:ascii="Times New Roman" w:eastAsia="Calibri" w:hAnsi="Times New Roman" w:cs="Times New Roman"/>
          <w:kern w:val="0"/>
          <w:sz w:val="24"/>
          <w:szCs w:val="24"/>
          <w:highlight w:val="green"/>
          <w14:ligatures w14:val="none"/>
        </w:rPr>
        <w:t xml:space="preserve"> Decloitre, </w:t>
      </w:r>
      <w:r w:rsidRPr="006056F3">
        <w:rPr>
          <w:rFonts w:ascii="Times New Roman" w:eastAsia="Calibri" w:hAnsi="Times New Roman" w:cs="Times New Roman"/>
          <w:i/>
          <w:iCs/>
          <w:kern w:val="0"/>
          <w:sz w:val="24"/>
          <w:szCs w:val="24"/>
          <w:highlight w:val="green"/>
          <w14:ligatures w14:val="none"/>
        </w:rPr>
        <w:t xml:space="preserve">Bull. </w:t>
      </w:r>
      <w:r w:rsidRPr="006056F3">
        <w:rPr>
          <w:rFonts w:ascii="Times New Roman" w:eastAsia="Calibri" w:hAnsi="Times New Roman" w:cs="Times New Roman"/>
          <w:i/>
          <w:iCs/>
          <w:kern w:val="0"/>
          <w:sz w:val="24"/>
          <w:szCs w:val="24"/>
          <w:highlight w:val="green"/>
          <w:lang w:val="it-IT"/>
          <w14:ligatures w14:val="none"/>
        </w:rPr>
        <w:t xml:space="preserve">De la societe des sci. </w:t>
      </w:r>
      <w:r w:rsidRPr="006056F3">
        <w:rPr>
          <w:rFonts w:ascii="Times New Roman" w:eastAsia="Calibri" w:hAnsi="Times New Roman" w:cs="Times New Roman"/>
          <w:i/>
          <w:iCs/>
          <w:kern w:val="0"/>
          <w:sz w:val="24"/>
          <w:szCs w:val="24"/>
          <w:highlight w:val="green"/>
          <w14:ligatures w14:val="none"/>
        </w:rPr>
        <w:t>Nat. et. Phy. Du Maroc</w:t>
      </w:r>
      <w:r w:rsidRPr="006056F3">
        <w:rPr>
          <w:rFonts w:ascii="Times New Roman" w:eastAsia="Calibri" w:hAnsi="Times New Roman" w:cs="Times New Roman"/>
          <w:kern w:val="0"/>
          <w:sz w:val="24"/>
          <w:szCs w:val="24"/>
          <w:highlight w:val="green"/>
          <w14:ligatures w14:val="none"/>
        </w:rPr>
        <w:t>, 45: 17-28.</w:t>
      </w:r>
    </w:p>
    <w:p w14:paraId="76D8D072" w14:textId="77777777" w:rsidR="008D22D0" w:rsidRPr="006056F3" w:rsidRDefault="008D22D0" w:rsidP="008D22D0">
      <w:pPr>
        <w:spacing w:line="360" w:lineRule="auto"/>
        <w:contextualSpacing/>
        <w:jc w:val="both"/>
        <w:rPr>
          <w:rFonts w:ascii="Times New Roman" w:eastAsia="Calibri" w:hAnsi="Times New Roman" w:cs="Times New Roman"/>
          <w:i/>
          <w:kern w:val="0"/>
          <w:sz w:val="24"/>
          <w:szCs w:val="24"/>
          <w:highlight w:val="green"/>
          <w14:ligatures w14:val="none"/>
        </w:rPr>
      </w:pPr>
      <w:proofErr w:type="gramStart"/>
      <w:r w:rsidRPr="006056F3">
        <w:rPr>
          <w:rFonts w:ascii="Times New Roman" w:eastAsia="Calibri" w:hAnsi="Times New Roman" w:cs="Times New Roman"/>
          <w:i/>
          <w:iCs/>
          <w:kern w:val="0"/>
          <w:sz w:val="24"/>
          <w:szCs w:val="24"/>
          <w:highlight w:val="green"/>
          <w14:ligatures w14:val="none"/>
        </w:rPr>
        <w:t>Distribution</w:t>
      </w:r>
      <w:r w:rsidRPr="006056F3">
        <w:rPr>
          <w:rFonts w:ascii="Times New Roman" w:eastAsia="Calibri" w:hAnsi="Times New Roman" w:cs="Times New Roman"/>
          <w:kern w:val="0"/>
          <w:sz w:val="24"/>
          <w:szCs w:val="24"/>
          <w:highlight w:val="green"/>
          <w14:ligatures w14:val="none"/>
        </w:rPr>
        <w:t xml:space="preserve"> :</w:t>
      </w:r>
      <w:proofErr w:type="gramEnd"/>
      <w:r w:rsidRPr="006056F3">
        <w:rPr>
          <w:rFonts w:ascii="Times New Roman" w:eastAsia="Calibri" w:hAnsi="Times New Roman" w:cs="Times New Roman"/>
          <w:kern w:val="0"/>
          <w:sz w:val="24"/>
          <w:szCs w:val="24"/>
          <w:highlight w:val="green"/>
          <w14:ligatures w14:val="none"/>
        </w:rPr>
        <w:t xml:space="preserve"> India: Bihar, Himachal Pradesh, Kerala</w:t>
      </w:r>
    </w:p>
    <w:p w14:paraId="76C1AB15" w14:textId="77777777" w:rsidR="00254186" w:rsidRPr="006056F3" w:rsidRDefault="00254186" w:rsidP="0092677D">
      <w:pPr>
        <w:jc w:val="both"/>
        <w:rPr>
          <w:rFonts w:ascii="Times New Roman" w:hAnsi="Times New Roman" w:cs="Times New Roman"/>
          <w:sz w:val="24"/>
          <w:szCs w:val="24"/>
          <w:highlight w:val="green"/>
        </w:rPr>
      </w:pPr>
    </w:p>
    <w:p w14:paraId="7ECD46A0" w14:textId="77777777" w:rsidR="0092677D" w:rsidRPr="006056F3" w:rsidRDefault="0092677D" w:rsidP="0092677D">
      <w:pPr>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Family Trinematidae Adl et al., 2012</w:t>
      </w:r>
    </w:p>
    <w:p w14:paraId="241B6E06" w14:textId="77777777" w:rsidR="0092677D" w:rsidRPr="006056F3" w:rsidRDefault="0092677D" w:rsidP="008C7125">
      <w:pPr>
        <w:pStyle w:val="ListParagraph"/>
        <w:numPr>
          <w:ilvl w:val="0"/>
          <w:numId w:val="8"/>
        </w:numPr>
        <w:ind w:left="284"/>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Trinema enchelys</w:t>
      </w:r>
      <w:r w:rsidRPr="006056F3">
        <w:rPr>
          <w:rFonts w:ascii="Times New Roman" w:hAnsi="Times New Roman" w:cs="Times New Roman"/>
          <w:sz w:val="24"/>
          <w:szCs w:val="24"/>
          <w:highlight w:val="green"/>
        </w:rPr>
        <w:t xml:space="preserve"> (Ehrenberg, 1838) </w:t>
      </w:r>
    </w:p>
    <w:p w14:paraId="4B58A66F" w14:textId="77777777" w:rsidR="009C795C" w:rsidRPr="006056F3" w:rsidRDefault="009C795C" w:rsidP="008C7125">
      <w:pPr>
        <w:pStyle w:val="ListParagraph"/>
        <w:ind w:left="1440" w:hanging="1440"/>
        <w:rPr>
          <w:rFonts w:ascii="Times New Roman" w:hAnsi="Times New Roman" w:cs="Times New Roman"/>
          <w:sz w:val="24"/>
          <w:szCs w:val="24"/>
          <w:highlight w:val="green"/>
        </w:rPr>
      </w:pPr>
      <w:r w:rsidRPr="006056F3">
        <w:rPr>
          <w:rFonts w:ascii="Times New Roman" w:hAnsi="Times New Roman" w:cs="Times New Roman"/>
          <w:sz w:val="24"/>
          <w:szCs w:val="24"/>
          <w:highlight w:val="green"/>
        </w:rPr>
        <w:lastRenderedPageBreak/>
        <w:t xml:space="preserve">1890. </w:t>
      </w:r>
      <w:r w:rsidRPr="006056F3">
        <w:rPr>
          <w:rFonts w:ascii="Times New Roman" w:hAnsi="Times New Roman" w:cs="Times New Roman"/>
          <w:i/>
          <w:iCs/>
          <w:sz w:val="24"/>
          <w:szCs w:val="24"/>
          <w:highlight w:val="green"/>
        </w:rPr>
        <w:t>Trinema lineare</w:t>
      </w:r>
      <w:r w:rsidRPr="006056F3">
        <w:rPr>
          <w:rFonts w:ascii="Times New Roman" w:hAnsi="Times New Roman" w:cs="Times New Roman"/>
          <w:sz w:val="24"/>
          <w:szCs w:val="24"/>
          <w:highlight w:val="green"/>
        </w:rPr>
        <w:t xml:space="preserve"> Penard, </w:t>
      </w:r>
      <w:r w:rsidRPr="006056F3">
        <w:rPr>
          <w:rFonts w:ascii="Times New Roman" w:hAnsi="Times New Roman" w:cs="Times New Roman"/>
          <w:i/>
          <w:iCs/>
          <w:sz w:val="24"/>
          <w:szCs w:val="24"/>
          <w:highlight w:val="green"/>
        </w:rPr>
        <w:t>Mem. Soc. Geneve</w:t>
      </w:r>
      <w:r w:rsidRPr="006056F3">
        <w:rPr>
          <w:rFonts w:ascii="Times New Roman" w:hAnsi="Times New Roman" w:cs="Times New Roman"/>
          <w:sz w:val="24"/>
          <w:szCs w:val="24"/>
          <w:highlight w:val="green"/>
        </w:rPr>
        <w:t xml:space="preserve">, 31: 187, pl. 11. Figs. 5-17. </w:t>
      </w:r>
    </w:p>
    <w:p w14:paraId="22F5CA64" w14:textId="77777777" w:rsidR="009C795C" w:rsidRPr="006056F3" w:rsidRDefault="009C795C" w:rsidP="008C7125">
      <w:pPr>
        <w:pStyle w:val="ListParagraph"/>
        <w:ind w:left="1440" w:hanging="1440"/>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1915. </w:t>
      </w:r>
      <w:r w:rsidRPr="006056F3">
        <w:rPr>
          <w:rFonts w:ascii="Times New Roman" w:hAnsi="Times New Roman" w:cs="Times New Roman"/>
          <w:i/>
          <w:iCs/>
          <w:sz w:val="24"/>
          <w:szCs w:val="24"/>
          <w:highlight w:val="green"/>
        </w:rPr>
        <w:t>Trinema lineare</w:t>
      </w:r>
      <w:r w:rsidRPr="006056F3">
        <w:rPr>
          <w:rFonts w:ascii="Times New Roman" w:hAnsi="Times New Roman" w:cs="Times New Roman"/>
          <w:sz w:val="24"/>
          <w:szCs w:val="24"/>
          <w:highlight w:val="green"/>
        </w:rPr>
        <w:t xml:space="preserve"> Cash, Wailes and Hopkinson, </w:t>
      </w:r>
      <w:r w:rsidRPr="006056F3">
        <w:rPr>
          <w:rFonts w:ascii="Times New Roman" w:hAnsi="Times New Roman" w:cs="Times New Roman"/>
          <w:i/>
          <w:iCs/>
          <w:sz w:val="24"/>
          <w:szCs w:val="24"/>
          <w:highlight w:val="green"/>
        </w:rPr>
        <w:t>Ray. Soc. Publ. London</w:t>
      </w:r>
      <w:r w:rsidRPr="006056F3">
        <w:rPr>
          <w:rFonts w:ascii="Times New Roman" w:hAnsi="Times New Roman" w:cs="Times New Roman"/>
          <w:sz w:val="24"/>
          <w:szCs w:val="24"/>
          <w:highlight w:val="green"/>
        </w:rPr>
        <w:t>, 3: 91, pl. 47, figs. 11-21.</w:t>
      </w:r>
    </w:p>
    <w:p w14:paraId="4A621E8B" w14:textId="77777777" w:rsidR="00F1381C" w:rsidRPr="006056F3" w:rsidRDefault="009C795C" w:rsidP="008C7125">
      <w:pPr>
        <w:pStyle w:val="ListParagraph"/>
        <w:ind w:hanging="72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Distribution:</w:t>
      </w:r>
      <w:r w:rsidR="00A547AF" w:rsidRPr="006056F3">
        <w:rPr>
          <w:rFonts w:ascii="Times New Roman" w:hAnsi="Times New Roman" w:cs="Times New Roman"/>
          <w:sz w:val="24"/>
          <w:szCs w:val="24"/>
          <w:highlight w:val="green"/>
        </w:rPr>
        <w:t xml:space="preserve"> </w:t>
      </w:r>
      <w:r w:rsidRPr="006056F3">
        <w:rPr>
          <w:rFonts w:ascii="Times New Roman" w:hAnsi="Times New Roman" w:cs="Times New Roman"/>
          <w:sz w:val="24"/>
          <w:szCs w:val="24"/>
          <w:highlight w:val="green"/>
        </w:rPr>
        <w:t>India: Andhra Pradesh,</w:t>
      </w:r>
      <w:r w:rsidR="00C500AF" w:rsidRPr="006056F3">
        <w:rPr>
          <w:rFonts w:ascii="Times New Roman" w:hAnsi="Times New Roman" w:cs="Times New Roman"/>
          <w:sz w:val="24"/>
          <w:szCs w:val="24"/>
          <w:highlight w:val="green"/>
        </w:rPr>
        <w:t xml:space="preserve"> </w:t>
      </w:r>
      <w:r w:rsidRPr="006056F3">
        <w:rPr>
          <w:rFonts w:ascii="Times New Roman" w:hAnsi="Times New Roman" w:cs="Times New Roman"/>
          <w:sz w:val="24"/>
          <w:szCs w:val="24"/>
          <w:highlight w:val="green"/>
        </w:rPr>
        <w:t xml:space="preserve">Assam, </w:t>
      </w:r>
      <w:r w:rsidR="00C500AF" w:rsidRPr="006056F3">
        <w:rPr>
          <w:rFonts w:ascii="Times New Roman" w:hAnsi="Times New Roman" w:cs="Times New Roman"/>
          <w:sz w:val="24"/>
          <w:szCs w:val="24"/>
          <w:highlight w:val="green"/>
        </w:rPr>
        <w:t xml:space="preserve">Bihar, </w:t>
      </w:r>
      <w:r w:rsidRPr="006056F3">
        <w:rPr>
          <w:rFonts w:ascii="Times New Roman" w:hAnsi="Times New Roman" w:cs="Times New Roman"/>
          <w:sz w:val="24"/>
          <w:szCs w:val="24"/>
          <w:highlight w:val="green"/>
        </w:rPr>
        <w:t xml:space="preserve">Himachal Pradesh, Kerala, Maharashtra, </w:t>
      </w:r>
      <w:proofErr w:type="gramStart"/>
      <w:r w:rsidRPr="006056F3">
        <w:rPr>
          <w:rFonts w:ascii="Times New Roman" w:hAnsi="Times New Roman" w:cs="Times New Roman"/>
          <w:sz w:val="24"/>
          <w:szCs w:val="24"/>
          <w:highlight w:val="green"/>
        </w:rPr>
        <w:t>Odisha,Sikkim</w:t>
      </w:r>
      <w:proofErr w:type="gramEnd"/>
      <w:r w:rsidRPr="006056F3">
        <w:rPr>
          <w:rFonts w:ascii="Times New Roman" w:hAnsi="Times New Roman" w:cs="Times New Roman"/>
          <w:sz w:val="24"/>
          <w:szCs w:val="24"/>
          <w:highlight w:val="green"/>
        </w:rPr>
        <w:t>, West Bengal</w:t>
      </w:r>
    </w:p>
    <w:p w14:paraId="313A8786" w14:textId="77777777" w:rsidR="00C20F68" w:rsidRPr="006056F3" w:rsidRDefault="00C20F68" w:rsidP="008C7125">
      <w:pPr>
        <w:pStyle w:val="ListParagraph"/>
        <w:ind w:hanging="720"/>
        <w:jc w:val="both"/>
        <w:rPr>
          <w:rFonts w:ascii="Times New Roman" w:hAnsi="Times New Roman" w:cs="Times New Roman"/>
          <w:sz w:val="24"/>
          <w:szCs w:val="24"/>
          <w:highlight w:val="green"/>
        </w:rPr>
      </w:pPr>
    </w:p>
    <w:p w14:paraId="2D6DEF08" w14:textId="77777777" w:rsidR="0092677D" w:rsidRPr="006056F3" w:rsidRDefault="0092677D" w:rsidP="008C7125">
      <w:pPr>
        <w:pStyle w:val="ListParagraph"/>
        <w:numPr>
          <w:ilvl w:val="0"/>
          <w:numId w:val="8"/>
        </w:numPr>
        <w:ind w:left="426" w:hanging="426"/>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Trinema lineare</w:t>
      </w:r>
      <w:r w:rsidRPr="006056F3">
        <w:rPr>
          <w:rFonts w:ascii="Times New Roman" w:hAnsi="Times New Roman" w:cs="Times New Roman"/>
          <w:sz w:val="24"/>
          <w:szCs w:val="24"/>
          <w:highlight w:val="green"/>
        </w:rPr>
        <w:t xml:space="preserve"> Penard, 1890  </w:t>
      </w:r>
    </w:p>
    <w:p w14:paraId="6D77C717" w14:textId="77777777" w:rsidR="00FA7FB0" w:rsidRPr="006056F3" w:rsidRDefault="00FA7FB0" w:rsidP="00FA7FB0">
      <w:pPr>
        <w:pStyle w:val="ListParagraph"/>
        <w:rPr>
          <w:rFonts w:ascii="Times New Roman" w:hAnsi="Times New Roman" w:cs="Times New Roman"/>
          <w:sz w:val="24"/>
          <w:szCs w:val="24"/>
          <w:highlight w:val="green"/>
        </w:rPr>
      </w:pPr>
    </w:p>
    <w:p w14:paraId="271DBE9C" w14:textId="77777777" w:rsidR="00FA7FB0" w:rsidRPr="006056F3" w:rsidRDefault="00FA7FB0" w:rsidP="00FA7FB0">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1890. </w:t>
      </w:r>
      <w:r w:rsidRPr="006056F3">
        <w:rPr>
          <w:rFonts w:ascii="Times New Roman" w:hAnsi="Times New Roman" w:cs="Times New Roman"/>
          <w:i/>
          <w:iCs/>
          <w:sz w:val="24"/>
          <w:szCs w:val="24"/>
          <w:highlight w:val="green"/>
        </w:rPr>
        <w:t>Trinema lineare</w:t>
      </w:r>
      <w:r w:rsidRPr="006056F3">
        <w:rPr>
          <w:rFonts w:ascii="Times New Roman" w:hAnsi="Times New Roman" w:cs="Times New Roman"/>
          <w:sz w:val="24"/>
          <w:szCs w:val="24"/>
          <w:highlight w:val="green"/>
        </w:rPr>
        <w:t xml:space="preserve"> Penard, </w:t>
      </w:r>
      <w:r w:rsidRPr="006056F3">
        <w:rPr>
          <w:rFonts w:ascii="Times New Roman" w:hAnsi="Times New Roman" w:cs="Times New Roman"/>
          <w:i/>
          <w:iCs/>
          <w:sz w:val="24"/>
          <w:szCs w:val="24"/>
          <w:highlight w:val="green"/>
        </w:rPr>
        <w:t>Mem. Soc. Geneve</w:t>
      </w:r>
      <w:r w:rsidRPr="006056F3">
        <w:rPr>
          <w:rFonts w:ascii="Times New Roman" w:hAnsi="Times New Roman" w:cs="Times New Roman"/>
          <w:sz w:val="24"/>
          <w:szCs w:val="24"/>
          <w:highlight w:val="green"/>
        </w:rPr>
        <w:t xml:space="preserve">, 31: 187, pl. 11. Figs. 5-17. </w:t>
      </w:r>
    </w:p>
    <w:p w14:paraId="3B2626E3" w14:textId="77777777" w:rsidR="00FA7FB0" w:rsidRPr="006056F3" w:rsidRDefault="00FA7FB0" w:rsidP="00FA7FB0">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sz w:val="24"/>
          <w:szCs w:val="24"/>
          <w:highlight w:val="green"/>
        </w:rPr>
        <w:t xml:space="preserve">1915. </w:t>
      </w:r>
      <w:r w:rsidRPr="006056F3">
        <w:rPr>
          <w:rFonts w:ascii="Times New Roman" w:hAnsi="Times New Roman" w:cs="Times New Roman"/>
          <w:i/>
          <w:iCs/>
          <w:sz w:val="24"/>
          <w:szCs w:val="24"/>
          <w:highlight w:val="green"/>
        </w:rPr>
        <w:t>Trinema lineare</w:t>
      </w:r>
      <w:r w:rsidRPr="006056F3">
        <w:rPr>
          <w:rFonts w:ascii="Times New Roman" w:hAnsi="Times New Roman" w:cs="Times New Roman"/>
          <w:sz w:val="24"/>
          <w:szCs w:val="24"/>
          <w:highlight w:val="green"/>
        </w:rPr>
        <w:t xml:space="preserve"> Cash, Wailes and Hopkinson, </w:t>
      </w:r>
      <w:r w:rsidRPr="006056F3">
        <w:rPr>
          <w:rFonts w:ascii="Times New Roman" w:hAnsi="Times New Roman" w:cs="Times New Roman"/>
          <w:i/>
          <w:iCs/>
          <w:sz w:val="24"/>
          <w:szCs w:val="24"/>
          <w:highlight w:val="green"/>
        </w:rPr>
        <w:t>Ray. Soc. Publ. London</w:t>
      </w:r>
      <w:r w:rsidRPr="006056F3">
        <w:rPr>
          <w:rFonts w:ascii="Times New Roman" w:hAnsi="Times New Roman" w:cs="Times New Roman"/>
          <w:sz w:val="24"/>
          <w:szCs w:val="24"/>
          <w:highlight w:val="green"/>
        </w:rPr>
        <w:t>, 3: 91, pl. 47, figs. 11-21.</w:t>
      </w:r>
    </w:p>
    <w:p w14:paraId="41AE9F7E" w14:textId="77777777" w:rsidR="00FA7FB0" w:rsidRPr="006056F3" w:rsidRDefault="00FA7FB0" w:rsidP="00FA7FB0">
      <w:pPr>
        <w:pStyle w:val="ListParagraph"/>
        <w:spacing w:line="360" w:lineRule="auto"/>
        <w:ind w:left="0"/>
        <w:jc w:val="both"/>
        <w:rPr>
          <w:rFonts w:ascii="Times New Roman" w:hAnsi="Times New Roman" w:cs="Times New Roman"/>
          <w:sz w:val="24"/>
          <w:szCs w:val="24"/>
          <w:highlight w:val="green"/>
        </w:rPr>
      </w:pPr>
      <w:r w:rsidRPr="006056F3">
        <w:rPr>
          <w:rFonts w:ascii="Times New Roman" w:hAnsi="Times New Roman" w:cs="Times New Roman"/>
          <w:i/>
          <w:iCs/>
          <w:sz w:val="24"/>
          <w:szCs w:val="24"/>
          <w:highlight w:val="green"/>
        </w:rPr>
        <w:t>Distribution</w:t>
      </w:r>
      <w:r w:rsidRPr="006056F3">
        <w:rPr>
          <w:rFonts w:ascii="Times New Roman" w:hAnsi="Times New Roman" w:cs="Times New Roman"/>
          <w:sz w:val="24"/>
          <w:szCs w:val="24"/>
          <w:highlight w:val="green"/>
        </w:rPr>
        <w:t xml:space="preserve">: India: Andhra Pradesh, Arunachal Pradesh, Assam, </w:t>
      </w:r>
      <w:r w:rsidR="00A547AF" w:rsidRPr="006056F3">
        <w:rPr>
          <w:rFonts w:ascii="Times New Roman" w:hAnsi="Times New Roman" w:cs="Times New Roman"/>
          <w:sz w:val="24"/>
          <w:szCs w:val="24"/>
          <w:highlight w:val="green"/>
        </w:rPr>
        <w:t xml:space="preserve">Bihar, </w:t>
      </w:r>
      <w:r w:rsidRPr="006056F3">
        <w:rPr>
          <w:rFonts w:ascii="Times New Roman" w:hAnsi="Times New Roman" w:cs="Times New Roman"/>
          <w:sz w:val="24"/>
          <w:szCs w:val="24"/>
          <w:highlight w:val="green"/>
        </w:rPr>
        <w:t>Himachal Pradesh, Manipur, Meghalaya, Mizoram, Nagaland, Odisha, Tripura, Uttarpradesh, Uttarakhand, Chandigarh, Punjab</w:t>
      </w:r>
    </w:p>
    <w:p w14:paraId="6329741F" w14:textId="77777777" w:rsidR="00B5639B" w:rsidRPr="006056F3" w:rsidRDefault="00B5639B" w:rsidP="008C7125">
      <w:pPr>
        <w:pStyle w:val="ListParagraph"/>
        <w:numPr>
          <w:ilvl w:val="0"/>
          <w:numId w:val="8"/>
        </w:numPr>
        <w:spacing w:line="360" w:lineRule="auto"/>
        <w:ind w:left="284"/>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i/>
          <w:kern w:val="0"/>
          <w:sz w:val="24"/>
          <w:szCs w:val="24"/>
          <w:highlight w:val="green"/>
          <w14:ligatures w14:val="none"/>
        </w:rPr>
        <w:t>Trinema complanatum</w:t>
      </w:r>
      <w:r w:rsidRPr="006056F3">
        <w:rPr>
          <w:rFonts w:ascii="Times New Roman" w:eastAsia="Calibri" w:hAnsi="Times New Roman" w:cs="Times New Roman"/>
          <w:kern w:val="0"/>
          <w:sz w:val="24"/>
          <w:szCs w:val="24"/>
          <w:highlight w:val="green"/>
          <w14:ligatures w14:val="none"/>
        </w:rPr>
        <w:t xml:space="preserve"> Penard, 1890</w:t>
      </w:r>
    </w:p>
    <w:p w14:paraId="4858B0D0" w14:textId="77777777" w:rsidR="00B5639B" w:rsidRPr="006056F3" w:rsidRDefault="00B5639B" w:rsidP="00B5639B">
      <w:pPr>
        <w:spacing w:line="360" w:lineRule="auto"/>
        <w:contextualSpacing/>
        <w:jc w:val="both"/>
        <w:rPr>
          <w:rFonts w:ascii="Times New Roman" w:eastAsia="Calibri" w:hAnsi="Times New Roman" w:cs="Times New Roman"/>
          <w:kern w:val="0"/>
          <w:sz w:val="24"/>
          <w:szCs w:val="24"/>
          <w:highlight w:val="green"/>
          <w14:ligatures w14:val="none"/>
        </w:rPr>
      </w:pPr>
      <w:r w:rsidRPr="006056F3">
        <w:rPr>
          <w:rFonts w:ascii="Times New Roman" w:eastAsia="Calibri" w:hAnsi="Times New Roman" w:cs="Times New Roman"/>
          <w:kern w:val="0"/>
          <w:sz w:val="24"/>
          <w:szCs w:val="24"/>
          <w:highlight w:val="green"/>
          <w14:ligatures w14:val="none"/>
        </w:rPr>
        <w:t xml:space="preserve">1890. </w:t>
      </w:r>
      <w:r w:rsidRPr="006056F3">
        <w:rPr>
          <w:rFonts w:ascii="Times New Roman" w:eastAsia="Calibri" w:hAnsi="Times New Roman" w:cs="Times New Roman"/>
          <w:i/>
          <w:iCs/>
          <w:kern w:val="0"/>
          <w:sz w:val="24"/>
          <w:szCs w:val="24"/>
          <w:highlight w:val="green"/>
          <w14:ligatures w14:val="none"/>
        </w:rPr>
        <w:t>Trinema complanatum</w:t>
      </w:r>
      <w:r w:rsidRPr="006056F3">
        <w:rPr>
          <w:rFonts w:ascii="Times New Roman" w:eastAsia="Calibri" w:hAnsi="Times New Roman" w:cs="Times New Roman"/>
          <w:kern w:val="0"/>
          <w:sz w:val="24"/>
          <w:szCs w:val="24"/>
          <w:highlight w:val="green"/>
          <w14:ligatures w14:val="none"/>
        </w:rPr>
        <w:t xml:space="preserve"> Penard, </w:t>
      </w:r>
      <w:r w:rsidRPr="006056F3">
        <w:rPr>
          <w:rFonts w:ascii="Times New Roman" w:eastAsia="Calibri" w:hAnsi="Times New Roman" w:cs="Times New Roman"/>
          <w:i/>
          <w:iCs/>
          <w:kern w:val="0"/>
          <w:sz w:val="24"/>
          <w:szCs w:val="24"/>
          <w:highlight w:val="green"/>
          <w14:ligatures w14:val="none"/>
        </w:rPr>
        <w:t>Mem. Soc. Geneve</w:t>
      </w:r>
      <w:r w:rsidRPr="006056F3">
        <w:rPr>
          <w:rFonts w:ascii="Times New Roman" w:eastAsia="Calibri" w:hAnsi="Times New Roman" w:cs="Times New Roman"/>
          <w:kern w:val="0"/>
          <w:sz w:val="24"/>
          <w:szCs w:val="24"/>
          <w:highlight w:val="green"/>
          <w14:ligatures w14:val="none"/>
        </w:rPr>
        <w:t>, 31: 187, pl.10, figs. 1-4.</w:t>
      </w:r>
    </w:p>
    <w:p w14:paraId="0D83F674" w14:textId="77777777" w:rsidR="00B5639B" w:rsidRPr="00335620" w:rsidRDefault="00B5639B" w:rsidP="00B5639B">
      <w:pPr>
        <w:spacing w:line="360" w:lineRule="auto"/>
        <w:contextualSpacing/>
        <w:jc w:val="both"/>
        <w:rPr>
          <w:rFonts w:ascii="Times New Roman" w:eastAsia="Calibri" w:hAnsi="Times New Roman" w:cs="Times New Roman"/>
          <w:kern w:val="0"/>
          <w:sz w:val="24"/>
          <w:szCs w:val="24"/>
          <w14:ligatures w14:val="none"/>
        </w:rPr>
      </w:pPr>
      <w:r w:rsidRPr="006056F3">
        <w:rPr>
          <w:rFonts w:ascii="Times New Roman" w:eastAsia="Calibri" w:hAnsi="Times New Roman" w:cs="Times New Roman"/>
          <w:i/>
          <w:iCs/>
          <w:kern w:val="0"/>
          <w:sz w:val="24"/>
          <w:szCs w:val="24"/>
          <w:highlight w:val="green"/>
          <w14:ligatures w14:val="none"/>
        </w:rPr>
        <w:t>Distribution</w:t>
      </w:r>
      <w:r w:rsidRPr="006056F3">
        <w:rPr>
          <w:rFonts w:ascii="Times New Roman" w:eastAsia="Calibri" w:hAnsi="Times New Roman" w:cs="Times New Roman"/>
          <w:kern w:val="0"/>
          <w:sz w:val="24"/>
          <w:szCs w:val="24"/>
          <w:highlight w:val="green"/>
          <w14:ligatures w14:val="none"/>
        </w:rPr>
        <w:t xml:space="preserve">: India: Andhra Pradesh, Arunachal Pradesh, </w:t>
      </w:r>
      <w:r w:rsidR="0012691E" w:rsidRPr="006056F3">
        <w:rPr>
          <w:rFonts w:ascii="Times New Roman" w:eastAsia="Calibri" w:hAnsi="Times New Roman" w:cs="Times New Roman"/>
          <w:kern w:val="0"/>
          <w:sz w:val="24"/>
          <w:szCs w:val="24"/>
          <w:highlight w:val="green"/>
          <w14:ligatures w14:val="none"/>
        </w:rPr>
        <w:t xml:space="preserve">Bihar, </w:t>
      </w:r>
      <w:r w:rsidRPr="006056F3">
        <w:rPr>
          <w:rFonts w:ascii="Times New Roman" w:eastAsia="Calibri" w:hAnsi="Times New Roman" w:cs="Times New Roman"/>
          <w:kern w:val="0"/>
          <w:sz w:val="24"/>
          <w:szCs w:val="24"/>
          <w:highlight w:val="green"/>
          <w14:ligatures w14:val="none"/>
        </w:rPr>
        <w:t>Himachal Pradesh, Kerala, Meghalaya, Mizoram, Nagaland, Sikkim, Uttar Pradesh, Uttarakhand, Punjab</w:t>
      </w:r>
    </w:p>
    <w:p w14:paraId="1A928048"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rPr>
          <w:b/>
        </w:rPr>
        <w:t>Ecological context of the recorded assemblage</w:t>
      </w:r>
    </w:p>
    <w:p w14:paraId="01501038"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t xml:space="preserve">The twelve taxa recorded in this pilot survey represent a baseline occurrence dataset for moss microhabitats in Patratu Valley. Several taxa documented here, including </w:t>
      </w:r>
      <w:r>
        <w:rPr>
          <w:i/>
        </w:rPr>
        <w:t>Cyclopyxis eurystoma</w:t>
      </w:r>
      <w:r>
        <w:t xml:space="preserve">, </w:t>
      </w:r>
      <w:r>
        <w:rPr>
          <w:i/>
        </w:rPr>
        <w:t>Euglypha rotunda</w:t>
      </w:r>
      <w:r>
        <w:t xml:space="preserve">, and </w:t>
      </w:r>
      <w:r>
        <w:rPr>
          <w:i/>
        </w:rPr>
        <w:t>Trinema lineare</w:t>
      </w:r>
      <w:r>
        <w:t>, have also been reported from bryophyte-associated assemblages in other regions, indicating that their occurrence in moss habitats is consistent with published ecological observations (Vincke et al., 2004; Mieczan &amp; Adamczuk, 2015; Souto et al., 2021).</w:t>
      </w:r>
    </w:p>
    <w:p w14:paraId="778AE173"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The present species count should not be interpreted as a complete estimate of local richness because sampling was limited to a single pilot survey and the study did not quantify abundance or environmental gradients. In northeastern India, testate amoeba assemblages differed between soil and tree-moss microhabitats, with substratum temperature and pH contributing to observed patterns; studies from other moss systems similarly identify moisture and pH as important correlates of community composition (Mieczan &amp; Adamczuk, 2015; Purushothaman et al., 2019; Souto et al., 2021).</w:t>
      </w:r>
    </w:p>
    <w:p w14:paraId="25F7DFF5" w14:textId="77777777" w:rsidR="00333113" w:rsidRPr="00335620" w:rsidRDefault="00000000">
      <w:pPr>
        <w:spacing w:line="360" w:lineRule="auto"/>
        <w:contextualSpacing/>
        <w:jc w:val="both"/>
        <w:rPr>
          <w:rFonts w:ascii="Times New Roman" w:eastAsia="Calibri" w:hAnsi="Times New Roman" w:cs="Times New Roman"/>
          <w:kern w:val="0"/>
          <w:sz w:val="24"/>
          <w:szCs w:val="24"/>
          <w14:ligatures w14:val="none"/>
        </w:rPr>
      </w:pPr>
      <w:r w:rsidRPr="00335620">
        <w:t>The recorded composition is consistent with the ecological breadth reported for moss-dwelling testate amoebae, but the present pilot design cannot test species–environment relationships. Previous studies show that assemblages may vary with substrate type, moisture, temperature, and pH; therefore, the Patratu records are best treated as distributional evidence until replicated environmental measurements are available (Booth &amp; Zygmunt, 2005; Mieczan &amp; Adamczuk, 2015; Purushothaman et al., 2019).</w:t>
      </w:r>
    </w:p>
    <w:p w14:paraId="31577DAA" w14:textId="77777777" w:rsidR="00333113" w:rsidRPr="00335620" w:rsidRDefault="00000000">
      <w:pPr>
        <w:spacing w:line="360" w:lineRule="auto"/>
        <w:contextualSpacing/>
        <w:jc w:val="both"/>
        <w:rPr>
          <w:rFonts w:ascii="Times New Roman" w:eastAsia="Calibri" w:hAnsi="Times New Roman" w:cs="Times New Roman"/>
          <w:kern w:val="0"/>
          <w:sz w:val="24"/>
          <w:szCs w:val="24"/>
          <w14:ligatures w14:val="none"/>
        </w:rPr>
      </w:pPr>
      <w:r>
        <w:lastRenderedPageBreak/>
        <w:t xml:space="preserve">For biomonitoring, this inventory is most useful as a baseline for designing subsequent surveys. Protist indicators are more informative when taxonomy is combined with </w:t>
      </w:r>
      <w:r>
        <w:rPr>
          <w:highlight w:val="yellow"/>
        </w:rPr>
        <w:t>standardised</w:t>
      </w:r>
      <w:r>
        <w:t xml:space="preserve"> sampling, abundance data, and independently measured environmental variables. Seasonal and spatial replication across moss substrates and disturbance gradients would therefore be needed before drawing indicator-based conclusions for Patratu Valley (Mitchell et al., 2008; Payne, 2013; McKeown et al., 2024).</w:t>
      </w:r>
    </w:p>
    <w:p w14:paraId="047CBD6D" w14:textId="77777777" w:rsidR="00325C9E" w:rsidRPr="00335620" w:rsidRDefault="00000000">
      <w:pPr>
        <w:spacing w:line="360" w:lineRule="auto"/>
        <w:contextualSpacing/>
        <w:jc w:val="both"/>
        <w:rPr>
          <w:rFonts w:ascii="Times New Roman" w:eastAsia="Calibri" w:hAnsi="Times New Roman" w:cs="Times New Roman"/>
          <w:kern w:val="0"/>
          <w:sz w:val="24"/>
          <w:szCs w:val="24"/>
          <w14:ligatures w14:val="none"/>
        </w:rPr>
      </w:pPr>
      <w:r>
        <w:t xml:space="preserve">Consequently, the current records are most appropriately interpreted as a preliminary faunal inventory rather than as evidence of ecosystem condition. Reliable bioindicator applications generally require </w:t>
      </w:r>
      <w:r>
        <w:rPr>
          <w:highlight w:val="yellow"/>
        </w:rPr>
        <w:t>standardised</w:t>
      </w:r>
      <w:r>
        <w:t xml:space="preserve"> sampling, replicated observations, and explicit association of community data with environmental variables. Expanded seasonal and spatial sampling in Patratu Valley would therefore provide a stronger basis for evaluating whether testate amoebae can be used in local environmental monitoring (Freitas et al., 2022; Kuuri-Riutta et al., 2022; McKeown et al., 2024).</w:t>
      </w:r>
    </w:p>
    <w:p w14:paraId="407BA9D5" w14:textId="77777777" w:rsidR="0012691E" w:rsidRPr="00335620" w:rsidRDefault="0012691E" w:rsidP="0092677D">
      <w:pPr>
        <w:jc w:val="both"/>
        <w:rPr>
          <w:rFonts w:ascii="Times New Roman" w:hAnsi="Times New Roman" w:cs="Times New Roman"/>
          <w:b/>
          <w:bCs/>
          <w:sz w:val="24"/>
          <w:szCs w:val="24"/>
        </w:rPr>
      </w:pPr>
    </w:p>
    <w:p w14:paraId="632F22CC" w14:textId="77777777" w:rsidR="0092677D" w:rsidRPr="00335620" w:rsidRDefault="0006609E"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 xml:space="preserve">Conclusion </w:t>
      </w:r>
    </w:p>
    <w:p w14:paraId="2256E4D2" w14:textId="77777777" w:rsidR="00EE1893" w:rsidRPr="00335620" w:rsidRDefault="00EE1893" w:rsidP="00EE1893">
      <w:pPr>
        <w:jc w:val="both"/>
        <w:rPr>
          <w:rFonts w:ascii="Times New Roman" w:hAnsi="Times New Roman" w:cs="Times New Roman"/>
          <w:sz w:val="24"/>
          <w:szCs w:val="24"/>
        </w:rPr>
      </w:pPr>
      <w:r>
        <w:rPr>
          <w:highlight w:val="yellow"/>
        </w:rPr>
        <w:t>In the present preliminary study, 12 species of testate amoebae were observed in mosses from Patratu Valley. The study documented assemblages in the sampled moss microhabitats to provide baseline information for more detailed ecological investigations. The exploratory nature of this study indicates the need for site-specific studies to understand variation in community structure as a function of microhabitat conditions, seasonal fluctuations, and anthropogenic disturbance. Additional studies should integrate broader spatial sampling and repeated seasonal surveys with measurements of environmental conditions to determine whether these organisms have the potential to serve as indicators of ecological condition in wetland, forest, and urban habitats.</w:t>
      </w:r>
    </w:p>
    <w:p w14:paraId="7A9517AA" w14:textId="77777777" w:rsidR="005E21B4" w:rsidRDefault="003665E6" w:rsidP="00EE1893">
      <w:pPr>
        <w:jc w:val="both"/>
      </w:pPr>
      <w:r>
        <w:rPr>
          <w:highlight w:val="yellow"/>
        </w:rPr>
        <w:t>Therefore, studies of the diversity of moss-dwelling testate amoebae in Patratu should extend beyond the present survey. Although such a pilot study alone cannot be used to determine ecosystem health or establish the reliability of testate amoebae as bioindicators, it can inform subsequent sampling and support the development of hypotheses about relationships between assemblage composition and environmental conditions. Follow-up studies of this type would expand knowledge of microbial diversity in the valley and aid in determining the potential applications of testate amoebae in environmental monitoring and habitat conservation.</w:t>
      </w:r>
    </w:p>
    <w:p w14:paraId="4BE79800" w14:textId="19C12C40" w:rsidR="00D21FF7" w:rsidRDefault="00D21FF7" w:rsidP="00EE1893">
      <w:pPr>
        <w:jc w:val="both"/>
        <w:rPr>
          <w:rFonts w:ascii="Times New Roman" w:hAnsi="Times New Roman" w:cs="Times New Roman"/>
          <w:b/>
          <w:bCs/>
          <w:sz w:val="24"/>
          <w:szCs w:val="24"/>
        </w:rPr>
      </w:pPr>
      <w:r w:rsidRPr="00D21FF7">
        <w:rPr>
          <w:rFonts w:ascii="Times New Roman" w:hAnsi="Times New Roman" w:cs="Times New Roman"/>
          <w:b/>
          <w:bCs/>
          <w:sz w:val="24"/>
          <w:szCs w:val="24"/>
        </w:rPr>
        <w:t>Limitation</w:t>
      </w:r>
    </w:p>
    <w:p w14:paraId="3646B83F" w14:textId="49B836E8" w:rsidR="00D21FF7" w:rsidRPr="00D21FF7" w:rsidRDefault="00D21FF7" w:rsidP="00EE1893">
      <w:pPr>
        <w:jc w:val="both"/>
        <w:rPr>
          <w:rFonts w:ascii="Times New Roman" w:hAnsi="Times New Roman" w:cs="Times New Roman"/>
          <w:b/>
          <w:bCs/>
          <w:sz w:val="24"/>
          <w:szCs w:val="24"/>
        </w:rPr>
      </w:pPr>
      <w:r>
        <w:t>The study was designed as a single pilot survey and therefore provides only a preliminary inventory of moss-dwelling testate amoebae in the sampled microhabitats. Sampling was not replicated across seasons or a wider spatial gradient, and abundance and environmental variables were not quantified. Consequently, the recorded species richness cannot represent the complete local assemblage, and relationships between species composition and ecological conditions cannot be evaluated from the present dataset. Further replicated sampling with standardised environmental measurements is required for broader ecological interpretation.</w:t>
      </w:r>
    </w:p>
    <w:p w14:paraId="44B9CA9F" w14:textId="77777777" w:rsidR="0092677D" w:rsidRPr="00335620"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COMPETING INTERESTS</w:t>
      </w:r>
    </w:p>
    <w:p w14:paraId="269F04F6" w14:textId="77777777" w:rsidR="0092677D" w:rsidRPr="00335620" w:rsidRDefault="0092677D" w:rsidP="0092677D">
      <w:pPr>
        <w:jc w:val="both"/>
        <w:rPr>
          <w:rFonts w:ascii="Times New Roman" w:hAnsi="Times New Roman" w:cs="Times New Roman"/>
          <w:sz w:val="24"/>
          <w:szCs w:val="24"/>
        </w:rPr>
      </w:pPr>
      <w:r w:rsidRPr="00335620">
        <w:rPr>
          <w:rFonts w:ascii="Times New Roman" w:hAnsi="Times New Roman" w:cs="Times New Roman"/>
          <w:sz w:val="24"/>
          <w:szCs w:val="24"/>
        </w:rPr>
        <w:t>The authors declare that there are no competing interests exist.</w:t>
      </w:r>
    </w:p>
    <w:p w14:paraId="3D8E2AFB" w14:textId="77777777" w:rsidR="00F61CD5" w:rsidRPr="00335620" w:rsidRDefault="00F61CD5" w:rsidP="00F61CD5">
      <w:pPr>
        <w:spacing w:after="0" w:line="240" w:lineRule="auto"/>
        <w:rPr>
          <w:rFonts w:ascii="Times New Roman" w:hAnsi="Times New Roman" w:cs="Times New Roman"/>
          <w:b/>
        </w:rPr>
      </w:pPr>
      <w:r w:rsidRPr="00335620">
        <w:rPr>
          <w:rFonts w:ascii="Times New Roman" w:hAnsi="Times New Roman" w:cs="Times New Roman"/>
          <w:b/>
        </w:rPr>
        <w:t>Declaration of AI Use</w:t>
      </w:r>
    </w:p>
    <w:p w14:paraId="1213C251" w14:textId="77777777" w:rsidR="00F61CD5" w:rsidRPr="00335620" w:rsidRDefault="00F61CD5" w:rsidP="00F61CD5">
      <w:pPr>
        <w:spacing w:after="0" w:line="240" w:lineRule="auto"/>
        <w:rPr>
          <w:rFonts w:ascii="Times New Roman" w:hAnsi="Times New Roman" w:cs="Times New Roman"/>
          <w:b/>
        </w:rPr>
      </w:pPr>
    </w:p>
    <w:p w14:paraId="1B125CD1" w14:textId="77777777" w:rsidR="00F61CD5" w:rsidRPr="00335620" w:rsidRDefault="00F61CD5" w:rsidP="00F61CD5">
      <w:pPr>
        <w:spacing w:after="0" w:line="240" w:lineRule="auto"/>
        <w:rPr>
          <w:rFonts w:ascii="Times New Roman" w:hAnsi="Times New Roman" w:cs="Times New Roman"/>
          <w:b/>
        </w:rPr>
      </w:pPr>
    </w:p>
    <w:p w14:paraId="2A7F8B07" w14:textId="77777777" w:rsidR="00F61CD5" w:rsidRPr="00335620" w:rsidRDefault="00F61CD5" w:rsidP="00F61CD5">
      <w:pPr>
        <w:spacing w:after="0" w:line="240" w:lineRule="auto"/>
        <w:rPr>
          <w:rFonts w:ascii="Times New Roman" w:hAnsi="Times New Roman" w:cs="Times New Roman"/>
          <w:b/>
        </w:rPr>
      </w:pPr>
    </w:p>
    <w:p w14:paraId="7A0561DB" w14:textId="77777777" w:rsidR="00F61CD5" w:rsidRPr="00335620" w:rsidRDefault="00F61CD5" w:rsidP="00F61CD5">
      <w:pPr>
        <w:spacing w:after="0" w:line="240" w:lineRule="auto"/>
        <w:rPr>
          <w:rFonts w:ascii="Arial" w:hAnsi="Arial" w:cs="Arial"/>
          <w:sz w:val="20"/>
          <w:szCs w:val="20"/>
        </w:rPr>
      </w:pPr>
      <w:r w:rsidRPr="00335620">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88185A" w14:textId="77777777" w:rsidR="00F61CD5" w:rsidRPr="00335620" w:rsidRDefault="00F61CD5" w:rsidP="0092677D">
      <w:pPr>
        <w:jc w:val="both"/>
        <w:rPr>
          <w:rFonts w:ascii="Times New Roman" w:hAnsi="Times New Roman" w:cs="Times New Roman"/>
          <w:sz w:val="24"/>
          <w:szCs w:val="24"/>
        </w:rPr>
      </w:pPr>
    </w:p>
    <w:p w14:paraId="6F1B1008" w14:textId="77777777" w:rsidR="0092677D" w:rsidRPr="00335620" w:rsidRDefault="0092677D" w:rsidP="0092677D">
      <w:pPr>
        <w:jc w:val="both"/>
        <w:rPr>
          <w:rFonts w:ascii="Times New Roman" w:hAnsi="Times New Roman" w:cs="Times New Roman"/>
          <w:b/>
          <w:bCs/>
          <w:sz w:val="24"/>
          <w:szCs w:val="24"/>
        </w:rPr>
      </w:pPr>
      <w:r w:rsidRPr="00335620">
        <w:rPr>
          <w:rFonts w:ascii="Times New Roman" w:hAnsi="Times New Roman" w:cs="Times New Roman"/>
          <w:b/>
          <w:bCs/>
          <w:sz w:val="24"/>
          <w:szCs w:val="24"/>
        </w:rPr>
        <w:t>REFERENCES</w:t>
      </w:r>
    </w:p>
    <w:p w14:paraId="22EC3C08"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Adl, S. M., Bass, D., Lane, C. E., Lukeš, J., Schoch, C. L., Smirnov, A., Agatha, S., Berney, C., Brown, M. W., Burki, F., Cárdenas, P., Čepička, I., Chistyakova, L., del Campo, J., Dunthorn, M., Edvardsen, B., Eglit, Y., Guillou, L., Hampl, V., ... Zhang, Q. (2019). Revisions to the classification, nomenclature, and diversity of eukaryotes. </w:t>
      </w:r>
      <w:r w:rsidRPr="00A10D52">
        <w:rPr>
          <w:rFonts w:ascii="Times New Roman" w:eastAsia="Times New Roman" w:hAnsi="Times New Roman" w:cs="Times New Roman"/>
          <w:i/>
          <w:iCs/>
          <w:kern w:val="0"/>
          <w:sz w:val="24"/>
          <w:szCs w:val="24"/>
          <w:lang w:val="en-US"/>
          <w14:ligatures w14:val="none"/>
        </w:rPr>
        <w:t>Journal of Eukaryotic Microbiology, 66</w:t>
      </w:r>
      <w:r w:rsidRPr="00A10D52">
        <w:rPr>
          <w:rFonts w:ascii="Times New Roman" w:eastAsia="Times New Roman" w:hAnsi="Times New Roman" w:cs="Times New Roman"/>
          <w:kern w:val="0"/>
          <w:sz w:val="24"/>
          <w:szCs w:val="24"/>
          <w:lang w:val="en-US"/>
          <w14:ligatures w14:val="none"/>
        </w:rPr>
        <w:t xml:space="preserve">(1), 4–119. </w:t>
      </w:r>
      <w:hyperlink r:id="rId7" w:history="1">
        <w:r w:rsidRPr="00A10D52">
          <w:rPr>
            <w:rFonts w:ascii="Times New Roman" w:eastAsia="Times New Roman" w:hAnsi="Times New Roman" w:cs="Times New Roman"/>
            <w:color w:val="0000FF"/>
            <w:kern w:val="0"/>
            <w:sz w:val="24"/>
            <w:szCs w:val="24"/>
            <w:u w:val="single"/>
            <w:lang w:val="en-US"/>
            <w14:ligatures w14:val="none"/>
          </w:rPr>
          <w:t>https://doi.org/10.1111/jeu.12691</w:t>
        </w:r>
      </w:hyperlink>
    </w:p>
    <w:p w14:paraId="5BC7BDEB"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Adl, S. M., Simpson, A. G. B., Lane, C. E., Lukeš, J., Bass, D., Bowser, S. S., Brown, M. W., Burki, F., Dunthorn, M., Hampl, V., Heiss, A., Hoppenrath, M., Lara, E., Le Gall, L., Lynn, D. H., McManus, H., Mitchell, E. A. D., Mozley-Stanridge, S. E., Parfrey, L. W., ... Spiegel, F. W. (2012). The revised classification of eukaryotes. </w:t>
      </w:r>
      <w:r w:rsidRPr="00A10D52">
        <w:rPr>
          <w:rFonts w:ascii="Times New Roman" w:eastAsia="Times New Roman" w:hAnsi="Times New Roman" w:cs="Times New Roman"/>
          <w:i/>
          <w:iCs/>
          <w:kern w:val="0"/>
          <w:sz w:val="24"/>
          <w:szCs w:val="24"/>
          <w:lang w:val="en-US"/>
          <w14:ligatures w14:val="none"/>
        </w:rPr>
        <w:t>Journal of Eukaryotic Microbiology, 59</w:t>
      </w:r>
      <w:r w:rsidRPr="00A10D52">
        <w:rPr>
          <w:rFonts w:ascii="Times New Roman" w:eastAsia="Times New Roman" w:hAnsi="Times New Roman" w:cs="Times New Roman"/>
          <w:kern w:val="0"/>
          <w:sz w:val="24"/>
          <w:szCs w:val="24"/>
          <w:lang w:val="en-US"/>
          <w14:ligatures w14:val="none"/>
        </w:rPr>
        <w:t xml:space="preserve">(5), 429–493. </w:t>
      </w:r>
      <w:hyperlink r:id="rId8" w:history="1">
        <w:r w:rsidRPr="00A10D52">
          <w:rPr>
            <w:rFonts w:ascii="Times New Roman" w:eastAsia="Times New Roman" w:hAnsi="Times New Roman" w:cs="Times New Roman"/>
            <w:color w:val="0000FF"/>
            <w:kern w:val="0"/>
            <w:sz w:val="24"/>
            <w:szCs w:val="24"/>
            <w:u w:val="single"/>
            <w:lang w:val="en-US"/>
            <w14:ligatures w14:val="none"/>
          </w:rPr>
          <w:t>https://doi.org/10.1111/j.1550-7408.2012.00644.x</w:t>
        </w:r>
      </w:hyperlink>
    </w:p>
    <w:p w14:paraId="18CDD75C"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Bindu, L., Purushothaman, J., Ambili, A., &amp; Chaudhary, A. (2024). </w:t>
      </w:r>
      <w:r w:rsidRPr="00A10D52">
        <w:rPr>
          <w:rFonts w:ascii="Times New Roman" w:eastAsia="Times New Roman" w:hAnsi="Times New Roman" w:cs="Times New Roman"/>
          <w:i/>
          <w:iCs/>
          <w:kern w:val="0"/>
          <w:sz w:val="24"/>
          <w:szCs w:val="24"/>
          <w:lang w:val="en-US"/>
          <w14:ligatures w14:val="none"/>
        </w:rPr>
        <w:t>Checklist of fauna of India: Testate Amoeba (Protozoa: Tubulinea; Cercozoa; Stramenopiles)</w:t>
      </w:r>
      <w:r w:rsidRPr="00A10D52">
        <w:rPr>
          <w:rFonts w:ascii="Times New Roman" w:eastAsia="Times New Roman" w:hAnsi="Times New Roman" w:cs="Times New Roman"/>
          <w:kern w:val="0"/>
          <w:sz w:val="24"/>
          <w:szCs w:val="24"/>
          <w:lang w:val="en-US"/>
          <w14:ligatures w14:val="none"/>
        </w:rPr>
        <w:t xml:space="preserve"> (Version 1.0). Zoological Survey of India. </w:t>
      </w:r>
      <w:hyperlink r:id="rId9" w:history="1">
        <w:r w:rsidRPr="00A10D52">
          <w:rPr>
            <w:rFonts w:ascii="Times New Roman" w:eastAsia="Times New Roman" w:hAnsi="Times New Roman" w:cs="Times New Roman"/>
            <w:color w:val="0000FF"/>
            <w:kern w:val="0"/>
            <w:sz w:val="24"/>
            <w:szCs w:val="24"/>
            <w:u w:val="single"/>
            <w:lang w:val="en-US"/>
            <w14:ligatures w14:val="none"/>
          </w:rPr>
          <w:t>https://doi.org/10.26515/Fauna/1/2023/Protista</w:t>
        </w:r>
      </w:hyperlink>
      <w:hyperlink r:id="rId10" w:history="1">
        <w:r w:rsidRPr="00A10D52">
          <w:rPr>
            <w:rFonts w:ascii="Times New Roman" w:eastAsia="Times New Roman" w:hAnsi="Times New Roman" w:cs="Times New Roman"/>
            <w:color w:val="0000FF"/>
            <w:kern w:val="0"/>
            <w:sz w:val="24"/>
            <w:szCs w:val="24"/>
            <w:u w:val="single"/>
            <w:lang w:val="en-US"/>
            <w14:ligatures w14:val="none"/>
          </w:rPr>
          <w:t>;Cercozoa;Stramenopiles</w:t>
        </w:r>
      </w:hyperlink>
    </w:p>
    <w:p w14:paraId="2BCBA8FC"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Booth, R. K., &amp; Zygmunt, J. R. (2005). Biogeography and comparative ecology of testate amoebae inhabiting </w:t>
      </w:r>
      <w:r w:rsidRPr="00A10D52">
        <w:rPr>
          <w:rFonts w:ascii="Times New Roman" w:eastAsia="Times New Roman" w:hAnsi="Times New Roman" w:cs="Times New Roman"/>
          <w:i/>
          <w:iCs/>
          <w:kern w:val="0"/>
          <w:sz w:val="24"/>
          <w:szCs w:val="24"/>
          <w:lang w:val="en-US"/>
          <w14:ligatures w14:val="none"/>
        </w:rPr>
        <w:t>Sphagnum</w:t>
      </w:r>
      <w:r w:rsidRPr="00A10D52">
        <w:rPr>
          <w:rFonts w:ascii="Times New Roman" w:eastAsia="Times New Roman" w:hAnsi="Times New Roman" w:cs="Times New Roman"/>
          <w:kern w:val="0"/>
          <w:sz w:val="24"/>
          <w:szCs w:val="24"/>
          <w:lang w:val="en-US"/>
          <w14:ligatures w14:val="none"/>
        </w:rPr>
        <w:t xml:space="preserve">-dominated peatlands in the Great Lakes and Rocky Mountain regions of North America. </w:t>
      </w:r>
      <w:r w:rsidRPr="00A10D52">
        <w:rPr>
          <w:rFonts w:ascii="Times New Roman" w:eastAsia="Times New Roman" w:hAnsi="Times New Roman" w:cs="Times New Roman"/>
          <w:i/>
          <w:iCs/>
          <w:kern w:val="0"/>
          <w:sz w:val="24"/>
          <w:szCs w:val="24"/>
          <w:lang w:val="en-US"/>
          <w14:ligatures w14:val="none"/>
        </w:rPr>
        <w:t>Diversity and Distributions, 11</w:t>
      </w:r>
      <w:r w:rsidRPr="00A10D52">
        <w:rPr>
          <w:rFonts w:ascii="Times New Roman" w:eastAsia="Times New Roman" w:hAnsi="Times New Roman" w:cs="Times New Roman"/>
          <w:kern w:val="0"/>
          <w:sz w:val="24"/>
          <w:szCs w:val="24"/>
          <w:lang w:val="en-US"/>
          <w14:ligatures w14:val="none"/>
        </w:rPr>
        <w:t xml:space="preserve">(6), 577–590. </w:t>
      </w:r>
      <w:hyperlink r:id="rId11" w:history="1">
        <w:r w:rsidRPr="00A10D52">
          <w:rPr>
            <w:rFonts w:ascii="Times New Roman" w:eastAsia="Times New Roman" w:hAnsi="Times New Roman" w:cs="Times New Roman"/>
            <w:color w:val="0000FF"/>
            <w:kern w:val="0"/>
            <w:sz w:val="24"/>
            <w:szCs w:val="24"/>
            <w:u w:val="single"/>
            <w:lang w:val="en-US"/>
            <w14:ligatures w14:val="none"/>
          </w:rPr>
          <w:t>https://doi.org/10.1111/j.1366-9516.2005.00154.x</w:t>
        </w:r>
      </w:hyperlink>
    </w:p>
    <w:p w14:paraId="3F1E86BE"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Charman, D. J. (1997). Modelling hydrological relationships of testate amoebae (Protozoa: Rhizopoda) on New Zealand peatlands. </w:t>
      </w:r>
      <w:r w:rsidRPr="00A10D52">
        <w:rPr>
          <w:rFonts w:ascii="Times New Roman" w:eastAsia="Times New Roman" w:hAnsi="Times New Roman" w:cs="Times New Roman"/>
          <w:i/>
          <w:iCs/>
          <w:kern w:val="0"/>
          <w:sz w:val="24"/>
          <w:szCs w:val="24"/>
          <w:lang w:val="en-US"/>
          <w14:ligatures w14:val="none"/>
        </w:rPr>
        <w:t>Journal of the Royal Society of New Zealand, 27</w:t>
      </w:r>
      <w:r w:rsidRPr="00A10D52">
        <w:rPr>
          <w:rFonts w:ascii="Times New Roman" w:eastAsia="Times New Roman" w:hAnsi="Times New Roman" w:cs="Times New Roman"/>
          <w:kern w:val="0"/>
          <w:sz w:val="24"/>
          <w:szCs w:val="24"/>
          <w:lang w:val="en-US"/>
          <w14:ligatures w14:val="none"/>
        </w:rPr>
        <w:t xml:space="preserve">(4), 465–483. </w:t>
      </w:r>
      <w:hyperlink r:id="rId12" w:history="1">
        <w:r w:rsidRPr="00A10D52">
          <w:rPr>
            <w:rFonts w:ascii="Times New Roman" w:eastAsia="Times New Roman" w:hAnsi="Times New Roman" w:cs="Times New Roman"/>
            <w:color w:val="0000FF"/>
            <w:kern w:val="0"/>
            <w:sz w:val="24"/>
            <w:szCs w:val="24"/>
            <w:u w:val="single"/>
            <w:lang w:val="en-US"/>
            <w14:ligatures w14:val="none"/>
          </w:rPr>
          <w:t>https://doi.org/10.1080/03014223.1997.9517549</w:t>
        </w:r>
      </w:hyperlink>
    </w:p>
    <w:p w14:paraId="1123ED89"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Evans, C. R. C., Hatton, D. A., &amp; Swindles, G. T. (2025). Testate amoebae are informative bioindicators of critically high ammonia deposition on peatlands. </w:t>
      </w:r>
      <w:r w:rsidRPr="00A10D52">
        <w:rPr>
          <w:rFonts w:ascii="Times New Roman" w:eastAsia="Times New Roman" w:hAnsi="Times New Roman" w:cs="Times New Roman"/>
          <w:i/>
          <w:iCs/>
          <w:kern w:val="0"/>
          <w:sz w:val="24"/>
          <w:szCs w:val="24"/>
          <w:lang w:val="en-US"/>
          <w14:ligatures w14:val="none"/>
        </w:rPr>
        <w:t>European Journal of Protistology, 99</w:t>
      </w:r>
      <w:r w:rsidRPr="00A10D52">
        <w:rPr>
          <w:rFonts w:ascii="Times New Roman" w:eastAsia="Times New Roman" w:hAnsi="Times New Roman" w:cs="Times New Roman"/>
          <w:kern w:val="0"/>
          <w:sz w:val="24"/>
          <w:szCs w:val="24"/>
          <w:lang w:val="en-US"/>
          <w14:ligatures w14:val="none"/>
        </w:rPr>
        <w:t xml:space="preserve">, 126147. </w:t>
      </w:r>
      <w:hyperlink r:id="rId13" w:history="1">
        <w:r w:rsidRPr="00A10D52">
          <w:rPr>
            <w:rFonts w:ascii="Times New Roman" w:eastAsia="Times New Roman" w:hAnsi="Times New Roman" w:cs="Times New Roman"/>
            <w:color w:val="0000FF"/>
            <w:kern w:val="0"/>
            <w:sz w:val="24"/>
            <w:szCs w:val="24"/>
            <w:u w:val="single"/>
            <w:lang w:val="en-US"/>
            <w14:ligatures w14:val="none"/>
          </w:rPr>
          <w:t>https://doi.org/10.1016/j.ejop.2025.126147</w:t>
        </w:r>
      </w:hyperlink>
    </w:p>
    <w:p w14:paraId="2A5C5153" w14:textId="6F1E0C89"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Foissner, W. (1992). Estimating the species richness of soil protozoa using the “non-flooded petri dish method.” In J. J. Lee &amp; A. T. Soldo (Eds.), </w:t>
      </w:r>
      <w:r w:rsidRPr="00A10D52">
        <w:rPr>
          <w:rFonts w:ascii="Times New Roman" w:eastAsia="Times New Roman" w:hAnsi="Times New Roman" w:cs="Times New Roman"/>
          <w:i/>
          <w:iCs/>
          <w:kern w:val="0"/>
          <w:sz w:val="24"/>
          <w:szCs w:val="24"/>
          <w:lang w:val="en-US"/>
          <w14:ligatures w14:val="none"/>
        </w:rPr>
        <w:t>Protocols in protozoology</w:t>
      </w:r>
      <w:r w:rsidRPr="00A10D52">
        <w:rPr>
          <w:rFonts w:ascii="Times New Roman" w:eastAsia="Times New Roman" w:hAnsi="Times New Roman" w:cs="Times New Roman"/>
          <w:kern w:val="0"/>
          <w:sz w:val="24"/>
          <w:szCs w:val="24"/>
          <w:lang w:val="en-US"/>
          <w14:ligatures w14:val="none"/>
        </w:rPr>
        <w:t xml:space="preserve"> (pp. B-10.1–B-10.2). Society of Protozoologists. </w:t>
      </w:r>
    </w:p>
    <w:p w14:paraId="32A8AB9A"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Freitas, Y. de G. C., Ramos, B. R. D., Silva, Y. G., Sampaio, G. S., Nascimento, L. da S., Castelo Branco, C. W., &amp; Miranda, V. B. dos S. (2022). Testate amoebae: A review on their multiple uses as bioindicators. </w:t>
      </w:r>
      <w:r w:rsidRPr="00A10D52">
        <w:rPr>
          <w:rFonts w:ascii="Times New Roman" w:eastAsia="Times New Roman" w:hAnsi="Times New Roman" w:cs="Times New Roman"/>
          <w:i/>
          <w:iCs/>
          <w:kern w:val="0"/>
          <w:sz w:val="24"/>
          <w:szCs w:val="24"/>
          <w:lang w:val="en-US"/>
          <w14:ligatures w14:val="none"/>
        </w:rPr>
        <w:t>Acta Protozoologica, 61</w:t>
      </w:r>
      <w:r w:rsidRPr="00A10D52">
        <w:rPr>
          <w:rFonts w:ascii="Times New Roman" w:eastAsia="Times New Roman" w:hAnsi="Times New Roman" w:cs="Times New Roman"/>
          <w:kern w:val="0"/>
          <w:sz w:val="24"/>
          <w:szCs w:val="24"/>
          <w:lang w:val="en-US"/>
          <w14:ligatures w14:val="none"/>
        </w:rPr>
        <w:t xml:space="preserve">, 1–21. </w:t>
      </w:r>
      <w:hyperlink r:id="rId14" w:history="1">
        <w:r w:rsidRPr="00A10D52">
          <w:rPr>
            <w:rFonts w:ascii="Times New Roman" w:eastAsia="Times New Roman" w:hAnsi="Times New Roman" w:cs="Times New Roman"/>
            <w:color w:val="0000FF"/>
            <w:kern w:val="0"/>
            <w:sz w:val="24"/>
            <w:szCs w:val="24"/>
            <w:u w:val="single"/>
            <w:lang w:val="en-US"/>
            <w14:ligatures w14:val="none"/>
          </w:rPr>
          <w:t>https://doi.org/10.4467/16890027AP.22.001.15671</w:t>
        </w:r>
      </w:hyperlink>
    </w:p>
    <w:p w14:paraId="0BCC139B"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lastRenderedPageBreak/>
        <w:t xml:space="preserve">Kuuri-Riutta, O., Väliranta, M., &amp; Tuittila, E.-S. (2022). Literature review on testate amoebae as environmental indicators and as a functional part of the microbial community in northern peatlands. </w:t>
      </w:r>
      <w:r w:rsidRPr="00A10D52">
        <w:rPr>
          <w:rFonts w:ascii="Times New Roman" w:eastAsia="Times New Roman" w:hAnsi="Times New Roman" w:cs="Times New Roman"/>
          <w:i/>
          <w:iCs/>
          <w:kern w:val="0"/>
          <w:sz w:val="24"/>
          <w:szCs w:val="24"/>
          <w:lang w:val="en-US"/>
          <w14:ligatures w14:val="none"/>
        </w:rPr>
        <w:t>Mires and Peat, 28</w:t>
      </w:r>
      <w:r w:rsidRPr="00A10D52">
        <w:rPr>
          <w:rFonts w:ascii="Times New Roman" w:eastAsia="Times New Roman" w:hAnsi="Times New Roman" w:cs="Times New Roman"/>
          <w:kern w:val="0"/>
          <w:sz w:val="24"/>
          <w:szCs w:val="24"/>
          <w:lang w:val="en-US"/>
          <w14:ligatures w14:val="none"/>
        </w:rPr>
        <w:t xml:space="preserve">, Article 28. </w:t>
      </w:r>
      <w:hyperlink r:id="rId15" w:history="1">
        <w:r w:rsidRPr="00A10D52">
          <w:rPr>
            <w:rFonts w:ascii="Times New Roman" w:eastAsia="Times New Roman" w:hAnsi="Times New Roman" w:cs="Times New Roman"/>
            <w:color w:val="0000FF"/>
            <w:kern w:val="0"/>
            <w:sz w:val="24"/>
            <w:szCs w:val="24"/>
            <w:u w:val="single"/>
            <w:lang w:val="en-US"/>
            <w14:ligatures w14:val="none"/>
          </w:rPr>
          <w:t>https://doi.org/10.19189/MaP.2022.OMB.StA.2412</w:t>
        </w:r>
      </w:hyperlink>
    </w:p>
    <w:p w14:paraId="2F18E0ED"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nl-BE"/>
          <w14:ligatures w14:val="none"/>
        </w:rPr>
        <w:t xml:space="preserve">Kumar, V. M. S., Bindu, L., &amp; Kumar, P. (2025). </w:t>
      </w:r>
      <w:r w:rsidRPr="00A10D52">
        <w:rPr>
          <w:rFonts w:ascii="Times New Roman" w:eastAsia="Times New Roman" w:hAnsi="Times New Roman" w:cs="Times New Roman"/>
          <w:kern w:val="0"/>
          <w:sz w:val="24"/>
          <w:szCs w:val="24"/>
          <w:lang w:val="en-US"/>
          <w14:ligatures w14:val="none"/>
        </w:rPr>
        <w:t xml:space="preserve">First record of moss-inhabiting testate amoebae from Jharkhand with notes on their ecological roles. </w:t>
      </w:r>
      <w:r w:rsidRPr="00A10D52">
        <w:rPr>
          <w:rFonts w:ascii="Times New Roman" w:eastAsia="Times New Roman" w:hAnsi="Times New Roman" w:cs="Times New Roman"/>
          <w:i/>
          <w:iCs/>
          <w:kern w:val="0"/>
          <w:sz w:val="24"/>
          <w:szCs w:val="24"/>
          <w:lang w:val="en-US"/>
          <w14:ligatures w14:val="none"/>
        </w:rPr>
        <w:t>Asian Journal of Biology, 21</w:t>
      </w:r>
      <w:r w:rsidRPr="00A10D52">
        <w:rPr>
          <w:rFonts w:ascii="Times New Roman" w:eastAsia="Times New Roman" w:hAnsi="Times New Roman" w:cs="Times New Roman"/>
          <w:kern w:val="0"/>
          <w:sz w:val="24"/>
          <w:szCs w:val="24"/>
          <w:lang w:val="en-US"/>
          <w14:ligatures w14:val="none"/>
        </w:rPr>
        <w:t xml:space="preserve">(8), 48–53. </w:t>
      </w:r>
      <w:hyperlink r:id="rId16" w:history="1">
        <w:r w:rsidRPr="00A10D52">
          <w:rPr>
            <w:rFonts w:ascii="Times New Roman" w:eastAsia="Times New Roman" w:hAnsi="Times New Roman" w:cs="Times New Roman"/>
            <w:color w:val="0000FF"/>
            <w:kern w:val="0"/>
            <w:sz w:val="24"/>
            <w:szCs w:val="24"/>
            <w:u w:val="single"/>
            <w:lang w:val="en-US"/>
            <w14:ligatures w14:val="none"/>
          </w:rPr>
          <w:t>https://doi.org/10.9734/ajob/2025/v21i8541</w:t>
        </w:r>
      </w:hyperlink>
    </w:p>
    <w:p w14:paraId="68799FBD"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nl-BE"/>
          <w14:ligatures w14:val="none"/>
        </w:rPr>
        <w:t xml:space="preserve">Kumar, V. M. S., &amp; Bindu, L. (2026). </w:t>
      </w:r>
      <w:r w:rsidRPr="00A10D52">
        <w:rPr>
          <w:rFonts w:ascii="Times New Roman" w:eastAsia="Times New Roman" w:hAnsi="Times New Roman" w:cs="Times New Roman"/>
          <w:kern w:val="0"/>
          <w:sz w:val="24"/>
          <w:szCs w:val="24"/>
          <w:lang w:val="en-US"/>
          <w14:ligatures w14:val="none"/>
        </w:rPr>
        <w:t xml:space="preserve">Diversity of moss-dwelling testate amoebae from Kaimur Wildlife Sanctuary, Bihar, India: A preliminary survey. </w:t>
      </w:r>
      <w:r w:rsidRPr="00A10D52">
        <w:rPr>
          <w:rFonts w:ascii="Times New Roman" w:eastAsia="Times New Roman" w:hAnsi="Times New Roman" w:cs="Times New Roman"/>
          <w:i/>
          <w:iCs/>
          <w:kern w:val="0"/>
          <w:sz w:val="24"/>
          <w:szCs w:val="24"/>
          <w:lang w:val="en-US"/>
          <w14:ligatures w14:val="none"/>
        </w:rPr>
        <w:t>Journal of Basic and Applied Research International, 32</w:t>
      </w:r>
      <w:r w:rsidRPr="00A10D52">
        <w:rPr>
          <w:rFonts w:ascii="Times New Roman" w:eastAsia="Times New Roman" w:hAnsi="Times New Roman" w:cs="Times New Roman"/>
          <w:kern w:val="0"/>
          <w:sz w:val="24"/>
          <w:szCs w:val="24"/>
          <w:lang w:val="en-US"/>
          <w14:ligatures w14:val="none"/>
        </w:rPr>
        <w:t xml:space="preserve">(2), 26–33. </w:t>
      </w:r>
      <w:hyperlink r:id="rId17" w:history="1">
        <w:r w:rsidRPr="00A10D52">
          <w:rPr>
            <w:rFonts w:ascii="Times New Roman" w:eastAsia="Times New Roman" w:hAnsi="Times New Roman" w:cs="Times New Roman"/>
            <w:color w:val="0000FF"/>
            <w:kern w:val="0"/>
            <w:sz w:val="24"/>
            <w:szCs w:val="24"/>
            <w:u w:val="single"/>
            <w:lang w:val="en-US"/>
            <w14:ligatures w14:val="none"/>
          </w:rPr>
          <w:t>https://doi.org/10.56557/jobari/2026/v32i210398</w:t>
        </w:r>
      </w:hyperlink>
    </w:p>
    <w:p w14:paraId="1CF205FB"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Liu, B., Heinemeyer, A., Marchant, R., &amp; Mills, R. T. E. (2024). Exploring optimal sampling strategy of testate amoebae as hydrological bioindicators in UK upland peatlands. </w:t>
      </w:r>
      <w:r w:rsidRPr="00A10D52">
        <w:rPr>
          <w:rFonts w:ascii="Times New Roman" w:eastAsia="Times New Roman" w:hAnsi="Times New Roman" w:cs="Times New Roman"/>
          <w:i/>
          <w:iCs/>
          <w:kern w:val="0"/>
          <w:sz w:val="24"/>
          <w:szCs w:val="24"/>
          <w:lang w:val="en-US"/>
          <w14:ligatures w14:val="none"/>
        </w:rPr>
        <w:t>Journal of Environmental Management, 370</w:t>
      </w:r>
      <w:r w:rsidRPr="00A10D52">
        <w:rPr>
          <w:rFonts w:ascii="Times New Roman" w:eastAsia="Times New Roman" w:hAnsi="Times New Roman" w:cs="Times New Roman"/>
          <w:kern w:val="0"/>
          <w:sz w:val="24"/>
          <w:szCs w:val="24"/>
          <w:lang w:val="en-US"/>
          <w14:ligatures w14:val="none"/>
        </w:rPr>
        <w:t xml:space="preserve">, 122959. </w:t>
      </w:r>
      <w:hyperlink r:id="rId18" w:history="1">
        <w:r w:rsidRPr="00A10D52">
          <w:rPr>
            <w:rFonts w:ascii="Times New Roman" w:eastAsia="Times New Roman" w:hAnsi="Times New Roman" w:cs="Times New Roman"/>
            <w:color w:val="0000FF"/>
            <w:kern w:val="0"/>
            <w:sz w:val="24"/>
            <w:szCs w:val="24"/>
            <w:u w:val="single"/>
            <w:lang w:val="en-US"/>
            <w14:ligatures w14:val="none"/>
          </w:rPr>
          <w:t>https://doi.org/10.1016/j.jenvman.2024.122959</w:t>
        </w:r>
      </w:hyperlink>
    </w:p>
    <w:p w14:paraId="0BDC2C61"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Liu, B., Heinemeyer, A., Marchant, R., &amp; Mills, R. T. E. (2025). Exploring testate amoebae as taxonomic and functional bioindicators to inform peatland habitat status and blanket bog restoration. </w:t>
      </w:r>
      <w:r w:rsidRPr="00A10D52">
        <w:rPr>
          <w:rFonts w:ascii="Times New Roman" w:eastAsia="Times New Roman" w:hAnsi="Times New Roman" w:cs="Times New Roman"/>
          <w:i/>
          <w:iCs/>
          <w:kern w:val="0"/>
          <w:sz w:val="24"/>
          <w:szCs w:val="24"/>
          <w:lang w:val="en-US"/>
          <w14:ligatures w14:val="none"/>
        </w:rPr>
        <w:t>Soil Biology and Biochemistry, 206</w:t>
      </w:r>
      <w:r w:rsidRPr="00A10D52">
        <w:rPr>
          <w:rFonts w:ascii="Times New Roman" w:eastAsia="Times New Roman" w:hAnsi="Times New Roman" w:cs="Times New Roman"/>
          <w:kern w:val="0"/>
          <w:sz w:val="24"/>
          <w:szCs w:val="24"/>
          <w:lang w:val="en-US"/>
          <w14:ligatures w14:val="none"/>
        </w:rPr>
        <w:t xml:space="preserve">, 109790. </w:t>
      </w:r>
      <w:hyperlink r:id="rId19" w:history="1">
        <w:r w:rsidRPr="00A10D52">
          <w:rPr>
            <w:rFonts w:ascii="Times New Roman" w:eastAsia="Times New Roman" w:hAnsi="Times New Roman" w:cs="Times New Roman"/>
            <w:color w:val="0000FF"/>
            <w:kern w:val="0"/>
            <w:sz w:val="24"/>
            <w:szCs w:val="24"/>
            <w:u w:val="single"/>
            <w:lang w:val="en-US"/>
            <w14:ligatures w14:val="none"/>
          </w:rPr>
          <w:t>https://doi.org/10.1016/j.soilbio.2025.109790</w:t>
        </w:r>
      </w:hyperlink>
    </w:p>
    <w:p w14:paraId="189F2F93"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nl-BE"/>
          <w14:ligatures w14:val="none"/>
        </w:rPr>
        <w:t xml:space="preserve">Mattheeussen, R., Ledeganck, P., Vincke, S., Van de Vijver, B., Nijs, I., &amp; Beyens, L. (2005). </w:t>
      </w:r>
      <w:r w:rsidRPr="00A10D52">
        <w:rPr>
          <w:rFonts w:ascii="Times New Roman" w:eastAsia="Times New Roman" w:hAnsi="Times New Roman" w:cs="Times New Roman"/>
          <w:kern w:val="0"/>
          <w:sz w:val="24"/>
          <w:szCs w:val="24"/>
          <w:lang w:val="en-US"/>
          <w14:ligatures w14:val="none"/>
        </w:rPr>
        <w:t xml:space="preserve">Habitat selection of aquatic testate amoebae communities on Qeqertarsuaq (Disko Island), West Greenland. </w:t>
      </w:r>
      <w:r w:rsidRPr="00A10D52">
        <w:rPr>
          <w:rFonts w:ascii="Times New Roman" w:eastAsia="Times New Roman" w:hAnsi="Times New Roman" w:cs="Times New Roman"/>
          <w:i/>
          <w:iCs/>
          <w:kern w:val="0"/>
          <w:sz w:val="24"/>
          <w:szCs w:val="24"/>
          <w:lang w:val="en-US"/>
          <w14:ligatures w14:val="none"/>
        </w:rPr>
        <w:t>Acta Protozoologica, 44</w:t>
      </w:r>
      <w:r w:rsidRPr="00A10D52">
        <w:rPr>
          <w:rFonts w:ascii="Times New Roman" w:eastAsia="Times New Roman" w:hAnsi="Times New Roman" w:cs="Times New Roman"/>
          <w:kern w:val="0"/>
          <w:sz w:val="24"/>
          <w:szCs w:val="24"/>
          <w:lang w:val="en-US"/>
          <w14:ligatures w14:val="none"/>
        </w:rPr>
        <w:t xml:space="preserve">(3), 253–263. </w:t>
      </w:r>
      <w:hyperlink r:id="rId20" w:history="1">
        <w:r w:rsidRPr="00A10D52">
          <w:rPr>
            <w:rFonts w:ascii="Times New Roman" w:eastAsia="Times New Roman" w:hAnsi="Times New Roman" w:cs="Times New Roman"/>
            <w:color w:val="0000FF"/>
            <w:kern w:val="0"/>
            <w:sz w:val="24"/>
            <w:szCs w:val="24"/>
            <w:u w:val="single"/>
            <w:lang w:val="en-US"/>
            <w14:ligatures w14:val="none"/>
          </w:rPr>
          <w:t>ResearchGate article page</w:t>
        </w:r>
      </w:hyperlink>
    </w:p>
    <w:p w14:paraId="2DF0E5EE"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McKeown, M. M., Burge, O. R., Richardson, S. J., Wood, J. R., Mitchell, E. A. D., &amp; Wilmshurst, J. M. (2024). Biomonitoring tool for New Zealand peatlands: Testate amoebae and vascular plants as promising bioindicators. </w:t>
      </w:r>
      <w:r w:rsidRPr="00A10D52">
        <w:rPr>
          <w:rFonts w:ascii="Times New Roman" w:eastAsia="Times New Roman" w:hAnsi="Times New Roman" w:cs="Times New Roman"/>
          <w:i/>
          <w:iCs/>
          <w:kern w:val="0"/>
          <w:sz w:val="24"/>
          <w:szCs w:val="24"/>
          <w:lang w:val="en-US"/>
          <w14:ligatures w14:val="none"/>
        </w:rPr>
        <w:t>Journal of Environmental Management, 354</w:t>
      </w:r>
      <w:r w:rsidRPr="00A10D52">
        <w:rPr>
          <w:rFonts w:ascii="Times New Roman" w:eastAsia="Times New Roman" w:hAnsi="Times New Roman" w:cs="Times New Roman"/>
          <w:kern w:val="0"/>
          <w:sz w:val="24"/>
          <w:szCs w:val="24"/>
          <w:lang w:val="en-US"/>
          <w14:ligatures w14:val="none"/>
        </w:rPr>
        <w:t xml:space="preserve">, 120243. </w:t>
      </w:r>
      <w:hyperlink r:id="rId21" w:history="1">
        <w:r w:rsidRPr="00A10D52">
          <w:rPr>
            <w:rFonts w:ascii="Times New Roman" w:eastAsia="Times New Roman" w:hAnsi="Times New Roman" w:cs="Times New Roman"/>
            <w:color w:val="0000FF"/>
            <w:kern w:val="0"/>
            <w:sz w:val="24"/>
            <w:szCs w:val="24"/>
            <w:u w:val="single"/>
            <w:lang w:val="en-US"/>
            <w14:ligatures w14:val="none"/>
          </w:rPr>
          <w:t>https://doi.org/10.1016/j.jenvman.2024.120243</w:t>
        </w:r>
      </w:hyperlink>
    </w:p>
    <w:p w14:paraId="0DB1B8E6"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Mieczan, T., &amp; Adamczuk, M. (2015). Ecology of testate amoebae (Protists) in mosses: Distribution and relation of species assemblages with environmental parameters (King George Island, Antarctica). </w:t>
      </w:r>
      <w:r w:rsidRPr="00A10D52">
        <w:rPr>
          <w:rFonts w:ascii="Times New Roman" w:eastAsia="Times New Roman" w:hAnsi="Times New Roman" w:cs="Times New Roman"/>
          <w:i/>
          <w:iCs/>
          <w:kern w:val="0"/>
          <w:sz w:val="24"/>
          <w:szCs w:val="24"/>
          <w:lang w:val="en-US"/>
          <w14:ligatures w14:val="none"/>
        </w:rPr>
        <w:t>Polar Biology, 38</w:t>
      </w:r>
      <w:r w:rsidRPr="00A10D52">
        <w:rPr>
          <w:rFonts w:ascii="Times New Roman" w:eastAsia="Times New Roman" w:hAnsi="Times New Roman" w:cs="Times New Roman"/>
          <w:kern w:val="0"/>
          <w:sz w:val="24"/>
          <w:szCs w:val="24"/>
          <w:lang w:val="en-US"/>
          <w14:ligatures w14:val="none"/>
        </w:rPr>
        <w:t xml:space="preserve">, 221–230. </w:t>
      </w:r>
      <w:hyperlink r:id="rId22" w:history="1">
        <w:r w:rsidRPr="00A10D52">
          <w:rPr>
            <w:rFonts w:ascii="Times New Roman" w:eastAsia="Times New Roman" w:hAnsi="Times New Roman" w:cs="Times New Roman"/>
            <w:color w:val="0000FF"/>
            <w:kern w:val="0"/>
            <w:sz w:val="24"/>
            <w:szCs w:val="24"/>
            <w:u w:val="single"/>
            <w:lang w:val="en-US"/>
            <w14:ligatures w14:val="none"/>
          </w:rPr>
          <w:t>https://doi.org/10.1007/s00300-014-1580-0</w:t>
        </w:r>
      </w:hyperlink>
    </w:p>
    <w:p w14:paraId="760F166F"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Mitchell, E. A. D., Charman, D. J., &amp; Warner, B. G. (2008). Testate amoebae analysis in ecological and paleoecological studies of wetlands: Past, present and future. </w:t>
      </w:r>
      <w:r w:rsidRPr="00A10D52">
        <w:rPr>
          <w:rFonts w:ascii="Times New Roman" w:eastAsia="Times New Roman" w:hAnsi="Times New Roman" w:cs="Times New Roman"/>
          <w:i/>
          <w:iCs/>
          <w:kern w:val="0"/>
          <w:sz w:val="24"/>
          <w:szCs w:val="24"/>
          <w:lang w:val="en-US"/>
          <w14:ligatures w14:val="none"/>
        </w:rPr>
        <w:t>Biodiversity and Conservation, 17</w:t>
      </w:r>
      <w:r w:rsidRPr="00A10D52">
        <w:rPr>
          <w:rFonts w:ascii="Times New Roman" w:eastAsia="Times New Roman" w:hAnsi="Times New Roman" w:cs="Times New Roman"/>
          <w:kern w:val="0"/>
          <w:sz w:val="24"/>
          <w:szCs w:val="24"/>
          <w:lang w:val="en-US"/>
          <w14:ligatures w14:val="none"/>
        </w:rPr>
        <w:t xml:space="preserve">(9), 2115–2137. </w:t>
      </w:r>
      <w:hyperlink r:id="rId23" w:history="1">
        <w:r w:rsidRPr="00A10D52">
          <w:rPr>
            <w:rFonts w:ascii="Times New Roman" w:eastAsia="Times New Roman" w:hAnsi="Times New Roman" w:cs="Times New Roman"/>
            <w:color w:val="0000FF"/>
            <w:kern w:val="0"/>
            <w:sz w:val="24"/>
            <w:szCs w:val="24"/>
            <w:u w:val="single"/>
            <w:lang w:val="en-US"/>
            <w14:ligatures w14:val="none"/>
          </w:rPr>
          <w:t>https://doi.org/10.1007/s10531-007-9221-3</w:t>
        </w:r>
      </w:hyperlink>
    </w:p>
    <w:p w14:paraId="3BDC9A15"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Nguyen-Viet, H., Bernard, N., Mitchell, E. A. D., Cortet, J., Badot, P.-M., &amp; Gilbert, D. (2007). Relationship between testate amoeba (protist) communities and atmospheric heavy metals accumulated in </w:t>
      </w:r>
      <w:r w:rsidRPr="00A10D52">
        <w:rPr>
          <w:rFonts w:ascii="Times New Roman" w:eastAsia="Times New Roman" w:hAnsi="Times New Roman" w:cs="Times New Roman"/>
          <w:i/>
          <w:iCs/>
          <w:kern w:val="0"/>
          <w:sz w:val="24"/>
          <w:szCs w:val="24"/>
          <w:lang w:val="en-US"/>
          <w14:ligatures w14:val="none"/>
        </w:rPr>
        <w:t>Barbula indica</w:t>
      </w:r>
      <w:r w:rsidRPr="00A10D52">
        <w:rPr>
          <w:rFonts w:ascii="Times New Roman" w:eastAsia="Times New Roman" w:hAnsi="Times New Roman" w:cs="Times New Roman"/>
          <w:kern w:val="0"/>
          <w:sz w:val="24"/>
          <w:szCs w:val="24"/>
          <w:lang w:val="en-US"/>
          <w14:ligatures w14:val="none"/>
        </w:rPr>
        <w:t xml:space="preserve"> (Bryophyta) in Vietnam. </w:t>
      </w:r>
      <w:r w:rsidRPr="00A10D52">
        <w:rPr>
          <w:rFonts w:ascii="Times New Roman" w:eastAsia="Times New Roman" w:hAnsi="Times New Roman" w:cs="Times New Roman"/>
          <w:i/>
          <w:iCs/>
          <w:kern w:val="0"/>
          <w:sz w:val="24"/>
          <w:szCs w:val="24"/>
          <w:lang w:val="en-US"/>
          <w14:ligatures w14:val="none"/>
        </w:rPr>
        <w:t>Microbial Ecology, 53</w:t>
      </w:r>
      <w:r w:rsidRPr="00A10D52">
        <w:rPr>
          <w:rFonts w:ascii="Times New Roman" w:eastAsia="Times New Roman" w:hAnsi="Times New Roman" w:cs="Times New Roman"/>
          <w:kern w:val="0"/>
          <w:sz w:val="24"/>
          <w:szCs w:val="24"/>
          <w:lang w:val="en-US"/>
          <w14:ligatures w14:val="none"/>
        </w:rPr>
        <w:t xml:space="preserve">(1), 53–65. </w:t>
      </w:r>
      <w:hyperlink r:id="rId24" w:history="1">
        <w:r w:rsidRPr="00A10D52">
          <w:rPr>
            <w:rFonts w:ascii="Times New Roman" w:eastAsia="Times New Roman" w:hAnsi="Times New Roman" w:cs="Times New Roman"/>
            <w:color w:val="0000FF"/>
            <w:kern w:val="0"/>
            <w:sz w:val="24"/>
            <w:szCs w:val="24"/>
            <w:u w:val="single"/>
            <w:lang w:val="en-US"/>
            <w14:ligatures w14:val="none"/>
          </w:rPr>
          <w:t>https://doi.org/10.1007/s00248-006-9108-y</w:t>
        </w:r>
      </w:hyperlink>
    </w:p>
    <w:p w14:paraId="190FF7EA"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lastRenderedPageBreak/>
        <w:t xml:space="preserve">Pandey, A. C., &amp; Kumar, A. (2014). Analysing topographical changes in open cast coal-mining region of Patratu, Jharkhand using CARTOSAT-I stereopair satellite images. </w:t>
      </w:r>
      <w:r w:rsidRPr="00A10D52">
        <w:rPr>
          <w:rFonts w:ascii="Times New Roman" w:eastAsia="Times New Roman" w:hAnsi="Times New Roman" w:cs="Times New Roman"/>
          <w:i/>
          <w:iCs/>
          <w:kern w:val="0"/>
          <w:sz w:val="24"/>
          <w:szCs w:val="24"/>
          <w:lang w:val="en-US"/>
          <w14:ligatures w14:val="none"/>
        </w:rPr>
        <w:t>Geocarto International, 29</w:t>
      </w:r>
      <w:r w:rsidRPr="00A10D52">
        <w:rPr>
          <w:rFonts w:ascii="Times New Roman" w:eastAsia="Times New Roman" w:hAnsi="Times New Roman" w:cs="Times New Roman"/>
          <w:kern w:val="0"/>
          <w:sz w:val="24"/>
          <w:szCs w:val="24"/>
          <w:lang w:val="en-US"/>
          <w14:ligatures w14:val="none"/>
        </w:rPr>
        <w:t xml:space="preserve">(7), 731–744. </w:t>
      </w:r>
      <w:hyperlink r:id="rId25" w:history="1">
        <w:r w:rsidRPr="00A10D52">
          <w:rPr>
            <w:rFonts w:ascii="Times New Roman" w:eastAsia="Times New Roman" w:hAnsi="Times New Roman" w:cs="Times New Roman"/>
            <w:color w:val="0000FF"/>
            <w:kern w:val="0"/>
            <w:sz w:val="24"/>
            <w:szCs w:val="24"/>
            <w:u w:val="single"/>
            <w:lang w:val="en-US"/>
            <w14:ligatures w14:val="none"/>
          </w:rPr>
          <w:t>https://doi.org/10.1080/10106049.2013.838309</w:t>
        </w:r>
      </w:hyperlink>
    </w:p>
    <w:p w14:paraId="14A68F26"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Payne, R. J. (2013). Seven reasons why protists make useful bioindicators. </w:t>
      </w:r>
      <w:r w:rsidRPr="00A10D52">
        <w:rPr>
          <w:rFonts w:ascii="Times New Roman" w:eastAsia="Times New Roman" w:hAnsi="Times New Roman" w:cs="Times New Roman"/>
          <w:i/>
          <w:iCs/>
          <w:kern w:val="0"/>
          <w:sz w:val="24"/>
          <w:szCs w:val="24"/>
          <w:lang w:val="en-US"/>
          <w14:ligatures w14:val="none"/>
        </w:rPr>
        <w:t>Acta Protozoologica, 52</w:t>
      </w:r>
      <w:r w:rsidRPr="00A10D52">
        <w:rPr>
          <w:rFonts w:ascii="Times New Roman" w:eastAsia="Times New Roman" w:hAnsi="Times New Roman" w:cs="Times New Roman"/>
          <w:kern w:val="0"/>
          <w:sz w:val="24"/>
          <w:szCs w:val="24"/>
          <w:lang w:val="en-US"/>
          <w14:ligatures w14:val="none"/>
        </w:rPr>
        <w:t xml:space="preserve">(3), 105–113. </w:t>
      </w:r>
      <w:hyperlink r:id="rId26" w:history="1">
        <w:r w:rsidRPr="00A10D52">
          <w:rPr>
            <w:rFonts w:ascii="Times New Roman" w:eastAsia="Times New Roman" w:hAnsi="Times New Roman" w:cs="Times New Roman"/>
            <w:color w:val="0000FF"/>
            <w:kern w:val="0"/>
            <w:sz w:val="24"/>
            <w:szCs w:val="24"/>
            <w:u w:val="single"/>
            <w:lang w:val="en-US"/>
            <w14:ligatures w14:val="none"/>
          </w:rPr>
          <w:t>https://doi.org/10.4467/16890027AP.13.0011.1108</w:t>
        </w:r>
      </w:hyperlink>
    </w:p>
    <w:p w14:paraId="54CE4EB0"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Purushothaman, J., Madhusoodhanan, R., &amp; Chandra, K. (2019). Does microhabitat influence the testate amoebae communities in the Nameri National Park, northeastern India? A tropical forest perspective. </w:t>
      </w:r>
      <w:r w:rsidRPr="00A10D52">
        <w:rPr>
          <w:rFonts w:ascii="Times New Roman" w:eastAsia="Times New Roman" w:hAnsi="Times New Roman" w:cs="Times New Roman"/>
          <w:i/>
          <w:iCs/>
          <w:kern w:val="0"/>
          <w:sz w:val="24"/>
          <w:szCs w:val="24"/>
          <w:lang w:val="en-US"/>
          <w14:ligatures w14:val="none"/>
        </w:rPr>
        <w:t>European Journal of Protistology, 69</w:t>
      </w:r>
      <w:r w:rsidRPr="00A10D52">
        <w:rPr>
          <w:rFonts w:ascii="Times New Roman" w:eastAsia="Times New Roman" w:hAnsi="Times New Roman" w:cs="Times New Roman"/>
          <w:kern w:val="0"/>
          <w:sz w:val="24"/>
          <w:szCs w:val="24"/>
          <w:lang w:val="en-US"/>
          <w14:ligatures w14:val="none"/>
        </w:rPr>
        <w:t xml:space="preserve">, 88–101. </w:t>
      </w:r>
      <w:hyperlink r:id="rId27" w:history="1">
        <w:r w:rsidRPr="00A10D52">
          <w:rPr>
            <w:rFonts w:ascii="Times New Roman" w:eastAsia="Times New Roman" w:hAnsi="Times New Roman" w:cs="Times New Roman"/>
            <w:color w:val="0000FF"/>
            <w:kern w:val="0"/>
            <w:sz w:val="24"/>
            <w:szCs w:val="24"/>
            <w:u w:val="single"/>
            <w:lang w:val="en-US"/>
            <w14:ligatures w14:val="none"/>
          </w:rPr>
          <w:t>https://doi.org/10.1016/j.ejop.2019.03.002</w:t>
        </w:r>
      </w:hyperlink>
    </w:p>
    <w:p w14:paraId="09ADA463" w14:textId="77777777" w:rsidR="00A10D52" w:rsidRPr="00A10D52" w:rsidRDefault="00A10D52"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A10D52">
        <w:rPr>
          <w:rFonts w:ascii="Times New Roman" w:eastAsia="Times New Roman" w:hAnsi="Times New Roman" w:cs="Times New Roman"/>
          <w:kern w:val="0"/>
          <w:sz w:val="24"/>
          <w:szCs w:val="24"/>
          <w:lang w:val="en-US"/>
          <w14:ligatures w14:val="none"/>
        </w:rPr>
        <w:t xml:space="preserve">Souto, M. S., Gonçalves, V., Pontevedra-Pombal, X., &amp; Raposeiro, P. M. (2021). Distribution of testate amoebae in bryophyte communities in São Miguel Island (Azores Archipelago). </w:t>
      </w:r>
      <w:r w:rsidRPr="00A10D52">
        <w:rPr>
          <w:rFonts w:ascii="Times New Roman" w:eastAsia="Times New Roman" w:hAnsi="Times New Roman" w:cs="Times New Roman"/>
          <w:i/>
          <w:iCs/>
          <w:kern w:val="0"/>
          <w:sz w:val="24"/>
          <w:szCs w:val="24"/>
          <w:lang w:val="en-US"/>
          <w14:ligatures w14:val="none"/>
        </w:rPr>
        <w:t>Biodiversity Data Journal, 9</w:t>
      </w:r>
      <w:r w:rsidRPr="00A10D52">
        <w:rPr>
          <w:rFonts w:ascii="Times New Roman" w:eastAsia="Times New Roman" w:hAnsi="Times New Roman" w:cs="Times New Roman"/>
          <w:kern w:val="0"/>
          <w:sz w:val="24"/>
          <w:szCs w:val="24"/>
          <w:lang w:val="en-US"/>
          <w14:ligatures w14:val="none"/>
        </w:rPr>
        <w:t xml:space="preserve">, e63290. </w:t>
      </w:r>
      <w:hyperlink r:id="rId28" w:history="1">
        <w:r w:rsidRPr="00A10D52">
          <w:rPr>
            <w:rFonts w:ascii="Times New Roman" w:eastAsia="Times New Roman" w:hAnsi="Times New Roman" w:cs="Times New Roman"/>
            <w:color w:val="0000FF"/>
            <w:kern w:val="0"/>
            <w:sz w:val="24"/>
            <w:szCs w:val="24"/>
            <w:u w:val="single"/>
            <w:lang w:val="en-US"/>
            <w14:ligatures w14:val="none"/>
          </w:rPr>
          <w:t>https://doi.org/10.3897/BDJ.9.e63290</w:t>
        </w:r>
      </w:hyperlink>
    </w:p>
    <w:p w14:paraId="65881366" w14:textId="77777777" w:rsidR="00A10D52" w:rsidRDefault="00A10D52" w:rsidP="00A10D52">
      <w:pPr>
        <w:spacing w:before="100" w:beforeAutospacing="1" w:after="100" w:afterAutospacing="1" w:line="240" w:lineRule="auto"/>
        <w:ind w:left="540" w:hanging="540"/>
        <w:jc w:val="both"/>
      </w:pPr>
      <w:r w:rsidRPr="00A10D52">
        <w:rPr>
          <w:rFonts w:ascii="Times New Roman" w:eastAsia="Times New Roman" w:hAnsi="Times New Roman" w:cs="Times New Roman"/>
          <w:kern w:val="0"/>
          <w:sz w:val="24"/>
          <w:szCs w:val="24"/>
          <w:lang w:val="nl-BE"/>
          <w14:ligatures w14:val="none"/>
        </w:rPr>
        <w:t xml:space="preserve">Vincke, S., Gremmen, N., Beyens, L., &amp; Van de Vijver, B. (2004). </w:t>
      </w:r>
      <w:r w:rsidRPr="00A10D52">
        <w:rPr>
          <w:rFonts w:ascii="Times New Roman" w:eastAsia="Times New Roman" w:hAnsi="Times New Roman" w:cs="Times New Roman"/>
          <w:kern w:val="0"/>
          <w:sz w:val="24"/>
          <w:szCs w:val="24"/>
          <w:lang w:val="en-US"/>
          <w14:ligatures w14:val="none"/>
        </w:rPr>
        <w:t xml:space="preserve">The moss dwelling testacean fauna of Île de la Possession. </w:t>
      </w:r>
      <w:r w:rsidRPr="00A10D52">
        <w:rPr>
          <w:rFonts w:ascii="Times New Roman" w:eastAsia="Times New Roman" w:hAnsi="Times New Roman" w:cs="Times New Roman"/>
          <w:i/>
          <w:iCs/>
          <w:kern w:val="0"/>
          <w:sz w:val="24"/>
          <w:szCs w:val="24"/>
          <w:lang w:val="en-US"/>
          <w14:ligatures w14:val="none"/>
        </w:rPr>
        <w:t>Polar Biology, 27</w:t>
      </w:r>
      <w:r w:rsidRPr="00A10D52">
        <w:rPr>
          <w:rFonts w:ascii="Times New Roman" w:eastAsia="Times New Roman" w:hAnsi="Times New Roman" w:cs="Times New Roman"/>
          <w:kern w:val="0"/>
          <w:sz w:val="24"/>
          <w:szCs w:val="24"/>
          <w:lang w:val="en-US"/>
          <w14:ligatures w14:val="none"/>
        </w:rPr>
        <w:t xml:space="preserve">(12), 753–766. </w:t>
      </w:r>
      <w:hyperlink r:id="rId29" w:history="1">
        <w:r w:rsidRPr="00A10D52">
          <w:rPr>
            <w:rFonts w:ascii="Times New Roman" w:eastAsia="Times New Roman" w:hAnsi="Times New Roman" w:cs="Times New Roman"/>
            <w:color w:val="0000FF"/>
            <w:kern w:val="0"/>
            <w:sz w:val="24"/>
            <w:szCs w:val="24"/>
            <w:u w:val="single"/>
            <w:lang w:val="en-US"/>
            <w14:ligatures w14:val="none"/>
          </w:rPr>
          <w:t>https://doi.org/10.1007/s00300-004-0655-8</w:t>
        </w:r>
      </w:hyperlink>
    </w:p>
    <w:p w14:paraId="2D9406BB" w14:textId="77777777" w:rsidR="00DB6F17" w:rsidRDefault="00DB6F17" w:rsidP="00A10D52">
      <w:pPr>
        <w:spacing w:before="100" w:beforeAutospacing="1" w:after="100" w:afterAutospacing="1" w:line="240" w:lineRule="auto"/>
        <w:ind w:left="540" w:hanging="540"/>
        <w:jc w:val="both"/>
      </w:pPr>
    </w:p>
    <w:p w14:paraId="14CFE199" w14:textId="40DC19B9" w:rsidR="00DB6F17" w:rsidRDefault="00DB6F17" w:rsidP="00A10D52">
      <w:pPr>
        <w:spacing w:before="100" w:beforeAutospacing="1" w:after="100" w:afterAutospacing="1" w:line="240" w:lineRule="auto"/>
        <w:ind w:left="540" w:hanging="540"/>
        <w:jc w:val="both"/>
      </w:pPr>
      <w:r w:rsidRPr="00DB6F17">
        <w:t xml:space="preserve">Kumar, V.M. Sathish, Bindu. L, Anil Kumar, and M. </w:t>
      </w:r>
      <w:proofErr w:type="gramStart"/>
      <w:r w:rsidRPr="00DB6F17">
        <w:t>E.Hassan</w:t>
      </w:r>
      <w:proofErr w:type="gramEnd"/>
      <w:r w:rsidRPr="00DB6F17">
        <w:t>. 2024. “Microfauna Hidden in Moss: First Report of Testate Amoebae from Bhimbandh Wildlife Sanctuary, Bihar, India”. Journal of Biology and Nature 16 (2):87-96. https://doi.org/10.56557/joban/2024/v16i28983.</w:t>
      </w:r>
    </w:p>
    <w:p w14:paraId="0654323B" w14:textId="77777777" w:rsidR="00DB6F17" w:rsidRPr="00A10D52" w:rsidRDefault="00DB6F17" w:rsidP="00A10D5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
    <w:p w14:paraId="44079E8E" w14:textId="77777777" w:rsidR="007F5432" w:rsidRDefault="007F5432">
      <w:pPr>
        <w:pStyle w:val="ListParagraph"/>
        <w:ind w:left="360" w:hanging="360"/>
      </w:pPr>
    </w:p>
    <w:p w14:paraId="735A944F" w14:textId="77777777" w:rsidR="007F5432" w:rsidRDefault="007F5432">
      <w:pPr>
        <w:pStyle w:val="ListParagraph"/>
        <w:ind w:left="360" w:hanging="360"/>
      </w:pPr>
    </w:p>
    <w:p w14:paraId="74F89C06" w14:textId="77777777" w:rsidR="007F5432" w:rsidRDefault="007F5432">
      <w:pPr>
        <w:pStyle w:val="ListParagraph"/>
        <w:ind w:left="360" w:hanging="360"/>
      </w:pPr>
    </w:p>
    <w:p w14:paraId="00867FCE" w14:textId="77777777" w:rsidR="007F5432" w:rsidRDefault="007F5432">
      <w:pPr>
        <w:pStyle w:val="ListParagraph"/>
        <w:ind w:left="360" w:hanging="360"/>
      </w:pPr>
    </w:p>
    <w:p w14:paraId="42E1AB6C" w14:textId="77777777" w:rsidR="007F5432" w:rsidRDefault="007F5432">
      <w:pPr>
        <w:pStyle w:val="ListParagraph"/>
        <w:ind w:left="360" w:hanging="360"/>
      </w:pPr>
    </w:p>
    <w:p w14:paraId="667A20CE" w14:textId="77777777" w:rsidR="007F5432" w:rsidRDefault="007F5432">
      <w:pPr>
        <w:pStyle w:val="ListParagraph"/>
        <w:ind w:left="360" w:hanging="360"/>
      </w:pPr>
    </w:p>
    <w:p w14:paraId="76496A94" w14:textId="77777777" w:rsidR="007F5432" w:rsidRDefault="007F5432">
      <w:pPr>
        <w:pStyle w:val="ListParagraph"/>
        <w:ind w:left="360" w:hanging="360"/>
      </w:pPr>
    </w:p>
    <w:p w14:paraId="798AB79C" w14:textId="77777777" w:rsidR="007F5432" w:rsidRDefault="007F5432">
      <w:pPr>
        <w:pStyle w:val="ListParagraph"/>
        <w:ind w:left="360" w:hanging="360"/>
      </w:pPr>
    </w:p>
    <w:p w14:paraId="59B2C1A6" w14:textId="77777777" w:rsidR="007F5432" w:rsidRDefault="007F5432">
      <w:pPr>
        <w:pStyle w:val="ListParagraph"/>
        <w:ind w:left="360" w:hanging="360"/>
      </w:pPr>
    </w:p>
    <w:p w14:paraId="39BBDF63" w14:textId="77777777" w:rsidR="007F5432" w:rsidRDefault="007F5432">
      <w:pPr>
        <w:pStyle w:val="ListParagraph"/>
        <w:ind w:left="360" w:hanging="360"/>
      </w:pPr>
    </w:p>
    <w:p w14:paraId="7775A9E2" w14:textId="77777777" w:rsidR="007F5432" w:rsidRDefault="007F5432">
      <w:pPr>
        <w:pStyle w:val="ListParagraph"/>
        <w:ind w:left="360" w:hanging="360"/>
      </w:pPr>
    </w:p>
    <w:p w14:paraId="780349E5" w14:textId="77777777" w:rsidR="007F5432" w:rsidRDefault="007F5432">
      <w:pPr>
        <w:pStyle w:val="ListParagraph"/>
        <w:ind w:left="360" w:hanging="360"/>
      </w:pPr>
    </w:p>
    <w:p w14:paraId="3136CDB4" w14:textId="77777777" w:rsidR="007F5432" w:rsidRDefault="007F5432">
      <w:pPr>
        <w:pStyle w:val="ListParagraph"/>
        <w:ind w:left="360" w:hanging="360"/>
      </w:pPr>
    </w:p>
    <w:p w14:paraId="1E7E4171" w14:textId="77777777" w:rsidR="007F5432" w:rsidRPr="00686C41" w:rsidRDefault="007F5432" w:rsidP="007F5432">
      <w:pPr>
        <w:jc w:val="center"/>
        <w:rPr>
          <w:rFonts w:ascii="Times New Roman" w:hAnsi="Times New Roman" w:cs="Times New Roman"/>
          <w:sz w:val="24"/>
          <w:szCs w:val="24"/>
        </w:rPr>
      </w:pPr>
      <w:r>
        <w:rPr>
          <w:rStyle w:val="Strong"/>
        </w:rPr>
        <w:t>Plate 1.</w:t>
      </w:r>
      <w:r>
        <w:t xml:space="preserve"> Photomicrographs of moss-dwelling testate amoebae recorded from Patratu Valley, Jharkhand, India: </w:t>
      </w:r>
      <w:r>
        <w:rPr>
          <w:rStyle w:val="Strong"/>
        </w:rPr>
        <w:t>1.</w:t>
      </w:r>
      <w:r>
        <w:t xml:space="preserve"> </w:t>
      </w:r>
      <w:r>
        <w:rPr>
          <w:rStyle w:val="Emphasis"/>
        </w:rPr>
        <w:t>Cyclopyxis arcelloides</w:t>
      </w:r>
      <w:r>
        <w:t xml:space="preserve"> (Penard, 1902) Deflandre, 1929; </w:t>
      </w:r>
      <w:r>
        <w:rPr>
          <w:rStyle w:val="Strong"/>
        </w:rPr>
        <w:t>2.</w:t>
      </w:r>
      <w:r>
        <w:t xml:space="preserve"> </w:t>
      </w:r>
      <w:r>
        <w:rPr>
          <w:rStyle w:val="Emphasis"/>
        </w:rPr>
        <w:t>Cyclopyxis eurystoma</w:t>
      </w:r>
      <w:r>
        <w:t xml:space="preserve"> Deflandre, 1929; </w:t>
      </w:r>
      <w:r>
        <w:rPr>
          <w:rStyle w:val="Strong"/>
        </w:rPr>
        <w:t>3.</w:t>
      </w:r>
      <w:r>
        <w:t xml:space="preserve"> </w:t>
      </w:r>
      <w:r>
        <w:rPr>
          <w:rStyle w:val="Emphasis"/>
        </w:rPr>
        <w:t>Difflugia globulosa</w:t>
      </w:r>
      <w:r>
        <w:t xml:space="preserve"> (Dujardin, 1837) Penard, 1902; </w:t>
      </w:r>
      <w:r>
        <w:rPr>
          <w:rStyle w:val="Strong"/>
        </w:rPr>
        <w:t>4.</w:t>
      </w:r>
      <w:r>
        <w:t xml:space="preserve"> </w:t>
      </w:r>
      <w:r>
        <w:rPr>
          <w:rStyle w:val="Emphasis"/>
        </w:rPr>
        <w:t>Centropyxis aerophila</w:t>
      </w:r>
      <w:r>
        <w:t xml:space="preserve"> Deflandre, 1929; </w:t>
      </w:r>
      <w:r>
        <w:rPr>
          <w:rStyle w:val="Strong"/>
        </w:rPr>
        <w:t>5.</w:t>
      </w:r>
      <w:r>
        <w:t xml:space="preserve"> </w:t>
      </w:r>
      <w:r>
        <w:rPr>
          <w:rStyle w:val="Emphasis"/>
        </w:rPr>
        <w:t>Centropyxis aculeata</w:t>
      </w:r>
      <w:r>
        <w:t xml:space="preserve"> (Ehrenberg, 1838) Stein, 1859; </w:t>
      </w:r>
      <w:r>
        <w:rPr>
          <w:rStyle w:val="Strong"/>
        </w:rPr>
        <w:t>6.</w:t>
      </w:r>
      <w:r>
        <w:t xml:space="preserve"> </w:t>
      </w:r>
      <w:r>
        <w:rPr>
          <w:rStyle w:val="Emphasis"/>
        </w:rPr>
        <w:t>Centropyxis ecornis</w:t>
      </w:r>
      <w:r>
        <w:t xml:space="preserve"> (Ehrenberg, 1841).</w:t>
      </w:r>
    </w:p>
    <w:p w14:paraId="6CA157BA" w14:textId="77777777" w:rsidR="007F5432" w:rsidRPr="00335620" w:rsidRDefault="007F5432">
      <w:pPr>
        <w:pStyle w:val="ListParagraph"/>
        <w:ind w:left="360" w:hanging="360"/>
        <w:rPr>
          <w:rFonts w:ascii="Times New Roman" w:hAnsi="Times New Roman" w:cs="Times New Roman"/>
          <w:sz w:val="24"/>
          <w:szCs w:val="24"/>
        </w:rPr>
      </w:pPr>
    </w:p>
    <w:p w14:paraId="04AF65F2" w14:textId="77777777" w:rsidR="00CE31A9" w:rsidRPr="00335620" w:rsidRDefault="000E7A11" w:rsidP="00B95FBE">
      <w:pPr>
        <w:jc w:val="center"/>
        <w:rPr>
          <w:rFonts w:ascii="Times New Roman" w:hAnsi="Times New Roman" w:cs="Times New Roman"/>
          <w:sz w:val="24"/>
          <w:szCs w:val="24"/>
        </w:rPr>
      </w:pPr>
      <w:r w:rsidRPr="00335620">
        <w:rPr>
          <w:noProof/>
        </w:rPr>
        <w:lastRenderedPageBreak/>
        <w:drawing>
          <wp:inline distT="0" distB="0" distL="0" distR="0" wp14:anchorId="3B3D292F" wp14:editId="2D0DB4B4">
            <wp:extent cx="5731510" cy="8279130"/>
            <wp:effectExtent l="0" t="0" r="2540" b="7620"/>
            <wp:docPr id="1611885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8279130"/>
                    </a:xfrm>
                    <a:prstGeom prst="rect">
                      <a:avLst/>
                    </a:prstGeom>
                    <a:noFill/>
                    <a:ln>
                      <a:noFill/>
                    </a:ln>
                  </pic:spPr>
                </pic:pic>
              </a:graphicData>
            </a:graphic>
          </wp:inline>
        </w:drawing>
      </w:r>
    </w:p>
    <w:p w14:paraId="57E6B3A1" w14:textId="77777777" w:rsidR="000E7A11" w:rsidRPr="00335620" w:rsidRDefault="000E7A11" w:rsidP="00B95FBE">
      <w:pPr>
        <w:jc w:val="center"/>
        <w:rPr>
          <w:rFonts w:ascii="Times New Roman" w:hAnsi="Times New Roman" w:cs="Times New Roman"/>
          <w:sz w:val="24"/>
          <w:szCs w:val="24"/>
        </w:rPr>
      </w:pPr>
    </w:p>
    <w:p w14:paraId="4886029A" w14:textId="77777777" w:rsidR="007F5432" w:rsidRPr="000130F9" w:rsidRDefault="007F5432" w:rsidP="007F5432">
      <w:pPr>
        <w:jc w:val="center"/>
        <w:rPr>
          <w:rFonts w:ascii="Times New Roman" w:hAnsi="Times New Roman" w:cs="Times New Roman"/>
          <w:sz w:val="24"/>
          <w:szCs w:val="24"/>
        </w:rPr>
      </w:pPr>
      <w:r>
        <w:rPr>
          <w:rStyle w:val="Strong"/>
        </w:rPr>
        <w:lastRenderedPageBreak/>
        <w:t>Plate 2.</w:t>
      </w:r>
      <w:r>
        <w:t xml:space="preserve"> Photomicrographs of moss-dwelling testate amoebae recorded from Patratu Valley, Jharkhand, India: </w:t>
      </w:r>
      <w:r>
        <w:rPr>
          <w:rStyle w:val="Strong"/>
        </w:rPr>
        <w:t>7.</w:t>
      </w:r>
      <w:r>
        <w:t xml:space="preserve"> </w:t>
      </w:r>
      <w:r>
        <w:rPr>
          <w:rStyle w:val="Emphasis"/>
        </w:rPr>
        <w:t>Centropyxis platystoma</w:t>
      </w:r>
      <w:r>
        <w:t xml:space="preserve"> (Penard, 1890) Deflandre, 1929; </w:t>
      </w:r>
      <w:r>
        <w:rPr>
          <w:rStyle w:val="Strong"/>
        </w:rPr>
        <w:t>8.</w:t>
      </w:r>
      <w:r>
        <w:t xml:space="preserve"> </w:t>
      </w:r>
      <w:r>
        <w:rPr>
          <w:rStyle w:val="Emphasis"/>
        </w:rPr>
        <w:t>Euglypha rotunda</w:t>
      </w:r>
      <w:r>
        <w:t xml:space="preserve"> (Ehrenberg, 1845); </w:t>
      </w:r>
      <w:r>
        <w:rPr>
          <w:rStyle w:val="Strong"/>
        </w:rPr>
        <w:t>9.</w:t>
      </w:r>
      <w:r>
        <w:t xml:space="preserve"> </w:t>
      </w:r>
      <w:r>
        <w:rPr>
          <w:rStyle w:val="Emphasis"/>
        </w:rPr>
        <w:t>Euglypha simplex</w:t>
      </w:r>
      <w:r>
        <w:t xml:space="preserve"> Decloitre, 1965; </w:t>
      </w:r>
      <w:r>
        <w:rPr>
          <w:rStyle w:val="Strong"/>
        </w:rPr>
        <w:t>10.</w:t>
      </w:r>
      <w:r>
        <w:t xml:space="preserve"> </w:t>
      </w:r>
      <w:r>
        <w:rPr>
          <w:rStyle w:val="Emphasis"/>
        </w:rPr>
        <w:t>Trinema enchelys</w:t>
      </w:r>
      <w:r>
        <w:t xml:space="preserve"> (Ehrenberg, 1838); </w:t>
      </w:r>
      <w:r>
        <w:rPr>
          <w:rStyle w:val="Strong"/>
        </w:rPr>
        <w:t>11.</w:t>
      </w:r>
      <w:r>
        <w:t xml:space="preserve"> </w:t>
      </w:r>
      <w:r>
        <w:rPr>
          <w:rStyle w:val="Emphasis"/>
        </w:rPr>
        <w:t>Trinema lineare</w:t>
      </w:r>
      <w:r>
        <w:t xml:space="preserve"> Penard, 1890; </w:t>
      </w:r>
      <w:r>
        <w:rPr>
          <w:rStyle w:val="Strong"/>
        </w:rPr>
        <w:t>12.</w:t>
      </w:r>
      <w:r>
        <w:t xml:space="preserve"> </w:t>
      </w:r>
      <w:r>
        <w:rPr>
          <w:rStyle w:val="Emphasis"/>
        </w:rPr>
        <w:t>Trinema complanatum</w:t>
      </w:r>
      <w:r>
        <w:t xml:space="preserve"> Penard, 1890.</w:t>
      </w:r>
    </w:p>
    <w:p w14:paraId="581EA2FD" w14:textId="77777777" w:rsidR="000E7A11" w:rsidRPr="000130F9" w:rsidRDefault="000E7A11" w:rsidP="00B95FBE">
      <w:pPr>
        <w:jc w:val="center"/>
        <w:rPr>
          <w:rFonts w:ascii="Times New Roman" w:hAnsi="Times New Roman" w:cs="Times New Roman"/>
          <w:sz w:val="24"/>
          <w:szCs w:val="24"/>
        </w:rPr>
      </w:pPr>
      <w:r w:rsidRPr="00335620">
        <w:rPr>
          <w:noProof/>
        </w:rPr>
        <w:lastRenderedPageBreak/>
        <w:drawing>
          <wp:inline distT="0" distB="0" distL="0" distR="0" wp14:anchorId="7C9AE330" wp14:editId="1840B649">
            <wp:extent cx="5731510" cy="8279130"/>
            <wp:effectExtent l="0" t="0" r="2540" b="7620"/>
            <wp:docPr id="2129033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8279130"/>
                    </a:xfrm>
                    <a:prstGeom prst="rect">
                      <a:avLst/>
                    </a:prstGeom>
                    <a:noFill/>
                    <a:ln>
                      <a:noFill/>
                    </a:ln>
                  </pic:spPr>
                </pic:pic>
              </a:graphicData>
            </a:graphic>
          </wp:inline>
        </w:drawing>
      </w:r>
    </w:p>
    <w:sectPr w:rsidR="000E7A11" w:rsidRPr="000130F9">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67CF" w14:textId="77777777" w:rsidR="0096241A" w:rsidRDefault="0096241A" w:rsidP="003F5B35">
      <w:pPr>
        <w:spacing w:after="0" w:line="240" w:lineRule="auto"/>
      </w:pPr>
      <w:r>
        <w:separator/>
      </w:r>
    </w:p>
  </w:endnote>
  <w:endnote w:type="continuationSeparator" w:id="0">
    <w:p w14:paraId="0AF57F10" w14:textId="77777777" w:rsidR="0096241A" w:rsidRDefault="0096241A" w:rsidP="003F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rtika">
    <w:charset w:val="00"/>
    <w:family w:val="roman"/>
    <w:pitch w:val="variable"/>
    <w:sig w:usb0="008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86EA" w14:textId="77777777" w:rsidR="003F5B35" w:rsidRDefault="003F5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7BC4" w14:textId="77777777" w:rsidR="003F5B35" w:rsidRDefault="003F5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58B8" w14:textId="77777777" w:rsidR="003F5B35" w:rsidRDefault="003F5B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53F4" w14:textId="77777777" w:rsidR="0096241A" w:rsidRDefault="0096241A" w:rsidP="003F5B35">
      <w:pPr>
        <w:spacing w:after="0" w:line="240" w:lineRule="auto"/>
      </w:pPr>
      <w:r>
        <w:separator/>
      </w:r>
    </w:p>
  </w:footnote>
  <w:footnote w:type="continuationSeparator" w:id="0">
    <w:p w14:paraId="399DB551" w14:textId="77777777" w:rsidR="0096241A" w:rsidRDefault="0096241A" w:rsidP="003F5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1635" w14:textId="77777777" w:rsidR="003F5B35" w:rsidRDefault="00000000">
    <w:pPr>
      <w:pStyle w:val="Header"/>
    </w:pPr>
    <w:r>
      <w:rPr>
        <w:noProof/>
      </w:rPr>
      <w:pict w14:anchorId="3A0FA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1833" w14:textId="77777777" w:rsidR="003F5B35" w:rsidRDefault="00000000">
    <w:pPr>
      <w:pStyle w:val="Header"/>
    </w:pPr>
    <w:r>
      <w:rPr>
        <w:noProof/>
      </w:rPr>
      <w:pict w14:anchorId="0B3B0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18DE" w14:textId="77777777" w:rsidR="003F5B35" w:rsidRDefault="00000000">
    <w:pPr>
      <w:pStyle w:val="Header"/>
    </w:pPr>
    <w:r>
      <w:rPr>
        <w:noProof/>
      </w:rPr>
      <w:pict w14:anchorId="7BB43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660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7E4B"/>
    <w:multiLevelType w:val="hybridMultilevel"/>
    <w:tmpl w:val="D0D659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A63930"/>
    <w:multiLevelType w:val="hybridMultilevel"/>
    <w:tmpl w:val="1610DDAA"/>
    <w:lvl w:ilvl="0" w:tplc="85EAE38A">
      <w:start w:val="1"/>
      <w:numFmt w:val="decimal"/>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F9628D9"/>
    <w:multiLevelType w:val="hybridMultilevel"/>
    <w:tmpl w:val="7666C7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93A46D8"/>
    <w:multiLevelType w:val="hybridMultilevel"/>
    <w:tmpl w:val="02F6DB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0747D3C"/>
    <w:multiLevelType w:val="hybridMultilevel"/>
    <w:tmpl w:val="6726AF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BA2662"/>
    <w:multiLevelType w:val="hybridMultilevel"/>
    <w:tmpl w:val="9F10D738"/>
    <w:lvl w:ilvl="0" w:tplc="BB24CFDA">
      <w:start w:val="2"/>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4B815E27"/>
    <w:multiLevelType w:val="hybridMultilevel"/>
    <w:tmpl w:val="94F05F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3B33DA6"/>
    <w:multiLevelType w:val="hybridMultilevel"/>
    <w:tmpl w:val="B328A7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79B1D91"/>
    <w:multiLevelType w:val="multilevel"/>
    <w:tmpl w:val="0076E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C036F6"/>
    <w:multiLevelType w:val="hybridMultilevel"/>
    <w:tmpl w:val="FC5E5892"/>
    <w:lvl w:ilvl="0" w:tplc="EA74E10A">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80600725">
    <w:abstractNumId w:val="1"/>
  </w:num>
  <w:num w:numId="2" w16cid:durableId="2095516910">
    <w:abstractNumId w:val="0"/>
  </w:num>
  <w:num w:numId="3" w16cid:durableId="162625230">
    <w:abstractNumId w:val="2"/>
  </w:num>
  <w:num w:numId="4" w16cid:durableId="479932408">
    <w:abstractNumId w:val="6"/>
  </w:num>
  <w:num w:numId="5" w16cid:durableId="317224223">
    <w:abstractNumId w:val="4"/>
  </w:num>
  <w:num w:numId="6" w16cid:durableId="2028481594">
    <w:abstractNumId w:val="3"/>
  </w:num>
  <w:num w:numId="7" w16cid:durableId="2014261623">
    <w:abstractNumId w:val="9"/>
  </w:num>
  <w:num w:numId="8" w16cid:durableId="506136914">
    <w:abstractNumId w:val="5"/>
  </w:num>
  <w:num w:numId="9" w16cid:durableId="824203248">
    <w:abstractNumId w:val="7"/>
  </w:num>
  <w:num w:numId="10" w16cid:durableId="2573755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77D"/>
    <w:rsid w:val="00001987"/>
    <w:rsid w:val="00003465"/>
    <w:rsid w:val="00003760"/>
    <w:rsid w:val="00006DBE"/>
    <w:rsid w:val="000070A8"/>
    <w:rsid w:val="000130F9"/>
    <w:rsid w:val="00035B87"/>
    <w:rsid w:val="00037052"/>
    <w:rsid w:val="00043333"/>
    <w:rsid w:val="00050AF1"/>
    <w:rsid w:val="00050F25"/>
    <w:rsid w:val="00051662"/>
    <w:rsid w:val="00054BEF"/>
    <w:rsid w:val="00060081"/>
    <w:rsid w:val="0006609E"/>
    <w:rsid w:val="00074803"/>
    <w:rsid w:val="00076E0A"/>
    <w:rsid w:val="00080740"/>
    <w:rsid w:val="00084CD3"/>
    <w:rsid w:val="000C3025"/>
    <w:rsid w:val="000C52E1"/>
    <w:rsid w:val="000D47CE"/>
    <w:rsid w:val="000E7A11"/>
    <w:rsid w:val="000F2163"/>
    <w:rsid w:val="000F2DFD"/>
    <w:rsid w:val="000F3FBC"/>
    <w:rsid w:val="000F482A"/>
    <w:rsid w:val="001000B0"/>
    <w:rsid w:val="00112021"/>
    <w:rsid w:val="00124BA0"/>
    <w:rsid w:val="00125F05"/>
    <w:rsid w:val="0012691E"/>
    <w:rsid w:val="00131FAB"/>
    <w:rsid w:val="001323D8"/>
    <w:rsid w:val="00134CCD"/>
    <w:rsid w:val="0013720A"/>
    <w:rsid w:val="001377F5"/>
    <w:rsid w:val="00160E68"/>
    <w:rsid w:val="00164E03"/>
    <w:rsid w:val="0017053E"/>
    <w:rsid w:val="001A395A"/>
    <w:rsid w:val="001B427A"/>
    <w:rsid w:val="001C6F0D"/>
    <w:rsid w:val="001D5D8B"/>
    <w:rsid w:val="001D63DC"/>
    <w:rsid w:val="001E18F8"/>
    <w:rsid w:val="001E7F6F"/>
    <w:rsid w:val="0020063E"/>
    <w:rsid w:val="00205D35"/>
    <w:rsid w:val="00207225"/>
    <w:rsid w:val="00216FE4"/>
    <w:rsid w:val="0021777F"/>
    <w:rsid w:val="002225FD"/>
    <w:rsid w:val="00227B5C"/>
    <w:rsid w:val="00245F45"/>
    <w:rsid w:val="00254186"/>
    <w:rsid w:val="002923E6"/>
    <w:rsid w:val="00295072"/>
    <w:rsid w:val="00296F1A"/>
    <w:rsid w:val="00297A32"/>
    <w:rsid w:val="002A5A5D"/>
    <w:rsid w:val="002A70A7"/>
    <w:rsid w:val="002C0A73"/>
    <w:rsid w:val="002C0C0F"/>
    <w:rsid w:val="002D5E2A"/>
    <w:rsid w:val="002E200C"/>
    <w:rsid w:val="002E2781"/>
    <w:rsid w:val="002E4AFE"/>
    <w:rsid w:val="003229CC"/>
    <w:rsid w:val="00325C9E"/>
    <w:rsid w:val="00327956"/>
    <w:rsid w:val="00330A9C"/>
    <w:rsid w:val="00333113"/>
    <w:rsid w:val="00335620"/>
    <w:rsid w:val="00356285"/>
    <w:rsid w:val="003648A1"/>
    <w:rsid w:val="003665E6"/>
    <w:rsid w:val="00367BBC"/>
    <w:rsid w:val="00380108"/>
    <w:rsid w:val="00380529"/>
    <w:rsid w:val="00383706"/>
    <w:rsid w:val="00386BD0"/>
    <w:rsid w:val="00392BD4"/>
    <w:rsid w:val="003950E6"/>
    <w:rsid w:val="003A1723"/>
    <w:rsid w:val="003B3832"/>
    <w:rsid w:val="003B4071"/>
    <w:rsid w:val="003C4779"/>
    <w:rsid w:val="003F5B35"/>
    <w:rsid w:val="003F5FD2"/>
    <w:rsid w:val="00421E6E"/>
    <w:rsid w:val="00422DBD"/>
    <w:rsid w:val="004230C1"/>
    <w:rsid w:val="0042508D"/>
    <w:rsid w:val="004341CD"/>
    <w:rsid w:val="00450482"/>
    <w:rsid w:val="00454EB0"/>
    <w:rsid w:val="0049037E"/>
    <w:rsid w:val="004A2F11"/>
    <w:rsid w:val="004A5DD5"/>
    <w:rsid w:val="004D185E"/>
    <w:rsid w:val="004D25AA"/>
    <w:rsid w:val="004E0321"/>
    <w:rsid w:val="004E7783"/>
    <w:rsid w:val="004F1B86"/>
    <w:rsid w:val="00522373"/>
    <w:rsid w:val="005432F7"/>
    <w:rsid w:val="00560DB3"/>
    <w:rsid w:val="005828B8"/>
    <w:rsid w:val="005933D8"/>
    <w:rsid w:val="005A1B9F"/>
    <w:rsid w:val="005A493B"/>
    <w:rsid w:val="005A4D9B"/>
    <w:rsid w:val="005A56D0"/>
    <w:rsid w:val="005B0FE6"/>
    <w:rsid w:val="005B4030"/>
    <w:rsid w:val="005C1C3A"/>
    <w:rsid w:val="005C7EA0"/>
    <w:rsid w:val="005D0BA7"/>
    <w:rsid w:val="005E1EFF"/>
    <w:rsid w:val="005E21B4"/>
    <w:rsid w:val="005F06A9"/>
    <w:rsid w:val="005F5CF4"/>
    <w:rsid w:val="005F5D37"/>
    <w:rsid w:val="006056F3"/>
    <w:rsid w:val="00620DAB"/>
    <w:rsid w:val="00621655"/>
    <w:rsid w:val="006330AE"/>
    <w:rsid w:val="00662682"/>
    <w:rsid w:val="00663306"/>
    <w:rsid w:val="006732BC"/>
    <w:rsid w:val="00677DBE"/>
    <w:rsid w:val="00680810"/>
    <w:rsid w:val="00686C41"/>
    <w:rsid w:val="00686DC3"/>
    <w:rsid w:val="00691856"/>
    <w:rsid w:val="00696605"/>
    <w:rsid w:val="006A0B56"/>
    <w:rsid w:val="006B04DD"/>
    <w:rsid w:val="006B3B6D"/>
    <w:rsid w:val="006C3DD3"/>
    <w:rsid w:val="006D467A"/>
    <w:rsid w:val="006E0AED"/>
    <w:rsid w:val="006E691A"/>
    <w:rsid w:val="006E6A7F"/>
    <w:rsid w:val="006F2DA7"/>
    <w:rsid w:val="006F4304"/>
    <w:rsid w:val="007060FA"/>
    <w:rsid w:val="007273AA"/>
    <w:rsid w:val="0073038C"/>
    <w:rsid w:val="007328E0"/>
    <w:rsid w:val="00746D58"/>
    <w:rsid w:val="0075728E"/>
    <w:rsid w:val="007614BF"/>
    <w:rsid w:val="00774712"/>
    <w:rsid w:val="007A5ADE"/>
    <w:rsid w:val="007A6502"/>
    <w:rsid w:val="007B4B94"/>
    <w:rsid w:val="007B648B"/>
    <w:rsid w:val="007C5C89"/>
    <w:rsid w:val="007D2EE2"/>
    <w:rsid w:val="007D4792"/>
    <w:rsid w:val="007E4F78"/>
    <w:rsid w:val="007F0C14"/>
    <w:rsid w:val="007F37D9"/>
    <w:rsid w:val="007F5432"/>
    <w:rsid w:val="00811331"/>
    <w:rsid w:val="00822537"/>
    <w:rsid w:val="00823B4E"/>
    <w:rsid w:val="008250F7"/>
    <w:rsid w:val="0083345B"/>
    <w:rsid w:val="00850DDC"/>
    <w:rsid w:val="008525EC"/>
    <w:rsid w:val="00856F1F"/>
    <w:rsid w:val="00857FE2"/>
    <w:rsid w:val="00860EA0"/>
    <w:rsid w:val="00865402"/>
    <w:rsid w:val="00872682"/>
    <w:rsid w:val="008753B2"/>
    <w:rsid w:val="008A4D69"/>
    <w:rsid w:val="008B380A"/>
    <w:rsid w:val="008C7125"/>
    <w:rsid w:val="008D0D94"/>
    <w:rsid w:val="008D22D0"/>
    <w:rsid w:val="009112C0"/>
    <w:rsid w:val="00912BCE"/>
    <w:rsid w:val="009135AC"/>
    <w:rsid w:val="00916B14"/>
    <w:rsid w:val="00923223"/>
    <w:rsid w:val="0092677D"/>
    <w:rsid w:val="00933C9B"/>
    <w:rsid w:val="009349C8"/>
    <w:rsid w:val="00950DF2"/>
    <w:rsid w:val="0095759F"/>
    <w:rsid w:val="0096241A"/>
    <w:rsid w:val="00962872"/>
    <w:rsid w:val="009653CA"/>
    <w:rsid w:val="00977FCD"/>
    <w:rsid w:val="00985C6C"/>
    <w:rsid w:val="00994DCA"/>
    <w:rsid w:val="009A27AD"/>
    <w:rsid w:val="009B20F8"/>
    <w:rsid w:val="009C795C"/>
    <w:rsid w:val="009D4506"/>
    <w:rsid w:val="009F2034"/>
    <w:rsid w:val="00A10D52"/>
    <w:rsid w:val="00A231AC"/>
    <w:rsid w:val="00A30AF8"/>
    <w:rsid w:val="00A452B8"/>
    <w:rsid w:val="00A532CB"/>
    <w:rsid w:val="00A547AF"/>
    <w:rsid w:val="00A64354"/>
    <w:rsid w:val="00A67F1C"/>
    <w:rsid w:val="00A95148"/>
    <w:rsid w:val="00A9784C"/>
    <w:rsid w:val="00AA68A5"/>
    <w:rsid w:val="00AB7125"/>
    <w:rsid w:val="00AC6280"/>
    <w:rsid w:val="00AC65EB"/>
    <w:rsid w:val="00AD3570"/>
    <w:rsid w:val="00AD5F7F"/>
    <w:rsid w:val="00AF6392"/>
    <w:rsid w:val="00B057CF"/>
    <w:rsid w:val="00B13557"/>
    <w:rsid w:val="00B15833"/>
    <w:rsid w:val="00B21A63"/>
    <w:rsid w:val="00B23704"/>
    <w:rsid w:val="00B41044"/>
    <w:rsid w:val="00B47368"/>
    <w:rsid w:val="00B5639B"/>
    <w:rsid w:val="00B56F24"/>
    <w:rsid w:val="00B57E50"/>
    <w:rsid w:val="00B608D6"/>
    <w:rsid w:val="00B67043"/>
    <w:rsid w:val="00B73B04"/>
    <w:rsid w:val="00B905E4"/>
    <w:rsid w:val="00B908F1"/>
    <w:rsid w:val="00B91691"/>
    <w:rsid w:val="00B925CC"/>
    <w:rsid w:val="00B935B4"/>
    <w:rsid w:val="00B94E1F"/>
    <w:rsid w:val="00B95F7C"/>
    <w:rsid w:val="00B95FBE"/>
    <w:rsid w:val="00B97D4C"/>
    <w:rsid w:val="00BA7E63"/>
    <w:rsid w:val="00BB7A7E"/>
    <w:rsid w:val="00BC110D"/>
    <w:rsid w:val="00BC4402"/>
    <w:rsid w:val="00BC5E7E"/>
    <w:rsid w:val="00BD1CCD"/>
    <w:rsid w:val="00BD666C"/>
    <w:rsid w:val="00BE03F4"/>
    <w:rsid w:val="00BE0B62"/>
    <w:rsid w:val="00BE769A"/>
    <w:rsid w:val="00C0487F"/>
    <w:rsid w:val="00C051B5"/>
    <w:rsid w:val="00C057AB"/>
    <w:rsid w:val="00C06F87"/>
    <w:rsid w:val="00C20F68"/>
    <w:rsid w:val="00C24C19"/>
    <w:rsid w:val="00C27249"/>
    <w:rsid w:val="00C34BDC"/>
    <w:rsid w:val="00C4462B"/>
    <w:rsid w:val="00C44642"/>
    <w:rsid w:val="00C500AF"/>
    <w:rsid w:val="00C50992"/>
    <w:rsid w:val="00C536FB"/>
    <w:rsid w:val="00C544CE"/>
    <w:rsid w:val="00C67C0D"/>
    <w:rsid w:val="00C70CAF"/>
    <w:rsid w:val="00C81991"/>
    <w:rsid w:val="00C8720B"/>
    <w:rsid w:val="00C87A9D"/>
    <w:rsid w:val="00C97403"/>
    <w:rsid w:val="00C97AB7"/>
    <w:rsid w:val="00CA0A4A"/>
    <w:rsid w:val="00CE2358"/>
    <w:rsid w:val="00CE31A9"/>
    <w:rsid w:val="00CE582E"/>
    <w:rsid w:val="00D00829"/>
    <w:rsid w:val="00D12643"/>
    <w:rsid w:val="00D16A5D"/>
    <w:rsid w:val="00D178AA"/>
    <w:rsid w:val="00D21FF7"/>
    <w:rsid w:val="00D2782C"/>
    <w:rsid w:val="00D414AB"/>
    <w:rsid w:val="00D5656B"/>
    <w:rsid w:val="00D56718"/>
    <w:rsid w:val="00D665BE"/>
    <w:rsid w:val="00D7607F"/>
    <w:rsid w:val="00D83686"/>
    <w:rsid w:val="00D85DBD"/>
    <w:rsid w:val="00D86AC9"/>
    <w:rsid w:val="00DB09FA"/>
    <w:rsid w:val="00DB0A09"/>
    <w:rsid w:val="00DB6F17"/>
    <w:rsid w:val="00DD7AC2"/>
    <w:rsid w:val="00DE2801"/>
    <w:rsid w:val="00DF440B"/>
    <w:rsid w:val="00E01B88"/>
    <w:rsid w:val="00E05460"/>
    <w:rsid w:val="00E07D4F"/>
    <w:rsid w:val="00E12608"/>
    <w:rsid w:val="00E126EE"/>
    <w:rsid w:val="00E1690C"/>
    <w:rsid w:val="00E179F9"/>
    <w:rsid w:val="00E20DDE"/>
    <w:rsid w:val="00E37C29"/>
    <w:rsid w:val="00E40215"/>
    <w:rsid w:val="00E5001B"/>
    <w:rsid w:val="00E50EE7"/>
    <w:rsid w:val="00E61905"/>
    <w:rsid w:val="00E7178E"/>
    <w:rsid w:val="00E735FF"/>
    <w:rsid w:val="00E846E2"/>
    <w:rsid w:val="00E8658C"/>
    <w:rsid w:val="00E95BF7"/>
    <w:rsid w:val="00EA580E"/>
    <w:rsid w:val="00EB091E"/>
    <w:rsid w:val="00EB42CF"/>
    <w:rsid w:val="00ED0327"/>
    <w:rsid w:val="00EE1893"/>
    <w:rsid w:val="00EE616A"/>
    <w:rsid w:val="00EF7D42"/>
    <w:rsid w:val="00F02309"/>
    <w:rsid w:val="00F02864"/>
    <w:rsid w:val="00F1381C"/>
    <w:rsid w:val="00F174C7"/>
    <w:rsid w:val="00F22493"/>
    <w:rsid w:val="00F356BE"/>
    <w:rsid w:val="00F35E41"/>
    <w:rsid w:val="00F440EA"/>
    <w:rsid w:val="00F547BF"/>
    <w:rsid w:val="00F571D0"/>
    <w:rsid w:val="00F60602"/>
    <w:rsid w:val="00F61CD5"/>
    <w:rsid w:val="00F64743"/>
    <w:rsid w:val="00F64FF3"/>
    <w:rsid w:val="00F91EC7"/>
    <w:rsid w:val="00F922D8"/>
    <w:rsid w:val="00FA2FB8"/>
    <w:rsid w:val="00FA77B5"/>
    <w:rsid w:val="00FA7FB0"/>
    <w:rsid w:val="00FB6281"/>
    <w:rsid w:val="00FC1EFD"/>
    <w:rsid w:val="00FC3E14"/>
    <w:rsid w:val="00FC4CD1"/>
    <w:rsid w:val="00FC6316"/>
    <w:rsid w:val="00FC7EB5"/>
    <w:rsid w:val="00FD1584"/>
    <w:rsid w:val="00FD5A83"/>
    <w:rsid w:val="00FE674D"/>
    <w:rsid w:val="00FF2FB0"/>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FBF66"/>
  <w15:chartTrackingRefBased/>
  <w15:docId w15:val="{C1E0AA7D-B74F-4352-A038-CFB71315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6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E2A"/>
    <w:pPr>
      <w:ind w:left="720"/>
      <w:contextualSpacing/>
    </w:pPr>
  </w:style>
  <w:style w:type="character" w:styleId="Hyperlink">
    <w:name w:val="Hyperlink"/>
    <w:basedOn w:val="DefaultParagraphFont"/>
    <w:uiPriority w:val="99"/>
    <w:unhideWhenUsed/>
    <w:rsid w:val="0013720A"/>
    <w:rPr>
      <w:color w:val="0563C1" w:themeColor="hyperlink"/>
      <w:u w:val="single"/>
    </w:rPr>
  </w:style>
  <w:style w:type="character" w:styleId="UnresolvedMention">
    <w:name w:val="Unresolved Mention"/>
    <w:basedOn w:val="DefaultParagraphFont"/>
    <w:uiPriority w:val="99"/>
    <w:semiHidden/>
    <w:unhideWhenUsed/>
    <w:rsid w:val="0013720A"/>
    <w:rPr>
      <w:color w:val="605E5C"/>
      <w:shd w:val="clear" w:color="auto" w:fill="E1DFDD"/>
    </w:rPr>
  </w:style>
  <w:style w:type="character" w:styleId="Strong">
    <w:name w:val="Strong"/>
    <w:basedOn w:val="DefaultParagraphFont"/>
    <w:uiPriority w:val="22"/>
    <w:qFormat/>
    <w:rsid w:val="007F5432"/>
    <w:rPr>
      <w:b/>
      <w:bCs/>
    </w:rPr>
  </w:style>
  <w:style w:type="character" w:styleId="Emphasis">
    <w:name w:val="Emphasis"/>
    <w:basedOn w:val="DefaultParagraphFont"/>
    <w:uiPriority w:val="20"/>
    <w:qFormat/>
    <w:rsid w:val="007F5432"/>
    <w:rPr>
      <w:i/>
      <w:iCs/>
    </w:rPr>
  </w:style>
  <w:style w:type="paragraph" w:styleId="Header">
    <w:name w:val="header"/>
    <w:basedOn w:val="Normal"/>
    <w:link w:val="HeaderChar"/>
    <w:uiPriority w:val="99"/>
    <w:unhideWhenUsed/>
    <w:rsid w:val="003F5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B35"/>
  </w:style>
  <w:style w:type="paragraph" w:styleId="Footer">
    <w:name w:val="footer"/>
    <w:basedOn w:val="Normal"/>
    <w:link w:val="FooterChar"/>
    <w:uiPriority w:val="99"/>
    <w:unhideWhenUsed/>
    <w:rsid w:val="003F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B35"/>
  </w:style>
  <w:style w:type="paragraph" w:styleId="Revision">
    <w:name w:val="Revision"/>
    <w:hidden/>
    <w:uiPriority w:val="99"/>
    <w:semiHidden/>
    <w:rsid w:val="004F1B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ejop.2025.126147" TargetMode="External"/><Relationship Id="rId18" Type="http://schemas.openxmlformats.org/officeDocument/2006/relationships/hyperlink" Target="https://doi.org/10.1016/j.jenvman.2024.122959" TargetMode="External"/><Relationship Id="rId26" Type="http://schemas.openxmlformats.org/officeDocument/2006/relationships/hyperlink" Target="https://doi.org/10.4467/16890027AP.13.0011.1108" TargetMode="External"/><Relationship Id="rId39" Type="http://schemas.openxmlformats.org/officeDocument/2006/relationships/theme" Target="theme/theme1.xml"/><Relationship Id="rId21" Type="http://schemas.openxmlformats.org/officeDocument/2006/relationships/hyperlink" Target="https://doi.org/10.1016/j.jenvman.2024.120243" TargetMode="External"/><Relationship Id="rId34" Type="http://schemas.openxmlformats.org/officeDocument/2006/relationships/footer" Target="footer1.xml"/><Relationship Id="rId7" Type="http://schemas.openxmlformats.org/officeDocument/2006/relationships/hyperlink" Target="https://doi.org/10.1111/jeu.12691" TargetMode="External"/><Relationship Id="rId12" Type="http://schemas.openxmlformats.org/officeDocument/2006/relationships/hyperlink" Target="https://doi.org/10.1080/03014223.1997.9517549" TargetMode="External"/><Relationship Id="rId17" Type="http://schemas.openxmlformats.org/officeDocument/2006/relationships/hyperlink" Target="https://doi.org/10.56557/jobari/2026/v32i210398" TargetMode="External"/><Relationship Id="rId25" Type="http://schemas.openxmlformats.org/officeDocument/2006/relationships/hyperlink" Target="https://doi.org/10.1080/10106049.2013.838309"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9734/ajob/2025/v21i8541" TargetMode="External"/><Relationship Id="rId20" Type="http://schemas.openxmlformats.org/officeDocument/2006/relationships/hyperlink" Target="https://www.researchgate.net/publication/255662463_Habitat_Selection_of_Aquatic_Testate_Amoebae_Communities_on_Qeqertarsuaq_Disko_Island_West_Greenland?utm_source=chatgpt.com" TargetMode="External"/><Relationship Id="rId29" Type="http://schemas.openxmlformats.org/officeDocument/2006/relationships/hyperlink" Target="https://doi.org/10.1007/s00300-004-065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366-9516.2005.00154.x" TargetMode="External"/><Relationship Id="rId24" Type="http://schemas.openxmlformats.org/officeDocument/2006/relationships/hyperlink" Target="https://doi.org/10.1007/s00248-006-9108-y"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9189/MaP.2022.OMB.StA.2412" TargetMode="External"/><Relationship Id="rId23" Type="http://schemas.openxmlformats.org/officeDocument/2006/relationships/hyperlink" Target="https://doi.org/10.1007/s10531-007-9221-3" TargetMode="External"/><Relationship Id="rId28" Type="http://schemas.openxmlformats.org/officeDocument/2006/relationships/hyperlink" Target="https://doi.org/10.3897/BDJ.9.e63290" TargetMode="External"/><Relationship Id="rId36" Type="http://schemas.openxmlformats.org/officeDocument/2006/relationships/header" Target="header3.xml"/><Relationship Id="rId10" Type="http://schemas.openxmlformats.org/officeDocument/2006/relationships/hyperlink" Target="https://doi.org/10.26515/Fauna/1/2023/Protista:Tubulinea;Cercozoa;Stramenopiles?utm_source=chatgpt.com" TargetMode="External"/><Relationship Id="rId19" Type="http://schemas.openxmlformats.org/officeDocument/2006/relationships/hyperlink" Target="https://doi.org/10.1016/j.soilbio.2025.109790" TargetMode="External"/><Relationship Id="rId31"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26515/Fauna/1/2023/Protista" TargetMode="External"/><Relationship Id="rId14" Type="http://schemas.openxmlformats.org/officeDocument/2006/relationships/hyperlink" Target="https://doi.org/10.4467/16890027AP.22.001.15671" TargetMode="External"/><Relationship Id="rId22" Type="http://schemas.openxmlformats.org/officeDocument/2006/relationships/hyperlink" Target="https://doi.org/10.1007/s00300-014-1580-0" TargetMode="External"/><Relationship Id="rId27" Type="http://schemas.openxmlformats.org/officeDocument/2006/relationships/hyperlink" Target="https://doi.org/10.1016/j.ejop.2019.03.002" TargetMode="External"/><Relationship Id="rId30" Type="http://schemas.openxmlformats.org/officeDocument/2006/relationships/image" Target="media/image1.jpeg"/><Relationship Id="rId35" Type="http://schemas.openxmlformats.org/officeDocument/2006/relationships/footer" Target="footer2.xml"/><Relationship Id="rId8" Type="http://schemas.openxmlformats.org/officeDocument/2006/relationships/hyperlink" Target="https://doi.org/10.1111/j.1550-7408.2012.00644.x"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13</Pages>
  <Words>4368</Words>
  <Characters>24902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SDI CPU 1117</cp:lastModifiedBy>
  <cp:revision>117</cp:revision>
  <dcterms:created xsi:type="dcterms:W3CDTF">2024-09-12T05:07:00Z</dcterms:created>
  <dcterms:modified xsi:type="dcterms:W3CDTF">2026-09-22T12:37:00Z</dcterms:modified>
</cp:coreProperties>
</file>