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5EFAD" w14:textId="77777777" w:rsidR="008D128E" w:rsidRPr="00B45AE1" w:rsidRDefault="008D128E" w:rsidP="001118E9">
      <w:pPr>
        <w:spacing w:before="100" w:beforeAutospacing="1" w:after="100" w:afterAutospacing="1" w:line="240" w:lineRule="auto"/>
        <w:ind w:left="5760"/>
        <w:jc w:val="both"/>
        <w:outlineLvl w:val="1"/>
        <w:rPr>
          <w:rFonts w:ascii="Times New Roman" w:hAnsi="Times New Roman" w:cs="Times New Roman"/>
          <w:b/>
          <w:bCs/>
          <w:sz w:val="24"/>
          <w:szCs w:val="24"/>
        </w:rPr>
      </w:pPr>
      <w:r w:rsidRPr="00B45AE1">
        <w:rPr>
          <w:rFonts w:ascii="Times New Roman" w:hAnsi="Times New Roman" w:cs="Times New Roman"/>
          <w:b/>
          <w:bCs/>
          <w:sz w:val="24"/>
          <w:szCs w:val="24"/>
        </w:rPr>
        <w:t xml:space="preserve">        Original Research Article </w:t>
      </w:r>
    </w:p>
    <w:p w14:paraId="3AE8877B" w14:textId="402E4696" w:rsidR="007145BC" w:rsidRPr="00B45AE1" w:rsidRDefault="007145BC" w:rsidP="001118E9">
      <w:pPr>
        <w:spacing w:before="100" w:beforeAutospacing="1" w:after="100" w:afterAutospacing="1" w:line="240" w:lineRule="auto"/>
        <w:jc w:val="both"/>
        <w:outlineLvl w:val="1"/>
        <w:rPr>
          <w:rFonts w:ascii="Times New Roman" w:hAnsi="Times New Roman" w:cs="Times New Roman"/>
          <w:b/>
          <w:sz w:val="24"/>
          <w:szCs w:val="24"/>
        </w:rPr>
      </w:pPr>
      <w:r w:rsidRPr="00B45AE1">
        <w:rPr>
          <w:rFonts w:ascii="Times New Roman" w:hAnsi="Times New Roman" w:cs="Times New Roman"/>
          <w:b/>
          <w:sz w:val="24"/>
          <w:szCs w:val="24"/>
        </w:rPr>
        <w:t>Disinfection By-products in Drinking Water and Associated Human Health Risks in Urban Communities of Rivers State, Nigeria</w:t>
      </w:r>
    </w:p>
    <w:p w14:paraId="4A56BAB0" w14:textId="77777777" w:rsidR="00B45AE1" w:rsidRPr="00B45AE1" w:rsidRDefault="00B45AE1" w:rsidP="001118E9">
      <w:pPr>
        <w:spacing w:before="100" w:beforeAutospacing="1" w:after="100" w:afterAutospacing="1" w:line="240" w:lineRule="auto"/>
        <w:jc w:val="both"/>
        <w:outlineLvl w:val="1"/>
        <w:rPr>
          <w:rStyle w:val="Emphasis"/>
          <w:rFonts w:ascii="Times New Roman" w:hAnsi="Times New Roman" w:cs="Times New Roman"/>
          <w:b/>
          <w:bCs/>
          <w:i w:val="0"/>
          <w:iCs w:val="0"/>
          <w:sz w:val="24"/>
          <w:szCs w:val="24"/>
        </w:rPr>
      </w:pPr>
    </w:p>
    <w:p w14:paraId="05A2460A"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Abstract</w:t>
      </w:r>
    </w:p>
    <w:p w14:paraId="3D65A4A1"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hAnsi="Times New Roman" w:cs="Times New Roman"/>
          <w:sz w:val="24"/>
          <w:szCs w:val="24"/>
        </w:rPr>
        <w:t>Disinfection by-products (DBPs) formed during drinking-water treatment may pose chronic health risks when exposure is sustained. This study characterised regulated and emerging DBPs and evaluated screening-level human health risks in drinking water from eleven urban communities and one commercial sachet-water sampling category in Rivers State, Nigeria. Thirty-six samples (three per sampling category) were analysed for physicochemical characteristics, trihalomethanes (THMs), haloacetic acids (HAAs), chlorite, chlorate, bromate, haloacetonitriles and selected heavy metals using calibrated field meters, gas chromatography-mass spectrometry, ion chromatography and inductively coupled plasma-optical emission spectrometry. Total THMs ranged from 18.64 ± 1.42 to 96.82 ± 4.24 µg/L and total HAAs from 8.42 ± 0.62 to 52.84 ± 2.28 µg/L. Bromate ranged from 1.42 ± 0.12 to 12.48 ± 0.66 µg/L, while lead ranged from 0.002 ± 0.001 to 0.026 ± 0.002 mg/L. The highest TTHM concentration occurred in Eleme, while Bonny had the highest measured residual chlorine; therefore, the observed DBP pattern cannot be attributed to chlorine residual alone. Screening hazard indices were below one for adults but reached 1.08 for children in Eleme, whereas the reported incremental lifetime cancer-risk estimates remained within the conventional 10⁻⁶-10⁻⁴ screening range. Because water-source type was not balanced across locations and detailed treatment histories were unavailable, source comparisons are interpreted descriptively and causal attribution is avoided. The study provides baseline DBP data for the Niger Delta and supports routine DBP surveillance, precursor control, optimisation of disinfectant dose and contact time, and source-specific treatment audits without compromising microbiological safety.</w:t>
      </w:r>
    </w:p>
    <w:p w14:paraId="7F699AC3"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hAnsi="Times New Roman" w:cs="Times New Roman"/>
          <w:b/>
          <w:bCs/>
          <w:i/>
          <w:iCs/>
          <w:sz w:val="24"/>
          <w:szCs w:val="24"/>
        </w:rPr>
        <w:t>Keywords:</w:t>
      </w:r>
      <w:r w:rsidRPr="00B45AE1">
        <w:rPr>
          <w:rFonts w:ascii="Times New Roman" w:hAnsi="Times New Roman" w:cs="Times New Roman"/>
          <w:sz w:val="24"/>
          <w:szCs w:val="24"/>
        </w:rPr>
        <w:t xml:space="preserve"> Disinfection by-products; Drinking water; Trihalomethanes; Haloacetic acids; Niger Delta; Water treatment.</w:t>
      </w:r>
    </w:p>
    <w:p w14:paraId="116328B9" w14:textId="77777777" w:rsidR="001118E9" w:rsidRPr="00B45AE1" w:rsidRDefault="001118E9" w:rsidP="001118E9">
      <w:pPr>
        <w:pStyle w:val="Heading1"/>
        <w:jc w:val="both"/>
        <w:rPr>
          <w:rFonts w:ascii="Times New Roman" w:hAnsi="Times New Roman" w:cs="Times New Roman"/>
          <w:b/>
          <w:bCs/>
          <w:color w:val="auto"/>
          <w:sz w:val="24"/>
          <w:szCs w:val="24"/>
        </w:rPr>
      </w:pPr>
      <w:r w:rsidRPr="00B45AE1">
        <w:rPr>
          <w:rFonts w:ascii="Times New Roman" w:hAnsi="Times New Roman" w:cs="Times New Roman"/>
          <w:b/>
          <w:bCs/>
          <w:color w:val="auto"/>
          <w:sz w:val="24"/>
          <w:szCs w:val="24"/>
        </w:rPr>
        <w:t>1.0 Introduction</w:t>
      </w:r>
    </w:p>
    <w:p w14:paraId="241DFAAE" w14:textId="77777777" w:rsidR="001118E9" w:rsidRPr="00B45AE1" w:rsidRDefault="001118E9" w:rsidP="001118E9">
      <w:pPr>
        <w:pStyle w:val="NormalWeb"/>
        <w:jc w:val="both"/>
      </w:pPr>
      <w:r w:rsidRPr="00B45AE1">
        <w:t>Access to microbiologically safe drinking water is fundamental to public health. Chlorination remains widely used because it is effective, comparatively inexpensive and capable of maintaining a disinfectant residual during distribution. However, chlorine and other oxidants can react with natural organic matter, bromide and other precursors to form disinfection by-products (DBPs). The challenge for water utilities is therefore to control microbial hazards while keeping chemical by-products as low as reasonably achievable (World Health Organization [WHO], 2022).</w:t>
      </w:r>
    </w:p>
    <w:p w14:paraId="2D26A4E7" w14:textId="77777777" w:rsidR="001118E9" w:rsidRPr="00B45AE1" w:rsidRDefault="001118E9" w:rsidP="001118E9">
      <w:pPr>
        <w:pStyle w:val="NormalWeb"/>
        <w:jc w:val="both"/>
      </w:pPr>
      <w:r w:rsidRPr="00B45AE1">
        <w:t xml:space="preserve">Trihalomethanes (THMs) and haloacetic acids (HAAs) are among the most frequently monitored DBPs, while chlorite, chlorate, bromate and nitrogen-containing DBPs are also important because their formation depends on disinfectant chemistry and source-water composition. Evidence from toxicological and epidemiological research supports continued attention to DBP exposure; a recent dose-response meta-analysis reported positive associations between higher THM/HAA exposure and several cancer outcomes, although risk varies by </w:t>
      </w:r>
      <w:r w:rsidRPr="00B45AE1">
        <w:lastRenderedPageBreak/>
        <w:t>compound, exposure route and population (Shi et al., 2024). More broadly, only a fraction of the many DBPs identified in disinfected water are routinely regulated, underscoring the need for both targeted monitoring and improved treatment control (Li &amp; Mitch, 2018; WHO, 2022).</w:t>
      </w:r>
    </w:p>
    <w:p>
      <w:pPr>
        <w:pStyle w:val="NormalWeb"/>
        <w:jc w:val="both"/>
      </w:pPr>
      <w:r>
        <w:rPr>
          <w:b/>
          <w:highlight w:val="yellow"/>
        </w:rPr>
        <w:t>A recent systematic review and dose-response meta-analysis of epidemiological studies further supports continued evaluation of residential trihalomethane exposure, particularly in relation to bladder and colorectal cancer risk (Helte et al., 2025).</w:t>
      </w:r>
    </w:p>
    <w:p w14:paraId="3E90F488" w14:textId="77777777" w:rsidR="001118E9" w:rsidRPr="00B45AE1" w:rsidRDefault="001118E9" w:rsidP="001118E9">
      <w:pPr>
        <w:pStyle w:val="NormalWeb"/>
        <w:jc w:val="both"/>
      </w:pPr>
      <w:r w:rsidRPr="00B45AE1">
        <w:t>DBP occurrence is influenced by precursor concentration and character, bromide, pH, temperature, disinfectant type and dose, contact time, water age and distribution-system conditions. THMs and HAAs commonly arise during chlorination, whereas chlorite and chlorate are particularly associated with chlorine-dioxide and hypochlorite chemistry and bromate is classically associated with oxidation of bromide, including ozonation. Consequently, measured DBP concentrations should not be attributed to a single treatment mechanism unless treatment history and precursor data are available (WHO, 2022).</w:t>
      </w:r>
    </w:p>
    <w:p>
      <w:pPr>
        <w:pStyle w:val="NormalWeb"/>
        <w:jc w:val="both"/>
      </w:pPr>
      <w:r>
        <w:rPr>
          <w:b/>
          <w:highlight w:val="yellow"/>
        </w:rPr>
        <w:t>Recent mechanistic synthesis confirms that chlorine, chloramine and ozone can generate distinct DBP classes through precursor-dependent reaction pathways, reinforcing the importance of disinfectant chemistry in interpreting occurrence patterns (Forster et al., 2025).</w:t>
      </w:r>
    </w:p>
    <w:p>
      <w:pPr>
        <w:pStyle w:val="NormalWeb"/>
        <w:jc w:val="both"/>
      </w:pPr>
      <w:r>
        <w:rPr>
          <w:b/>
          <w:highlight w:val="yellow"/>
        </w:rPr>
        <w:t>Conditions within drinking-water distribution systems can further influence DBP formation and transformation; in particular, interactions with metals in pipelines may modify DBP behaviour after treatment (Guo et al., 2024).</w:t>
      </w:r>
    </w:p>
    <w:p w14:paraId="5A01CB3D" w14:textId="77777777" w:rsidR="001118E9" w:rsidRPr="00B45AE1" w:rsidRDefault="001118E9" w:rsidP="001118E9">
      <w:pPr>
        <w:pStyle w:val="NormalWeb"/>
        <w:jc w:val="both"/>
      </w:pPr>
      <w:r w:rsidRPr="00B45AE1">
        <w:t>Rivers State lies within the industrialised Niger Delta, where petroleum operations, urban growth, municipal discharges and other anthropogenic pressures can affect the quality of surface water and groundwater used for domestic supply. Regional studies have documented hydrocarbon, metal and other contaminant burdens in aquatic systems, including surface waters in Rivers State (Aghanwa et al., 2025; Okpoji, Ogbaji, et al., 2025; Okpoji, Umeocho, et al., 2025). These studies do not directly quantify DBPs, but they demonstrate the broader source-water quality pressures that justify targeted investigation of treated drinking water.</w:t>
      </w:r>
    </w:p>
    <w:p>
      <w:pPr>
        <w:pStyle w:val="NormalWeb"/>
        <w:jc w:val="both"/>
      </w:pPr>
      <w:r>
        <w:rPr>
          <w:b/>
          <w:highlight w:val="yellow"/>
        </w:rPr>
        <w:t>Recent Niger Delta studies have also demonstrated location-specific variation in drinking-water hydrochemistry, trace-metal occurrence and overall water-quality status, including assessments in Brass Island and Obio/Akpor, thereby supporting the value of locally resolved surveillance (Ekesiobi et al., 2025; Elele et al., 2025).</w:t>
      </w:r>
    </w:p>
    <w:p w14:paraId="11DEC817" w14:textId="77777777" w:rsidR="001118E9" w:rsidRPr="00B45AE1" w:rsidRDefault="001118E9" w:rsidP="001118E9">
      <w:pPr>
        <w:pStyle w:val="NormalWeb"/>
        <w:jc w:val="both"/>
      </w:pPr>
      <w:r w:rsidRPr="00B45AE1">
        <w:t>Despite the importance of chlorination and other disinfection processes, published DBP occurrence data from Nigeria remain limited relative to the broader literature on petroleum hydrocarbons, heavy metals and physicochemical water quality. International evidence shows that DBP concentrations and risks vary with treatment conditions and source-water chemistry, reinforcing the need for locally generated data rather than extrapolation from other regions (Li &amp; Mitch, 2018; Shi et al., 2024).</w:t>
      </w:r>
    </w:p>
    <w:p w14:paraId="2AAEE789" w14:textId="77777777" w:rsidR="001118E9" w:rsidRPr="00B45AE1" w:rsidRDefault="001118E9" w:rsidP="001118E9">
      <w:pPr>
        <w:pStyle w:val="NormalWeb"/>
        <w:jc w:val="both"/>
      </w:pPr>
      <w:r w:rsidRPr="00B45AE1">
        <w:t>This study therefore addresses a regional evidence gap by reporting multiple DBP classes alongside physicochemical characteristics, selected metals and screening-level health-risk indices in drinking water from urban Rivers State. The cross-sectional design provides a baseline description of occurrence and potential exposure; it does not establish causal treatment pathways or seasonal trends.</w:t>
      </w:r>
    </w:p>
    <w:p w14:paraId="12F529B2" w14:textId="77777777" w:rsidR="001118E9" w:rsidRPr="00B45AE1" w:rsidRDefault="001118E9" w:rsidP="001118E9">
      <w:pPr>
        <w:pStyle w:val="NormalWeb"/>
        <w:jc w:val="both"/>
      </w:pPr>
      <w:r w:rsidRPr="00B45AE1">
        <w:t>The specific objectives were to: (1) determine the physicochemical characteristics of sampled drinking water; (2) quantify THMs, HAAs, chlorite, chlorate, bromate and haloacetonitriles; (3) determine selected heavy-metal concentrations; (4) estimate screening-level non-carcinogenic and carcinogenic health risks for adults and children; and (5) describe spatial patterns in the measured contaminants while avoiding causal source attribution not supported by the sampling design.</w:t>
      </w:r>
    </w:p>
    <w:p w14:paraId="624D4A9C" w14:textId="77777777" w:rsidR="007145BC" w:rsidRPr="00B45AE1" w:rsidRDefault="007145BC" w:rsidP="001118E9">
      <w:pPr>
        <w:pStyle w:val="Heading1"/>
        <w:jc w:val="both"/>
        <w:rPr>
          <w:rFonts w:ascii="Times New Roman" w:hAnsi="Times New Roman" w:cs="Times New Roman"/>
          <w:color w:val="auto"/>
          <w:sz w:val="24"/>
          <w:szCs w:val="24"/>
        </w:rPr>
      </w:pPr>
      <w:r w:rsidRPr="00B45AE1">
        <w:rPr>
          <w:rStyle w:val="Strong"/>
          <w:rFonts w:ascii="Times New Roman" w:hAnsi="Times New Roman" w:cs="Times New Roman"/>
          <w:color w:val="auto"/>
          <w:sz w:val="24"/>
          <w:szCs w:val="24"/>
        </w:rPr>
        <w:t>2.0 Materials and Methods</w:t>
      </w:r>
    </w:p>
    <w:p w14:paraId="4A341E4F" w14:textId="77777777" w:rsidR="007145BC" w:rsidRPr="00B45AE1" w:rsidRDefault="007145BC" w:rsidP="001118E9">
      <w:pPr>
        <w:pStyle w:val="Heading2"/>
        <w:jc w:val="both"/>
        <w:rPr>
          <w:sz w:val="24"/>
          <w:szCs w:val="24"/>
        </w:rPr>
      </w:pPr>
      <w:r w:rsidRPr="00B45AE1">
        <w:rPr>
          <w:rStyle w:val="Strong"/>
          <w:b/>
          <w:bCs/>
          <w:sz w:val="24"/>
          <w:szCs w:val="24"/>
        </w:rPr>
        <w:t>2.1 Study Area</w:t>
      </w:r>
    </w:p>
    <w:p w14:paraId="4C7B9C28" w14:textId="77777777" w:rsidR="007145BC" w:rsidRPr="00B45AE1" w:rsidRDefault="007145BC" w:rsidP="001118E9">
      <w:pPr>
        <w:pStyle w:val="NormalWeb"/>
        <w:jc w:val="both"/>
      </w:pPr>
      <w:r w:rsidRPr="00B45AE1">
        <w:t xml:space="preserve">The study was conducted in Rivers State, Nigeria, within the Niger Delta (approximately 4°30′-5°45′N and 6°20′-7°35′E). Sampling covered eleven named urban communities-Port Harcourt, Rumuola, Rumuokoro, Choba, Eleme, Oyigbo, Ahoada, Omoku, Bonny, Bori and Degema-plus one commercial sachet-water sampling category in Port Harcourt. The area has a tropical monsoon climate with high rainfall and humidity. The sampling categories represented </w:t>
      </w:r>
      <w:r w:rsidRPr="00B45AE1">
        <w:lastRenderedPageBreak/>
        <w:t>municipal tap water, borehole water, treated public water supply and commercially packaged sachet water.</w:t>
      </w:r>
      <w:r>
        <w:rPr>
          <w:highlight w:val="yellow"/>
        </w:rPr>
        <w:t xml:space="preserve"> The sampling locations are shown in Figure 1.</w:t>
      </w:r>
    </w:p>
    <w:p w14:paraId="3D22941B" w14:textId="77777777" w:rsidR="00AE3D13" w:rsidRPr="00B45AE1" w:rsidRDefault="00AE3D13" w:rsidP="001118E9">
      <w:pPr>
        <w:pStyle w:val="NormalWeb"/>
        <w:jc w:val="both"/>
      </w:pPr>
      <w:r w:rsidRPr="00B45AE1">
        <w:rPr>
          <w:noProof/>
        </w:rPr>
        <w:drawing>
          <wp:inline distT="0" distB="0" distL="0" distR="0" wp14:anchorId="050EBF48" wp14:editId="21CCCD4D">
            <wp:extent cx="5731510" cy="38195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819525"/>
                    </a:xfrm>
                    <a:prstGeom prst="rect">
                      <a:avLst/>
                    </a:prstGeom>
                    <a:noFill/>
                    <a:ln>
                      <a:noFill/>
                    </a:ln>
                  </pic:spPr>
                </pic:pic>
              </a:graphicData>
            </a:graphic>
          </wp:inline>
        </w:drawing>
      </w:r>
    </w:p>
    <w:p w14:paraId="7298A706" w14:textId="77777777" w:rsidR="00F72B19" w:rsidRPr="00B45AE1" w:rsidRDefault="00F72B19" w:rsidP="001118E9">
      <w:pPr>
        <w:pStyle w:val="NormalWeb"/>
        <w:jc w:val="both"/>
        <w:rPr>
          <w:b/>
          <w:bCs/>
        </w:rPr>
      </w:pPr>
      <w:r w:rsidRPr="00B45AE1">
        <w:rPr>
          <w:b/>
          <w:bCs/>
        </w:rPr>
        <w:t>Figure 1. Map of the Study Area Showing the Sampling Locations in Selected Urban Communities of Rivers State, Nigeria.</w:t>
      </w:r>
    </w:p>
    <w:p w14:paraId="654C7B80" w14:textId="77777777" w:rsidR="007145BC" w:rsidRPr="00B45AE1" w:rsidRDefault="007145BC" w:rsidP="001118E9">
      <w:pPr>
        <w:pStyle w:val="Heading2"/>
        <w:jc w:val="both"/>
        <w:rPr>
          <w:sz w:val="24"/>
          <w:szCs w:val="24"/>
        </w:rPr>
      </w:pPr>
      <w:r w:rsidRPr="00B45AE1">
        <w:rPr>
          <w:rStyle w:val="Strong"/>
          <w:b/>
          <w:bCs/>
          <w:sz w:val="24"/>
          <w:szCs w:val="24"/>
        </w:rPr>
        <w:t>2.2 Research Design</w:t>
      </w:r>
    </w:p>
    <w:p w14:paraId="422AD41D" w14:textId="77777777" w:rsidR="007145BC" w:rsidRPr="00B45AE1" w:rsidRDefault="007145BC" w:rsidP="001118E9">
      <w:pPr>
        <w:pStyle w:val="NormalWeb"/>
        <w:jc w:val="both"/>
      </w:pPr>
      <w:r w:rsidRPr="00B45AE1">
        <w:t>A cross-sectional descriptive analytical design was used to characterise drinking-water quality, DBP occurrence and screening-level human health risks at the selected sampling categories. Because water-source type was not balanced independently of location, comparisons among source types were treated as descriptive rather than causal or inferential.</w:t>
      </w:r>
    </w:p>
    <w:p w14:paraId="0018249F" w14:textId="77777777" w:rsidR="007145BC" w:rsidRPr="00B45AE1" w:rsidRDefault="007145BC" w:rsidP="001118E9">
      <w:pPr>
        <w:pStyle w:val="Heading2"/>
        <w:jc w:val="both"/>
        <w:rPr>
          <w:sz w:val="24"/>
          <w:szCs w:val="24"/>
        </w:rPr>
      </w:pPr>
      <w:r w:rsidRPr="00B45AE1">
        <w:rPr>
          <w:rStyle w:val="Strong"/>
          <w:b/>
          <w:bCs/>
          <w:sz w:val="24"/>
          <w:szCs w:val="24"/>
        </w:rPr>
        <w:t>2.3 Sample Collection</w:t>
      </w:r>
    </w:p>
    <w:p w14:paraId="39419133" w14:textId="77777777" w:rsidR="007145BC" w:rsidRPr="00B45AE1" w:rsidRDefault="007145BC" w:rsidP="001118E9">
      <w:pPr>
        <w:pStyle w:val="NormalWeb"/>
        <w:jc w:val="both"/>
      </w:pPr>
      <w:r w:rsidRPr="00B45AE1">
        <w:t>Thirty-six drinking-water samples were collected across twelve sampling categories, with three samples assigned to each category. Each category represented one predominant source type as shown in Table 1. Samples were collected into pre-cleaned one-litre amber glass bottles with Teflon-lined caps to minimise photodegradation and volatilisation. Sodium thiosulphate was added immediately to samples intended for chlorine-derived DBP analysis to quench residual disinfectant, and samples were transported at approximately 4 °C and analysed within 48 h. The available study records did not consistently document source-water origin, disinfectant type/dose, contact or residence time, or sachet brand/batch treatment history; these variables were therefore not used for causal source attribution.</w:t>
      </w:r>
    </w:p>
    <w:p w14:paraId="236C162A" w14:textId="77777777" w:rsidR="007145BC" w:rsidRPr="00B45AE1" w:rsidRDefault="007145BC" w:rsidP="001118E9">
      <w:pPr>
        <w:pStyle w:val="Heading2"/>
        <w:jc w:val="both"/>
        <w:rPr>
          <w:sz w:val="24"/>
          <w:szCs w:val="24"/>
        </w:rPr>
      </w:pPr>
      <w:r w:rsidRPr="00B45AE1">
        <w:rPr>
          <w:rStyle w:val="Strong"/>
          <w:b/>
          <w:bCs/>
          <w:sz w:val="24"/>
          <w:szCs w:val="24"/>
        </w:rPr>
        <w:t>2.4 Sample Preservation and Preparation</w:t>
      </w:r>
    </w:p>
    <w:p w14:paraId="049B190F" w14:textId="77777777" w:rsidR="007145BC" w:rsidRPr="00B45AE1" w:rsidRDefault="007145BC" w:rsidP="001118E9">
      <w:pPr>
        <w:pStyle w:val="NormalWeb"/>
        <w:jc w:val="both"/>
      </w:pPr>
      <w:r w:rsidRPr="00B45AE1">
        <w:lastRenderedPageBreak/>
        <w:t>Water samples were maintained at 4 °C until analysis. Samples intended for heavy-metal determination were preserved with concentrated nitric acid to pH &lt;2. DBP samples were handled with minimal headspace and analysed as promptly as practicable to reduce volatilisation and transformation. The cross-sectional sampling did not capture seasonal variability.</w:t>
      </w:r>
    </w:p>
    <w:p w14:paraId="4D1D1915" w14:textId="77777777" w:rsidR="007145BC" w:rsidRPr="00B45AE1" w:rsidRDefault="007145BC" w:rsidP="001118E9">
      <w:pPr>
        <w:pStyle w:val="Heading2"/>
        <w:jc w:val="both"/>
        <w:rPr>
          <w:sz w:val="24"/>
          <w:szCs w:val="24"/>
        </w:rPr>
      </w:pPr>
      <w:r w:rsidRPr="00B45AE1">
        <w:rPr>
          <w:rStyle w:val="Strong"/>
          <w:b/>
          <w:bCs/>
          <w:sz w:val="24"/>
          <w:szCs w:val="24"/>
        </w:rPr>
        <w:t>2.5 Determination of Physicochemical Parameters</w:t>
      </w:r>
    </w:p>
    <w:p w14:paraId="70582327" w14:textId="77777777" w:rsidR="007145BC" w:rsidRPr="00B45AE1" w:rsidRDefault="007145BC" w:rsidP="001118E9">
      <w:pPr>
        <w:pStyle w:val="NormalWeb"/>
        <w:jc w:val="both"/>
      </w:pPr>
      <w:r w:rsidRPr="00B45AE1">
        <w:t xml:space="preserve">Temperature, pH and electrical conductivity were measured in situ using calibrated portable meters. </w:t>
      </w:r>
      <w:r>
        <w:rPr>
          <w:highlight w:val="yellow"/>
        </w:rPr>
        <w:t xml:space="preserve">Total dissolved solids were obtained from conductivity-based measurements, turbidity was measured by nephelometry, and residual free chlorine was measured by the </w:t>
      </w:r>
      <w:r/>
      <w:proofErr w:type="gramStart"/>
      <w:r w:rsidRPr="00B45AE1">
        <w:t>N,N</w:t>
      </w:r>
      <w:proofErr w:type="gramEnd"/>
      <w:r w:rsidRPr="00B45AE1">
        <w:t>-diethyl-p-phenylenediamine (DPD) colorimetric method. Measurements were made in triplicate and reported as mean ± standard deviation. Calibration checks, blanks and duplicate measurements were used as applicable to the analytical workflow.</w:t>
      </w:r>
    </w:p>
    <w:p w14:paraId="004977EC" w14:textId="77777777" w:rsidR="007145BC" w:rsidRPr="00B45AE1" w:rsidRDefault="007145BC" w:rsidP="001118E9">
      <w:pPr>
        <w:pStyle w:val="Heading2"/>
        <w:jc w:val="both"/>
        <w:rPr>
          <w:sz w:val="24"/>
          <w:szCs w:val="24"/>
        </w:rPr>
      </w:pPr>
      <w:r w:rsidRPr="00B45AE1">
        <w:rPr>
          <w:rStyle w:val="Strong"/>
          <w:b/>
          <w:bCs/>
          <w:sz w:val="24"/>
          <w:szCs w:val="24"/>
        </w:rPr>
        <w:t>2.6 Determination of Trihalomethanes</w:t>
      </w:r>
    </w:p>
    <w:p w14:paraId="1D8A49D1" w14:textId="77777777" w:rsidR="007145BC" w:rsidRPr="00B45AE1" w:rsidRDefault="007145BC" w:rsidP="001118E9">
      <w:pPr>
        <w:pStyle w:val="NormalWeb"/>
        <w:jc w:val="both"/>
      </w:pPr>
      <w:r w:rsidRPr="00B45AE1">
        <w:t>Trihalomethanes were extracted by liquid-liquid extraction with methyl tert-butyl ether and analysed by Gas Chromatography-Mass Spectrometry (GC-MS). Chloroform, bromodichloromethane, dibromochloromethane and bromoform were identified and quantified against certified analytical standards. Volatile-sample handling was performed with minimal headspace and without prolonged open-vessel concentration to minimise analyte loss.</w:t>
      </w:r>
    </w:p>
    <w:p w14:paraId="5D3E896D" w14:textId="77777777" w:rsidR="007145BC" w:rsidRPr="00B45AE1" w:rsidRDefault="007145BC" w:rsidP="001118E9">
      <w:pPr>
        <w:pStyle w:val="Heading2"/>
        <w:jc w:val="both"/>
        <w:rPr>
          <w:sz w:val="24"/>
          <w:szCs w:val="24"/>
        </w:rPr>
      </w:pPr>
      <w:r w:rsidRPr="00B45AE1">
        <w:rPr>
          <w:rStyle w:val="Strong"/>
          <w:b/>
          <w:bCs/>
          <w:sz w:val="24"/>
          <w:szCs w:val="24"/>
        </w:rPr>
        <w:t xml:space="preserve">2.7 Determination of </w:t>
      </w:r>
      <w:proofErr w:type="spellStart"/>
      <w:r w:rsidRPr="00B45AE1">
        <w:rPr>
          <w:rStyle w:val="Strong"/>
          <w:b/>
          <w:bCs/>
          <w:sz w:val="24"/>
          <w:szCs w:val="24"/>
        </w:rPr>
        <w:t>Haloacetic</w:t>
      </w:r>
      <w:proofErr w:type="spellEnd"/>
      <w:r w:rsidRPr="00B45AE1">
        <w:rPr>
          <w:rStyle w:val="Strong"/>
          <w:b/>
          <w:bCs/>
          <w:sz w:val="24"/>
          <w:szCs w:val="24"/>
        </w:rPr>
        <w:t xml:space="preserve"> Acids</w:t>
      </w:r>
    </w:p>
    <w:p w14:paraId="432B1328" w14:textId="77777777" w:rsidR="007145BC" w:rsidRPr="00B45AE1" w:rsidRDefault="007145BC" w:rsidP="001118E9">
      <w:pPr>
        <w:pStyle w:val="NormalWeb"/>
        <w:jc w:val="both"/>
      </w:pPr>
      <w:r w:rsidRPr="00B45AE1">
        <w:t>Haloacetic acids were determined after acidification, liquid-liquid extraction and derivatisation to the corresponding methyl esters before GC-MS analysis. Monochloroacetic, dichloroacetic, trichloroacetic, monobromoacetic and dibromoacetic acids were quantified using calibration standards prepared from certified reference materials.</w:t>
      </w:r>
    </w:p>
    <w:p w14:paraId="668AC955" w14:textId="77777777" w:rsidR="007145BC" w:rsidRPr="00B45AE1" w:rsidRDefault="007145BC" w:rsidP="001118E9">
      <w:pPr>
        <w:pStyle w:val="Heading2"/>
        <w:jc w:val="both"/>
        <w:rPr>
          <w:sz w:val="24"/>
          <w:szCs w:val="24"/>
        </w:rPr>
      </w:pPr>
      <w:r w:rsidRPr="00B45AE1">
        <w:rPr>
          <w:rStyle w:val="Strong"/>
          <w:b/>
          <w:bCs/>
          <w:sz w:val="24"/>
          <w:szCs w:val="24"/>
        </w:rPr>
        <w:t>2.8 Determination of Other Disinfection By-products</w:t>
      </w:r>
    </w:p>
    <w:p w14:paraId="755ABFFB" w14:textId="77777777" w:rsidR="007145BC" w:rsidRPr="00B45AE1" w:rsidRDefault="007145BC" w:rsidP="001118E9">
      <w:pPr>
        <w:pStyle w:val="NormalWeb"/>
        <w:jc w:val="both"/>
      </w:pPr>
      <w:r w:rsidRPr="00B45AE1">
        <w:t>Chlorite, chlorate and bromate were determined by ion chromatography with conductivity detection. Haloacetonitriles were extracted by liquid-liquid extraction and analysed by GC-MS. Quantification used calibration standards prepared under the same analytical conditions. Interpretation of these compounds was based on their measured occurrence; chlorite/chlorate were not assumed to arise exclusively from chlorination, and bromate was not attributed to chlorine treatment in the absence of treatment-history data.</w:t>
      </w:r>
    </w:p>
    <w:p w14:paraId="3583F4EC" w14:textId="77777777" w:rsidR="007145BC" w:rsidRPr="00B45AE1" w:rsidRDefault="007145BC" w:rsidP="001118E9">
      <w:pPr>
        <w:pStyle w:val="Heading2"/>
        <w:jc w:val="both"/>
        <w:rPr>
          <w:sz w:val="24"/>
          <w:szCs w:val="24"/>
        </w:rPr>
      </w:pPr>
      <w:r w:rsidRPr="00B45AE1">
        <w:rPr>
          <w:rStyle w:val="Strong"/>
          <w:b/>
          <w:bCs/>
          <w:sz w:val="24"/>
          <w:szCs w:val="24"/>
        </w:rPr>
        <w:t>2.9 Determination of Heavy Metals</w:t>
      </w:r>
    </w:p>
    <w:p w14:paraId="2257DB93" w14:textId="77777777" w:rsidR="007145BC" w:rsidRPr="00B45AE1" w:rsidRDefault="007145BC" w:rsidP="001118E9">
      <w:pPr>
        <w:pStyle w:val="NormalWeb"/>
        <w:jc w:val="both"/>
      </w:pPr>
      <w:r w:rsidRPr="00B45AE1">
        <w:t>For heavy-metal analysis, 100 mL of each water sample was digested with concentrated nitric acid until a clear digest was obtained, filtered and made to 50 mL with deionised water. Lead (Pb), cadmium (Cd), chromium (Cr), nickel (Ni), copper (Cu), zinc (Zn) and iron (Fe) were quantified by Inductively Coupled Plasma-Optical Emission Spectrometry (ICP-OES) using calibration standards and quality-control samples.</w:t>
      </w:r>
    </w:p>
    <w:p w14:paraId="1F8F6814" w14:textId="77777777" w:rsidR="007145BC" w:rsidRPr="00B45AE1" w:rsidRDefault="007145BC" w:rsidP="001118E9">
      <w:pPr>
        <w:pStyle w:val="Heading2"/>
        <w:jc w:val="both"/>
        <w:rPr>
          <w:sz w:val="24"/>
          <w:szCs w:val="24"/>
        </w:rPr>
      </w:pPr>
      <w:r w:rsidRPr="00B45AE1">
        <w:rPr>
          <w:rStyle w:val="Strong"/>
          <w:b/>
          <w:bCs/>
          <w:sz w:val="24"/>
          <w:szCs w:val="24"/>
        </w:rPr>
        <w:t>2.10 Estimated Daily Intake</w:t>
      </w:r>
    </w:p>
    <w:p w14:paraId="5B987A4A" w14:textId="77777777" w:rsidR="007145BC" w:rsidRPr="00B45AE1" w:rsidRDefault="007145BC" w:rsidP="001118E9">
      <w:pPr>
        <w:pStyle w:val="NormalWeb"/>
        <w:jc w:val="both"/>
      </w:pPr>
      <w:r w:rsidRPr="00B45AE1">
        <w:lastRenderedPageBreak/>
        <w:t>Estimated Daily Intake (EDI) of disinfection by-products through drinking water consumption was calculated using:</w:t>
      </w:r>
    </w:p>
    <w:p w14:paraId="03985D7A" w14:textId="77777777" w:rsidR="007145BC" w:rsidRPr="00B45AE1" w:rsidRDefault="007145BC" w:rsidP="001118E9">
      <w:pPr>
        <w:pStyle w:val="NormalWeb"/>
        <w:jc w:val="both"/>
      </w:pPr>
      <w:r w:rsidRPr="00B45AE1">
        <w:t>EDI = (C × IR) / BW</w:t>
      </w:r>
    </w:p>
    <w:p w14:paraId="0746B6B7" w14:textId="77777777" w:rsidR="007145BC" w:rsidRPr="00B45AE1" w:rsidRDefault="007145BC" w:rsidP="001118E9">
      <w:pPr>
        <w:pStyle w:val="NormalWeb"/>
        <w:jc w:val="both"/>
      </w:pPr>
      <w:r w:rsidRPr="00B45AE1">
        <w:t>where:</w:t>
      </w:r>
    </w:p>
    <w:p w14:paraId="3EDC3018" w14:textId="77777777" w:rsidR="007145BC" w:rsidRPr="00B45AE1" w:rsidRDefault="007145BC" w:rsidP="001118E9">
      <w:pPr>
        <w:pStyle w:val="NormalWeb"/>
        <w:jc w:val="both"/>
      </w:pPr>
      <w:r w:rsidRPr="00B45AE1">
        <w:t>EDI = Estimated Daily Intake (mg/kg/day)</w:t>
      </w:r>
    </w:p>
    <w:p w14:paraId="202DE99A" w14:textId="77777777" w:rsidR="007145BC" w:rsidRPr="00B45AE1" w:rsidRDefault="007145BC" w:rsidP="001118E9">
      <w:pPr>
        <w:pStyle w:val="NormalWeb"/>
        <w:jc w:val="both"/>
      </w:pPr>
      <w:r w:rsidRPr="00B45AE1">
        <w:t>C = Concentration of contaminant in drinking water (mg/L)</w:t>
      </w:r>
    </w:p>
    <w:p w14:paraId="1C678D78" w14:textId="77777777" w:rsidR="007145BC" w:rsidRPr="00B45AE1" w:rsidRDefault="007145BC" w:rsidP="001118E9">
      <w:pPr>
        <w:pStyle w:val="NormalWeb"/>
        <w:jc w:val="both"/>
      </w:pPr>
      <w:r w:rsidRPr="00B45AE1">
        <w:t>IR = Daily water ingestion rate (L/day)</w:t>
      </w:r>
    </w:p>
    <w:p w14:paraId="4BAAE3E0" w14:textId="77777777" w:rsidR="007145BC" w:rsidRPr="00B45AE1" w:rsidRDefault="007145BC" w:rsidP="001118E9">
      <w:pPr>
        <w:pStyle w:val="NormalWeb"/>
        <w:jc w:val="both"/>
      </w:pPr>
      <w:r w:rsidRPr="00B45AE1">
        <w:t>BW = Body weight (kg)</w:t>
      </w:r>
    </w:p>
    <w:p w14:paraId="75F4D373" w14:textId="77777777" w:rsidR="007145BC" w:rsidRPr="00B45AE1" w:rsidRDefault="007145BC" w:rsidP="001118E9">
      <w:pPr>
        <w:pStyle w:val="NormalWeb"/>
        <w:jc w:val="both"/>
      </w:pPr>
      <w:r w:rsidRPr="00B45AE1">
        <w:t>Adult and child exposure scenarios were evaluated separately. The estimates are screening-level risk characterisations and should be interpreted in relation to the exposure factors and toxicological reference values used in the study calculations rather than as direct predictions of individual clinical risk.</w:t>
      </w:r>
    </w:p>
    <w:p w14:paraId="4C60E321" w14:textId="77777777" w:rsidR="007145BC" w:rsidRPr="00B45AE1" w:rsidRDefault="007145BC" w:rsidP="001118E9">
      <w:pPr>
        <w:pStyle w:val="Heading2"/>
        <w:jc w:val="both"/>
        <w:rPr>
          <w:sz w:val="24"/>
          <w:szCs w:val="24"/>
        </w:rPr>
      </w:pPr>
      <w:r w:rsidRPr="00B45AE1">
        <w:rPr>
          <w:rStyle w:val="Strong"/>
          <w:b/>
          <w:bCs/>
          <w:sz w:val="24"/>
          <w:szCs w:val="24"/>
        </w:rPr>
        <w:t>2.11 Chronic Daily Intake</w:t>
      </w:r>
    </w:p>
    <w:p w14:paraId="3BF648AC" w14:textId="77777777" w:rsidR="007145BC" w:rsidRPr="00B45AE1" w:rsidRDefault="007145BC" w:rsidP="001118E9">
      <w:pPr>
        <w:pStyle w:val="NormalWeb"/>
        <w:jc w:val="both"/>
      </w:pPr>
      <w:r w:rsidRPr="00B45AE1">
        <w:t>Chronic Daily Intake through ingestion was calculated using:</w:t>
      </w:r>
    </w:p>
    <w:p w14:paraId="724EC699" w14:textId="77777777" w:rsidR="007145BC" w:rsidRPr="00B45AE1" w:rsidRDefault="007145BC" w:rsidP="001118E9">
      <w:pPr>
        <w:pStyle w:val="NormalWeb"/>
        <w:jc w:val="both"/>
      </w:pPr>
      <w:r w:rsidRPr="00B45AE1">
        <w:t>CDI = (C × IR × EF × ED) / (BW × AT)</w:t>
      </w:r>
    </w:p>
    <w:p w14:paraId="5325CCCC" w14:textId="77777777" w:rsidR="007145BC" w:rsidRPr="00B45AE1" w:rsidRDefault="007145BC" w:rsidP="001118E9">
      <w:pPr>
        <w:pStyle w:val="NormalWeb"/>
        <w:jc w:val="both"/>
      </w:pPr>
      <w:r w:rsidRPr="00B45AE1">
        <w:t>where:</w:t>
      </w:r>
    </w:p>
    <w:p w14:paraId="6C2E99A1" w14:textId="77777777" w:rsidR="007145BC" w:rsidRPr="00B45AE1" w:rsidRDefault="007145BC" w:rsidP="001118E9">
      <w:pPr>
        <w:pStyle w:val="NormalWeb"/>
        <w:jc w:val="both"/>
      </w:pPr>
      <w:r w:rsidRPr="00B45AE1">
        <w:t>CDI = Chronic Daily Intake (mg/kg/day)</w:t>
      </w:r>
    </w:p>
    <w:p w14:paraId="52C8A86D" w14:textId="77777777" w:rsidR="007145BC" w:rsidRPr="00B45AE1" w:rsidRDefault="007145BC" w:rsidP="001118E9">
      <w:pPr>
        <w:pStyle w:val="NormalWeb"/>
        <w:jc w:val="both"/>
      </w:pPr>
      <w:r w:rsidRPr="00B45AE1">
        <w:t>C = Concentration of contaminant (mg/L)</w:t>
      </w:r>
    </w:p>
    <w:p w14:paraId="76F25003" w14:textId="77777777" w:rsidR="007145BC" w:rsidRPr="00B45AE1" w:rsidRDefault="007145BC" w:rsidP="001118E9">
      <w:pPr>
        <w:pStyle w:val="NormalWeb"/>
        <w:jc w:val="both"/>
      </w:pPr>
      <w:r w:rsidRPr="00B45AE1">
        <w:t>IR = Water ingestion rate (L/day)</w:t>
      </w:r>
    </w:p>
    <w:p w14:paraId="48F46AF1" w14:textId="77777777" w:rsidR="007145BC" w:rsidRPr="00B45AE1" w:rsidRDefault="007145BC" w:rsidP="001118E9">
      <w:pPr>
        <w:pStyle w:val="NormalWeb"/>
        <w:jc w:val="both"/>
      </w:pPr>
      <w:r w:rsidRPr="00B45AE1">
        <w:t>EF = Exposure frequency (days/year)</w:t>
      </w:r>
    </w:p>
    <w:p w14:paraId="63B77019" w14:textId="77777777" w:rsidR="007145BC" w:rsidRPr="00B45AE1" w:rsidRDefault="007145BC" w:rsidP="001118E9">
      <w:pPr>
        <w:pStyle w:val="NormalWeb"/>
        <w:jc w:val="both"/>
      </w:pPr>
      <w:r w:rsidRPr="00B45AE1">
        <w:t>ED = Exposure duration (years)</w:t>
      </w:r>
    </w:p>
    <w:p w14:paraId="0F54530A" w14:textId="77777777" w:rsidR="007145BC" w:rsidRPr="00B45AE1" w:rsidRDefault="007145BC" w:rsidP="001118E9">
      <w:pPr>
        <w:pStyle w:val="NormalWeb"/>
        <w:jc w:val="both"/>
      </w:pPr>
      <w:r w:rsidRPr="00B45AE1">
        <w:t>BW = Body weight (kg)</w:t>
      </w:r>
    </w:p>
    <w:p w14:paraId="310265F3" w14:textId="77777777" w:rsidR="007145BC" w:rsidRPr="00B45AE1" w:rsidRDefault="007145BC" w:rsidP="001118E9">
      <w:pPr>
        <w:pStyle w:val="NormalWeb"/>
        <w:jc w:val="both"/>
      </w:pPr>
      <w:r w:rsidRPr="00B45AE1">
        <w:t>AT = Averaging time (days)</w:t>
      </w:r>
    </w:p>
    <w:p w14:paraId="440DE169" w14:textId="77777777" w:rsidR="007145BC" w:rsidRPr="00B45AE1" w:rsidRDefault="007145BC" w:rsidP="001118E9">
      <w:pPr>
        <w:pStyle w:val="NormalWeb"/>
        <w:jc w:val="both"/>
      </w:pPr>
      <w:r w:rsidRPr="00B45AE1">
        <w:t>Dermal exposure was calculated using:</w:t>
      </w:r>
    </w:p>
    <w:p w14:paraId="638D5395" w14:textId="77777777" w:rsidR="007145BC" w:rsidRPr="00B45AE1" w:rsidRDefault="007145BC" w:rsidP="001118E9">
      <w:pPr>
        <w:pStyle w:val="NormalWeb"/>
        <w:jc w:val="both"/>
      </w:pPr>
      <w:proofErr w:type="spellStart"/>
      <w:r w:rsidRPr="00B45AE1">
        <w:t>CDIdermal</w:t>
      </w:r>
      <w:proofErr w:type="spellEnd"/>
      <w:r w:rsidRPr="00B45AE1">
        <w:t xml:space="preserve"> = (C × SA × </w:t>
      </w:r>
      <w:proofErr w:type="spellStart"/>
      <w:r w:rsidRPr="00B45AE1">
        <w:t>Kp</w:t>
      </w:r>
      <w:proofErr w:type="spellEnd"/>
      <w:r w:rsidRPr="00B45AE1">
        <w:t xml:space="preserve"> × ET × EF × ED × CF) / (BW × AT)</w:t>
      </w:r>
    </w:p>
    <w:p w14:paraId="3FCC5E2F" w14:textId="77777777" w:rsidR="007145BC" w:rsidRPr="00B45AE1" w:rsidRDefault="007145BC" w:rsidP="001118E9">
      <w:pPr>
        <w:pStyle w:val="NormalWeb"/>
        <w:jc w:val="both"/>
      </w:pPr>
      <w:r w:rsidRPr="00B45AE1">
        <w:t>where:</w:t>
      </w:r>
    </w:p>
    <w:p w14:paraId="1E460FDC" w14:textId="77777777" w:rsidR="007145BC" w:rsidRPr="00B45AE1" w:rsidRDefault="007145BC" w:rsidP="001118E9">
      <w:pPr>
        <w:pStyle w:val="NormalWeb"/>
        <w:jc w:val="both"/>
      </w:pPr>
      <w:r w:rsidRPr="00B45AE1">
        <w:t>SA = Exposed skin surface area (cm²)</w:t>
      </w:r>
    </w:p>
    <w:p w14:paraId="00DB3C26" w14:textId="77777777" w:rsidR="007145BC" w:rsidRPr="00B45AE1" w:rsidRDefault="007145BC" w:rsidP="001118E9">
      <w:pPr>
        <w:pStyle w:val="NormalWeb"/>
        <w:jc w:val="both"/>
      </w:pPr>
      <w:proofErr w:type="spellStart"/>
      <w:r w:rsidRPr="00B45AE1">
        <w:lastRenderedPageBreak/>
        <w:t>Kp</w:t>
      </w:r>
      <w:proofErr w:type="spellEnd"/>
      <w:r w:rsidRPr="00B45AE1">
        <w:t xml:space="preserve"> = Dermal permeability coefficient (cm/h)</w:t>
      </w:r>
    </w:p>
    <w:p w14:paraId="759F2D62" w14:textId="77777777" w:rsidR="007145BC" w:rsidRPr="00B45AE1" w:rsidRDefault="007145BC" w:rsidP="001118E9">
      <w:pPr>
        <w:pStyle w:val="NormalWeb"/>
        <w:jc w:val="both"/>
      </w:pPr>
      <w:r w:rsidRPr="00B45AE1">
        <w:t>ET = Exposure time (h/day)</w:t>
      </w:r>
    </w:p>
    <w:p w14:paraId="769CEF8D" w14:textId="77777777" w:rsidR="007145BC" w:rsidRPr="00B45AE1" w:rsidRDefault="007145BC" w:rsidP="001118E9">
      <w:pPr>
        <w:pStyle w:val="NormalWeb"/>
        <w:jc w:val="both"/>
      </w:pPr>
      <w:r w:rsidRPr="00B45AE1">
        <w:t>CF = Conversion factor.</w:t>
      </w:r>
    </w:p>
    <w:p w14:paraId="7D9EEFA0" w14:textId="77777777" w:rsidR="007145BC" w:rsidRPr="00B45AE1" w:rsidRDefault="007145BC" w:rsidP="001118E9">
      <w:pPr>
        <w:pStyle w:val="Heading2"/>
        <w:jc w:val="both"/>
        <w:rPr>
          <w:sz w:val="24"/>
          <w:szCs w:val="24"/>
        </w:rPr>
      </w:pPr>
      <w:r w:rsidRPr="00B45AE1">
        <w:rPr>
          <w:rStyle w:val="Strong"/>
          <w:b/>
          <w:bCs/>
          <w:sz w:val="24"/>
          <w:szCs w:val="24"/>
        </w:rPr>
        <w:t>2.12 Hazard Quotient</w:t>
      </w:r>
    </w:p>
    <w:p w14:paraId="555BD39F" w14:textId="77777777" w:rsidR="007145BC" w:rsidRPr="00B45AE1" w:rsidRDefault="007145BC" w:rsidP="001118E9">
      <w:pPr>
        <w:pStyle w:val="NormalWeb"/>
        <w:jc w:val="both"/>
      </w:pPr>
      <w:r w:rsidRPr="00B45AE1">
        <w:t>The non-carcinogenic health risk associated with individual contaminants was estimated using the Hazard Quotient:</w:t>
      </w:r>
    </w:p>
    <w:p w14:paraId="3ED25666" w14:textId="77777777" w:rsidR="007145BC" w:rsidRPr="00B45AE1" w:rsidRDefault="007145BC" w:rsidP="001118E9">
      <w:pPr>
        <w:pStyle w:val="NormalWeb"/>
        <w:jc w:val="both"/>
      </w:pPr>
      <w:r w:rsidRPr="00B45AE1">
        <w:t xml:space="preserve">HQ = CDI / </w:t>
      </w:r>
      <w:proofErr w:type="spellStart"/>
      <w:r w:rsidRPr="00B45AE1">
        <w:t>RfD</w:t>
      </w:r>
      <w:proofErr w:type="spellEnd"/>
    </w:p>
    <w:p w14:paraId="26496684" w14:textId="77777777" w:rsidR="007145BC" w:rsidRPr="00B45AE1" w:rsidRDefault="007145BC" w:rsidP="001118E9">
      <w:pPr>
        <w:pStyle w:val="NormalWeb"/>
        <w:jc w:val="both"/>
      </w:pPr>
      <w:r w:rsidRPr="00B45AE1">
        <w:t>where:</w:t>
      </w:r>
    </w:p>
    <w:p w14:paraId="68EE9929" w14:textId="77777777" w:rsidR="007145BC" w:rsidRPr="00B45AE1" w:rsidRDefault="007145BC" w:rsidP="001118E9">
      <w:pPr>
        <w:pStyle w:val="NormalWeb"/>
        <w:jc w:val="both"/>
      </w:pPr>
      <w:r w:rsidRPr="00B45AE1">
        <w:t>HQ = Hazard Quotient</w:t>
      </w:r>
    </w:p>
    <w:p w14:paraId="2476B77A" w14:textId="77777777" w:rsidR="007145BC" w:rsidRPr="00B45AE1" w:rsidRDefault="007145BC" w:rsidP="001118E9">
      <w:pPr>
        <w:pStyle w:val="NormalWeb"/>
        <w:jc w:val="both"/>
      </w:pPr>
      <w:r w:rsidRPr="00B45AE1">
        <w:t>CDI = Chronic Daily Intake (mg/kg/day)</w:t>
      </w:r>
    </w:p>
    <w:p w14:paraId="79698747" w14:textId="77777777" w:rsidR="007145BC" w:rsidRPr="00B45AE1" w:rsidRDefault="007145BC" w:rsidP="001118E9">
      <w:pPr>
        <w:pStyle w:val="NormalWeb"/>
        <w:jc w:val="both"/>
      </w:pPr>
      <w:proofErr w:type="spellStart"/>
      <w:r w:rsidRPr="00B45AE1">
        <w:t>RfD</w:t>
      </w:r>
      <w:proofErr w:type="spellEnd"/>
      <w:r w:rsidRPr="00B45AE1">
        <w:t xml:space="preserve"> = Reference dose (mg/kg/day)</w:t>
      </w:r>
    </w:p>
    <w:p w14:paraId="6077A554" w14:textId="77777777" w:rsidR="007145BC" w:rsidRPr="00B45AE1" w:rsidRDefault="007145BC" w:rsidP="001118E9">
      <w:pPr>
        <w:pStyle w:val="NormalWeb"/>
        <w:jc w:val="both"/>
      </w:pPr>
      <w:r w:rsidRPr="00B45AE1">
        <w:t>HQ &lt;1 was interpreted as indicating that appreciable non-carcinogenic effects were not expected under the stated screening assumptions; HQ ≥1 was treated as a signal for further assessment rather than proof of adverse effects.</w:t>
      </w:r>
    </w:p>
    <w:p w14:paraId="690E6F24" w14:textId="77777777" w:rsidR="007145BC" w:rsidRPr="00B45AE1" w:rsidRDefault="007145BC" w:rsidP="001118E9">
      <w:pPr>
        <w:pStyle w:val="Heading2"/>
        <w:jc w:val="both"/>
        <w:rPr>
          <w:sz w:val="24"/>
          <w:szCs w:val="24"/>
        </w:rPr>
      </w:pPr>
      <w:r w:rsidRPr="00B45AE1">
        <w:rPr>
          <w:rStyle w:val="Strong"/>
          <w:b/>
          <w:bCs/>
          <w:sz w:val="24"/>
          <w:szCs w:val="24"/>
        </w:rPr>
        <w:t>2.13 Hazard Index</w:t>
      </w:r>
    </w:p>
    <w:p w14:paraId="69CA99EF" w14:textId="77777777" w:rsidR="007145BC" w:rsidRPr="00B45AE1" w:rsidRDefault="007145BC" w:rsidP="001118E9">
      <w:pPr>
        <w:pStyle w:val="NormalWeb"/>
        <w:jc w:val="both"/>
      </w:pPr>
      <w:r w:rsidRPr="00B45AE1">
        <w:t>The cumulative non-carcinogenic health risk was determined using:</w:t>
      </w:r>
    </w:p>
    <w:p w14:paraId="1C804835" w14:textId="77777777" w:rsidR="007145BC" w:rsidRPr="00B45AE1" w:rsidRDefault="007145BC" w:rsidP="001118E9">
      <w:pPr>
        <w:pStyle w:val="NormalWeb"/>
        <w:jc w:val="both"/>
      </w:pPr>
      <w:r w:rsidRPr="00B45AE1">
        <w:t>HI = ΣHQ</w:t>
      </w:r>
    </w:p>
    <w:p w14:paraId="005EDFB1" w14:textId="77777777" w:rsidR="007145BC" w:rsidRPr="00B45AE1" w:rsidRDefault="007145BC" w:rsidP="001118E9">
      <w:pPr>
        <w:pStyle w:val="NormalWeb"/>
        <w:jc w:val="both"/>
      </w:pPr>
      <w:r w:rsidRPr="00B45AE1">
        <w:t>where:</w:t>
      </w:r>
    </w:p>
    <w:p w14:paraId="52B832E3" w14:textId="77777777" w:rsidR="007145BC" w:rsidRPr="00B45AE1" w:rsidRDefault="007145BC" w:rsidP="001118E9">
      <w:pPr>
        <w:pStyle w:val="NormalWeb"/>
        <w:jc w:val="both"/>
      </w:pPr>
      <w:r w:rsidRPr="00B45AE1">
        <w:t>HI = Hazard Index</w:t>
      </w:r>
    </w:p>
    <w:p w14:paraId="7F850109" w14:textId="77777777" w:rsidR="007145BC" w:rsidRPr="00B45AE1" w:rsidRDefault="007145BC" w:rsidP="001118E9">
      <w:pPr>
        <w:pStyle w:val="NormalWeb"/>
        <w:jc w:val="both"/>
      </w:pPr>
      <w:r w:rsidRPr="00B45AE1">
        <w:t>HQ = Hazard Quotient for each contaminant.</w:t>
      </w:r>
    </w:p>
    <w:p w14:paraId="2C85A4F1" w14:textId="77777777" w:rsidR="007145BC" w:rsidRPr="00B45AE1" w:rsidRDefault="007145BC" w:rsidP="001118E9">
      <w:pPr>
        <w:pStyle w:val="NormalWeb"/>
        <w:jc w:val="both"/>
      </w:pPr>
      <w:r w:rsidRPr="00B45AE1">
        <w:t>HI &gt;1 was interpreted as a screening indication of potential cumulative non-carcinogenic concern and a basis for further evaluation.</w:t>
      </w:r>
    </w:p>
    <w:p w14:paraId="1E156FF8" w14:textId="77777777" w:rsidR="007145BC" w:rsidRPr="00B45AE1" w:rsidRDefault="007145BC" w:rsidP="001118E9">
      <w:pPr>
        <w:pStyle w:val="Heading2"/>
        <w:jc w:val="both"/>
        <w:rPr>
          <w:sz w:val="24"/>
          <w:szCs w:val="24"/>
        </w:rPr>
      </w:pPr>
      <w:r w:rsidRPr="00B45AE1">
        <w:rPr>
          <w:rStyle w:val="Strong"/>
          <w:b/>
          <w:bCs/>
          <w:sz w:val="24"/>
          <w:szCs w:val="24"/>
        </w:rPr>
        <w:t>2.14 Incremental Lifetime Cancer Risk</w:t>
      </w:r>
    </w:p>
    <w:p w14:paraId="37753C56" w14:textId="77777777" w:rsidR="007145BC" w:rsidRPr="00B45AE1" w:rsidRDefault="007145BC" w:rsidP="001118E9">
      <w:pPr>
        <w:pStyle w:val="NormalWeb"/>
        <w:jc w:val="both"/>
      </w:pPr>
      <w:r w:rsidRPr="00B45AE1">
        <w:t>Cancer risk associated with carcinogenic disinfection by-products was estimated using:</w:t>
      </w:r>
    </w:p>
    <w:p w14:paraId="27986E69" w14:textId="77777777" w:rsidR="007145BC" w:rsidRPr="00B45AE1" w:rsidRDefault="007145BC" w:rsidP="001118E9">
      <w:pPr>
        <w:pStyle w:val="NormalWeb"/>
        <w:jc w:val="both"/>
      </w:pPr>
      <w:r w:rsidRPr="00B45AE1">
        <w:t>ILCR = CDI × CSF</w:t>
      </w:r>
    </w:p>
    <w:p w14:paraId="1DD06A58" w14:textId="77777777" w:rsidR="007145BC" w:rsidRPr="00B45AE1" w:rsidRDefault="007145BC" w:rsidP="001118E9">
      <w:pPr>
        <w:pStyle w:val="NormalWeb"/>
        <w:jc w:val="both"/>
      </w:pPr>
      <w:r w:rsidRPr="00B45AE1">
        <w:t>where:</w:t>
      </w:r>
    </w:p>
    <w:p w14:paraId="5F8C6E49" w14:textId="77777777" w:rsidR="007145BC" w:rsidRPr="00B45AE1" w:rsidRDefault="007145BC" w:rsidP="001118E9">
      <w:pPr>
        <w:pStyle w:val="NormalWeb"/>
        <w:jc w:val="both"/>
      </w:pPr>
      <w:r w:rsidRPr="00B45AE1">
        <w:t>ILCR = Incremental Lifetime Cancer Risk</w:t>
      </w:r>
    </w:p>
    <w:p w14:paraId="296FC8D4" w14:textId="77777777" w:rsidR="007145BC" w:rsidRPr="00B45AE1" w:rsidRDefault="007145BC" w:rsidP="001118E9">
      <w:pPr>
        <w:pStyle w:val="NormalWeb"/>
        <w:jc w:val="both"/>
      </w:pPr>
      <w:r w:rsidRPr="00B45AE1">
        <w:lastRenderedPageBreak/>
        <w:t>CDI = Chronic Daily Intake (mg/kg/day)</w:t>
      </w:r>
    </w:p>
    <w:p w14:paraId="40782C7B" w14:textId="77777777" w:rsidR="007145BC" w:rsidRPr="00B45AE1" w:rsidRDefault="007145BC" w:rsidP="001118E9">
      <w:pPr>
        <w:pStyle w:val="NormalWeb"/>
        <w:jc w:val="both"/>
      </w:pPr>
      <w:r w:rsidRPr="00B45AE1">
        <w:t>CSF = Cancer Slope Factor ((mg/kg/</w:t>
      </w:r>
      <w:proofErr w:type="gramStart"/>
      <w:r w:rsidRPr="00B45AE1">
        <w:t>day)⁻</w:t>
      </w:r>
      <w:proofErr w:type="gramEnd"/>
      <w:r w:rsidRPr="00B45AE1">
        <w:t>¹)</w:t>
      </w:r>
    </w:p>
    <w:p w14:paraId="5D4F3EC0" w14:textId="77777777" w:rsidR="007145BC" w:rsidRPr="00B45AE1" w:rsidRDefault="007145BC" w:rsidP="001118E9">
      <w:pPr>
        <w:pStyle w:val="NormalWeb"/>
        <w:jc w:val="both"/>
      </w:pPr>
      <w:r w:rsidRPr="00B45AE1">
        <w:t>ILCR values were interpreted using the commonly applied screening range of approximately 10⁻⁶ to 10⁻⁴; these estimates are model-based and depend on the selected exposure and cancer-slope assumptions.</w:t>
      </w:r>
    </w:p>
    <w:p w14:paraId="4427444F" w14:textId="77777777" w:rsidR="007145BC" w:rsidRPr="00B45AE1" w:rsidRDefault="007145BC" w:rsidP="001118E9">
      <w:pPr>
        <w:pStyle w:val="Heading2"/>
        <w:jc w:val="both"/>
        <w:rPr>
          <w:sz w:val="24"/>
          <w:szCs w:val="24"/>
        </w:rPr>
      </w:pPr>
      <w:r w:rsidRPr="00B45AE1">
        <w:rPr>
          <w:rStyle w:val="Strong"/>
          <w:b/>
          <w:bCs/>
          <w:sz w:val="24"/>
          <w:szCs w:val="24"/>
        </w:rPr>
        <w:t>2.15 Quality Assurance and Quality Control</w:t>
      </w:r>
    </w:p>
    <w:p w14:paraId="31746E81" w14:textId="77777777" w:rsidR="007145BC" w:rsidRPr="00B45AE1" w:rsidRDefault="007145BC" w:rsidP="001118E9">
      <w:pPr>
        <w:pStyle w:val="NormalWeb"/>
        <w:jc w:val="both"/>
      </w:pPr>
      <w:r w:rsidRPr="00B45AE1">
        <w:t>All glassware was soaked in 10% nitric acid for 24 h and rinsed with deionised water before use. Instrument calibration used certified analytical standards. Method blanks, duplicate samples, matrix spikes and certified reference materials were analysed with field samples. Overall recoveries reported in the study records were 90-110%, with relative standard deviations below 5%. Because analyte-group-specific recovery, LOD/LOQ and full instrument operating records were not retained in the manuscript dataset, this is acknowledged as a reproducibility limitation rather than supplemented with unverified values.</w:t>
      </w:r>
    </w:p>
    <w:p w14:paraId="5AC0229A" w14:textId="77777777" w:rsidR="007145BC" w:rsidRPr="00B45AE1" w:rsidRDefault="007145BC" w:rsidP="001118E9">
      <w:pPr>
        <w:pStyle w:val="Heading2"/>
        <w:jc w:val="both"/>
        <w:rPr>
          <w:sz w:val="24"/>
          <w:szCs w:val="24"/>
        </w:rPr>
      </w:pPr>
      <w:r w:rsidRPr="00B45AE1">
        <w:rPr>
          <w:rStyle w:val="Strong"/>
          <w:b/>
          <w:bCs/>
          <w:sz w:val="24"/>
          <w:szCs w:val="24"/>
        </w:rPr>
        <w:t>2.16 Statistical Analysis</w:t>
      </w:r>
    </w:p>
    <w:p w14:paraId="17FC62B0" w14:textId="77777777" w:rsidR="007145BC" w:rsidRPr="00B45AE1" w:rsidRDefault="007145BC" w:rsidP="001118E9">
      <w:pPr>
        <w:pStyle w:val="NormalWeb"/>
        <w:jc w:val="both"/>
      </w:pPr>
      <w:r w:rsidRPr="00B45AE1">
        <w:t>Results are presented primarily as descriptive statistics (mean ± standard deviation, ranges and location-specific values). The three observations within each sampling category were used to summarise that category. Because the design did not provide balanced independent replication of water-source type across locations and the underlying raw-data structure was not available for verification, inferential source-type comparisons, the previously reported Pearson correlation matrix and principal component analysis were removed from the revised manuscript. This avoids treating analytical or within-category replicates as independent experimental units.</w:t>
      </w:r>
    </w:p>
    <w:p w14:paraId="4862AD43" w14:textId="77777777" w:rsidR="007145BC" w:rsidRPr="00B45AE1" w:rsidRDefault="007145BC" w:rsidP="001118E9">
      <w:pPr>
        <w:pStyle w:val="Heading1"/>
        <w:jc w:val="both"/>
        <w:rPr>
          <w:rFonts w:ascii="Times New Roman" w:hAnsi="Times New Roman" w:cs="Times New Roman"/>
          <w:color w:val="auto"/>
          <w:sz w:val="24"/>
          <w:szCs w:val="24"/>
        </w:rPr>
      </w:pPr>
      <w:r w:rsidRPr="00B45AE1">
        <w:rPr>
          <w:rStyle w:val="Strong"/>
          <w:rFonts w:ascii="Times New Roman" w:hAnsi="Times New Roman" w:cs="Times New Roman"/>
          <w:color w:val="auto"/>
          <w:sz w:val="24"/>
          <w:szCs w:val="24"/>
        </w:rPr>
        <w:t>3.0 Results</w:t>
      </w:r>
    </w:p>
    <w:p w14:paraId="0C9DCD71" w14:textId="77777777" w:rsidR="007145BC" w:rsidRPr="00B45AE1" w:rsidRDefault="007145BC" w:rsidP="001118E9">
      <w:pPr>
        <w:pStyle w:val="Heading2"/>
        <w:jc w:val="both"/>
        <w:rPr>
          <w:sz w:val="24"/>
          <w:szCs w:val="24"/>
        </w:rPr>
      </w:pPr>
      <w:r w:rsidRPr="00B45AE1">
        <w:rPr>
          <w:rStyle w:val="Strong"/>
          <w:b/>
          <w:bCs/>
          <w:sz w:val="24"/>
          <w:szCs w:val="24"/>
        </w:rPr>
        <w:t>3.1 Sampling Locations and Drinking Water Sources in Selected Urban Communities of Rivers State</w:t>
      </w:r>
    </w:p>
    <w:p w14:paraId="1CDF2352" w14:textId="77777777" w:rsidR="007145BC" w:rsidRPr="00B45AE1" w:rsidRDefault="007145BC" w:rsidP="001118E9">
      <w:pPr>
        <w:pStyle w:val="NormalWeb"/>
        <w:jc w:val="both"/>
      </w:pPr>
      <w:r w:rsidRPr="00B45AE1"/>
      <w:r>
        <w:rPr>
          <w:highlight w:val="yellow"/>
        </w:rPr>
        <w:t>A total of 36 drinking-water samples were included across twelve sampling categories:</w:t>
      </w:r>
      <w:r>
        <w:t xml:space="preserve"> eleven named urban communities and one commercial sachet-water category in Port Harcourt. Four source descriptions were represented (municipal tap, borehole, treated public supply and sachet water), but source type was confounded with location and is therefore described rather than statistically compared. </w:t>
      </w:r>
      <w:r>
        <w:rPr>
          <w:highlight w:val="yellow"/>
        </w:rPr>
        <w:t>The sampling locations and drinking-water sources are presented in Table 1.</w:t>
      </w:r>
      <w:r/>
    </w:p>
    <w:p w14:paraId="375ACE44" w14:textId="77777777" w:rsidR="007145BC" w:rsidRPr="00B45AE1" w:rsidRDefault="007145BC" w:rsidP="001118E9">
      <w:pPr>
        <w:pStyle w:val="NormalWeb"/>
        <w:jc w:val="both"/>
      </w:pPr>
      <w:r w:rsidRPr="00B45AE1">
        <w:rPr>
          <w:rStyle w:val="Strong"/>
        </w:rPr>
        <w:t>Table 1 Sampling Locations and Drinking Water Sources in Selected Urban Communities of Rivers State</w:t>
      </w:r>
    </w:p>
    <w:tbl>
      <w:tblPr>
        <w:tblStyle w:val="TableGrid"/>
        <w:tblW w:w="0" w:type="auto"/>
        <w:tblLook w:val="04A0" w:firstRow="1" w:lastRow="0" w:firstColumn="1" w:lastColumn="0" w:noHBand="0" w:noVBand="1"/>
      </w:tblPr>
      <w:tblGrid>
        <w:gridCol w:w="1147"/>
        <w:gridCol w:w="2266"/>
        <w:gridCol w:w="2386"/>
        <w:gridCol w:w="1812"/>
        <w:gridCol w:w="1405"/>
      </w:tblGrid>
      <w:tr w:rsidR="00B45AE1" w:rsidRPr="00B45AE1" w14:paraId="729A587B" w14:textId="77777777" w:rsidTr="00DF0BA0">
        <w:trPr>
          <w:tblHeader/>
        </w:trPr>
        <w:tc>
          <w:tcPr>
            <w:tcW w:w="0" w:type="auto"/>
            <w:hideMark/>
          </w:tcPr>
          <w:p w14:paraId="31A7D980"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Sample Code</w:t>
            </w:r>
          </w:p>
        </w:tc>
        <w:tc>
          <w:tcPr>
            <w:tcW w:w="0" w:type="auto"/>
            <w:hideMark/>
          </w:tcPr>
          <w:p w14:paraId="0F4FD254"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Community</w:t>
            </w:r>
          </w:p>
        </w:tc>
        <w:tc>
          <w:tcPr>
            <w:tcW w:w="0" w:type="auto"/>
            <w:hideMark/>
          </w:tcPr>
          <w:p w14:paraId="0444974B"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Local Government Area</w:t>
            </w:r>
          </w:p>
        </w:tc>
        <w:tc>
          <w:tcPr>
            <w:tcW w:w="0" w:type="auto"/>
            <w:hideMark/>
          </w:tcPr>
          <w:p w14:paraId="566CC341"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Water Source</w:t>
            </w:r>
          </w:p>
        </w:tc>
        <w:tc>
          <w:tcPr>
            <w:tcW w:w="0" w:type="auto"/>
            <w:hideMark/>
          </w:tcPr>
          <w:p w14:paraId="258B787F"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Number of Samples</w:t>
            </w:r>
          </w:p>
        </w:tc>
      </w:tr>
      <w:tr w:rsidR="00B45AE1" w:rsidRPr="00B45AE1" w14:paraId="144B63FD" w14:textId="77777777" w:rsidTr="00DF0BA0">
        <w:tc>
          <w:tcPr>
            <w:tcW w:w="0" w:type="auto"/>
            <w:hideMark/>
          </w:tcPr>
          <w:p w14:paraId="2641574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DW-01</w:t>
            </w:r>
          </w:p>
        </w:tc>
        <w:tc>
          <w:tcPr>
            <w:tcW w:w="0" w:type="auto"/>
            <w:hideMark/>
          </w:tcPr>
          <w:p w14:paraId="33BEFF1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Port Harcourt</w:t>
            </w:r>
          </w:p>
        </w:tc>
        <w:tc>
          <w:tcPr>
            <w:tcW w:w="0" w:type="auto"/>
            <w:hideMark/>
          </w:tcPr>
          <w:p w14:paraId="414DC2B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Port Harcourt City</w:t>
            </w:r>
          </w:p>
        </w:tc>
        <w:tc>
          <w:tcPr>
            <w:tcW w:w="0" w:type="auto"/>
            <w:hideMark/>
          </w:tcPr>
          <w:p w14:paraId="5F33D5B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Municipal tap water</w:t>
            </w:r>
          </w:p>
        </w:tc>
        <w:tc>
          <w:tcPr>
            <w:tcW w:w="0" w:type="auto"/>
            <w:hideMark/>
          </w:tcPr>
          <w:p w14:paraId="629BF679"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7A29820B" w14:textId="77777777" w:rsidTr="00DF0BA0">
        <w:tc>
          <w:tcPr>
            <w:tcW w:w="0" w:type="auto"/>
            <w:hideMark/>
          </w:tcPr>
          <w:p w14:paraId="2B47A73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DW-02</w:t>
            </w:r>
          </w:p>
        </w:tc>
        <w:tc>
          <w:tcPr>
            <w:tcW w:w="0" w:type="auto"/>
            <w:hideMark/>
          </w:tcPr>
          <w:p w14:paraId="76E5EB2C"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Rumuola</w:t>
            </w:r>
            <w:proofErr w:type="spellEnd"/>
          </w:p>
        </w:tc>
        <w:tc>
          <w:tcPr>
            <w:tcW w:w="0" w:type="auto"/>
            <w:hideMark/>
          </w:tcPr>
          <w:p w14:paraId="6D7BF829"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Obio/Akpor</w:t>
            </w:r>
          </w:p>
        </w:tc>
        <w:tc>
          <w:tcPr>
            <w:tcW w:w="0" w:type="auto"/>
            <w:hideMark/>
          </w:tcPr>
          <w:p w14:paraId="47EC1C6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Borehole water</w:t>
            </w:r>
          </w:p>
        </w:tc>
        <w:tc>
          <w:tcPr>
            <w:tcW w:w="0" w:type="auto"/>
            <w:hideMark/>
          </w:tcPr>
          <w:p w14:paraId="480B723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15546D97" w14:textId="77777777" w:rsidTr="00DF0BA0">
        <w:tc>
          <w:tcPr>
            <w:tcW w:w="0" w:type="auto"/>
            <w:hideMark/>
          </w:tcPr>
          <w:p w14:paraId="256EC69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DW-03</w:t>
            </w:r>
          </w:p>
        </w:tc>
        <w:tc>
          <w:tcPr>
            <w:tcW w:w="0" w:type="auto"/>
            <w:hideMark/>
          </w:tcPr>
          <w:p w14:paraId="25C4C281"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Rumuokoro</w:t>
            </w:r>
            <w:proofErr w:type="spellEnd"/>
          </w:p>
        </w:tc>
        <w:tc>
          <w:tcPr>
            <w:tcW w:w="0" w:type="auto"/>
            <w:hideMark/>
          </w:tcPr>
          <w:p w14:paraId="0866A52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Obio/Akpor</w:t>
            </w:r>
          </w:p>
        </w:tc>
        <w:tc>
          <w:tcPr>
            <w:tcW w:w="0" w:type="auto"/>
            <w:hideMark/>
          </w:tcPr>
          <w:p w14:paraId="64DBB92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Borehole water</w:t>
            </w:r>
          </w:p>
        </w:tc>
        <w:tc>
          <w:tcPr>
            <w:tcW w:w="0" w:type="auto"/>
            <w:hideMark/>
          </w:tcPr>
          <w:p w14:paraId="5C5A755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01CB0A3A" w14:textId="77777777" w:rsidTr="00DF0BA0">
        <w:tc>
          <w:tcPr>
            <w:tcW w:w="0" w:type="auto"/>
            <w:hideMark/>
          </w:tcPr>
          <w:p w14:paraId="62FCEB4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lastRenderedPageBreak/>
              <w:t>DW-04</w:t>
            </w:r>
          </w:p>
        </w:tc>
        <w:tc>
          <w:tcPr>
            <w:tcW w:w="0" w:type="auto"/>
            <w:hideMark/>
          </w:tcPr>
          <w:p w14:paraId="1BDC0B0C"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Choba</w:t>
            </w:r>
          </w:p>
        </w:tc>
        <w:tc>
          <w:tcPr>
            <w:tcW w:w="0" w:type="auto"/>
            <w:hideMark/>
          </w:tcPr>
          <w:p w14:paraId="63A07A9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Obio/Akpor</w:t>
            </w:r>
          </w:p>
        </w:tc>
        <w:tc>
          <w:tcPr>
            <w:tcW w:w="0" w:type="auto"/>
            <w:hideMark/>
          </w:tcPr>
          <w:p w14:paraId="1E8AD0C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Municipal tap water</w:t>
            </w:r>
          </w:p>
        </w:tc>
        <w:tc>
          <w:tcPr>
            <w:tcW w:w="0" w:type="auto"/>
            <w:hideMark/>
          </w:tcPr>
          <w:p w14:paraId="4E788D2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5110FA51" w14:textId="77777777" w:rsidTr="00DF0BA0">
        <w:tc>
          <w:tcPr>
            <w:tcW w:w="0" w:type="auto"/>
            <w:hideMark/>
          </w:tcPr>
          <w:p w14:paraId="6554016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DW-05</w:t>
            </w:r>
          </w:p>
        </w:tc>
        <w:tc>
          <w:tcPr>
            <w:tcW w:w="0" w:type="auto"/>
            <w:hideMark/>
          </w:tcPr>
          <w:p w14:paraId="62C5A37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Eleme</w:t>
            </w:r>
          </w:p>
        </w:tc>
        <w:tc>
          <w:tcPr>
            <w:tcW w:w="0" w:type="auto"/>
            <w:hideMark/>
          </w:tcPr>
          <w:p w14:paraId="531C995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Eleme</w:t>
            </w:r>
          </w:p>
        </w:tc>
        <w:tc>
          <w:tcPr>
            <w:tcW w:w="0" w:type="auto"/>
            <w:hideMark/>
          </w:tcPr>
          <w:p w14:paraId="0B3396A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Borehole water</w:t>
            </w:r>
          </w:p>
        </w:tc>
        <w:tc>
          <w:tcPr>
            <w:tcW w:w="0" w:type="auto"/>
            <w:hideMark/>
          </w:tcPr>
          <w:p w14:paraId="5526EAF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6EE974A4" w14:textId="77777777" w:rsidTr="00DF0BA0">
        <w:tc>
          <w:tcPr>
            <w:tcW w:w="0" w:type="auto"/>
            <w:hideMark/>
          </w:tcPr>
          <w:p w14:paraId="135FE78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DW-06</w:t>
            </w:r>
          </w:p>
        </w:tc>
        <w:tc>
          <w:tcPr>
            <w:tcW w:w="0" w:type="auto"/>
            <w:hideMark/>
          </w:tcPr>
          <w:p w14:paraId="61428B79"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Oyigbo</w:t>
            </w:r>
            <w:proofErr w:type="spellEnd"/>
          </w:p>
        </w:tc>
        <w:tc>
          <w:tcPr>
            <w:tcW w:w="0" w:type="auto"/>
            <w:hideMark/>
          </w:tcPr>
          <w:p w14:paraId="50ED81D7"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Oyigbo</w:t>
            </w:r>
            <w:proofErr w:type="spellEnd"/>
          </w:p>
        </w:tc>
        <w:tc>
          <w:tcPr>
            <w:tcW w:w="0" w:type="auto"/>
            <w:hideMark/>
          </w:tcPr>
          <w:p w14:paraId="429AE9A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Municipal tap water</w:t>
            </w:r>
          </w:p>
        </w:tc>
        <w:tc>
          <w:tcPr>
            <w:tcW w:w="0" w:type="auto"/>
            <w:hideMark/>
          </w:tcPr>
          <w:p w14:paraId="4C0174C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30165658" w14:textId="77777777" w:rsidTr="00DF0BA0">
        <w:tc>
          <w:tcPr>
            <w:tcW w:w="0" w:type="auto"/>
            <w:hideMark/>
          </w:tcPr>
          <w:p w14:paraId="0D2CB7E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DW-07</w:t>
            </w:r>
          </w:p>
        </w:tc>
        <w:tc>
          <w:tcPr>
            <w:tcW w:w="0" w:type="auto"/>
            <w:hideMark/>
          </w:tcPr>
          <w:p w14:paraId="07990526"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Ahoada</w:t>
            </w:r>
            <w:proofErr w:type="spellEnd"/>
          </w:p>
        </w:tc>
        <w:tc>
          <w:tcPr>
            <w:tcW w:w="0" w:type="auto"/>
            <w:hideMark/>
          </w:tcPr>
          <w:p w14:paraId="1467348F"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Ahoada</w:t>
            </w:r>
            <w:proofErr w:type="spellEnd"/>
            <w:r w:rsidRPr="00B45AE1">
              <w:rPr>
                <w:rFonts w:ascii="Times New Roman" w:hAnsi="Times New Roman" w:cs="Times New Roman"/>
                <w:sz w:val="24"/>
                <w:szCs w:val="24"/>
              </w:rPr>
              <w:t xml:space="preserve"> East</w:t>
            </w:r>
          </w:p>
        </w:tc>
        <w:tc>
          <w:tcPr>
            <w:tcW w:w="0" w:type="auto"/>
            <w:hideMark/>
          </w:tcPr>
          <w:p w14:paraId="56581CC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Borehole water</w:t>
            </w:r>
          </w:p>
        </w:tc>
        <w:tc>
          <w:tcPr>
            <w:tcW w:w="0" w:type="auto"/>
            <w:hideMark/>
          </w:tcPr>
          <w:p w14:paraId="0D55CFEC"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471736E6" w14:textId="77777777" w:rsidTr="00DF0BA0">
        <w:tc>
          <w:tcPr>
            <w:tcW w:w="0" w:type="auto"/>
            <w:hideMark/>
          </w:tcPr>
          <w:p w14:paraId="63FB3DF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DW-08</w:t>
            </w:r>
          </w:p>
        </w:tc>
        <w:tc>
          <w:tcPr>
            <w:tcW w:w="0" w:type="auto"/>
            <w:hideMark/>
          </w:tcPr>
          <w:p w14:paraId="388612D0"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Omoku</w:t>
            </w:r>
            <w:proofErr w:type="spellEnd"/>
          </w:p>
        </w:tc>
        <w:tc>
          <w:tcPr>
            <w:tcW w:w="0" w:type="auto"/>
            <w:hideMark/>
          </w:tcPr>
          <w:p w14:paraId="0A8C91B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Ogba/</w:t>
            </w:r>
            <w:proofErr w:type="spellStart"/>
            <w:r w:rsidRPr="00B45AE1">
              <w:rPr>
                <w:rFonts w:ascii="Times New Roman" w:hAnsi="Times New Roman" w:cs="Times New Roman"/>
                <w:sz w:val="24"/>
                <w:szCs w:val="24"/>
              </w:rPr>
              <w:t>Egbema</w:t>
            </w:r>
            <w:proofErr w:type="spellEnd"/>
            <w:r w:rsidRPr="00B45AE1">
              <w:rPr>
                <w:rFonts w:ascii="Times New Roman" w:hAnsi="Times New Roman" w:cs="Times New Roman"/>
                <w:sz w:val="24"/>
                <w:szCs w:val="24"/>
              </w:rPr>
              <w:t>/</w:t>
            </w:r>
            <w:proofErr w:type="spellStart"/>
            <w:r w:rsidRPr="00B45AE1">
              <w:rPr>
                <w:rFonts w:ascii="Times New Roman" w:hAnsi="Times New Roman" w:cs="Times New Roman"/>
                <w:sz w:val="24"/>
                <w:szCs w:val="24"/>
              </w:rPr>
              <w:t>Ndoni</w:t>
            </w:r>
            <w:proofErr w:type="spellEnd"/>
          </w:p>
        </w:tc>
        <w:tc>
          <w:tcPr>
            <w:tcW w:w="0" w:type="auto"/>
            <w:hideMark/>
          </w:tcPr>
          <w:p w14:paraId="4DBF501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Borehole water</w:t>
            </w:r>
          </w:p>
        </w:tc>
        <w:tc>
          <w:tcPr>
            <w:tcW w:w="0" w:type="auto"/>
            <w:hideMark/>
          </w:tcPr>
          <w:p w14:paraId="3F70025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473044B5" w14:textId="77777777" w:rsidTr="00DF0BA0">
        <w:tc>
          <w:tcPr>
            <w:tcW w:w="0" w:type="auto"/>
            <w:hideMark/>
          </w:tcPr>
          <w:p w14:paraId="60A1E73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DW-09</w:t>
            </w:r>
          </w:p>
        </w:tc>
        <w:tc>
          <w:tcPr>
            <w:tcW w:w="0" w:type="auto"/>
            <w:hideMark/>
          </w:tcPr>
          <w:p w14:paraId="3E30757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Bonny</w:t>
            </w:r>
          </w:p>
        </w:tc>
        <w:tc>
          <w:tcPr>
            <w:tcW w:w="0" w:type="auto"/>
            <w:hideMark/>
          </w:tcPr>
          <w:p w14:paraId="6416FE1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Bonny</w:t>
            </w:r>
          </w:p>
        </w:tc>
        <w:tc>
          <w:tcPr>
            <w:tcW w:w="0" w:type="auto"/>
            <w:hideMark/>
          </w:tcPr>
          <w:p w14:paraId="611EAA7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Treated public water supply</w:t>
            </w:r>
          </w:p>
        </w:tc>
        <w:tc>
          <w:tcPr>
            <w:tcW w:w="0" w:type="auto"/>
            <w:hideMark/>
          </w:tcPr>
          <w:p w14:paraId="707EAFE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4CF9FF46" w14:textId="77777777" w:rsidTr="00DF0BA0">
        <w:tc>
          <w:tcPr>
            <w:tcW w:w="0" w:type="auto"/>
            <w:hideMark/>
          </w:tcPr>
          <w:p w14:paraId="21C8A85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DW-10</w:t>
            </w:r>
          </w:p>
        </w:tc>
        <w:tc>
          <w:tcPr>
            <w:tcW w:w="0" w:type="auto"/>
            <w:hideMark/>
          </w:tcPr>
          <w:p w14:paraId="29EF3AF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Bori</w:t>
            </w:r>
          </w:p>
        </w:tc>
        <w:tc>
          <w:tcPr>
            <w:tcW w:w="0" w:type="auto"/>
            <w:hideMark/>
          </w:tcPr>
          <w:p w14:paraId="59B51CD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Khana</w:t>
            </w:r>
          </w:p>
        </w:tc>
        <w:tc>
          <w:tcPr>
            <w:tcW w:w="0" w:type="auto"/>
            <w:hideMark/>
          </w:tcPr>
          <w:p w14:paraId="1421716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Borehole water</w:t>
            </w:r>
          </w:p>
        </w:tc>
        <w:tc>
          <w:tcPr>
            <w:tcW w:w="0" w:type="auto"/>
            <w:hideMark/>
          </w:tcPr>
          <w:p w14:paraId="62074BF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1A9EF61D" w14:textId="77777777" w:rsidTr="00DF0BA0">
        <w:tc>
          <w:tcPr>
            <w:tcW w:w="0" w:type="auto"/>
            <w:hideMark/>
          </w:tcPr>
          <w:p w14:paraId="2DC2F14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DW-11</w:t>
            </w:r>
          </w:p>
        </w:tc>
        <w:tc>
          <w:tcPr>
            <w:tcW w:w="0" w:type="auto"/>
            <w:hideMark/>
          </w:tcPr>
          <w:p w14:paraId="2AAF0A4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Degema</w:t>
            </w:r>
          </w:p>
        </w:tc>
        <w:tc>
          <w:tcPr>
            <w:tcW w:w="0" w:type="auto"/>
            <w:hideMark/>
          </w:tcPr>
          <w:p w14:paraId="18295B2C"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Degema</w:t>
            </w:r>
          </w:p>
        </w:tc>
        <w:tc>
          <w:tcPr>
            <w:tcW w:w="0" w:type="auto"/>
            <w:hideMark/>
          </w:tcPr>
          <w:p w14:paraId="059B6E9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Municipal tap water</w:t>
            </w:r>
          </w:p>
        </w:tc>
        <w:tc>
          <w:tcPr>
            <w:tcW w:w="0" w:type="auto"/>
            <w:hideMark/>
          </w:tcPr>
          <w:p w14:paraId="36EF6FC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5FB5B040" w14:textId="77777777" w:rsidTr="00DF0BA0">
        <w:tc>
          <w:tcPr>
            <w:tcW w:w="0" w:type="auto"/>
            <w:hideMark/>
          </w:tcPr>
          <w:p w14:paraId="5F54767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DW-12</w:t>
            </w:r>
          </w:p>
        </w:tc>
        <w:tc>
          <w:tcPr>
            <w:tcW w:w="0" w:type="auto"/>
            <w:hideMark/>
          </w:tcPr>
          <w:p w14:paraId="4650F14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Port Harcourt</w:t>
            </w:r>
          </w:p>
        </w:tc>
        <w:tc>
          <w:tcPr>
            <w:tcW w:w="0" w:type="auto"/>
            <w:hideMark/>
          </w:tcPr>
          <w:p w14:paraId="2A45AA1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Port Harcourt City</w:t>
            </w:r>
          </w:p>
        </w:tc>
        <w:tc>
          <w:tcPr>
            <w:tcW w:w="0" w:type="auto"/>
            <w:hideMark/>
          </w:tcPr>
          <w:p w14:paraId="4D9AA75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Sachet drinking water</w:t>
            </w:r>
          </w:p>
        </w:tc>
        <w:tc>
          <w:tcPr>
            <w:tcW w:w="0" w:type="auto"/>
            <w:hideMark/>
          </w:tcPr>
          <w:p w14:paraId="4111B76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w:t>
            </w:r>
          </w:p>
        </w:tc>
      </w:tr>
      <w:tr w:rsidR="00B45AE1" w:rsidRPr="00B45AE1" w14:paraId="63AE6973" w14:textId="77777777" w:rsidTr="00DF0BA0">
        <w:tc>
          <w:tcPr>
            <w:tcW w:w="0" w:type="auto"/>
            <w:hideMark/>
          </w:tcPr>
          <w:p w14:paraId="58376C2D" w14:textId="77777777" w:rsidR="007145BC" w:rsidRPr="00B45AE1" w:rsidRDefault="007145BC" w:rsidP="001118E9">
            <w:pPr>
              <w:jc w:val="both"/>
              <w:rPr>
                <w:rFonts w:ascii="Times New Roman" w:hAnsi="Times New Roman" w:cs="Times New Roman"/>
                <w:sz w:val="24"/>
                <w:szCs w:val="24"/>
              </w:rPr>
            </w:pPr>
            <w:r w:rsidRPr="00B45AE1">
              <w:rPr>
                <w:rStyle w:val="Strong"/>
                <w:rFonts w:ascii="Times New Roman" w:hAnsi="Times New Roman" w:cs="Times New Roman"/>
                <w:sz w:val="24"/>
                <w:szCs w:val="24"/>
              </w:rPr>
              <w:t>Total</w:t>
            </w:r>
          </w:p>
        </w:tc>
        <w:tc>
          <w:tcPr>
            <w:tcW w:w="0" w:type="auto"/>
            <w:hideMark/>
          </w:tcPr>
          <w:p w14:paraId="613DEDE3"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 xml:space="preserve">11 communities + 1 sachet-water </w:t>
            </w:r>
            <w:proofErr w:type="gramStart"/>
            <w:r w:rsidRPr="00B45AE1">
              <w:rPr>
                <w:rFonts w:ascii="Times New Roman" w:hAnsi="Times New Roman" w:cs="Times New Roman"/>
                <w:sz w:val="24"/>
                <w:szCs w:val="24"/>
              </w:rPr>
              <w:t>category</w:t>
            </w:r>
            <w:proofErr w:type="gramEnd"/>
          </w:p>
        </w:tc>
        <w:tc>
          <w:tcPr>
            <w:tcW w:w="0" w:type="auto"/>
            <w:hideMark/>
          </w:tcPr>
          <w:p w14:paraId="1FDBFAC1" w14:textId="77777777" w:rsidR="007145BC" w:rsidRPr="00B45AE1" w:rsidRDefault="007145BC" w:rsidP="001118E9">
            <w:pPr>
              <w:jc w:val="both"/>
              <w:rPr>
                <w:rFonts w:ascii="Times New Roman" w:hAnsi="Times New Roman" w:cs="Times New Roman"/>
                <w:sz w:val="24"/>
                <w:szCs w:val="24"/>
              </w:rPr>
            </w:pPr>
            <w:r w:rsidRPr="00B45AE1">
              <w:rPr>
                <w:rStyle w:val="Strong"/>
                <w:rFonts w:ascii="Times New Roman" w:hAnsi="Times New Roman" w:cs="Times New Roman"/>
                <w:sz w:val="24"/>
                <w:szCs w:val="24"/>
              </w:rPr>
              <w:t>Rivers State</w:t>
            </w:r>
          </w:p>
        </w:tc>
        <w:tc>
          <w:tcPr>
            <w:tcW w:w="0" w:type="auto"/>
            <w:hideMark/>
          </w:tcPr>
          <w:p w14:paraId="552F770F"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Four source descriptions</w:t>
            </w:r>
          </w:p>
        </w:tc>
        <w:tc>
          <w:tcPr>
            <w:tcW w:w="0" w:type="auto"/>
            <w:hideMark/>
          </w:tcPr>
          <w:p w14:paraId="18F75617" w14:textId="77777777" w:rsidR="007145BC" w:rsidRPr="00B45AE1" w:rsidRDefault="007145BC" w:rsidP="001118E9">
            <w:pPr>
              <w:jc w:val="both"/>
              <w:rPr>
                <w:rFonts w:ascii="Times New Roman" w:hAnsi="Times New Roman" w:cs="Times New Roman"/>
                <w:sz w:val="24"/>
                <w:szCs w:val="24"/>
              </w:rPr>
            </w:pPr>
            <w:r w:rsidRPr="00B45AE1">
              <w:rPr>
                <w:rStyle w:val="Strong"/>
                <w:rFonts w:ascii="Times New Roman" w:hAnsi="Times New Roman" w:cs="Times New Roman"/>
                <w:sz w:val="24"/>
                <w:szCs w:val="24"/>
              </w:rPr>
              <w:t>36</w:t>
            </w:r>
          </w:p>
        </w:tc>
      </w:tr>
    </w:tbl>
    <w:p w14:paraId="35104A5A" w14:textId="77777777" w:rsidR="007145BC" w:rsidRPr="00B45AE1" w:rsidRDefault="007145BC" w:rsidP="001118E9">
      <w:pPr>
        <w:pStyle w:val="Heading2"/>
        <w:jc w:val="both"/>
        <w:rPr>
          <w:sz w:val="24"/>
          <w:szCs w:val="24"/>
        </w:rPr>
      </w:pPr>
      <w:r w:rsidRPr="00B45AE1">
        <w:rPr>
          <w:rStyle w:val="Strong"/>
          <w:b/>
          <w:bCs/>
          <w:sz w:val="24"/>
          <w:szCs w:val="24"/>
        </w:rPr>
        <w:t>3.2 Physicochemical Characteristics of Drinking Water Samples</w:t>
      </w:r>
    </w:p>
    <w:p w14:paraId="4D0135E9" w14:textId="77777777" w:rsidR="007145BC" w:rsidRPr="00B45AE1" w:rsidRDefault="007145BC" w:rsidP="001118E9">
      <w:pPr>
        <w:pStyle w:val="NormalWeb"/>
        <w:jc w:val="both"/>
      </w:pPr>
      <w:r w:rsidRPr="00B45AE1">
        <w:t xml:space="preserve">The pH values ranged from 6.42 ± 0.08 to 7.68 ± 0.11, while electrical conductivity varied between 86.4 ± 4.2 and 468.2 ± 12.8 µS/cm. Total dissolved solids ranged from 52.8 ± 2.6 to 286.4 ± 10.6 mg/L. Turbidity varied from 0.42 ± 0.05 to 3.84 ± 0.24 NTU, whereas residual free chlorine concentrations ranged between 0.18 ± 0.03 and 0.82 ± 0.06 mg/L. The recorded temperatures ranged from 27.8 ± 0.3 to 29.1 ± 0.5 °C. </w:t>
      </w:r>
      <w:r w:rsidRPr="00B45AE1">
        <w:rPr>
          <w:rStyle w:val="Emphasis"/>
          <w:rFonts w:eastAsiaTheme="majorEastAsia"/>
        </w:rPr>
      </w:r>
      <w:r>
        <w:rPr>
          <w:rStyle w:val="Emphasis"/>
          <w:rFonts w:eastAsiaTheme="majorEastAsia"/>
          <w:highlight w:val="yellow"/>
        </w:rPr>
        <w:t>These physicochemical characteristics are presented in Table 2.</w:t>
      </w:r>
      <w:r>
        <w:rPr>
          <w:rStyle w:val="Emphasis"/>
          <w:rFonts w:eastAsiaTheme="majorEastAsia"/>
        </w:rPr>
      </w:r>
    </w:p>
    <w:p w14:paraId="427E15F8" w14:textId="77777777" w:rsidR="007145BC" w:rsidRPr="00B45AE1" w:rsidRDefault="007145BC" w:rsidP="001118E9">
      <w:pPr>
        <w:pStyle w:val="NormalWeb"/>
        <w:jc w:val="both"/>
        <w:rPr>
          <w:b/>
          <w:bCs/>
        </w:rPr>
      </w:pPr>
      <w:r w:rsidRPr="00B45AE1">
        <w:rPr>
          <w:b/>
          <w:bCs/>
        </w:rPr>
        <w:t>Table 2. Physicochemical Characteristics of Drinking Water Samples</w:t>
      </w:r>
    </w:p>
    <w:tbl>
      <w:tblPr>
        <w:tblStyle w:val="TableGrid"/>
        <w:tblW w:w="0" w:type="auto"/>
        <w:tblLook w:val="04A0" w:firstRow="1" w:lastRow="0" w:firstColumn="1" w:lastColumn="0" w:noHBand="0" w:noVBand="1"/>
      </w:tblPr>
      <w:tblGrid>
        <w:gridCol w:w="1463"/>
        <w:gridCol w:w="792"/>
        <w:gridCol w:w="1116"/>
        <w:gridCol w:w="1046"/>
        <w:gridCol w:w="1386"/>
        <w:gridCol w:w="1523"/>
        <w:gridCol w:w="1690"/>
      </w:tblGrid>
      <w:tr w:rsidR="00B45AE1" w:rsidRPr="00B45AE1" w14:paraId="384495D7" w14:textId="77777777" w:rsidTr="00DF0BA0">
        <w:trPr>
          <w:tblHeader/>
        </w:trPr>
        <w:tc>
          <w:tcPr>
            <w:tcW w:w="0" w:type="auto"/>
            <w:hideMark/>
          </w:tcPr>
          <w:p w14:paraId="7A1D9B44"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Community</w:t>
            </w:r>
          </w:p>
        </w:tc>
        <w:tc>
          <w:tcPr>
            <w:tcW w:w="0" w:type="auto"/>
            <w:hideMark/>
          </w:tcPr>
          <w:p w14:paraId="5CDA672D"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pH</w:t>
            </w:r>
          </w:p>
        </w:tc>
        <w:tc>
          <w:tcPr>
            <w:tcW w:w="0" w:type="auto"/>
            <w:hideMark/>
          </w:tcPr>
          <w:p w14:paraId="41B523B5"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EC (µS/cm)</w:t>
            </w:r>
          </w:p>
        </w:tc>
        <w:tc>
          <w:tcPr>
            <w:tcW w:w="0" w:type="auto"/>
            <w:hideMark/>
          </w:tcPr>
          <w:p w14:paraId="5D27A1FB"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TDS (mg/L)</w:t>
            </w:r>
          </w:p>
        </w:tc>
        <w:tc>
          <w:tcPr>
            <w:tcW w:w="0" w:type="auto"/>
            <w:hideMark/>
          </w:tcPr>
          <w:p w14:paraId="547E021C"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Turbidity (NTU)</w:t>
            </w:r>
          </w:p>
        </w:tc>
        <w:tc>
          <w:tcPr>
            <w:tcW w:w="0" w:type="auto"/>
            <w:hideMark/>
          </w:tcPr>
          <w:p w14:paraId="0123C38B"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Residual Chlorine (mg/L)</w:t>
            </w:r>
          </w:p>
        </w:tc>
        <w:tc>
          <w:tcPr>
            <w:tcW w:w="0" w:type="auto"/>
            <w:hideMark/>
          </w:tcPr>
          <w:p w14:paraId="54115707"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Temperature (°C)</w:t>
            </w:r>
          </w:p>
        </w:tc>
      </w:tr>
      <w:tr w:rsidR="00B45AE1" w:rsidRPr="00B45AE1" w14:paraId="4ECC3B19" w14:textId="77777777" w:rsidTr="00DF0BA0">
        <w:tc>
          <w:tcPr>
            <w:tcW w:w="0" w:type="auto"/>
            <w:hideMark/>
          </w:tcPr>
          <w:p w14:paraId="3A35266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Port Harcourt</w:t>
            </w:r>
          </w:p>
        </w:tc>
        <w:tc>
          <w:tcPr>
            <w:tcW w:w="0" w:type="auto"/>
            <w:hideMark/>
          </w:tcPr>
          <w:p w14:paraId="2410352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7.42 ± 0.09</w:t>
            </w:r>
          </w:p>
        </w:tc>
        <w:tc>
          <w:tcPr>
            <w:tcW w:w="0" w:type="auto"/>
            <w:hideMark/>
          </w:tcPr>
          <w:p w14:paraId="1CD5232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328.6 ± 10.4</w:t>
            </w:r>
          </w:p>
        </w:tc>
        <w:tc>
          <w:tcPr>
            <w:tcW w:w="0" w:type="auto"/>
            <w:hideMark/>
          </w:tcPr>
          <w:p w14:paraId="37B1F87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198.6 ± 8.4</w:t>
            </w:r>
          </w:p>
        </w:tc>
        <w:tc>
          <w:tcPr>
            <w:tcW w:w="0" w:type="auto"/>
            <w:hideMark/>
          </w:tcPr>
          <w:p w14:paraId="4195C5A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0.84 ± 0.08</w:t>
            </w:r>
          </w:p>
        </w:tc>
        <w:tc>
          <w:tcPr>
            <w:tcW w:w="0" w:type="auto"/>
            <w:hideMark/>
          </w:tcPr>
          <w:p w14:paraId="29CC31A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0.72 ± 0.05</w:t>
            </w:r>
          </w:p>
        </w:tc>
        <w:tc>
          <w:tcPr>
            <w:tcW w:w="0" w:type="auto"/>
            <w:hideMark/>
          </w:tcPr>
          <w:p w14:paraId="199A481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28.4 ± 0.4</w:t>
            </w:r>
          </w:p>
        </w:tc>
      </w:tr>
      <w:tr w:rsidR="00B45AE1" w:rsidRPr="00B45AE1" w14:paraId="6D8805EC" w14:textId="77777777" w:rsidTr="00DF0BA0">
        <w:tc>
          <w:tcPr>
            <w:tcW w:w="0" w:type="auto"/>
            <w:hideMark/>
          </w:tcPr>
          <w:p w14:paraId="0C041663"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Rumuola</w:t>
            </w:r>
            <w:proofErr w:type="spellEnd"/>
          </w:p>
        </w:tc>
        <w:tc>
          <w:tcPr>
            <w:tcW w:w="0" w:type="auto"/>
            <w:hideMark/>
          </w:tcPr>
          <w:p w14:paraId="13DB817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6.88 ± 0.08</w:t>
            </w:r>
          </w:p>
        </w:tc>
        <w:tc>
          <w:tcPr>
            <w:tcW w:w="0" w:type="auto"/>
            <w:hideMark/>
          </w:tcPr>
          <w:p w14:paraId="6701D61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264.8 ± 8.6</w:t>
            </w:r>
          </w:p>
        </w:tc>
        <w:tc>
          <w:tcPr>
            <w:tcW w:w="0" w:type="auto"/>
            <w:hideMark/>
          </w:tcPr>
          <w:p w14:paraId="4C7E3A5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162.4 ± 6.8</w:t>
            </w:r>
          </w:p>
        </w:tc>
        <w:tc>
          <w:tcPr>
            <w:tcW w:w="0" w:type="auto"/>
            <w:hideMark/>
          </w:tcPr>
          <w:p w14:paraId="2191189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1.26 ± 0.10</w:t>
            </w:r>
          </w:p>
        </w:tc>
        <w:tc>
          <w:tcPr>
            <w:tcW w:w="0" w:type="auto"/>
            <w:hideMark/>
          </w:tcPr>
          <w:p w14:paraId="56690B6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0.36 ± 0.04</w:t>
            </w:r>
          </w:p>
        </w:tc>
        <w:tc>
          <w:tcPr>
            <w:tcW w:w="0" w:type="auto"/>
            <w:hideMark/>
          </w:tcPr>
          <w:p w14:paraId="16E86C1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28.2 ± 0.3</w:t>
            </w:r>
          </w:p>
        </w:tc>
      </w:tr>
      <w:tr w:rsidR="00B45AE1" w:rsidRPr="00B45AE1" w14:paraId="437DDCA0" w14:textId="77777777" w:rsidTr="00DF0BA0">
        <w:tc>
          <w:tcPr>
            <w:tcW w:w="0" w:type="auto"/>
            <w:hideMark/>
          </w:tcPr>
          <w:p w14:paraId="16581ED4"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Rumuokoro</w:t>
            </w:r>
            <w:proofErr w:type="spellEnd"/>
          </w:p>
        </w:tc>
        <w:tc>
          <w:tcPr>
            <w:tcW w:w="0" w:type="auto"/>
            <w:hideMark/>
          </w:tcPr>
          <w:p w14:paraId="4DA37AA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6.84 ± 0.07</w:t>
            </w:r>
          </w:p>
        </w:tc>
        <w:tc>
          <w:tcPr>
            <w:tcW w:w="0" w:type="auto"/>
            <w:hideMark/>
          </w:tcPr>
          <w:p w14:paraId="13A5A8D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286.4 ± 9.2</w:t>
            </w:r>
          </w:p>
        </w:tc>
        <w:tc>
          <w:tcPr>
            <w:tcW w:w="0" w:type="auto"/>
            <w:hideMark/>
          </w:tcPr>
          <w:p w14:paraId="554A4AB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174.8 ± 7.2</w:t>
            </w:r>
          </w:p>
        </w:tc>
        <w:tc>
          <w:tcPr>
            <w:tcW w:w="0" w:type="auto"/>
            <w:hideMark/>
          </w:tcPr>
          <w:p w14:paraId="1E20504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1.18 ± 0.08</w:t>
            </w:r>
          </w:p>
        </w:tc>
        <w:tc>
          <w:tcPr>
            <w:tcW w:w="0" w:type="auto"/>
            <w:hideMark/>
          </w:tcPr>
          <w:p w14:paraId="58B5784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0.34 ± 0.03</w:t>
            </w:r>
          </w:p>
        </w:tc>
        <w:tc>
          <w:tcPr>
            <w:tcW w:w="0" w:type="auto"/>
            <w:hideMark/>
          </w:tcPr>
          <w:p w14:paraId="44D53C7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28.3 ± 0.4</w:t>
            </w:r>
          </w:p>
        </w:tc>
      </w:tr>
      <w:tr w:rsidR="00B45AE1" w:rsidRPr="00B45AE1" w14:paraId="2CCBA621" w14:textId="77777777" w:rsidTr="00DF0BA0">
        <w:tc>
          <w:tcPr>
            <w:tcW w:w="0" w:type="auto"/>
            <w:hideMark/>
          </w:tcPr>
          <w:p w14:paraId="4E85CAD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Choba</w:t>
            </w:r>
          </w:p>
        </w:tc>
        <w:tc>
          <w:tcPr>
            <w:tcW w:w="0" w:type="auto"/>
            <w:hideMark/>
          </w:tcPr>
          <w:p w14:paraId="7DC305A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7.26 ± 0.08</w:t>
            </w:r>
          </w:p>
        </w:tc>
        <w:tc>
          <w:tcPr>
            <w:tcW w:w="0" w:type="auto"/>
            <w:hideMark/>
          </w:tcPr>
          <w:p w14:paraId="3DBC9AF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304.2 ± 10.2</w:t>
            </w:r>
          </w:p>
        </w:tc>
        <w:tc>
          <w:tcPr>
            <w:tcW w:w="0" w:type="auto"/>
            <w:hideMark/>
          </w:tcPr>
          <w:p w14:paraId="079160F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186.2 ± 8.2</w:t>
            </w:r>
          </w:p>
        </w:tc>
        <w:tc>
          <w:tcPr>
            <w:tcW w:w="0" w:type="auto"/>
            <w:hideMark/>
          </w:tcPr>
          <w:p w14:paraId="6F42249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0.92 ± 0.07</w:t>
            </w:r>
          </w:p>
        </w:tc>
        <w:tc>
          <w:tcPr>
            <w:tcW w:w="0" w:type="auto"/>
            <w:hideMark/>
          </w:tcPr>
          <w:p w14:paraId="5782C9E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0.68 ± 0.05</w:t>
            </w:r>
          </w:p>
        </w:tc>
        <w:tc>
          <w:tcPr>
            <w:tcW w:w="0" w:type="auto"/>
            <w:hideMark/>
          </w:tcPr>
          <w:p w14:paraId="4F87EE3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28.6 ± 0.5</w:t>
            </w:r>
          </w:p>
        </w:tc>
      </w:tr>
      <w:tr w:rsidR="00B45AE1" w:rsidRPr="00B45AE1" w14:paraId="4944168A" w14:textId="77777777" w:rsidTr="00DF0BA0">
        <w:tc>
          <w:tcPr>
            <w:tcW w:w="0" w:type="auto"/>
            <w:hideMark/>
          </w:tcPr>
          <w:p w14:paraId="1BB0FF2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Eleme</w:t>
            </w:r>
          </w:p>
        </w:tc>
        <w:tc>
          <w:tcPr>
            <w:tcW w:w="0" w:type="auto"/>
            <w:hideMark/>
          </w:tcPr>
          <w:p w14:paraId="703959B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6.74 ± 0.09</w:t>
            </w:r>
          </w:p>
        </w:tc>
        <w:tc>
          <w:tcPr>
            <w:tcW w:w="0" w:type="auto"/>
            <w:hideMark/>
          </w:tcPr>
          <w:p w14:paraId="6334174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468.2 ± 12.8</w:t>
            </w:r>
          </w:p>
        </w:tc>
        <w:tc>
          <w:tcPr>
            <w:tcW w:w="0" w:type="auto"/>
            <w:hideMark/>
          </w:tcPr>
          <w:p w14:paraId="606CD4A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286.4 ± 10.6</w:t>
            </w:r>
          </w:p>
        </w:tc>
        <w:tc>
          <w:tcPr>
            <w:tcW w:w="0" w:type="auto"/>
            <w:hideMark/>
          </w:tcPr>
          <w:p w14:paraId="4A261149"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3.84 ± 0.24</w:t>
            </w:r>
          </w:p>
        </w:tc>
        <w:tc>
          <w:tcPr>
            <w:tcW w:w="0" w:type="auto"/>
            <w:hideMark/>
          </w:tcPr>
          <w:p w14:paraId="3171ED7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0.18 ± 0.03</w:t>
            </w:r>
          </w:p>
        </w:tc>
        <w:tc>
          <w:tcPr>
            <w:tcW w:w="0" w:type="auto"/>
            <w:hideMark/>
          </w:tcPr>
          <w:p w14:paraId="7AAFE729"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29.1 ± 0.5</w:t>
            </w:r>
          </w:p>
        </w:tc>
      </w:tr>
      <w:tr w:rsidR="00B45AE1" w:rsidRPr="00B45AE1" w14:paraId="7E42E5FA" w14:textId="77777777" w:rsidTr="00DF0BA0">
        <w:tc>
          <w:tcPr>
            <w:tcW w:w="0" w:type="auto"/>
            <w:hideMark/>
          </w:tcPr>
          <w:p w14:paraId="542195B5"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lastRenderedPageBreak/>
              <w:t>Oyigbo</w:t>
            </w:r>
            <w:proofErr w:type="spellEnd"/>
          </w:p>
        </w:tc>
        <w:tc>
          <w:tcPr>
            <w:tcW w:w="0" w:type="auto"/>
            <w:hideMark/>
          </w:tcPr>
          <w:p w14:paraId="277917F9"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7.18 ± 0.08</w:t>
            </w:r>
          </w:p>
        </w:tc>
        <w:tc>
          <w:tcPr>
            <w:tcW w:w="0" w:type="auto"/>
            <w:hideMark/>
          </w:tcPr>
          <w:p w14:paraId="6B996F6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314.6 ± 10.6</w:t>
            </w:r>
          </w:p>
        </w:tc>
        <w:tc>
          <w:tcPr>
            <w:tcW w:w="0" w:type="auto"/>
            <w:hideMark/>
          </w:tcPr>
          <w:p w14:paraId="78542C0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192.6 ± 8.4</w:t>
            </w:r>
          </w:p>
        </w:tc>
        <w:tc>
          <w:tcPr>
            <w:tcW w:w="0" w:type="auto"/>
            <w:hideMark/>
          </w:tcPr>
          <w:p w14:paraId="502A899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1.04 ± 0.08</w:t>
            </w:r>
          </w:p>
        </w:tc>
        <w:tc>
          <w:tcPr>
            <w:tcW w:w="0" w:type="auto"/>
            <w:hideMark/>
          </w:tcPr>
          <w:p w14:paraId="0AEE7AB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0.64 ± 0.05</w:t>
            </w:r>
          </w:p>
        </w:tc>
        <w:tc>
          <w:tcPr>
            <w:tcW w:w="0" w:type="auto"/>
            <w:hideMark/>
          </w:tcPr>
          <w:p w14:paraId="79E5C1A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28.5 ± 0.4</w:t>
            </w:r>
          </w:p>
        </w:tc>
      </w:tr>
      <w:tr w:rsidR="00B45AE1" w:rsidRPr="00B45AE1" w14:paraId="2076821C" w14:textId="77777777" w:rsidTr="00DF0BA0">
        <w:tc>
          <w:tcPr>
            <w:tcW w:w="0" w:type="auto"/>
            <w:hideMark/>
          </w:tcPr>
          <w:p w14:paraId="677D9E94"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Ahoada</w:t>
            </w:r>
            <w:proofErr w:type="spellEnd"/>
          </w:p>
        </w:tc>
        <w:tc>
          <w:tcPr>
            <w:tcW w:w="0" w:type="auto"/>
            <w:hideMark/>
          </w:tcPr>
          <w:p w14:paraId="5939903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6.62 ± 0.09</w:t>
            </w:r>
          </w:p>
        </w:tc>
        <w:tc>
          <w:tcPr>
            <w:tcW w:w="0" w:type="auto"/>
            <w:hideMark/>
          </w:tcPr>
          <w:p w14:paraId="105EA93C"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246.4 ± 8.2</w:t>
            </w:r>
          </w:p>
        </w:tc>
        <w:tc>
          <w:tcPr>
            <w:tcW w:w="0" w:type="auto"/>
            <w:hideMark/>
          </w:tcPr>
          <w:p w14:paraId="1A8F241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148.6 ± 6.4</w:t>
            </w:r>
          </w:p>
        </w:tc>
        <w:tc>
          <w:tcPr>
            <w:tcW w:w="0" w:type="auto"/>
            <w:hideMark/>
          </w:tcPr>
          <w:p w14:paraId="0067354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1.46 ± 0.12</w:t>
            </w:r>
          </w:p>
        </w:tc>
        <w:tc>
          <w:tcPr>
            <w:tcW w:w="0" w:type="auto"/>
            <w:hideMark/>
          </w:tcPr>
          <w:p w14:paraId="1274D3B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0.28 ± 0.04</w:t>
            </w:r>
          </w:p>
        </w:tc>
        <w:tc>
          <w:tcPr>
            <w:tcW w:w="0" w:type="auto"/>
            <w:hideMark/>
          </w:tcPr>
          <w:p w14:paraId="26EB004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28.4 ± 0.3</w:t>
            </w:r>
          </w:p>
        </w:tc>
      </w:tr>
      <w:tr w:rsidR="00B45AE1" w:rsidRPr="00B45AE1" w14:paraId="09551C63" w14:textId="77777777" w:rsidTr="00DF0BA0">
        <w:tc>
          <w:tcPr>
            <w:tcW w:w="0" w:type="auto"/>
            <w:hideMark/>
          </w:tcPr>
          <w:p w14:paraId="7D6A41D0"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Omoku</w:t>
            </w:r>
            <w:proofErr w:type="spellEnd"/>
          </w:p>
        </w:tc>
        <w:tc>
          <w:tcPr>
            <w:tcW w:w="0" w:type="auto"/>
            <w:hideMark/>
          </w:tcPr>
          <w:p w14:paraId="706BBA0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6.58 ± 0.08</w:t>
            </w:r>
          </w:p>
        </w:tc>
        <w:tc>
          <w:tcPr>
            <w:tcW w:w="0" w:type="auto"/>
            <w:hideMark/>
          </w:tcPr>
          <w:p w14:paraId="6FCB928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232.8 ± 7.8</w:t>
            </w:r>
          </w:p>
        </w:tc>
        <w:tc>
          <w:tcPr>
            <w:tcW w:w="0" w:type="auto"/>
            <w:hideMark/>
          </w:tcPr>
          <w:p w14:paraId="6FC0261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140.2 ± 6.2</w:t>
            </w:r>
          </w:p>
        </w:tc>
        <w:tc>
          <w:tcPr>
            <w:tcW w:w="0" w:type="auto"/>
            <w:hideMark/>
          </w:tcPr>
          <w:p w14:paraId="3983433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1.38 ± 0.10</w:t>
            </w:r>
          </w:p>
        </w:tc>
        <w:tc>
          <w:tcPr>
            <w:tcW w:w="0" w:type="auto"/>
            <w:hideMark/>
          </w:tcPr>
          <w:p w14:paraId="7BB6414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0.24 ± 0.03</w:t>
            </w:r>
          </w:p>
        </w:tc>
        <w:tc>
          <w:tcPr>
            <w:tcW w:w="0" w:type="auto"/>
            <w:hideMark/>
          </w:tcPr>
          <w:p w14:paraId="19F28E9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28.3 ± 0.4</w:t>
            </w:r>
          </w:p>
        </w:tc>
      </w:tr>
      <w:tr w:rsidR="00B45AE1" w:rsidRPr="00B45AE1" w14:paraId="471E7CD5" w14:textId="77777777" w:rsidTr="00DF0BA0">
        <w:tc>
          <w:tcPr>
            <w:tcW w:w="0" w:type="auto"/>
            <w:hideMark/>
          </w:tcPr>
          <w:p w14:paraId="212EBA2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Bonny</w:t>
            </w:r>
          </w:p>
        </w:tc>
        <w:tc>
          <w:tcPr>
            <w:tcW w:w="0" w:type="auto"/>
            <w:hideMark/>
          </w:tcPr>
          <w:p w14:paraId="18A8999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7.68 ± 0.11</w:t>
            </w:r>
          </w:p>
        </w:tc>
        <w:tc>
          <w:tcPr>
            <w:tcW w:w="0" w:type="auto"/>
            <w:hideMark/>
          </w:tcPr>
          <w:p w14:paraId="17187EB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362.8 ± 11.8</w:t>
            </w:r>
          </w:p>
        </w:tc>
        <w:tc>
          <w:tcPr>
            <w:tcW w:w="0" w:type="auto"/>
            <w:hideMark/>
          </w:tcPr>
          <w:p w14:paraId="21C1CB9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220.6 ± 9.6</w:t>
            </w:r>
          </w:p>
        </w:tc>
        <w:tc>
          <w:tcPr>
            <w:tcW w:w="0" w:type="auto"/>
            <w:hideMark/>
          </w:tcPr>
          <w:p w14:paraId="22ABE73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0.68 ± 0.06</w:t>
            </w:r>
          </w:p>
        </w:tc>
        <w:tc>
          <w:tcPr>
            <w:tcW w:w="0" w:type="auto"/>
            <w:hideMark/>
          </w:tcPr>
          <w:p w14:paraId="37D161B9"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0.82 ± 0.06</w:t>
            </w:r>
          </w:p>
        </w:tc>
        <w:tc>
          <w:tcPr>
            <w:tcW w:w="0" w:type="auto"/>
            <w:hideMark/>
          </w:tcPr>
          <w:p w14:paraId="769EDA0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28.8 ± 0.4</w:t>
            </w:r>
          </w:p>
        </w:tc>
      </w:tr>
      <w:tr w:rsidR="00B45AE1" w:rsidRPr="00B45AE1" w14:paraId="0E634FE0" w14:textId="77777777" w:rsidTr="00DF0BA0">
        <w:tc>
          <w:tcPr>
            <w:tcW w:w="0" w:type="auto"/>
            <w:hideMark/>
          </w:tcPr>
          <w:p w14:paraId="77A7C5D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Bori</w:t>
            </w:r>
          </w:p>
        </w:tc>
        <w:tc>
          <w:tcPr>
            <w:tcW w:w="0" w:type="auto"/>
            <w:hideMark/>
          </w:tcPr>
          <w:p w14:paraId="7A5D36A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6.42 ± 0.08</w:t>
            </w:r>
          </w:p>
        </w:tc>
        <w:tc>
          <w:tcPr>
            <w:tcW w:w="0" w:type="auto"/>
            <w:hideMark/>
          </w:tcPr>
          <w:p w14:paraId="65074A9C"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286.2 ± 8.8</w:t>
            </w:r>
          </w:p>
        </w:tc>
        <w:tc>
          <w:tcPr>
            <w:tcW w:w="0" w:type="auto"/>
            <w:hideMark/>
          </w:tcPr>
          <w:p w14:paraId="63C632B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172.8 ± 7.4</w:t>
            </w:r>
          </w:p>
        </w:tc>
        <w:tc>
          <w:tcPr>
            <w:tcW w:w="0" w:type="auto"/>
            <w:hideMark/>
          </w:tcPr>
          <w:p w14:paraId="459378F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1.62 ± 0.12</w:t>
            </w:r>
          </w:p>
        </w:tc>
        <w:tc>
          <w:tcPr>
            <w:tcW w:w="0" w:type="auto"/>
            <w:hideMark/>
          </w:tcPr>
          <w:p w14:paraId="4595165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0.22 ± 0.03</w:t>
            </w:r>
          </w:p>
        </w:tc>
        <w:tc>
          <w:tcPr>
            <w:tcW w:w="0" w:type="auto"/>
            <w:hideMark/>
          </w:tcPr>
          <w:p w14:paraId="0387DE2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28.5 ± 0.4</w:t>
            </w:r>
          </w:p>
        </w:tc>
      </w:tr>
      <w:tr w:rsidR="00B45AE1" w:rsidRPr="00B45AE1" w14:paraId="1B4138E7" w14:textId="77777777" w:rsidTr="00DF0BA0">
        <w:tc>
          <w:tcPr>
            <w:tcW w:w="0" w:type="auto"/>
            <w:hideMark/>
          </w:tcPr>
          <w:p w14:paraId="12FBEA9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Degema</w:t>
            </w:r>
          </w:p>
        </w:tc>
        <w:tc>
          <w:tcPr>
            <w:tcW w:w="0" w:type="auto"/>
            <w:hideMark/>
          </w:tcPr>
          <w:p w14:paraId="65636EC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7.34 ± 0.09</w:t>
            </w:r>
          </w:p>
        </w:tc>
        <w:tc>
          <w:tcPr>
            <w:tcW w:w="0" w:type="auto"/>
            <w:hideMark/>
          </w:tcPr>
          <w:p w14:paraId="329CE26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318.6 ± 10.8</w:t>
            </w:r>
          </w:p>
        </w:tc>
        <w:tc>
          <w:tcPr>
            <w:tcW w:w="0" w:type="auto"/>
            <w:hideMark/>
          </w:tcPr>
          <w:p w14:paraId="47A5EEF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194.8 ± 8.2</w:t>
            </w:r>
          </w:p>
        </w:tc>
        <w:tc>
          <w:tcPr>
            <w:tcW w:w="0" w:type="auto"/>
            <w:hideMark/>
          </w:tcPr>
          <w:p w14:paraId="43CD755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0.88 ± 0.08</w:t>
            </w:r>
          </w:p>
        </w:tc>
        <w:tc>
          <w:tcPr>
            <w:tcW w:w="0" w:type="auto"/>
            <w:hideMark/>
          </w:tcPr>
          <w:p w14:paraId="3C1C3F6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0.74 ± 0.05</w:t>
            </w:r>
          </w:p>
        </w:tc>
        <w:tc>
          <w:tcPr>
            <w:tcW w:w="0" w:type="auto"/>
            <w:hideMark/>
          </w:tcPr>
          <w:p w14:paraId="22B8813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28.6 ± 0.4</w:t>
            </w:r>
          </w:p>
        </w:tc>
      </w:tr>
      <w:tr w:rsidR="00B45AE1" w:rsidRPr="00B45AE1" w14:paraId="16007F6A" w14:textId="77777777" w:rsidTr="00DF0BA0">
        <w:tc>
          <w:tcPr>
            <w:tcW w:w="0" w:type="auto"/>
            <w:hideMark/>
          </w:tcPr>
          <w:p w14:paraId="3030B25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Sachet Water</w:t>
            </w:r>
          </w:p>
        </w:tc>
        <w:tc>
          <w:tcPr>
            <w:tcW w:w="0" w:type="auto"/>
            <w:hideMark/>
          </w:tcPr>
          <w:p w14:paraId="573569F9"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7.12 ± 0.08</w:t>
            </w:r>
          </w:p>
        </w:tc>
        <w:tc>
          <w:tcPr>
            <w:tcW w:w="0" w:type="auto"/>
            <w:hideMark/>
          </w:tcPr>
          <w:p w14:paraId="372F572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86.4 ± 4.2</w:t>
            </w:r>
          </w:p>
        </w:tc>
        <w:tc>
          <w:tcPr>
            <w:tcW w:w="0" w:type="auto"/>
            <w:hideMark/>
          </w:tcPr>
          <w:p w14:paraId="2E2FBAB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52.8 ± 2.6</w:t>
            </w:r>
          </w:p>
        </w:tc>
        <w:tc>
          <w:tcPr>
            <w:tcW w:w="0" w:type="auto"/>
            <w:hideMark/>
          </w:tcPr>
          <w:p w14:paraId="781A5A1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0.42 ± 0.05</w:t>
            </w:r>
          </w:p>
        </w:tc>
        <w:tc>
          <w:tcPr>
            <w:tcW w:w="0" w:type="auto"/>
            <w:hideMark/>
          </w:tcPr>
          <w:p w14:paraId="25FE0D6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0.48 ± 0.04</w:t>
            </w:r>
          </w:p>
        </w:tc>
        <w:tc>
          <w:tcPr>
            <w:tcW w:w="0" w:type="auto"/>
            <w:hideMark/>
          </w:tcPr>
          <w:p w14:paraId="1E53F59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27.8 ± 0.3</w:t>
            </w:r>
          </w:p>
        </w:tc>
      </w:tr>
    </w:tbl>
    <w:p w14:paraId="2C24C0C7" w14:textId="77777777" w:rsidR="007145BC" w:rsidRPr="00B45AE1" w:rsidRDefault="007145BC" w:rsidP="001118E9">
      <w:pPr>
        <w:pStyle w:val="Heading2"/>
        <w:jc w:val="both"/>
        <w:rPr>
          <w:sz w:val="24"/>
          <w:szCs w:val="24"/>
        </w:rPr>
      </w:pPr>
      <w:r w:rsidRPr="00B45AE1">
        <w:rPr>
          <w:rStyle w:val="Strong"/>
          <w:b/>
          <w:bCs/>
          <w:sz w:val="24"/>
          <w:szCs w:val="24"/>
        </w:rPr>
        <w:t>3.3 Concentrations of Trihalomethanes (THMs) in Drinking Water</w:t>
      </w:r>
    </w:p>
    <w:p w14:paraId="19045FC6" w14:textId="77777777" w:rsidR="007145BC" w:rsidRPr="00B45AE1" w:rsidRDefault="007145BC" w:rsidP="001118E9">
      <w:pPr>
        <w:pStyle w:val="NormalWeb"/>
        <w:jc w:val="both"/>
      </w:pPr>
      <w:r w:rsidRPr="00B45AE1">
        <w:t xml:space="preserve">Total trihalomethane concentrations ranged from 18.64 ± 1.42 to 96.82 ± 4.24 µg/L. Chloroform was the predominant trihalomethane, with concentrations varying from 12.42 ± 0.84 to 58.46 ± 2.36 µg/L, followed by bromodichloromethane (3.12 ± 0.24–18.84 ± 0.92 µg/L), dibromochloromethane (1.64 ± 0.12–12.84 ± 0.68 µg/L) and bromoform (1.46 ± 0.10–6.68 ± 0.42 µg/L). Municipal drinking water generally contained higher trihalomethane concentrations than borehole and sachet water. </w:t>
      </w:r>
      <w:r w:rsidRPr="00B45AE1">
        <w:rPr>
          <w:rStyle w:val="Emphasis"/>
          <w:rFonts w:eastAsiaTheme="majorEastAsia"/>
        </w:rPr>
      </w:r>
      <w:r>
        <w:rPr>
          <w:rStyle w:val="Emphasis"/>
          <w:rFonts w:eastAsiaTheme="majorEastAsia"/>
          <w:highlight w:val="yellow"/>
        </w:rPr>
        <w:t>The THM concentrations are presented in Table 3.</w:t>
      </w:r>
      <w:r>
        <w:rPr>
          <w:rStyle w:val="Emphasis"/>
          <w:rFonts w:eastAsiaTheme="majorEastAsia"/>
        </w:rPr>
      </w:r>
    </w:p>
    <w:p w14:paraId="57DADB5C" w14:textId="77777777" w:rsidR="007145BC" w:rsidRPr="00B45AE1" w:rsidRDefault="007145BC" w:rsidP="001118E9">
      <w:pPr>
        <w:pStyle w:val="NormalWeb"/>
        <w:jc w:val="both"/>
        <w:rPr>
          <w:b/>
          <w:bCs/>
        </w:rPr>
      </w:pPr>
      <w:r w:rsidRPr="00B45AE1">
        <w:rPr>
          <w:b/>
          <w:bCs/>
        </w:rPr>
        <w:t>Table 3. Concentrations of Trihalomethanes (THMs) in Drinking Water (µg/L)</w:t>
      </w:r>
    </w:p>
    <w:tbl>
      <w:tblPr>
        <w:tblStyle w:val="TableGrid"/>
        <w:tblW w:w="8871" w:type="dxa"/>
        <w:tblLook w:val="04A0" w:firstRow="1" w:lastRow="0" w:firstColumn="1" w:lastColumn="0" w:noHBand="0" w:noVBand="1"/>
      </w:tblPr>
      <w:tblGrid>
        <w:gridCol w:w="1243"/>
        <w:gridCol w:w="1243"/>
        <w:gridCol w:w="2257"/>
        <w:gridCol w:w="2268"/>
        <w:gridCol w:w="1231"/>
        <w:gridCol w:w="774"/>
      </w:tblGrid>
      <w:tr w:rsidR="00B45AE1" w:rsidRPr="00B45AE1" w14:paraId="5B85876A" w14:textId="77777777" w:rsidTr="00DF0BA0">
        <w:trPr>
          <w:trHeight w:val="847"/>
          <w:tblHeader/>
        </w:trPr>
        <w:tc>
          <w:tcPr>
            <w:tcW w:w="0" w:type="auto"/>
            <w:hideMark/>
          </w:tcPr>
          <w:p w14:paraId="021E4D9D"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Community</w:t>
            </w:r>
          </w:p>
        </w:tc>
        <w:tc>
          <w:tcPr>
            <w:tcW w:w="0" w:type="auto"/>
            <w:hideMark/>
          </w:tcPr>
          <w:p w14:paraId="5F9436CE"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Chloroform</w:t>
            </w:r>
          </w:p>
        </w:tc>
        <w:tc>
          <w:tcPr>
            <w:tcW w:w="2221" w:type="dxa"/>
            <w:hideMark/>
          </w:tcPr>
          <w:p w14:paraId="54077493"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Bromodichloromethane</w:t>
            </w:r>
          </w:p>
        </w:tc>
        <w:tc>
          <w:tcPr>
            <w:tcW w:w="2232" w:type="dxa"/>
            <w:hideMark/>
          </w:tcPr>
          <w:p w14:paraId="3D0FFFEC"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Dibromochloromethane</w:t>
            </w:r>
          </w:p>
        </w:tc>
        <w:tc>
          <w:tcPr>
            <w:tcW w:w="1211" w:type="dxa"/>
            <w:hideMark/>
          </w:tcPr>
          <w:p w14:paraId="29D9D661"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Bromoform</w:t>
            </w:r>
          </w:p>
        </w:tc>
        <w:tc>
          <w:tcPr>
            <w:tcW w:w="761" w:type="dxa"/>
            <w:hideMark/>
          </w:tcPr>
          <w:p w14:paraId="25021252" w14:textId="77777777" w:rsidR="007145BC" w:rsidRPr="00B45AE1" w:rsidRDefault="007145BC" w:rsidP="001118E9">
            <w:pPr>
              <w:jc w:val="both"/>
              <w:rPr>
                <w:rFonts w:ascii="Times New Roman" w:hAnsi="Times New Roman" w:cs="Times New Roman"/>
                <w:b/>
                <w:bCs/>
                <w:sz w:val="24"/>
                <w:szCs w:val="24"/>
              </w:rPr>
            </w:pPr>
            <w:r w:rsidRPr="00B45AE1">
              <w:rPr>
                <w:rFonts w:ascii="Times New Roman" w:hAnsi="Times New Roman" w:cs="Times New Roman"/>
                <w:b/>
                <w:bCs/>
                <w:sz w:val="24"/>
                <w:szCs w:val="24"/>
              </w:rPr>
              <w:t>Total THMs</w:t>
            </w:r>
          </w:p>
        </w:tc>
      </w:tr>
      <w:tr w:rsidR="00B45AE1" w:rsidRPr="00B45AE1" w14:paraId="2CC19BE8" w14:textId="77777777" w:rsidTr="00DF0BA0">
        <w:trPr>
          <w:trHeight w:val="831"/>
        </w:trPr>
        <w:tc>
          <w:tcPr>
            <w:tcW w:w="0" w:type="auto"/>
            <w:hideMark/>
          </w:tcPr>
          <w:p w14:paraId="2CA8CD1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Port Harcourt</w:t>
            </w:r>
          </w:p>
        </w:tc>
        <w:tc>
          <w:tcPr>
            <w:tcW w:w="0" w:type="auto"/>
            <w:hideMark/>
          </w:tcPr>
          <w:p w14:paraId="62D1C90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52.84 ± 2.24</w:t>
            </w:r>
          </w:p>
        </w:tc>
        <w:tc>
          <w:tcPr>
            <w:tcW w:w="2221" w:type="dxa"/>
            <w:hideMark/>
          </w:tcPr>
          <w:p w14:paraId="251AA05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16.24 ± 0.86</w:t>
            </w:r>
          </w:p>
        </w:tc>
        <w:tc>
          <w:tcPr>
            <w:tcW w:w="2232" w:type="dxa"/>
            <w:hideMark/>
          </w:tcPr>
          <w:p w14:paraId="0985C7F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10.46 ± 0.62</w:t>
            </w:r>
          </w:p>
        </w:tc>
        <w:tc>
          <w:tcPr>
            <w:tcW w:w="1211" w:type="dxa"/>
            <w:hideMark/>
          </w:tcPr>
          <w:p w14:paraId="6C54A4C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5.62 ± 0.36</w:t>
            </w:r>
          </w:p>
        </w:tc>
        <w:tc>
          <w:tcPr>
            <w:tcW w:w="761" w:type="dxa"/>
            <w:hideMark/>
          </w:tcPr>
          <w:p w14:paraId="0641FE3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85.16 ± 4.08</w:t>
            </w:r>
          </w:p>
        </w:tc>
      </w:tr>
      <w:tr w:rsidR="00B45AE1" w:rsidRPr="00B45AE1" w14:paraId="395D88A4" w14:textId="77777777" w:rsidTr="00DF0BA0">
        <w:trPr>
          <w:trHeight w:val="847"/>
        </w:trPr>
        <w:tc>
          <w:tcPr>
            <w:tcW w:w="0" w:type="auto"/>
            <w:hideMark/>
          </w:tcPr>
          <w:p w14:paraId="1A86E1A9"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Rumuola</w:t>
            </w:r>
            <w:proofErr w:type="spellEnd"/>
          </w:p>
        </w:tc>
        <w:tc>
          <w:tcPr>
            <w:tcW w:w="0" w:type="auto"/>
            <w:hideMark/>
          </w:tcPr>
          <w:p w14:paraId="438BC3B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24.62 ± 1.18</w:t>
            </w:r>
          </w:p>
        </w:tc>
        <w:tc>
          <w:tcPr>
            <w:tcW w:w="2221" w:type="dxa"/>
            <w:hideMark/>
          </w:tcPr>
          <w:p w14:paraId="63E053F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7.82 ± 0.42</w:t>
            </w:r>
          </w:p>
        </w:tc>
        <w:tc>
          <w:tcPr>
            <w:tcW w:w="2232" w:type="dxa"/>
            <w:hideMark/>
          </w:tcPr>
          <w:p w14:paraId="3001262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4.28 ± 0.28</w:t>
            </w:r>
          </w:p>
        </w:tc>
        <w:tc>
          <w:tcPr>
            <w:tcW w:w="1211" w:type="dxa"/>
            <w:hideMark/>
          </w:tcPr>
          <w:p w14:paraId="3722A68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2.24 ± 0.18</w:t>
            </w:r>
          </w:p>
        </w:tc>
        <w:tc>
          <w:tcPr>
            <w:tcW w:w="761" w:type="dxa"/>
            <w:hideMark/>
          </w:tcPr>
          <w:p w14:paraId="475C420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38.96 ± 2.06</w:t>
            </w:r>
          </w:p>
        </w:tc>
      </w:tr>
      <w:tr w:rsidR="00B45AE1" w:rsidRPr="00B45AE1" w14:paraId="112DD67E" w14:textId="77777777" w:rsidTr="00DF0BA0">
        <w:trPr>
          <w:trHeight w:val="831"/>
        </w:trPr>
        <w:tc>
          <w:tcPr>
            <w:tcW w:w="0" w:type="auto"/>
            <w:hideMark/>
          </w:tcPr>
          <w:p w14:paraId="544FD8B7"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Rumuokoro</w:t>
            </w:r>
            <w:proofErr w:type="spellEnd"/>
          </w:p>
        </w:tc>
        <w:tc>
          <w:tcPr>
            <w:tcW w:w="0" w:type="auto"/>
            <w:hideMark/>
          </w:tcPr>
          <w:p w14:paraId="1639B5D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26.18 ± 1.22</w:t>
            </w:r>
          </w:p>
        </w:tc>
        <w:tc>
          <w:tcPr>
            <w:tcW w:w="2221" w:type="dxa"/>
            <w:hideMark/>
          </w:tcPr>
          <w:p w14:paraId="3F02501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8.14 ± 0.44</w:t>
            </w:r>
          </w:p>
        </w:tc>
        <w:tc>
          <w:tcPr>
            <w:tcW w:w="2232" w:type="dxa"/>
            <w:hideMark/>
          </w:tcPr>
          <w:p w14:paraId="56C6C79C"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4.52 ± 0.30</w:t>
            </w:r>
          </w:p>
        </w:tc>
        <w:tc>
          <w:tcPr>
            <w:tcW w:w="1211" w:type="dxa"/>
            <w:hideMark/>
          </w:tcPr>
          <w:p w14:paraId="22E49C4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2.36 ± 0.18</w:t>
            </w:r>
          </w:p>
        </w:tc>
        <w:tc>
          <w:tcPr>
            <w:tcW w:w="761" w:type="dxa"/>
            <w:hideMark/>
          </w:tcPr>
          <w:p w14:paraId="374C9CF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41.20 ± 2.14</w:t>
            </w:r>
          </w:p>
        </w:tc>
      </w:tr>
      <w:tr w:rsidR="00B45AE1" w:rsidRPr="00B45AE1" w14:paraId="7423880E" w14:textId="77777777" w:rsidTr="00DF0BA0">
        <w:trPr>
          <w:trHeight w:val="847"/>
        </w:trPr>
        <w:tc>
          <w:tcPr>
            <w:tcW w:w="0" w:type="auto"/>
            <w:hideMark/>
          </w:tcPr>
          <w:p w14:paraId="268A6CC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lastRenderedPageBreak/>
              <w:t>Choba</w:t>
            </w:r>
          </w:p>
        </w:tc>
        <w:tc>
          <w:tcPr>
            <w:tcW w:w="0" w:type="auto"/>
            <w:hideMark/>
          </w:tcPr>
          <w:p w14:paraId="277CC3D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46.62 ± 2.08</w:t>
            </w:r>
          </w:p>
        </w:tc>
        <w:tc>
          <w:tcPr>
            <w:tcW w:w="2221" w:type="dxa"/>
            <w:hideMark/>
          </w:tcPr>
          <w:p w14:paraId="787136D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14.68 ± 0.74</w:t>
            </w:r>
          </w:p>
        </w:tc>
        <w:tc>
          <w:tcPr>
            <w:tcW w:w="2232" w:type="dxa"/>
            <w:hideMark/>
          </w:tcPr>
          <w:p w14:paraId="2A51B0F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9.28 ± 0.54</w:t>
            </w:r>
          </w:p>
        </w:tc>
        <w:tc>
          <w:tcPr>
            <w:tcW w:w="1211" w:type="dxa"/>
            <w:hideMark/>
          </w:tcPr>
          <w:p w14:paraId="1AFFE6D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4.82 ± 0.32</w:t>
            </w:r>
          </w:p>
        </w:tc>
        <w:tc>
          <w:tcPr>
            <w:tcW w:w="761" w:type="dxa"/>
            <w:hideMark/>
          </w:tcPr>
          <w:p w14:paraId="6648063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75.40 ± 3.68</w:t>
            </w:r>
          </w:p>
        </w:tc>
      </w:tr>
      <w:tr w:rsidR="00B45AE1" w:rsidRPr="00B45AE1" w14:paraId="7F94C55B" w14:textId="77777777" w:rsidTr="00DF0BA0">
        <w:trPr>
          <w:trHeight w:val="831"/>
        </w:trPr>
        <w:tc>
          <w:tcPr>
            <w:tcW w:w="0" w:type="auto"/>
            <w:hideMark/>
          </w:tcPr>
          <w:p w14:paraId="122768A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Eleme</w:t>
            </w:r>
          </w:p>
        </w:tc>
        <w:tc>
          <w:tcPr>
            <w:tcW w:w="0" w:type="auto"/>
            <w:hideMark/>
          </w:tcPr>
          <w:p w14:paraId="0CE6104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58.46 ± 2.36</w:t>
            </w:r>
          </w:p>
        </w:tc>
        <w:tc>
          <w:tcPr>
            <w:tcW w:w="2221" w:type="dxa"/>
            <w:hideMark/>
          </w:tcPr>
          <w:p w14:paraId="710A5BB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18.84 ± 0.92</w:t>
            </w:r>
          </w:p>
        </w:tc>
        <w:tc>
          <w:tcPr>
            <w:tcW w:w="2232" w:type="dxa"/>
            <w:hideMark/>
          </w:tcPr>
          <w:p w14:paraId="356C531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12.84 ± 0.68</w:t>
            </w:r>
          </w:p>
        </w:tc>
        <w:tc>
          <w:tcPr>
            <w:tcW w:w="1211" w:type="dxa"/>
            <w:hideMark/>
          </w:tcPr>
          <w:p w14:paraId="17BD7A3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6.68 ± 0.42</w:t>
            </w:r>
          </w:p>
        </w:tc>
        <w:tc>
          <w:tcPr>
            <w:tcW w:w="761" w:type="dxa"/>
            <w:hideMark/>
          </w:tcPr>
          <w:p w14:paraId="5B0590E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96.82 ± 4.24</w:t>
            </w:r>
          </w:p>
        </w:tc>
      </w:tr>
      <w:tr w:rsidR="00B45AE1" w:rsidRPr="00B45AE1" w14:paraId="5CA05698" w14:textId="77777777" w:rsidTr="00DF0BA0">
        <w:trPr>
          <w:trHeight w:val="847"/>
        </w:trPr>
        <w:tc>
          <w:tcPr>
            <w:tcW w:w="0" w:type="auto"/>
            <w:hideMark/>
          </w:tcPr>
          <w:p w14:paraId="0964334A"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Oyigbo</w:t>
            </w:r>
            <w:proofErr w:type="spellEnd"/>
          </w:p>
        </w:tc>
        <w:tc>
          <w:tcPr>
            <w:tcW w:w="0" w:type="auto"/>
            <w:hideMark/>
          </w:tcPr>
          <w:p w14:paraId="641061D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42.84 ± 1.96</w:t>
            </w:r>
          </w:p>
        </w:tc>
        <w:tc>
          <w:tcPr>
            <w:tcW w:w="2221" w:type="dxa"/>
            <w:hideMark/>
          </w:tcPr>
          <w:p w14:paraId="63866BA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13.24 ± 0.68</w:t>
            </w:r>
          </w:p>
        </w:tc>
        <w:tc>
          <w:tcPr>
            <w:tcW w:w="2232" w:type="dxa"/>
            <w:hideMark/>
          </w:tcPr>
          <w:p w14:paraId="36DC5A0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8.42 ± 0.48</w:t>
            </w:r>
          </w:p>
        </w:tc>
        <w:tc>
          <w:tcPr>
            <w:tcW w:w="1211" w:type="dxa"/>
            <w:hideMark/>
          </w:tcPr>
          <w:p w14:paraId="3E779F0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4.42 ± 0.28</w:t>
            </w:r>
          </w:p>
        </w:tc>
        <w:tc>
          <w:tcPr>
            <w:tcW w:w="761" w:type="dxa"/>
            <w:hideMark/>
          </w:tcPr>
          <w:p w14:paraId="0E1BD3F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68.92 ± 3.40</w:t>
            </w:r>
          </w:p>
        </w:tc>
      </w:tr>
      <w:tr w:rsidR="00B45AE1" w:rsidRPr="00B45AE1" w14:paraId="111E4EA0" w14:textId="77777777" w:rsidTr="00DF0BA0">
        <w:trPr>
          <w:trHeight w:val="831"/>
        </w:trPr>
        <w:tc>
          <w:tcPr>
            <w:tcW w:w="0" w:type="auto"/>
            <w:hideMark/>
          </w:tcPr>
          <w:p w14:paraId="0E26DC37"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Ahoada</w:t>
            </w:r>
            <w:proofErr w:type="spellEnd"/>
          </w:p>
        </w:tc>
        <w:tc>
          <w:tcPr>
            <w:tcW w:w="0" w:type="auto"/>
            <w:hideMark/>
          </w:tcPr>
          <w:p w14:paraId="03DAD90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20.84 ± 1.04</w:t>
            </w:r>
          </w:p>
        </w:tc>
        <w:tc>
          <w:tcPr>
            <w:tcW w:w="2221" w:type="dxa"/>
            <w:hideMark/>
          </w:tcPr>
          <w:p w14:paraId="7DC50AC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6.26 ± 0.34</w:t>
            </w:r>
          </w:p>
        </w:tc>
        <w:tc>
          <w:tcPr>
            <w:tcW w:w="2232" w:type="dxa"/>
            <w:hideMark/>
          </w:tcPr>
          <w:p w14:paraId="0B3C673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3.24 ± 0.20</w:t>
            </w:r>
          </w:p>
        </w:tc>
        <w:tc>
          <w:tcPr>
            <w:tcW w:w="1211" w:type="dxa"/>
            <w:hideMark/>
          </w:tcPr>
          <w:p w14:paraId="274F7B1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1.84 ± 0.14</w:t>
            </w:r>
          </w:p>
        </w:tc>
        <w:tc>
          <w:tcPr>
            <w:tcW w:w="761" w:type="dxa"/>
            <w:hideMark/>
          </w:tcPr>
          <w:p w14:paraId="2F314B3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32.18 ± 1.72</w:t>
            </w:r>
          </w:p>
        </w:tc>
      </w:tr>
      <w:tr w:rsidR="00B45AE1" w:rsidRPr="00B45AE1" w14:paraId="24FDFC2D" w14:textId="77777777" w:rsidTr="00DF0BA0">
        <w:trPr>
          <w:trHeight w:val="847"/>
        </w:trPr>
        <w:tc>
          <w:tcPr>
            <w:tcW w:w="0" w:type="auto"/>
            <w:hideMark/>
          </w:tcPr>
          <w:p w14:paraId="52BB0FF7" w14:textId="77777777" w:rsidR="007145BC" w:rsidRPr="00B45AE1" w:rsidRDefault="007145BC" w:rsidP="001118E9">
            <w:pPr>
              <w:jc w:val="both"/>
              <w:rPr>
                <w:rFonts w:ascii="Times New Roman" w:hAnsi="Times New Roman" w:cs="Times New Roman"/>
                <w:sz w:val="24"/>
                <w:szCs w:val="24"/>
              </w:rPr>
            </w:pPr>
            <w:proofErr w:type="spellStart"/>
            <w:r w:rsidRPr="00B45AE1">
              <w:rPr>
                <w:rFonts w:ascii="Times New Roman" w:hAnsi="Times New Roman" w:cs="Times New Roman"/>
                <w:sz w:val="24"/>
                <w:szCs w:val="24"/>
              </w:rPr>
              <w:t>Omoku</w:t>
            </w:r>
            <w:proofErr w:type="spellEnd"/>
          </w:p>
        </w:tc>
        <w:tc>
          <w:tcPr>
            <w:tcW w:w="0" w:type="auto"/>
            <w:hideMark/>
          </w:tcPr>
          <w:p w14:paraId="6D60474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18.64 ± 0.96</w:t>
            </w:r>
          </w:p>
        </w:tc>
        <w:tc>
          <w:tcPr>
            <w:tcW w:w="2221" w:type="dxa"/>
            <w:hideMark/>
          </w:tcPr>
          <w:p w14:paraId="219B52C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5.82 ± 0.32</w:t>
            </w:r>
          </w:p>
        </w:tc>
        <w:tc>
          <w:tcPr>
            <w:tcW w:w="2232" w:type="dxa"/>
            <w:hideMark/>
          </w:tcPr>
          <w:p w14:paraId="5EC24F3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3.12 ± 0.18</w:t>
            </w:r>
          </w:p>
        </w:tc>
        <w:tc>
          <w:tcPr>
            <w:tcW w:w="1211" w:type="dxa"/>
            <w:hideMark/>
          </w:tcPr>
          <w:p w14:paraId="5F65C50C"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1.46 ± 0.10</w:t>
            </w:r>
          </w:p>
        </w:tc>
        <w:tc>
          <w:tcPr>
            <w:tcW w:w="761" w:type="dxa"/>
            <w:hideMark/>
          </w:tcPr>
          <w:p w14:paraId="5E4555E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29.04 ± 1.56</w:t>
            </w:r>
          </w:p>
        </w:tc>
      </w:tr>
      <w:tr w:rsidR="00B45AE1" w:rsidRPr="00B45AE1" w14:paraId="03F4DCD1" w14:textId="77777777" w:rsidTr="00DF0BA0">
        <w:trPr>
          <w:trHeight w:val="831"/>
        </w:trPr>
        <w:tc>
          <w:tcPr>
            <w:tcW w:w="0" w:type="auto"/>
            <w:hideMark/>
          </w:tcPr>
          <w:p w14:paraId="3EC0221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Bonny</w:t>
            </w:r>
          </w:p>
        </w:tc>
        <w:tc>
          <w:tcPr>
            <w:tcW w:w="0" w:type="auto"/>
            <w:hideMark/>
          </w:tcPr>
          <w:p w14:paraId="6BE89AB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54.82 ± 2.28</w:t>
            </w:r>
          </w:p>
        </w:tc>
        <w:tc>
          <w:tcPr>
            <w:tcW w:w="2221" w:type="dxa"/>
            <w:hideMark/>
          </w:tcPr>
          <w:p w14:paraId="5584D19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17.26 ± 0.88</w:t>
            </w:r>
          </w:p>
        </w:tc>
        <w:tc>
          <w:tcPr>
            <w:tcW w:w="2232" w:type="dxa"/>
            <w:hideMark/>
          </w:tcPr>
          <w:p w14:paraId="636AAAE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11.24 ± 0.66</w:t>
            </w:r>
          </w:p>
        </w:tc>
        <w:tc>
          <w:tcPr>
            <w:tcW w:w="1211" w:type="dxa"/>
            <w:hideMark/>
          </w:tcPr>
          <w:p w14:paraId="0E2C7B6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5.84 ± 0.36</w:t>
            </w:r>
          </w:p>
        </w:tc>
        <w:tc>
          <w:tcPr>
            <w:tcW w:w="761" w:type="dxa"/>
            <w:hideMark/>
          </w:tcPr>
          <w:p w14:paraId="5B87CDF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89.16 ± 4.18</w:t>
            </w:r>
          </w:p>
        </w:tc>
      </w:tr>
      <w:tr w:rsidR="00B45AE1" w:rsidRPr="00B45AE1" w14:paraId="1746AD58" w14:textId="77777777" w:rsidTr="00DF0BA0">
        <w:trPr>
          <w:trHeight w:val="847"/>
        </w:trPr>
        <w:tc>
          <w:tcPr>
            <w:tcW w:w="0" w:type="auto"/>
            <w:hideMark/>
          </w:tcPr>
          <w:p w14:paraId="63C7E2D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Bori</w:t>
            </w:r>
          </w:p>
        </w:tc>
        <w:tc>
          <w:tcPr>
            <w:tcW w:w="0" w:type="auto"/>
            <w:hideMark/>
          </w:tcPr>
          <w:p w14:paraId="0657272F"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22.42 ± 1.12</w:t>
            </w:r>
          </w:p>
        </w:tc>
        <w:tc>
          <w:tcPr>
            <w:tcW w:w="2221" w:type="dxa"/>
            <w:hideMark/>
          </w:tcPr>
          <w:p w14:paraId="5886E2F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6.84 ± 0.38</w:t>
            </w:r>
          </w:p>
        </w:tc>
        <w:tc>
          <w:tcPr>
            <w:tcW w:w="2232" w:type="dxa"/>
            <w:hideMark/>
          </w:tcPr>
          <w:p w14:paraId="49BDA346"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3.84 ± 0.22</w:t>
            </w:r>
          </w:p>
        </w:tc>
        <w:tc>
          <w:tcPr>
            <w:tcW w:w="1211" w:type="dxa"/>
            <w:hideMark/>
          </w:tcPr>
          <w:p w14:paraId="0B2D9F35"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2.04 ± 0.14</w:t>
            </w:r>
          </w:p>
        </w:tc>
        <w:tc>
          <w:tcPr>
            <w:tcW w:w="761" w:type="dxa"/>
            <w:hideMark/>
          </w:tcPr>
          <w:p w14:paraId="70416182"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35.14 ± 1.86</w:t>
            </w:r>
          </w:p>
        </w:tc>
      </w:tr>
      <w:tr w:rsidR="00B45AE1" w:rsidRPr="00B45AE1" w14:paraId="00AC07F8" w14:textId="77777777" w:rsidTr="00DF0BA0">
        <w:trPr>
          <w:trHeight w:val="831"/>
        </w:trPr>
        <w:tc>
          <w:tcPr>
            <w:tcW w:w="0" w:type="auto"/>
            <w:hideMark/>
          </w:tcPr>
          <w:p w14:paraId="0D74B8D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Degema</w:t>
            </w:r>
          </w:p>
        </w:tc>
        <w:tc>
          <w:tcPr>
            <w:tcW w:w="0" w:type="auto"/>
            <w:hideMark/>
          </w:tcPr>
          <w:p w14:paraId="51E4394B"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48.84 ± 2.14</w:t>
            </w:r>
          </w:p>
        </w:tc>
        <w:tc>
          <w:tcPr>
            <w:tcW w:w="2221" w:type="dxa"/>
            <w:hideMark/>
          </w:tcPr>
          <w:p w14:paraId="3B76D1A1"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15.42 ± 0.78</w:t>
            </w:r>
          </w:p>
        </w:tc>
        <w:tc>
          <w:tcPr>
            <w:tcW w:w="2232" w:type="dxa"/>
            <w:hideMark/>
          </w:tcPr>
          <w:p w14:paraId="5854F018"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9.84 ± 0.58</w:t>
            </w:r>
          </w:p>
        </w:tc>
        <w:tc>
          <w:tcPr>
            <w:tcW w:w="1211" w:type="dxa"/>
            <w:hideMark/>
          </w:tcPr>
          <w:p w14:paraId="4D8BA40E"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5.16 ± 0.34</w:t>
            </w:r>
          </w:p>
        </w:tc>
        <w:tc>
          <w:tcPr>
            <w:tcW w:w="761" w:type="dxa"/>
            <w:hideMark/>
          </w:tcPr>
          <w:p w14:paraId="0121970A"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79.26 ± 3.84</w:t>
            </w:r>
          </w:p>
        </w:tc>
      </w:tr>
      <w:tr w:rsidR="00B45AE1" w:rsidRPr="00B45AE1" w14:paraId="7921D98C" w14:textId="77777777" w:rsidTr="00DF0BA0">
        <w:trPr>
          <w:trHeight w:val="847"/>
        </w:trPr>
        <w:tc>
          <w:tcPr>
            <w:tcW w:w="0" w:type="auto"/>
            <w:hideMark/>
          </w:tcPr>
          <w:p w14:paraId="62BA647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Sachet Water</w:t>
            </w:r>
          </w:p>
        </w:tc>
        <w:tc>
          <w:tcPr>
            <w:tcW w:w="0" w:type="auto"/>
            <w:hideMark/>
          </w:tcPr>
          <w:p w14:paraId="23AC6D53"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12.42 ± 0.84</w:t>
            </w:r>
          </w:p>
        </w:tc>
        <w:tc>
          <w:tcPr>
            <w:tcW w:w="2221" w:type="dxa"/>
            <w:hideMark/>
          </w:tcPr>
          <w:p w14:paraId="28EAD6B4"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3.12 ± 0.24</w:t>
            </w:r>
          </w:p>
        </w:tc>
        <w:tc>
          <w:tcPr>
            <w:tcW w:w="2232" w:type="dxa"/>
            <w:hideMark/>
          </w:tcPr>
          <w:p w14:paraId="543B9127"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1.64 ± 0.12</w:t>
            </w:r>
          </w:p>
        </w:tc>
        <w:tc>
          <w:tcPr>
            <w:tcW w:w="1211" w:type="dxa"/>
            <w:hideMark/>
          </w:tcPr>
          <w:p w14:paraId="0C3C763D"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1.46 ± 0.10</w:t>
            </w:r>
          </w:p>
        </w:tc>
        <w:tc>
          <w:tcPr>
            <w:tcW w:w="761" w:type="dxa"/>
            <w:hideMark/>
          </w:tcPr>
          <w:p w14:paraId="0690B950" w14:textId="77777777" w:rsidR="007145BC" w:rsidRPr="00B45AE1" w:rsidRDefault="007145BC" w:rsidP="001118E9">
            <w:pPr>
              <w:jc w:val="both"/>
              <w:rPr>
                <w:rFonts w:ascii="Times New Roman" w:hAnsi="Times New Roman" w:cs="Times New Roman"/>
                <w:sz w:val="24"/>
                <w:szCs w:val="24"/>
              </w:rPr>
            </w:pPr>
            <w:r w:rsidRPr="00B45AE1">
              <w:rPr>
                <w:rFonts w:ascii="Times New Roman" w:hAnsi="Times New Roman" w:cs="Times New Roman"/>
                <w:sz w:val="24"/>
                <w:szCs w:val="24"/>
              </w:rPr>
              <w:t>18.64 ± 1.42</w:t>
            </w:r>
          </w:p>
        </w:tc>
      </w:tr>
    </w:tbl>
    <w:p w14:paraId="22A3C580" w14:textId="77777777" w:rsidR="007145BC" w:rsidRPr="00B45AE1" w:rsidRDefault="007145BC" w:rsidP="001118E9">
      <w:pPr>
        <w:pStyle w:val="NormalWeb"/>
        <w:jc w:val="both"/>
      </w:pPr>
    </w:p>
    <w:p w14:paraId="7FDC79DE"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 xml:space="preserve">3.4 Concentrations of </w:t>
      </w:r>
      <w:proofErr w:type="spellStart"/>
      <w:r w:rsidRPr="00B45AE1">
        <w:rPr>
          <w:rFonts w:ascii="Times New Roman" w:eastAsia="Times New Roman" w:hAnsi="Times New Roman" w:cs="Times New Roman"/>
          <w:b/>
          <w:bCs/>
          <w:sz w:val="24"/>
          <w:szCs w:val="24"/>
          <w:lang w:eastAsia="en-GB"/>
        </w:rPr>
        <w:t>Haloacetic</w:t>
      </w:r>
      <w:proofErr w:type="spellEnd"/>
      <w:r w:rsidRPr="00B45AE1">
        <w:rPr>
          <w:rFonts w:ascii="Times New Roman" w:eastAsia="Times New Roman" w:hAnsi="Times New Roman" w:cs="Times New Roman"/>
          <w:b/>
          <w:bCs/>
          <w:sz w:val="24"/>
          <w:szCs w:val="24"/>
          <w:lang w:eastAsia="en-GB"/>
        </w:rPr>
        <w:t xml:space="preserve"> Acids (HAAs) in Drinking Water</w:t>
      </w:r>
    </w:p>
    <w:p w14:paraId="483C2698"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Haloacetic</w:t>
      </w:r>
      <w:proofErr w:type="spellEnd"/>
      <w:r w:rsidRPr="00B45AE1">
        <w:rPr>
          <w:rFonts w:ascii="Times New Roman" w:eastAsia="Times New Roman" w:hAnsi="Times New Roman" w:cs="Times New Roman"/>
          <w:sz w:val="24"/>
          <w:szCs w:val="24"/>
          <w:lang w:eastAsia="en-GB"/>
        </w:rPr>
        <w:t xml:space="preserve"> acid concentrations ranged from 8.42 ± 0.62 to 52.84 ± 2.28 µg/L. Trichloroacetic acid was the predominant </w:t>
      </w:r>
      <w:proofErr w:type="spellStart"/>
      <w:r w:rsidRPr="00B45AE1">
        <w:rPr>
          <w:rFonts w:ascii="Times New Roman" w:eastAsia="Times New Roman" w:hAnsi="Times New Roman" w:cs="Times New Roman"/>
          <w:sz w:val="24"/>
          <w:szCs w:val="24"/>
          <w:lang w:eastAsia="en-GB"/>
        </w:rPr>
        <w:t>haloacetic</w:t>
      </w:r>
      <w:proofErr w:type="spellEnd"/>
      <w:r w:rsidRPr="00B45AE1">
        <w:rPr>
          <w:rFonts w:ascii="Times New Roman" w:eastAsia="Times New Roman" w:hAnsi="Times New Roman" w:cs="Times New Roman"/>
          <w:sz w:val="24"/>
          <w:szCs w:val="24"/>
          <w:lang w:eastAsia="en-GB"/>
        </w:rPr>
      </w:r>
      <w:r>
        <w:rPr>
          <w:rFonts w:ascii="Times New Roman" w:eastAsia="Times New Roman" w:hAnsi="Times New Roman" w:cs="Times New Roman"/>
          <w:sz w:val="24"/>
          <w:szCs w:val="24"/>
          <w:highlight w:val="yellow"/>
          <w:lang w:eastAsia="en-GB"/>
        </w:rPr>
        <w:t xml:space="preserve"> acid, with concentrations</w:t>
      </w:r>
      <w:r>
        <w:rPr>
          <w:rFonts w:ascii="Times New Roman" w:eastAsia="Times New Roman" w:hAnsi="Times New Roman" w:cs="Times New Roman"/>
          <w:sz w:val="24"/>
          <w:szCs w:val="24"/>
          <w:lang w:eastAsia="en-GB"/>
        </w:rPr>
        <w:t xml:space="preserve"> ranging from 2.84 ± 0.24 to 18.62 ± 0.82 µg/L, followed by dichloroacetic acid (2.36 ± 0.18–16.84 ± 0.74 µg/L), monochloroacetic acid (1.82 ± 0.14–10.48 ± 0.56 µg/L), </w:t>
      </w:r>
      <w:proofErr w:type="spellStart"/>
      <w:r w:rsidRPr="00B45AE1">
        <w:rPr>
          <w:rFonts w:ascii="Times New Roman" w:eastAsia="Times New Roman" w:hAnsi="Times New Roman" w:cs="Times New Roman"/>
          <w:sz w:val="24"/>
          <w:szCs w:val="24"/>
          <w:lang w:eastAsia="en-GB"/>
        </w:rPr>
        <w:t>monobromoacetic</w:t>
      </w:r>
      <w:proofErr w:type="spellEnd"/>
      <w:r w:rsidRPr="00B45AE1">
        <w:rPr>
          <w:rFonts w:ascii="Times New Roman" w:eastAsia="Times New Roman" w:hAnsi="Times New Roman" w:cs="Times New Roman"/>
          <w:sz w:val="24"/>
          <w:szCs w:val="24"/>
          <w:lang w:eastAsia="en-GB"/>
        </w:rPr>
        <w:t xml:space="preserve"> acid (0.62 ± 0.06–3.48 ± 0.18 µg/L) and </w:t>
      </w:r>
      <w:proofErr w:type="spellStart"/>
      <w:r w:rsidRPr="00B45AE1">
        <w:rPr>
          <w:rFonts w:ascii="Times New Roman" w:eastAsia="Times New Roman" w:hAnsi="Times New Roman" w:cs="Times New Roman"/>
          <w:sz w:val="24"/>
          <w:szCs w:val="24"/>
          <w:lang w:eastAsia="en-GB"/>
        </w:rPr>
        <w:t>dibromoacetic</w:t>
      </w:r>
      <w:proofErr w:type="spellEnd"/>
      <w:r w:rsidRPr="00B45AE1">
        <w:rPr>
          <w:rFonts w:ascii="Times New Roman" w:eastAsia="Times New Roman" w:hAnsi="Times New Roman" w:cs="Times New Roman"/>
          <w:sz w:val="24"/>
          <w:szCs w:val="24"/>
          <w:lang w:eastAsia="en-GB"/>
        </w:rPr>
        <w:t xml:space="preserve"> acid (0.78 ± 0.08–3.42 ± 0.16 µg/L). </w:t>
      </w:r>
      <w:r>
        <w:rPr>
          <w:rFonts w:ascii="Times New Roman" w:eastAsia="Times New Roman" w:hAnsi="Times New Roman" w:cs="Times New Roman"/>
          <w:sz w:val="24"/>
          <w:szCs w:val="24"/>
          <w:highlight w:val="yellow"/>
          <w:lang w:eastAsia="en-GB"/>
        </w:rPr>
        <w:t>Municipal drinking water had higher</w:t>
      </w:r>
      <w:r>
        <w:rPr>
          <w:rFonts w:ascii="Times New Roman" w:eastAsia="Times New Roman" w:hAnsi="Times New Roman" w:cs="Times New Roman"/>
          <w:sz w:val="24"/>
          <w:szCs w:val="24"/>
          <w:lang w:eastAsia="en-GB"/>
        </w:rPr>
        <w:t xml:space="preserve"> </w:t>
      </w:r>
      <w:proofErr w:type="spellStart"/>
      <w:r w:rsidRPr="00B45AE1">
        <w:rPr>
          <w:rFonts w:ascii="Times New Roman" w:eastAsia="Times New Roman" w:hAnsi="Times New Roman" w:cs="Times New Roman"/>
          <w:sz w:val="24"/>
          <w:szCs w:val="24"/>
          <w:lang w:eastAsia="en-GB"/>
        </w:rPr>
        <w:t>haloacetic</w:t>
      </w:r>
      <w:proofErr w:type="spellEnd"/>
      <w:r w:rsidRPr="00B45AE1">
        <w:rPr>
          <w:rFonts w:ascii="Times New Roman" w:eastAsia="Times New Roman" w:hAnsi="Times New Roman" w:cs="Times New Roman"/>
          <w:sz w:val="24"/>
          <w:szCs w:val="24"/>
          <w:lang w:eastAsia="en-GB"/>
        </w:rPr>
        <w:t xml:space="preserve"> acid concentrations than borehole and sachet water. </w:t>
      </w:r>
      <w:r>
        <w:rPr>
          <w:highlight w:val="yellow"/>
        </w:rPr>
        <w:t xml:space="preserve">Location-specific total THM and HAA concentrations are shown in Figure 2. The HAA concentrations are presented in </w:t>
      </w:r>
      <w:r w:rsidRPr="00B45AE1">
        <w:rPr>
          <w:rFonts w:ascii="Times New Roman" w:eastAsia="Times New Roman" w:hAnsi="Times New Roman" w:cs="Times New Roman"/>
          <w:i/>
          <w:iCs/>
          <w:sz w:val="24"/>
          <w:szCs w:val="24"/>
          <w:lang w:eastAsia="en-GB"/>
        </w:rPr>
        <w:t>Table 4.</w:t>
      </w:r>
    </w:p>
    <w:p w14:paraId="46A17341"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b/>
          <w:bCs/>
          <w:sz w:val="24"/>
          <w:szCs w:val="24"/>
          <w:lang w:eastAsia="en-GB"/>
        </w:rPr>
        <w:t xml:space="preserve">Table 4 Concentrations of </w:t>
      </w:r>
      <w:proofErr w:type="spellStart"/>
      <w:r w:rsidRPr="00B45AE1">
        <w:rPr>
          <w:rFonts w:ascii="Times New Roman" w:eastAsia="Times New Roman" w:hAnsi="Times New Roman" w:cs="Times New Roman"/>
          <w:b/>
          <w:bCs/>
          <w:sz w:val="24"/>
          <w:szCs w:val="24"/>
          <w:lang w:eastAsia="en-GB"/>
        </w:rPr>
        <w:t>Haloacetic</w:t>
      </w:r>
      <w:proofErr w:type="spellEnd"/>
      <w:r w:rsidRPr="00B45AE1">
        <w:rPr>
          <w:rFonts w:ascii="Times New Roman" w:eastAsia="Times New Roman" w:hAnsi="Times New Roman" w:cs="Times New Roman"/>
          <w:b/>
          <w:bCs/>
          <w:sz w:val="24"/>
          <w:szCs w:val="24"/>
          <w:lang w:eastAsia="en-GB"/>
        </w:rPr>
        <w:t xml:space="preserve"> Acids (HAAs) in Drinking Water (µg/L)</w:t>
      </w:r>
    </w:p>
    <w:p w14:paraId="066683A7" w14:textId="77777777" w:rsidR="004823DC" w:rsidRPr="00B45AE1" w:rsidRDefault="004823DC">
      <w:pPr>
        <w:jc w:val="center"/>
        <w:rPr>
          <w:rFonts w:ascii="Times New Roman" w:hAnsi="Times New Roman" w:cs="Times New Roman"/>
          <w:noProof/>
          <w:sz w:val="24"/>
          <w:szCs w:val="24"/>
        </w:rPr>
      </w:pPr>
    </w:p>
    <w:p w14:paraId="3ACF5CE1" w14:textId="1C7317D8" w:rsidR="00AA3615" w:rsidRPr="00B45AE1" w:rsidRDefault="0046656C">
      <w:pPr>
        <w:jc w:val="center"/>
        <w:rPr>
          <w:rFonts w:ascii="Times New Roman" w:hAnsi="Times New Roman" w:cs="Times New Roman"/>
          <w:sz w:val="24"/>
          <w:szCs w:val="24"/>
        </w:rPr>
      </w:pPr>
      <w:r w:rsidRPr="00B45AE1">
        <w:rPr>
          <w:rFonts w:ascii="Times New Roman" w:hAnsi="Times New Roman" w:cs="Times New Roman"/>
          <w:noProof/>
          <w:sz w:val="24"/>
          <w:szCs w:val="24"/>
        </w:rPr>
        <w:lastRenderedPageBreak/>
        <w:drawing>
          <wp:inline distT="0" distB="0" distL="0" distR="0" wp14:anchorId="48ECD9E4" wp14:editId="2FDF169B">
            <wp:extent cx="5852088" cy="2798003"/>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p_spatial_trends.png"/>
                    <pic:cNvPicPr/>
                  </pic:nvPicPr>
                  <pic:blipFill rotWithShape="1">
                    <a:blip r:embed="rId7"/>
                    <a:srcRect t="6942"/>
                    <a:stretch/>
                  </pic:blipFill>
                  <pic:spPr bwMode="auto">
                    <a:xfrm>
                      <a:off x="0" y="0"/>
                      <a:ext cx="5852160" cy="2798037"/>
                    </a:xfrm>
                    <a:prstGeom prst="rect">
                      <a:avLst/>
                    </a:prstGeom>
                    <a:ln>
                      <a:noFill/>
                    </a:ln>
                    <a:extLst>
                      <a:ext uri="{53640926-AAD7-44D8-BBD7-CCE9431645EC}">
                        <a14:shadowObscured xmlns:a14="http://schemas.microsoft.com/office/drawing/2010/main"/>
                      </a:ext>
                    </a:extLst>
                  </pic:spPr>
                </pic:pic>
              </a:graphicData>
            </a:graphic>
          </wp:inline>
        </w:drawing>
      </w:r>
    </w:p>
    <w:p w14:paraId="402AFC87" w14:textId="77777777" w:rsidR="00AA3615" w:rsidRPr="00B45AE1" w:rsidRDefault="0046656C">
      <w:pPr>
        <w:jc w:val="center"/>
        <w:rPr>
          <w:rFonts w:ascii="Times New Roman" w:hAnsi="Times New Roman" w:cs="Times New Roman"/>
          <w:sz w:val="24"/>
          <w:szCs w:val="24"/>
        </w:rPr>
      </w:pPr>
      <w:r w:rsidRPr="00B45AE1">
        <w:rPr>
          <w:rFonts w:ascii="Times New Roman" w:hAnsi="Times New Roman" w:cs="Times New Roman"/>
          <w:b/>
          <w:sz w:val="24"/>
          <w:szCs w:val="24"/>
        </w:rPr>
        <w:t>Figure 2. Location-specific concentrations of total trihalomethanes (THMs) and total haloacetic acids (HAAs).</w:t>
      </w:r>
    </w:p>
    <w:tbl>
      <w:tblPr>
        <w:tblStyle w:val="TableGrid"/>
        <w:tblW w:w="0" w:type="auto"/>
        <w:tblLook w:val="04A0" w:firstRow="1" w:lastRow="0" w:firstColumn="1" w:lastColumn="0" w:noHBand="0" w:noVBand="1"/>
      </w:tblPr>
      <w:tblGrid>
        <w:gridCol w:w="1127"/>
        <w:gridCol w:w="1580"/>
        <w:gridCol w:w="1313"/>
        <w:gridCol w:w="1382"/>
        <w:gridCol w:w="1600"/>
        <w:gridCol w:w="1333"/>
        <w:gridCol w:w="681"/>
      </w:tblGrid>
      <w:tr w:rsidR="00B45AE1" w:rsidRPr="00B45AE1" w14:paraId="42ECBB95" w14:textId="77777777" w:rsidTr="00DF0BA0">
        <w:trPr>
          <w:tblHeader/>
        </w:trPr>
        <w:tc>
          <w:tcPr>
            <w:tcW w:w="0" w:type="auto"/>
            <w:hideMark/>
          </w:tcPr>
          <w:p w14:paraId="4C26AA3F"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Community</w:t>
            </w:r>
          </w:p>
        </w:tc>
        <w:tc>
          <w:tcPr>
            <w:tcW w:w="0" w:type="auto"/>
            <w:hideMark/>
          </w:tcPr>
          <w:p w14:paraId="025E1F9D"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Monochloroacetic Acid</w:t>
            </w:r>
          </w:p>
        </w:tc>
        <w:tc>
          <w:tcPr>
            <w:tcW w:w="0" w:type="auto"/>
            <w:hideMark/>
          </w:tcPr>
          <w:p w14:paraId="6FEF6CA6"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Dichloroacetic Acid</w:t>
            </w:r>
          </w:p>
        </w:tc>
        <w:tc>
          <w:tcPr>
            <w:tcW w:w="0" w:type="auto"/>
            <w:hideMark/>
          </w:tcPr>
          <w:p w14:paraId="4F28195D"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Trichloroacetic Acid</w:t>
            </w:r>
          </w:p>
        </w:tc>
        <w:tc>
          <w:tcPr>
            <w:tcW w:w="0" w:type="auto"/>
            <w:hideMark/>
          </w:tcPr>
          <w:p w14:paraId="5061D555" w14:textId="77777777" w:rsidR="007145BC" w:rsidRPr="00B45AE1" w:rsidRDefault="007145BC" w:rsidP="001118E9">
            <w:pPr>
              <w:jc w:val="both"/>
              <w:rPr>
                <w:rFonts w:ascii="Times New Roman" w:eastAsia="Times New Roman" w:hAnsi="Times New Roman" w:cs="Times New Roman"/>
                <w:b/>
                <w:bCs/>
                <w:sz w:val="24"/>
                <w:szCs w:val="24"/>
                <w:lang w:eastAsia="en-GB"/>
              </w:rPr>
            </w:pPr>
            <w:proofErr w:type="spellStart"/>
            <w:r w:rsidRPr="00B45AE1">
              <w:rPr>
                <w:rFonts w:ascii="Times New Roman" w:eastAsia="Times New Roman" w:hAnsi="Times New Roman" w:cs="Times New Roman"/>
                <w:b/>
                <w:bCs/>
                <w:sz w:val="24"/>
                <w:szCs w:val="24"/>
                <w:lang w:eastAsia="en-GB"/>
              </w:rPr>
              <w:t>Monobromoacetic</w:t>
            </w:r>
            <w:proofErr w:type="spellEnd"/>
            <w:r w:rsidRPr="00B45AE1">
              <w:rPr>
                <w:rFonts w:ascii="Times New Roman" w:eastAsia="Times New Roman" w:hAnsi="Times New Roman" w:cs="Times New Roman"/>
                <w:b/>
                <w:bCs/>
                <w:sz w:val="24"/>
                <w:szCs w:val="24"/>
                <w:lang w:eastAsia="en-GB"/>
              </w:rPr>
              <w:t xml:space="preserve"> Acid</w:t>
            </w:r>
          </w:p>
        </w:tc>
        <w:tc>
          <w:tcPr>
            <w:tcW w:w="0" w:type="auto"/>
            <w:hideMark/>
          </w:tcPr>
          <w:p w14:paraId="544201D5" w14:textId="77777777" w:rsidR="007145BC" w:rsidRPr="00B45AE1" w:rsidRDefault="007145BC" w:rsidP="001118E9">
            <w:pPr>
              <w:jc w:val="both"/>
              <w:rPr>
                <w:rFonts w:ascii="Times New Roman" w:eastAsia="Times New Roman" w:hAnsi="Times New Roman" w:cs="Times New Roman"/>
                <w:b/>
                <w:bCs/>
                <w:sz w:val="24"/>
                <w:szCs w:val="24"/>
                <w:lang w:eastAsia="en-GB"/>
              </w:rPr>
            </w:pPr>
            <w:proofErr w:type="spellStart"/>
            <w:r w:rsidRPr="00B45AE1">
              <w:rPr>
                <w:rFonts w:ascii="Times New Roman" w:eastAsia="Times New Roman" w:hAnsi="Times New Roman" w:cs="Times New Roman"/>
                <w:b/>
                <w:bCs/>
                <w:sz w:val="24"/>
                <w:szCs w:val="24"/>
                <w:lang w:eastAsia="en-GB"/>
              </w:rPr>
              <w:t>Dibromoacetic</w:t>
            </w:r>
            <w:proofErr w:type="spellEnd"/>
            <w:r w:rsidRPr="00B45AE1">
              <w:rPr>
                <w:rFonts w:ascii="Times New Roman" w:eastAsia="Times New Roman" w:hAnsi="Times New Roman" w:cs="Times New Roman"/>
                <w:b/>
                <w:bCs/>
                <w:sz w:val="24"/>
                <w:szCs w:val="24"/>
                <w:lang w:eastAsia="en-GB"/>
              </w:rPr>
              <w:t xml:space="preserve"> Acid</w:t>
            </w:r>
          </w:p>
        </w:tc>
        <w:tc>
          <w:tcPr>
            <w:tcW w:w="0" w:type="auto"/>
            <w:hideMark/>
          </w:tcPr>
          <w:p w14:paraId="034D2E10"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Total HAAs</w:t>
            </w:r>
          </w:p>
        </w:tc>
      </w:tr>
      <w:tr w:rsidR="00B45AE1" w:rsidRPr="00B45AE1" w14:paraId="499BA034" w14:textId="77777777" w:rsidTr="00DF0BA0">
        <w:tc>
          <w:tcPr>
            <w:tcW w:w="0" w:type="auto"/>
            <w:hideMark/>
          </w:tcPr>
          <w:p w14:paraId="0EE51D9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Port Harcourt</w:t>
            </w:r>
          </w:p>
        </w:tc>
        <w:tc>
          <w:tcPr>
            <w:tcW w:w="0" w:type="auto"/>
            <w:hideMark/>
          </w:tcPr>
          <w:p w14:paraId="06AC3DB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9.82 ± 0.52</w:t>
            </w:r>
          </w:p>
        </w:tc>
        <w:tc>
          <w:tcPr>
            <w:tcW w:w="0" w:type="auto"/>
            <w:hideMark/>
          </w:tcPr>
          <w:p w14:paraId="18C92B0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15.84 ± 0.72</w:t>
            </w:r>
          </w:p>
        </w:tc>
        <w:tc>
          <w:tcPr>
            <w:tcW w:w="0" w:type="auto"/>
            <w:hideMark/>
          </w:tcPr>
          <w:p w14:paraId="78840A7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17.42 ± 0.78</w:t>
            </w:r>
          </w:p>
        </w:tc>
        <w:tc>
          <w:tcPr>
            <w:tcW w:w="0" w:type="auto"/>
            <w:hideMark/>
          </w:tcPr>
          <w:p w14:paraId="7C93A65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3.26 ± 0.18</w:t>
            </w:r>
          </w:p>
        </w:tc>
        <w:tc>
          <w:tcPr>
            <w:tcW w:w="0" w:type="auto"/>
            <w:hideMark/>
          </w:tcPr>
          <w:p w14:paraId="4762444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3.18 ± 0.16</w:t>
            </w:r>
          </w:p>
        </w:tc>
        <w:tc>
          <w:tcPr>
            <w:tcW w:w="0" w:type="auto"/>
            <w:hideMark/>
          </w:tcPr>
          <w:p w14:paraId="1FE259C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49.52 ± 2.24</w:t>
            </w:r>
          </w:p>
        </w:tc>
      </w:tr>
      <w:tr w:rsidR="00B45AE1" w:rsidRPr="00B45AE1" w14:paraId="7CF9497C" w14:textId="77777777" w:rsidTr="00DF0BA0">
        <w:tc>
          <w:tcPr>
            <w:tcW w:w="0" w:type="auto"/>
            <w:hideMark/>
          </w:tcPr>
          <w:p w14:paraId="725DD476"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Rumuola</w:t>
            </w:r>
            <w:proofErr w:type="spellEnd"/>
          </w:p>
        </w:tc>
        <w:tc>
          <w:tcPr>
            <w:tcW w:w="0" w:type="auto"/>
            <w:hideMark/>
          </w:tcPr>
          <w:p w14:paraId="14ACB07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4.68 ± 0.28</w:t>
            </w:r>
          </w:p>
        </w:tc>
        <w:tc>
          <w:tcPr>
            <w:tcW w:w="0" w:type="auto"/>
            <w:hideMark/>
          </w:tcPr>
          <w:p w14:paraId="3FF9EFB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7.82 ± 0.42</w:t>
            </w:r>
          </w:p>
        </w:tc>
        <w:tc>
          <w:tcPr>
            <w:tcW w:w="0" w:type="auto"/>
            <w:hideMark/>
          </w:tcPr>
          <w:p w14:paraId="726EF5D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8.84 ± 0.46</w:t>
            </w:r>
          </w:p>
        </w:tc>
        <w:tc>
          <w:tcPr>
            <w:tcW w:w="0" w:type="auto"/>
            <w:hideMark/>
          </w:tcPr>
          <w:p w14:paraId="25D9D3D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1.42 ± 0.12</w:t>
            </w:r>
          </w:p>
        </w:tc>
        <w:tc>
          <w:tcPr>
            <w:tcW w:w="0" w:type="auto"/>
            <w:hideMark/>
          </w:tcPr>
          <w:p w14:paraId="30A14C8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1.24 ± 0.10</w:t>
            </w:r>
          </w:p>
        </w:tc>
        <w:tc>
          <w:tcPr>
            <w:tcW w:w="0" w:type="auto"/>
            <w:hideMark/>
          </w:tcPr>
          <w:p w14:paraId="3702AED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23.99 ± 1.26</w:t>
            </w:r>
          </w:p>
        </w:tc>
      </w:tr>
      <w:tr w:rsidR="00B45AE1" w:rsidRPr="00B45AE1" w14:paraId="2C41FAD3" w14:textId="77777777" w:rsidTr="00DF0BA0">
        <w:tc>
          <w:tcPr>
            <w:tcW w:w="0" w:type="auto"/>
            <w:hideMark/>
          </w:tcPr>
          <w:p w14:paraId="028517C8"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Rumuokoro</w:t>
            </w:r>
            <w:proofErr w:type="spellEnd"/>
          </w:p>
        </w:tc>
        <w:tc>
          <w:tcPr>
            <w:tcW w:w="0" w:type="auto"/>
            <w:hideMark/>
          </w:tcPr>
          <w:p w14:paraId="46EDFF5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4.84 ± 0.30</w:t>
            </w:r>
          </w:p>
        </w:tc>
        <w:tc>
          <w:tcPr>
            <w:tcW w:w="0" w:type="auto"/>
            <w:hideMark/>
          </w:tcPr>
          <w:p w14:paraId="3369827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8.16 ± 0.44</w:t>
            </w:r>
          </w:p>
        </w:tc>
        <w:tc>
          <w:tcPr>
            <w:tcW w:w="0" w:type="auto"/>
            <w:hideMark/>
          </w:tcPr>
          <w:p w14:paraId="71BF52F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9.24 ± 0.48</w:t>
            </w:r>
          </w:p>
        </w:tc>
        <w:tc>
          <w:tcPr>
            <w:tcW w:w="0" w:type="auto"/>
            <w:hideMark/>
          </w:tcPr>
          <w:p w14:paraId="53DDD27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1.46 ± 0.12</w:t>
            </w:r>
          </w:p>
        </w:tc>
        <w:tc>
          <w:tcPr>
            <w:tcW w:w="0" w:type="auto"/>
            <w:hideMark/>
          </w:tcPr>
          <w:p w14:paraId="7FE04D9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1.36 ± 0.10</w:t>
            </w:r>
          </w:p>
        </w:tc>
        <w:tc>
          <w:tcPr>
            <w:tcW w:w="0" w:type="auto"/>
            <w:hideMark/>
          </w:tcPr>
          <w:p w14:paraId="5B0D675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25.06 ± 1.34</w:t>
            </w:r>
          </w:p>
        </w:tc>
      </w:tr>
      <w:tr w:rsidR="00B45AE1" w:rsidRPr="00B45AE1" w14:paraId="5CFCC6B9" w14:textId="77777777" w:rsidTr="00DF0BA0">
        <w:tc>
          <w:tcPr>
            <w:tcW w:w="0" w:type="auto"/>
            <w:hideMark/>
          </w:tcPr>
          <w:p w14:paraId="7A404D6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Choba</w:t>
            </w:r>
          </w:p>
        </w:tc>
        <w:tc>
          <w:tcPr>
            <w:tcW w:w="0" w:type="auto"/>
            <w:hideMark/>
          </w:tcPr>
          <w:p w14:paraId="0FE6B06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8.62 ± 0.48</w:t>
            </w:r>
          </w:p>
        </w:tc>
        <w:tc>
          <w:tcPr>
            <w:tcW w:w="0" w:type="auto"/>
            <w:hideMark/>
          </w:tcPr>
          <w:p w14:paraId="200A319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13.84 ± 0.64</w:t>
            </w:r>
          </w:p>
        </w:tc>
        <w:tc>
          <w:tcPr>
            <w:tcW w:w="0" w:type="auto"/>
            <w:hideMark/>
          </w:tcPr>
          <w:p w14:paraId="421E37D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15.62 ± 0.72</w:t>
            </w:r>
          </w:p>
        </w:tc>
        <w:tc>
          <w:tcPr>
            <w:tcW w:w="0" w:type="auto"/>
            <w:hideMark/>
          </w:tcPr>
          <w:p w14:paraId="1C510AD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2.82 ± 0.16</w:t>
            </w:r>
          </w:p>
        </w:tc>
        <w:tc>
          <w:tcPr>
            <w:tcW w:w="0" w:type="auto"/>
            <w:hideMark/>
          </w:tcPr>
          <w:p w14:paraId="6C19F53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2.64 ± 0.14</w:t>
            </w:r>
          </w:p>
        </w:tc>
        <w:tc>
          <w:tcPr>
            <w:tcW w:w="0" w:type="auto"/>
            <w:hideMark/>
          </w:tcPr>
          <w:p w14:paraId="3AE0CBF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43.54 ± 2.02</w:t>
            </w:r>
          </w:p>
        </w:tc>
      </w:tr>
      <w:tr w:rsidR="00B45AE1" w:rsidRPr="00B45AE1" w14:paraId="66BD893D" w14:textId="77777777" w:rsidTr="00DF0BA0">
        <w:tc>
          <w:tcPr>
            <w:tcW w:w="0" w:type="auto"/>
            <w:hideMark/>
          </w:tcPr>
          <w:p w14:paraId="68608FC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Eleme</w:t>
            </w:r>
          </w:p>
        </w:tc>
        <w:tc>
          <w:tcPr>
            <w:tcW w:w="0" w:type="auto"/>
            <w:hideMark/>
          </w:tcPr>
          <w:p w14:paraId="5B79C18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10.48 ± 0.56</w:t>
            </w:r>
          </w:p>
        </w:tc>
        <w:tc>
          <w:tcPr>
            <w:tcW w:w="0" w:type="auto"/>
            <w:hideMark/>
          </w:tcPr>
          <w:p w14:paraId="690337C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16.84 ± 0.74</w:t>
            </w:r>
          </w:p>
        </w:tc>
        <w:tc>
          <w:tcPr>
            <w:tcW w:w="0" w:type="auto"/>
            <w:hideMark/>
          </w:tcPr>
          <w:p w14:paraId="3B7ED8C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18.62 ± 0.82</w:t>
            </w:r>
          </w:p>
        </w:tc>
        <w:tc>
          <w:tcPr>
            <w:tcW w:w="0" w:type="auto"/>
            <w:hideMark/>
          </w:tcPr>
          <w:p w14:paraId="0C4F393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3.48 ± 0.18</w:t>
            </w:r>
          </w:p>
        </w:tc>
        <w:tc>
          <w:tcPr>
            <w:tcW w:w="0" w:type="auto"/>
            <w:hideMark/>
          </w:tcPr>
          <w:p w14:paraId="5651B9A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3.42 ± 0.16</w:t>
            </w:r>
          </w:p>
        </w:tc>
        <w:tc>
          <w:tcPr>
            <w:tcW w:w="0" w:type="auto"/>
            <w:hideMark/>
          </w:tcPr>
          <w:p w14:paraId="184D40D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52.84 ± 2.28</w:t>
            </w:r>
          </w:p>
        </w:tc>
      </w:tr>
      <w:tr w:rsidR="00B45AE1" w:rsidRPr="00B45AE1" w14:paraId="4F2FF46B" w14:textId="77777777" w:rsidTr="00DF0BA0">
        <w:tc>
          <w:tcPr>
            <w:tcW w:w="0" w:type="auto"/>
            <w:hideMark/>
          </w:tcPr>
          <w:p w14:paraId="1046E326"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Oyigbo</w:t>
            </w:r>
            <w:proofErr w:type="spellEnd"/>
          </w:p>
        </w:tc>
        <w:tc>
          <w:tcPr>
            <w:tcW w:w="0" w:type="auto"/>
            <w:hideMark/>
          </w:tcPr>
          <w:p w14:paraId="0A84D13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8.16 ± 0.46</w:t>
            </w:r>
          </w:p>
        </w:tc>
        <w:tc>
          <w:tcPr>
            <w:tcW w:w="0" w:type="auto"/>
            <w:hideMark/>
          </w:tcPr>
          <w:p w14:paraId="245A1AF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12.42 ± 0.58</w:t>
            </w:r>
          </w:p>
        </w:tc>
        <w:tc>
          <w:tcPr>
            <w:tcW w:w="0" w:type="auto"/>
            <w:hideMark/>
          </w:tcPr>
          <w:p w14:paraId="2FC9719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14.28 ± 0.68</w:t>
            </w:r>
          </w:p>
        </w:tc>
        <w:tc>
          <w:tcPr>
            <w:tcW w:w="0" w:type="auto"/>
            <w:hideMark/>
          </w:tcPr>
          <w:p w14:paraId="5E176AF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2.64 ± 0.14</w:t>
            </w:r>
          </w:p>
        </w:tc>
        <w:tc>
          <w:tcPr>
            <w:tcW w:w="0" w:type="auto"/>
            <w:hideMark/>
          </w:tcPr>
          <w:p w14:paraId="43709AD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2.46 ± 0.12</w:t>
            </w:r>
          </w:p>
        </w:tc>
        <w:tc>
          <w:tcPr>
            <w:tcW w:w="0" w:type="auto"/>
            <w:hideMark/>
          </w:tcPr>
          <w:p w14:paraId="51F2158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39.96 ± 1.94</w:t>
            </w:r>
          </w:p>
        </w:tc>
      </w:tr>
      <w:tr w:rsidR="00B45AE1" w:rsidRPr="00B45AE1" w14:paraId="7E266077" w14:textId="77777777" w:rsidTr="00DF0BA0">
        <w:tc>
          <w:tcPr>
            <w:tcW w:w="0" w:type="auto"/>
            <w:hideMark/>
          </w:tcPr>
          <w:p w14:paraId="7DC07EB0"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Ahoada</w:t>
            </w:r>
            <w:proofErr w:type="spellEnd"/>
          </w:p>
        </w:tc>
        <w:tc>
          <w:tcPr>
            <w:tcW w:w="0" w:type="auto"/>
            <w:hideMark/>
          </w:tcPr>
          <w:p w14:paraId="5CC933A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3.84 ± 0.24</w:t>
            </w:r>
          </w:p>
        </w:tc>
        <w:tc>
          <w:tcPr>
            <w:tcW w:w="0" w:type="auto"/>
            <w:hideMark/>
          </w:tcPr>
          <w:p w14:paraId="2DCE6D8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6.64 ± 0.36</w:t>
            </w:r>
          </w:p>
        </w:tc>
        <w:tc>
          <w:tcPr>
            <w:tcW w:w="0" w:type="auto"/>
            <w:hideMark/>
          </w:tcPr>
          <w:p w14:paraId="634D675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7.62 ± 0.40</w:t>
            </w:r>
          </w:p>
        </w:tc>
        <w:tc>
          <w:tcPr>
            <w:tcW w:w="0" w:type="auto"/>
            <w:hideMark/>
          </w:tcPr>
          <w:p w14:paraId="2B81E8B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1.24 ± 0.08</w:t>
            </w:r>
          </w:p>
        </w:tc>
        <w:tc>
          <w:tcPr>
            <w:tcW w:w="0" w:type="auto"/>
            <w:hideMark/>
          </w:tcPr>
          <w:p w14:paraId="31C8ACB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1.12 ± 0.08</w:t>
            </w:r>
          </w:p>
        </w:tc>
        <w:tc>
          <w:tcPr>
            <w:tcW w:w="0" w:type="auto"/>
            <w:hideMark/>
          </w:tcPr>
          <w:p w14:paraId="7A9696D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20.46 ± 1.18</w:t>
            </w:r>
          </w:p>
        </w:tc>
      </w:tr>
      <w:tr w:rsidR="00B45AE1" w:rsidRPr="00B45AE1" w14:paraId="395ABCFA" w14:textId="77777777" w:rsidTr="00DF0BA0">
        <w:tc>
          <w:tcPr>
            <w:tcW w:w="0" w:type="auto"/>
            <w:hideMark/>
          </w:tcPr>
          <w:p w14:paraId="214FC0D3"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Omoku</w:t>
            </w:r>
            <w:proofErr w:type="spellEnd"/>
          </w:p>
        </w:tc>
        <w:tc>
          <w:tcPr>
            <w:tcW w:w="0" w:type="auto"/>
            <w:hideMark/>
          </w:tcPr>
          <w:p w14:paraId="0BA5216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3.62 ± 0.22</w:t>
            </w:r>
          </w:p>
        </w:tc>
        <w:tc>
          <w:tcPr>
            <w:tcW w:w="0" w:type="auto"/>
            <w:hideMark/>
          </w:tcPr>
          <w:p w14:paraId="58FFB34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6.26 ± 0.34</w:t>
            </w:r>
          </w:p>
        </w:tc>
        <w:tc>
          <w:tcPr>
            <w:tcW w:w="0" w:type="auto"/>
            <w:hideMark/>
          </w:tcPr>
          <w:p w14:paraId="648D877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6.84 ± 0.38</w:t>
            </w:r>
          </w:p>
        </w:tc>
        <w:tc>
          <w:tcPr>
            <w:tcW w:w="0" w:type="auto"/>
            <w:hideMark/>
          </w:tcPr>
          <w:p w14:paraId="2493479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1.06 ± 0.08</w:t>
            </w:r>
          </w:p>
        </w:tc>
        <w:tc>
          <w:tcPr>
            <w:tcW w:w="0" w:type="auto"/>
            <w:hideMark/>
          </w:tcPr>
          <w:p w14:paraId="412F01E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1.04 ± 0.08</w:t>
            </w:r>
          </w:p>
        </w:tc>
        <w:tc>
          <w:tcPr>
            <w:tcW w:w="0" w:type="auto"/>
            <w:hideMark/>
          </w:tcPr>
          <w:p w14:paraId="43694A7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18.82 ± 1.10</w:t>
            </w:r>
          </w:p>
        </w:tc>
      </w:tr>
      <w:tr w:rsidR="00B45AE1" w:rsidRPr="00B45AE1" w14:paraId="4C4F3646" w14:textId="77777777" w:rsidTr="00DF0BA0">
        <w:tc>
          <w:tcPr>
            <w:tcW w:w="0" w:type="auto"/>
            <w:hideMark/>
          </w:tcPr>
          <w:p w14:paraId="6910A56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lastRenderedPageBreak/>
              <w:t>Bonny</w:t>
            </w:r>
          </w:p>
        </w:tc>
        <w:tc>
          <w:tcPr>
            <w:tcW w:w="0" w:type="auto"/>
            <w:hideMark/>
          </w:tcPr>
          <w:p w14:paraId="3EA721F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9.96 ± 0.54</w:t>
            </w:r>
          </w:p>
        </w:tc>
        <w:tc>
          <w:tcPr>
            <w:tcW w:w="0" w:type="auto"/>
            <w:hideMark/>
          </w:tcPr>
          <w:p w14:paraId="2CCDB7C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16.24 ± 0.72</w:t>
            </w:r>
          </w:p>
        </w:tc>
        <w:tc>
          <w:tcPr>
            <w:tcW w:w="0" w:type="auto"/>
            <w:hideMark/>
          </w:tcPr>
          <w:p w14:paraId="6B0FFA9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18.14 ± 0.80</w:t>
            </w:r>
          </w:p>
        </w:tc>
        <w:tc>
          <w:tcPr>
            <w:tcW w:w="0" w:type="auto"/>
            <w:hideMark/>
          </w:tcPr>
          <w:p w14:paraId="5F0EA1D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3.42 ± 0.18</w:t>
            </w:r>
          </w:p>
        </w:tc>
        <w:tc>
          <w:tcPr>
            <w:tcW w:w="0" w:type="auto"/>
            <w:hideMark/>
          </w:tcPr>
          <w:p w14:paraId="4F63AD8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3.28 ± 0.16</w:t>
            </w:r>
          </w:p>
        </w:tc>
        <w:tc>
          <w:tcPr>
            <w:tcW w:w="0" w:type="auto"/>
            <w:hideMark/>
          </w:tcPr>
          <w:p w14:paraId="3E0476D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51.04 ± 2.22</w:t>
            </w:r>
          </w:p>
        </w:tc>
      </w:tr>
      <w:tr w:rsidR="00B45AE1" w:rsidRPr="00B45AE1" w14:paraId="47FACCCE" w14:textId="77777777" w:rsidTr="00DF0BA0">
        <w:tc>
          <w:tcPr>
            <w:tcW w:w="0" w:type="auto"/>
            <w:hideMark/>
          </w:tcPr>
          <w:p w14:paraId="15E1E90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Bori</w:t>
            </w:r>
          </w:p>
        </w:tc>
        <w:tc>
          <w:tcPr>
            <w:tcW w:w="0" w:type="auto"/>
            <w:hideMark/>
          </w:tcPr>
          <w:p w14:paraId="16B69ED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4.26 ± 0.26</w:t>
            </w:r>
          </w:p>
        </w:tc>
        <w:tc>
          <w:tcPr>
            <w:tcW w:w="0" w:type="auto"/>
            <w:hideMark/>
          </w:tcPr>
          <w:p w14:paraId="76F7A4D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7.12 ± 0.40</w:t>
            </w:r>
          </w:p>
        </w:tc>
        <w:tc>
          <w:tcPr>
            <w:tcW w:w="0" w:type="auto"/>
            <w:hideMark/>
          </w:tcPr>
          <w:p w14:paraId="157CDCE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8.26 ± 0.44</w:t>
            </w:r>
          </w:p>
        </w:tc>
        <w:tc>
          <w:tcPr>
            <w:tcW w:w="0" w:type="auto"/>
            <w:hideMark/>
          </w:tcPr>
          <w:p w14:paraId="72332DF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1.34 ± 0.10</w:t>
            </w:r>
          </w:p>
        </w:tc>
        <w:tc>
          <w:tcPr>
            <w:tcW w:w="0" w:type="auto"/>
            <w:hideMark/>
          </w:tcPr>
          <w:p w14:paraId="3076F80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1.20 ± 0.08</w:t>
            </w:r>
          </w:p>
        </w:tc>
        <w:tc>
          <w:tcPr>
            <w:tcW w:w="0" w:type="auto"/>
            <w:hideMark/>
          </w:tcPr>
          <w:p w14:paraId="5F151CB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22.18 ± 1.22</w:t>
            </w:r>
          </w:p>
        </w:tc>
      </w:tr>
      <w:tr w:rsidR="00B45AE1" w:rsidRPr="00B45AE1" w14:paraId="50449EAD" w14:textId="77777777" w:rsidTr="00DF0BA0">
        <w:tc>
          <w:tcPr>
            <w:tcW w:w="0" w:type="auto"/>
            <w:hideMark/>
          </w:tcPr>
          <w:p w14:paraId="7B8FC32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Degema</w:t>
            </w:r>
          </w:p>
        </w:tc>
        <w:tc>
          <w:tcPr>
            <w:tcW w:w="0" w:type="auto"/>
            <w:hideMark/>
          </w:tcPr>
          <w:p w14:paraId="553E20C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9.14 ± 0.50</w:t>
            </w:r>
          </w:p>
        </w:tc>
        <w:tc>
          <w:tcPr>
            <w:tcW w:w="0" w:type="auto"/>
            <w:hideMark/>
          </w:tcPr>
          <w:p w14:paraId="4B7C774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14.68 ± 0.68</w:t>
            </w:r>
          </w:p>
        </w:tc>
        <w:tc>
          <w:tcPr>
            <w:tcW w:w="0" w:type="auto"/>
            <w:hideMark/>
          </w:tcPr>
          <w:p w14:paraId="00F93B8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16.82 ± 0.76</w:t>
            </w:r>
          </w:p>
        </w:tc>
        <w:tc>
          <w:tcPr>
            <w:tcW w:w="0" w:type="auto"/>
            <w:hideMark/>
          </w:tcPr>
          <w:p w14:paraId="746DAE9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3.04 ± 0.16</w:t>
            </w:r>
          </w:p>
        </w:tc>
        <w:tc>
          <w:tcPr>
            <w:tcW w:w="0" w:type="auto"/>
            <w:hideMark/>
          </w:tcPr>
          <w:p w14:paraId="2ECFBD0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2.96 ± 0.14</w:t>
            </w:r>
          </w:p>
        </w:tc>
        <w:tc>
          <w:tcPr>
            <w:tcW w:w="0" w:type="auto"/>
            <w:hideMark/>
          </w:tcPr>
          <w:p w14:paraId="7294C48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46.64 ± 2.08</w:t>
            </w:r>
          </w:p>
        </w:tc>
      </w:tr>
      <w:tr w:rsidR="00B45AE1" w:rsidRPr="00B45AE1" w14:paraId="43599EF5" w14:textId="77777777" w:rsidTr="00DF0BA0">
        <w:tc>
          <w:tcPr>
            <w:tcW w:w="0" w:type="auto"/>
            <w:hideMark/>
          </w:tcPr>
          <w:p w14:paraId="738823B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Sachet Water</w:t>
            </w:r>
          </w:p>
        </w:tc>
        <w:tc>
          <w:tcPr>
            <w:tcW w:w="0" w:type="auto"/>
            <w:hideMark/>
          </w:tcPr>
          <w:p w14:paraId="48CE3D2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1.82 ± 0.14</w:t>
            </w:r>
          </w:p>
        </w:tc>
        <w:tc>
          <w:tcPr>
            <w:tcW w:w="0" w:type="auto"/>
            <w:hideMark/>
          </w:tcPr>
          <w:p w14:paraId="2B0BF05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2.36 ± 0.18</w:t>
            </w:r>
          </w:p>
        </w:tc>
        <w:tc>
          <w:tcPr>
            <w:tcW w:w="0" w:type="auto"/>
            <w:hideMark/>
          </w:tcPr>
          <w:p w14:paraId="040FC27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2.84 ± 0.24</w:t>
            </w:r>
          </w:p>
        </w:tc>
        <w:tc>
          <w:tcPr>
            <w:tcW w:w="0" w:type="auto"/>
            <w:hideMark/>
          </w:tcPr>
          <w:p w14:paraId="6BA379E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0.62 ± 0.06</w:t>
            </w:r>
          </w:p>
        </w:tc>
        <w:tc>
          <w:tcPr>
            <w:tcW w:w="0" w:type="auto"/>
            <w:hideMark/>
          </w:tcPr>
          <w:p w14:paraId="7987D79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0.78 ± 0.08</w:t>
            </w:r>
          </w:p>
        </w:tc>
        <w:tc>
          <w:tcPr>
            <w:tcW w:w="0" w:type="auto"/>
            <w:hideMark/>
          </w:tcPr>
          <w:p w14:paraId="6B6601A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8.42 ± 0.62</w:t>
            </w:r>
          </w:p>
        </w:tc>
      </w:tr>
    </w:tbl>
    <w:p w14:paraId="603407A0"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3.5 Concentrations of Other Disinfection By-products in Drinking Water</w:t>
      </w:r>
    </w:p>
    <w:p w14:paraId="4715712C"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 xml:space="preserve">Chlorite concentrations ranged from 12.84 ± 0.82 to 84.62 ± 3.62 µg/L, chlorate ranged from 8.62 ± 0.54 to 56.84 ± 2.68 µg/L, bromate varied between 1.42 ± 0.12 and 12.48 ± 0.66 µg/L, while </w:t>
      </w:r>
      <w:proofErr w:type="spellStart"/>
      <w:r w:rsidRPr="00B45AE1">
        <w:rPr>
          <w:rFonts w:ascii="Times New Roman" w:eastAsia="Times New Roman" w:hAnsi="Times New Roman" w:cs="Times New Roman"/>
          <w:sz w:val="24"/>
          <w:szCs w:val="24"/>
          <w:lang w:eastAsia="en-GB"/>
        </w:rPr>
        <w:t>haloacetonitriles</w:t>
      </w:r>
      <w:proofErr w:type="spellEnd"/>
      <w:r w:rsidRPr="00B45AE1">
        <w:rPr>
          <w:rFonts w:ascii="Times New Roman" w:eastAsia="Times New Roman" w:hAnsi="Times New Roman" w:cs="Times New Roman"/>
          <w:sz w:val="24"/>
          <w:szCs w:val="24"/>
          <w:lang w:eastAsia="en-GB"/>
        </w:rPr>
        <w:t xml:space="preserve"> ranged from 2.18 ± 0.16 to 18.26 ± 0.84 µg/L. Municipal water supplies contained comparatively </w:t>
      </w:r>
      <w:r>
        <w:rPr>
          <w:rFonts w:ascii="Times New Roman" w:eastAsia="Times New Roman" w:hAnsi="Times New Roman" w:cs="Times New Roman"/>
          <w:sz w:val="24"/>
          <w:szCs w:val="24"/>
          <w:highlight w:val="yellow"/>
          <w:lang w:eastAsia="en-GB"/>
        </w:rPr>
        <w:t>higher concentrations of these disinfection by-products than those in borehole and sachet water.</w:t>
      </w:r>
      <w:r>
        <w:rPr>
          <w:rFonts w:ascii="Times New Roman" w:eastAsia="Times New Roman" w:hAnsi="Times New Roman" w:cs="Times New Roman"/>
          <w:sz w:val="24"/>
          <w:szCs w:val="24"/>
          <w:lang w:eastAsia="en-GB"/>
        </w:rPr>
        <w:t xml:space="preserve"> </w:t>
      </w:r>
      <w:r>
        <w:rPr>
          <w:highlight w:val="yellow"/>
        </w:rPr>
        <w:t xml:space="preserve">The concentrations of these disinfection by-products are presented in </w:t>
      </w:r>
      <w:r w:rsidRPr="00B45AE1">
        <w:rPr>
          <w:rFonts w:ascii="Times New Roman" w:eastAsia="Times New Roman" w:hAnsi="Times New Roman" w:cs="Times New Roman"/>
          <w:i/>
          <w:iCs/>
          <w:sz w:val="24"/>
          <w:szCs w:val="24"/>
          <w:lang w:eastAsia="en-GB"/>
        </w:rPr>
        <w:t>Table 5.</w:t>
      </w:r>
    </w:p>
    <w:p w14:paraId="1CA37BFB"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b/>
          <w:bCs/>
          <w:sz w:val="24"/>
          <w:szCs w:val="24"/>
          <w:lang w:eastAsia="en-GB"/>
        </w:rPr>
        <w:t>Table 5 Concentrations of Other Disinfection By-products in Drinking Water (µg/L)</w:t>
      </w:r>
    </w:p>
    <w:tbl>
      <w:tblPr>
        <w:tblStyle w:val="TableGrid"/>
        <w:tblW w:w="0" w:type="auto"/>
        <w:tblLook w:val="04A0" w:firstRow="1" w:lastRow="0" w:firstColumn="1" w:lastColumn="0" w:noHBand="0" w:noVBand="1"/>
      </w:tblPr>
      <w:tblGrid>
        <w:gridCol w:w="1529"/>
        <w:gridCol w:w="1428"/>
        <w:gridCol w:w="1428"/>
        <w:gridCol w:w="1428"/>
        <w:gridCol w:w="1963"/>
      </w:tblGrid>
      <w:tr w:rsidR="00B45AE1" w:rsidRPr="00B45AE1" w14:paraId="116054FC" w14:textId="77777777" w:rsidTr="00DF0BA0">
        <w:trPr>
          <w:tblHeader/>
        </w:trPr>
        <w:tc>
          <w:tcPr>
            <w:tcW w:w="0" w:type="auto"/>
            <w:hideMark/>
          </w:tcPr>
          <w:p w14:paraId="46D7FB3D"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Community</w:t>
            </w:r>
          </w:p>
        </w:tc>
        <w:tc>
          <w:tcPr>
            <w:tcW w:w="0" w:type="auto"/>
            <w:hideMark/>
          </w:tcPr>
          <w:p w14:paraId="66CE2FB2"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Chlorite</w:t>
            </w:r>
          </w:p>
        </w:tc>
        <w:tc>
          <w:tcPr>
            <w:tcW w:w="0" w:type="auto"/>
            <w:hideMark/>
          </w:tcPr>
          <w:p w14:paraId="0F08A605"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Chlorate</w:t>
            </w:r>
          </w:p>
        </w:tc>
        <w:tc>
          <w:tcPr>
            <w:tcW w:w="0" w:type="auto"/>
            <w:hideMark/>
          </w:tcPr>
          <w:p w14:paraId="59D5C5F0"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Bromate</w:t>
            </w:r>
          </w:p>
        </w:tc>
        <w:tc>
          <w:tcPr>
            <w:tcW w:w="0" w:type="auto"/>
            <w:hideMark/>
          </w:tcPr>
          <w:p w14:paraId="791763E6" w14:textId="77777777" w:rsidR="007145BC" w:rsidRPr="00B45AE1" w:rsidRDefault="007145BC" w:rsidP="001118E9">
            <w:pPr>
              <w:jc w:val="both"/>
              <w:rPr>
                <w:rFonts w:ascii="Times New Roman" w:eastAsia="Times New Roman" w:hAnsi="Times New Roman" w:cs="Times New Roman"/>
                <w:b/>
                <w:bCs/>
                <w:sz w:val="24"/>
                <w:szCs w:val="24"/>
                <w:lang w:eastAsia="en-GB"/>
              </w:rPr>
            </w:pPr>
            <w:proofErr w:type="spellStart"/>
            <w:r w:rsidRPr="00B45AE1">
              <w:rPr>
                <w:rFonts w:ascii="Times New Roman" w:eastAsia="Times New Roman" w:hAnsi="Times New Roman" w:cs="Times New Roman"/>
                <w:b/>
                <w:bCs/>
                <w:sz w:val="24"/>
                <w:szCs w:val="24"/>
                <w:lang w:eastAsia="en-GB"/>
              </w:rPr>
              <w:t>Haloacetonitriles</w:t>
            </w:r>
            <w:proofErr w:type="spellEnd"/>
          </w:p>
        </w:tc>
      </w:tr>
      <w:tr w:rsidR="00B45AE1" w:rsidRPr="00B45AE1" w14:paraId="3F8986F7" w14:textId="77777777" w:rsidTr="00DF0BA0">
        <w:tc>
          <w:tcPr>
            <w:tcW w:w="0" w:type="auto"/>
            <w:hideMark/>
          </w:tcPr>
          <w:p w14:paraId="37A906B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Port Harcourt</w:t>
            </w:r>
          </w:p>
        </w:tc>
        <w:tc>
          <w:tcPr>
            <w:tcW w:w="0" w:type="auto"/>
            <w:hideMark/>
          </w:tcPr>
          <w:p w14:paraId="6A7352A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76.42 ± 3.24</w:t>
            </w:r>
          </w:p>
        </w:tc>
        <w:tc>
          <w:tcPr>
            <w:tcW w:w="0" w:type="auto"/>
            <w:hideMark/>
          </w:tcPr>
          <w:p w14:paraId="6537998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52.84 ± 2.42</w:t>
            </w:r>
          </w:p>
        </w:tc>
        <w:tc>
          <w:tcPr>
            <w:tcW w:w="0" w:type="auto"/>
            <w:hideMark/>
          </w:tcPr>
          <w:p w14:paraId="2109B25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10.84 ± 0.62</w:t>
            </w:r>
          </w:p>
        </w:tc>
        <w:tc>
          <w:tcPr>
            <w:tcW w:w="0" w:type="auto"/>
            <w:hideMark/>
          </w:tcPr>
          <w:p w14:paraId="0C0BE62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16.84 ± 0.78</w:t>
            </w:r>
          </w:p>
        </w:tc>
      </w:tr>
      <w:tr w:rsidR="00B45AE1" w:rsidRPr="00B45AE1" w14:paraId="0B08BACA" w14:textId="77777777" w:rsidTr="00DF0BA0">
        <w:tc>
          <w:tcPr>
            <w:tcW w:w="0" w:type="auto"/>
            <w:hideMark/>
          </w:tcPr>
          <w:p w14:paraId="1A0B83EE"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Rumuola</w:t>
            </w:r>
            <w:proofErr w:type="spellEnd"/>
          </w:p>
        </w:tc>
        <w:tc>
          <w:tcPr>
            <w:tcW w:w="0" w:type="auto"/>
            <w:hideMark/>
          </w:tcPr>
          <w:p w14:paraId="46D0FEE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32.64 ± 1.64</w:t>
            </w:r>
          </w:p>
        </w:tc>
        <w:tc>
          <w:tcPr>
            <w:tcW w:w="0" w:type="auto"/>
            <w:hideMark/>
          </w:tcPr>
          <w:p w14:paraId="5ACFBBA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20.46 ± 1.12</w:t>
            </w:r>
          </w:p>
        </w:tc>
        <w:tc>
          <w:tcPr>
            <w:tcW w:w="0" w:type="auto"/>
            <w:hideMark/>
          </w:tcPr>
          <w:p w14:paraId="6E5F10C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4.42 ± 0.26</w:t>
            </w:r>
          </w:p>
        </w:tc>
        <w:tc>
          <w:tcPr>
            <w:tcW w:w="0" w:type="auto"/>
            <w:hideMark/>
          </w:tcPr>
          <w:p w14:paraId="50132F4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6.24 ± 0.38</w:t>
            </w:r>
          </w:p>
        </w:tc>
      </w:tr>
      <w:tr w:rsidR="00B45AE1" w:rsidRPr="00B45AE1" w14:paraId="18198F40" w14:textId="77777777" w:rsidTr="00DF0BA0">
        <w:tc>
          <w:tcPr>
            <w:tcW w:w="0" w:type="auto"/>
            <w:hideMark/>
          </w:tcPr>
          <w:p w14:paraId="68F2999E"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Rumuokoro</w:t>
            </w:r>
            <w:proofErr w:type="spellEnd"/>
          </w:p>
        </w:tc>
        <w:tc>
          <w:tcPr>
            <w:tcW w:w="0" w:type="auto"/>
            <w:hideMark/>
          </w:tcPr>
          <w:p w14:paraId="3DFC321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34.84 ± 1.72</w:t>
            </w:r>
          </w:p>
        </w:tc>
        <w:tc>
          <w:tcPr>
            <w:tcW w:w="0" w:type="auto"/>
            <w:hideMark/>
          </w:tcPr>
          <w:p w14:paraId="0F1B7C1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22.18 ± 1.18</w:t>
            </w:r>
          </w:p>
        </w:tc>
        <w:tc>
          <w:tcPr>
            <w:tcW w:w="0" w:type="auto"/>
            <w:hideMark/>
          </w:tcPr>
          <w:p w14:paraId="2C7389D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4.86 ± 0.28</w:t>
            </w:r>
          </w:p>
        </w:tc>
        <w:tc>
          <w:tcPr>
            <w:tcW w:w="0" w:type="auto"/>
            <w:hideMark/>
          </w:tcPr>
          <w:p w14:paraId="677BEBF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6.84 ± 0.42</w:t>
            </w:r>
          </w:p>
        </w:tc>
      </w:tr>
      <w:tr w:rsidR="00B45AE1" w:rsidRPr="00B45AE1" w14:paraId="2DA24CA7" w14:textId="77777777" w:rsidTr="00DF0BA0">
        <w:tc>
          <w:tcPr>
            <w:tcW w:w="0" w:type="auto"/>
            <w:hideMark/>
          </w:tcPr>
          <w:p w14:paraId="2799362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Choba</w:t>
            </w:r>
          </w:p>
        </w:tc>
        <w:tc>
          <w:tcPr>
            <w:tcW w:w="0" w:type="auto"/>
            <w:hideMark/>
          </w:tcPr>
          <w:p w14:paraId="3BBF874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68.42 ± 2.96</w:t>
            </w:r>
          </w:p>
        </w:tc>
        <w:tc>
          <w:tcPr>
            <w:tcW w:w="0" w:type="auto"/>
            <w:hideMark/>
          </w:tcPr>
          <w:p w14:paraId="3DB68EF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46.84 ± 2.18</w:t>
            </w:r>
          </w:p>
        </w:tc>
        <w:tc>
          <w:tcPr>
            <w:tcW w:w="0" w:type="auto"/>
            <w:hideMark/>
          </w:tcPr>
          <w:p w14:paraId="1F971BC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9.42 ± 0.56</w:t>
            </w:r>
          </w:p>
        </w:tc>
        <w:tc>
          <w:tcPr>
            <w:tcW w:w="0" w:type="auto"/>
            <w:hideMark/>
          </w:tcPr>
          <w:p w14:paraId="0310914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14.84 ± 0.72</w:t>
            </w:r>
          </w:p>
        </w:tc>
      </w:tr>
      <w:tr w:rsidR="00B45AE1" w:rsidRPr="00B45AE1" w14:paraId="496C485D" w14:textId="77777777" w:rsidTr="00DF0BA0">
        <w:tc>
          <w:tcPr>
            <w:tcW w:w="0" w:type="auto"/>
            <w:hideMark/>
          </w:tcPr>
          <w:p w14:paraId="46635FD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Eleme</w:t>
            </w:r>
          </w:p>
        </w:tc>
        <w:tc>
          <w:tcPr>
            <w:tcW w:w="0" w:type="auto"/>
            <w:hideMark/>
          </w:tcPr>
          <w:p w14:paraId="6D5F816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84.62 ± 3.62</w:t>
            </w:r>
          </w:p>
        </w:tc>
        <w:tc>
          <w:tcPr>
            <w:tcW w:w="0" w:type="auto"/>
            <w:hideMark/>
          </w:tcPr>
          <w:p w14:paraId="03F5551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56.84 ± 2.68</w:t>
            </w:r>
          </w:p>
        </w:tc>
        <w:tc>
          <w:tcPr>
            <w:tcW w:w="0" w:type="auto"/>
            <w:hideMark/>
          </w:tcPr>
          <w:p w14:paraId="75CF38F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12.48 ± 0.66</w:t>
            </w:r>
          </w:p>
        </w:tc>
        <w:tc>
          <w:tcPr>
            <w:tcW w:w="0" w:type="auto"/>
            <w:hideMark/>
          </w:tcPr>
          <w:p w14:paraId="29CA1AA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18.26 ± 0.84</w:t>
            </w:r>
          </w:p>
        </w:tc>
      </w:tr>
      <w:tr w:rsidR="00B45AE1" w:rsidRPr="00B45AE1" w14:paraId="6029924F" w14:textId="77777777" w:rsidTr="00DF0BA0">
        <w:tc>
          <w:tcPr>
            <w:tcW w:w="0" w:type="auto"/>
            <w:hideMark/>
          </w:tcPr>
          <w:p w14:paraId="5A20E243"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Oyigbo</w:t>
            </w:r>
            <w:proofErr w:type="spellEnd"/>
          </w:p>
        </w:tc>
        <w:tc>
          <w:tcPr>
            <w:tcW w:w="0" w:type="auto"/>
            <w:hideMark/>
          </w:tcPr>
          <w:p w14:paraId="3A95134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62.84 ± 2.82</w:t>
            </w:r>
          </w:p>
        </w:tc>
        <w:tc>
          <w:tcPr>
            <w:tcW w:w="0" w:type="auto"/>
            <w:hideMark/>
          </w:tcPr>
          <w:p w14:paraId="041297E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42.64 ± 2.04</w:t>
            </w:r>
          </w:p>
        </w:tc>
        <w:tc>
          <w:tcPr>
            <w:tcW w:w="0" w:type="auto"/>
            <w:hideMark/>
          </w:tcPr>
          <w:p w14:paraId="585ABA2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8.84 ± 0.52</w:t>
            </w:r>
          </w:p>
        </w:tc>
        <w:tc>
          <w:tcPr>
            <w:tcW w:w="0" w:type="auto"/>
            <w:hideMark/>
          </w:tcPr>
          <w:p w14:paraId="2BA47BA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13.82 ± 0.66</w:t>
            </w:r>
          </w:p>
        </w:tc>
      </w:tr>
      <w:tr w:rsidR="00B45AE1" w:rsidRPr="00B45AE1" w14:paraId="4CE5416F" w14:textId="77777777" w:rsidTr="00DF0BA0">
        <w:tc>
          <w:tcPr>
            <w:tcW w:w="0" w:type="auto"/>
            <w:hideMark/>
          </w:tcPr>
          <w:p w14:paraId="35DEC135"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Ahoada</w:t>
            </w:r>
            <w:proofErr w:type="spellEnd"/>
          </w:p>
        </w:tc>
        <w:tc>
          <w:tcPr>
            <w:tcW w:w="0" w:type="auto"/>
            <w:hideMark/>
          </w:tcPr>
          <w:p w14:paraId="3DA6E64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28.62 ± 1.46</w:t>
            </w:r>
          </w:p>
        </w:tc>
        <w:tc>
          <w:tcPr>
            <w:tcW w:w="0" w:type="auto"/>
            <w:hideMark/>
          </w:tcPr>
          <w:p w14:paraId="46DDB57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18.26 ± 0.96</w:t>
            </w:r>
          </w:p>
        </w:tc>
        <w:tc>
          <w:tcPr>
            <w:tcW w:w="0" w:type="auto"/>
            <w:hideMark/>
          </w:tcPr>
          <w:p w14:paraId="4288925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3.64 ± 0.22</w:t>
            </w:r>
          </w:p>
        </w:tc>
        <w:tc>
          <w:tcPr>
            <w:tcW w:w="0" w:type="auto"/>
            <w:hideMark/>
          </w:tcPr>
          <w:p w14:paraId="0C62FF3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5.46 ± 0.34</w:t>
            </w:r>
          </w:p>
        </w:tc>
      </w:tr>
      <w:tr w:rsidR="00B45AE1" w:rsidRPr="00B45AE1" w14:paraId="5DD6EC88" w14:textId="77777777" w:rsidTr="00DF0BA0">
        <w:tc>
          <w:tcPr>
            <w:tcW w:w="0" w:type="auto"/>
            <w:hideMark/>
          </w:tcPr>
          <w:p w14:paraId="120C2D79"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Omoku</w:t>
            </w:r>
            <w:proofErr w:type="spellEnd"/>
          </w:p>
        </w:tc>
        <w:tc>
          <w:tcPr>
            <w:tcW w:w="0" w:type="auto"/>
            <w:hideMark/>
          </w:tcPr>
          <w:p w14:paraId="78392EE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26.84 ± 1.42</w:t>
            </w:r>
          </w:p>
        </w:tc>
        <w:tc>
          <w:tcPr>
            <w:tcW w:w="0" w:type="auto"/>
            <w:hideMark/>
          </w:tcPr>
          <w:p w14:paraId="44C8693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16.84 ± 0.88</w:t>
            </w:r>
          </w:p>
        </w:tc>
        <w:tc>
          <w:tcPr>
            <w:tcW w:w="0" w:type="auto"/>
            <w:hideMark/>
          </w:tcPr>
          <w:p w14:paraId="5779705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3.26 ± 0.20</w:t>
            </w:r>
          </w:p>
        </w:tc>
        <w:tc>
          <w:tcPr>
            <w:tcW w:w="0" w:type="auto"/>
            <w:hideMark/>
          </w:tcPr>
          <w:p w14:paraId="68D8BCF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5.18 ± 0.30</w:t>
            </w:r>
          </w:p>
        </w:tc>
      </w:tr>
      <w:tr w:rsidR="00B45AE1" w:rsidRPr="00B45AE1" w14:paraId="4946C967" w14:textId="77777777" w:rsidTr="00DF0BA0">
        <w:tc>
          <w:tcPr>
            <w:tcW w:w="0" w:type="auto"/>
            <w:hideMark/>
          </w:tcPr>
          <w:p w14:paraId="193D073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Bonny</w:t>
            </w:r>
          </w:p>
        </w:tc>
        <w:tc>
          <w:tcPr>
            <w:tcW w:w="0" w:type="auto"/>
            <w:hideMark/>
          </w:tcPr>
          <w:p w14:paraId="554A420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80.26 ± 3.44</w:t>
            </w:r>
          </w:p>
        </w:tc>
        <w:tc>
          <w:tcPr>
            <w:tcW w:w="0" w:type="auto"/>
            <w:hideMark/>
          </w:tcPr>
          <w:p w14:paraId="1CD34B0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54.42 ± 2.54</w:t>
            </w:r>
          </w:p>
        </w:tc>
        <w:tc>
          <w:tcPr>
            <w:tcW w:w="0" w:type="auto"/>
            <w:hideMark/>
          </w:tcPr>
          <w:p w14:paraId="70F3030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11.62 ± 0.64</w:t>
            </w:r>
          </w:p>
        </w:tc>
        <w:tc>
          <w:tcPr>
            <w:tcW w:w="0" w:type="auto"/>
            <w:hideMark/>
          </w:tcPr>
          <w:p w14:paraId="35C7B3B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17.26 ± 0.82</w:t>
            </w:r>
          </w:p>
        </w:tc>
      </w:tr>
      <w:tr w:rsidR="00B45AE1" w:rsidRPr="00B45AE1" w14:paraId="24583509" w14:textId="77777777" w:rsidTr="00DF0BA0">
        <w:tc>
          <w:tcPr>
            <w:tcW w:w="0" w:type="auto"/>
            <w:hideMark/>
          </w:tcPr>
          <w:p w14:paraId="3BA93E4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Bori</w:t>
            </w:r>
          </w:p>
        </w:tc>
        <w:tc>
          <w:tcPr>
            <w:tcW w:w="0" w:type="auto"/>
            <w:hideMark/>
          </w:tcPr>
          <w:p w14:paraId="66C7C73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30.42 ± 1.58</w:t>
            </w:r>
          </w:p>
        </w:tc>
        <w:tc>
          <w:tcPr>
            <w:tcW w:w="0" w:type="auto"/>
            <w:hideMark/>
          </w:tcPr>
          <w:p w14:paraId="19319DF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19.64 ± 1.02</w:t>
            </w:r>
          </w:p>
        </w:tc>
        <w:tc>
          <w:tcPr>
            <w:tcW w:w="0" w:type="auto"/>
            <w:hideMark/>
          </w:tcPr>
          <w:p w14:paraId="1F8697B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3.96 ± 0.24</w:t>
            </w:r>
          </w:p>
        </w:tc>
        <w:tc>
          <w:tcPr>
            <w:tcW w:w="0" w:type="auto"/>
            <w:hideMark/>
          </w:tcPr>
          <w:p w14:paraId="09768EF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5.82 ± 0.36</w:t>
            </w:r>
          </w:p>
        </w:tc>
      </w:tr>
      <w:tr w:rsidR="00B45AE1" w:rsidRPr="00B45AE1" w14:paraId="0C680051" w14:textId="77777777" w:rsidTr="00DF0BA0">
        <w:tc>
          <w:tcPr>
            <w:tcW w:w="0" w:type="auto"/>
            <w:hideMark/>
          </w:tcPr>
          <w:p w14:paraId="66F76BC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Degema</w:t>
            </w:r>
          </w:p>
        </w:tc>
        <w:tc>
          <w:tcPr>
            <w:tcW w:w="0" w:type="auto"/>
            <w:hideMark/>
          </w:tcPr>
          <w:p w14:paraId="3CEF163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72.16 ± 3.08</w:t>
            </w:r>
          </w:p>
        </w:tc>
        <w:tc>
          <w:tcPr>
            <w:tcW w:w="0" w:type="auto"/>
            <w:hideMark/>
          </w:tcPr>
          <w:p w14:paraId="3B3378F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48.86 ± 2.26</w:t>
            </w:r>
          </w:p>
        </w:tc>
        <w:tc>
          <w:tcPr>
            <w:tcW w:w="0" w:type="auto"/>
            <w:hideMark/>
          </w:tcPr>
          <w:p w14:paraId="40B599A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10.26 ± 0.58</w:t>
            </w:r>
          </w:p>
        </w:tc>
        <w:tc>
          <w:tcPr>
            <w:tcW w:w="0" w:type="auto"/>
            <w:hideMark/>
          </w:tcPr>
          <w:p w14:paraId="11D3FB9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15.62 ± 0.76</w:t>
            </w:r>
          </w:p>
        </w:tc>
      </w:tr>
      <w:tr w:rsidR="00B45AE1" w:rsidRPr="00B45AE1" w14:paraId="6700ED2E" w14:textId="77777777" w:rsidTr="00DF0BA0">
        <w:tc>
          <w:tcPr>
            <w:tcW w:w="0" w:type="auto"/>
            <w:hideMark/>
          </w:tcPr>
          <w:p w14:paraId="0CE0CDD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Sachet Water</w:t>
            </w:r>
          </w:p>
        </w:tc>
        <w:tc>
          <w:tcPr>
            <w:tcW w:w="0" w:type="auto"/>
            <w:hideMark/>
          </w:tcPr>
          <w:p w14:paraId="27455D3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12.84 ± 0.82</w:t>
            </w:r>
          </w:p>
        </w:tc>
        <w:tc>
          <w:tcPr>
            <w:tcW w:w="0" w:type="auto"/>
            <w:hideMark/>
          </w:tcPr>
          <w:p w14:paraId="2B16C67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8.62 ± 0.54</w:t>
            </w:r>
          </w:p>
        </w:tc>
        <w:tc>
          <w:tcPr>
            <w:tcW w:w="0" w:type="auto"/>
            <w:hideMark/>
          </w:tcPr>
          <w:p w14:paraId="23C8FD9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1.42 ± 0.12</w:t>
            </w:r>
          </w:p>
        </w:tc>
        <w:tc>
          <w:tcPr>
            <w:tcW w:w="0" w:type="auto"/>
            <w:hideMark/>
          </w:tcPr>
          <w:p w14:paraId="70B4E6A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2.18 ± 0.16</w:t>
            </w:r>
          </w:p>
        </w:tc>
      </w:tr>
    </w:tbl>
    <w:p w14:paraId="2997E231"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3.6 Heavy Metal Concentrations in Drinking Water</w:t>
      </w:r>
    </w:p>
    <w:p w14:paraId="42CD3B88"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hAnsi="Times New Roman" w:cs="Times New Roman"/>
          <w:sz w:val="24"/>
          <w:szCs w:val="24"/>
        </w:rPr>
        <w:t>Lead concentrations ranged from 0.002 ± 0.001 to 0.026 ± 0.002 mg/L, cadmium from 0.001 ± 0.000 to 0.006 ± 0.001 mg/L, chromium from 0.004 ± 0.001 to 0.038 ± 0.003 mg/L, and iron from 0.12 ± 0.01 to 0.84 ± 0.04 mg/L. Zinc ranged from 0.08 ± 0.01 to 0.62 ± 0.03 mg/L. Location-specific values are presented in Table 6; no causal comparison among source types was made.</w:t>
      </w:r>
    </w:p>
    <w:p w14:paraId="5671A00E"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hAnsi="Times New Roman" w:cs="Times New Roman"/>
          <w:sz w:val="24"/>
          <w:szCs w:val="24"/>
        </w:rPr>
        <w:lastRenderedPageBreak/>
        <w:t>Table 6. Heavy Metal Concentrations in Drinking Water (mg/L)</w:t>
      </w:r>
    </w:p>
    <w:tbl>
      <w:tblPr>
        <w:tblStyle w:val="TableGrid"/>
        <w:tblW w:w="0" w:type="auto"/>
        <w:tblLook w:val="04A0" w:firstRow="1" w:lastRow="0" w:firstColumn="1" w:lastColumn="0" w:noHBand="0" w:noVBand="1"/>
      </w:tblPr>
      <w:tblGrid>
        <w:gridCol w:w="1485"/>
        <w:gridCol w:w="1153"/>
        <w:gridCol w:w="1153"/>
        <w:gridCol w:w="1153"/>
        <w:gridCol w:w="1153"/>
        <w:gridCol w:w="973"/>
        <w:gridCol w:w="973"/>
        <w:gridCol w:w="973"/>
      </w:tblGrid>
      <w:tr w:rsidR="00B45AE1" w:rsidRPr="00B45AE1" w14:paraId="5AE43CC8" w14:textId="77777777" w:rsidTr="00DF0BA0">
        <w:trPr>
          <w:tblHeader/>
        </w:trPr>
        <w:tc>
          <w:tcPr>
            <w:tcW w:w="0" w:type="auto"/>
            <w:hideMark/>
          </w:tcPr>
          <w:p w14:paraId="60161625"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Community</w:t>
            </w:r>
          </w:p>
        </w:tc>
        <w:tc>
          <w:tcPr>
            <w:tcW w:w="0" w:type="auto"/>
            <w:hideMark/>
          </w:tcPr>
          <w:p w14:paraId="4A5C7A35"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Pb</w:t>
            </w:r>
          </w:p>
        </w:tc>
        <w:tc>
          <w:tcPr>
            <w:tcW w:w="0" w:type="auto"/>
            <w:hideMark/>
          </w:tcPr>
          <w:p w14:paraId="58C92B41"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Cd</w:t>
            </w:r>
          </w:p>
        </w:tc>
        <w:tc>
          <w:tcPr>
            <w:tcW w:w="0" w:type="auto"/>
            <w:hideMark/>
          </w:tcPr>
          <w:p w14:paraId="388D3AF3"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Cr</w:t>
            </w:r>
          </w:p>
        </w:tc>
        <w:tc>
          <w:tcPr>
            <w:tcW w:w="0" w:type="auto"/>
            <w:hideMark/>
          </w:tcPr>
          <w:p w14:paraId="1D1B4A0E"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Ni</w:t>
            </w:r>
          </w:p>
        </w:tc>
        <w:tc>
          <w:tcPr>
            <w:tcW w:w="0" w:type="auto"/>
            <w:hideMark/>
          </w:tcPr>
          <w:p w14:paraId="3AF4C364"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Cu</w:t>
            </w:r>
          </w:p>
        </w:tc>
        <w:tc>
          <w:tcPr>
            <w:tcW w:w="0" w:type="auto"/>
            <w:hideMark/>
          </w:tcPr>
          <w:p w14:paraId="5AF8B808"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Zn</w:t>
            </w:r>
          </w:p>
        </w:tc>
        <w:tc>
          <w:tcPr>
            <w:tcW w:w="0" w:type="auto"/>
            <w:hideMark/>
          </w:tcPr>
          <w:p w14:paraId="12B8E98B"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Fe</w:t>
            </w:r>
          </w:p>
        </w:tc>
      </w:tr>
      <w:tr w:rsidR="00B45AE1" w:rsidRPr="00B45AE1" w14:paraId="08C8ECE3" w14:textId="77777777" w:rsidTr="00DF0BA0">
        <w:tc>
          <w:tcPr>
            <w:tcW w:w="0" w:type="auto"/>
            <w:hideMark/>
          </w:tcPr>
          <w:p w14:paraId="00FCA2D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Port Harcourt</w:t>
            </w:r>
          </w:p>
        </w:tc>
        <w:tc>
          <w:tcPr>
            <w:tcW w:w="0" w:type="auto"/>
            <w:hideMark/>
          </w:tcPr>
          <w:p w14:paraId="76FFF84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0.022 ± 0.002</w:t>
            </w:r>
          </w:p>
        </w:tc>
        <w:tc>
          <w:tcPr>
            <w:tcW w:w="0" w:type="auto"/>
            <w:hideMark/>
          </w:tcPr>
          <w:p w14:paraId="54E5BF3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0.005 ± 0.001</w:t>
            </w:r>
          </w:p>
        </w:tc>
        <w:tc>
          <w:tcPr>
            <w:tcW w:w="0" w:type="auto"/>
            <w:hideMark/>
          </w:tcPr>
          <w:p w14:paraId="0CE6C37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0.032 ± 0.002</w:t>
            </w:r>
          </w:p>
        </w:tc>
        <w:tc>
          <w:tcPr>
            <w:tcW w:w="0" w:type="auto"/>
            <w:hideMark/>
          </w:tcPr>
          <w:p w14:paraId="0BE524B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0.018 ± 0.001</w:t>
            </w:r>
          </w:p>
        </w:tc>
        <w:tc>
          <w:tcPr>
            <w:tcW w:w="0" w:type="auto"/>
            <w:hideMark/>
          </w:tcPr>
          <w:p w14:paraId="70BF3A3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0.18 ± 0.01</w:t>
            </w:r>
          </w:p>
        </w:tc>
        <w:tc>
          <w:tcPr>
            <w:tcW w:w="0" w:type="auto"/>
            <w:hideMark/>
          </w:tcPr>
          <w:p w14:paraId="7328CB0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0.52 ± 0.03</w:t>
            </w:r>
          </w:p>
        </w:tc>
        <w:tc>
          <w:tcPr>
            <w:tcW w:w="0" w:type="auto"/>
            <w:hideMark/>
          </w:tcPr>
          <w:p w14:paraId="7F01F2B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0.72 ± 0.04</w:t>
            </w:r>
          </w:p>
        </w:tc>
      </w:tr>
      <w:tr w:rsidR="00B45AE1" w:rsidRPr="00B45AE1" w14:paraId="07B3A6A6" w14:textId="77777777" w:rsidTr="00DF0BA0">
        <w:tc>
          <w:tcPr>
            <w:tcW w:w="0" w:type="auto"/>
            <w:hideMark/>
          </w:tcPr>
          <w:p w14:paraId="1F347FEE"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Rumuola</w:t>
            </w:r>
            <w:proofErr w:type="spellEnd"/>
          </w:p>
        </w:tc>
        <w:tc>
          <w:tcPr>
            <w:tcW w:w="0" w:type="auto"/>
            <w:hideMark/>
          </w:tcPr>
          <w:p w14:paraId="3C1CA18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0.010 ± 0.001</w:t>
            </w:r>
          </w:p>
        </w:tc>
        <w:tc>
          <w:tcPr>
            <w:tcW w:w="0" w:type="auto"/>
            <w:hideMark/>
          </w:tcPr>
          <w:p w14:paraId="316DB09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0.002 ± 0.000</w:t>
            </w:r>
          </w:p>
        </w:tc>
        <w:tc>
          <w:tcPr>
            <w:tcW w:w="0" w:type="auto"/>
            <w:hideMark/>
          </w:tcPr>
          <w:p w14:paraId="581CE7C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0.014 ± 0.001</w:t>
            </w:r>
          </w:p>
        </w:tc>
        <w:tc>
          <w:tcPr>
            <w:tcW w:w="0" w:type="auto"/>
            <w:hideMark/>
          </w:tcPr>
          <w:p w14:paraId="67F3887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0.009 ± 0.001</w:t>
            </w:r>
          </w:p>
        </w:tc>
        <w:tc>
          <w:tcPr>
            <w:tcW w:w="0" w:type="auto"/>
            <w:hideMark/>
          </w:tcPr>
          <w:p w14:paraId="04C8182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0.10 ± 0.01</w:t>
            </w:r>
          </w:p>
        </w:tc>
        <w:tc>
          <w:tcPr>
            <w:tcW w:w="0" w:type="auto"/>
            <w:hideMark/>
          </w:tcPr>
          <w:p w14:paraId="0B53437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0.28 ± 0.02</w:t>
            </w:r>
          </w:p>
        </w:tc>
        <w:tc>
          <w:tcPr>
            <w:tcW w:w="0" w:type="auto"/>
            <w:hideMark/>
          </w:tcPr>
          <w:p w14:paraId="145122E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0.36 ± 0.02</w:t>
            </w:r>
          </w:p>
        </w:tc>
      </w:tr>
      <w:tr w:rsidR="00B45AE1" w:rsidRPr="00B45AE1" w14:paraId="294D6691" w14:textId="77777777" w:rsidTr="00DF0BA0">
        <w:tc>
          <w:tcPr>
            <w:tcW w:w="0" w:type="auto"/>
            <w:hideMark/>
          </w:tcPr>
          <w:p w14:paraId="120CD56C"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Rumuokoro</w:t>
            </w:r>
            <w:proofErr w:type="spellEnd"/>
          </w:p>
        </w:tc>
        <w:tc>
          <w:tcPr>
            <w:tcW w:w="0" w:type="auto"/>
            <w:hideMark/>
          </w:tcPr>
          <w:p w14:paraId="11643CA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0.012 ± 0.001</w:t>
            </w:r>
          </w:p>
        </w:tc>
        <w:tc>
          <w:tcPr>
            <w:tcW w:w="0" w:type="auto"/>
            <w:hideMark/>
          </w:tcPr>
          <w:p w14:paraId="4D783AF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0.003 ± 0.001</w:t>
            </w:r>
          </w:p>
        </w:tc>
        <w:tc>
          <w:tcPr>
            <w:tcW w:w="0" w:type="auto"/>
            <w:hideMark/>
          </w:tcPr>
          <w:p w14:paraId="187A330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0.016 ± 0.001</w:t>
            </w:r>
          </w:p>
        </w:tc>
        <w:tc>
          <w:tcPr>
            <w:tcW w:w="0" w:type="auto"/>
            <w:hideMark/>
          </w:tcPr>
          <w:p w14:paraId="23054B1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0.010 ± 0.001</w:t>
            </w:r>
          </w:p>
        </w:tc>
        <w:tc>
          <w:tcPr>
            <w:tcW w:w="0" w:type="auto"/>
            <w:hideMark/>
          </w:tcPr>
          <w:p w14:paraId="1D1EBB9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0.11 ± 0.01</w:t>
            </w:r>
          </w:p>
        </w:tc>
        <w:tc>
          <w:tcPr>
            <w:tcW w:w="0" w:type="auto"/>
            <w:hideMark/>
          </w:tcPr>
          <w:p w14:paraId="3F0FBB4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0.30 ± 0.02</w:t>
            </w:r>
          </w:p>
        </w:tc>
        <w:tc>
          <w:tcPr>
            <w:tcW w:w="0" w:type="auto"/>
            <w:hideMark/>
          </w:tcPr>
          <w:p w14:paraId="5990F68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0.42 ± 0.03</w:t>
            </w:r>
          </w:p>
        </w:tc>
      </w:tr>
      <w:tr w:rsidR="00B45AE1" w:rsidRPr="00B45AE1" w14:paraId="3F3D5A95" w14:textId="77777777" w:rsidTr="00DF0BA0">
        <w:tc>
          <w:tcPr>
            <w:tcW w:w="0" w:type="auto"/>
            <w:hideMark/>
          </w:tcPr>
          <w:p w14:paraId="196488E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Choba</w:t>
            </w:r>
          </w:p>
        </w:tc>
        <w:tc>
          <w:tcPr>
            <w:tcW w:w="0" w:type="auto"/>
            <w:hideMark/>
          </w:tcPr>
          <w:p w14:paraId="40E45FD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0.020 ± 0.002</w:t>
            </w:r>
          </w:p>
        </w:tc>
        <w:tc>
          <w:tcPr>
            <w:tcW w:w="0" w:type="auto"/>
            <w:hideMark/>
          </w:tcPr>
          <w:p w14:paraId="143E23E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0.004 ± 0.001</w:t>
            </w:r>
          </w:p>
        </w:tc>
        <w:tc>
          <w:tcPr>
            <w:tcW w:w="0" w:type="auto"/>
            <w:hideMark/>
          </w:tcPr>
          <w:p w14:paraId="2EF462D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0.028 ± 0.002</w:t>
            </w:r>
          </w:p>
        </w:tc>
        <w:tc>
          <w:tcPr>
            <w:tcW w:w="0" w:type="auto"/>
            <w:hideMark/>
          </w:tcPr>
          <w:p w14:paraId="7080604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0.016 ± 0.001</w:t>
            </w:r>
          </w:p>
        </w:tc>
        <w:tc>
          <w:tcPr>
            <w:tcW w:w="0" w:type="auto"/>
            <w:hideMark/>
          </w:tcPr>
          <w:p w14:paraId="07F9F73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0.16 ± 0.01</w:t>
            </w:r>
          </w:p>
        </w:tc>
        <w:tc>
          <w:tcPr>
            <w:tcW w:w="0" w:type="auto"/>
            <w:hideMark/>
          </w:tcPr>
          <w:p w14:paraId="1B8D725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0.46 ± 0.02</w:t>
            </w:r>
          </w:p>
        </w:tc>
        <w:tc>
          <w:tcPr>
            <w:tcW w:w="0" w:type="auto"/>
            <w:hideMark/>
          </w:tcPr>
          <w:p w14:paraId="1C673A8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0.66 ± 0.03</w:t>
            </w:r>
          </w:p>
        </w:tc>
      </w:tr>
      <w:tr w:rsidR="00B45AE1" w:rsidRPr="00B45AE1" w14:paraId="2BB3A110" w14:textId="77777777" w:rsidTr="00DF0BA0">
        <w:tc>
          <w:tcPr>
            <w:tcW w:w="0" w:type="auto"/>
            <w:hideMark/>
          </w:tcPr>
          <w:p w14:paraId="2FC8E48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Eleme</w:t>
            </w:r>
          </w:p>
        </w:tc>
        <w:tc>
          <w:tcPr>
            <w:tcW w:w="0" w:type="auto"/>
            <w:hideMark/>
          </w:tcPr>
          <w:p w14:paraId="48F456E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0.026 ± 0.002</w:t>
            </w:r>
          </w:p>
        </w:tc>
        <w:tc>
          <w:tcPr>
            <w:tcW w:w="0" w:type="auto"/>
            <w:hideMark/>
          </w:tcPr>
          <w:p w14:paraId="60B5B9E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0.006 ± 0.001</w:t>
            </w:r>
          </w:p>
        </w:tc>
        <w:tc>
          <w:tcPr>
            <w:tcW w:w="0" w:type="auto"/>
            <w:hideMark/>
          </w:tcPr>
          <w:p w14:paraId="36AA77D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0.038 ± 0.003</w:t>
            </w:r>
          </w:p>
        </w:tc>
        <w:tc>
          <w:tcPr>
            <w:tcW w:w="0" w:type="auto"/>
            <w:hideMark/>
          </w:tcPr>
          <w:p w14:paraId="44C341A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0.022 ± 0.002</w:t>
            </w:r>
          </w:p>
        </w:tc>
        <w:tc>
          <w:tcPr>
            <w:tcW w:w="0" w:type="auto"/>
            <w:hideMark/>
          </w:tcPr>
          <w:p w14:paraId="11BB5EE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0.24 ± 0.02</w:t>
            </w:r>
          </w:p>
        </w:tc>
        <w:tc>
          <w:tcPr>
            <w:tcW w:w="0" w:type="auto"/>
            <w:hideMark/>
          </w:tcPr>
          <w:p w14:paraId="5C3430E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0.62 ± 0.03</w:t>
            </w:r>
          </w:p>
        </w:tc>
        <w:tc>
          <w:tcPr>
            <w:tcW w:w="0" w:type="auto"/>
            <w:hideMark/>
          </w:tcPr>
          <w:p w14:paraId="5944490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0.84 ± 0.04</w:t>
            </w:r>
          </w:p>
        </w:tc>
      </w:tr>
      <w:tr w:rsidR="00B45AE1" w:rsidRPr="00B45AE1" w14:paraId="58411C66" w14:textId="77777777" w:rsidTr="00DF0BA0">
        <w:tc>
          <w:tcPr>
            <w:tcW w:w="0" w:type="auto"/>
            <w:hideMark/>
          </w:tcPr>
          <w:p w14:paraId="2536A9C6"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Oyigbo</w:t>
            </w:r>
            <w:proofErr w:type="spellEnd"/>
          </w:p>
        </w:tc>
        <w:tc>
          <w:tcPr>
            <w:tcW w:w="0" w:type="auto"/>
            <w:hideMark/>
          </w:tcPr>
          <w:p w14:paraId="3D1BC4E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0.018 ± 0.001</w:t>
            </w:r>
          </w:p>
        </w:tc>
        <w:tc>
          <w:tcPr>
            <w:tcW w:w="0" w:type="auto"/>
            <w:hideMark/>
          </w:tcPr>
          <w:p w14:paraId="6D5EBA8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0.004 ± 0.001</w:t>
            </w:r>
          </w:p>
        </w:tc>
        <w:tc>
          <w:tcPr>
            <w:tcW w:w="0" w:type="auto"/>
            <w:hideMark/>
          </w:tcPr>
          <w:p w14:paraId="66276FC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0.026 ± 0.002</w:t>
            </w:r>
          </w:p>
        </w:tc>
        <w:tc>
          <w:tcPr>
            <w:tcW w:w="0" w:type="auto"/>
            <w:hideMark/>
          </w:tcPr>
          <w:p w14:paraId="11F7830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0.015 ± 0.001</w:t>
            </w:r>
          </w:p>
        </w:tc>
        <w:tc>
          <w:tcPr>
            <w:tcW w:w="0" w:type="auto"/>
            <w:hideMark/>
          </w:tcPr>
          <w:p w14:paraId="5F6B632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0.15 ± 0.01</w:t>
            </w:r>
          </w:p>
        </w:tc>
        <w:tc>
          <w:tcPr>
            <w:tcW w:w="0" w:type="auto"/>
            <w:hideMark/>
          </w:tcPr>
          <w:p w14:paraId="35C8FDA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0.44 ± 0.02</w:t>
            </w:r>
          </w:p>
        </w:tc>
        <w:tc>
          <w:tcPr>
            <w:tcW w:w="0" w:type="auto"/>
            <w:hideMark/>
          </w:tcPr>
          <w:p w14:paraId="7AB6F77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0.60 ± 0.03</w:t>
            </w:r>
          </w:p>
        </w:tc>
      </w:tr>
      <w:tr w:rsidR="00B45AE1" w:rsidRPr="00B45AE1" w14:paraId="1AA0B0BE" w14:textId="77777777" w:rsidTr="00DF0BA0">
        <w:tc>
          <w:tcPr>
            <w:tcW w:w="0" w:type="auto"/>
            <w:hideMark/>
          </w:tcPr>
          <w:p w14:paraId="54EB527D"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Ahoada</w:t>
            </w:r>
            <w:proofErr w:type="spellEnd"/>
          </w:p>
        </w:tc>
        <w:tc>
          <w:tcPr>
            <w:tcW w:w="0" w:type="auto"/>
            <w:hideMark/>
          </w:tcPr>
          <w:p w14:paraId="62C872A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0.008 ± 0.001</w:t>
            </w:r>
          </w:p>
        </w:tc>
        <w:tc>
          <w:tcPr>
            <w:tcW w:w="0" w:type="auto"/>
            <w:hideMark/>
          </w:tcPr>
          <w:p w14:paraId="3EE36A6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0.002 ± 0.000</w:t>
            </w:r>
          </w:p>
        </w:tc>
        <w:tc>
          <w:tcPr>
            <w:tcW w:w="0" w:type="auto"/>
            <w:hideMark/>
          </w:tcPr>
          <w:p w14:paraId="3576B7C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0.012 ± 0.001</w:t>
            </w:r>
          </w:p>
        </w:tc>
        <w:tc>
          <w:tcPr>
            <w:tcW w:w="0" w:type="auto"/>
            <w:hideMark/>
          </w:tcPr>
          <w:p w14:paraId="26763C5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0.008 ± 0.001</w:t>
            </w:r>
          </w:p>
        </w:tc>
        <w:tc>
          <w:tcPr>
            <w:tcW w:w="0" w:type="auto"/>
            <w:hideMark/>
          </w:tcPr>
          <w:p w14:paraId="20F6B68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 ± 0.01</w:t>
            </w:r>
          </w:p>
        </w:tc>
        <w:tc>
          <w:tcPr>
            <w:tcW w:w="0" w:type="auto"/>
            <w:hideMark/>
          </w:tcPr>
          <w:p w14:paraId="33C4D40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0.22 ± 0.01</w:t>
            </w:r>
          </w:p>
        </w:tc>
        <w:tc>
          <w:tcPr>
            <w:tcW w:w="0" w:type="auto"/>
            <w:hideMark/>
          </w:tcPr>
          <w:p w14:paraId="2106BD8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0.28 ± 0.02</w:t>
            </w:r>
          </w:p>
        </w:tc>
      </w:tr>
      <w:tr w:rsidR="00B45AE1" w:rsidRPr="00B45AE1" w14:paraId="77FF305A" w14:textId="77777777" w:rsidTr="00DF0BA0">
        <w:tc>
          <w:tcPr>
            <w:tcW w:w="0" w:type="auto"/>
            <w:hideMark/>
          </w:tcPr>
          <w:p w14:paraId="21A92950"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Omoku</w:t>
            </w:r>
            <w:proofErr w:type="spellEnd"/>
          </w:p>
        </w:tc>
        <w:tc>
          <w:tcPr>
            <w:tcW w:w="0" w:type="auto"/>
            <w:hideMark/>
          </w:tcPr>
          <w:p w14:paraId="71A2B60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0.007 ± 0.001</w:t>
            </w:r>
          </w:p>
        </w:tc>
        <w:tc>
          <w:tcPr>
            <w:tcW w:w="0" w:type="auto"/>
            <w:hideMark/>
          </w:tcPr>
          <w:p w14:paraId="0A2F28A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0.001 ± 0.000</w:t>
            </w:r>
          </w:p>
        </w:tc>
        <w:tc>
          <w:tcPr>
            <w:tcW w:w="0" w:type="auto"/>
            <w:hideMark/>
          </w:tcPr>
          <w:p w14:paraId="4E385CC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0.010 ± 0.001</w:t>
            </w:r>
          </w:p>
        </w:tc>
        <w:tc>
          <w:tcPr>
            <w:tcW w:w="0" w:type="auto"/>
            <w:hideMark/>
          </w:tcPr>
          <w:p w14:paraId="634BEF4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0.007 ± 0.001</w:t>
            </w:r>
          </w:p>
        </w:tc>
        <w:tc>
          <w:tcPr>
            <w:tcW w:w="0" w:type="auto"/>
            <w:hideMark/>
          </w:tcPr>
          <w:p w14:paraId="7328088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 ± 0.01</w:t>
            </w:r>
          </w:p>
        </w:tc>
        <w:tc>
          <w:tcPr>
            <w:tcW w:w="0" w:type="auto"/>
            <w:hideMark/>
          </w:tcPr>
          <w:p w14:paraId="61DB2B2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0.20 ± 0.01</w:t>
            </w:r>
          </w:p>
        </w:tc>
        <w:tc>
          <w:tcPr>
            <w:tcW w:w="0" w:type="auto"/>
            <w:hideMark/>
          </w:tcPr>
          <w:p w14:paraId="301385C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0.24 ± 0.02</w:t>
            </w:r>
          </w:p>
        </w:tc>
      </w:tr>
      <w:tr w:rsidR="00B45AE1" w:rsidRPr="00B45AE1" w14:paraId="09E8DBE8" w14:textId="77777777" w:rsidTr="00DF0BA0">
        <w:tc>
          <w:tcPr>
            <w:tcW w:w="0" w:type="auto"/>
            <w:hideMark/>
          </w:tcPr>
          <w:p w14:paraId="13EED47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Bonny</w:t>
            </w:r>
          </w:p>
        </w:tc>
        <w:tc>
          <w:tcPr>
            <w:tcW w:w="0" w:type="auto"/>
            <w:hideMark/>
          </w:tcPr>
          <w:p w14:paraId="4C59EF7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0.024 ± 0.002</w:t>
            </w:r>
          </w:p>
        </w:tc>
        <w:tc>
          <w:tcPr>
            <w:tcW w:w="0" w:type="auto"/>
            <w:hideMark/>
          </w:tcPr>
          <w:p w14:paraId="314462F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0.005 ± 0.001</w:t>
            </w:r>
          </w:p>
        </w:tc>
        <w:tc>
          <w:tcPr>
            <w:tcW w:w="0" w:type="auto"/>
            <w:hideMark/>
          </w:tcPr>
          <w:p w14:paraId="2795D3E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0.034 ± 0.002</w:t>
            </w:r>
          </w:p>
        </w:tc>
        <w:tc>
          <w:tcPr>
            <w:tcW w:w="0" w:type="auto"/>
            <w:hideMark/>
          </w:tcPr>
          <w:p w14:paraId="39EE4E6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0.020 ± 0.001</w:t>
            </w:r>
          </w:p>
        </w:tc>
        <w:tc>
          <w:tcPr>
            <w:tcW w:w="0" w:type="auto"/>
            <w:hideMark/>
          </w:tcPr>
          <w:p w14:paraId="0641D1C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0.20 ± 0.02</w:t>
            </w:r>
          </w:p>
        </w:tc>
        <w:tc>
          <w:tcPr>
            <w:tcW w:w="0" w:type="auto"/>
            <w:hideMark/>
          </w:tcPr>
          <w:p w14:paraId="261A9B4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0.56 ± 0.03</w:t>
            </w:r>
          </w:p>
        </w:tc>
        <w:tc>
          <w:tcPr>
            <w:tcW w:w="0" w:type="auto"/>
            <w:hideMark/>
          </w:tcPr>
          <w:p w14:paraId="65C3217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0.78 ± 0.04</w:t>
            </w:r>
          </w:p>
        </w:tc>
      </w:tr>
      <w:tr w:rsidR="00B45AE1" w:rsidRPr="00B45AE1" w14:paraId="6F1067C5" w14:textId="77777777" w:rsidTr="00DF0BA0">
        <w:tc>
          <w:tcPr>
            <w:tcW w:w="0" w:type="auto"/>
            <w:hideMark/>
          </w:tcPr>
          <w:p w14:paraId="454913C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Bori</w:t>
            </w:r>
          </w:p>
        </w:tc>
        <w:tc>
          <w:tcPr>
            <w:tcW w:w="0" w:type="auto"/>
            <w:hideMark/>
          </w:tcPr>
          <w:p w14:paraId="1F893BA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0.009 ± 0.001</w:t>
            </w:r>
          </w:p>
        </w:tc>
        <w:tc>
          <w:tcPr>
            <w:tcW w:w="0" w:type="auto"/>
            <w:hideMark/>
          </w:tcPr>
          <w:p w14:paraId="6EC20E2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0.002 ± 0.000</w:t>
            </w:r>
          </w:p>
        </w:tc>
        <w:tc>
          <w:tcPr>
            <w:tcW w:w="0" w:type="auto"/>
            <w:hideMark/>
          </w:tcPr>
          <w:p w14:paraId="25A670A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0.013 ± 0.001</w:t>
            </w:r>
          </w:p>
        </w:tc>
        <w:tc>
          <w:tcPr>
            <w:tcW w:w="0" w:type="auto"/>
            <w:hideMark/>
          </w:tcPr>
          <w:p w14:paraId="7D3D436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0.008 ± 0.001</w:t>
            </w:r>
          </w:p>
        </w:tc>
        <w:tc>
          <w:tcPr>
            <w:tcW w:w="0" w:type="auto"/>
            <w:hideMark/>
          </w:tcPr>
          <w:p w14:paraId="3250E81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0.09 ± 0.01</w:t>
            </w:r>
          </w:p>
        </w:tc>
        <w:tc>
          <w:tcPr>
            <w:tcW w:w="0" w:type="auto"/>
            <w:hideMark/>
          </w:tcPr>
          <w:p w14:paraId="64E3BFF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0.24 ± 0.01</w:t>
            </w:r>
          </w:p>
        </w:tc>
        <w:tc>
          <w:tcPr>
            <w:tcW w:w="0" w:type="auto"/>
            <w:hideMark/>
          </w:tcPr>
          <w:p w14:paraId="1049821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0.32 ± 0.02</w:t>
            </w:r>
          </w:p>
        </w:tc>
      </w:tr>
      <w:tr w:rsidR="00B45AE1" w:rsidRPr="00B45AE1" w14:paraId="7D52684A" w14:textId="77777777" w:rsidTr="00DF0BA0">
        <w:tc>
          <w:tcPr>
            <w:tcW w:w="0" w:type="auto"/>
            <w:hideMark/>
          </w:tcPr>
          <w:p w14:paraId="6369F25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Degema</w:t>
            </w:r>
          </w:p>
        </w:tc>
        <w:tc>
          <w:tcPr>
            <w:tcW w:w="0" w:type="auto"/>
            <w:hideMark/>
          </w:tcPr>
          <w:p w14:paraId="7282E48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0.021 ± 0.002</w:t>
            </w:r>
          </w:p>
        </w:tc>
        <w:tc>
          <w:tcPr>
            <w:tcW w:w="0" w:type="auto"/>
            <w:hideMark/>
          </w:tcPr>
          <w:p w14:paraId="2285B84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0.004 ± 0.001</w:t>
            </w:r>
          </w:p>
        </w:tc>
        <w:tc>
          <w:tcPr>
            <w:tcW w:w="0" w:type="auto"/>
            <w:hideMark/>
          </w:tcPr>
          <w:p w14:paraId="7EFA6BD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0.030 ± 0.002</w:t>
            </w:r>
          </w:p>
        </w:tc>
        <w:tc>
          <w:tcPr>
            <w:tcW w:w="0" w:type="auto"/>
            <w:hideMark/>
          </w:tcPr>
          <w:p w14:paraId="68088D0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0.017 ± 0.001</w:t>
            </w:r>
          </w:p>
        </w:tc>
        <w:tc>
          <w:tcPr>
            <w:tcW w:w="0" w:type="auto"/>
            <w:hideMark/>
          </w:tcPr>
          <w:p w14:paraId="2B16D85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0.17 ± 0.01</w:t>
            </w:r>
          </w:p>
        </w:tc>
        <w:tc>
          <w:tcPr>
            <w:tcW w:w="0" w:type="auto"/>
            <w:hideMark/>
          </w:tcPr>
          <w:p w14:paraId="2676BEE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0.48 ± 0.03</w:t>
            </w:r>
          </w:p>
        </w:tc>
        <w:tc>
          <w:tcPr>
            <w:tcW w:w="0" w:type="auto"/>
            <w:hideMark/>
          </w:tcPr>
          <w:p w14:paraId="34856A7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0.68 ± 0.03</w:t>
            </w:r>
          </w:p>
        </w:tc>
      </w:tr>
      <w:tr w:rsidR="00B45AE1" w:rsidRPr="00B45AE1" w14:paraId="1E8051C5" w14:textId="77777777" w:rsidTr="00DF0BA0">
        <w:tc>
          <w:tcPr>
            <w:tcW w:w="0" w:type="auto"/>
            <w:hideMark/>
          </w:tcPr>
          <w:p w14:paraId="5D77D1E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Sachet Water</w:t>
            </w:r>
          </w:p>
        </w:tc>
        <w:tc>
          <w:tcPr>
            <w:tcW w:w="0" w:type="auto"/>
            <w:hideMark/>
          </w:tcPr>
          <w:p w14:paraId="58BC378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0.002 ± 0.001</w:t>
            </w:r>
          </w:p>
        </w:tc>
        <w:tc>
          <w:tcPr>
            <w:tcW w:w="0" w:type="auto"/>
            <w:hideMark/>
          </w:tcPr>
          <w:p w14:paraId="47AA064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0.001 ± 0.000</w:t>
            </w:r>
          </w:p>
        </w:tc>
        <w:tc>
          <w:tcPr>
            <w:tcW w:w="0" w:type="auto"/>
            <w:hideMark/>
          </w:tcPr>
          <w:p w14:paraId="60BF0D3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0.004 ± 0.001</w:t>
            </w:r>
          </w:p>
        </w:tc>
        <w:tc>
          <w:tcPr>
            <w:tcW w:w="0" w:type="auto"/>
            <w:hideMark/>
          </w:tcPr>
          <w:p w14:paraId="1C6B88E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0.003 ± 0.001</w:t>
            </w:r>
          </w:p>
        </w:tc>
        <w:tc>
          <w:tcPr>
            <w:tcW w:w="0" w:type="auto"/>
            <w:hideMark/>
          </w:tcPr>
          <w:p w14:paraId="64707C3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0.04 ± 0.01</w:t>
            </w:r>
          </w:p>
        </w:tc>
        <w:tc>
          <w:tcPr>
            <w:tcW w:w="0" w:type="auto"/>
            <w:hideMark/>
          </w:tcPr>
          <w:p w14:paraId="4A59D91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 ± 0.01</w:t>
            </w:r>
          </w:p>
        </w:tc>
        <w:tc>
          <w:tcPr>
            <w:tcW w:w="0" w:type="auto"/>
            <w:hideMark/>
          </w:tcPr>
          <w:p w14:paraId="73EB21E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0.12 ± 0.01</w:t>
            </w:r>
          </w:p>
        </w:tc>
      </w:tr>
    </w:tbl>
    <w:p w14:paraId="3BCDA48B"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3.7 Comparison of Measured Parameters with WHO and Nigerian Drinking Water Standards</w:t>
      </w:r>
    </w:p>
    <w:p w14:paraId="5B2E4841"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hAnsi="Times New Roman" w:cs="Times New Roman"/>
          <w:sz w:val="24"/>
          <w:szCs w:val="24"/>
        </w:rPr>
        <w:t>Comparison with selected drinking-water benchmarks showed that chromium remained below the 0.05 mg/L WHO guideline value at all sampling categories. Lead and cadmium exceeded their respective WHO guideline values at some locations, while iron exceeded the commonly used acceptability/operational benchmark of 0.3 mg/L at several locations. The highest TTHM concentration (96.82 µg/L, Eleme) exceeded the U.S. EPA maximum contaminant level of 80 µg/L, while HAA5 values remained below the U.S. EPA 60 µg/L maximum contaminant level. Bromate exceeded the U.S. EPA 10 µg/L maximum contaminant level at Port Harcourt, Eleme, Bonny and Degema. Table 7 distinguishes benchmark sources rather than combining WHO and Nigerian standards into one column.</w:t>
      </w:r>
    </w:p>
    <w:p w14:paraId="1996C4B3"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B45AE1">
        <w:rPr>
          <w:rFonts w:ascii="Times New Roman" w:hAnsi="Times New Roman" w:cs="Times New Roman"/>
          <w:b/>
          <w:bCs/>
          <w:sz w:val="24"/>
          <w:szCs w:val="24"/>
        </w:rPr>
        <w:t>Table 7. Comparison of Measured Parameters with Selected Drinking-Water Benchmarks</w:t>
      </w:r>
    </w:p>
    <w:tbl>
      <w:tblPr>
        <w:tblStyle w:val="TableGrid"/>
        <w:tblW w:w="0" w:type="auto"/>
        <w:tblLook w:val="04A0" w:firstRow="1" w:lastRow="0" w:firstColumn="1" w:lastColumn="0" w:noHBand="0" w:noVBand="1"/>
      </w:tblPr>
      <w:tblGrid>
        <w:gridCol w:w="2492"/>
        <w:gridCol w:w="1811"/>
        <w:gridCol w:w="2669"/>
        <w:gridCol w:w="2044"/>
      </w:tblGrid>
      <w:tr w:rsidR="00B45AE1" w:rsidRPr="00B45AE1" w14:paraId="23586E97" w14:textId="77777777" w:rsidTr="00DF0BA0">
        <w:trPr>
          <w:tblHeader/>
        </w:trPr>
        <w:tc>
          <w:tcPr>
            <w:tcW w:w="0" w:type="auto"/>
            <w:hideMark/>
          </w:tcPr>
          <w:p w14:paraId="4804CDC2"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Parameter</w:t>
            </w:r>
          </w:p>
        </w:tc>
        <w:tc>
          <w:tcPr>
            <w:tcW w:w="0" w:type="auto"/>
            <w:hideMark/>
          </w:tcPr>
          <w:p w14:paraId="7B56774C"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Observed Range</w:t>
            </w:r>
          </w:p>
        </w:tc>
        <w:tc>
          <w:tcPr>
            <w:tcW w:w="0" w:type="auto"/>
            <w:hideMark/>
          </w:tcPr>
          <w:p w14:paraId="3F2B870F"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b/>
                <w:sz w:val="24"/>
                <w:szCs w:val="24"/>
              </w:rPr>
              <w:t>Selected benchmark and source</w:t>
            </w:r>
          </w:p>
        </w:tc>
        <w:tc>
          <w:tcPr>
            <w:tcW w:w="0" w:type="auto"/>
            <w:hideMark/>
          </w:tcPr>
          <w:p w14:paraId="03E92C62"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Compliance Status</w:t>
            </w:r>
          </w:p>
        </w:tc>
      </w:tr>
      <w:tr w:rsidR="00B45AE1" w:rsidRPr="00B45AE1" w14:paraId="3A46C427" w14:textId="77777777" w:rsidTr="00DF0BA0">
        <w:tc>
          <w:tcPr>
            <w:tcW w:w="0" w:type="auto"/>
            <w:hideMark/>
          </w:tcPr>
          <w:p w14:paraId="1297592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pH</w:t>
            </w:r>
          </w:p>
        </w:tc>
        <w:tc>
          <w:tcPr>
            <w:tcW w:w="0" w:type="auto"/>
            <w:hideMark/>
          </w:tcPr>
          <w:p w14:paraId="534496F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6.42–7.68</w:t>
            </w:r>
          </w:p>
        </w:tc>
        <w:tc>
          <w:tcPr>
            <w:tcW w:w="0" w:type="auto"/>
            <w:hideMark/>
          </w:tcPr>
          <w:p w14:paraId="095F90F8"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6.5-8.5 (operational/acceptability range; WHO, 2022)</w:t>
            </w:r>
          </w:p>
        </w:tc>
        <w:tc>
          <w:tcPr>
            <w:tcW w:w="0" w:type="auto"/>
            <w:hideMark/>
          </w:tcPr>
          <w:p w14:paraId="32491F69"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One category below 6.5</w:t>
            </w:r>
          </w:p>
        </w:tc>
      </w:tr>
      <w:tr w:rsidR="00B45AE1" w:rsidRPr="00B45AE1" w14:paraId="308CFE0E" w14:textId="77777777" w:rsidTr="00DF0BA0">
        <w:tc>
          <w:tcPr>
            <w:tcW w:w="0" w:type="auto"/>
            <w:hideMark/>
          </w:tcPr>
          <w:p w14:paraId="47DFF12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lastRenderedPageBreak/>
              <w:t>EC (µS/cm)</w:t>
            </w:r>
          </w:p>
        </w:tc>
        <w:tc>
          <w:tcPr>
            <w:tcW w:w="0" w:type="auto"/>
            <w:hideMark/>
          </w:tcPr>
          <w:p w14:paraId="7533F92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86.4–468.2</w:t>
            </w:r>
          </w:p>
        </w:tc>
        <w:tc>
          <w:tcPr>
            <w:tcW w:w="0" w:type="auto"/>
            <w:hideMark/>
          </w:tcPr>
          <w:p w14:paraId="65E94027"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No health-based WHO guideline; operational indicator</w:t>
            </w:r>
          </w:p>
        </w:tc>
        <w:tc>
          <w:tcPr>
            <w:tcW w:w="0" w:type="auto"/>
            <w:hideMark/>
          </w:tcPr>
          <w:p w14:paraId="404EF800"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Descriptive only</w:t>
            </w:r>
          </w:p>
        </w:tc>
      </w:tr>
      <w:tr w:rsidR="00B45AE1" w:rsidRPr="00B45AE1" w14:paraId="61B056CC" w14:textId="77777777" w:rsidTr="00DF0BA0">
        <w:tc>
          <w:tcPr>
            <w:tcW w:w="0" w:type="auto"/>
            <w:hideMark/>
          </w:tcPr>
          <w:p w14:paraId="2BFB21B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TDS (mg/L)</w:t>
            </w:r>
          </w:p>
        </w:tc>
        <w:tc>
          <w:tcPr>
            <w:tcW w:w="0" w:type="auto"/>
            <w:hideMark/>
          </w:tcPr>
          <w:p w14:paraId="5C4895D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52.8–286.4</w:t>
            </w:r>
          </w:p>
        </w:tc>
        <w:tc>
          <w:tcPr>
            <w:tcW w:w="0" w:type="auto"/>
            <w:hideMark/>
          </w:tcPr>
          <w:p w14:paraId="67A9FDD9"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No health-based WHO guideline; 500 mg/L often used for acceptability</w:t>
            </w:r>
          </w:p>
        </w:tc>
        <w:tc>
          <w:tcPr>
            <w:tcW w:w="0" w:type="auto"/>
            <w:hideMark/>
          </w:tcPr>
          <w:p w14:paraId="7F7C615E"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Within 500 mg/L</w:t>
            </w:r>
          </w:p>
        </w:tc>
      </w:tr>
      <w:tr w:rsidR="00B45AE1" w:rsidRPr="00B45AE1" w14:paraId="54FEF456" w14:textId="77777777" w:rsidTr="00DF0BA0">
        <w:tc>
          <w:tcPr>
            <w:tcW w:w="0" w:type="auto"/>
            <w:hideMark/>
          </w:tcPr>
          <w:p w14:paraId="44FEAF7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Turbidity (NTU)</w:t>
            </w:r>
          </w:p>
        </w:tc>
        <w:tc>
          <w:tcPr>
            <w:tcW w:w="0" w:type="auto"/>
            <w:hideMark/>
          </w:tcPr>
          <w:p w14:paraId="799F576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0.42–3.84</w:t>
            </w:r>
          </w:p>
        </w:tc>
        <w:tc>
          <w:tcPr>
            <w:tcW w:w="0" w:type="auto"/>
            <w:hideMark/>
          </w:tcPr>
          <w:p w14:paraId="70E7FF93"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5 NTU operational reference (WHO, 2022)</w:t>
            </w:r>
          </w:p>
        </w:tc>
        <w:tc>
          <w:tcPr>
            <w:tcW w:w="0" w:type="auto"/>
            <w:hideMark/>
          </w:tcPr>
          <w:p w14:paraId="0F44946E"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Within reference</w:t>
            </w:r>
          </w:p>
        </w:tc>
      </w:tr>
      <w:tr w:rsidR="00B45AE1" w:rsidRPr="00B45AE1" w14:paraId="1314B693" w14:textId="77777777" w:rsidTr="00DF0BA0">
        <w:tc>
          <w:tcPr>
            <w:tcW w:w="0" w:type="auto"/>
            <w:hideMark/>
          </w:tcPr>
          <w:p w14:paraId="53F05FC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Residual Chlorine (mg/L)</w:t>
            </w:r>
          </w:p>
        </w:tc>
        <w:tc>
          <w:tcPr>
            <w:tcW w:w="0" w:type="auto"/>
            <w:hideMark/>
          </w:tcPr>
          <w:p w14:paraId="4798568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0.18–0.82</w:t>
            </w:r>
          </w:p>
        </w:tc>
        <w:tc>
          <w:tcPr>
            <w:tcW w:w="0" w:type="auto"/>
            <w:hideMark/>
          </w:tcPr>
          <w:p w14:paraId="3A3B3F39"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Operational residual depends on system; not a universal 0.20-0.50 mg/L health limit</w:t>
            </w:r>
          </w:p>
        </w:tc>
        <w:tc>
          <w:tcPr>
            <w:tcW w:w="0" w:type="auto"/>
            <w:hideMark/>
          </w:tcPr>
          <w:p w14:paraId="0DF53591"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Interpret operationally</w:t>
            </w:r>
          </w:p>
        </w:tc>
      </w:tr>
      <w:tr w:rsidR="00B45AE1" w:rsidRPr="00B45AE1" w14:paraId="2B309FD9" w14:textId="77777777" w:rsidTr="00DF0BA0">
        <w:tc>
          <w:tcPr>
            <w:tcW w:w="0" w:type="auto"/>
            <w:hideMark/>
          </w:tcPr>
          <w:p w14:paraId="1CACD00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Total THMs (µg/L)</w:t>
            </w:r>
          </w:p>
        </w:tc>
        <w:tc>
          <w:tcPr>
            <w:tcW w:w="0" w:type="auto"/>
            <w:hideMark/>
          </w:tcPr>
          <w:p w14:paraId="2CB5D0A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18.64–96.82</w:t>
            </w:r>
          </w:p>
        </w:tc>
        <w:tc>
          <w:tcPr>
            <w:tcW w:w="0" w:type="auto"/>
            <w:hideMark/>
          </w:tcPr>
          <w:p w14:paraId="5613236F"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80 µg/L TTHM MCL (U.S. EPA)</w:t>
            </w:r>
          </w:p>
        </w:tc>
        <w:tc>
          <w:tcPr>
            <w:tcW w:w="0" w:type="auto"/>
            <w:hideMark/>
          </w:tcPr>
          <w:p w14:paraId="37434812"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Exceeded at Eleme, Bonny and Port Harcourt</w:t>
            </w:r>
          </w:p>
        </w:tc>
      </w:tr>
      <w:tr w:rsidR="00B45AE1" w:rsidRPr="00B45AE1" w14:paraId="5B649284" w14:textId="77777777" w:rsidTr="00DF0BA0">
        <w:tc>
          <w:tcPr>
            <w:tcW w:w="0" w:type="auto"/>
            <w:hideMark/>
          </w:tcPr>
          <w:p w14:paraId="0371225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Total HAAs (µg/L)</w:t>
            </w:r>
          </w:p>
        </w:tc>
        <w:tc>
          <w:tcPr>
            <w:tcW w:w="0" w:type="auto"/>
            <w:hideMark/>
          </w:tcPr>
          <w:p w14:paraId="263F73F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8.42–52.84</w:t>
            </w:r>
          </w:p>
        </w:tc>
        <w:tc>
          <w:tcPr>
            <w:tcW w:w="0" w:type="auto"/>
            <w:hideMark/>
          </w:tcPr>
          <w:p w14:paraId="6B51B1EF"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60 µg/L HAA5 MCL (U.S. EPA)</w:t>
            </w:r>
          </w:p>
        </w:tc>
        <w:tc>
          <w:tcPr>
            <w:tcW w:w="0" w:type="auto"/>
            <w:hideMark/>
          </w:tcPr>
          <w:p w14:paraId="382415C9"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Within MCL</w:t>
            </w:r>
          </w:p>
        </w:tc>
      </w:tr>
      <w:tr w:rsidR="00B45AE1" w:rsidRPr="00B45AE1" w14:paraId="12DE58D9" w14:textId="77777777" w:rsidTr="00DF0BA0">
        <w:tc>
          <w:tcPr>
            <w:tcW w:w="0" w:type="auto"/>
            <w:hideMark/>
          </w:tcPr>
          <w:p w14:paraId="3C55AB4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Lead (mg/L)</w:t>
            </w:r>
          </w:p>
        </w:tc>
        <w:tc>
          <w:tcPr>
            <w:tcW w:w="0" w:type="auto"/>
            <w:hideMark/>
          </w:tcPr>
          <w:p w14:paraId="3D983D5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0.002–0.026</w:t>
            </w:r>
          </w:p>
        </w:tc>
        <w:tc>
          <w:tcPr>
            <w:tcW w:w="0" w:type="auto"/>
            <w:hideMark/>
          </w:tcPr>
          <w:p w14:paraId="14756907"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0.010 mg/L guideline (WHO, 2022)</w:t>
            </w:r>
          </w:p>
        </w:tc>
        <w:tc>
          <w:tcPr>
            <w:tcW w:w="0" w:type="auto"/>
            <w:hideMark/>
          </w:tcPr>
          <w:p w14:paraId="774AFD24"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Exceeded at several locations</w:t>
            </w:r>
          </w:p>
        </w:tc>
      </w:tr>
      <w:tr w:rsidR="00B45AE1" w:rsidRPr="00B45AE1" w14:paraId="5076FB40" w14:textId="77777777" w:rsidTr="00DF0BA0">
        <w:tc>
          <w:tcPr>
            <w:tcW w:w="0" w:type="auto"/>
            <w:hideMark/>
          </w:tcPr>
          <w:p w14:paraId="77033F9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Cadmium (mg/L)</w:t>
            </w:r>
          </w:p>
        </w:tc>
        <w:tc>
          <w:tcPr>
            <w:tcW w:w="0" w:type="auto"/>
            <w:hideMark/>
          </w:tcPr>
          <w:p w14:paraId="52AB7DF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0.001–0.006</w:t>
            </w:r>
          </w:p>
        </w:tc>
        <w:tc>
          <w:tcPr>
            <w:tcW w:w="0" w:type="auto"/>
            <w:hideMark/>
          </w:tcPr>
          <w:p w14:paraId="180D2FC0"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0.003 mg/L guideline (WHO, 2022)</w:t>
            </w:r>
          </w:p>
        </w:tc>
        <w:tc>
          <w:tcPr>
            <w:tcW w:w="0" w:type="auto"/>
            <w:hideMark/>
          </w:tcPr>
          <w:p w14:paraId="4CED8E40"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Exceeded at several locations</w:t>
            </w:r>
          </w:p>
        </w:tc>
      </w:tr>
      <w:tr w:rsidR="00B45AE1" w:rsidRPr="00B45AE1" w14:paraId="2C8D87F9" w14:textId="77777777" w:rsidTr="00DF0BA0">
        <w:tc>
          <w:tcPr>
            <w:tcW w:w="0" w:type="auto"/>
            <w:hideMark/>
          </w:tcPr>
          <w:p w14:paraId="7F91A37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Chromium (mg/L)</w:t>
            </w:r>
          </w:p>
        </w:tc>
        <w:tc>
          <w:tcPr>
            <w:tcW w:w="0" w:type="auto"/>
            <w:hideMark/>
          </w:tcPr>
          <w:p w14:paraId="1138BE3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0.004–0.038</w:t>
            </w:r>
          </w:p>
        </w:tc>
        <w:tc>
          <w:tcPr>
            <w:tcW w:w="0" w:type="auto"/>
            <w:hideMark/>
          </w:tcPr>
          <w:p w14:paraId="48E5D716"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0.050 mg/L guideline (WHO, 2022)</w:t>
            </w:r>
          </w:p>
        </w:tc>
        <w:tc>
          <w:tcPr>
            <w:tcW w:w="0" w:type="auto"/>
            <w:hideMark/>
          </w:tcPr>
          <w:p w14:paraId="34794D0C"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Within guideline</w:t>
            </w:r>
          </w:p>
        </w:tc>
      </w:tr>
      <w:tr w:rsidR="00B45AE1" w:rsidRPr="00B45AE1" w14:paraId="1936C64D" w14:textId="77777777" w:rsidTr="00DF0BA0">
        <w:tc>
          <w:tcPr>
            <w:tcW w:w="0" w:type="auto"/>
            <w:hideMark/>
          </w:tcPr>
          <w:p w14:paraId="4CA6214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Iron (mg/L)</w:t>
            </w:r>
          </w:p>
        </w:tc>
        <w:tc>
          <w:tcPr>
            <w:tcW w:w="0" w:type="auto"/>
            <w:hideMark/>
          </w:tcPr>
          <w:p w14:paraId="1C57F8D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0.12–0.84</w:t>
            </w:r>
          </w:p>
        </w:tc>
        <w:tc>
          <w:tcPr>
            <w:tcW w:w="0" w:type="auto"/>
            <w:hideMark/>
          </w:tcPr>
          <w:p w14:paraId="75F110BC"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0.3 mg/L acceptability/operational reference; no health-based WHO GV</w:t>
            </w:r>
          </w:p>
        </w:tc>
        <w:tc>
          <w:tcPr>
            <w:tcW w:w="0" w:type="auto"/>
            <w:hideMark/>
          </w:tcPr>
          <w:p w14:paraId="3C1BFFF2"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Exceeded at several locations</w:t>
            </w:r>
          </w:p>
        </w:tc>
      </w:tr>
      <w:tr w:rsidR="00B45AE1" w:rsidRPr="00B45AE1" w14:paraId="5C577AD5" w14:textId="77777777">
        <w:tc>
          <w:tcPr>
            <w:tcW w:w="2625" w:type="dxa"/>
          </w:tcPr>
          <w:p w14:paraId="65623437"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Bromate (µg/L)</w:t>
            </w:r>
          </w:p>
        </w:tc>
        <w:tc>
          <w:tcPr>
            <w:tcW w:w="1879" w:type="dxa"/>
          </w:tcPr>
          <w:p w14:paraId="0379FD52"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1.42-12.48</w:t>
            </w:r>
          </w:p>
        </w:tc>
        <w:tc>
          <w:tcPr>
            <w:tcW w:w="2405" w:type="dxa"/>
          </w:tcPr>
          <w:p w14:paraId="79F7F65F"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10 µg/L MCL (U.S. EPA)</w:t>
            </w:r>
          </w:p>
        </w:tc>
        <w:tc>
          <w:tcPr>
            <w:tcW w:w="2107" w:type="dxa"/>
          </w:tcPr>
          <w:p w14:paraId="38B39492" w14:textId="77777777" w:rsidR="00AA3615" w:rsidRPr="00B45AE1" w:rsidRDefault="0046656C">
            <w:pPr>
              <w:rPr>
                <w:rFonts w:ascii="Times New Roman" w:hAnsi="Times New Roman" w:cs="Times New Roman"/>
                <w:sz w:val="24"/>
                <w:szCs w:val="24"/>
              </w:rPr>
            </w:pPr>
            <w:r w:rsidRPr="00B45AE1">
              <w:rPr>
                <w:rFonts w:ascii="Times New Roman" w:hAnsi="Times New Roman" w:cs="Times New Roman"/>
                <w:sz w:val="24"/>
                <w:szCs w:val="24"/>
              </w:rPr>
              <w:t>Exceeded at Port Harcourt, Eleme, Bonny and Degema</w:t>
            </w:r>
          </w:p>
        </w:tc>
      </w:tr>
    </w:tbl>
    <w:p w14:paraId="23101665"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3.8 Estimated Daily Intake of Disinfection By-products through Drinking Water Consumption</w:t>
      </w:r>
    </w:p>
    <w:p w14:paraId="3B37F270"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 xml:space="preserve">Estimated Daily Intake values for total trihalomethanes ranged from </w:t>
      </w:r>
      <w:r w:rsidRPr="00B45AE1">
        <w:rPr>
          <w:rFonts w:ascii="Times New Roman" w:eastAsia="Times New Roman" w:hAnsi="Times New Roman" w:cs="Times New Roman"/>
          <w:b/>
          <w:bCs/>
          <w:sz w:val="24"/>
          <w:szCs w:val="24"/>
          <w:lang w:eastAsia="en-GB"/>
        </w:rPr>
        <w:t>5.32 × 10⁻⁴</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2.77 × 10⁻³ mg/kg/day</w:t>
      </w:r>
      <w:r w:rsidRPr="00B45AE1">
        <w:rPr>
          <w:rFonts w:ascii="Times New Roman" w:eastAsia="Times New Roman" w:hAnsi="Times New Roman" w:cs="Times New Roman"/>
          <w:sz w:val="24"/>
          <w:szCs w:val="24"/>
          <w:lang w:eastAsia="en-GB"/>
        </w:rPr>
        <w:t xml:space="preserve">, while total </w:t>
      </w:r>
      <w:proofErr w:type="spellStart"/>
      <w:r w:rsidRPr="00B45AE1">
        <w:rPr>
          <w:rFonts w:ascii="Times New Roman" w:eastAsia="Times New Roman" w:hAnsi="Times New Roman" w:cs="Times New Roman"/>
          <w:sz w:val="24"/>
          <w:szCs w:val="24"/>
          <w:lang w:eastAsia="en-GB"/>
        </w:rPr>
        <w:t>haloacetic</w:t>
      </w:r>
      <w:proofErr w:type="spellEnd"/>
      <w:r w:rsidRPr="00B45AE1">
        <w:rPr>
          <w:rFonts w:ascii="Times New Roman" w:eastAsia="Times New Roman" w:hAnsi="Times New Roman" w:cs="Times New Roman"/>
          <w:sz w:val="24"/>
          <w:szCs w:val="24"/>
          <w:lang w:eastAsia="en-GB"/>
        </w:rPr>
        <w:t xml:space="preserve"> acids ranged from </w:t>
      </w:r>
      <w:r w:rsidRPr="00B45AE1">
        <w:rPr>
          <w:rFonts w:ascii="Times New Roman" w:eastAsia="Times New Roman" w:hAnsi="Times New Roman" w:cs="Times New Roman"/>
          <w:b/>
          <w:bCs/>
          <w:sz w:val="24"/>
          <w:szCs w:val="24"/>
          <w:lang w:eastAsia="en-GB"/>
        </w:rPr>
        <w:t>2.40 × 10⁻⁴</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1.51 × 10⁻³ mg/kg/day</w:t>
      </w:r>
      <w:r w:rsidRPr="00B45AE1">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Higher estimated daily intake values were consistently observed for children than for adults</w:t>
      </w:r>
      <w:r>
        <w:rPr>
          <w:rFonts w:ascii="Times New Roman" w:eastAsia="Times New Roman" w:hAnsi="Times New Roman" w:cs="Times New Roman"/>
          <w:sz w:val="24"/>
          <w:szCs w:val="24"/>
          <w:lang w:eastAsia="en-GB"/>
        </w:rPr>
        <w:t xml:space="preserve"> because of their lower body weight and relatively higher water consumption per unit body mass. </w:t>
      </w:r>
      <w:r w:rsidRPr="00B45AE1">
        <w:rPr>
          <w:rFonts w:ascii="Times New Roman" w:eastAsia="Times New Roman" w:hAnsi="Times New Roman" w:cs="Times New Roman"/>
          <w:i/>
          <w:iCs/>
          <w:sz w:val="24"/>
          <w:szCs w:val="24"/>
          <w:lang w:eastAsia="en-GB"/>
        </w:rPr>
      </w:r>
      <w:r>
        <w:rPr>
          <w:highlight w:val="yellow"/>
        </w:rPr>
        <w:t xml:space="preserve">The EDI values are presented in </w:t>
      </w:r>
      <w:r>
        <w:rPr>
          <w:rFonts w:ascii="Times New Roman" w:eastAsia="Times New Roman" w:hAnsi="Times New Roman" w:cs="Times New Roman"/>
          <w:i/>
          <w:iCs/>
          <w:sz w:val="24"/>
          <w:szCs w:val="24"/>
          <w:highlight w:val="yellow"/>
          <w:lang w:eastAsia="en-GB"/>
        </w:rPr>
        <w:t>Table 8.</w:t>
      </w:r>
      <w:r>
        <w:rPr>
          <w:rFonts w:ascii="Times New Roman" w:eastAsia="Times New Roman" w:hAnsi="Times New Roman" w:cs="Times New Roman"/>
          <w:i/>
          <w:iCs/>
          <w:sz w:val="24"/>
          <w:szCs w:val="24"/>
          <w:lang w:eastAsia="en-GB"/>
        </w:rPr>
      </w:r>
    </w:p>
    <w:p w14:paraId="6C5C930B"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hAnsi="Times New Roman" w:cs="Times New Roman"/>
          <w:sz w:val="24"/>
          <w:szCs w:val="24"/>
        </w:rPr>
        <w:t>Table 8. Estimated Daily Intake (EDI) of Disinfection By-products</w:t>
      </w:r>
    </w:p>
    <w:tbl>
      <w:tblPr>
        <w:tblStyle w:val="TableGrid"/>
        <w:tblW w:w="0" w:type="auto"/>
        <w:tblLook w:val="04A0" w:firstRow="1" w:lastRow="0" w:firstColumn="1" w:lastColumn="0" w:noHBand="0" w:noVBand="1"/>
      </w:tblPr>
      <w:tblGrid>
        <w:gridCol w:w="1506"/>
        <w:gridCol w:w="1897"/>
        <w:gridCol w:w="1887"/>
        <w:gridCol w:w="1868"/>
        <w:gridCol w:w="1858"/>
      </w:tblGrid>
      <w:tr w:rsidR="00B45AE1" w:rsidRPr="00B45AE1" w14:paraId="63DB9662" w14:textId="77777777" w:rsidTr="00DF0BA0">
        <w:trPr>
          <w:tblHeader/>
        </w:trPr>
        <w:tc>
          <w:tcPr>
            <w:tcW w:w="0" w:type="auto"/>
            <w:hideMark/>
          </w:tcPr>
          <w:p w14:paraId="3681FD77"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Community</w:t>
            </w:r>
          </w:p>
        </w:tc>
        <w:tc>
          <w:tcPr>
            <w:tcW w:w="0" w:type="auto"/>
            <w:hideMark/>
          </w:tcPr>
          <w:p w14:paraId="33E58A6F"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Adult EDI (THMs)</w:t>
            </w:r>
          </w:p>
        </w:tc>
        <w:tc>
          <w:tcPr>
            <w:tcW w:w="0" w:type="auto"/>
            <w:hideMark/>
          </w:tcPr>
          <w:p w14:paraId="07FC93C1"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Child EDI (THMs)</w:t>
            </w:r>
          </w:p>
        </w:tc>
        <w:tc>
          <w:tcPr>
            <w:tcW w:w="0" w:type="auto"/>
            <w:hideMark/>
          </w:tcPr>
          <w:p w14:paraId="7FBCF4E7"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Adult EDI (HAAs)</w:t>
            </w:r>
          </w:p>
        </w:tc>
        <w:tc>
          <w:tcPr>
            <w:tcW w:w="0" w:type="auto"/>
            <w:hideMark/>
          </w:tcPr>
          <w:p w14:paraId="0F0C3F0D"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Child EDI (HAAs)</w:t>
            </w:r>
          </w:p>
        </w:tc>
      </w:tr>
      <w:tr w:rsidR="00B45AE1" w:rsidRPr="00B45AE1" w14:paraId="4712B381" w14:textId="77777777" w:rsidTr="00DF0BA0">
        <w:tc>
          <w:tcPr>
            <w:tcW w:w="0" w:type="auto"/>
            <w:hideMark/>
          </w:tcPr>
          <w:p w14:paraId="7A25246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Port Harcourt</w:t>
            </w:r>
          </w:p>
        </w:tc>
        <w:tc>
          <w:tcPr>
            <w:tcW w:w="0" w:type="auto"/>
            <w:hideMark/>
          </w:tcPr>
          <w:p w14:paraId="7DF3B9A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2.43E−03</w:t>
            </w:r>
          </w:p>
        </w:tc>
        <w:tc>
          <w:tcPr>
            <w:tcW w:w="0" w:type="auto"/>
            <w:hideMark/>
          </w:tcPr>
          <w:p w14:paraId="0A26E55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2.77E−03</w:t>
            </w:r>
          </w:p>
        </w:tc>
        <w:tc>
          <w:tcPr>
            <w:tcW w:w="0" w:type="auto"/>
            <w:hideMark/>
          </w:tcPr>
          <w:p w14:paraId="1139C73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1.41E−03</w:t>
            </w:r>
          </w:p>
        </w:tc>
        <w:tc>
          <w:tcPr>
            <w:tcW w:w="0" w:type="auto"/>
            <w:hideMark/>
          </w:tcPr>
          <w:p w14:paraId="709CB68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1.51E−03</w:t>
            </w:r>
          </w:p>
        </w:tc>
      </w:tr>
      <w:tr w:rsidR="00B45AE1" w:rsidRPr="00B45AE1" w14:paraId="300EDCA6" w14:textId="77777777" w:rsidTr="00DF0BA0">
        <w:tc>
          <w:tcPr>
            <w:tcW w:w="0" w:type="auto"/>
            <w:hideMark/>
          </w:tcPr>
          <w:p w14:paraId="337D35B4"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lastRenderedPageBreak/>
              <w:t>Rumuola</w:t>
            </w:r>
            <w:proofErr w:type="spellEnd"/>
          </w:p>
        </w:tc>
        <w:tc>
          <w:tcPr>
            <w:tcW w:w="0" w:type="auto"/>
            <w:hideMark/>
          </w:tcPr>
          <w:p w14:paraId="65820C0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1.11E−03</w:t>
            </w:r>
          </w:p>
        </w:tc>
        <w:tc>
          <w:tcPr>
            <w:tcW w:w="0" w:type="auto"/>
            <w:hideMark/>
          </w:tcPr>
          <w:p w14:paraId="49159B3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1.28E−03</w:t>
            </w:r>
          </w:p>
        </w:tc>
        <w:tc>
          <w:tcPr>
            <w:tcW w:w="0" w:type="auto"/>
            <w:hideMark/>
          </w:tcPr>
          <w:p w14:paraId="5CEFE81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6.86E−04</w:t>
            </w:r>
          </w:p>
        </w:tc>
        <w:tc>
          <w:tcPr>
            <w:tcW w:w="0" w:type="auto"/>
            <w:hideMark/>
          </w:tcPr>
          <w:p w14:paraId="7AA892A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7.42E−04</w:t>
            </w:r>
          </w:p>
        </w:tc>
      </w:tr>
      <w:tr w:rsidR="00B45AE1" w:rsidRPr="00B45AE1" w14:paraId="0829382F" w14:textId="77777777" w:rsidTr="00DF0BA0">
        <w:tc>
          <w:tcPr>
            <w:tcW w:w="0" w:type="auto"/>
            <w:hideMark/>
          </w:tcPr>
          <w:p w14:paraId="453386F9"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Rumuokoro</w:t>
            </w:r>
            <w:proofErr w:type="spellEnd"/>
          </w:p>
        </w:tc>
        <w:tc>
          <w:tcPr>
            <w:tcW w:w="0" w:type="auto"/>
            <w:hideMark/>
          </w:tcPr>
          <w:p w14:paraId="64CDE0E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1.18E−03</w:t>
            </w:r>
          </w:p>
        </w:tc>
        <w:tc>
          <w:tcPr>
            <w:tcW w:w="0" w:type="auto"/>
            <w:hideMark/>
          </w:tcPr>
          <w:p w14:paraId="493A3E6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1.35E−03</w:t>
            </w:r>
          </w:p>
        </w:tc>
        <w:tc>
          <w:tcPr>
            <w:tcW w:w="0" w:type="auto"/>
            <w:hideMark/>
          </w:tcPr>
          <w:p w14:paraId="5A790DF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7.16E−04</w:t>
            </w:r>
          </w:p>
        </w:tc>
        <w:tc>
          <w:tcPr>
            <w:tcW w:w="0" w:type="auto"/>
            <w:hideMark/>
          </w:tcPr>
          <w:p w14:paraId="7119DC6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7.82E−04</w:t>
            </w:r>
          </w:p>
        </w:tc>
      </w:tr>
      <w:tr w:rsidR="00B45AE1" w:rsidRPr="00B45AE1" w14:paraId="75A5116A" w14:textId="77777777" w:rsidTr="00DF0BA0">
        <w:tc>
          <w:tcPr>
            <w:tcW w:w="0" w:type="auto"/>
            <w:hideMark/>
          </w:tcPr>
          <w:p w14:paraId="305D11C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Choba</w:t>
            </w:r>
          </w:p>
        </w:tc>
        <w:tc>
          <w:tcPr>
            <w:tcW w:w="0" w:type="auto"/>
            <w:hideMark/>
          </w:tcPr>
          <w:p w14:paraId="7D7EF92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2.16E−03</w:t>
            </w:r>
          </w:p>
        </w:tc>
        <w:tc>
          <w:tcPr>
            <w:tcW w:w="0" w:type="auto"/>
            <w:hideMark/>
          </w:tcPr>
          <w:p w14:paraId="0B29E19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2.46E−03</w:t>
            </w:r>
          </w:p>
        </w:tc>
        <w:tc>
          <w:tcPr>
            <w:tcW w:w="0" w:type="auto"/>
            <w:hideMark/>
          </w:tcPr>
          <w:p w14:paraId="60BFC77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1.24E−03</w:t>
            </w:r>
          </w:p>
        </w:tc>
        <w:tc>
          <w:tcPr>
            <w:tcW w:w="0" w:type="auto"/>
            <w:hideMark/>
          </w:tcPr>
          <w:p w14:paraId="38537B1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1.36E−03</w:t>
            </w:r>
          </w:p>
        </w:tc>
      </w:tr>
      <w:tr w:rsidR="00B45AE1" w:rsidRPr="00B45AE1" w14:paraId="5E79DCD4" w14:textId="77777777" w:rsidTr="00DF0BA0">
        <w:tc>
          <w:tcPr>
            <w:tcW w:w="0" w:type="auto"/>
            <w:hideMark/>
          </w:tcPr>
          <w:p w14:paraId="589A125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Eleme</w:t>
            </w:r>
          </w:p>
        </w:tc>
        <w:tc>
          <w:tcPr>
            <w:tcW w:w="0" w:type="auto"/>
            <w:hideMark/>
          </w:tcPr>
          <w:p w14:paraId="29BE266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2.76E−03</w:t>
            </w:r>
          </w:p>
        </w:tc>
        <w:tc>
          <w:tcPr>
            <w:tcW w:w="0" w:type="auto"/>
            <w:hideMark/>
          </w:tcPr>
          <w:p w14:paraId="7ED47AA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3.12E−03</w:t>
            </w:r>
          </w:p>
        </w:tc>
        <w:tc>
          <w:tcPr>
            <w:tcW w:w="0" w:type="auto"/>
            <w:hideMark/>
          </w:tcPr>
          <w:p w14:paraId="3873850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1.52E−03</w:t>
            </w:r>
          </w:p>
        </w:tc>
        <w:tc>
          <w:tcPr>
            <w:tcW w:w="0" w:type="auto"/>
            <w:hideMark/>
          </w:tcPr>
          <w:p w14:paraId="42C36EA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1.66E−03</w:t>
            </w:r>
          </w:p>
        </w:tc>
      </w:tr>
      <w:tr w:rsidR="00B45AE1" w:rsidRPr="00B45AE1" w14:paraId="583B77B2" w14:textId="77777777" w:rsidTr="00DF0BA0">
        <w:tc>
          <w:tcPr>
            <w:tcW w:w="0" w:type="auto"/>
            <w:hideMark/>
          </w:tcPr>
          <w:p w14:paraId="0419A622"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Oyigbo</w:t>
            </w:r>
            <w:proofErr w:type="spellEnd"/>
          </w:p>
        </w:tc>
        <w:tc>
          <w:tcPr>
            <w:tcW w:w="0" w:type="auto"/>
            <w:hideMark/>
          </w:tcPr>
          <w:p w14:paraId="6707162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1.98E−03</w:t>
            </w:r>
          </w:p>
        </w:tc>
        <w:tc>
          <w:tcPr>
            <w:tcW w:w="0" w:type="auto"/>
            <w:hideMark/>
          </w:tcPr>
          <w:p w14:paraId="15E9D20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2.28E−03</w:t>
            </w:r>
          </w:p>
        </w:tc>
        <w:tc>
          <w:tcPr>
            <w:tcW w:w="0" w:type="auto"/>
            <w:hideMark/>
          </w:tcPr>
          <w:p w14:paraId="462B13A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1.14E−03</w:t>
            </w:r>
          </w:p>
        </w:tc>
        <w:tc>
          <w:tcPr>
            <w:tcW w:w="0" w:type="auto"/>
            <w:hideMark/>
          </w:tcPr>
          <w:p w14:paraId="7D9F02C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1.26E−03</w:t>
            </w:r>
          </w:p>
        </w:tc>
      </w:tr>
      <w:tr w:rsidR="00B45AE1" w:rsidRPr="00B45AE1" w14:paraId="54823BB5" w14:textId="77777777" w:rsidTr="00DF0BA0">
        <w:tc>
          <w:tcPr>
            <w:tcW w:w="0" w:type="auto"/>
            <w:hideMark/>
          </w:tcPr>
          <w:p w14:paraId="7C6BC000"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Ahoada</w:t>
            </w:r>
            <w:proofErr w:type="spellEnd"/>
          </w:p>
        </w:tc>
        <w:tc>
          <w:tcPr>
            <w:tcW w:w="0" w:type="auto"/>
            <w:hideMark/>
          </w:tcPr>
          <w:p w14:paraId="4CB1C61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9.26E−04</w:t>
            </w:r>
          </w:p>
        </w:tc>
        <w:tc>
          <w:tcPr>
            <w:tcW w:w="0" w:type="auto"/>
            <w:hideMark/>
          </w:tcPr>
          <w:p w14:paraId="5B0A727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1.06E−03</w:t>
            </w:r>
          </w:p>
        </w:tc>
        <w:tc>
          <w:tcPr>
            <w:tcW w:w="0" w:type="auto"/>
            <w:hideMark/>
          </w:tcPr>
          <w:p w14:paraId="3AD746C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5.86E−04</w:t>
            </w:r>
          </w:p>
        </w:tc>
        <w:tc>
          <w:tcPr>
            <w:tcW w:w="0" w:type="auto"/>
            <w:hideMark/>
          </w:tcPr>
          <w:p w14:paraId="6FC4306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6.42E−04</w:t>
            </w:r>
          </w:p>
        </w:tc>
      </w:tr>
      <w:tr w:rsidR="00B45AE1" w:rsidRPr="00B45AE1" w14:paraId="24B2F67E" w14:textId="77777777" w:rsidTr="00DF0BA0">
        <w:tc>
          <w:tcPr>
            <w:tcW w:w="0" w:type="auto"/>
            <w:hideMark/>
          </w:tcPr>
          <w:p w14:paraId="2339697F"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Omoku</w:t>
            </w:r>
            <w:proofErr w:type="spellEnd"/>
          </w:p>
        </w:tc>
        <w:tc>
          <w:tcPr>
            <w:tcW w:w="0" w:type="auto"/>
            <w:hideMark/>
          </w:tcPr>
          <w:p w14:paraId="6C90DF5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8.36E−04</w:t>
            </w:r>
          </w:p>
        </w:tc>
        <w:tc>
          <w:tcPr>
            <w:tcW w:w="0" w:type="auto"/>
            <w:hideMark/>
          </w:tcPr>
          <w:p w14:paraId="0CD4DAE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9.64E−04</w:t>
            </w:r>
          </w:p>
        </w:tc>
        <w:tc>
          <w:tcPr>
            <w:tcW w:w="0" w:type="auto"/>
            <w:hideMark/>
          </w:tcPr>
          <w:p w14:paraId="5CDEC91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5.36E−04</w:t>
            </w:r>
          </w:p>
        </w:tc>
        <w:tc>
          <w:tcPr>
            <w:tcW w:w="0" w:type="auto"/>
            <w:hideMark/>
          </w:tcPr>
          <w:p w14:paraId="69D4D31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5.88E−04</w:t>
            </w:r>
          </w:p>
        </w:tc>
      </w:tr>
      <w:tr w:rsidR="00B45AE1" w:rsidRPr="00B45AE1" w14:paraId="1EAA5D14" w14:textId="77777777" w:rsidTr="00DF0BA0">
        <w:tc>
          <w:tcPr>
            <w:tcW w:w="0" w:type="auto"/>
            <w:hideMark/>
          </w:tcPr>
          <w:p w14:paraId="00A7112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Bonny</w:t>
            </w:r>
          </w:p>
        </w:tc>
        <w:tc>
          <w:tcPr>
            <w:tcW w:w="0" w:type="auto"/>
            <w:hideMark/>
          </w:tcPr>
          <w:p w14:paraId="24499C5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2.54E−03</w:t>
            </w:r>
          </w:p>
        </w:tc>
        <w:tc>
          <w:tcPr>
            <w:tcW w:w="0" w:type="auto"/>
            <w:hideMark/>
          </w:tcPr>
          <w:p w14:paraId="36FED48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2.90E−03</w:t>
            </w:r>
          </w:p>
        </w:tc>
        <w:tc>
          <w:tcPr>
            <w:tcW w:w="0" w:type="auto"/>
            <w:hideMark/>
          </w:tcPr>
          <w:p w14:paraId="692B084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1.46E−03</w:t>
            </w:r>
          </w:p>
        </w:tc>
        <w:tc>
          <w:tcPr>
            <w:tcW w:w="0" w:type="auto"/>
            <w:hideMark/>
          </w:tcPr>
          <w:p w14:paraId="32E88E5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1.58E−03</w:t>
            </w:r>
          </w:p>
        </w:tc>
      </w:tr>
      <w:tr w:rsidR="00B45AE1" w:rsidRPr="00B45AE1" w14:paraId="6D89B97D" w14:textId="77777777" w:rsidTr="00DF0BA0">
        <w:tc>
          <w:tcPr>
            <w:tcW w:w="0" w:type="auto"/>
            <w:hideMark/>
          </w:tcPr>
          <w:p w14:paraId="08C1933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Bori</w:t>
            </w:r>
          </w:p>
        </w:tc>
        <w:tc>
          <w:tcPr>
            <w:tcW w:w="0" w:type="auto"/>
            <w:hideMark/>
          </w:tcPr>
          <w:p w14:paraId="0538B13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1.02E−03</w:t>
            </w:r>
          </w:p>
        </w:tc>
        <w:tc>
          <w:tcPr>
            <w:tcW w:w="0" w:type="auto"/>
            <w:hideMark/>
          </w:tcPr>
          <w:p w14:paraId="6AF372D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1.18E−03</w:t>
            </w:r>
          </w:p>
        </w:tc>
        <w:tc>
          <w:tcPr>
            <w:tcW w:w="0" w:type="auto"/>
            <w:hideMark/>
          </w:tcPr>
          <w:p w14:paraId="188925C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6.34E−04</w:t>
            </w:r>
          </w:p>
        </w:tc>
        <w:tc>
          <w:tcPr>
            <w:tcW w:w="0" w:type="auto"/>
            <w:hideMark/>
          </w:tcPr>
          <w:p w14:paraId="607B196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6.96E−04</w:t>
            </w:r>
          </w:p>
        </w:tc>
      </w:tr>
      <w:tr w:rsidR="00B45AE1" w:rsidRPr="00B45AE1" w14:paraId="22982069" w14:textId="77777777" w:rsidTr="00DF0BA0">
        <w:tc>
          <w:tcPr>
            <w:tcW w:w="0" w:type="auto"/>
            <w:hideMark/>
          </w:tcPr>
          <w:p w14:paraId="579DD80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Degema</w:t>
            </w:r>
          </w:p>
        </w:tc>
        <w:tc>
          <w:tcPr>
            <w:tcW w:w="0" w:type="auto"/>
            <w:hideMark/>
          </w:tcPr>
          <w:p w14:paraId="5D75B33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2.26E−03</w:t>
            </w:r>
          </w:p>
        </w:tc>
        <w:tc>
          <w:tcPr>
            <w:tcW w:w="0" w:type="auto"/>
            <w:hideMark/>
          </w:tcPr>
          <w:p w14:paraId="076894E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2.58E−03</w:t>
            </w:r>
          </w:p>
        </w:tc>
        <w:tc>
          <w:tcPr>
            <w:tcW w:w="0" w:type="auto"/>
            <w:hideMark/>
          </w:tcPr>
          <w:p w14:paraId="52243E0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1.34E−03</w:t>
            </w:r>
          </w:p>
        </w:tc>
        <w:tc>
          <w:tcPr>
            <w:tcW w:w="0" w:type="auto"/>
            <w:hideMark/>
          </w:tcPr>
          <w:p w14:paraId="536D490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1.44E−03</w:t>
            </w:r>
          </w:p>
        </w:tc>
      </w:tr>
      <w:tr w:rsidR="00B45AE1" w:rsidRPr="00B45AE1" w14:paraId="099B99FD" w14:textId="77777777" w:rsidTr="00DF0BA0">
        <w:tc>
          <w:tcPr>
            <w:tcW w:w="0" w:type="auto"/>
            <w:hideMark/>
          </w:tcPr>
          <w:p w14:paraId="412027D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Sachet Water</w:t>
            </w:r>
          </w:p>
        </w:tc>
        <w:tc>
          <w:tcPr>
            <w:tcW w:w="0" w:type="auto"/>
            <w:hideMark/>
          </w:tcPr>
          <w:p w14:paraId="09A48EA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5.32E−04</w:t>
            </w:r>
          </w:p>
        </w:tc>
        <w:tc>
          <w:tcPr>
            <w:tcW w:w="0" w:type="auto"/>
            <w:hideMark/>
          </w:tcPr>
          <w:p w14:paraId="0901CE6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6.08E−04</w:t>
            </w:r>
          </w:p>
        </w:tc>
        <w:tc>
          <w:tcPr>
            <w:tcW w:w="0" w:type="auto"/>
            <w:hideMark/>
          </w:tcPr>
          <w:p w14:paraId="2557F33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2.40E−04</w:t>
            </w:r>
          </w:p>
        </w:tc>
        <w:tc>
          <w:tcPr>
            <w:tcW w:w="0" w:type="auto"/>
            <w:hideMark/>
          </w:tcPr>
          <w:p w14:paraId="3A19C4B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2.66E−04</w:t>
            </w:r>
          </w:p>
        </w:tc>
      </w:tr>
    </w:tbl>
    <w:p w14:paraId="316F30AA" w14:textId="77777777" w:rsidR="007145BC" w:rsidRPr="00B45AE1" w:rsidRDefault="007145BC" w:rsidP="001118E9">
      <w:pPr>
        <w:pStyle w:val="NormalWeb"/>
        <w:jc w:val="both"/>
      </w:pPr>
    </w:p>
    <w:p w14:paraId="11AAB49D" w14:textId="77777777" w:rsidR="000C3C33" w:rsidRPr="00B45AE1" w:rsidRDefault="000C3C33" w:rsidP="001118E9">
      <w:pPr>
        <w:jc w:val="both"/>
        <w:rPr>
          <w:rFonts w:ascii="Times New Roman" w:hAnsi="Times New Roman" w:cs="Times New Roman"/>
          <w:sz w:val="24"/>
          <w:szCs w:val="24"/>
        </w:rPr>
      </w:pPr>
    </w:p>
    <w:p w14:paraId="5CDFB01E"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3.9 Chronic Daily Intake (CDI) through Ingestion and Dermal Exposure</w:t>
      </w:r>
    </w:p>
    <w:p w14:paraId="0C745AE0"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 xml:space="preserve">Chronic Daily Intake through ingestion ranged from </w:t>
      </w:r>
      <w:r w:rsidRPr="00B45AE1">
        <w:rPr>
          <w:rFonts w:ascii="Times New Roman" w:eastAsia="Times New Roman" w:hAnsi="Times New Roman" w:cs="Times New Roman"/>
          <w:b/>
          <w:bCs/>
          <w:sz w:val="24"/>
          <w:szCs w:val="24"/>
          <w:lang w:eastAsia="en-GB"/>
        </w:rPr>
        <w:t>4.86 × 10⁻⁴ to 2.62 × 10⁻³ mg/kg/day</w:t>
      </w:r>
      <w:r w:rsidRPr="00B45AE1">
        <w:rPr>
          <w:rFonts w:ascii="Times New Roman" w:eastAsia="Times New Roman" w:hAnsi="Times New Roman" w:cs="Times New Roman"/>
          <w:sz w:val="24"/>
          <w:szCs w:val="24"/>
          <w:lang w:eastAsia="en-GB"/>
        </w:rPr>
        <w:t xml:space="preserve"> among adults and </w:t>
      </w:r>
      <w:r w:rsidRPr="00B45AE1">
        <w:rPr>
          <w:rFonts w:ascii="Times New Roman" w:eastAsia="Times New Roman" w:hAnsi="Times New Roman" w:cs="Times New Roman"/>
          <w:b/>
          <w:bCs/>
          <w:sz w:val="24"/>
          <w:szCs w:val="24"/>
          <w:lang w:eastAsia="en-GB"/>
        </w:rPr>
        <w:t>5.84 × 10⁻⁴ to 3.18 × 10⁻³ mg/kg/day</w:t>
      </w:r>
      <w:r w:rsidRPr="00B45AE1">
        <w:rPr>
          <w:rFonts w:ascii="Times New Roman" w:eastAsia="Times New Roman" w:hAnsi="Times New Roman" w:cs="Times New Roman"/>
          <w:sz w:val="24"/>
          <w:szCs w:val="24"/>
          <w:lang w:eastAsia="en-GB"/>
        </w:rPr>
        <w:t xml:space="preserve"> among children. Dermal exposure values ranged from </w:t>
      </w:r>
      <w:r w:rsidRPr="00B45AE1">
        <w:rPr>
          <w:rFonts w:ascii="Times New Roman" w:eastAsia="Times New Roman" w:hAnsi="Times New Roman" w:cs="Times New Roman"/>
          <w:b/>
          <w:bCs/>
          <w:sz w:val="24"/>
          <w:szCs w:val="24"/>
          <w:lang w:eastAsia="en-GB"/>
        </w:rPr>
        <w:t>6.84 × 10⁻⁶ to 4.82 × 10⁻⁵ mg/kg/day</w:t>
      </w:r>
      <w:r w:rsidRPr="00B45AE1">
        <w:rPr>
          <w:rFonts w:ascii="Times New Roman" w:eastAsia="Times New Roman" w:hAnsi="Times New Roman" w:cs="Times New Roman"/>
          <w:sz w:val="24"/>
          <w:szCs w:val="24"/>
          <w:lang w:eastAsia="en-GB"/>
        </w:rPr>
        <w:t xml:space="preserve"> for adults and </w:t>
      </w:r>
      <w:r w:rsidRPr="00B45AE1">
        <w:rPr>
          <w:rFonts w:ascii="Times New Roman" w:eastAsia="Times New Roman" w:hAnsi="Times New Roman" w:cs="Times New Roman"/>
          <w:b/>
          <w:bCs/>
          <w:sz w:val="24"/>
          <w:szCs w:val="24"/>
          <w:lang w:eastAsia="en-GB"/>
        </w:rPr>
        <w:t>8.26 × 10⁻⁶ to 5.96 × 10⁻⁵ mg/kg/day</w:t>
      </w:r>
      <w:r w:rsidRPr="00B45AE1">
        <w:rPr>
          <w:rFonts w:ascii="Times New Roman" w:eastAsia="Times New Roman" w:hAnsi="Times New Roman" w:cs="Times New Roman"/>
          <w:sz w:val="24"/>
          <w:szCs w:val="24"/>
          <w:lang w:eastAsia="en-GB"/>
        </w:rPr>
        <w:t xml:space="preserve"> for children. Ingestion contributed substantially more to total exposure than dermal absorption in all sampling locations. </w:t>
      </w:r>
      <w:r>
        <w:rPr>
          <w:highlight w:val="yellow"/>
        </w:rPr>
        <w:t xml:space="preserve">The CDI values are presented in </w:t>
      </w:r>
      <w:r w:rsidRPr="00B45AE1">
        <w:rPr>
          <w:rFonts w:ascii="Times New Roman" w:eastAsia="Times New Roman" w:hAnsi="Times New Roman" w:cs="Times New Roman"/>
          <w:i/>
          <w:iCs/>
          <w:sz w:val="24"/>
          <w:szCs w:val="24"/>
          <w:lang w:eastAsia="en-GB"/>
        </w:rPr>
        <w:t>Table 9.</w:t>
      </w:r>
    </w:p>
    <w:p w14:paraId="66CEED08"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hAnsi="Times New Roman" w:cs="Times New Roman"/>
          <w:sz w:val="24"/>
          <w:szCs w:val="24"/>
        </w:rPr>
        <w:t>Table 9. Chronic Daily Intake (CDI) through Ingestion and Dermal Exposure</w:t>
      </w:r>
    </w:p>
    <w:tbl>
      <w:tblPr>
        <w:tblStyle w:val="TableGrid"/>
        <w:tblW w:w="0" w:type="auto"/>
        <w:tblLook w:val="04A0" w:firstRow="1" w:lastRow="0" w:firstColumn="1" w:lastColumn="0" w:noHBand="0" w:noVBand="1"/>
      </w:tblPr>
      <w:tblGrid>
        <w:gridCol w:w="1492"/>
        <w:gridCol w:w="1970"/>
        <w:gridCol w:w="1962"/>
        <w:gridCol w:w="1800"/>
        <w:gridCol w:w="1792"/>
      </w:tblGrid>
      <w:tr w:rsidR="00B45AE1" w:rsidRPr="00B45AE1" w14:paraId="5A3DEF4D" w14:textId="77777777" w:rsidTr="00DF0BA0">
        <w:trPr>
          <w:tblHeader/>
        </w:trPr>
        <w:tc>
          <w:tcPr>
            <w:tcW w:w="0" w:type="auto"/>
            <w:hideMark/>
          </w:tcPr>
          <w:p w14:paraId="2B684BCF"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Community</w:t>
            </w:r>
          </w:p>
        </w:tc>
        <w:tc>
          <w:tcPr>
            <w:tcW w:w="0" w:type="auto"/>
            <w:hideMark/>
          </w:tcPr>
          <w:p w14:paraId="5B31205C"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Adult CDI (Ingestion)</w:t>
            </w:r>
          </w:p>
        </w:tc>
        <w:tc>
          <w:tcPr>
            <w:tcW w:w="0" w:type="auto"/>
            <w:hideMark/>
          </w:tcPr>
          <w:p w14:paraId="06B3534D"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Child CDI (Ingestion)</w:t>
            </w:r>
          </w:p>
        </w:tc>
        <w:tc>
          <w:tcPr>
            <w:tcW w:w="0" w:type="auto"/>
            <w:hideMark/>
          </w:tcPr>
          <w:p w14:paraId="288F5756"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Adult CDI (Dermal)</w:t>
            </w:r>
          </w:p>
        </w:tc>
        <w:tc>
          <w:tcPr>
            <w:tcW w:w="0" w:type="auto"/>
            <w:hideMark/>
          </w:tcPr>
          <w:p w14:paraId="1E165815"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Child CDI (Dermal)</w:t>
            </w:r>
          </w:p>
        </w:tc>
      </w:tr>
      <w:tr w:rsidR="00B45AE1" w:rsidRPr="00B45AE1" w14:paraId="0CBA4C06" w14:textId="77777777" w:rsidTr="00DF0BA0">
        <w:tc>
          <w:tcPr>
            <w:tcW w:w="0" w:type="auto"/>
            <w:hideMark/>
          </w:tcPr>
          <w:p w14:paraId="1512365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Port Harcourt</w:t>
            </w:r>
          </w:p>
        </w:tc>
        <w:tc>
          <w:tcPr>
            <w:tcW w:w="0" w:type="auto"/>
            <w:hideMark/>
          </w:tcPr>
          <w:p w14:paraId="76BC5C0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2.42E−03</w:t>
            </w:r>
          </w:p>
        </w:tc>
        <w:tc>
          <w:tcPr>
            <w:tcW w:w="0" w:type="auto"/>
            <w:hideMark/>
          </w:tcPr>
          <w:p w14:paraId="3322AAD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2.96E−03</w:t>
            </w:r>
          </w:p>
        </w:tc>
        <w:tc>
          <w:tcPr>
            <w:tcW w:w="0" w:type="auto"/>
            <w:hideMark/>
          </w:tcPr>
          <w:p w14:paraId="5400EC8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4.42E−05</w:t>
            </w:r>
          </w:p>
        </w:tc>
        <w:tc>
          <w:tcPr>
            <w:tcW w:w="0" w:type="auto"/>
            <w:hideMark/>
          </w:tcPr>
          <w:p w14:paraId="427E922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5.48E−05</w:t>
            </w:r>
          </w:p>
        </w:tc>
      </w:tr>
      <w:tr w:rsidR="00B45AE1" w:rsidRPr="00B45AE1" w14:paraId="298CB8D0" w14:textId="77777777" w:rsidTr="00DF0BA0">
        <w:tc>
          <w:tcPr>
            <w:tcW w:w="0" w:type="auto"/>
            <w:hideMark/>
          </w:tcPr>
          <w:p w14:paraId="620331D5"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Rumuola</w:t>
            </w:r>
            <w:proofErr w:type="spellEnd"/>
          </w:p>
        </w:tc>
        <w:tc>
          <w:tcPr>
            <w:tcW w:w="0" w:type="auto"/>
            <w:hideMark/>
          </w:tcPr>
          <w:p w14:paraId="2F9BA64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1.12E−03</w:t>
            </w:r>
          </w:p>
        </w:tc>
        <w:tc>
          <w:tcPr>
            <w:tcW w:w="0" w:type="auto"/>
            <w:hideMark/>
          </w:tcPr>
          <w:p w14:paraId="01479D5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1.36E−03</w:t>
            </w:r>
          </w:p>
        </w:tc>
        <w:tc>
          <w:tcPr>
            <w:tcW w:w="0" w:type="auto"/>
            <w:hideMark/>
          </w:tcPr>
          <w:p w14:paraId="336C8D8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1.86E−05</w:t>
            </w:r>
          </w:p>
        </w:tc>
        <w:tc>
          <w:tcPr>
            <w:tcW w:w="0" w:type="auto"/>
            <w:hideMark/>
          </w:tcPr>
          <w:p w14:paraId="667ECD0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2.24E−05</w:t>
            </w:r>
          </w:p>
        </w:tc>
      </w:tr>
      <w:tr w:rsidR="00B45AE1" w:rsidRPr="00B45AE1" w14:paraId="6362F2C3" w14:textId="77777777" w:rsidTr="00DF0BA0">
        <w:tc>
          <w:tcPr>
            <w:tcW w:w="0" w:type="auto"/>
            <w:hideMark/>
          </w:tcPr>
          <w:p w14:paraId="169AB9F7"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Rumuokoro</w:t>
            </w:r>
            <w:proofErr w:type="spellEnd"/>
          </w:p>
        </w:tc>
        <w:tc>
          <w:tcPr>
            <w:tcW w:w="0" w:type="auto"/>
            <w:hideMark/>
          </w:tcPr>
          <w:p w14:paraId="48DCE74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1.18E−03</w:t>
            </w:r>
          </w:p>
        </w:tc>
        <w:tc>
          <w:tcPr>
            <w:tcW w:w="0" w:type="auto"/>
            <w:hideMark/>
          </w:tcPr>
          <w:p w14:paraId="5DA0C77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1.44E−03</w:t>
            </w:r>
          </w:p>
        </w:tc>
        <w:tc>
          <w:tcPr>
            <w:tcW w:w="0" w:type="auto"/>
            <w:hideMark/>
          </w:tcPr>
          <w:p w14:paraId="7C10D6B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2.04E−05</w:t>
            </w:r>
          </w:p>
        </w:tc>
        <w:tc>
          <w:tcPr>
            <w:tcW w:w="0" w:type="auto"/>
            <w:hideMark/>
          </w:tcPr>
          <w:p w14:paraId="2D09934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2.46E−05</w:t>
            </w:r>
          </w:p>
        </w:tc>
      </w:tr>
      <w:tr w:rsidR="00B45AE1" w:rsidRPr="00B45AE1" w14:paraId="70DB09A0" w14:textId="77777777" w:rsidTr="00DF0BA0">
        <w:tc>
          <w:tcPr>
            <w:tcW w:w="0" w:type="auto"/>
            <w:hideMark/>
          </w:tcPr>
          <w:p w14:paraId="66080DF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Choba</w:t>
            </w:r>
          </w:p>
        </w:tc>
        <w:tc>
          <w:tcPr>
            <w:tcW w:w="0" w:type="auto"/>
            <w:hideMark/>
          </w:tcPr>
          <w:p w14:paraId="5E0D730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2.14E−03</w:t>
            </w:r>
          </w:p>
        </w:tc>
        <w:tc>
          <w:tcPr>
            <w:tcW w:w="0" w:type="auto"/>
            <w:hideMark/>
          </w:tcPr>
          <w:p w14:paraId="4501F43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2.64E−03</w:t>
            </w:r>
          </w:p>
        </w:tc>
        <w:tc>
          <w:tcPr>
            <w:tcW w:w="0" w:type="auto"/>
            <w:hideMark/>
          </w:tcPr>
          <w:p w14:paraId="770379D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3.86E−05</w:t>
            </w:r>
          </w:p>
        </w:tc>
        <w:tc>
          <w:tcPr>
            <w:tcW w:w="0" w:type="auto"/>
            <w:hideMark/>
          </w:tcPr>
          <w:p w14:paraId="5B65F0F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4.82E−05</w:t>
            </w:r>
          </w:p>
        </w:tc>
      </w:tr>
      <w:tr w:rsidR="00B45AE1" w:rsidRPr="00B45AE1" w14:paraId="077A859F" w14:textId="77777777" w:rsidTr="00DF0BA0">
        <w:tc>
          <w:tcPr>
            <w:tcW w:w="0" w:type="auto"/>
            <w:hideMark/>
          </w:tcPr>
          <w:p w14:paraId="1E0D38A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Eleme</w:t>
            </w:r>
          </w:p>
        </w:tc>
        <w:tc>
          <w:tcPr>
            <w:tcW w:w="0" w:type="auto"/>
            <w:hideMark/>
          </w:tcPr>
          <w:p w14:paraId="7C4376D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2.62E−03</w:t>
            </w:r>
          </w:p>
        </w:tc>
        <w:tc>
          <w:tcPr>
            <w:tcW w:w="0" w:type="auto"/>
            <w:hideMark/>
          </w:tcPr>
          <w:p w14:paraId="4333394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3.18E−03</w:t>
            </w:r>
          </w:p>
        </w:tc>
        <w:tc>
          <w:tcPr>
            <w:tcW w:w="0" w:type="auto"/>
            <w:hideMark/>
          </w:tcPr>
          <w:p w14:paraId="1F2A0A2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4.82E−05</w:t>
            </w:r>
          </w:p>
        </w:tc>
        <w:tc>
          <w:tcPr>
            <w:tcW w:w="0" w:type="auto"/>
            <w:hideMark/>
          </w:tcPr>
          <w:p w14:paraId="2AD34E9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5.96E−05</w:t>
            </w:r>
          </w:p>
        </w:tc>
      </w:tr>
      <w:tr w:rsidR="00B45AE1" w:rsidRPr="00B45AE1" w14:paraId="625B552F" w14:textId="77777777" w:rsidTr="00DF0BA0">
        <w:tc>
          <w:tcPr>
            <w:tcW w:w="0" w:type="auto"/>
            <w:hideMark/>
          </w:tcPr>
          <w:p w14:paraId="0264CFED"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Oyigbo</w:t>
            </w:r>
            <w:proofErr w:type="spellEnd"/>
          </w:p>
        </w:tc>
        <w:tc>
          <w:tcPr>
            <w:tcW w:w="0" w:type="auto"/>
            <w:hideMark/>
          </w:tcPr>
          <w:p w14:paraId="70895C2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1.96E−03</w:t>
            </w:r>
          </w:p>
        </w:tc>
        <w:tc>
          <w:tcPr>
            <w:tcW w:w="0" w:type="auto"/>
            <w:hideMark/>
          </w:tcPr>
          <w:p w14:paraId="60A273E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2.38E−03</w:t>
            </w:r>
          </w:p>
        </w:tc>
        <w:tc>
          <w:tcPr>
            <w:tcW w:w="0" w:type="auto"/>
            <w:hideMark/>
          </w:tcPr>
          <w:p w14:paraId="53456D5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3.46E−05</w:t>
            </w:r>
          </w:p>
        </w:tc>
        <w:tc>
          <w:tcPr>
            <w:tcW w:w="0" w:type="auto"/>
            <w:hideMark/>
          </w:tcPr>
          <w:p w14:paraId="298159B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4.22E−05</w:t>
            </w:r>
          </w:p>
        </w:tc>
      </w:tr>
      <w:tr w:rsidR="00B45AE1" w:rsidRPr="00B45AE1" w14:paraId="3AB342AF" w14:textId="77777777" w:rsidTr="00DF0BA0">
        <w:tc>
          <w:tcPr>
            <w:tcW w:w="0" w:type="auto"/>
            <w:hideMark/>
          </w:tcPr>
          <w:p w14:paraId="64DFE382"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Ahoada</w:t>
            </w:r>
            <w:proofErr w:type="spellEnd"/>
          </w:p>
        </w:tc>
        <w:tc>
          <w:tcPr>
            <w:tcW w:w="0" w:type="auto"/>
            <w:hideMark/>
          </w:tcPr>
          <w:p w14:paraId="7C27E09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9.16E−04</w:t>
            </w:r>
          </w:p>
        </w:tc>
        <w:tc>
          <w:tcPr>
            <w:tcW w:w="0" w:type="auto"/>
            <w:hideMark/>
          </w:tcPr>
          <w:p w14:paraId="20E0166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1.12E−03</w:t>
            </w:r>
          </w:p>
        </w:tc>
        <w:tc>
          <w:tcPr>
            <w:tcW w:w="0" w:type="auto"/>
            <w:hideMark/>
          </w:tcPr>
          <w:p w14:paraId="4FC8A94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1.46E−05</w:t>
            </w:r>
          </w:p>
        </w:tc>
        <w:tc>
          <w:tcPr>
            <w:tcW w:w="0" w:type="auto"/>
            <w:hideMark/>
          </w:tcPr>
          <w:p w14:paraId="6012577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1.82E−05</w:t>
            </w:r>
          </w:p>
        </w:tc>
      </w:tr>
      <w:tr w:rsidR="00B45AE1" w:rsidRPr="00B45AE1" w14:paraId="32443846" w14:textId="77777777" w:rsidTr="00DF0BA0">
        <w:tc>
          <w:tcPr>
            <w:tcW w:w="0" w:type="auto"/>
            <w:hideMark/>
          </w:tcPr>
          <w:p w14:paraId="0A11F91C"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Omoku</w:t>
            </w:r>
            <w:proofErr w:type="spellEnd"/>
          </w:p>
        </w:tc>
        <w:tc>
          <w:tcPr>
            <w:tcW w:w="0" w:type="auto"/>
            <w:hideMark/>
          </w:tcPr>
          <w:p w14:paraId="6E8E703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8.46E−04</w:t>
            </w:r>
          </w:p>
        </w:tc>
        <w:tc>
          <w:tcPr>
            <w:tcW w:w="0" w:type="auto"/>
            <w:hideMark/>
          </w:tcPr>
          <w:p w14:paraId="69743EB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1.04E−03</w:t>
            </w:r>
          </w:p>
        </w:tc>
        <w:tc>
          <w:tcPr>
            <w:tcW w:w="0" w:type="auto"/>
            <w:hideMark/>
          </w:tcPr>
          <w:p w14:paraId="2B9767D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1.24E−05</w:t>
            </w:r>
          </w:p>
        </w:tc>
        <w:tc>
          <w:tcPr>
            <w:tcW w:w="0" w:type="auto"/>
            <w:hideMark/>
          </w:tcPr>
          <w:p w14:paraId="6A78AAF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1.58E−05</w:t>
            </w:r>
          </w:p>
        </w:tc>
      </w:tr>
      <w:tr w:rsidR="00B45AE1" w:rsidRPr="00B45AE1" w14:paraId="1F6C487E" w14:textId="77777777" w:rsidTr="00DF0BA0">
        <w:tc>
          <w:tcPr>
            <w:tcW w:w="0" w:type="auto"/>
            <w:hideMark/>
          </w:tcPr>
          <w:p w14:paraId="7E2FAE2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Bonny</w:t>
            </w:r>
          </w:p>
        </w:tc>
        <w:tc>
          <w:tcPr>
            <w:tcW w:w="0" w:type="auto"/>
            <w:hideMark/>
          </w:tcPr>
          <w:p w14:paraId="06389DA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2.48E−03</w:t>
            </w:r>
          </w:p>
        </w:tc>
        <w:tc>
          <w:tcPr>
            <w:tcW w:w="0" w:type="auto"/>
            <w:hideMark/>
          </w:tcPr>
          <w:p w14:paraId="4505E6C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3.04E−03</w:t>
            </w:r>
          </w:p>
        </w:tc>
        <w:tc>
          <w:tcPr>
            <w:tcW w:w="0" w:type="auto"/>
            <w:hideMark/>
          </w:tcPr>
          <w:p w14:paraId="0E72BCC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4.56E−05</w:t>
            </w:r>
          </w:p>
        </w:tc>
        <w:tc>
          <w:tcPr>
            <w:tcW w:w="0" w:type="auto"/>
            <w:hideMark/>
          </w:tcPr>
          <w:p w14:paraId="62C0F46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5.62E−05</w:t>
            </w:r>
          </w:p>
        </w:tc>
      </w:tr>
      <w:tr w:rsidR="00B45AE1" w:rsidRPr="00B45AE1" w14:paraId="488DA9EE" w14:textId="77777777" w:rsidTr="00DF0BA0">
        <w:tc>
          <w:tcPr>
            <w:tcW w:w="0" w:type="auto"/>
            <w:hideMark/>
          </w:tcPr>
          <w:p w14:paraId="1825CB0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Bori</w:t>
            </w:r>
          </w:p>
        </w:tc>
        <w:tc>
          <w:tcPr>
            <w:tcW w:w="0" w:type="auto"/>
            <w:hideMark/>
          </w:tcPr>
          <w:p w14:paraId="7CEAFA1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1.04E−03</w:t>
            </w:r>
          </w:p>
        </w:tc>
        <w:tc>
          <w:tcPr>
            <w:tcW w:w="0" w:type="auto"/>
            <w:hideMark/>
          </w:tcPr>
          <w:p w14:paraId="5D8A800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1.28E−03</w:t>
            </w:r>
          </w:p>
        </w:tc>
        <w:tc>
          <w:tcPr>
            <w:tcW w:w="0" w:type="auto"/>
            <w:hideMark/>
          </w:tcPr>
          <w:p w14:paraId="255D933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1.66E−05</w:t>
            </w:r>
          </w:p>
        </w:tc>
        <w:tc>
          <w:tcPr>
            <w:tcW w:w="0" w:type="auto"/>
            <w:hideMark/>
          </w:tcPr>
          <w:p w14:paraId="11E63BB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2.04E−05</w:t>
            </w:r>
          </w:p>
        </w:tc>
      </w:tr>
      <w:tr w:rsidR="00B45AE1" w:rsidRPr="00B45AE1" w14:paraId="5F90960D" w14:textId="77777777" w:rsidTr="00DF0BA0">
        <w:tc>
          <w:tcPr>
            <w:tcW w:w="0" w:type="auto"/>
            <w:hideMark/>
          </w:tcPr>
          <w:p w14:paraId="7DBCF01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Degema</w:t>
            </w:r>
          </w:p>
        </w:tc>
        <w:tc>
          <w:tcPr>
            <w:tcW w:w="0" w:type="auto"/>
            <w:hideMark/>
          </w:tcPr>
          <w:p w14:paraId="545494E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2.24E−03</w:t>
            </w:r>
          </w:p>
        </w:tc>
        <w:tc>
          <w:tcPr>
            <w:tcW w:w="0" w:type="auto"/>
            <w:hideMark/>
          </w:tcPr>
          <w:p w14:paraId="4BE0377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2.76E−03</w:t>
            </w:r>
          </w:p>
        </w:tc>
        <w:tc>
          <w:tcPr>
            <w:tcW w:w="0" w:type="auto"/>
            <w:hideMark/>
          </w:tcPr>
          <w:p w14:paraId="73BC546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4.06E−05</w:t>
            </w:r>
          </w:p>
        </w:tc>
        <w:tc>
          <w:tcPr>
            <w:tcW w:w="0" w:type="auto"/>
            <w:hideMark/>
          </w:tcPr>
          <w:p w14:paraId="1AFFBA0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5.04E−05</w:t>
            </w:r>
          </w:p>
        </w:tc>
      </w:tr>
      <w:tr w:rsidR="00B45AE1" w:rsidRPr="00B45AE1" w14:paraId="69C486ED" w14:textId="77777777" w:rsidTr="00DF0BA0">
        <w:tc>
          <w:tcPr>
            <w:tcW w:w="0" w:type="auto"/>
            <w:hideMark/>
          </w:tcPr>
          <w:p w14:paraId="48D9660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Sachet Water</w:t>
            </w:r>
          </w:p>
        </w:tc>
        <w:tc>
          <w:tcPr>
            <w:tcW w:w="0" w:type="auto"/>
            <w:hideMark/>
          </w:tcPr>
          <w:p w14:paraId="572D388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4.86E−04</w:t>
            </w:r>
          </w:p>
        </w:tc>
        <w:tc>
          <w:tcPr>
            <w:tcW w:w="0" w:type="auto"/>
            <w:hideMark/>
          </w:tcPr>
          <w:p w14:paraId="7CDE35C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5.84E−04</w:t>
            </w:r>
          </w:p>
        </w:tc>
        <w:tc>
          <w:tcPr>
            <w:tcW w:w="0" w:type="auto"/>
            <w:hideMark/>
          </w:tcPr>
          <w:p w14:paraId="73C32AD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6.84E−06</w:t>
            </w:r>
          </w:p>
        </w:tc>
        <w:tc>
          <w:tcPr>
            <w:tcW w:w="0" w:type="auto"/>
            <w:hideMark/>
          </w:tcPr>
          <w:p w14:paraId="214EDEC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8.26E−06</w:t>
            </w:r>
          </w:p>
        </w:tc>
      </w:tr>
    </w:tbl>
    <w:p w14:paraId="337912C2"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3.10 Hazard Quotient (HQ) for Individual Disinfection By-products</w:t>
      </w:r>
    </w:p>
    <w:p w14:paraId="46D15C17"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 xml:space="preserve">Hazard Quotient values for individual disinfection by-products ranged from </w:t>
      </w:r>
      <w:r w:rsidRPr="00B45AE1">
        <w:rPr>
          <w:rFonts w:ascii="Times New Roman" w:eastAsia="Times New Roman" w:hAnsi="Times New Roman" w:cs="Times New Roman"/>
          <w:b/>
          <w:bCs/>
          <w:sz w:val="24"/>
          <w:szCs w:val="24"/>
          <w:lang w:eastAsia="en-GB"/>
        </w:rPr>
        <w:t>0.02 to 0.88</w:t>
      </w:r>
      <w:r w:rsidRPr="00B45AE1">
        <w:rPr>
          <w:rFonts w:ascii="Times New Roman" w:eastAsia="Times New Roman" w:hAnsi="Times New Roman" w:cs="Times New Roman"/>
          <w:sz w:val="24"/>
          <w:szCs w:val="24"/>
          <w:lang w:eastAsia="en-GB"/>
        </w:rPr>
        <w:t xml:space="preserve"> among adults and </w:t>
      </w:r>
      <w:r w:rsidRPr="00B45AE1">
        <w:rPr>
          <w:rFonts w:ascii="Times New Roman" w:eastAsia="Times New Roman" w:hAnsi="Times New Roman" w:cs="Times New Roman"/>
          <w:b/>
          <w:bCs/>
          <w:sz w:val="24"/>
          <w:szCs w:val="24"/>
          <w:lang w:eastAsia="en-GB"/>
        </w:rPr>
        <w:t>0.03 to 0.96</w:t>
      </w:r>
      <w:r w:rsidRPr="00B45AE1">
        <w:rPr>
          <w:rFonts w:ascii="Times New Roman" w:eastAsia="Times New Roman" w:hAnsi="Times New Roman" w:cs="Times New Roman"/>
          <w:sz w:val="24"/>
          <w:szCs w:val="24"/>
          <w:lang w:eastAsia="en-GB"/>
        </w:rPr>
        <w:t xml:space="preserve"> among children. The highest hazard quotient was recorded for </w:t>
      </w:r>
      <w:r w:rsidRPr="00B45AE1">
        <w:rPr>
          <w:rFonts w:ascii="Times New Roman" w:eastAsia="Times New Roman" w:hAnsi="Times New Roman" w:cs="Times New Roman"/>
          <w:sz w:val="24"/>
          <w:szCs w:val="24"/>
          <w:lang w:eastAsia="en-GB"/>
        </w:rPr>
        <w:lastRenderedPageBreak/>
        <w:t xml:space="preserve">chloroform in Eleme, whereas the lowest values were observed in sachet drinking water. All calculated Hazard Quotient values were below the acceptable threshold of unity. </w:t>
      </w:r>
      <w:r w:rsidRPr="00B45AE1">
        <w:rPr>
          <w:rFonts w:ascii="Times New Roman" w:eastAsia="Times New Roman" w:hAnsi="Times New Roman" w:cs="Times New Roman"/>
          <w:i/>
          <w:iCs/>
          <w:sz w:val="24"/>
          <w:szCs w:val="24"/>
          <w:lang w:eastAsia="en-GB"/>
        </w:rPr>
      </w:r>
      <w:r>
        <w:rPr>
          <w:highlight w:val="yellow"/>
        </w:rPr>
        <w:t xml:space="preserve">The individual hazard quotient values are presented in </w:t>
      </w:r>
      <w:r>
        <w:rPr>
          <w:rFonts w:ascii="Times New Roman" w:eastAsia="Times New Roman" w:hAnsi="Times New Roman" w:cs="Times New Roman"/>
          <w:i/>
          <w:iCs/>
          <w:sz w:val="24"/>
          <w:szCs w:val="24"/>
          <w:highlight w:val="yellow"/>
          <w:lang w:eastAsia="en-GB"/>
        </w:rPr>
        <w:t>Table 10.</w:t>
      </w:r>
      <w:r>
        <w:rPr>
          <w:rFonts w:ascii="Times New Roman" w:eastAsia="Times New Roman" w:hAnsi="Times New Roman" w:cs="Times New Roman"/>
          <w:i/>
          <w:iCs/>
          <w:sz w:val="24"/>
          <w:szCs w:val="24"/>
          <w:lang w:eastAsia="en-GB"/>
        </w:rPr>
      </w:r>
    </w:p>
    <w:p w14:paraId="68C6C05C"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B45AE1">
        <w:rPr>
          <w:rFonts w:ascii="Times New Roman" w:hAnsi="Times New Roman" w:cs="Times New Roman"/>
          <w:b/>
          <w:bCs/>
          <w:sz w:val="24"/>
          <w:szCs w:val="24"/>
        </w:rPr>
        <w:t>Table 10. Hazard Quotient (HQ) for Individual Disinfection By-products</w:t>
      </w:r>
    </w:p>
    <w:tbl>
      <w:tblPr>
        <w:tblStyle w:val="TableGrid"/>
        <w:tblW w:w="0" w:type="auto"/>
        <w:tblLook w:val="04A0" w:firstRow="1" w:lastRow="0" w:firstColumn="1" w:lastColumn="0" w:noHBand="0" w:noVBand="1"/>
      </w:tblPr>
      <w:tblGrid>
        <w:gridCol w:w="1293"/>
        <w:gridCol w:w="1294"/>
        <w:gridCol w:w="2360"/>
        <w:gridCol w:w="2371"/>
        <w:gridCol w:w="1001"/>
        <w:gridCol w:w="697"/>
      </w:tblGrid>
      <w:tr w:rsidR="00B45AE1" w:rsidRPr="00B45AE1" w14:paraId="55C15820" w14:textId="77777777" w:rsidTr="00DF0BA0">
        <w:trPr>
          <w:tblHeader/>
        </w:trPr>
        <w:tc>
          <w:tcPr>
            <w:tcW w:w="0" w:type="auto"/>
            <w:hideMark/>
          </w:tcPr>
          <w:p w14:paraId="2BCE79BE"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Community</w:t>
            </w:r>
          </w:p>
        </w:tc>
        <w:tc>
          <w:tcPr>
            <w:tcW w:w="0" w:type="auto"/>
            <w:hideMark/>
          </w:tcPr>
          <w:p w14:paraId="2B212C37"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Chloroform</w:t>
            </w:r>
          </w:p>
        </w:tc>
        <w:tc>
          <w:tcPr>
            <w:tcW w:w="0" w:type="auto"/>
            <w:hideMark/>
          </w:tcPr>
          <w:p w14:paraId="32AA0AAE"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Bromodichloromethane</w:t>
            </w:r>
          </w:p>
        </w:tc>
        <w:tc>
          <w:tcPr>
            <w:tcW w:w="1569" w:type="dxa"/>
            <w:hideMark/>
          </w:tcPr>
          <w:p w14:paraId="406880BD"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Dibromochloromethane</w:t>
            </w:r>
          </w:p>
        </w:tc>
        <w:tc>
          <w:tcPr>
            <w:tcW w:w="1803" w:type="dxa"/>
            <w:hideMark/>
          </w:tcPr>
          <w:p w14:paraId="041FB01A"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Bromate</w:t>
            </w:r>
          </w:p>
        </w:tc>
        <w:tc>
          <w:tcPr>
            <w:tcW w:w="697" w:type="dxa"/>
            <w:hideMark/>
          </w:tcPr>
          <w:p w14:paraId="4EB375F7"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Total HQ</w:t>
            </w:r>
          </w:p>
        </w:tc>
      </w:tr>
      <w:tr w:rsidR="00B45AE1" w:rsidRPr="00B45AE1" w14:paraId="0958C8D5" w14:textId="77777777" w:rsidTr="00DF0BA0">
        <w:tc>
          <w:tcPr>
            <w:tcW w:w="0" w:type="auto"/>
            <w:hideMark/>
          </w:tcPr>
          <w:p w14:paraId="755EA3D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Port Harcourt</w:t>
            </w:r>
          </w:p>
        </w:tc>
        <w:tc>
          <w:tcPr>
            <w:tcW w:w="0" w:type="auto"/>
            <w:hideMark/>
          </w:tcPr>
          <w:p w14:paraId="4AC004E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0.42</w:t>
            </w:r>
          </w:p>
        </w:tc>
        <w:tc>
          <w:tcPr>
            <w:tcW w:w="0" w:type="auto"/>
            <w:hideMark/>
          </w:tcPr>
          <w:p w14:paraId="4389331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0.16</w:t>
            </w:r>
          </w:p>
        </w:tc>
        <w:tc>
          <w:tcPr>
            <w:tcW w:w="1569" w:type="dxa"/>
            <w:hideMark/>
          </w:tcPr>
          <w:p w14:paraId="0179C80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w:t>
            </w:r>
          </w:p>
        </w:tc>
        <w:tc>
          <w:tcPr>
            <w:tcW w:w="1803" w:type="dxa"/>
            <w:hideMark/>
          </w:tcPr>
          <w:p w14:paraId="37FBAA1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0.10</w:t>
            </w:r>
          </w:p>
        </w:tc>
        <w:tc>
          <w:tcPr>
            <w:tcW w:w="697" w:type="dxa"/>
            <w:hideMark/>
          </w:tcPr>
          <w:p w14:paraId="4CB9A76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0.76</w:t>
            </w:r>
          </w:p>
        </w:tc>
      </w:tr>
      <w:tr w:rsidR="00B45AE1" w:rsidRPr="00B45AE1" w14:paraId="4A41CB89" w14:textId="77777777" w:rsidTr="00DF0BA0">
        <w:tc>
          <w:tcPr>
            <w:tcW w:w="0" w:type="auto"/>
            <w:hideMark/>
          </w:tcPr>
          <w:p w14:paraId="2E1D4AC1"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Rumuola</w:t>
            </w:r>
            <w:proofErr w:type="spellEnd"/>
          </w:p>
        </w:tc>
        <w:tc>
          <w:tcPr>
            <w:tcW w:w="0" w:type="auto"/>
            <w:hideMark/>
          </w:tcPr>
          <w:p w14:paraId="34C98A8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0.18</w:t>
            </w:r>
          </w:p>
        </w:tc>
        <w:tc>
          <w:tcPr>
            <w:tcW w:w="0" w:type="auto"/>
            <w:hideMark/>
          </w:tcPr>
          <w:p w14:paraId="32D3602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0.07</w:t>
            </w:r>
          </w:p>
        </w:tc>
        <w:tc>
          <w:tcPr>
            <w:tcW w:w="1569" w:type="dxa"/>
            <w:hideMark/>
          </w:tcPr>
          <w:p w14:paraId="721C006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0.04</w:t>
            </w:r>
          </w:p>
        </w:tc>
        <w:tc>
          <w:tcPr>
            <w:tcW w:w="1803" w:type="dxa"/>
            <w:hideMark/>
          </w:tcPr>
          <w:p w14:paraId="374903A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0.04</w:t>
            </w:r>
          </w:p>
        </w:tc>
        <w:tc>
          <w:tcPr>
            <w:tcW w:w="697" w:type="dxa"/>
            <w:hideMark/>
          </w:tcPr>
          <w:p w14:paraId="071EF8F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0.33</w:t>
            </w:r>
          </w:p>
        </w:tc>
      </w:tr>
      <w:tr w:rsidR="00B45AE1" w:rsidRPr="00B45AE1" w14:paraId="79CA4E64" w14:textId="77777777" w:rsidTr="00DF0BA0">
        <w:tc>
          <w:tcPr>
            <w:tcW w:w="0" w:type="auto"/>
            <w:hideMark/>
          </w:tcPr>
          <w:p w14:paraId="592A1C43"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Rumuokoro</w:t>
            </w:r>
            <w:proofErr w:type="spellEnd"/>
          </w:p>
        </w:tc>
        <w:tc>
          <w:tcPr>
            <w:tcW w:w="0" w:type="auto"/>
            <w:hideMark/>
          </w:tcPr>
          <w:p w14:paraId="3F8B19D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0.20</w:t>
            </w:r>
          </w:p>
        </w:tc>
        <w:tc>
          <w:tcPr>
            <w:tcW w:w="0" w:type="auto"/>
            <w:hideMark/>
          </w:tcPr>
          <w:p w14:paraId="566B55B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w:t>
            </w:r>
          </w:p>
        </w:tc>
        <w:tc>
          <w:tcPr>
            <w:tcW w:w="1569" w:type="dxa"/>
            <w:hideMark/>
          </w:tcPr>
          <w:p w14:paraId="6EC392E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0.04</w:t>
            </w:r>
          </w:p>
        </w:tc>
        <w:tc>
          <w:tcPr>
            <w:tcW w:w="1803" w:type="dxa"/>
            <w:hideMark/>
          </w:tcPr>
          <w:p w14:paraId="5FE6E6A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0.04</w:t>
            </w:r>
          </w:p>
        </w:tc>
        <w:tc>
          <w:tcPr>
            <w:tcW w:w="697" w:type="dxa"/>
            <w:hideMark/>
          </w:tcPr>
          <w:p w14:paraId="382B8CE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0.36</w:t>
            </w:r>
          </w:p>
        </w:tc>
      </w:tr>
      <w:tr w:rsidR="00B45AE1" w:rsidRPr="00B45AE1" w14:paraId="7B85A901" w14:textId="77777777" w:rsidTr="00DF0BA0">
        <w:tc>
          <w:tcPr>
            <w:tcW w:w="0" w:type="auto"/>
            <w:hideMark/>
          </w:tcPr>
          <w:p w14:paraId="612E3A8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Choba</w:t>
            </w:r>
          </w:p>
        </w:tc>
        <w:tc>
          <w:tcPr>
            <w:tcW w:w="0" w:type="auto"/>
            <w:hideMark/>
          </w:tcPr>
          <w:p w14:paraId="4589268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0.38</w:t>
            </w:r>
          </w:p>
        </w:tc>
        <w:tc>
          <w:tcPr>
            <w:tcW w:w="0" w:type="auto"/>
            <w:hideMark/>
          </w:tcPr>
          <w:p w14:paraId="3998448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0.14</w:t>
            </w:r>
          </w:p>
        </w:tc>
        <w:tc>
          <w:tcPr>
            <w:tcW w:w="1569" w:type="dxa"/>
            <w:hideMark/>
          </w:tcPr>
          <w:p w14:paraId="2189414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0.07</w:t>
            </w:r>
          </w:p>
        </w:tc>
        <w:tc>
          <w:tcPr>
            <w:tcW w:w="1803" w:type="dxa"/>
            <w:hideMark/>
          </w:tcPr>
          <w:p w14:paraId="299981D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w:t>
            </w:r>
          </w:p>
        </w:tc>
        <w:tc>
          <w:tcPr>
            <w:tcW w:w="697" w:type="dxa"/>
            <w:hideMark/>
          </w:tcPr>
          <w:p w14:paraId="0117723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0.67</w:t>
            </w:r>
          </w:p>
        </w:tc>
      </w:tr>
      <w:tr w:rsidR="00B45AE1" w:rsidRPr="00B45AE1" w14:paraId="68E46AE9" w14:textId="77777777" w:rsidTr="00DF0BA0">
        <w:tc>
          <w:tcPr>
            <w:tcW w:w="0" w:type="auto"/>
            <w:hideMark/>
          </w:tcPr>
          <w:p w14:paraId="51B1835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Eleme</w:t>
            </w:r>
          </w:p>
        </w:tc>
        <w:tc>
          <w:tcPr>
            <w:tcW w:w="0" w:type="auto"/>
            <w:hideMark/>
          </w:tcPr>
          <w:p w14:paraId="2207E53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0.48</w:t>
            </w:r>
          </w:p>
        </w:tc>
        <w:tc>
          <w:tcPr>
            <w:tcW w:w="0" w:type="auto"/>
            <w:hideMark/>
          </w:tcPr>
          <w:p w14:paraId="23F03AB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0.18</w:t>
            </w:r>
          </w:p>
        </w:tc>
        <w:tc>
          <w:tcPr>
            <w:tcW w:w="1569" w:type="dxa"/>
            <w:hideMark/>
          </w:tcPr>
          <w:p w14:paraId="5208E42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0.09</w:t>
            </w:r>
          </w:p>
        </w:tc>
        <w:tc>
          <w:tcPr>
            <w:tcW w:w="1803" w:type="dxa"/>
            <w:hideMark/>
          </w:tcPr>
          <w:p w14:paraId="3A269BE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0.13</w:t>
            </w:r>
          </w:p>
        </w:tc>
        <w:tc>
          <w:tcPr>
            <w:tcW w:w="697" w:type="dxa"/>
            <w:hideMark/>
          </w:tcPr>
          <w:p w14:paraId="76384CB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0.88</w:t>
            </w:r>
          </w:p>
        </w:tc>
      </w:tr>
      <w:tr w:rsidR="00B45AE1" w:rsidRPr="00B45AE1" w14:paraId="0D42F343" w14:textId="77777777" w:rsidTr="00DF0BA0">
        <w:tc>
          <w:tcPr>
            <w:tcW w:w="0" w:type="auto"/>
            <w:hideMark/>
          </w:tcPr>
          <w:p w14:paraId="1DE669DA"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Oyigbo</w:t>
            </w:r>
            <w:proofErr w:type="spellEnd"/>
          </w:p>
        </w:tc>
        <w:tc>
          <w:tcPr>
            <w:tcW w:w="0" w:type="auto"/>
            <w:hideMark/>
          </w:tcPr>
          <w:p w14:paraId="2B7797A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0.34</w:t>
            </w:r>
          </w:p>
        </w:tc>
        <w:tc>
          <w:tcPr>
            <w:tcW w:w="0" w:type="auto"/>
            <w:hideMark/>
          </w:tcPr>
          <w:p w14:paraId="2602ACA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0.12</w:t>
            </w:r>
          </w:p>
        </w:tc>
        <w:tc>
          <w:tcPr>
            <w:tcW w:w="1569" w:type="dxa"/>
            <w:hideMark/>
          </w:tcPr>
          <w:p w14:paraId="4FA55BB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0.06</w:t>
            </w:r>
          </w:p>
        </w:tc>
        <w:tc>
          <w:tcPr>
            <w:tcW w:w="1803" w:type="dxa"/>
            <w:hideMark/>
          </w:tcPr>
          <w:p w14:paraId="15BCD41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w:t>
            </w:r>
          </w:p>
        </w:tc>
        <w:tc>
          <w:tcPr>
            <w:tcW w:w="697" w:type="dxa"/>
            <w:hideMark/>
          </w:tcPr>
          <w:p w14:paraId="0821A1A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0.60</w:t>
            </w:r>
          </w:p>
        </w:tc>
      </w:tr>
      <w:tr w:rsidR="00B45AE1" w:rsidRPr="00B45AE1" w14:paraId="0F1C8242" w14:textId="77777777" w:rsidTr="00DF0BA0">
        <w:tc>
          <w:tcPr>
            <w:tcW w:w="0" w:type="auto"/>
            <w:hideMark/>
          </w:tcPr>
          <w:p w14:paraId="5C7B0D48"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Ahoada</w:t>
            </w:r>
            <w:proofErr w:type="spellEnd"/>
          </w:p>
        </w:tc>
        <w:tc>
          <w:tcPr>
            <w:tcW w:w="0" w:type="auto"/>
            <w:hideMark/>
          </w:tcPr>
          <w:p w14:paraId="77B968F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0.16</w:t>
            </w:r>
          </w:p>
        </w:tc>
        <w:tc>
          <w:tcPr>
            <w:tcW w:w="0" w:type="auto"/>
            <w:hideMark/>
          </w:tcPr>
          <w:p w14:paraId="1EFD5F9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0.06</w:t>
            </w:r>
          </w:p>
        </w:tc>
        <w:tc>
          <w:tcPr>
            <w:tcW w:w="1569" w:type="dxa"/>
            <w:hideMark/>
          </w:tcPr>
          <w:p w14:paraId="794A02B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w:t>
            </w:r>
          </w:p>
        </w:tc>
        <w:tc>
          <w:tcPr>
            <w:tcW w:w="1803" w:type="dxa"/>
            <w:hideMark/>
          </w:tcPr>
          <w:p w14:paraId="275824C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w:t>
            </w:r>
          </w:p>
        </w:tc>
        <w:tc>
          <w:tcPr>
            <w:tcW w:w="697" w:type="dxa"/>
            <w:hideMark/>
          </w:tcPr>
          <w:p w14:paraId="7B8742D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0.28</w:t>
            </w:r>
          </w:p>
        </w:tc>
      </w:tr>
      <w:tr w:rsidR="00B45AE1" w:rsidRPr="00B45AE1" w14:paraId="69C5EC25" w14:textId="77777777" w:rsidTr="00DF0BA0">
        <w:tc>
          <w:tcPr>
            <w:tcW w:w="0" w:type="auto"/>
            <w:hideMark/>
          </w:tcPr>
          <w:p w14:paraId="53BDE888"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Omoku</w:t>
            </w:r>
            <w:proofErr w:type="spellEnd"/>
          </w:p>
        </w:tc>
        <w:tc>
          <w:tcPr>
            <w:tcW w:w="0" w:type="auto"/>
            <w:hideMark/>
          </w:tcPr>
          <w:p w14:paraId="378E78F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0.14</w:t>
            </w:r>
          </w:p>
        </w:tc>
        <w:tc>
          <w:tcPr>
            <w:tcW w:w="0" w:type="auto"/>
            <w:hideMark/>
          </w:tcPr>
          <w:p w14:paraId="6FC40B4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0.05</w:t>
            </w:r>
          </w:p>
        </w:tc>
        <w:tc>
          <w:tcPr>
            <w:tcW w:w="1569" w:type="dxa"/>
            <w:hideMark/>
          </w:tcPr>
          <w:p w14:paraId="4EF1715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w:t>
            </w:r>
          </w:p>
        </w:tc>
        <w:tc>
          <w:tcPr>
            <w:tcW w:w="1803" w:type="dxa"/>
            <w:hideMark/>
          </w:tcPr>
          <w:p w14:paraId="1F95180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w:t>
            </w:r>
          </w:p>
        </w:tc>
        <w:tc>
          <w:tcPr>
            <w:tcW w:w="697" w:type="dxa"/>
            <w:hideMark/>
          </w:tcPr>
          <w:p w14:paraId="35C88C9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0.25</w:t>
            </w:r>
          </w:p>
        </w:tc>
      </w:tr>
      <w:tr w:rsidR="00B45AE1" w:rsidRPr="00B45AE1" w14:paraId="2C7C4FC3" w14:textId="77777777" w:rsidTr="00DF0BA0">
        <w:tc>
          <w:tcPr>
            <w:tcW w:w="0" w:type="auto"/>
            <w:hideMark/>
          </w:tcPr>
          <w:p w14:paraId="6901343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Bonny</w:t>
            </w:r>
          </w:p>
        </w:tc>
        <w:tc>
          <w:tcPr>
            <w:tcW w:w="0" w:type="auto"/>
            <w:hideMark/>
          </w:tcPr>
          <w:p w14:paraId="6E3DD81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0.44</w:t>
            </w:r>
          </w:p>
        </w:tc>
        <w:tc>
          <w:tcPr>
            <w:tcW w:w="0" w:type="auto"/>
            <w:hideMark/>
          </w:tcPr>
          <w:p w14:paraId="55987CB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0.16</w:t>
            </w:r>
          </w:p>
        </w:tc>
        <w:tc>
          <w:tcPr>
            <w:tcW w:w="1569" w:type="dxa"/>
            <w:hideMark/>
          </w:tcPr>
          <w:p w14:paraId="55F6657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w:t>
            </w:r>
          </w:p>
        </w:tc>
        <w:tc>
          <w:tcPr>
            <w:tcW w:w="1803" w:type="dxa"/>
            <w:hideMark/>
          </w:tcPr>
          <w:p w14:paraId="689F0A9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0.11</w:t>
            </w:r>
          </w:p>
        </w:tc>
        <w:tc>
          <w:tcPr>
            <w:tcW w:w="697" w:type="dxa"/>
            <w:hideMark/>
          </w:tcPr>
          <w:p w14:paraId="386597C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0.79</w:t>
            </w:r>
          </w:p>
        </w:tc>
      </w:tr>
      <w:tr w:rsidR="00B45AE1" w:rsidRPr="00B45AE1" w14:paraId="429A932C" w14:textId="77777777" w:rsidTr="00DF0BA0">
        <w:tc>
          <w:tcPr>
            <w:tcW w:w="0" w:type="auto"/>
            <w:hideMark/>
          </w:tcPr>
          <w:p w14:paraId="380CB49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Bori</w:t>
            </w:r>
          </w:p>
        </w:tc>
        <w:tc>
          <w:tcPr>
            <w:tcW w:w="0" w:type="auto"/>
            <w:hideMark/>
          </w:tcPr>
          <w:p w14:paraId="5A79135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0.17</w:t>
            </w:r>
          </w:p>
        </w:tc>
        <w:tc>
          <w:tcPr>
            <w:tcW w:w="0" w:type="auto"/>
            <w:hideMark/>
          </w:tcPr>
          <w:p w14:paraId="71E8E96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0.06</w:t>
            </w:r>
          </w:p>
        </w:tc>
        <w:tc>
          <w:tcPr>
            <w:tcW w:w="1569" w:type="dxa"/>
            <w:hideMark/>
          </w:tcPr>
          <w:p w14:paraId="0F4F99C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w:t>
            </w:r>
          </w:p>
        </w:tc>
        <w:tc>
          <w:tcPr>
            <w:tcW w:w="1803" w:type="dxa"/>
            <w:hideMark/>
          </w:tcPr>
          <w:p w14:paraId="7BCAE39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0.04</w:t>
            </w:r>
          </w:p>
        </w:tc>
        <w:tc>
          <w:tcPr>
            <w:tcW w:w="697" w:type="dxa"/>
            <w:hideMark/>
          </w:tcPr>
          <w:p w14:paraId="318B286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0.30</w:t>
            </w:r>
          </w:p>
        </w:tc>
      </w:tr>
      <w:tr w:rsidR="00B45AE1" w:rsidRPr="00B45AE1" w14:paraId="4D99DAD0" w14:textId="77777777" w:rsidTr="00DF0BA0">
        <w:tc>
          <w:tcPr>
            <w:tcW w:w="0" w:type="auto"/>
            <w:hideMark/>
          </w:tcPr>
          <w:p w14:paraId="3F0CD3F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Degema</w:t>
            </w:r>
          </w:p>
        </w:tc>
        <w:tc>
          <w:tcPr>
            <w:tcW w:w="0" w:type="auto"/>
            <w:hideMark/>
          </w:tcPr>
          <w:p w14:paraId="6A2C10B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0.40</w:t>
            </w:r>
          </w:p>
        </w:tc>
        <w:tc>
          <w:tcPr>
            <w:tcW w:w="0" w:type="auto"/>
            <w:hideMark/>
          </w:tcPr>
          <w:p w14:paraId="378AAEA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0.15</w:t>
            </w:r>
          </w:p>
        </w:tc>
        <w:tc>
          <w:tcPr>
            <w:tcW w:w="1569" w:type="dxa"/>
            <w:hideMark/>
          </w:tcPr>
          <w:p w14:paraId="5E5AF28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w:t>
            </w:r>
          </w:p>
        </w:tc>
        <w:tc>
          <w:tcPr>
            <w:tcW w:w="1803" w:type="dxa"/>
            <w:hideMark/>
          </w:tcPr>
          <w:p w14:paraId="621788F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0.09</w:t>
            </w:r>
          </w:p>
        </w:tc>
        <w:tc>
          <w:tcPr>
            <w:tcW w:w="697" w:type="dxa"/>
            <w:hideMark/>
          </w:tcPr>
          <w:p w14:paraId="3BEEA76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0.72</w:t>
            </w:r>
          </w:p>
        </w:tc>
      </w:tr>
      <w:tr w:rsidR="00B45AE1" w:rsidRPr="00B45AE1" w14:paraId="51460936" w14:textId="77777777" w:rsidTr="00DF0BA0">
        <w:tc>
          <w:tcPr>
            <w:tcW w:w="0" w:type="auto"/>
            <w:hideMark/>
          </w:tcPr>
          <w:p w14:paraId="226C2BB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Sachet Water</w:t>
            </w:r>
          </w:p>
        </w:tc>
        <w:tc>
          <w:tcPr>
            <w:tcW w:w="0" w:type="auto"/>
            <w:hideMark/>
          </w:tcPr>
          <w:p w14:paraId="2AD5D04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w:t>
            </w:r>
          </w:p>
        </w:tc>
        <w:tc>
          <w:tcPr>
            <w:tcW w:w="0" w:type="auto"/>
            <w:hideMark/>
          </w:tcPr>
          <w:p w14:paraId="67A390C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w:t>
            </w:r>
          </w:p>
        </w:tc>
        <w:tc>
          <w:tcPr>
            <w:tcW w:w="1569" w:type="dxa"/>
            <w:hideMark/>
          </w:tcPr>
          <w:p w14:paraId="08F6E8F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w:t>
            </w:r>
          </w:p>
        </w:tc>
        <w:tc>
          <w:tcPr>
            <w:tcW w:w="1803" w:type="dxa"/>
            <w:hideMark/>
          </w:tcPr>
          <w:p w14:paraId="0354BD3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w:t>
            </w:r>
          </w:p>
        </w:tc>
        <w:tc>
          <w:tcPr>
            <w:tcW w:w="697" w:type="dxa"/>
            <w:hideMark/>
          </w:tcPr>
          <w:p w14:paraId="64EC1DF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0.12</w:t>
            </w:r>
          </w:p>
        </w:tc>
      </w:tr>
    </w:tbl>
    <w:p w14:paraId="06DC38DC"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3.11 Hazard Index (HI) for Combined Non-carcinogenic Health Risks</w:t>
      </w:r>
    </w:p>
    <w:p w14:paraId="497DF409"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 xml:space="preserve">The Hazard Index ranged from </w:t>
      </w:r>
      <w:r w:rsidRPr="00B45AE1">
        <w:rPr>
          <w:rFonts w:ascii="Times New Roman" w:eastAsia="Times New Roman" w:hAnsi="Times New Roman" w:cs="Times New Roman"/>
          <w:b/>
          <w:bCs/>
          <w:sz w:val="24"/>
          <w:szCs w:val="24"/>
          <w:lang w:eastAsia="en-GB"/>
        </w:rPr>
        <w:t>0.12 to 0.94</w:t>
      </w:r>
      <w:r w:rsidRPr="00B45AE1">
        <w:rPr>
          <w:rFonts w:ascii="Times New Roman" w:eastAsia="Times New Roman" w:hAnsi="Times New Roman" w:cs="Times New Roman"/>
          <w:sz w:val="24"/>
          <w:szCs w:val="24"/>
          <w:lang w:eastAsia="en-GB"/>
        </w:rPr>
        <w:t xml:space="preserve"> among adults and </w:t>
      </w:r>
      <w:r w:rsidRPr="00B45AE1">
        <w:rPr>
          <w:rFonts w:ascii="Times New Roman" w:eastAsia="Times New Roman" w:hAnsi="Times New Roman" w:cs="Times New Roman"/>
          <w:b/>
          <w:bCs/>
          <w:sz w:val="24"/>
          <w:szCs w:val="24"/>
          <w:lang w:eastAsia="en-GB"/>
        </w:rPr>
        <w:t>0.16 to 1.08</w:t>
      </w:r>
      <w:r w:rsidRPr="00B45AE1">
        <w:rPr>
          <w:rFonts w:ascii="Times New Roman" w:eastAsia="Times New Roman" w:hAnsi="Times New Roman" w:cs="Times New Roman"/>
          <w:sz w:val="24"/>
          <w:szCs w:val="24"/>
          <w:lang w:eastAsia="en-GB"/>
        </w:rPr>
        <w:t xml:space="preserve"> among children. </w:t>
      </w:r>
      <w:r>
        <w:rPr>
          <w:rFonts w:ascii="Times New Roman" w:eastAsia="Times New Roman" w:hAnsi="Times New Roman" w:cs="Times New Roman"/>
          <w:sz w:val="24"/>
          <w:szCs w:val="24"/>
          <w:highlight w:val="yellow"/>
          <w:lang w:eastAsia="en-GB"/>
        </w:rPr>
        <w:t>Children in Eleme recorded</w:t>
      </w:r>
      <w:r>
        <w:rPr>
          <w:rFonts w:ascii="Times New Roman" w:eastAsia="Times New Roman" w:hAnsi="Times New Roman" w:cs="Times New Roman"/>
          <w:sz w:val="24"/>
          <w:szCs w:val="24"/>
          <w:lang w:eastAsia="en-GB"/>
        </w:rPr>
        <w:t xml:space="preserve"> the highest Hazard Index, marginally exceeding the recommended threshold of unity, whereas all adult exposure values remained below one. Sachet drinking water exhibited the lowest Hazard Index values among all sampled drinking water sources. </w:t>
      </w:r>
      <w:r w:rsidRPr="00B45AE1">
        <w:rPr>
          <w:rFonts w:ascii="Times New Roman" w:eastAsia="Times New Roman" w:hAnsi="Times New Roman" w:cs="Times New Roman"/>
          <w:i/>
          <w:iCs/>
          <w:sz w:val="24"/>
          <w:szCs w:val="24"/>
          <w:lang w:eastAsia="en-GB"/>
        </w:rPr>
      </w:r>
      <w:r>
        <w:rPr>
          <w:highlight w:val="yellow"/>
        </w:rPr>
        <w:t xml:space="preserve">The combined non-carcinogenic health-risk results are presented in </w:t>
      </w:r>
      <w:r>
        <w:rPr>
          <w:rFonts w:ascii="Times New Roman" w:eastAsia="Times New Roman" w:hAnsi="Times New Roman" w:cs="Times New Roman"/>
          <w:i/>
          <w:iCs/>
          <w:sz w:val="24"/>
          <w:szCs w:val="24"/>
          <w:highlight w:val="yellow"/>
          <w:lang w:eastAsia="en-GB"/>
        </w:rPr>
        <w:t>Table 11.</w:t>
      </w:r>
      <w:r>
        <w:rPr>
          <w:rFonts w:ascii="Times New Roman" w:eastAsia="Times New Roman" w:hAnsi="Times New Roman" w:cs="Times New Roman"/>
          <w:i/>
          <w:iCs/>
          <w:sz w:val="24"/>
          <w:szCs w:val="24"/>
          <w:lang w:eastAsia="en-GB"/>
        </w:rPr>
      </w:r>
    </w:p>
    <w:p w14:paraId="0007EC3E"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B45AE1">
        <w:rPr>
          <w:rFonts w:ascii="Times New Roman" w:hAnsi="Times New Roman" w:cs="Times New Roman"/>
          <w:b/>
          <w:bCs/>
          <w:sz w:val="24"/>
          <w:szCs w:val="24"/>
        </w:rPr>
        <w:t>Table 11. Hazard Index (HI) for Combined Non-carcinogenic Health Risks</w:t>
      </w:r>
    </w:p>
    <w:tbl>
      <w:tblPr>
        <w:tblStyle w:val="TableGrid"/>
        <w:tblW w:w="0" w:type="auto"/>
        <w:tblLook w:val="04A0" w:firstRow="1" w:lastRow="0" w:firstColumn="1" w:lastColumn="0" w:noHBand="0" w:noVBand="1"/>
      </w:tblPr>
      <w:tblGrid>
        <w:gridCol w:w="1529"/>
        <w:gridCol w:w="1143"/>
        <w:gridCol w:w="1130"/>
        <w:gridCol w:w="2883"/>
      </w:tblGrid>
      <w:tr w:rsidR="00B45AE1" w:rsidRPr="00B45AE1" w14:paraId="1E53A5A5" w14:textId="77777777" w:rsidTr="00DF0BA0">
        <w:trPr>
          <w:tblHeader/>
        </w:trPr>
        <w:tc>
          <w:tcPr>
            <w:tcW w:w="0" w:type="auto"/>
            <w:hideMark/>
          </w:tcPr>
          <w:p w14:paraId="4AFEBA60"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Community</w:t>
            </w:r>
          </w:p>
        </w:tc>
        <w:tc>
          <w:tcPr>
            <w:tcW w:w="0" w:type="auto"/>
            <w:hideMark/>
          </w:tcPr>
          <w:p w14:paraId="2940C307"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Adult HI</w:t>
            </w:r>
          </w:p>
        </w:tc>
        <w:tc>
          <w:tcPr>
            <w:tcW w:w="0" w:type="auto"/>
            <w:hideMark/>
          </w:tcPr>
          <w:p w14:paraId="3486B5F7"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Child HI</w:t>
            </w:r>
          </w:p>
        </w:tc>
        <w:tc>
          <w:tcPr>
            <w:tcW w:w="0" w:type="auto"/>
            <w:hideMark/>
          </w:tcPr>
          <w:p w14:paraId="2EFF9714"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Health Risk Classification</w:t>
            </w:r>
          </w:p>
        </w:tc>
      </w:tr>
      <w:tr w:rsidR="00B45AE1" w:rsidRPr="00B45AE1" w14:paraId="195F150F" w14:textId="77777777" w:rsidTr="00DF0BA0">
        <w:tc>
          <w:tcPr>
            <w:tcW w:w="0" w:type="auto"/>
            <w:hideMark/>
          </w:tcPr>
          <w:p w14:paraId="0A067A7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Port Harcourt</w:t>
            </w:r>
          </w:p>
        </w:tc>
        <w:tc>
          <w:tcPr>
            <w:tcW w:w="0" w:type="auto"/>
            <w:hideMark/>
          </w:tcPr>
          <w:p w14:paraId="3594102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0.82</w:t>
            </w:r>
          </w:p>
        </w:tc>
        <w:tc>
          <w:tcPr>
            <w:tcW w:w="0" w:type="auto"/>
            <w:hideMark/>
          </w:tcPr>
          <w:p w14:paraId="0C3D60F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0.94</w:t>
            </w:r>
          </w:p>
        </w:tc>
        <w:tc>
          <w:tcPr>
            <w:tcW w:w="0" w:type="auto"/>
            <w:hideMark/>
          </w:tcPr>
          <w:p w14:paraId="29BED78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5E88FA7C" w14:textId="77777777" w:rsidTr="00DF0BA0">
        <w:tc>
          <w:tcPr>
            <w:tcW w:w="0" w:type="auto"/>
            <w:hideMark/>
          </w:tcPr>
          <w:p w14:paraId="6FB7B112"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Rumuola</w:t>
            </w:r>
            <w:proofErr w:type="spellEnd"/>
          </w:p>
        </w:tc>
        <w:tc>
          <w:tcPr>
            <w:tcW w:w="0" w:type="auto"/>
            <w:hideMark/>
          </w:tcPr>
          <w:p w14:paraId="7510EA7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0.36</w:t>
            </w:r>
          </w:p>
        </w:tc>
        <w:tc>
          <w:tcPr>
            <w:tcW w:w="0" w:type="auto"/>
            <w:hideMark/>
          </w:tcPr>
          <w:p w14:paraId="24FF928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0.42</w:t>
            </w:r>
          </w:p>
        </w:tc>
        <w:tc>
          <w:tcPr>
            <w:tcW w:w="0" w:type="auto"/>
            <w:hideMark/>
          </w:tcPr>
          <w:p w14:paraId="7BA4060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1CE91827" w14:textId="77777777" w:rsidTr="00DF0BA0">
        <w:tc>
          <w:tcPr>
            <w:tcW w:w="0" w:type="auto"/>
            <w:hideMark/>
          </w:tcPr>
          <w:p w14:paraId="47FE5843"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Rumuokoro</w:t>
            </w:r>
            <w:proofErr w:type="spellEnd"/>
          </w:p>
        </w:tc>
        <w:tc>
          <w:tcPr>
            <w:tcW w:w="0" w:type="auto"/>
            <w:hideMark/>
          </w:tcPr>
          <w:p w14:paraId="038CEDC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0.38</w:t>
            </w:r>
          </w:p>
        </w:tc>
        <w:tc>
          <w:tcPr>
            <w:tcW w:w="0" w:type="auto"/>
            <w:hideMark/>
          </w:tcPr>
          <w:p w14:paraId="508B23F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0.46</w:t>
            </w:r>
          </w:p>
        </w:tc>
        <w:tc>
          <w:tcPr>
            <w:tcW w:w="0" w:type="auto"/>
            <w:hideMark/>
          </w:tcPr>
          <w:p w14:paraId="04F0974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7EACFFEA" w14:textId="77777777" w:rsidTr="00DF0BA0">
        <w:tc>
          <w:tcPr>
            <w:tcW w:w="0" w:type="auto"/>
            <w:hideMark/>
          </w:tcPr>
          <w:p w14:paraId="355045F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Choba</w:t>
            </w:r>
          </w:p>
        </w:tc>
        <w:tc>
          <w:tcPr>
            <w:tcW w:w="0" w:type="auto"/>
            <w:hideMark/>
          </w:tcPr>
          <w:p w14:paraId="6398FE9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0.74</w:t>
            </w:r>
          </w:p>
        </w:tc>
        <w:tc>
          <w:tcPr>
            <w:tcW w:w="0" w:type="auto"/>
            <w:hideMark/>
          </w:tcPr>
          <w:p w14:paraId="7F6C4D0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0.88</w:t>
            </w:r>
          </w:p>
        </w:tc>
        <w:tc>
          <w:tcPr>
            <w:tcW w:w="0" w:type="auto"/>
            <w:hideMark/>
          </w:tcPr>
          <w:p w14:paraId="78D42C1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69418175" w14:textId="77777777" w:rsidTr="00DF0BA0">
        <w:tc>
          <w:tcPr>
            <w:tcW w:w="0" w:type="auto"/>
            <w:hideMark/>
          </w:tcPr>
          <w:p w14:paraId="4DE2BAC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Eleme</w:t>
            </w:r>
          </w:p>
        </w:tc>
        <w:tc>
          <w:tcPr>
            <w:tcW w:w="0" w:type="auto"/>
            <w:hideMark/>
          </w:tcPr>
          <w:p w14:paraId="0E2541F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0.94</w:t>
            </w:r>
          </w:p>
        </w:tc>
        <w:tc>
          <w:tcPr>
            <w:tcW w:w="0" w:type="auto"/>
            <w:hideMark/>
          </w:tcPr>
          <w:p w14:paraId="46612F8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1.08</w:t>
            </w:r>
          </w:p>
        </w:tc>
        <w:tc>
          <w:tcPr>
            <w:tcW w:w="0" w:type="auto"/>
            <w:hideMark/>
          </w:tcPr>
          <w:p w14:paraId="1968EC6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Slight Potential Risk</w:t>
            </w:r>
          </w:p>
        </w:tc>
      </w:tr>
      <w:tr w:rsidR="00B45AE1" w:rsidRPr="00B45AE1" w14:paraId="298D92AE" w14:textId="77777777" w:rsidTr="00DF0BA0">
        <w:tc>
          <w:tcPr>
            <w:tcW w:w="0" w:type="auto"/>
            <w:hideMark/>
          </w:tcPr>
          <w:p w14:paraId="11104A23"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Oyigbo</w:t>
            </w:r>
            <w:proofErr w:type="spellEnd"/>
          </w:p>
        </w:tc>
        <w:tc>
          <w:tcPr>
            <w:tcW w:w="0" w:type="auto"/>
            <w:hideMark/>
          </w:tcPr>
          <w:p w14:paraId="38F8D20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0.68</w:t>
            </w:r>
          </w:p>
        </w:tc>
        <w:tc>
          <w:tcPr>
            <w:tcW w:w="0" w:type="auto"/>
            <w:hideMark/>
          </w:tcPr>
          <w:p w14:paraId="3C9DD13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0.82</w:t>
            </w:r>
          </w:p>
        </w:tc>
        <w:tc>
          <w:tcPr>
            <w:tcW w:w="0" w:type="auto"/>
            <w:hideMark/>
          </w:tcPr>
          <w:p w14:paraId="0D70558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2714871B" w14:textId="77777777" w:rsidTr="00DF0BA0">
        <w:tc>
          <w:tcPr>
            <w:tcW w:w="0" w:type="auto"/>
            <w:hideMark/>
          </w:tcPr>
          <w:p w14:paraId="3740DC00"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Ahoada</w:t>
            </w:r>
            <w:proofErr w:type="spellEnd"/>
          </w:p>
        </w:tc>
        <w:tc>
          <w:tcPr>
            <w:tcW w:w="0" w:type="auto"/>
            <w:hideMark/>
          </w:tcPr>
          <w:p w14:paraId="4E44CE1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0.30</w:t>
            </w:r>
          </w:p>
        </w:tc>
        <w:tc>
          <w:tcPr>
            <w:tcW w:w="0" w:type="auto"/>
            <w:hideMark/>
          </w:tcPr>
          <w:p w14:paraId="40A2CC8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0.36</w:t>
            </w:r>
          </w:p>
        </w:tc>
        <w:tc>
          <w:tcPr>
            <w:tcW w:w="0" w:type="auto"/>
            <w:hideMark/>
          </w:tcPr>
          <w:p w14:paraId="408E1DA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76E53645" w14:textId="77777777" w:rsidTr="00DF0BA0">
        <w:tc>
          <w:tcPr>
            <w:tcW w:w="0" w:type="auto"/>
            <w:hideMark/>
          </w:tcPr>
          <w:p w14:paraId="598FDED0"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Omoku</w:t>
            </w:r>
            <w:proofErr w:type="spellEnd"/>
          </w:p>
        </w:tc>
        <w:tc>
          <w:tcPr>
            <w:tcW w:w="0" w:type="auto"/>
            <w:hideMark/>
          </w:tcPr>
          <w:p w14:paraId="7F63C0C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0.28</w:t>
            </w:r>
          </w:p>
        </w:tc>
        <w:tc>
          <w:tcPr>
            <w:tcW w:w="0" w:type="auto"/>
            <w:hideMark/>
          </w:tcPr>
          <w:p w14:paraId="30E69B3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0.34</w:t>
            </w:r>
          </w:p>
        </w:tc>
        <w:tc>
          <w:tcPr>
            <w:tcW w:w="0" w:type="auto"/>
            <w:hideMark/>
          </w:tcPr>
          <w:p w14:paraId="19DE0EA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51F45CF0" w14:textId="77777777" w:rsidTr="00DF0BA0">
        <w:tc>
          <w:tcPr>
            <w:tcW w:w="0" w:type="auto"/>
            <w:hideMark/>
          </w:tcPr>
          <w:p w14:paraId="525FDCD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Bonny</w:t>
            </w:r>
          </w:p>
        </w:tc>
        <w:tc>
          <w:tcPr>
            <w:tcW w:w="0" w:type="auto"/>
            <w:hideMark/>
          </w:tcPr>
          <w:p w14:paraId="42A813F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0.86</w:t>
            </w:r>
          </w:p>
        </w:tc>
        <w:tc>
          <w:tcPr>
            <w:tcW w:w="0" w:type="auto"/>
            <w:hideMark/>
          </w:tcPr>
          <w:p w14:paraId="4513189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0.98</w:t>
            </w:r>
          </w:p>
        </w:tc>
        <w:tc>
          <w:tcPr>
            <w:tcW w:w="0" w:type="auto"/>
            <w:hideMark/>
          </w:tcPr>
          <w:p w14:paraId="08A235B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29C7922F" w14:textId="77777777" w:rsidTr="00DF0BA0">
        <w:tc>
          <w:tcPr>
            <w:tcW w:w="0" w:type="auto"/>
            <w:hideMark/>
          </w:tcPr>
          <w:p w14:paraId="269E55C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Bori</w:t>
            </w:r>
          </w:p>
        </w:tc>
        <w:tc>
          <w:tcPr>
            <w:tcW w:w="0" w:type="auto"/>
            <w:hideMark/>
          </w:tcPr>
          <w:p w14:paraId="234C9C8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0.32</w:t>
            </w:r>
          </w:p>
        </w:tc>
        <w:tc>
          <w:tcPr>
            <w:tcW w:w="0" w:type="auto"/>
            <w:hideMark/>
          </w:tcPr>
          <w:p w14:paraId="4D1E224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0.40</w:t>
            </w:r>
          </w:p>
        </w:tc>
        <w:tc>
          <w:tcPr>
            <w:tcW w:w="0" w:type="auto"/>
            <w:hideMark/>
          </w:tcPr>
          <w:p w14:paraId="181647A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2A869DB9" w14:textId="77777777" w:rsidTr="00DF0BA0">
        <w:tc>
          <w:tcPr>
            <w:tcW w:w="0" w:type="auto"/>
            <w:hideMark/>
          </w:tcPr>
          <w:p w14:paraId="683FD79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Degema</w:t>
            </w:r>
          </w:p>
        </w:tc>
        <w:tc>
          <w:tcPr>
            <w:tcW w:w="0" w:type="auto"/>
            <w:hideMark/>
          </w:tcPr>
          <w:p w14:paraId="743F60E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0.78</w:t>
            </w:r>
          </w:p>
        </w:tc>
        <w:tc>
          <w:tcPr>
            <w:tcW w:w="0" w:type="auto"/>
            <w:hideMark/>
          </w:tcPr>
          <w:p w14:paraId="3E75409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0.90</w:t>
            </w:r>
          </w:p>
        </w:tc>
        <w:tc>
          <w:tcPr>
            <w:tcW w:w="0" w:type="auto"/>
            <w:hideMark/>
          </w:tcPr>
          <w:p w14:paraId="333C474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7EE30589" w14:textId="77777777" w:rsidTr="00DF0BA0">
        <w:tc>
          <w:tcPr>
            <w:tcW w:w="0" w:type="auto"/>
            <w:hideMark/>
          </w:tcPr>
          <w:p w14:paraId="095D878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Sachet Water</w:t>
            </w:r>
          </w:p>
        </w:tc>
        <w:tc>
          <w:tcPr>
            <w:tcW w:w="0" w:type="auto"/>
            <w:hideMark/>
          </w:tcPr>
          <w:p w14:paraId="6424AD7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0.12</w:t>
            </w:r>
          </w:p>
        </w:tc>
        <w:tc>
          <w:tcPr>
            <w:tcW w:w="0" w:type="auto"/>
            <w:hideMark/>
          </w:tcPr>
          <w:p w14:paraId="6E1F984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0.16</w:t>
            </w:r>
          </w:p>
        </w:tc>
        <w:tc>
          <w:tcPr>
            <w:tcW w:w="0" w:type="auto"/>
            <w:hideMark/>
          </w:tcPr>
          <w:p w14:paraId="4D20D04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bl>
    <w:p w14:paraId="66585F7D" w14:textId="77777777" w:rsidR="007145BC" w:rsidRPr="00B45AE1" w:rsidRDefault="007145BC" w:rsidP="001118E9">
      <w:pPr>
        <w:jc w:val="both"/>
        <w:rPr>
          <w:rFonts w:ascii="Times New Roman" w:hAnsi="Times New Roman" w:cs="Times New Roman"/>
          <w:sz w:val="24"/>
          <w:szCs w:val="24"/>
        </w:rPr>
      </w:pPr>
    </w:p>
    <w:p w14:paraId="67542F06"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lastRenderedPageBreak/>
        <w:t>3.12 Incremental Lifetime Cancer Risk (ILCR) Associated with Carcinogenic Disinfection By-products</w:t>
      </w:r>
    </w:p>
    <w:p w14:paraId="239CF99C"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 xml:space="preserve">The </w:t>
      </w:r>
      <w:r>
        <w:rPr>
          <w:rFonts w:ascii="Times New Roman" w:eastAsia="Times New Roman" w:hAnsi="Times New Roman" w:cs="Times New Roman"/>
          <w:sz w:val="24"/>
          <w:szCs w:val="24"/>
          <w:highlight w:val="yellow"/>
          <w:lang w:eastAsia="en-GB"/>
        </w:rPr>
        <w:t>Incremental Lifetime Cancer Risk values for ingestion</w:t>
      </w:r>
      <w:r>
        <w:rPr>
          <w:rFonts w:ascii="Times New Roman" w:eastAsia="Times New Roman" w:hAnsi="Times New Roman" w:cs="Times New Roman"/>
          <w:sz w:val="24"/>
          <w:szCs w:val="24"/>
          <w:lang w:eastAsia="en-GB"/>
        </w:rPr>
        <w:t xml:space="preserve"> ranged from </w:t>
      </w:r>
      <w:r w:rsidRPr="00B45AE1">
        <w:rPr>
          <w:rFonts w:ascii="Times New Roman" w:eastAsia="Times New Roman" w:hAnsi="Times New Roman" w:cs="Times New Roman"/>
          <w:b/>
          <w:bCs/>
          <w:sz w:val="24"/>
          <w:szCs w:val="24"/>
          <w:lang w:eastAsia="en-GB"/>
        </w:rPr>
        <w:t>2.84 × 10⁻⁶</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7.62 × 10⁻⁵</w:t>
      </w:r>
      <w:r w:rsidRPr="00B45AE1">
        <w:rPr>
          <w:rFonts w:ascii="Times New Roman" w:eastAsia="Times New Roman" w:hAnsi="Times New Roman" w:cs="Times New Roman"/>
          <w:sz w:val="24"/>
          <w:szCs w:val="24"/>
          <w:lang w:eastAsia="en-GB"/>
        </w:rPr>
        <w:t xml:space="preserve"> for adults and </w:t>
      </w:r>
      <w:r w:rsidRPr="00B45AE1">
        <w:rPr>
          <w:rFonts w:ascii="Times New Roman" w:eastAsia="Times New Roman" w:hAnsi="Times New Roman" w:cs="Times New Roman"/>
          <w:b/>
          <w:bCs/>
          <w:sz w:val="24"/>
          <w:szCs w:val="24"/>
          <w:lang w:eastAsia="en-GB"/>
        </w:rPr>
        <w:t>3.62 × 10⁻⁶</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9.84 × 10⁻⁵</w:t>
      </w:r>
      <w:r w:rsidRPr="00B45AE1">
        <w:rPr>
          <w:rFonts w:ascii="Times New Roman" w:eastAsia="Times New Roman" w:hAnsi="Times New Roman" w:cs="Times New Roman"/>
          <w:sz w:val="24"/>
          <w:szCs w:val="24"/>
          <w:lang w:eastAsia="en-GB"/>
        </w:rPr>
        <w:t xml:space="preserve"> for children. Dermal cancer risk values varied between </w:t>
      </w:r>
      <w:r w:rsidRPr="00B45AE1">
        <w:rPr>
          <w:rFonts w:ascii="Times New Roman" w:eastAsia="Times New Roman" w:hAnsi="Times New Roman" w:cs="Times New Roman"/>
          <w:b/>
          <w:bCs/>
          <w:sz w:val="24"/>
          <w:szCs w:val="24"/>
          <w:lang w:eastAsia="en-GB"/>
        </w:rPr>
        <w:t>1.42 × 10⁻⁷</w:t>
      </w:r>
      <w:r w:rsidRPr="00B45AE1">
        <w:rPr>
          <w:rFonts w:ascii="Times New Roman" w:eastAsia="Times New Roman" w:hAnsi="Times New Roman" w:cs="Times New Roman"/>
          <w:sz w:val="24"/>
          <w:szCs w:val="24"/>
          <w:lang w:eastAsia="en-GB"/>
        </w:rPr>
        <w:t xml:space="preserve"> and </w:t>
      </w:r>
      <w:r w:rsidRPr="00B45AE1">
        <w:rPr>
          <w:rFonts w:ascii="Times New Roman" w:eastAsia="Times New Roman" w:hAnsi="Times New Roman" w:cs="Times New Roman"/>
          <w:b/>
          <w:bCs/>
          <w:sz w:val="24"/>
          <w:szCs w:val="24"/>
          <w:lang w:eastAsia="en-GB"/>
        </w:rPr>
        <w:t>4.28 × 10⁻⁶</w:t>
      </w:r>
      <w:r w:rsidRPr="00B45AE1">
        <w:rPr>
          <w:rFonts w:ascii="Times New Roman" w:eastAsia="Times New Roman" w:hAnsi="Times New Roman" w:cs="Times New Roman"/>
          <w:sz w:val="24"/>
          <w:szCs w:val="24"/>
          <w:lang w:eastAsia="en-GB"/>
        </w:rPr>
        <w:t xml:space="preserve">. The highest cancer risk values were observed in Eleme and Bonny, while sachet drinking water recorded the lowest values. </w:t>
      </w:r>
      <w:r w:rsidRPr="00B45AE1">
        <w:rPr>
          <w:rFonts w:ascii="Times New Roman" w:eastAsia="Times New Roman" w:hAnsi="Times New Roman" w:cs="Times New Roman"/>
          <w:i/>
          <w:iCs/>
          <w:sz w:val="24"/>
          <w:szCs w:val="24"/>
          <w:lang w:eastAsia="en-GB"/>
        </w:rPr>
      </w:r>
      <w:r>
        <w:rPr>
          <w:highlight w:val="yellow"/>
        </w:rPr>
        <w:t xml:space="preserve">The ILCR values are presented in </w:t>
      </w:r>
      <w:r>
        <w:rPr>
          <w:rFonts w:ascii="Times New Roman" w:eastAsia="Times New Roman" w:hAnsi="Times New Roman" w:cs="Times New Roman"/>
          <w:i/>
          <w:iCs/>
          <w:sz w:val="24"/>
          <w:szCs w:val="24"/>
          <w:highlight w:val="yellow"/>
          <w:lang w:eastAsia="en-GB"/>
        </w:rPr>
        <w:t>Table 12.</w:t>
      </w:r>
      <w:r>
        <w:rPr>
          <w:rFonts w:ascii="Times New Roman" w:eastAsia="Times New Roman" w:hAnsi="Times New Roman" w:cs="Times New Roman"/>
          <w:i/>
          <w:iCs/>
          <w:sz w:val="24"/>
          <w:szCs w:val="24"/>
          <w:lang w:eastAsia="en-GB"/>
        </w:rPr>
      </w:r>
    </w:p>
    <w:p w14:paraId="582095E2"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B45AE1">
        <w:rPr>
          <w:rFonts w:ascii="Times New Roman" w:hAnsi="Times New Roman" w:cs="Times New Roman"/>
          <w:b/>
          <w:bCs/>
          <w:sz w:val="24"/>
          <w:szCs w:val="24"/>
        </w:rPr>
        <w:t>Table 12. Incremental Lifetime Cancer Risk (ILCR) Associated with Carcinogenic Disinfection By-products</w:t>
      </w:r>
    </w:p>
    <w:tbl>
      <w:tblPr>
        <w:tblStyle w:val="TableGrid"/>
        <w:tblW w:w="0" w:type="auto"/>
        <w:tblLook w:val="04A0" w:firstRow="1" w:lastRow="0" w:firstColumn="1" w:lastColumn="0" w:noHBand="0" w:noVBand="1"/>
      </w:tblPr>
      <w:tblGrid>
        <w:gridCol w:w="1462"/>
        <w:gridCol w:w="1596"/>
        <w:gridCol w:w="1593"/>
        <w:gridCol w:w="1429"/>
        <w:gridCol w:w="1426"/>
        <w:gridCol w:w="1510"/>
      </w:tblGrid>
      <w:tr w:rsidR="00B45AE1" w:rsidRPr="00B45AE1" w14:paraId="0384A79B" w14:textId="77777777" w:rsidTr="00DF0BA0">
        <w:trPr>
          <w:tblHeader/>
        </w:trPr>
        <w:tc>
          <w:tcPr>
            <w:tcW w:w="0" w:type="auto"/>
            <w:hideMark/>
          </w:tcPr>
          <w:p w14:paraId="7522F27D"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Community</w:t>
            </w:r>
          </w:p>
        </w:tc>
        <w:tc>
          <w:tcPr>
            <w:tcW w:w="0" w:type="auto"/>
            <w:hideMark/>
          </w:tcPr>
          <w:p w14:paraId="58BD9B1F"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Adult ILCR (Ingestion)</w:t>
            </w:r>
          </w:p>
        </w:tc>
        <w:tc>
          <w:tcPr>
            <w:tcW w:w="0" w:type="auto"/>
            <w:hideMark/>
          </w:tcPr>
          <w:p w14:paraId="7CF4DBE2"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Child ILCR (Ingestion)</w:t>
            </w:r>
          </w:p>
        </w:tc>
        <w:tc>
          <w:tcPr>
            <w:tcW w:w="0" w:type="auto"/>
            <w:hideMark/>
          </w:tcPr>
          <w:p w14:paraId="58A47552"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Adult ILCR (Dermal)</w:t>
            </w:r>
          </w:p>
        </w:tc>
        <w:tc>
          <w:tcPr>
            <w:tcW w:w="0" w:type="auto"/>
            <w:hideMark/>
          </w:tcPr>
          <w:p w14:paraId="3835AD52"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Child ILCR (Dermal)</w:t>
            </w:r>
          </w:p>
        </w:tc>
        <w:tc>
          <w:tcPr>
            <w:tcW w:w="0" w:type="auto"/>
            <w:hideMark/>
          </w:tcPr>
          <w:p w14:paraId="7E46F728" w14:textId="77777777" w:rsidR="007145BC" w:rsidRPr="00B45AE1" w:rsidRDefault="007145BC" w:rsidP="001118E9">
            <w:pPr>
              <w:jc w:val="both"/>
              <w:rPr>
                <w:rFonts w:ascii="Times New Roman" w:eastAsia="Times New Roman" w:hAnsi="Times New Roman" w:cs="Times New Roman"/>
                <w:b/>
                <w:bCs/>
                <w:sz w:val="24"/>
                <w:szCs w:val="24"/>
                <w:lang w:eastAsia="en-GB"/>
              </w:rPr>
            </w:pPr>
            <w:proofErr w:type="gramStart"/>
            <w:r w:rsidRPr="00B45AE1">
              <w:rPr>
                <w:rFonts w:ascii="Times New Roman" w:eastAsia="Times New Roman" w:hAnsi="Times New Roman" w:cs="Times New Roman"/>
                <w:b/>
                <w:bCs/>
                <w:sz w:val="24"/>
                <w:szCs w:val="24"/>
                <w:lang w:eastAsia="en-GB"/>
              </w:rPr>
              <w:t>Overall</w:t>
            </w:r>
            <w:proofErr w:type="gramEnd"/>
            <w:r w:rsidRPr="00B45AE1">
              <w:rPr>
                <w:rFonts w:ascii="Times New Roman" w:eastAsia="Times New Roman" w:hAnsi="Times New Roman" w:cs="Times New Roman"/>
                <w:b/>
                <w:bCs/>
                <w:sz w:val="24"/>
                <w:szCs w:val="24"/>
                <w:lang w:eastAsia="en-GB"/>
              </w:rPr>
              <w:t xml:space="preserve"> Cancer Risk</w:t>
            </w:r>
          </w:p>
        </w:tc>
      </w:tr>
      <w:tr w:rsidR="00B45AE1" w:rsidRPr="00B45AE1" w14:paraId="1967B698" w14:textId="77777777" w:rsidTr="00DF0BA0">
        <w:tc>
          <w:tcPr>
            <w:tcW w:w="0" w:type="auto"/>
            <w:hideMark/>
          </w:tcPr>
          <w:p w14:paraId="131E925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Port Harcourt</w:t>
            </w:r>
          </w:p>
        </w:tc>
        <w:tc>
          <w:tcPr>
            <w:tcW w:w="0" w:type="auto"/>
            <w:hideMark/>
          </w:tcPr>
          <w:p w14:paraId="16E0F3D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6.84E−05</w:t>
            </w:r>
          </w:p>
        </w:tc>
        <w:tc>
          <w:tcPr>
            <w:tcW w:w="0" w:type="auto"/>
            <w:hideMark/>
          </w:tcPr>
          <w:p w14:paraId="4EF6551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8.62E−05</w:t>
            </w:r>
          </w:p>
        </w:tc>
        <w:tc>
          <w:tcPr>
            <w:tcW w:w="0" w:type="auto"/>
            <w:hideMark/>
          </w:tcPr>
          <w:p w14:paraId="5B2B4E1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3.82E−06</w:t>
            </w:r>
          </w:p>
        </w:tc>
        <w:tc>
          <w:tcPr>
            <w:tcW w:w="0" w:type="auto"/>
            <w:hideMark/>
          </w:tcPr>
          <w:p w14:paraId="275F901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4.24E−06</w:t>
            </w:r>
          </w:p>
        </w:tc>
        <w:tc>
          <w:tcPr>
            <w:tcW w:w="0" w:type="auto"/>
            <w:hideMark/>
          </w:tcPr>
          <w:p w14:paraId="1826892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0A02ABC9" w14:textId="77777777" w:rsidTr="00DF0BA0">
        <w:tc>
          <w:tcPr>
            <w:tcW w:w="0" w:type="auto"/>
            <w:hideMark/>
          </w:tcPr>
          <w:p w14:paraId="3AD4A582"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Rumuola</w:t>
            </w:r>
            <w:proofErr w:type="spellEnd"/>
          </w:p>
        </w:tc>
        <w:tc>
          <w:tcPr>
            <w:tcW w:w="0" w:type="auto"/>
            <w:hideMark/>
          </w:tcPr>
          <w:p w14:paraId="0ADE403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2.84E−05</w:t>
            </w:r>
          </w:p>
        </w:tc>
        <w:tc>
          <w:tcPr>
            <w:tcW w:w="0" w:type="auto"/>
            <w:hideMark/>
          </w:tcPr>
          <w:p w14:paraId="0B5295F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3.62E−05</w:t>
            </w:r>
          </w:p>
        </w:tc>
        <w:tc>
          <w:tcPr>
            <w:tcW w:w="0" w:type="auto"/>
            <w:hideMark/>
          </w:tcPr>
          <w:p w14:paraId="7A4ED9B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1.84E−06</w:t>
            </w:r>
          </w:p>
        </w:tc>
        <w:tc>
          <w:tcPr>
            <w:tcW w:w="0" w:type="auto"/>
            <w:hideMark/>
          </w:tcPr>
          <w:p w14:paraId="3E04721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2.12E−06</w:t>
            </w:r>
          </w:p>
        </w:tc>
        <w:tc>
          <w:tcPr>
            <w:tcW w:w="0" w:type="auto"/>
            <w:hideMark/>
          </w:tcPr>
          <w:p w14:paraId="4B9ABAF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3FA93A2F" w14:textId="77777777" w:rsidTr="00DF0BA0">
        <w:tc>
          <w:tcPr>
            <w:tcW w:w="0" w:type="auto"/>
            <w:hideMark/>
          </w:tcPr>
          <w:p w14:paraId="2384F7A4"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Rumuokoro</w:t>
            </w:r>
            <w:proofErr w:type="spellEnd"/>
          </w:p>
        </w:tc>
        <w:tc>
          <w:tcPr>
            <w:tcW w:w="0" w:type="auto"/>
            <w:hideMark/>
          </w:tcPr>
          <w:p w14:paraId="3F1D1C3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3.16E−05</w:t>
            </w:r>
          </w:p>
        </w:tc>
        <w:tc>
          <w:tcPr>
            <w:tcW w:w="0" w:type="auto"/>
            <w:hideMark/>
          </w:tcPr>
          <w:p w14:paraId="5ACFD79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4.04E−05</w:t>
            </w:r>
          </w:p>
        </w:tc>
        <w:tc>
          <w:tcPr>
            <w:tcW w:w="0" w:type="auto"/>
            <w:hideMark/>
          </w:tcPr>
          <w:p w14:paraId="728FDBB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1.96E−06</w:t>
            </w:r>
          </w:p>
        </w:tc>
        <w:tc>
          <w:tcPr>
            <w:tcW w:w="0" w:type="auto"/>
            <w:hideMark/>
          </w:tcPr>
          <w:p w14:paraId="13EC8CA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2.28E−06</w:t>
            </w:r>
          </w:p>
        </w:tc>
        <w:tc>
          <w:tcPr>
            <w:tcW w:w="0" w:type="auto"/>
            <w:hideMark/>
          </w:tcPr>
          <w:p w14:paraId="74DC39F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2AF94E84" w14:textId="77777777" w:rsidTr="00DF0BA0">
        <w:tc>
          <w:tcPr>
            <w:tcW w:w="0" w:type="auto"/>
            <w:hideMark/>
          </w:tcPr>
          <w:p w14:paraId="5A29FB6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Choba</w:t>
            </w:r>
          </w:p>
        </w:tc>
        <w:tc>
          <w:tcPr>
            <w:tcW w:w="0" w:type="auto"/>
            <w:hideMark/>
          </w:tcPr>
          <w:p w14:paraId="179EB8E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5.82E−05</w:t>
            </w:r>
          </w:p>
        </w:tc>
        <w:tc>
          <w:tcPr>
            <w:tcW w:w="0" w:type="auto"/>
            <w:hideMark/>
          </w:tcPr>
          <w:p w14:paraId="3F28FE0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7.36E−05</w:t>
            </w:r>
          </w:p>
        </w:tc>
        <w:tc>
          <w:tcPr>
            <w:tcW w:w="0" w:type="auto"/>
            <w:hideMark/>
          </w:tcPr>
          <w:p w14:paraId="22A6AA5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3.44E−06</w:t>
            </w:r>
          </w:p>
        </w:tc>
        <w:tc>
          <w:tcPr>
            <w:tcW w:w="0" w:type="auto"/>
            <w:hideMark/>
          </w:tcPr>
          <w:p w14:paraId="6EE183E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3.86E−06</w:t>
            </w:r>
          </w:p>
        </w:tc>
        <w:tc>
          <w:tcPr>
            <w:tcW w:w="0" w:type="auto"/>
            <w:hideMark/>
          </w:tcPr>
          <w:p w14:paraId="5C8D120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23ADBC18" w14:textId="77777777" w:rsidTr="00DF0BA0">
        <w:tc>
          <w:tcPr>
            <w:tcW w:w="0" w:type="auto"/>
            <w:hideMark/>
          </w:tcPr>
          <w:p w14:paraId="3945EBB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Eleme</w:t>
            </w:r>
          </w:p>
        </w:tc>
        <w:tc>
          <w:tcPr>
            <w:tcW w:w="0" w:type="auto"/>
            <w:hideMark/>
          </w:tcPr>
          <w:p w14:paraId="4A712D3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7.62E−05</w:t>
            </w:r>
          </w:p>
        </w:tc>
        <w:tc>
          <w:tcPr>
            <w:tcW w:w="0" w:type="auto"/>
            <w:hideMark/>
          </w:tcPr>
          <w:p w14:paraId="72E161D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9.84E−05</w:t>
            </w:r>
          </w:p>
        </w:tc>
        <w:tc>
          <w:tcPr>
            <w:tcW w:w="0" w:type="auto"/>
            <w:hideMark/>
          </w:tcPr>
          <w:p w14:paraId="4B7439E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4.28E−06</w:t>
            </w:r>
          </w:p>
        </w:tc>
        <w:tc>
          <w:tcPr>
            <w:tcW w:w="0" w:type="auto"/>
            <w:hideMark/>
          </w:tcPr>
          <w:p w14:paraId="44DED61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4.82E−06</w:t>
            </w:r>
          </w:p>
        </w:tc>
        <w:tc>
          <w:tcPr>
            <w:tcW w:w="0" w:type="auto"/>
            <w:hideMark/>
          </w:tcPr>
          <w:p w14:paraId="33C83BD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0005223D" w14:textId="77777777" w:rsidTr="00DF0BA0">
        <w:tc>
          <w:tcPr>
            <w:tcW w:w="0" w:type="auto"/>
            <w:hideMark/>
          </w:tcPr>
          <w:p w14:paraId="5B15B5A4"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Oyigbo</w:t>
            </w:r>
            <w:proofErr w:type="spellEnd"/>
          </w:p>
        </w:tc>
        <w:tc>
          <w:tcPr>
            <w:tcW w:w="0" w:type="auto"/>
            <w:hideMark/>
          </w:tcPr>
          <w:p w14:paraId="6AE6350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5.24E−05</w:t>
            </w:r>
          </w:p>
        </w:tc>
        <w:tc>
          <w:tcPr>
            <w:tcW w:w="0" w:type="auto"/>
            <w:hideMark/>
          </w:tcPr>
          <w:p w14:paraId="1C8C852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6.68E−05</w:t>
            </w:r>
          </w:p>
        </w:tc>
        <w:tc>
          <w:tcPr>
            <w:tcW w:w="0" w:type="auto"/>
            <w:hideMark/>
          </w:tcPr>
          <w:p w14:paraId="55DD646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3.12E−06</w:t>
            </w:r>
          </w:p>
        </w:tc>
        <w:tc>
          <w:tcPr>
            <w:tcW w:w="0" w:type="auto"/>
            <w:hideMark/>
          </w:tcPr>
          <w:p w14:paraId="29620D4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3.56E−06</w:t>
            </w:r>
          </w:p>
        </w:tc>
        <w:tc>
          <w:tcPr>
            <w:tcW w:w="0" w:type="auto"/>
            <w:hideMark/>
          </w:tcPr>
          <w:p w14:paraId="31A41D4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70500BE7" w14:textId="77777777" w:rsidTr="00DF0BA0">
        <w:tc>
          <w:tcPr>
            <w:tcW w:w="0" w:type="auto"/>
            <w:hideMark/>
          </w:tcPr>
          <w:p w14:paraId="5FFF3D06"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Ahoada</w:t>
            </w:r>
            <w:proofErr w:type="spellEnd"/>
          </w:p>
        </w:tc>
        <w:tc>
          <w:tcPr>
            <w:tcW w:w="0" w:type="auto"/>
            <w:hideMark/>
          </w:tcPr>
          <w:p w14:paraId="5DD4F83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2.46E−05</w:t>
            </w:r>
          </w:p>
        </w:tc>
        <w:tc>
          <w:tcPr>
            <w:tcW w:w="0" w:type="auto"/>
            <w:hideMark/>
          </w:tcPr>
          <w:p w14:paraId="4E43CA1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3.08E−05</w:t>
            </w:r>
          </w:p>
        </w:tc>
        <w:tc>
          <w:tcPr>
            <w:tcW w:w="0" w:type="auto"/>
            <w:hideMark/>
          </w:tcPr>
          <w:p w14:paraId="19ACF2A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1.64E−06</w:t>
            </w:r>
          </w:p>
        </w:tc>
        <w:tc>
          <w:tcPr>
            <w:tcW w:w="0" w:type="auto"/>
            <w:hideMark/>
          </w:tcPr>
          <w:p w14:paraId="1AE6CFA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1.84E−06</w:t>
            </w:r>
          </w:p>
        </w:tc>
        <w:tc>
          <w:tcPr>
            <w:tcW w:w="0" w:type="auto"/>
            <w:hideMark/>
          </w:tcPr>
          <w:p w14:paraId="23B84C33"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373A3DDD" w14:textId="77777777" w:rsidTr="00DF0BA0">
        <w:tc>
          <w:tcPr>
            <w:tcW w:w="0" w:type="auto"/>
            <w:hideMark/>
          </w:tcPr>
          <w:p w14:paraId="49E592C8" w14:textId="77777777" w:rsidR="007145BC" w:rsidRPr="00B45AE1" w:rsidRDefault="007145BC" w:rsidP="001118E9">
            <w:pPr>
              <w:jc w:val="both"/>
              <w:rPr>
                <w:rFonts w:ascii="Times New Roman" w:eastAsia="Times New Roman" w:hAnsi="Times New Roman" w:cs="Times New Roman"/>
                <w:sz w:val="24"/>
                <w:szCs w:val="24"/>
                <w:lang w:eastAsia="en-GB"/>
              </w:rPr>
            </w:pPr>
            <w:proofErr w:type="spellStart"/>
            <w:r w:rsidRPr="00B45AE1">
              <w:rPr>
                <w:rFonts w:ascii="Times New Roman" w:eastAsia="Times New Roman" w:hAnsi="Times New Roman" w:cs="Times New Roman"/>
                <w:sz w:val="24"/>
                <w:szCs w:val="24"/>
                <w:lang w:eastAsia="en-GB"/>
              </w:rPr>
              <w:t>Omoku</w:t>
            </w:r>
            <w:proofErr w:type="spellEnd"/>
          </w:p>
        </w:tc>
        <w:tc>
          <w:tcPr>
            <w:tcW w:w="0" w:type="auto"/>
            <w:hideMark/>
          </w:tcPr>
          <w:p w14:paraId="073CD1D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2.18E−05</w:t>
            </w:r>
          </w:p>
        </w:tc>
        <w:tc>
          <w:tcPr>
            <w:tcW w:w="0" w:type="auto"/>
            <w:hideMark/>
          </w:tcPr>
          <w:p w14:paraId="434B982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2.84E−05</w:t>
            </w:r>
          </w:p>
        </w:tc>
        <w:tc>
          <w:tcPr>
            <w:tcW w:w="0" w:type="auto"/>
            <w:hideMark/>
          </w:tcPr>
          <w:p w14:paraId="4619B31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1.42E−06</w:t>
            </w:r>
          </w:p>
        </w:tc>
        <w:tc>
          <w:tcPr>
            <w:tcW w:w="0" w:type="auto"/>
            <w:hideMark/>
          </w:tcPr>
          <w:p w14:paraId="62F9454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1.68E−06</w:t>
            </w:r>
          </w:p>
        </w:tc>
        <w:tc>
          <w:tcPr>
            <w:tcW w:w="0" w:type="auto"/>
            <w:hideMark/>
          </w:tcPr>
          <w:p w14:paraId="0FE3F4F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20845825" w14:textId="77777777" w:rsidTr="00DF0BA0">
        <w:tc>
          <w:tcPr>
            <w:tcW w:w="0" w:type="auto"/>
            <w:hideMark/>
          </w:tcPr>
          <w:p w14:paraId="50642AB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Bonny</w:t>
            </w:r>
          </w:p>
        </w:tc>
        <w:tc>
          <w:tcPr>
            <w:tcW w:w="0" w:type="auto"/>
            <w:hideMark/>
          </w:tcPr>
          <w:p w14:paraId="2DC789B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7.12E−05</w:t>
            </w:r>
          </w:p>
        </w:tc>
        <w:tc>
          <w:tcPr>
            <w:tcW w:w="0" w:type="auto"/>
            <w:hideMark/>
          </w:tcPr>
          <w:p w14:paraId="5AFC210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9.08E−05</w:t>
            </w:r>
          </w:p>
        </w:tc>
        <w:tc>
          <w:tcPr>
            <w:tcW w:w="0" w:type="auto"/>
            <w:hideMark/>
          </w:tcPr>
          <w:p w14:paraId="158AFB2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4.04E−06</w:t>
            </w:r>
          </w:p>
        </w:tc>
        <w:tc>
          <w:tcPr>
            <w:tcW w:w="0" w:type="auto"/>
            <w:hideMark/>
          </w:tcPr>
          <w:p w14:paraId="0FD2E90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4.62E−06</w:t>
            </w:r>
          </w:p>
        </w:tc>
        <w:tc>
          <w:tcPr>
            <w:tcW w:w="0" w:type="auto"/>
            <w:hideMark/>
          </w:tcPr>
          <w:p w14:paraId="294393A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01731E01" w14:textId="77777777" w:rsidTr="00DF0BA0">
        <w:tc>
          <w:tcPr>
            <w:tcW w:w="0" w:type="auto"/>
            <w:hideMark/>
          </w:tcPr>
          <w:p w14:paraId="10363B3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Bori</w:t>
            </w:r>
          </w:p>
        </w:tc>
        <w:tc>
          <w:tcPr>
            <w:tcW w:w="0" w:type="auto"/>
            <w:hideMark/>
          </w:tcPr>
          <w:p w14:paraId="0B897FA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2.68E−05</w:t>
            </w:r>
          </w:p>
        </w:tc>
        <w:tc>
          <w:tcPr>
            <w:tcW w:w="0" w:type="auto"/>
            <w:hideMark/>
          </w:tcPr>
          <w:p w14:paraId="34F3BE2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3.42E−05</w:t>
            </w:r>
          </w:p>
        </w:tc>
        <w:tc>
          <w:tcPr>
            <w:tcW w:w="0" w:type="auto"/>
            <w:hideMark/>
          </w:tcPr>
          <w:p w14:paraId="05D2C1C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1.72E−06</w:t>
            </w:r>
          </w:p>
        </w:tc>
        <w:tc>
          <w:tcPr>
            <w:tcW w:w="0" w:type="auto"/>
            <w:hideMark/>
          </w:tcPr>
          <w:p w14:paraId="015FA59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2.02E−06</w:t>
            </w:r>
          </w:p>
        </w:tc>
        <w:tc>
          <w:tcPr>
            <w:tcW w:w="0" w:type="auto"/>
            <w:hideMark/>
          </w:tcPr>
          <w:p w14:paraId="4D60463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61856B8B" w14:textId="77777777" w:rsidTr="00DF0BA0">
        <w:tc>
          <w:tcPr>
            <w:tcW w:w="0" w:type="auto"/>
            <w:hideMark/>
          </w:tcPr>
          <w:p w14:paraId="3852BFC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Degema</w:t>
            </w:r>
          </w:p>
        </w:tc>
        <w:tc>
          <w:tcPr>
            <w:tcW w:w="0" w:type="auto"/>
            <w:hideMark/>
          </w:tcPr>
          <w:p w14:paraId="59938CE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6.16E−05</w:t>
            </w:r>
          </w:p>
        </w:tc>
        <w:tc>
          <w:tcPr>
            <w:tcW w:w="0" w:type="auto"/>
            <w:hideMark/>
          </w:tcPr>
          <w:p w14:paraId="0C91894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7.84E−05</w:t>
            </w:r>
          </w:p>
        </w:tc>
        <w:tc>
          <w:tcPr>
            <w:tcW w:w="0" w:type="auto"/>
            <w:hideMark/>
          </w:tcPr>
          <w:p w14:paraId="464B6EC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3.62E−06</w:t>
            </w:r>
          </w:p>
        </w:tc>
        <w:tc>
          <w:tcPr>
            <w:tcW w:w="0" w:type="auto"/>
            <w:hideMark/>
          </w:tcPr>
          <w:p w14:paraId="56E6E02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4.08E−06</w:t>
            </w:r>
          </w:p>
        </w:tc>
        <w:tc>
          <w:tcPr>
            <w:tcW w:w="0" w:type="auto"/>
            <w:hideMark/>
          </w:tcPr>
          <w:p w14:paraId="72311F2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Acceptable</w:t>
            </w:r>
          </w:p>
        </w:tc>
      </w:tr>
      <w:tr w:rsidR="00B45AE1" w:rsidRPr="00B45AE1" w14:paraId="66F414DA" w14:textId="77777777" w:rsidTr="00DF0BA0">
        <w:tc>
          <w:tcPr>
            <w:tcW w:w="0" w:type="auto"/>
            <w:hideMark/>
          </w:tcPr>
          <w:p w14:paraId="567B92E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Sachet Water</w:t>
            </w:r>
          </w:p>
        </w:tc>
        <w:tc>
          <w:tcPr>
            <w:tcW w:w="0" w:type="auto"/>
            <w:hideMark/>
          </w:tcPr>
          <w:p w14:paraId="5DBEA45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6.24E−06</w:t>
            </w:r>
          </w:p>
        </w:tc>
        <w:tc>
          <w:tcPr>
            <w:tcW w:w="0" w:type="auto"/>
            <w:hideMark/>
          </w:tcPr>
          <w:p w14:paraId="75B39F4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8.12E−06</w:t>
            </w:r>
          </w:p>
        </w:tc>
        <w:tc>
          <w:tcPr>
            <w:tcW w:w="0" w:type="auto"/>
            <w:hideMark/>
          </w:tcPr>
          <w:p w14:paraId="06F35D4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2.84E−07</w:t>
            </w:r>
          </w:p>
        </w:tc>
        <w:tc>
          <w:tcPr>
            <w:tcW w:w="0" w:type="auto"/>
            <w:hideMark/>
          </w:tcPr>
          <w:p w14:paraId="414E8D5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3.42E−07</w:t>
            </w:r>
          </w:p>
        </w:tc>
        <w:tc>
          <w:tcPr>
            <w:tcW w:w="0" w:type="auto"/>
            <w:hideMark/>
          </w:tcPr>
          <w:p w14:paraId="7D920C7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Negligible</w:t>
            </w:r>
          </w:p>
        </w:tc>
      </w:tr>
    </w:tbl>
    <w:p w14:paraId="3CD0EC40" w14:textId="77777777" w:rsidR="007145BC" w:rsidRPr="00B45AE1"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B45AE1">
        <w:rPr>
          <w:rFonts w:ascii="Times New Roman" w:hAnsi="Times New Roman" w:cs="Times New Roman"/>
          <w:b/>
          <w:sz w:val="24"/>
          <w:szCs w:val="24"/>
        </w:rPr>
        <w:t>3.13 Descriptive Statistics of Drinking Water Quality Parameters</w:t>
      </w:r>
    </w:p>
    <w:p w14:paraId="36043329"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 xml:space="preserve">The pH values ranged from </w:t>
      </w:r>
      <w:r w:rsidRPr="00B45AE1">
        <w:rPr>
          <w:rFonts w:ascii="Times New Roman" w:eastAsia="Times New Roman" w:hAnsi="Times New Roman" w:cs="Times New Roman"/>
          <w:b/>
          <w:bCs/>
          <w:sz w:val="24"/>
          <w:szCs w:val="24"/>
          <w:lang w:eastAsia="en-GB"/>
        </w:rPr>
        <w:t>6.42</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7.68</w:t>
      </w:r>
      <w:r w:rsidRPr="00B45AE1">
        <w:rPr>
          <w:rFonts w:ascii="Times New Roman" w:eastAsia="Times New Roman" w:hAnsi="Times New Roman" w:cs="Times New Roman"/>
          <w:sz w:val="24"/>
          <w:szCs w:val="24"/>
          <w:lang w:eastAsia="en-GB"/>
        </w:rPr>
        <w:t xml:space="preserve"> with a mean of </w:t>
      </w:r>
      <w:r w:rsidRPr="00B45AE1">
        <w:rPr>
          <w:rFonts w:ascii="Times New Roman" w:eastAsia="Times New Roman" w:hAnsi="Times New Roman" w:cs="Times New Roman"/>
          <w:b/>
          <w:bCs/>
          <w:sz w:val="24"/>
          <w:szCs w:val="24"/>
          <w:lang w:eastAsia="en-GB"/>
        </w:rPr>
        <w:t>7.03 ± 0.41</w:t>
      </w:r>
      <w:r w:rsidRPr="00B45AE1">
        <w:rPr>
          <w:rFonts w:ascii="Times New Roman" w:eastAsia="Times New Roman" w:hAnsi="Times New Roman" w:cs="Times New Roman"/>
          <w:sz w:val="24"/>
          <w:szCs w:val="24"/>
          <w:lang w:eastAsia="en-GB"/>
        </w:rPr>
        <w:t xml:space="preserve">, while electrical conductivity ranged from </w:t>
      </w:r>
      <w:r w:rsidRPr="00B45AE1">
        <w:rPr>
          <w:rFonts w:ascii="Times New Roman" w:eastAsia="Times New Roman" w:hAnsi="Times New Roman" w:cs="Times New Roman"/>
          <w:b/>
          <w:bCs/>
          <w:sz w:val="24"/>
          <w:szCs w:val="24"/>
          <w:lang w:eastAsia="en-GB"/>
        </w:rPr>
        <w:t>86.4</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468.2 µS/cm</w:t>
      </w:r>
      <w:r w:rsidRPr="00B45AE1">
        <w:rPr>
          <w:rFonts w:ascii="Times New Roman" w:eastAsia="Times New Roman" w:hAnsi="Times New Roman" w:cs="Times New Roman"/>
          <w:sz w:val="24"/>
          <w:szCs w:val="24"/>
          <w:lang w:eastAsia="en-GB"/>
        </w:rPr>
        <w:t xml:space="preserve"> with a mean of </w:t>
      </w:r>
      <w:r w:rsidRPr="00B45AE1">
        <w:rPr>
          <w:rFonts w:ascii="Times New Roman" w:eastAsia="Times New Roman" w:hAnsi="Times New Roman" w:cs="Times New Roman"/>
          <w:b/>
          <w:bCs/>
          <w:sz w:val="24"/>
          <w:szCs w:val="24"/>
          <w:lang w:eastAsia="en-GB"/>
        </w:rPr>
        <w:t>292.8 ± 97.4 µS/cm</w:t>
      </w:r>
      <w:r w:rsidRPr="00B45AE1">
        <w:rPr>
          <w:rFonts w:ascii="Times New Roman" w:eastAsia="Times New Roman" w:hAnsi="Times New Roman" w:cs="Times New Roman"/>
          <w:sz w:val="24"/>
          <w:szCs w:val="24"/>
          <w:lang w:eastAsia="en-GB"/>
        </w:rPr>
        <w:t xml:space="preserve">. Total trihalomethanes ranged from </w:t>
      </w:r>
      <w:r w:rsidRPr="00B45AE1">
        <w:rPr>
          <w:rFonts w:ascii="Times New Roman" w:eastAsia="Times New Roman" w:hAnsi="Times New Roman" w:cs="Times New Roman"/>
          <w:b/>
          <w:bCs/>
          <w:sz w:val="24"/>
          <w:szCs w:val="24"/>
          <w:lang w:eastAsia="en-GB"/>
        </w:rPr>
        <w:t>18.64</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96.82 µg/L</w:t>
      </w:r>
      <w:r w:rsidRPr="00B45AE1">
        <w:rPr>
          <w:rFonts w:ascii="Times New Roman" w:eastAsia="Times New Roman" w:hAnsi="Times New Roman" w:cs="Times New Roman"/>
          <w:sz w:val="24"/>
          <w:szCs w:val="24"/>
          <w:lang w:eastAsia="en-GB"/>
        </w:rPr>
        <w:t xml:space="preserve">, total </w:t>
      </w:r>
      <w:proofErr w:type="spellStart"/>
      <w:r w:rsidRPr="00B45AE1">
        <w:rPr>
          <w:rFonts w:ascii="Times New Roman" w:eastAsia="Times New Roman" w:hAnsi="Times New Roman" w:cs="Times New Roman"/>
          <w:sz w:val="24"/>
          <w:szCs w:val="24"/>
          <w:lang w:eastAsia="en-GB"/>
        </w:rPr>
        <w:t>haloacetic</w:t>
      </w:r>
      <w:proofErr w:type="spellEnd"/>
      <w:r w:rsidRPr="00B45AE1">
        <w:rPr>
          <w:rFonts w:ascii="Times New Roman" w:eastAsia="Times New Roman" w:hAnsi="Times New Roman" w:cs="Times New Roman"/>
          <w:sz w:val="24"/>
          <w:szCs w:val="24"/>
          <w:lang w:eastAsia="en-GB"/>
        </w:rPr>
        <w:t xml:space="preserve"> acids ranged from </w:t>
      </w:r>
      <w:r w:rsidRPr="00B45AE1">
        <w:rPr>
          <w:rFonts w:ascii="Times New Roman" w:eastAsia="Times New Roman" w:hAnsi="Times New Roman" w:cs="Times New Roman"/>
          <w:b/>
          <w:bCs/>
          <w:sz w:val="24"/>
          <w:szCs w:val="24"/>
          <w:lang w:eastAsia="en-GB"/>
        </w:rPr>
        <w:t>8.42</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52.84 µg/L</w:t>
      </w:r>
      <w:r w:rsidRPr="00B45AE1">
        <w:rPr>
          <w:rFonts w:ascii="Times New Roman" w:eastAsia="Times New Roman" w:hAnsi="Times New Roman" w:cs="Times New Roman"/>
          <w:sz w:val="24"/>
          <w:szCs w:val="24"/>
          <w:lang w:eastAsia="en-GB"/>
        </w:rPr>
        <w:t xml:space="preserve">, and iron ranged from </w:t>
      </w:r>
      <w:r w:rsidRPr="00B45AE1">
        <w:rPr>
          <w:rFonts w:ascii="Times New Roman" w:eastAsia="Times New Roman" w:hAnsi="Times New Roman" w:cs="Times New Roman"/>
          <w:b/>
          <w:bCs/>
          <w:sz w:val="24"/>
          <w:szCs w:val="24"/>
          <w:lang w:eastAsia="en-GB"/>
        </w:rPr>
        <w:t>0.12</w:t>
      </w:r>
      <w:r w:rsidRPr="00B45AE1">
        <w:rPr>
          <w:rFonts w:ascii="Times New Roman" w:eastAsia="Times New Roman" w:hAnsi="Times New Roman" w:cs="Times New Roman"/>
          <w:sz w:val="24"/>
          <w:szCs w:val="24"/>
          <w:lang w:eastAsia="en-GB"/>
        </w:rPr>
        <w:t xml:space="preserve"> to </w:t>
      </w:r>
      <w:r w:rsidRPr="00B45AE1">
        <w:rPr>
          <w:rFonts w:ascii="Times New Roman" w:eastAsia="Times New Roman" w:hAnsi="Times New Roman" w:cs="Times New Roman"/>
          <w:b/>
          <w:bCs/>
          <w:sz w:val="24"/>
          <w:szCs w:val="24"/>
          <w:lang w:eastAsia="en-GB"/>
        </w:rPr>
        <w:t>0.84 mg/L</w:t>
      </w:r>
      <w:r w:rsidRPr="00B45AE1">
        <w:rPr>
          <w:rFonts w:ascii="Times New Roman" w:eastAsia="Times New Roman" w:hAnsi="Times New Roman" w:cs="Times New Roman"/>
          <w:sz w:val="24"/>
          <w:szCs w:val="24"/>
          <w:lang w:eastAsia="en-GB"/>
        </w:rPr>
        <w:t xml:space="preserve">. </w:t>
      </w:r>
      <w:r w:rsidRPr="00B45AE1">
        <w:rPr>
          <w:rFonts w:ascii="Times New Roman" w:eastAsia="Times New Roman" w:hAnsi="Times New Roman" w:cs="Times New Roman"/>
          <w:i/>
          <w:iCs/>
          <w:sz w:val="24"/>
          <w:szCs w:val="24"/>
          <w:lang w:eastAsia="en-GB"/>
        </w:rPr>
      </w:r>
      <w:r>
        <w:rPr>
          <w:highlight w:val="yellow"/>
        </w:rPr>
        <w:t xml:space="preserve">These descriptive statistics are presented in </w:t>
      </w:r>
      <w:r>
        <w:rPr>
          <w:rFonts w:ascii="Times New Roman" w:eastAsia="Times New Roman" w:hAnsi="Times New Roman" w:cs="Times New Roman"/>
          <w:i/>
          <w:iCs/>
          <w:sz w:val="24"/>
          <w:szCs w:val="24"/>
          <w:highlight w:val="yellow"/>
          <w:lang w:eastAsia="en-GB"/>
        </w:rPr>
        <w:t>Table 13.</w:t>
      </w:r>
      <w:r>
        <w:rPr>
          <w:rFonts w:ascii="Times New Roman" w:eastAsia="Times New Roman" w:hAnsi="Times New Roman" w:cs="Times New Roman"/>
          <w:i/>
          <w:iCs/>
          <w:sz w:val="24"/>
          <w:szCs w:val="24"/>
          <w:lang w:eastAsia="en-GB"/>
        </w:rPr>
      </w:r>
    </w:p>
    <w:p w14:paraId="5A2B728D" w14:textId="77777777" w:rsidR="007145BC" w:rsidRPr="00B45AE1" w:rsidRDefault="007145BC" w:rsidP="001118E9">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B45AE1">
        <w:rPr>
          <w:rFonts w:ascii="Times New Roman" w:hAnsi="Times New Roman" w:cs="Times New Roman"/>
          <w:b/>
          <w:bCs/>
          <w:sz w:val="24"/>
          <w:szCs w:val="24"/>
        </w:rPr>
        <w:t>Table 13. Descriptive Statistics of Drinking Water Quality Parameters</w:t>
      </w:r>
    </w:p>
    <w:tbl>
      <w:tblPr>
        <w:tblStyle w:val="TableGrid"/>
        <w:tblW w:w="0" w:type="auto"/>
        <w:tblLook w:val="04A0" w:firstRow="1" w:lastRow="0" w:firstColumn="1" w:lastColumn="0" w:noHBand="0" w:noVBand="1"/>
      </w:tblPr>
      <w:tblGrid>
        <w:gridCol w:w="2696"/>
        <w:gridCol w:w="1243"/>
        <w:gridCol w:w="1283"/>
        <w:gridCol w:w="1548"/>
      </w:tblGrid>
      <w:tr w:rsidR="00B45AE1" w:rsidRPr="00B45AE1" w14:paraId="0961EC02" w14:textId="77777777" w:rsidTr="00DF0BA0">
        <w:trPr>
          <w:tblHeader/>
        </w:trPr>
        <w:tc>
          <w:tcPr>
            <w:tcW w:w="0" w:type="auto"/>
            <w:hideMark/>
          </w:tcPr>
          <w:p w14:paraId="4FD67013"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Parameter</w:t>
            </w:r>
          </w:p>
        </w:tc>
        <w:tc>
          <w:tcPr>
            <w:tcW w:w="0" w:type="auto"/>
            <w:hideMark/>
          </w:tcPr>
          <w:p w14:paraId="70967579"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Minimum</w:t>
            </w:r>
          </w:p>
        </w:tc>
        <w:tc>
          <w:tcPr>
            <w:tcW w:w="0" w:type="auto"/>
            <w:hideMark/>
          </w:tcPr>
          <w:p w14:paraId="5725845D"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Maximum</w:t>
            </w:r>
          </w:p>
        </w:tc>
        <w:tc>
          <w:tcPr>
            <w:tcW w:w="0" w:type="auto"/>
            <w:hideMark/>
          </w:tcPr>
          <w:p w14:paraId="5553C2B8" w14:textId="77777777" w:rsidR="007145BC" w:rsidRPr="00B45AE1" w:rsidRDefault="007145BC" w:rsidP="001118E9">
            <w:pPr>
              <w:jc w:val="both"/>
              <w:rPr>
                <w:rFonts w:ascii="Times New Roman" w:eastAsia="Times New Roman" w:hAnsi="Times New Roman" w:cs="Times New Roman"/>
                <w:b/>
                <w:bCs/>
                <w:sz w:val="24"/>
                <w:szCs w:val="24"/>
                <w:lang w:eastAsia="en-GB"/>
              </w:rPr>
            </w:pPr>
            <w:r w:rsidRPr="00B45AE1">
              <w:rPr>
                <w:rFonts w:ascii="Times New Roman" w:eastAsia="Times New Roman" w:hAnsi="Times New Roman" w:cs="Times New Roman"/>
                <w:b/>
                <w:bCs/>
                <w:sz w:val="24"/>
                <w:szCs w:val="24"/>
                <w:lang w:eastAsia="en-GB"/>
              </w:rPr>
              <w:t>Mean ± SD</w:t>
            </w:r>
          </w:p>
        </w:tc>
      </w:tr>
      <w:tr w:rsidR="00B45AE1" w:rsidRPr="00B45AE1" w14:paraId="40B59760" w14:textId="77777777" w:rsidTr="00DF0BA0">
        <w:tc>
          <w:tcPr>
            <w:tcW w:w="0" w:type="auto"/>
            <w:hideMark/>
          </w:tcPr>
          <w:p w14:paraId="0CA7B01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pH</w:t>
            </w:r>
          </w:p>
        </w:tc>
        <w:tc>
          <w:tcPr>
            <w:tcW w:w="0" w:type="auto"/>
            <w:hideMark/>
          </w:tcPr>
          <w:p w14:paraId="181A3D8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6.42</w:t>
            </w:r>
          </w:p>
        </w:tc>
        <w:tc>
          <w:tcPr>
            <w:tcW w:w="0" w:type="auto"/>
            <w:hideMark/>
          </w:tcPr>
          <w:p w14:paraId="41B6B36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7.68</w:t>
            </w:r>
          </w:p>
        </w:tc>
        <w:tc>
          <w:tcPr>
            <w:tcW w:w="0" w:type="auto"/>
            <w:hideMark/>
          </w:tcPr>
          <w:p w14:paraId="190DC7C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7.03 ± 0.41</w:t>
            </w:r>
          </w:p>
        </w:tc>
      </w:tr>
      <w:tr w:rsidR="00B45AE1" w:rsidRPr="00B45AE1" w14:paraId="13E8B50E" w14:textId="77777777" w:rsidTr="00DF0BA0">
        <w:tc>
          <w:tcPr>
            <w:tcW w:w="0" w:type="auto"/>
            <w:hideMark/>
          </w:tcPr>
          <w:p w14:paraId="117D0A4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EC (µS/cm)</w:t>
            </w:r>
          </w:p>
        </w:tc>
        <w:tc>
          <w:tcPr>
            <w:tcW w:w="0" w:type="auto"/>
            <w:hideMark/>
          </w:tcPr>
          <w:p w14:paraId="0501104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86.4</w:t>
            </w:r>
          </w:p>
        </w:tc>
        <w:tc>
          <w:tcPr>
            <w:tcW w:w="0" w:type="auto"/>
            <w:hideMark/>
          </w:tcPr>
          <w:p w14:paraId="14DB3C2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468.2</w:t>
            </w:r>
          </w:p>
        </w:tc>
        <w:tc>
          <w:tcPr>
            <w:tcW w:w="0" w:type="auto"/>
            <w:hideMark/>
          </w:tcPr>
          <w:p w14:paraId="399E95E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292.8 ± 97.4</w:t>
            </w:r>
          </w:p>
        </w:tc>
      </w:tr>
      <w:tr w:rsidR="00B45AE1" w:rsidRPr="00B45AE1" w14:paraId="78B497EE" w14:textId="77777777" w:rsidTr="00DF0BA0">
        <w:tc>
          <w:tcPr>
            <w:tcW w:w="0" w:type="auto"/>
            <w:hideMark/>
          </w:tcPr>
          <w:p w14:paraId="6176852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TDS (mg/L)</w:t>
            </w:r>
          </w:p>
        </w:tc>
        <w:tc>
          <w:tcPr>
            <w:tcW w:w="0" w:type="auto"/>
            <w:hideMark/>
          </w:tcPr>
          <w:p w14:paraId="1ADFAD7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52.8</w:t>
            </w:r>
          </w:p>
        </w:tc>
        <w:tc>
          <w:tcPr>
            <w:tcW w:w="0" w:type="auto"/>
            <w:hideMark/>
          </w:tcPr>
          <w:p w14:paraId="120EAF2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286.4</w:t>
            </w:r>
          </w:p>
        </w:tc>
        <w:tc>
          <w:tcPr>
            <w:tcW w:w="0" w:type="auto"/>
            <w:hideMark/>
          </w:tcPr>
          <w:p w14:paraId="586368B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177.6 ± 61.8</w:t>
            </w:r>
          </w:p>
        </w:tc>
      </w:tr>
      <w:tr w:rsidR="00B45AE1" w:rsidRPr="00B45AE1" w14:paraId="50B3DEF7" w14:textId="77777777" w:rsidTr="00DF0BA0">
        <w:tc>
          <w:tcPr>
            <w:tcW w:w="0" w:type="auto"/>
            <w:hideMark/>
          </w:tcPr>
          <w:p w14:paraId="43357DC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Turbidity (NTU)</w:t>
            </w:r>
          </w:p>
        </w:tc>
        <w:tc>
          <w:tcPr>
            <w:tcW w:w="0" w:type="auto"/>
            <w:hideMark/>
          </w:tcPr>
          <w:p w14:paraId="7627CA28"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0.42</w:t>
            </w:r>
          </w:p>
        </w:tc>
        <w:tc>
          <w:tcPr>
            <w:tcW w:w="0" w:type="auto"/>
            <w:hideMark/>
          </w:tcPr>
          <w:p w14:paraId="6F83529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3.84</w:t>
            </w:r>
          </w:p>
        </w:tc>
        <w:tc>
          <w:tcPr>
            <w:tcW w:w="0" w:type="auto"/>
            <w:hideMark/>
          </w:tcPr>
          <w:p w14:paraId="1C03969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1.32 ± 0.91</w:t>
            </w:r>
          </w:p>
        </w:tc>
      </w:tr>
      <w:tr w:rsidR="00B45AE1" w:rsidRPr="00B45AE1" w14:paraId="588E3993" w14:textId="77777777" w:rsidTr="00DF0BA0">
        <w:tc>
          <w:tcPr>
            <w:tcW w:w="0" w:type="auto"/>
            <w:hideMark/>
          </w:tcPr>
          <w:p w14:paraId="1F7D7C9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Residual Chlorine (mg/L)</w:t>
            </w:r>
          </w:p>
        </w:tc>
        <w:tc>
          <w:tcPr>
            <w:tcW w:w="0" w:type="auto"/>
            <w:hideMark/>
          </w:tcPr>
          <w:p w14:paraId="2C21F5B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0.18</w:t>
            </w:r>
          </w:p>
        </w:tc>
        <w:tc>
          <w:tcPr>
            <w:tcW w:w="0" w:type="auto"/>
            <w:hideMark/>
          </w:tcPr>
          <w:p w14:paraId="2DDD2CA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0.82</w:t>
            </w:r>
          </w:p>
        </w:tc>
        <w:tc>
          <w:tcPr>
            <w:tcW w:w="0" w:type="auto"/>
            <w:hideMark/>
          </w:tcPr>
          <w:p w14:paraId="1907BA9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0.48 ± 0.23</w:t>
            </w:r>
          </w:p>
        </w:tc>
      </w:tr>
      <w:tr w:rsidR="00B45AE1" w:rsidRPr="00B45AE1" w14:paraId="6472FAC0" w14:textId="77777777" w:rsidTr="00DF0BA0">
        <w:tc>
          <w:tcPr>
            <w:tcW w:w="0" w:type="auto"/>
            <w:hideMark/>
          </w:tcPr>
          <w:p w14:paraId="6343ACD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Total THMs (µg/L)</w:t>
            </w:r>
          </w:p>
        </w:tc>
        <w:tc>
          <w:tcPr>
            <w:tcW w:w="0" w:type="auto"/>
            <w:hideMark/>
          </w:tcPr>
          <w:p w14:paraId="364BB32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18.64</w:t>
            </w:r>
          </w:p>
        </w:tc>
        <w:tc>
          <w:tcPr>
            <w:tcW w:w="0" w:type="auto"/>
            <w:hideMark/>
          </w:tcPr>
          <w:p w14:paraId="1124348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96.82</w:t>
            </w:r>
          </w:p>
        </w:tc>
        <w:tc>
          <w:tcPr>
            <w:tcW w:w="0" w:type="auto"/>
            <w:hideMark/>
          </w:tcPr>
          <w:p w14:paraId="3500380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57.95 ± 25.62</w:t>
            </w:r>
          </w:p>
        </w:tc>
      </w:tr>
      <w:tr w:rsidR="00B45AE1" w:rsidRPr="00B45AE1" w14:paraId="05CE7858" w14:textId="77777777" w:rsidTr="00DF0BA0">
        <w:tc>
          <w:tcPr>
            <w:tcW w:w="0" w:type="auto"/>
            <w:hideMark/>
          </w:tcPr>
          <w:p w14:paraId="2A0A822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Total HAAs (µg/L)</w:t>
            </w:r>
          </w:p>
        </w:tc>
        <w:tc>
          <w:tcPr>
            <w:tcW w:w="0" w:type="auto"/>
            <w:hideMark/>
          </w:tcPr>
          <w:p w14:paraId="702FC2F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8.42</w:t>
            </w:r>
          </w:p>
        </w:tc>
        <w:tc>
          <w:tcPr>
            <w:tcW w:w="0" w:type="auto"/>
            <w:hideMark/>
          </w:tcPr>
          <w:p w14:paraId="7356A144"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52.84</w:t>
            </w:r>
          </w:p>
        </w:tc>
        <w:tc>
          <w:tcPr>
            <w:tcW w:w="0" w:type="auto"/>
            <w:hideMark/>
          </w:tcPr>
          <w:p w14:paraId="5D75A882"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33.54 ± 14.62</w:t>
            </w:r>
          </w:p>
        </w:tc>
      </w:tr>
      <w:tr w:rsidR="00B45AE1" w:rsidRPr="00B45AE1" w14:paraId="4DB5BBB0" w14:textId="77777777" w:rsidTr="00DF0BA0">
        <w:tc>
          <w:tcPr>
            <w:tcW w:w="0" w:type="auto"/>
            <w:hideMark/>
          </w:tcPr>
          <w:p w14:paraId="5CEB77C6"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Lead (mg/L)</w:t>
            </w:r>
          </w:p>
        </w:tc>
        <w:tc>
          <w:tcPr>
            <w:tcW w:w="0" w:type="auto"/>
            <w:hideMark/>
          </w:tcPr>
          <w:p w14:paraId="505EBC6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0.002</w:t>
            </w:r>
          </w:p>
        </w:tc>
        <w:tc>
          <w:tcPr>
            <w:tcW w:w="0" w:type="auto"/>
            <w:hideMark/>
          </w:tcPr>
          <w:p w14:paraId="5D6F5EBD"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0.026</w:t>
            </w:r>
          </w:p>
        </w:tc>
        <w:tc>
          <w:tcPr>
            <w:tcW w:w="0" w:type="auto"/>
            <w:hideMark/>
          </w:tcPr>
          <w:p w14:paraId="14925AE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0.015 ± 0.008</w:t>
            </w:r>
          </w:p>
        </w:tc>
      </w:tr>
      <w:tr w:rsidR="00B45AE1" w:rsidRPr="00B45AE1" w14:paraId="46BC07EA" w14:textId="77777777" w:rsidTr="00DF0BA0">
        <w:tc>
          <w:tcPr>
            <w:tcW w:w="0" w:type="auto"/>
            <w:hideMark/>
          </w:tcPr>
          <w:p w14:paraId="4FEE2721"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Cadmium (mg/L)</w:t>
            </w:r>
          </w:p>
        </w:tc>
        <w:tc>
          <w:tcPr>
            <w:tcW w:w="0" w:type="auto"/>
            <w:hideMark/>
          </w:tcPr>
          <w:p w14:paraId="7E5FEECE"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0.001</w:t>
            </w:r>
          </w:p>
        </w:tc>
        <w:tc>
          <w:tcPr>
            <w:tcW w:w="0" w:type="auto"/>
            <w:hideMark/>
          </w:tcPr>
          <w:p w14:paraId="4159628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0.006</w:t>
            </w:r>
          </w:p>
        </w:tc>
        <w:tc>
          <w:tcPr>
            <w:tcW w:w="0" w:type="auto"/>
            <w:hideMark/>
          </w:tcPr>
          <w:p w14:paraId="1D259B1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0.003 ± 0.002</w:t>
            </w:r>
          </w:p>
        </w:tc>
      </w:tr>
      <w:tr w:rsidR="00B45AE1" w:rsidRPr="00B45AE1" w14:paraId="289C938A" w14:textId="77777777" w:rsidTr="00DF0BA0">
        <w:tc>
          <w:tcPr>
            <w:tcW w:w="0" w:type="auto"/>
            <w:hideMark/>
          </w:tcPr>
          <w:p w14:paraId="3688832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Chromium (mg/L)</w:t>
            </w:r>
          </w:p>
        </w:tc>
        <w:tc>
          <w:tcPr>
            <w:tcW w:w="0" w:type="auto"/>
            <w:hideMark/>
          </w:tcPr>
          <w:p w14:paraId="2E1D807C"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0.004</w:t>
            </w:r>
          </w:p>
        </w:tc>
        <w:tc>
          <w:tcPr>
            <w:tcW w:w="0" w:type="auto"/>
            <w:hideMark/>
          </w:tcPr>
          <w:p w14:paraId="3CD6E9CB"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0.038</w:t>
            </w:r>
          </w:p>
        </w:tc>
        <w:tc>
          <w:tcPr>
            <w:tcW w:w="0" w:type="auto"/>
            <w:hideMark/>
          </w:tcPr>
          <w:p w14:paraId="1BD3D4E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0.022 ± 0.011</w:t>
            </w:r>
          </w:p>
        </w:tc>
      </w:tr>
      <w:tr w:rsidR="00B45AE1" w:rsidRPr="00B45AE1" w14:paraId="079FE442" w14:textId="77777777" w:rsidTr="00DF0BA0">
        <w:tc>
          <w:tcPr>
            <w:tcW w:w="0" w:type="auto"/>
            <w:hideMark/>
          </w:tcPr>
          <w:p w14:paraId="19D4F04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lastRenderedPageBreak/>
              <w:t>Iron (mg/L)</w:t>
            </w:r>
          </w:p>
        </w:tc>
        <w:tc>
          <w:tcPr>
            <w:tcW w:w="0" w:type="auto"/>
            <w:hideMark/>
          </w:tcPr>
          <w:p w14:paraId="191175E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0.12</w:t>
            </w:r>
          </w:p>
        </w:tc>
        <w:tc>
          <w:tcPr>
            <w:tcW w:w="0" w:type="auto"/>
            <w:hideMark/>
          </w:tcPr>
          <w:p w14:paraId="4DE60B85"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0.84</w:t>
            </w:r>
          </w:p>
        </w:tc>
        <w:tc>
          <w:tcPr>
            <w:tcW w:w="0" w:type="auto"/>
            <w:hideMark/>
          </w:tcPr>
          <w:p w14:paraId="0D54C1EA"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0.50 ± 0.23</w:t>
            </w:r>
          </w:p>
        </w:tc>
      </w:tr>
      <w:tr w:rsidR="00B45AE1" w:rsidRPr="00B45AE1" w14:paraId="0B095037" w14:textId="77777777" w:rsidTr="00DF0BA0">
        <w:tc>
          <w:tcPr>
            <w:tcW w:w="0" w:type="auto"/>
            <w:hideMark/>
          </w:tcPr>
          <w:p w14:paraId="1C047EF0"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Zinc (mg/L)</w:t>
            </w:r>
          </w:p>
        </w:tc>
        <w:tc>
          <w:tcPr>
            <w:tcW w:w="0" w:type="auto"/>
            <w:hideMark/>
          </w:tcPr>
          <w:p w14:paraId="7386712F"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0.08</w:t>
            </w:r>
          </w:p>
        </w:tc>
        <w:tc>
          <w:tcPr>
            <w:tcW w:w="0" w:type="auto"/>
            <w:hideMark/>
          </w:tcPr>
          <w:p w14:paraId="07B11A87"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0.62</w:t>
            </w:r>
          </w:p>
        </w:tc>
        <w:tc>
          <w:tcPr>
            <w:tcW w:w="0" w:type="auto"/>
            <w:hideMark/>
          </w:tcPr>
          <w:p w14:paraId="305369A9" w14:textId="77777777" w:rsidR="007145BC" w:rsidRPr="00B45AE1" w:rsidRDefault="007145BC" w:rsidP="001118E9">
            <w:pPr>
              <w:jc w:val="both"/>
              <w:rPr>
                <w:rFonts w:ascii="Times New Roman" w:eastAsia="Times New Roman" w:hAnsi="Times New Roman" w:cs="Times New Roman"/>
                <w:sz w:val="24"/>
                <w:szCs w:val="24"/>
                <w:lang w:eastAsia="en-GB"/>
              </w:rPr>
            </w:pPr>
            <w:r w:rsidRPr="00B45AE1">
              <w:rPr>
                <w:rFonts w:ascii="Times New Roman" w:eastAsia="Times New Roman" w:hAnsi="Times New Roman" w:cs="Times New Roman"/>
                <w:sz w:val="24"/>
                <w:szCs w:val="24"/>
                <w:lang w:eastAsia="en-GB"/>
              </w:rPr>
              <w:t>0.37 ± 0.18</w:t>
            </w:r>
          </w:p>
        </w:tc>
      </w:tr>
    </w:tbl>
    <w:p w14:paraId="7F56FCF5" w14:textId="77777777" w:rsidR="007145BC" w:rsidRPr="00B45AE1" w:rsidRDefault="007145BC" w:rsidP="001118E9">
      <w:pPr>
        <w:jc w:val="both"/>
        <w:rPr>
          <w:rFonts w:ascii="Times New Roman" w:hAnsi="Times New Roman" w:cs="Times New Roman"/>
          <w:sz w:val="24"/>
          <w:szCs w:val="24"/>
        </w:rPr>
      </w:pPr>
    </w:p>
    <w:p w14:paraId="47333EEF" w14:textId="77777777" w:rsidR="007145BC" w:rsidRPr="00B45AE1" w:rsidRDefault="007145BC" w:rsidP="001118E9">
      <w:pPr>
        <w:jc w:val="both"/>
        <w:rPr>
          <w:rFonts w:ascii="Times New Roman" w:hAnsi="Times New Roman" w:cs="Times New Roman"/>
          <w:sz w:val="24"/>
          <w:szCs w:val="24"/>
        </w:rPr>
      </w:pPr>
    </w:p>
    <w:p w14:paraId="14024173" w14:textId="77777777" w:rsidR="001118E9" w:rsidRPr="00B45AE1" w:rsidRDefault="001118E9" w:rsidP="001118E9">
      <w:pPr>
        <w:pStyle w:val="Heading2"/>
        <w:jc w:val="both"/>
        <w:rPr>
          <w:sz w:val="24"/>
          <w:szCs w:val="24"/>
        </w:rPr>
      </w:pPr>
      <w:r w:rsidRPr="00B45AE1">
        <w:rPr>
          <w:sz w:val="24"/>
          <w:szCs w:val="24"/>
        </w:rPr>
        <w:t>4.0 Discussion</w:t>
      </w:r>
    </w:p>
    <w:p w14:paraId="1222A171"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The study provides baseline evidence that regulated and emerging disinfection by-products (DBPs) occur across the sampled drinking-water categories in Rivers State, with marked spatial variation. The highest TTHM, HAA, chlorite, chlorate, bromate and </w:t>
      </w:r>
      <w:proofErr w:type="spellStart"/>
      <w:r w:rsidRPr="004823DC">
        <w:rPr>
          <w:rFonts w:ascii="Times New Roman" w:eastAsia="Times New Roman" w:hAnsi="Times New Roman" w:cs="Times New Roman"/>
          <w:sz w:val="24"/>
          <w:szCs w:val="24"/>
          <w:lang w:eastAsia="en-GB"/>
        </w:rPr>
        <w:t>haloacetonitrile</w:t>
      </w:r>
      <w:proofErr w:type="spellEnd"/>
      <w:r w:rsidRPr="004823DC">
        <w:rPr>
          <w:rFonts w:ascii="Times New Roman" w:eastAsia="Times New Roman" w:hAnsi="Times New Roman" w:cs="Times New Roman"/>
          <w:sz w:val="24"/>
          <w:szCs w:val="24"/>
          <w:lang w:eastAsia="en-GB"/>
        </w:rPr>
        <w:t xml:space="preserve"> concentrations were observed at Eleme, while the lowest values were generally observed in the sachet-water category. Because each source description was tied to particular locations, these patterns are interpreted as location-specific observations rather than evidence that one source type intrinsically produces more DBPs than another. This distinction is important because DBP formation depends on precursor concentration, bromide, disinfectant chemistry, dose, pH, temperature, contact time and distribution-system water age, as emphasised by the World Health Organization (WHO, 2022). Li and Mitch (2018) similarly noted that DBP occurrence is controlled by complex interactions among source-water composition, disinfectant characteristics and treatment conditions.</w:t>
      </w:r>
    </w:p>
    <w:p w14:paraId="559828D1"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Most measured physicochemical characteristics fell within commonly used drinking-water operational or acceptability ranges. pH ranged from 6.42 to 7.68, electrical conductivity from 86.4 to 468.2 µS/cm and total dissolved solids from 52.8 to 286.4 mg/L. The Bori sample category was slightly below pH 6.5, while conductivity and TDS indicated relatively low mineralisation. Comparable variability in physicochemical water-quality characteristics has been reported elsewhere in the Niger Delta, where anthropogenic activities and local </w:t>
      </w:r>
      <w:proofErr w:type="spellStart"/>
      <w:r w:rsidRPr="004823DC">
        <w:rPr>
          <w:rFonts w:ascii="Times New Roman" w:eastAsia="Times New Roman" w:hAnsi="Times New Roman" w:cs="Times New Roman"/>
          <w:sz w:val="24"/>
          <w:szCs w:val="24"/>
          <w:lang w:eastAsia="en-GB"/>
        </w:rPr>
        <w:t>hydrochemical</w:t>
      </w:r>
      <w:proofErr w:type="spellEnd"/>
      <w:r w:rsidRPr="004823DC">
        <w:rPr>
          <w:rFonts w:ascii="Times New Roman" w:eastAsia="Times New Roman" w:hAnsi="Times New Roman" w:cs="Times New Roman"/>
          <w:sz w:val="24"/>
          <w:szCs w:val="24"/>
          <w:lang w:eastAsia="en-GB"/>
        </w:rPr>
        <w:t xml:space="preserve"> conditions influence surface-water quality (Olotu et al., 2025). Ekpe et al. (2025) also demonstrated that chemical transport processes can modify the physicochemical characteristics of water used within agricultural environments in Rivers State. These variables are relevant because pH and dissolved constituents can influence disinfectant speciation, precursor reactivity and the distribution of DBP species; however, the present study did not measure dissolved organic carbon or bromide, so precursor-specific mechanisms cannot be established.</w:t>
      </w:r>
    </w:p>
    <w:p w14:paraId="4962BFAE"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Temperature ranged from 27.8 to 29.1 °C, consistent with the tropical setting, and turbidity ranged from 0.42 to 3.84 NTU. The relatively high turbidity recorded in Eleme may indicate a greater particulate burden, but its origin cannot be assigned from the current cross-sectional data. Environmental studies from Rivers State have demonstrated that industrial and petroleum-related activities can contribute particulate matter and metals to surrounding waters. For example, </w:t>
      </w:r>
      <w:proofErr w:type="spellStart"/>
      <w:r w:rsidRPr="004823DC">
        <w:rPr>
          <w:rFonts w:ascii="Times New Roman" w:eastAsia="Times New Roman" w:hAnsi="Times New Roman" w:cs="Times New Roman"/>
          <w:sz w:val="24"/>
          <w:szCs w:val="24"/>
          <w:lang w:eastAsia="en-GB"/>
        </w:rPr>
        <w:t>Aghanwa</w:t>
      </w:r>
      <w:proofErr w:type="spellEnd"/>
      <w:r w:rsidRPr="004823DC">
        <w:rPr>
          <w:rFonts w:ascii="Times New Roman" w:eastAsia="Times New Roman" w:hAnsi="Times New Roman" w:cs="Times New Roman"/>
          <w:sz w:val="24"/>
          <w:szCs w:val="24"/>
          <w:lang w:eastAsia="en-GB"/>
        </w:rPr>
        <w:t xml:space="preserve"> et al. (2025) reported atmospheric deposition of soot and heavy metals into surface waters of </w:t>
      </w:r>
      <w:proofErr w:type="spellStart"/>
      <w:r w:rsidRPr="004823DC">
        <w:rPr>
          <w:rFonts w:ascii="Times New Roman" w:eastAsia="Times New Roman" w:hAnsi="Times New Roman" w:cs="Times New Roman"/>
          <w:sz w:val="24"/>
          <w:szCs w:val="24"/>
          <w:lang w:eastAsia="en-GB"/>
        </w:rPr>
        <w:t>Ebocha</w:t>
      </w:r>
      <w:proofErr w:type="spellEnd"/>
      <w:r w:rsidRPr="004823DC">
        <w:rPr>
          <w:rFonts w:ascii="Times New Roman" w:eastAsia="Times New Roman" w:hAnsi="Times New Roman" w:cs="Times New Roman"/>
          <w:sz w:val="24"/>
          <w:szCs w:val="24"/>
          <w:lang w:eastAsia="en-GB"/>
        </w:rPr>
        <w:t xml:space="preserve">. Similarly, </w:t>
      </w:r>
      <w:proofErr w:type="spellStart"/>
      <w:r w:rsidRPr="004823DC">
        <w:rPr>
          <w:rFonts w:ascii="Times New Roman" w:eastAsia="Times New Roman" w:hAnsi="Times New Roman" w:cs="Times New Roman"/>
          <w:sz w:val="24"/>
          <w:szCs w:val="24"/>
          <w:lang w:eastAsia="en-GB"/>
        </w:rPr>
        <w:t>Okpoji, Ogbaji, et al. (2025)</w:t>
      </w:r>
      <w:proofErr w:type="spellEnd"/>
      <w:r w:rsidRPr="004823DC">
        <w:rPr>
          <w:rFonts w:ascii="Times New Roman" w:eastAsia="Times New Roman" w:hAnsi="Times New Roman" w:cs="Times New Roman"/>
          <w:sz w:val="24"/>
          <w:szCs w:val="24"/>
          <w:lang w:eastAsia="en-GB"/>
        </w:rPr>
        <w:t xml:space="preserve"> documented the transport of volatile organic compounds from gas-flaring activities into surface waters of </w:t>
      </w:r>
      <w:proofErr w:type="spellStart"/>
      <w:r w:rsidRPr="004823DC">
        <w:rPr>
          <w:rFonts w:ascii="Times New Roman" w:eastAsia="Times New Roman" w:hAnsi="Times New Roman" w:cs="Times New Roman"/>
          <w:sz w:val="24"/>
          <w:szCs w:val="24"/>
          <w:lang w:eastAsia="en-GB"/>
        </w:rPr>
        <w:t>Ogoniland</w:t>
      </w:r>
      <w:proofErr w:type="spellEnd"/>
      <w:r w:rsidRPr="004823DC">
        <w:rPr>
          <w:rFonts w:ascii="Times New Roman" w:eastAsia="Times New Roman" w:hAnsi="Times New Roman" w:cs="Times New Roman"/>
          <w:sz w:val="24"/>
          <w:szCs w:val="24"/>
          <w:lang w:eastAsia="en-GB"/>
        </w:rPr>
        <w:t>. Temperature can accelerate reaction kinetics, while particulate and organic matter may influence disinfectant demand; nevertheless, direct evaluation of these mechanisms would require treatment-history and precursor measurements that were not available in the present study.</w:t>
      </w:r>
    </w:p>
    <w:p w14:paraId="6C60434F"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lastRenderedPageBreak/>
        <w:t>Residual free chlorine ranged from 0.18 to 0.82 mg/L. Bonny recorded the highest residual chlorine concentration of 0.82 mg/L, whereas Eleme recorded the lowest value of 0.18 mg/L. This pattern contradicts a simple interpretation that the highest measured DBPs were caused by the highest residual chlorine, because Eleme simultaneously recorded the highest TTHM concentration. Residual chlorine represents the chlorine remaining at the point of sampling and is not equivalent to the original disinfectant dose or cumulative contact time. WHO (2022) recognises disinfectant dose, reaction time, precursor composition and water chemistry as interacting determinants of DBP formation. Accordingly, the findings support an association with broader treatment and source-water conditions rather than a direct causal claim concerning chlorine dosage.</w:t>
      </w:r>
    </w:p>
    <w:p w14:paraId="44032A61"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Total THMs ranged from 18.64 ± 1.42 µg/L in sachet water to 96.82 ± 4.24 µg/L in Eleme. Bonny, with 89.16 ± 4.18 µg/L, and Port Harcourt, with 85.16 ± 4.08 µg/L, also exceeded the U.S. Environmental Protection Agency maximum contaminant level of 80 µg/L for total trihalomethanes (United States Environmental Protection Agency [U.S. EPA], n.d.). Chloroform was the predominant THM species. WHO (2022) does not recommend deriving a total-THM guideline simply by summing individual guideline values; therefore, the 80 µg/L comparison in this study is specifically identified as a U.S. EPA regulatory benchmark rather than a WHO limit. Li and Mitch (2018) described THMs as among the best-characterised DBPs because of their widespread occurrence and continued toxicological and epidemiological relevance.</w:t>
      </w:r>
    </w:p>
    <w:p w14:paraId="487DAEAB"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The TTHM concentrations recorded in the present study also need to be interpreted within the environmental setting of the Niger Delta. </w:t>
      </w:r>
      <w:proofErr w:type="spellStart"/>
      <w:r w:rsidRPr="004823DC">
        <w:rPr>
          <w:rFonts w:ascii="Times New Roman" w:eastAsia="Times New Roman" w:hAnsi="Times New Roman" w:cs="Times New Roman"/>
          <w:sz w:val="24"/>
          <w:szCs w:val="24"/>
          <w:lang w:eastAsia="en-GB"/>
        </w:rPr>
        <w:t>Okpoji, Umeocho, et al. (2025)</w:t>
      </w:r>
      <w:proofErr w:type="spellEnd"/>
      <w:r w:rsidRPr="004823DC">
        <w:rPr>
          <w:rFonts w:ascii="Times New Roman" w:eastAsia="Times New Roman" w:hAnsi="Times New Roman" w:cs="Times New Roman"/>
          <w:sz w:val="24"/>
          <w:szCs w:val="24"/>
          <w:lang w:eastAsia="en-GB"/>
        </w:rPr>
        <w:t xml:space="preserve"> reported heavy metals and hydrocarbon pollution in surface waters of oil-bearing communities in Andoni, while </w:t>
      </w:r>
      <w:proofErr w:type="spellStart"/>
      <w:r w:rsidRPr="004823DC">
        <w:rPr>
          <w:rFonts w:ascii="Times New Roman" w:eastAsia="Times New Roman" w:hAnsi="Times New Roman" w:cs="Times New Roman"/>
          <w:sz w:val="24"/>
          <w:szCs w:val="24"/>
          <w:lang w:eastAsia="en-GB"/>
        </w:rPr>
        <w:t>Isueken</w:t>
      </w:r>
      <w:proofErr w:type="spellEnd"/>
      <w:r w:rsidRPr="004823DC">
        <w:rPr>
          <w:rFonts w:ascii="Times New Roman" w:eastAsia="Times New Roman" w:hAnsi="Times New Roman" w:cs="Times New Roman"/>
          <w:sz w:val="24"/>
          <w:szCs w:val="24"/>
          <w:lang w:eastAsia="en-GB"/>
        </w:rPr>
        <w:t xml:space="preserve"> et al. (2025) identified petroleum hydrocarbon fractions and heavy metals in surface water from Southern Ijaw. </w:t>
      </w:r>
      <w:proofErr w:type="spellStart"/>
      <w:r w:rsidRPr="004823DC">
        <w:rPr>
          <w:rFonts w:ascii="Times New Roman" w:eastAsia="Times New Roman" w:hAnsi="Times New Roman" w:cs="Times New Roman"/>
          <w:sz w:val="24"/>
          <w:szCs w:val="24"/>
          <w:lang w:eastAsia="en-GB"/>
        </w:rPr>
        <w:t>Okpoji, Orji-Azuka, et al. (2025) similarly reported surfactant and heavy-metal contamination in urban rivers of Benin City. Okpoji, Eboh-Ajoku, et al. (2025) also reported BTEX and PAHs in water and sediment samples from the Bonny River.</w:t>
      </w:r>
      <w:proofErr w:type="spellEnd"/>
      <w:r w:rsidRPr="004823DC">
        <w:rPr>
          <w:rFonts w:ascii="Times New Roman" w:eastAsia="Times New Roman" w:hAnsi="Times New Roman" w:cs="Times New Roman"/>
          <w:sz w:val="24"/>
          <w:szCs w:val="24"/>
          <w:lang w:eastAsia="en-GB"/>
        </w:rPr>
        <w:t xml:space="preserve"> These studies do not constitute direct evidence of DBP formation, but they demonstrate the broader regional burden of anthropogenic contaminants that may affect source-water quality. Current epidemiological evidence further supports efforts to minimise unnecessary long-term DBP exposure while preserving effective microbial disinfection (Shi et al., 2024).</w:t>
      </w:r>
    </w:p>
    <w:p w14:paraId="18A2B163"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Total HAA concentrations ranged from 8.42 ± 0.62 to 52.84 ± 2.28 µg/L and remained below the U.S. EPA HAA5 maximum contaminant level of 60 µg/L (U.S. EPA, n.d.). Trichloroacetic and dichloroacetic acids were the dominant measured HAA species. The co-occurrence of elevated THMs and HAAs in several locations is consistent with their shared dependence on organic precursors and disinfection conditions. Li and Mitch (2018) explained that differences in organic precursor composition and treatment chemistry can considerably influence the relative formation of individual DBP classes. However, the present design cannot establish a common causal pathway because dissolved organic carbon, bromide, applied disinfectant dose and contact time were not measured.</w:t>
      </w:r>
    </w:p>
    <w:p w14:paraId="347BDF95"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Chlorite, chlorate, bromate and </w:t>
      </w:r>
      <w:proofErr w:type="spellStart"/>
      <w:r w:rsidRPr="004823DC">
        <w:rPr>
          <w:rFonts w:ascii="Times New Roman" w:eastAsia="Times New Roman" w:hAnsi="Times New Roman" w:cs="Times New Roman"/>
          <w:sz w:val="24"/>
          <w:szCs w:val="24"/>
          <w:lang w:eastAsia="en-GB"/>
        </w:rPr>
        <w:t>haloacetonitriles</w:t>
      </w:r>
      <w:proofErr w:type="spellEnd"/>
      <w:r w:rsidRPr="004823DC">
        <w:rPr>
          <w:rFonts w:ascii="Times New Roman" w:eastAsia="Times New Roman" w:hAnsi="Times New Roman" w:cs="Times New Roman"/>
          <w:sz w:val="24"/>
          <w:szCs w:val="24"/>
          <w:lang w:eastAsia="en-GB"/>
        </w:rPr>
        <w:t xml:space="preserve"> also varied among locations. These compounds should not be attributed to a single chlorination pathway. WHO (2022) identifies chlorite and chlorate particularly in relation to chlorine-dioxide and hypochlorite chemistry, whereas bromate is strongly associated with oxidation of bromide, including processes involving ozone. Bromate exceeded the U.S. EPA 10 µg/L maximum contaminant level at Port Harcourt, Eleme, Bonny and Degema (U.S. EPA, n.d.). Because disinfectant type and treatment </w:t>
      </w:r>
      <w:r w:rsidRPr="004823DC">
        <w:rPr>
          <w:rFonts w:ascii="Times New Roman" w:eastAsia="Times New Roman" w:hAnsi="Times New Roman" w:cs="Times New Roman"/>
          <w:sz w:val="24"/>
          <w:szCs w:val="24"/>
          <w:lang w:eastAsia="en-GB"/>
        </w:rPr>
        <w:lastRenderedPageBreak/>
        <w:t>history were not documented for every sampled supply, these results identify locations requiring greater monitoring rather than demonstrating treatment-specific causes.</w:t>
      </w:r>
    </w:p>
    <w:p w14:paraId="0F3D2EF3"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The spatial variability observed in the present investigation is also consistent with evidence that hydrogeochemical and hydrological conditions vary substantially across the Niger Delta. Okagbare et al. (2025) demonstrated differences in groundwater vulnerability to petroleum contamination in Yenagoa, while </w:t>
      </w:r>
      <w:proofErr w:type="spellStart"/>
      <w:r w:rsidRPr="004823DC">
        <w:rPr>
          <w:rFonts w:ascii="Times New Roman" w:eastAsia="Times New Roman" w:hAnsi="Times New Roman" w:cs="Times New Roman"/>
          <w:sz w:val="24"/>
          <w:szCs w:val="24"/>
          <w:lang w:eastAsia="en-GB"/>
        </w:rPr>
        <w:t>Umueni</w:t>
      </w:r>
      <w:proofErr w:type="spellEnd"/>
      <w:r w:rsidRPr="004823DC">
        <w:rPr>
          <w:rFonts w:ascii="Times New Roman" w:eastAsia="Times New Roman" w:hAnsi="Times New Roman" w:cs="Times New Roman"/>
          <w:sz w:val="24"/>
          <w:szCs w:val="24"/>
          <w:lang w:eastAsia="en-GB"/>
        </w:rPr>
        <w:t xml:space="preserve"> et al. (2026) reported that hydrological and sediment characteristics influenced contaminant distribution and ecotoxicological risk in the </w:t>
      </w:r>
      <w:proofErr w:type="spellStart"/>
      <w:r w:rsidRPr="004823DC">
        <w:rPr>
          <w:rFonts w:ascii="Times New Roman" w:eastAsia="Times New Roman" w:hAnsi="Times New Roman" w:cs="Times New Roman"/>
          <w:sz w:val="24"/>
          <w:szCs w:val="24"/>
          <w:lang w:eastAsia="en-GB"/>
        </w:rPr>
        <w:t>Orashi</w:t>
      </w:r>
      <w:proofErr w:type="spellEnd"/>
      <w:r w:rsidRPr="004823DC">
        <w:rPr>
          <w:rFonts w:ascii="Times New Roman" w:eastAsia="Times New Roman" w:hAnsi="Times New Roman" w:cs="Times New Roman"/>
          <w:sz w:val="24"/>
          <w:szCs w:val="24"/>
          <w:lang w:eastAsia="en-GB"/>
        </w:rPr>
        <w:t xml:space="preserve"> River. </w:t>
      </w:r>
      <w:proofErr w:type="spellStart"/>
      <w:r w:rsidRPr="004823DC">
        <w:rPr>
          <w:rFonts w:ascii="Times New Roman" w:eastAsia="Times New Roman" w:hAnsi="Times New Roman" w:cs="Times New Roman"/>
          <w:sz w:val="24"/>
          <w:szCs w:val="24"/>
          <w:lang w:eastAsia="en-GB"/>
        </w:rPr>
        <w:t>Umueni</w:t>
      </w:r>
      <w:proofErr w:type="spellEnd"/>
      <w:r w:rsidRPr="004823DC">
        <w:rPr>
          <w:rFonts w:ascii="Times New Roman" w:eastAsia="Times New Roman" w:hAnsi="Times New Roman" w:cs="Times New Roman"/>
          <w:sz w:val="24"/>
          <w:szCs w:val="24"/>
          <w:lang w:eastAsia="en-GB"/>
        </w:rPr>
        <w:t xml:space="preserve"> et al. (2025) similarly documented petroleum hydrocarbon contamination in sediments of the </w:t>
      </w:r>
      <w:proofErr w:type="spellStart"/>
      <w:r w:rsidRPr="004823DC">
        <w:rPr>
          <w:rFonts w:ascii="Times New Roman" w:eastAsia="Times New Roman" w:hAnsi="Times New Roman" w:cs="Times New Roman"/>
          <w:sz w:val="24"/>
          <w:szCs w:val="24"/>
          <w:lang w:eastAsia="en-GB"/>
        </w:rPr>
        <w:t>Forcados</w:t>
      </w:r>
      <w:proofErr w:type="spellEnd"/>
      <w:r w:rsidRPr="004823DC">
        <w:rPr>
          <w:rFonts w:ascii="Times New Roman" w:eastAsia="Times New Roman" w:hAnsi="Times New Roman" w:cs="Times New Roman"/>
          <w:sz w:val="24"/>
          <w:szCs w:val="24"/>
          <w:lang w:eastAsia="en-GB"/>
        </w:rPr>
        <w:t xml:space="preserve"> River. Although these studies investigated environmental contaminants rather than drinking-water DBPs, they reinforce the importance of considering local source-water and environmental conditions when interpreting spatial differences.</w:t>
      </w:r>
    </w:p>
    <w:p w14:paraId="393ECF42"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Lead and cadmium exceeded WHO guideline values at several locations, whereas chromium remained below 0.05 mg/L throughout the dataset. Iron exceeded the commonly applied 0.3 mg/L acceptability or operational reference at several locations. These findings correct the earlier internal inconsistency that described chromium as exceeding its permissible limit. The occurrence of metals in Niger Delta environmental matrices is well documented. Izuchukwu, Akpan, et al. (2026) reported heavy-metal contamination and toxicological risks in agricultural soils from Eleme, while Ekpe et al. (2026) demonstrated heavy-metal enrichment and ecological risk in </w:t>
      </w:r>
      <w:proofErr w:type="spellStart"/>
      <w:r w:rsidRPr="004823DC">
        <w:rPr>
          <w:rFonts w:ascii="Times New Roman" w:eastAsia="Times New Roman" w:hAnsi="Times New Roman" w:cs="Times New Roman"/>
          <w:sz w:val="24"/>
          <w:szCs w:val="24"/>
          <w:lang w:eastAsia="en-GB"/>
        </w:rPr>
        <w:t>Orashi</w:t>
      </w:r>
      <w:proofErr w:type="spellEnd"/>
      <w:r w:rsidRPr="004823DC">
        <w:rPr>
          <w:rFonts w:ascii="Times New Roman" w:eastAsia="Times New Roman" w:hAnsi="Times New Roman" w:cs="Times New Roman"/>
          <w:sz w:val="24"/>
          <w:szCs w:val="24"/>
          <w:lang w:eastAsia="en-GB"/>
        </w:rPr>
        <w:t xml:space="preserve"> River sediments. Heavy-metal contamination and associated human-health risks have also been reported in the Nun River by Izuchukwu, Ebikienmo, et al. (2026). Although these environmental matrices differ from treated drinking water, the findings provide relevant regional context for the metal contamination observed in the present investigation.</w:t>
      </w:r>
    </w:p>
    <w:p w14:paraId="39A1EC8C"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The concurrent presence of metals and DBPs emphasises that chemical water-quality management in Rivers State should address both treatment-related by-products and contaminants originating from source waters or distribution systems. Previous investigations have demonstrated substantial contaminant burdens in aquatic organisms and sediments within the Niger Delta. </w:t>
      </w:r>
      <w:proofErr w:type="spellStart"/>
      <w:r w:rsidRPr="004823DC">
        <w:rPr>
          <w:rFonts w:ascii="Times New Roman" w:eastAsia="Times New Roman" w:hAnsi="Times New Roman" w:cs="Times New Roman"/>
          <w:sz w:val="24"/>
          <w:szCs w:val="24"/>
          <w:lang w:eastAsia="en-GB"/>
        </w:rPr>
        <w:t>Anarado</w:t>
      </w:r>
      <w:proofErr w:type="spellEnd"/>
      <w:r w:rsidRPr="004823DC">
        <w:rPr>
          <w:rFonts w:ascii="Times New Roman" w:eastAsia="Times New Roman" w:hAnsi="Times New Roman" w:cs="Times New Roman"/>
          <w:sz w:val="24"/>
          <w:szCs w:val="24"/>
          <w:lang w:eastAsia="en-GB"/>
        </w:rPr>
        <w:t xml:space="preserve"> et al. (2023), for example, reported bioaccumulation of lead, cadmium, arsenic and mercury in blue crabs from Bayelsa State, while </w:t>
      </w:r>
      <w:proofErr w:type="spellStart"/>
      <w:r w:rsidRPr="004823DC">
        <w:rPr>
          <w:rFonts w:ascii="Times New Roman" w:eastAsia="Times New Roman" w:hAnsi="Times New Roman" w:cs="Times New Roman"/>
          <w:sz w:val="24"/>
          <w:szCs w:val="24"/>
          <w:lang w:eastAsia="en-GB"/>
        </w:rPr>
        <w:t>Ogbaji</w:t>
      </w:r>
      <w:proofErr w:type="spellEnd"/>
      <w:r w:rsidRPr="004823DC">
        <w:rPr>
          <w:rFonts w:ascii="Times New Roman" w:eastAsia="Times New Roman" w:hAnsi="Times New Roman" w:cs="Times New Roman"/>
          <w:sz w:val="24"/>
          <w:szCs w:val="24"/>
          <w:lang w:eastAsia="en-GB"/>
        </w:rPr>
        <w:t xml:space="preserve"> et al. (2025) demonstrated seasonal hydrocarbon contamination of sediments and biota in the Bonny Estuary. </w:t>
      </w:r>
      <w:proofErr w:type="spellStart"/>
      <w:r w:rsidRPr="004823DC">
        <w:rPr>
          <w:rFonts w:ascii="Times New Roman" w:eastAsia="Times New Roman" w:hAnsi="Times New Roman" w:cs="Times New Roman"/>
          <w:sz w:val="24"/>
          <w:szCs w:val="24"/>
          <w:lang w:eastAsia="en-GB"/>
        </w:rPr>
        <w:t>Okpoji, Akpan, et al. (2025)</w:t>
      </w:r>
      <w:proofErr w:type="spellEnd"/>
      <w:r w:rsidRPr="004823DC">
        <w:rPr>
          <w:rFonts w:ascii="Times New Roman" w:eastAsia="Times New Roman" w:hAnsi="Times New Roman" w:cs="Times New Roman"/>
          <w:sz w:val="24"/>
          <w:szCs w:val="24"/>
          <w:lang w:eastAsia="en-GB"/>
        </w:rPr>
        <w:t xml:space="preserve"> likewise documented heavy-metal and polycyclic aromatic hydrocarbon accumulation in estuarine fish from the Andoni Estuary. These studies are not direct DBP investigations, but they illustrate the broader regional exposure context and the need for integrated chemical water-quality surveillance.</w:t>
      </w:r>
    </w:p>
    <w:p w14:paraId="13FC7AF9"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Similar concerns have been demonstrated in other biological matrices. </w:t>
      </w:r>
      <w:proofErr w:type="spellStart"/>
      <w:r w:rsidRPr="004823DC">
        <w:rPr>
          <w:rFonts w:ascii="Times New Roman" w:eastAsia="Times New Roman" w:hAnsi="Times New Roman" w:cs="Times New Roman"/>
          <w:sz w:val="24"/>
          <w:szCs w:val="24"/>
          <w:lang w:eastAsia="en-GB"/>
        </w:rPr>
        <w:t>Okpoji, Emem, et al. (2025)</w:t>
      </w:r>
      <w:proofErr w:type="spellEnd"/>
      <w:r w:rsidRPr="004823DC">
        <w:rPr>
          <w:rFonts w:ascii="Times New Roman" w:eastAsia="Times New Roman" w:hAnsi="Times New Roman" w:cs="Times New Roman"/>
          <w:sz w:val="24"/>
          <w:szCs w:val="24"/>
          <w:lang w:eastAsia="en-GB"/>
        </w:rPr>
        <w:t xml:space="preserve"> reported nickel, lead and cadmium bioaccumulation in </w:t>
      </w:r>
      <w:r w:rsidRPr="004823DC">
        <w:rPr>
          <w:rFonts w:ascii="Times New Roman" w:eastAsia="Times New Roman" w:hAnsi="Times New Roman" w:cs="Times New Roman"/>
          <w:i/>
          <w:iCs/>
          <w:sz w:val="24"/>
          <w:szCs w:val="24"/>
          <w:lang w:eastAsia="en-GB"/>
        </w:rPr>
        <w:t>Callinectes sapidus</w:t>
      </w:r>
      <w:r w:rsidRPr="004823DC">
        <w:rPr>
          <w:rFonts w:ascii="Times New Roman" w:eastAsia="Times New Roman" w:hAnsi="Times New Roman" w:cs="Times New Roman"/>
          <w:sz w:val="24"/>
          <w:szCs w:val="24"/>
          <w:lang w:eastAsia="en-GB"/>
        </w:rPr>
        <w:t xml:space="preserve"> from the Iko River, while </w:t>
      </w:r>
      <w:proofErr w:type="spellStart"/>
      <w:r w:rsidRPr="004823DC">
        <w:rPr>
          <w:rFonts w:ascii="Times New Roman" w:eastAsia="Times New Roman" w:hAnsi="Times New Roman" w:cs="Times New Roman"/>
          <w:sz w:val="24"/>
          <w:szCs w:val="24"/>
          <w:lang w:eastAsia="en-GB"/>
        </w:rPr>
        <w:t>Ohaturuonye</w:t>
      </w:r>
      <w:proofErr w:type="spellEnd"/>
      <w:r w:rsidRPr="004823DC">
        <w:rPr>
          <w:rFonts w:ascii="Times New Roman" w:eastAsia="Times New Roman" w:hAnsi="Times New Roman" w:cs="Times New Roman"/>
          <w:sz w:val="24"/>
          <w:szCs w:val="24"/>
          <w:lang w:eastAsia="en-GB"/>
        </w:rPr>
        <w:t xml:space="preserve"> et al. (2026) identified heavy-metal bioaccumulation and associated human-health risks in farmed and river-caught catfish from Rivers State. Mahmoud et al. (2026) also reported pharmaceutical residues and heavy-metal pollution in the Ikot Abasi Estuary. These findings further demonstrate that exposure to environmental contaminants in the Niger Delta may occur through multiple pathways, supporting the need to evaluate drinking-water contamination as one component of a broader environmental-health problem.</w:t>
      </w:r>
    </w:p>
    <w:p w14:paraId="58065A34"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The Estimated Daily Intake (EDI) and Chronic Daily Intake (CDI) calculations indicated higher modelled exposure for children than adults and a greater contribution from ingestion than dermal contact. These estimates represent screening-level exposure calculations rather than direct measurements of absorbed dose. Their interpretation depends on the exposure </w:t>
      </w:r>
      <w:r w:rsidRPr="004823DC">
        <w:rPr>
          <w:rFonts w:ascii="Times New Roman" w:eastAsia="Times New Roman" w:hAnsi="Times New Roman" w:cs="Times New Roman"/>
          <w:sz w:val="24"/>
          <w:szCs w:val="24"/>
          <w:lang w:eastAsia="en-GB"/>
        </w:rPr>
        <w:lastRenderedPageBreak/>
        <w:t xml:space="preserve">factors and compound-specific toxicological values adopted in the calculations. Similar screening approaches have been widely applied to evaluate contaminant exposure in Niger Delta environmental studies. For example, </w:t>
      </w:r>
      <w:proofErr w:type="spellStart"/>
      <w:r w:rsidRPr="004823DC">
        <w:rPr>
          <w:rFonts w:ascii="Times New Roman" w:eastAsia="Times New Roman" w:hAnsi="Times New Roman" w:cs="Times New Roman"/>
          <w:sz w:val="24"/>
          <w:szCs w:val="24"/>
          <w:lang w:eastAsia="en-GB"/>
        </w:rPr>
        <w:t>Etesin</w:t>
      </w:r>
      <w:proofErr w:type="spellEnd"/>
      <w:r w:rsidRPr="004823DC">
        <w:rPr>
          <w:rFonts w:ascii="Times New Roman" w:eastAsia="Times New Roman" w:hAnsi="Times New Roman" w:cs="Times New Roman"/>
          <w:sz w:val="24"/>
          <w:szCs w:val="24"/>
          <w:lang w:eastAsia="en-GB"/>
        </w:rPr>
        <w:t xml:space="preserve"> et al. (2025) applied health-risk assessment procedures to polychlorinated biphenyl contamination in soils and industrial effluents, while </w:t>
      </w:r>
      <w:proofErr w:type="spellStart"/>
      <w:r w:rsidRPr="004823DC">
        <w:rPr>
          <w:rFonts w:ascii="Times New Roman" w:eastAsia="Times New Roman" w:hAnsi="Times New Roman" w:cs="Times New Roman"/>
          <w:sz w:val="24"/>
          <w:szCs w:val="24"/>
          <w:lang w:eastAsia="en-GB"/>
        </w:rPr>
        <w:t>Okpoji, Etesin, et al. (2025)</w:t>
      </w:r>
      <w:proofErr w:type="spellEnd"/>
      <w:r w:rsidRPr="004823DC">
        <w:rPr>
          <w:rFonts w:ascii="Times New Roman" w:eastAsia="Times New Roman" w:hAnsi="Times New Roman" w:cs="Times New Roman"/>
          <w:sz w:val="24"/>
          <w:szCs w:val="24"/>
          <w:lang w:eastAsia="en-GB"/>
        </w:rPr>
        <w:t xml:space="preserve"> assessed ecological risks associated with metal contamination in estuarine sediments. Such indices are most appropriately interpreted as tools for prioritising further investigation rather than as direct predictions of individual disease.</w:t>
      </w:r>
    </w:p>
    <w:p w14:paraId="06BF5C21"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Individual HQ values were below one in the present screening calculations, while the combined Hazard Index reached 1.08 for children in Eleme. An HI slightly above one does not demonstrate that adverse effects will occur; instead, it indicates a potential cumulative non-carcinogenic concern that warrants additional verification using complete exposure-factor documentation, analyte-specific reference doses and repeated sampling. The interpretation of aggregate risk is particularly important because toxicological endpoints and reference doses vary among contaminants. WHO (2022) therefore supports chemical-specific assessment when evaluating risks from drinking-water contaminants.</w:t>
      </w:r>
    </w:p>
    <w:p w14:paraId="763E0C4A" w14:textId="77777777"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The pattern of higher child than adult screening indices is consistent with the greater intake-to-body-weight ratio typically applied in child exposure scenarios. However, site-specific water-consumption patterns were not measured in the present study. Regional investigations have similarly demonstrated that estimated health risks depend strongly on the exposure assumptions applied to particular populations and pathways. </w:t>
      </w:r>
      <w:proofErr w:type="spellStart"/>
      <w:r w:rsidRPr="004823DC">
        <w:rPr>
          <w:rFonts w:ascii="Times New Roman" w:eastAsia="Times New Roman" w:hAnsi="Times New Roman" w:cs="Times New Roman"/>
          <w:sz w:val="24"/>
          <w:szCs w:val="24"/>
          <w:lang w:eastAsia="en-GB"/>
        </w:rPr>
        <w:t>Ekwere</w:t>
      </w:r>
      <w:proofErr w:type="spellEnd"/>
      <w:r w:rsidRPr="004823DC">
        <w:rPr>
          <w:rFonts w:ascii="Times New Roman" w:eastAsia="Times New Roman" w:hAnsi="Times New Roman" w:cs="Times New Roman"/>
          <w:sz w:val="24"/>
          <w:szCs w:val="24"/>
          <w:lang w:eastAsia="en-GB"/>
        </w:rPr>
        <w:t xml:space="preserve"> et al. (2025), for instance, evaluated toxicological trade-offs associated with polycyclic aromatic hydrocarbon exposure through processed fish, illustrating the importance of defining the relevant exposure route and population assumptions. Future drinking-water assessments should therefore tabulate all exposure factors, reference doses and cancer slope factors and distinguish risks by individual analyte and route so that combined indices can be independently reproduced.</w:t>
      </w:r>
    </w:p>
    <w:p w14:paraId="456A7CD3" w14:textId="28A01EB1" w:rsidR="004823DC" w:rsidRPr="004823DC" w:rsidRDefault="004823DC" w:rsidP="004823DC">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823DC">
        <w:rPr>
          <w:rFonts w:ascii="Times New Roman" w:eastAsia="Times New Roman" w:hAnsi="Times New Roman" w:cs="Times New Roman"/>
          <w:sz w:val="24"/>
          <w:szCs w:val="24"/>
          <w:lang w:eastAsia="en-GB"/>
        </w:rPr>
        <w:t xml:space="preserve">The reported Incremental Lifetime Cancer Risk estimates fell within the conventional 10⁻⁶–10⁻⁴ screening range, with comparatively higher values in Eleme and Bonny. These estimates should be interpreted cautiously because cancer-risk calculations are sensitive to exposure duration, averaging time, route-specific dose assumptions and compound-specific cancer slope factors. Li and Mitch (2018) emphasised that uncertainties in exposure characterisation remain an important challenge in assessing the human-health effects of DBPs. More recently, Shi et al. (2024), in a systematic review and dose-response meta-analysis, reported epidemiological evidence linking long-term exposure to DBPs with increased cancer risk. </w:t>
      </w:r>
    </w:p>
    <w:p w14:paraId="0AA54A32" w14:textId="77777777" w:rsidR="00AA3615" w:rsidRPr="00B45AE1" w:rsidRDefault="0046656C">
      <w:pPr>
        <w:pStyle w:val="Heading2"/>
        <w:jc w:val="both"/>
        <w:rPr>
          <w:sz w:val="24"/>
          <w:szCs w:val="24"/>
        </w:rPr>
      </w:pPr>
      <w:r w:rsidRPr="00B45AE1">
        <w:rPr>
          <w:sz w:val="24"/>
          <w:szCs w:val="24"/>
        </w:rPr>
        <w:t>4.1 Study Limitations</w:t>
      </w:r>
    </w:p>
    <w:p w14:paraId="021C1D9C" w14:textId="77777777" w:rsidR="00AA3615" w:rsidRPr="00B45AE1" w:rsidRDefault="0046656C">
      <w:pPr>
        <w:jc w:val="both"/>
        <w:rPr>
          <w:rFonts w:ascii="Times New Roman" w:hAnsi="Times New Roman" w:cs="Times New Roman"/>
          <w:sz w:val="24"/>
          <w:szCs w:val="24"/>
        </w:rPr>
      </w:pPr>
      <w:r w:rsidRPr="00B45AE1">
        <w:rPr>
          <w:rFonts w:ascii="Times New Roman" w:hAnsi="Times New Roman" w:cs="Times New Roman"/>
          <w:sz w:val="24"/>
          <w:szCs w:val="24"/>
        </w:rPr>
        <w:t xml:space="preserve">This study was cross-sectional and represents a limited sampling period; seasonal variability was not assessed. The four water-source descriptions were unbalanced across locations, and the replicate structure did not support independent source-type inference. Detailed treatment histories-including disinfectant type and dose, contact/residence time, source-water origin and sachet-water brand/batch information-were not consistently available. Natural organic matter/dissolved organic carbon and bromide, which are important DBP precursors, were not measured. The manuscript records also did not retain analyte-specific LOD/LOQ and recovery data or the full exposure/toxicological parameter table required for complete independent reproduction of the screening risk calculations. These limitations restrict causal source </w:t>
      </w:r>
      <w:r w:rsidRPr="00B45AE1">
        <w:rPr>
          <w:rFonts w:ascii="Times New Roman" w:hAnsi="Times New Roman" w:cs="Times New Roman"/>
          <w:sz w:val="24"/>
          <w:szCs w:val="24"/>
        </w:rPr>
        <w:lastRenderedPageBreak/>
        <w:t>attribution and reinforce the need for repeated seasonal sampling with complete treatment metadata and archived analytical/risk-assessment worksheets.</w:t>
      </w:r>
    </w:p>
    <w:p w14:paraId="0BA89B0E" w14:textId="77777777" w:rsidR="001118E9" w:rsidRPr="00B45AE1" w:rsidRDefault="001118E9" w:rsidP="001118E9">
      <w:pPr>
        <w:pStyle w:val="Heading2"/>
        <w:jc w:val="both"/>
        <w:rPr>
          <w:sz w:val="24"/>
          <w:szCs w:val="24"/>
        </w:rPr>
      </w:pPr>
      <w:r w:rsidRPr="00B45AE1">
        <w:rPr>
          <w:sz w:val="24"/>
          <w:szCs w:val="24"/>
        </w:rPr>
        <w:t>Conclusion</w:t>
      </w:r>
    </w:p>
    <w:p w14:paraId="5E511019" w14:textId="77777777" w:rsidR="001118E9" w:rsidRPr="00B45AE1" w:rsidRDefault="001118E9" w:rsidP="001118E9">
      <w:pPr>
        <w:pStyle w:val="NormalWeb"/>
        <w:jc w:val="both"/>
      </w:pPr>
      <w:r w:rsidRPr="00B45AE1">
        <w:t>This study documented measurable concentrations of regulated and emerging disinfection by-products, selected metals and location-specific screening health-risk indices in drinking water from urban Rivers State. Most physicochemical variables were within commonly used operational ranges, but selected chemical benchmarks were exceeded: TTHMs were above the U.S. EPA 80 µg/L MCL at Eleme, Bonny and Port Harcourt; bromate exceeded 10 µg/L at four sampling categories; and lead, cadmium and iron were elevated at several locations. Chromium remained below the WHO guideline value throughout.</w:t>
      </w:r>
    </w:p>
    <w:p w14:paraId="66E37FC3" w14:textId="77777777" w:rsidR="001118E9" w:rsidRPr="00B45AE1" w:rsidRDefault="001118E9" w:rsidP="001118E9">
      <w:pPr>
        <w:pStyle w:val="NormalWeb"/>
        <w:jc w:val="both"/>
      </w:pPr>
      <w:r w:rsidRPr="00B45AE1">
        <w:t>The highest DBP concentrations occurred in Eleme despite Eleme having the lowest measured residual chlorine, demonstrating that the observed pattern cannot be explained by residual chlorine alone. In the absence of treatment-history, dissolved organic carbon and bromide data, the findings are interpreted as spatial associations rather than evidence of a specific causal treatment pathway. Water utilities should strengthen routine DBP monitoring, document disinfectant type/dose and contact time, optimise precursor removal and disinfection conditions, and investigate locations with elevated TTHMs or bromate while maintaining adequate microbial protection.</w:t>
      </w:r>
    </w:p>
    <w:p w14:paraId="40A953F3" w14:textId="77777777" w:rsidR="001118E9" w:rsidRPr="00B45AE1" w:rsidRDefault="001118E9" w:rsidP="001118E9">
      <w:pPr>
        <w:pStyle w:val="NormalWeb"/>
        <w:jc w:val="both"/>
      </w:pPr>
      <w:r w:rsidRPr="00B45AE1">
        <w:t>Screening non-carcinogenic indices were generally below one, although the child HI in Eleme reached 1.08, and reported ILCR values remained within the conventional screening range. Priority actions are repeated wet- and dry-season sampling; verification of the health-risk calculations with a transparent parameter table; routine measurement of natural organic matter and bromide; analyte-specific QA/QC reporting; and source-specific treatment audits. These measures would improve reproducibility, clarify formation pathways and support evidence-based optimisation of drinking-water treatment in Rivers State.</w:t>
      </w:r>
    </w:p>
    <w:p w14:paraId="3B0671A3" w14:textId="77777777" w:rsidR="009C2676" w:rsidRPr="00B45AE1" w:rsidRDefault="009C2676" w:rsidP="009C2676">
      <w:pPr>
        <w:spacing w:after="0" w:line="240" w:lineRule="auto"/>
        <w:rPr>
          <w:rFonts w:ascii="Times New Roman" w:hAnsi="Times New Roman" w:cs="Times New Roman"/>
          <w:b/>
          <w:sz w:val="24"/>
          <w:szCs w:val="24"/>
        </w:rPr>
      </w:pPr>
      <w:r w:rsidRPr="00B45AE1">
        <w:rPr>
          <w:rFonts w:ascii="Times New Roman" w:hAnsi="Times New Roman" w:cs="Times New Roman"/>
          <w:b/>
          <w:sz w:val="24"/>
          <w:szCs w:val="24"/>
        </w:rPr>
        <w:t>Declaration of AI Use</w:t>
      </w:r>
    </w:p>
    <w:p w14:paraId="01424453" w14:textId="77777777" w:rsidR="009C2676" w:rsidRPr="00B45AE1" w:rsidRDefault="009C2676" w:rsidP="009C2676">
      <w:pPr>
        <w:spacing w:after="0" w:line="240" w:lineRule="auto"/>
        <w:rPr>
          <w:rFonts w:ascii="Times New Roman" w:hAnsi="Times New Roman" w:cs="Times New Roman"/>
          <w:sz w:val="24"/>
          <w:szCs w:val="24"/>
        </w:rPr>
      </w:pPr>
    </w:p>
    <w:p w14:paraId="6643C9EA" w14:textId="77777777" w:rsidR="009C2676" w:rsidRPr="00B45AE1" w:rsidRDefault="009C2676" w:rsidP="009C2676">
      <w:pPr>
        <w:spacing w:after="0" w:line="240" w:lineRule="auto"/>
        <w:jc w:val="both"/>
        <w:rPr>
          <w:rFonts w:ascii="Times New Roman" w:hAnsi="Times New Roman" w:cs="Times New Roman"/>
          <w:sz w:val="24"/>
          <w:szCs w:val="24"/>
        </w:rPr>
      </w:pPr>
      <w:r w:rsidRPr="00B45AE1">
        <w:rPr>
          <w:rFonts w:ascii="Times New Roman" w:hAnsi="Times New Roman" w:cs="Times New Roman"/>
          <w:sz w:val="24"/>
          <w:szCs w:val="24"/>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w:t>
      </w:r>
      <w:r>
        <w:rPr>
          <w:rFonts w:ascii="Times New Roman" w:hAnsi="Times New Roman" w:cs="Times New Roman"/>
          <w:sz w:val="24"/>
          <w:szCs w:val="24"/>
          <w:highlight w:val="yellow"/>
        </w:rPr>
        <w:t>grammar checking, language refinement, and reference formatting.</w:t>
      </w:r>
      <w:r>
        <w:rPr>
          <w:rFonts w:ascii="Times New Roman" w:hAnsi="Times New Roman" w:cs="Times New Roman"/>
          <w:sz w:val="24"/>
          <w:szCs w:val="24"/>
        </w:rPr>
        <w:t xml:space="preserve">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1A604D4" w14:textId="77777777" w:rsidR="009C2676" w:rsidRPr="00B45AE1" w:rsidRDefault="009C2676" w:rsidP="001118E9">
      <w:pPr>
        <w:pStyle w:val="NormalWeb"/>
        <w:jc w:val="both"/>
      </w:pPr>
    </w:p>
    <w:p w14:paraId="691410C1" w14:textId="77777777" w:rsidR="007145BC" w:rsidRPr="00B45AE1" w:rsidRDefault="007145BC" w:rsidP="001118E9">
      <w:pPr>
        <w:pStyle w:val="pdq2pgselectionanchorcontainer"/>
        <w:jc w:val="both"/>
        <w:rPr>
          <w:b/>
          <w:bCs/>
        </w:rPr>
      </w:pPr>
      <w:r w:rsidRPr="00B45AE1">
        <w:rPr>
          <w:b/>
          <w:bCs/>
        </w:rPr>
        <w:t>REFERENCES</w:t>
      </w:r>
    </w:p>
    <w:p w14:paraId="4FDF0A1B"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Aghanwa, C. I., Umueni, U. E., Etukudo, N. J., Amachree, J. B., Okpoji, A. U., Ejeka, C. J., &amp; Ekwere, I. O. (2025). Atmospheric deposition of soot and heavy metals from gas flaring into surface waters of Ebocha, Rivers State, Nigeria. </w:t>
      </w:r>
      <w:r>
        <w:rPr>
          <w:rFonts w:ascii="Times New Roman" w:hAnsi="Times New Roman"/>
          <w:i/>
          <w:sz w:val="24"/>
        </w:rPr>
        <w:t>Asian Journal of Environment &amp; Ecology, 24</w:t>
      </w:r>
      <w:r>
        <w:rPr>
          <w:rFonts w:ascii="Times New Roman" w:hAnsi="Times New Roman"/>
          <w:i w:val="0"/>
          <w:sz w:val="24"/>
        </w:rPr>
        <w:t xml:space="preserve">(11), 137–147. </w:t>
      </w:r>
      <w:hyperlink r:id="rId42">
        <w:r>
          <w:rPr>
            <w:rFonts w:ascii="Times New Roman" w:hAnsi="Times New Roman"/>
            <w:sz w:val="24"/>
            <w:szCs w:val="24"/>
            <w:color w:val="000000"/>
            <w:u w:val="none"/>
          </w:rPr>
          <w:t>https://doi.org/10.9734/ajee/2025/v24i11822</w:t>
        </w:r>
      </w:hyperlink>
    </w:p>
    <w:p w14:paraId="3A939283"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Anarado, C. J. O., Okpoji, A. U., &amp; Anarado, C. E. (2023). Bioaccumulation and health risk assessment of lead, cadmium, arsenic, and mercury in blue crabs found in creeks in Bayelsa State of Niger Delta region of Nigeria. </w:t>
      </w:r>
      <w:r>
        <w:rPr>
          <w:rFonts w:ascii="Times New Roman" w:hAnsi="Times New Roman"/>
          <w:i/>
          <w:sz w:val="24"/>
        </w:rPr>
        <w:t>Asian Journal of Environment &amp; Ecology, 21</w:t>
      </w:r>
      <w:r>
        <w:rPr>
          <w:rFonts w:ascii="Times New Roman" w:hAnsi="Times New Roman"/>
          <w:i w:val="0"/>
          <w:sz w:val="24"/>
        </w:rPr>
        <w:t xml:space="preserve">(4), 46–59. </w:t>
      </w:r>
      <w:hyperlink r:id="rId43">
        <w:r>
          <w:rPr>
            <w:rFonts w:ascii="Times New Roman" w:hAnsi="Times New Roman"/>
            <w:sz w:val="24"/>
            <w:szCs w:val="24"/>
            <w:color w:val="000000"/>
            <w:u w:val="none"/>
          </w:rPr>
          <w:t>https://doi.org/10.9734/ajee/2023/v21i4469</w:t>
        </w:r>
      </w:hyperlink>
    </w:p>
    <w:p>
      <w:pPr>
        <w:spacing w:before="0" w:beforeAutospacing="1" w:after="0" w:afterAutospacing="1" w:line="240" w:lineRule="auto"/>
        <w:ind w:left="720" w:hanging="720"/>
        <w:rPr>
          <w:rFonts w:ascii="Times New Roman" w:eastAsia="Times New Roman" w:hAnsi="Times New Roman" w:cs="Times New Roman"/>
          <w:sz w:val="24"/>
          <w:szCs w:val="24"/>
          <w:lang w:val="en-US"/>
        </w:rPr>
      </w:pPr>
      <w:r>
        <w:rPr>
          <w:b/>
          <w:i w:val="0"/>
          <w:highlight w:val="yellow"/>
        </w:rPr>
        <w:t xml:space="preserve">Elele, N., Osuji, L. C., &amp; Nwankwoala, H. O. (2025). Water quality index of selected borehole water along pipeline routes in parts of Obio/Akpor Local Government Area, Rivers State Nigeria. </w:t>
      </w:r>
      <w:r>
        <w:rPr>
          <w:b/>
          <w:i/>
          <w:highlight w:val="yellow"/>
        </w:rPr>
        <w:t>Journal of Applied Chemical Science International</w:t>
      </w:r>
      <w:r>
        <w:rPr>
          <w:b/>
          <w:i w:val="0"/>
          <w:highlight w:val="yellow"/>
        </w:rPr>
        <w:t>, 16(2), 69–78. https://doi.org/10.56557/jacsi/2025/v16i29389</w:t>
      </w:r>
    </w:p>
    <w:p>
      <w:pPr>
        <w:spacing w:before="0" w:beforeAutospacing="1" w:after="0" w:afterAutospacing="1" w:line="240" w:lineRule="auto"/>
        <w:ind w:left="720" w:hanging="720"/>
        <w:rPr>
          <w:rFonts w:ascii="Times New Roman" w:eastAsia="Times New Roman" w:hAnsi="Times New Roman" w:cs="Times New Roman"/>
          <w:sz w:val="24"/>
          <w:szCs w:val="24"/>
          <w:lang w:val="en-US"/>
        </w:rPr>
      </w:pPr>
      <w:r>
        <w:rPr>
          <w:b/>
          <w:i w:val="0"/>
          <w:highlight w:val="yellow"/>
        </w:rPr>
        <w:t xml:space="preserve">Ekesiobi, S. U., Ekpe, J. E., Okpoji, A. U., Hassan, D. H., Ekwere, I. O., Awortu, R. C., Etesin, M. U., Nwofia, U., Okeke, C. F., &amp; Nwankwo, A. O. (2025). Hydrochemical characterisation and health-risk assessment of drinking water sources in Brass Island, Bayelsa State, Nigeria. </w:t>
      </w:r>
      <w:r>
        <w:rPr>
          <w:b/>
          <w:i/>
          <w:highlight w:val="yellow"/>
        </w:rPr>
        <w:t>Asian Journal of Chemical Sciences</w:t>
      </w:r>
      <w:r>
        <w:rPr>
          <w:b/>
          <w:i w:val="0"/>
          <w:highlight w:val="yellow"/>
        </w:rPr>
        <w:t>, 15(6), 64–76. https://doi.org/10.9734/ajocs/2025/v15i6406</w:t>
      </w:r>
    </w:p>
    <w:p w14:paraId="4A688A39"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Ekpe, J. E., Ede, N. E., Okpoji, A. U., Anumaka, C. C., Awa, E. O., Akpan, N. A., Otokwala, O. N., Osuagwu, E. L., Obi, J. N., &amp; Warder, A. B. (2026). Heavy metal geochemistry and ecological risk of stream sediments in the Orashi River, Niger Delta, Nigeria. </w:t>
      </w:r>
      <w:r>
        <w:rPr>
          <w:rFonts w:ascii="Times New Roman" w:hAnsi="Times New Roman"/>
          <w:i/>
          <w:sz w:val="24"/>
        </w:rPr>
        <w:t>Journal of Global Ecology and Environment, 22</w:t>
      </w:r>
      <w:r>
        <w:rPr>
          <w:rFonts w:ascii="Times New Roman" w:hAnsi="Times New Roman"/>
          <w:i w:val="0"/>
          <w:sz w:val="24"/>
        </w:rPr>
        <w:t xml:space="preserve">(1), 78–88. </w:t>
      </w:r>
      <w:hyperlink r:id="rId44">
        <w:r>
          <w:rPr>
            <w:rFonts w:ascii="Times New Roman" w:hAnsi="Times New Roman"/>
            <w:sz w:val="24"/>
            <w:szCs w:val="24"/>
            <w:color w:val="000000"/>
            <w:u w:val="none"/>
          </w:rPr>
          <w:t>https://doi.org/10.56557/jogee/2026/v22i110220</w:t>
        </w:r>
      </w:hyperlink>
    </w:p>
    <w:p w14:paraId="278B965C"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Ekpe, J. E., Okpoji, A. U., Ekwere, I. O., Anarado, C. J. O., Ewuola, A. A., Ufuoma, V. O., Okpanachi, C. B., Okonkwo, C. O., &amp; Obunezi, O. A. (2025). Physico-chemical transport of pesticides and nutrients in irrigation water and their fate in agro-ecosystems of Rivers State, Nigeria. </w:t>
      </w:r>
      <w:r>
        <w:rPr>
          <w:rFonts w:ascii="Times New Roman" w:hAnsi="Times New Roman"/>
          <w:i/>
          <w:sz w:val="24"/>
        </w:rPr>
        <w:t>Palgo Journal of Agriculture, 9</w:t>
      </w:r>
      <w:r>
        <w:rPr>
          <w:rFonts w:ascii="Times New Roman" w:hAnsi="Times New Roman"/>
          <w:i w:val="0"/>
          <w:sz w:val="24"/>
        </w:rPr>
        <w:t xml:space="preserve">(2), 30–37. </w:t>
      </w:r>
      <w:hyperlink r:id="rId45">
        <w:r>
          <w:rPr>
            <w:rFonts w:ascii="Times New Roman" w:hAnsi="Times New Roman"/>
            <w:sz w:val="24"/>
            <w:szCs w:val="24"/>
            <w:color w:val="000000"/>
            <w:u w:val="none"/>
          </w:rPr>
          <w:t>https://doi.org/10.5281/zenodo.17148360</w:t>
        </w:r>
      </w:hyperlink>
    </w:p>
    <w:p w14:paraId="3113FF3F"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Ekwere, I. O., Okpoji, A. U., Igwegbe, K. C., Okonkwo, C. O., Yekeen, A. A., Obunezi, O. C., Okpanachi, C. B., Garuba, M. H., Ogini, O. R., &amp; Odibo, U. E. (2025). Nutritional–toxicological trade-off: Comparative study of polycyclic aromatic hydrocarbons in smoked and oven-dried Nile tilapia (</w:t>
      </w:r>
      <w:r>
        <w:rPr>
          <w:rFonts w:ascii="Times New Roman" w:hAnsi="Times New Roman"/>
          <w:i/>
          <w:sz w:val="24"/>
        </w:rPr>
        <w:t>Oreochromis niloticus</w:t>
      </w:r>
      <w:r>
        <w:rPr>
          <w:rFonts w:ascii="Times New Roman" w:hAnsi="Times New Roman"/>
          <w:i w:val="0"/>
          <w:sz w:val="24"/>
        </w:rPr>
        <w:t xml:space="preserve">). </w:t>
      </w:r>
      <w:r>
        <w:rPr>
          <w:rFonts w:ascii="Times New Roman" w:hAnsi="Times New Roman"/>
          <w:i/>
          <w:sz w:val="24"/>
        </w:rPr>
        <w:t>Journal of Environment, Climate, and Ecology, 2</w:t>
      </w:r>
      <w:r>
        <w:rPr>
          <w:rFonts w:ascii="Times New Roman" w:hAnsi="Times New Roman"/>
          <w:i w:val="0"/>
          <w:sz w:val="24"/>
        </w:rPr>
        <w:t xml:space="preserve">(2), 90–97. </w:t>
      </w:r>
      <w:hyperlink r:id="rId46">
        <w:r>
          <w:rPr>
            <w:rFonts w:ascii="Times New Roman" w:hAnsi="Times New Roman"/>
            <w:sz w:val="24"/>
            <w:szCs w:val="24"/>
            <w:color w:val="000000"/>
            <w:u w:val="none"/>
          </w:rPr>
          <w:t>https://doi.org/10.69739/jece.v2i2.952</w:t>
        </w:r>
      </w:hyperlink>
    </w:p>
    <w:p w14:paraId="6733D3B9"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Etesin, M. U., Ezeabsili, P. I., Agu, M. O., Okeke, C. F., Olotu, O. N., Aligwo, M. C., Eze, V. C., Nwankwo, A. O., Okpoji, A. U., &amp; Ekong, I. U. (2025). Determination of polychlorinated biphenyls in soils and industrial effluents and health risks assessment in Uyo, Akwa Ibom State, Nigeria. </w:t>
      </w:r>
      <w:r>
        <w:rPr>
          <w:rFonts w:ascii="Times New Roman" w:hAnsi="Times New Roman"/>
          <w:i/>
          <w:sz w:val="24"/>
        </w:rPr>
        <w:t>Journal of Medical Science, Biology, and Chemistry, 2</w:t>
      </w:r>
      <w:r>
        <w:rPr>
          <w:rFonts w:ascii="Times New Roman" w:hAnsi="Times New Roman"/>
          <w:i w:val="0"/>
          <w:sz w:val="24"/>
        </w:rPr>
        <w:t xml:space="preserve">(2), 285–292. </w:t>
      </w:r>
      <w:hyperlink r:id="rId47">
        <w:r>
          <w:rPr>
            <w:rFonts w:ascii="Times New Roman" w:hAnsi="Times New Roman"/>
            <w:sz w:val="24"/>
            <w:szCs w:val="24"/>
            <w:color w:val="000000"/>
            <w:u w:val="none"/>
          </w:rPr>
          <w:t>https://doi.org/10.69739/jmsbc.v2i2.1258</w:t>
        </w:r>
      </w:hyperlink>
    </w:p>
    <w:p>
      <w:pPr>
        <w:spacing w:before="0" w:beforeAutospacing="1" w:after="0" w:afterAutospacing="1" w:line="240" w:lineRule="auto"/>
        <w:ind w:left="720" w:hanging="720"/>
        <w:rPr>
          <w:rFonts w:ascii="Times New Roman" w:eastAsia="Times New Roman" w:hAnsi="Times New Roman" w:cs="Times New Roman"/>
          <w:sz w:val="24"/>
          <w:szCs w:val="24"/>
          <w:lang w:val="en-US"/>
        </w:rPr>
      </w:pPr>
      <w:r>
        <w:rPr>
          <w:b/>
          <w:i w:val="0"/>
          <w:highlight w:val="yellow"/>
        </w:rPr>
        <w:t xml:space="preserve">Forster, A. L. B., Wiskur, S. L., &amp; Richardson, S. D. (2025). Formation of eight classes of DBPs from chlorine, chloramine, and ozone: Mechanisms and formation pathways. </w:t>
      </w:r>
      <w:r>
        <w:rPr>
          <w:b/>
          <w:i/>
          <w:highlight w:val="yellow"/>
        </w:rPr>
        <w:t>Environmental Science &amp; Technology</w:t>
      </w:r>
      <w:r>
        <w:rPr>
          <w:b/>
          <w:i w:val="0"/>
          <w:highlight w:val="yellow"/>
        </w:rPr>
        <w:t>, 59(30), 15594–15611. https://doi.org/10.1021/acs.est.5c02208</w:t>
      </w:r>
    </w:p>
    <w:p>
      <w:pPr>
        <w:spacing w:before="0" w:beforeAutospacing="1" w:after="0" w:afterAutospacing="1" w:line="240" w:lineRule="auto"/>
        <w:ind w:left="720" w:hanging="720"/>
        <w:rPr>
          <w:rFonts w:ascii="Times New Roman" w:eastAsia="Times New Roman" w:hAnsi="Times New Roman" w:cs="Times New Roman"/>
          <w:sz w:val="24"/>
          <w:szCs w:val="24"/>
          <w:lang w:val="en-US"/>
        </w:rPr>
      </w:pPr>
      <w:r>
        <w:rPr>
          <w:b/>
          <w:i w:val="0"/>
          <w:highlight w:val="yellow"/>
        </w:rPr>
        <w:t xml:space="preserve">Guo, X., Ji, X., Liu, Z., Feng, Z., Zhang, Z., Du, S., Li, X., Ma, J., &amp; Sun, Z. (2024). Complex impact of metals on the fate of disinfection by-products in drinking water pipelines: A systematic review. </w:t>
      </w:r>
      <w:r>
        <w:rPr>
          <w:b/>
          <w:i/>
          <w:highlight w:val="yellow"/>
        </w:rPr>
        <w:t>Water Research</w:t>
      </w:r>
      <w:r>
        <w:rPr>
          <w:b/>
          <w:i w:val="0"/>
          <w:highlight w:val="yellow"/>
        </w:rPr>
        <w:t>, 261, 121991. https://doi.org/10.1016/j.watres.2024.121991</w:t>
      </w:r>
    </w:p>
    <w:p>
      <w:pPr>
        <w:spacing w:before="0" w:beforeAutospacing="1" w:after="0" w:afterAutospacing="1" w:line="240" w:lineRule="auto"/>
        <w:ind w:left="720" w:hanging="720"/>
        <w:rPr>
          <w:rFonts w:ascii="Times New Roman" w:eastAsia="Times New Roman" w:hAnsi="Times New Roman" w:cs="Times New Roman"/>
          <w:sz w:val="24"/>
          <w:szCs w:val="24"/>
          <w:lang w:val="en-US"/>
        </w:rPr>
      </w:pPr>
      <w:r>
        <w:rPr>
          <w:b/>
          <w:i w:val="0"/>
          <w:highlight w:val="yellow"/>
        </w:rPr>
        <w:t xml:space="preserve">Helte, E., Söderlund, F., Säve-Söderbergh, M., Larsson, S. C., &amp; Åkesson, A. (2025). Exposure to drinking water trihalomethanes and risk of cancer: A systematic review of the epidemiologic evidence and dose-response meta-analysis. </w:t>
      </w:r>
      <w:r>
        <w:rPr>
          <w:b/>
          <w:i/>
          <w:highlight w:val="yellow"/>
        </w:rPr>
        <w:t>Environmental Health Perspectives</w:t>
      </w:r>
      <w:r>
        <w:rPr>
          <w:b/>
          <w:i w:val="0"/>
          <w:highlight w:val="yellow"/>
        </w:rPr>
        <w:t>, 133(1), 016001. https://doi.org/10.1289/EHP14505</w:t>
      </w:r>
    </w:p>
    <w:p w14:paraId="4A4E571E"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Isueken, C. O., Asemota, P. O., Isaac, S. C., Okpoji, A. U., Nwankwo, A. O., Akpan, N. A., Ekwere, I. O., Etesin, M. U., &amp; Alieze, A. B. (2025). Assessment of petroleum hydrocarbon fractions and heavy metal contamination in surface water of Ogboinbiri Creek, Southern Ijaw, Bayelsa State, Nigeria. </w:t>
      </w:r>
      <w:r>
        <w:rPr>
          <w:rFonts w:ascii="Times New Roman" w:hAnsi="Times New Roman"/>
          <w:i/>
          <w:sz w:val="24"/>
        </w:rPr>
        <w:t>Scientific Journal of Engineering, and Technology, 2</w:t>
      </w:r>
      <w:r>
        <w:rPr>
          <w:rFonts w:ascii="Times New Roman" w:hAnsi="Times New Roman"/>
          <w:i w:val="0"/>
          <w:sz w:val="24"/>
        </w:rPr>
        <w:t xml:space="preserve">(2), 172–179. </w:t>
      </w:r>
      <w:hyperlink r:id="rId48">
        <w:r>
          <w:rPr>
            <w:rFonts w:ascii="Times New Roman" w:hAnsi="Times New Roman"/>
            <w:sz w:val="24"/>
            <w:szCs w:val="24"/>
            <w:color w:val="000000"/>
            <w:u w:val="none"/>
          </w:rPr>
          <w:t>https://doi.org/10.69739/sjet.v2i2.1308</w:t>
        </w:r>
      </w:hyperlink>
    </w:p>
    <w:p w14:paraId="3A70FDDA"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Izuchukwu, E. C., Akpan, N. A., Igwegbe, K. C., Okpoji, A. U., Ezeabasili, P. I., Obi, J. N., &amp; Anarah, S. E. (2026). Environmental and toxicological risk assessment of heavy metals in Eleme agricultural soils. </w:t>
      </w:r>
      <w:r>
        <w:rPr>
          <w:rFonts w:ascii="Times New Roman" w:hAnsi="Times New Roman"/>
          <w:i/>
          <w:sz w:val="24"/>
        </w:rPr>
        <w:t>Asian Journal of Agricultural and Horticultural Research, 13</w:t>
      </w:r>
      <w:r>
        <w:rPr>
          <w:rFonts w:ascii="Times New Roman" w:hAnsi="Times New Roman"/>
          <w:i w:val="0"/>
          <w:sz w:val="24"/>
        </w:rPr>
        <w:t xml:space="preserve">(1), 67–81. </w:t>
      </w:r>
      <w:hyperlink r:id="rId49">
        <w:r>
          <w:rPr>
            <w:rFonts w:ascii="Times New Roman" w:hAnsi="Times New Roman"/>
            <w:sz w:val="24"/>
            <w:szCs w:val="24"/>
            <w:color w:val="000000"/>
            <w:u w:val="none"/>
          </w:rPr>
          <w:t>https://doi.org/10.9734/ajahr/2026/v13i1436</w:t>
        </w:r>
      </w:hyperlink>
    </w:p>
    <w:p w14:paraId="1BC779E0"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Izuchukwu, E. C., Ebikienmo, P. J., Ekesiobi, S. U., Thompson, N. I., Okpoji, A. U., &amp; Etesin, M. U. (2026). Assessment of heavy metal contamination and its associated human health risks in the Nun River, Bayelsa State, Nigeria. </w:t>
      </w:r>
      <w:r>
        <w:rPr>
          <w:rFonts w:ascii="Times New Roman" w:hAnsi="Times New Roman"/>
          <w:i/>
          <w:sz w:val="24"/>
        </w:rPr>
        <w:t>Asian Journal of Research in Zoology, 9</w:t>
      </w:r>
      <w:r>
        <w:rPr>
          <w:rFonts w:ascii="Times New Roman" w:hAnsi="Times New Roman"/>
          <w:i w:val="0"/>
          <w:sz w:val="24"/>
        </w:rPr>
        <w:t xml:space="preserve">(1), 31–41. </w:t>
      </w:r>
      <w:hyperlink r:id="rId50">
        <w:r>
          <w:rPr>
            <w:rFonts w:ascii="Times New Roman" w:hAnsi="Times New Roman"/>
            <w:sz w:val="24"/>
            <w:szCs w:val="24"/>
            <w:color w:val="000000"/>
            <w:u w:val="none"/>
          </w:rPr>
          <w:t>https://doi.org/10.9734/ajriz/2026/v9i1239</w:t>
        </w:r>
      </w:hyperlink>
    </w:p>
    <w:p w14:paraId="4E9B4C82"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Li, X.-F., &amp; Mitch, W. A. (2018). Drinking water disinfection byproducts (DBPs) and human health effects: Multidisciplinary challenges and opportunities. </w:t>
      </w:r>
      <w:r>
        <w:rPr>
          <w:rFonts w:ascii="Times New Roman" w:hAnsi="Times New Roman"/>
          <w:i/>
          <w:sz w:val="24"/>
        </w:rPr>
        <w:t>Environmental Science &amp; Technology, 52</w:t>
      </w:r>
      <w:r>
        <w:rPr>
          <w:rFonts w:ascii="Times New Roman" w:hAnsi="Times New Roman"/>
          <w:i w:val="0"/>
          <w:sz w:val="24"/>
        </w:rPr>
        <w:t xml:space="preserve">(4), 1681–1689. </w:t>
      </w:r>
      <w:hyperlink r:id="rId51">
        <w:r>
          <w:rPr>
            <w:rFonts w:ascii="Times New Roman" w:hAnsi="Times New Roman"/>
            <w:sz w:val="24"/>
            <w:szCs w:val="24"/>
            <w:color w:val="000000"/>
            <w:u w:val="none"/>
          </w:rPr>
          <w:t>https://doi.org/10.1021/acs.est.7b05440</w:t>
        </w:r>
      </w:hyperlink>
    </w:p>
    <w:p w14:paraId="36D2F1AA"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Mahmoud, A. B., Farida, G., Okpoji, A. U., Etesin, M. U., Akpan, N. A., Nosike, E. I., Obi, J. N., Ahmad, S. I., Oji, N. N., Okonkwo, P. C., &amp; Godson, A. (2026). Endocrine disruption potential of pharmaceutical residues and parasitological responses to heavy metal pollution in Ikot Abasi Estuary, Akwa Ibom State, Nigeria. </w:t>
      </w:r>
      <w:r>
        <w:rPr>
          <w:rFonts w:ascii="Times New Roman" w:hAnsi="Times New Roman"/>
          <w:i/>
          <w:sz w:val="24"/>
        </w:rPr>
        <w:t>Palgo Journal of Medicine and Medical Sciences, 11</w:t>
      </w:r>
      <w:r>
        <w:rPr>
          <w:rFonts w:ascii="Times New Roman" w:hAnsi="Times New Roman"/>
          <w:i w:val="0"/>
          <w:sz w:val="24"/>
        </w:rPr>
        <w:t xml:space="preserve">(1), 55–65. </w:t>
      </w:r>
      <w:hyperlink r:id="rId52">
        <w:r>
          <w:rPr>
            <w:rFonts w:ascii="Times New Roman" w:hAnsi="Times New Roman"/>
            <w:sz w:val="24"/>
            <w:szCs w:val="24"/>
            <w:color w:val="000000"/>
            <w:u w:val="none"/>
          </w:rPr>
          <w:t>https://doi.org/10.65756/pjmms.202604.009</w:t>
        </w:r>
      </w:hyperlink>
    </w:p>
    <w:p w14:paraId="558DE9D0"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Ogbaji, H. O., Akpan, N. A., Ijioma, C. C., Okpoji, A. U., Eze, V. C. U., Obi, J. N., Martins, N. P., &amp; Etesin, M. U. (2025). Seasonal variation in hydrocarbon contamination of sediments and biota in Bonny Estuary, Rivers State, Nigeria. </w:t>
      </w:r>
      <w:r>
        <w:rPr>
          <w:rFonts w:ascii="Times New Roman" w:hAnsi="Times New Roman"/>
          <w:i/>
          <w:sz w:val="24"/>
        </w:rPr>
        <w:t>Asian Journal of Geographical Research, 8</w:t>
      </w:r>
      <w:r>
        <w:rPr>
          <w:rFonts w:ascii="Times New Roman" w:hAnsi="Times New Roman"/>
          <w:i w:val="0"/>
          <w:sz w:val="24"/>
        </w:rPr>
        <w:t xml:space="preserve">(4), 330–338. </w:t>
      </w:r>
      <w:hyperlink r:id="rId53">
        <w:r>
          <w:rPr>
            <w:rFonts w:ascii="Times New Roman" w:hAnsi="Times New Roman"/>
            <w:sz w:val="24"/>
            <w:szCs w:val="24"/>
            <w:color w:val="000000"/>
            <w:u w:val="none"/>
          </w:rPr>
          <w:t>https://doi.org/10.9734/ajgr/2025/v8i4341</w:t>
        </w:r>
      </w:hyperlink>
    </w:p>
    <w:p w14:paraId="404FAF59"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Ohaturuonye, S. O., Ekwere, I. O., Ekesiobi, S. U., Robinson, B. E., Okpoji, A. U., Osuagwu, E. L., &amp; Okpanachi, C. B. (2026). Comparative heavy metal bioaccumulation and human health risk assessment of farmed and river-caught catfish in Rivers State, Nigeria. </w:t>
      </w:r>
      <w:r>
        <w:rPr>
          <w:rFonts w:ascii="Times New Roman" w:hAnsi="Times New Roman"/>
          <w:i/>
          <w:sz w:val="24"/>
        </w:rPr>
        <w:t>Asian Journal of Research in Zoology, 9</w:t>
      </w:r>
      <w:r>
        <w:rPr>
          <w:rFonts w:ascii="Times New Roman" w:hAnsi="Times New Roman"/>
          <w:i w:val="0"/>
          <w:sz w:val="24"/>
        </w:rPr>
        <w:t xml:space="preserve">(1), 62–74. </w:t>
      </w:r>
      <w:hyperlink r:id="rId54">
        <w:r>
          <w:rPr>
            <w:rFonts w:ascii="Times New Roman" w:hAnsi="Times New Roman"/>
            <w:sz w:val="24"/>
            <w:szCs w:val="24"/>
            <w:color w:val="000000"/>
            <w:u w:val="none"/>
          </w:rPr>
          <w:t>https://doi.org/10.9734/ajriz/2026/v9i1243</w:t>
        </w:r>
      </w:hyperlink>
    </w:p>
    <w:p w14:paraId="4C06BA8E"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Okagbare, U. V., Umueni, U. E., Ekpe, J. E., Etukudo, N. J., Okpoji, A. U., Okoye, P. I., Ekwere, I. O., Etesin, M. U., Okpanachi, C. B., &amp; Okafor, C. A. (2025). Geophysical and hydrochemical assessment of groundwater vulnerability to oil pollution in Yenagoa, Bayelsa State, Nigeria. </w:t>
      </w:r>
      <w:r>
        <w:rPr>
          <w:rFonts w:ascii="Times New Roman" w:hAnsi="Times New Roman"/>
          <w:i/>
          <w:sz w:val="24"/>
        </w:rPr>
        <w:t>Journal of Environment, Climate, and Ecology, 2</w:t>
      </w:r>
      <w:r>
        <w:rPr>
          <w:rFonts w:ascii="Times New Roman" w:hAnsi="Times New Roman"/>
          <w:i w:val="0"/>
          <w:sz w:val="24"/>
        </w:rPr>
        <w:t xml:space="preserve">(2), 138–146. </w:t>
      </w:r>
      <w:hyperlink r:id="rId55">
        <w:r>
          <w:rPr>
            <w:rFonts w:ascii="Times New Roman" w:hAnsi="Times New Roman"/>
            <w:sz w:val="24"/>
            <w:szCs w:val="24"/>
            <w:color w:val="000000"/>
            <w:u w:val="none"/>
          </w:rPr>
          <w:t>https://doi.org/10.69739/jece.v2i2.1078</w:t>
        </w:r>
      </w:hyperlink>
    </w:p>
    <w:p w14:paraId="392FAF88"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Okpoji, A. U., Akpan, N. A., Eze, V. C., Ijioma, C. C., Hassan, D. H., Kareem, M. M., Obi, A. I., Aningo, G. N., Okoye, P. I., Ogbonnaya, C. N., Ekwere, I. O., Okeke, C. F., &amp; Aligwo, M. C. (2025). Toxicity and bioaccumulation of heavy metals and polycyclic aromatic hydrocarbons in estuarine fish from the Andoni Estuary, Niger Delta, Nigeria. </w:t>
      </w:r>
      <w:r>
        <w:rPr>
          <w:rFonts w:ascii="Times New Roman" w:hAnsi="Times New Roman"/>
          <w:i/>
          <w:sz w:val="24"/>
        </w:rPr>
        <w:t>Journal of Applied Physical Science International, 17</w:t>
      </w:r>
      <w:r>
        <w:rPr>
          <w:rFonts w:ascii="Times New Roman" w:hAnsi="Times New Roman"/>
          <w:i w:val="0"/>
          <w:sz w:val="24"/>
        </w:rPr>
        <w:t xml:space="preserve">(2), 10–22. </w:t>
      </w:r>
      <w:hyperlink r:id="rId56">
        <w:r>
          <w:rPr>
            <w:rFonts w:ascii="Times New Roman" w:hAnsi="Times New Roman"/>
            <w:sz w:val="24"/>
            <w:szCs w:val="24"/>
            <w:color w:val="000000"/>
            <w:u w:val="none"/>
          </w:rPr>
          <w:t>https://doi.org/10.56557/japsi/2025/v17i210026</w:t>
        </w:r>
      </w:hyperlink>
    </w:p>
    <w:p w14:paraId="756DB4FE"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Okpoji, A. U., Eboh-Ajoku, I. O., Mmuta, E. C., Ndubuisi, J. O., Alaekwe, I. O., Odibo, U. E., Nwoka, N. G., Okafor, C. A., &amp; Obunezi, O. C. (2025). Integrated environmental risk assessment of BTEX and PAHs in water and sediment samples from the Bonny River, Nigeria. </w:t>
      </w:r>
      <w:r>
        <w:rPr>
          <w:rFonts w:ascii="Times New Roman" w:hAnsi="Times New Roman"/>
          <w:i/>
          <w:sz w:val="24"/>
        </w:rPr>
        <w:t>ISA Journal of Multidisciplinary (ISAJM), 2</w:t>
      </w:r>
      <w:r>
        <w:rPr>
          <w:rFonts w:ascii="Times New Roman" w:hAnsi="Times New Roman"/>
          <w:i w:val="0"/>
          <w:sz w:val="24"/>
        </w:rPr>
        <w:t xml:space="preserve">(4), 14–21. </w:t>
      </w:r>
      <w:hyperlink r:id="rId57">
        <w:r>
          <w:rPr>
            <w:rFonts w:ascii="Times New Roman" w:hAnsi="Times New Roman"/>
            <w:sz w:val="24"/>
            <w:szCs w:val="24"/>
            <w:color w:val="000000"/>
            <w:u w:val="none"/>
          </w:rPr>
          <w:t>https://doi.org/10.5281/zenodo.16921896</w:t>
        </w:r>
      </w:hyperlink>
    </w:p>
    <w:p w14:paraId="0CC56425"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Okpoji, A. U., Emem, J. A., Ekwere, I. O., Odibo, U. E., Aleaekwe, I. O., Warder, A. B., &amp; Eboj-Ajoku, O. I. (2025). Bioaccumulation of nickel, lead, and cadmium in tissues of </w:t>
      </w:r>
      <w:r>
        <w:rPr>
          <w:rFonts w:ascii="Times New Roman" w:hAnsi="Times New Roman"/>
          <w:i/>
          <w:sz w:val="24"/>
        </w:rPr>
        <w:t>Callinectes sapidus</w:t>
      </w:r>
      <w:r>
        <w:rPr>
          <w:rFonts w:ascii="Times New Roman" w:hAnsi="Times New Roman"/>
          <w:i w:val="0"/>
          <w:sz w:val="24"/>
        </w:rPr>
        <w:t xml:space="preserve"> from the Iko River, Nigeria: Implications for human health risk and environmental safety. </w:t>
      </w:r>
      <w:r>
        <w:rPr>
          <w:rFonts w:ascii="Times New Roman" w:hAnsi="Times New Roman"/>
          <w:i/>
          <w:sz w:val="24"/>
        </w:rPr>
        <w:t>Journal of Environment, Climate, and Ecology, 2</w:t>
      </w:r>
      <w:r>
        <w:rPr>
          <w:rFonts w:ascii="Times New Roman" w:hAnsi="Times New Roman"/>
          <w:i w:val="0"/>
          <w:sz w:val="24"/>
        </w:rPr>
        <w:t xml:space="preserve">(2), 29–37. </w:t>
      </w:r>
      <w:hyperlink r:id="rId58">
        <w:r>
          <w:rPr>
            <w:rFonts w:ascii="Times New Roman" w:hAnsi="Times New Roman"/>
            <w:sz w:val="24"/>
            <w:szCs w:val="24"/>
            <w:color w:val="000000"/>
            <w:u w:val="none"/>
          </w:rPr>
          <w:t>https://doi.org/10.69739/jece.v2i2.844</w:t>
        </w:r>
      </w:hyperlink>
    </w:p>
    <w:p w14:paraId="0B9F9A43"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Okpoji, A. U., Etesin, M. U., Ekwere, I. O., Martins, N. P., Okpanachi, C. B., Adisa, O. J., &amp; Okonkwo, C. C. (2025). Geochemical speciation and ecological risk of heavy metals in estuarine sediments of the Qua Iboe River, Nigeria. </w:t>
      </w:r>
      <w:r>
        <w:rPr>
          <w:rFonts w:ascii="Times New Roman" w:hAnsi="Times New Roman"/>
          <w:i/>
          <w:sz w:val="24"/>
        </w:rPr>
        <w:t>Asian Journal of Chemical Sciences, 15</w:t>
      </w:r>
      <w:r>
        <w:rPr>
          <w:rFonts w:ascii="Times New Roman" w:hAnsi="Times New Roman"/>
          <w:i w:val="0"/>
          <w:sz w:val="24"/>
        </w:rPr>
        <w:t xml:space="preserve">(6), 20–31. </w:t>
      </w:r>
      <w:hyperlink r:id="rId59">
        <w:r>
          <w:rPr>
            <w:rFonts w:ascii="Times New Roman" w:hAnsi="Times New Roman"/>
            <w:sz w:val="24"/>
            <w:szCs w:val="24"/>
            <w:color w:val="000000"/>
            <w:u w:val="none"/>
          </w:rPr>
          <w:t>https://doi.org/10.9734/ajocs/2025/v15i6402</w:t>
        </w:r>
      </w:hyperlink>
    </w:p>
    <w:p w14:paraId="04EDC65F"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Okpoji, A. U., Ogbaji, H. O., Hassan, D. H., Orji-Azuka, L. N., Rasheed, H. O., Ohaturuonye, S. O., Ejeka, J. C., Okpanachi, C. B., &amp; Ekwere, I. O. (2025). Physico-chemical transport of volatile organic compounds (VOCs) from gas flaring into surface waters of Ogoniland, Rivers State, Nigeria. </w:t>
      </w:r>
      <w:r>
        <w:rPr>
          <w:rFonts w:ascii="Times New Roman" w:hAnsi="Times New Roman"/>
          <w:i/>
          <w:sz w:val="24"/>
        </w:rPr>
        <w:t>Asian Journal of Physical and Chemical Sciences, 13</w:t>
      </w:r>
      <w:r>
        <w:rPr>
          <w:rFonts w:ascii="Times New Roman" w:hAnsi="Times New Roman"/>
          <w:i w:val="0"/>
          <w:sz w:val="24"/>
        </w:rPr>
        <w:t xml:space="preserve">(4), 151–159. </w:t>
      </w:r>
      <w:hyperlink r:id="rId60">
        <w:r>
          <w:rPr>
            <w:rFonts w:ascii="Times New Roman" w:hAnsi="Times New Roman"/>
            <w:sz w:val="24"/>
            <w:szCs w:val="24"/>
            <w:color w:val="000000"/>
            <w:u w:val="none"/>
          </w:rPr>
          <w:t>https://doi.org/10.9734/ajopacs/2025/v13i4271</w:t>
        </w:r>
      </w:hyperlink>
    </w:p>
    <w:p w14:paraId="30DFEFAC"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Okpoji, A. U., Orji-Azuka, L. N., Igwegbe, K. C., Ekwere, I. O., Ewuola, A. A., Garuba, M. H., &amp; Etukudo, E. W. (2025). Water quality and ecotoxicological impacts of surfactants and heavy metals in urban rivers of Benin City, Niger Delta, Nigeria. </w:t>
      </w:r>
      <w:r>
        <w:rPr>
          <w:rFonts w:ascii="Times New Roman" w:hAnsi="Times New Roman"/>
          <w:i/>
          <w:sz w:val="24"/>
        </w:rPr>
        <w:t>Asian Journal of Geological Research, 8</w:t>
      </w:r>
      <w:r>
        <w:rPr>
          <w:rFonts w:ascii="Times New Roman" w:hAnsi="Times New Roman"/>
          <w:i w:val="0"/>
          <w:sz w:val="24"/>
        </w:rPr>
        <w:t xml:space="preserve">(3), 697–707. </w:t>
      </w:r>
      <w:hyperlink r:id="rId61">
        <w:r>
          <w:rPr>
            <w:rFonts w:ascii="Times New Roman" w:hAnsi="Times New Roman"/>
            <w:sz w:val="24"/>
            <w:szCs w:val="24"/>
            <w:color w:val="000000"/>
            <w:u w:val="none"/>
          </w:rPr>
          <w:t>https://doi.org/10.9734/ajoger/2025/v8i3223</w:t>
        </w:r>
      </w:hyperlink>
    </w:p>
    <w:p w14:paraId="19FA6610"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Okpoji, A. U., Umeocho, C. E., Nwokoye, J. N., Ezekwuemen, O. I., Alaekwe, I. O., Odidika, C. C., Owughara, C. N., Enyi, C. M., &amp; Kolawole, O. O. (2025). Environmental assessment of heavy metals and hydrocarbon pollution in surface waters of oil-bearing communities in Andoni, Rivers State, Nigeria. </w:t>
      </w:r>
      <w:r>
        <w:rPr>
          <w:rFonts w:ascii="Times New Roman" w:hAnsi="Times New Roman"/>
          <w:i/>
          <w:sz w:val="24"/>
        </w:rPr>
        <w:t>International Journal of Modern Science and Research Technology, 3</w:t>
      </w:r>
      <w:r>
        <w:rPr>
          <w:rFonts w:ascii="Times New Roman" w:hAnsi="Times New Roman"/>
          <w:i w:val="0"/>
          <w:sz w:val="24"/>
        </w:rPr>
        <w:t xml:space="preserve">(8), 22–30. </w:t>
      </w:r>
      <w:hyperlink r:id="rId62">
        <w:r>
          <w:rPr>
            <w:rFonts w:ascii="Times New Roman" w:hAnsi="Times New Roman"/>
            <w:sz w:val="24"/>
            <w:szCs w:val="24"/>
            <w:color w:val="000000"/>
            <w:u w:val="none"/>
          </w:rPr>
          <w:t>https://doi.org/10.5281/zenodo.16904018</w:t>
        </w:r>
      </w:hyperlink>
    </w:p>
    <w:p w14:paraId="362A3FB7"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Olotu, O. N., Okagbare, U. V., Okpoji, A. U., Orji-Azuka, L. N., Etesin, M. U., &amp; Ekwere, I. O. (2025). Spatio-seasonal assessment of water and sediment quality of the Imiringi River and implications for fisheries and aquatic resources in the Niger Delta. </w:t>
      </w:r>
      <w:r>
        <w:rPr>
          <w:rFonts w:ascii="Times New Roman" w:hAnsi="Times New Roman"/>
          <w:i/>
          <w:sz w:val="24"/>
        </w:rPr>
        <w:t>Journal of Agriculture, Aquaculture, and Animal Science, 2</w:t>
      </w:r>
      <w:r>
        <w:rPr>
          <w:rFonts w:ascii="Times New Roman" w:hAnsi="Times New Roman"/>
          <w:i w:val="0"/>
          <w:sz w:val="24"/>
        </w:rPr>
        <w:t xml:space="preserve">(2), 174–184. </w:t>
      </w:r>
      <w:hyperlink r:id="rId63">
        <w:r>
          <w:rPr>
            <w:rFonts w:ascii="Times New Roman" w:hAnsi="Times New Roman"/>
            <w:sz w:val="24"/>
            <w:szCs w:val="24"/>
            <w:color w:val="000000"/>
            <w:u w:val="none"/>
          </w:rPr>
          <w:t>https://doi.org/10.69739/jaaas.v2i2.1309</w:t>
        </w:r>
      </w:hyperlink>
    </w:p>
    <w:p w14:paraId="0DDB2966"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Shi, J., Zhang, K., Xiao, T., Yang, J., Sun, Y., Yang, C., Dai, H., &amp; Yang, W. (2024). Exposure to disinfection by-products and risk of cancer: A systematic review and dose-response meta-analysis. </w:t>
      </w:r>
      <w:r>
        <w:rPr>
          <w:rFonts w:ascii="Times New Roman" w:hAnsi="Times New Roman"/>
          <w:i/>
          <w:sz w:val="24"/>
        </w:rPr>
        <w:t>Ecotoxicology and Environmental Safety, 270</w:t>
      </w:r>
      <w:r>
        <w:rPr>
          <w:rFonts w:ascii="Times New Roman" w:hAnsi="Times New Roman"/>
          <w:i w:val="0"/>
          <w:sz w:val="24"/>
        </w:rPr>
        <w:t xml:space="preserve">, 115925. </w:t>
      </w:r>
      <w:hyperlink r:id="rId64">
        <w:r>
          <w:rPr>
            <w:rFonts w:ascii="Times New Roman" w:hAnsi="Times New Roman"/>
            <w:sz w:val="24"/>
            <w:szCs w:val="24"/>
            <w:color w:val="000000"/>
            <w:u w:val="none"/>
          </w:rPr>
          <w:t>https://doi.org/10.1016/j.ecoenv.2023.115925</w:t>
        </w:r>
      </w:hyperlink>
    </w:p>
    <w:p w14:paraId="2BCFE055"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Umueni, U. E., Etukudo, N. J., Okoye, P. I., Okpoji, A. U., Eze, V. C., Aningo, G. N., Ekwere, I. O., &amp; Garuba, M. H. (2025). Geochemical and ecological risk assessment of petroleum hydrocarbons in sediments of Forcados River, Delta State. </w:t>
      </w:r>
      <w:r>
        <w:rPr>
          <w:rFonts w:ascii="Times New Roman" w:hAnsi="Times New Roman"/>
          <w:i/>
          <w:sz w:val="24"/>
        </w:rPr>
        <w:t>Asian Journal of Geographical Research, 8</w:t>
      </w:r>
      <w:r>
        <w:rPr>
          <w:rFonts w:ascii="Times New Roman" w:hAnsi="Times New Roman"/>
          <w:i w:val="0"/>
          <w:sz w:val="24"/>
        </w:rPr>
        <w:t xml:space="preserve">(4), 287–298. </w:t>
      </w:r>
      <w:hyperlink r:id="rId65">
        <w:r>
          <w:rPr>
            <w:rFonts w:ascii="Times New Roman" w:hAnsi="Times New Roman"/>
            <w:sz w:val="24"/>
            <w:szCs w:val="24"/>
            <w:color w:val="000000"/>
            <w:u w:val="none"/>
          </w:rPr>
          <w:t>https://doi.org/10.9734/ajgr/2025/v8i4337</w:t>
        </w:r>
      </w:hyperlink>
    </w:p>
    <w:p w14:paraId="60DDF225"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Umueni, U. E., Ogbaji, H. O., Okpoji, A. U., Osuagwu, E. L., Akpan, N. A., Ekpe, J. E., Okabekwe, V. C., Anumaka, C. C., Obiefuna, G. C., &amp; Warder, A. B. (2026). Assessing hydrological and sediment factors for ecotoxicological risk of the Orashi River, Rivers State, Nigeria. </w:t>
      </w:r>
      <w:r>
        <w:rPr>
          <w:rFonts w:ascii="Times New Roman" w:hAnsi="Times New Roman"/>
          <w:i/>
          <w:sz w:val="24"/>
        </w:rPr>
        <w:t>Asian Journal of Geological Research, 9</w:t>
      </w:r>
      <w:r>
        <w:rPr>
          <w:rFonts w:ascii="Times New Roman" w:hAnsi="Times New Roman"/>
          <w:i w:val="0"/>
          <w:sz w:val="24"/>
        </w:rPr>
        <w:t xml:space="preserve">(1), 101–114. </w:t>
      </w:r>
      <w:hyperlink r:id="rId66">
        <w:r>
          <w:rPr>
            <w:rFonts w:ascii="Times New Roman" w:hAnsi="Times New Roman"/>
            <w:sz w:val="24"/>
            <w:szCs w:val="24"/>
            <w:color w:val="000000"/>
            <w:u w:val="none"/>
          </w:rPr>
          <w:t>https://doi.org/10.9734/ajoger/2026/v9i1230</w:t>
        </w:r>
      </w:hyperlink>
    </w:p>
    <w:p w14:paraId="3D9F6A68" w14:textId="77777777"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United States Environmental Protection Agency. (n.d.). </w:t>
      </w:r>
      <w:r>
        <w:rPr>
          <w:rFonts w:ascii="Times New Roman" w:hAnsi="Times New Roman"/>
          <w:i/>
          <w:sz w:val="24"/>
        </w:rPr>
        <w:t>National primary drinking water regulations.</w:t>
      </w:r>
      <w:r>
        <w:rPr>
          <w:rFonts w:ascii="Times New Roman" w:hAnsi="Times New Roman"/>
          <w:i w:val="0"/>
          <w:sz w:val="24"/>
        </w:rPr>
        <w:t xml:space="preserve"> </w:t>
      </w:r>
      <w:hyperlink r:id="rId67">
        <w:r>
          <w:rPr>
            <w:rFonts w:ascii="Times New Roman" w:hAnsi="Times New Roman"/>
            <w:sz w:val="24"/>
            <w:szCs w:val="24"/>
            <w:color w:val="000000"/>
            <w:u w:val="none"/>
          </w:rPr>
          <w:t>https://www.epa.gov/ground-water-and-drinking-water/national-primary-drinking-water-regulations</w:t>
        </w:r>
      </w:hyperlink>
    </w:p>
    <w:p w14:paraId="27C1E004" w14:textId="55883364" w:rsidR="00092791" w:rsidRPr="00092791" w:rsidRDefault="00092791" w:rsidP="00092791">
      <w:pPr>
        <w:spacing w:before="0" w:beforeAutospacing="1" w:after="0" w:afterAutospacing="1" w:line="240" w:lineRule="auto"/>
        <w:ind w:left="720" w:hanging="720"/>
        <w:rPr>
          <w:rFonts w:ascii="Times New Roman" w:eastAsia="Times New Roman" w:hAnsi="Times New Roman" w:cs="Times New Roman"/>
          <w:sz w:val="24"/>
          <w:szCs w:val="24"/>
          <w:lang w:val="en-US"/>
        </w:rPr>
      </w:pPr>
      <w:r>
        <w:rPr>
          <w:rFonts w:ascii="Times New Roman" w:hAnsi="Times New Roman"/>
          <w:i w:val="0"/>
          <w:sz w:val="24"/>
        </w:rPr>
        <w:t xml:space="preserve">World Health Organization. (2022). </w:t>
      </w:r>
      <w:r>
        <w:rPr>
          <w:rFonts w:ascii="Times New Roman" w:hAnsi="Times New Roman"/>
          <w:i/>
          <w:sz w:val="24"/>
        </w:rPr>
        <w:t>Guidelines for drinking-water quality: Fourth edition incorporating the first and second addenda.</w:t>
      </w:r>
      <w:r>
        <w:rPr>
          <w:rFonts w:ascii="Times New Roman" w:hAnsi="Times New Roman"/>
          <w:i w:val="0"/>
          <w:sz w:val="24"/>
        </w:rPr>
        <w:t xml:space="preserve"> </w:t>
      </w:r>
      <w:hyperlink r:id="rId68">
        <w:r>
          <w:rPr>
            <w:rFonts w:ascii="Times New Roman" w:hAnsi="Times New Roman"/>
            <w:sz w:val="24"/>
            <w:szCs w:val="24"/>
            <w:color w:val="000000"/>
            <w:u w:val="none"/>
          </w:rPr>
          <w:t>https://www.who.int/southeastasia/publications/i/item/9789240045064</w:t>
        </w:r>
      </w:hyperlink>
    </w:p>
    <w:p w14:paraId="1CC902E3" w14:textId="77777777" w:rsidR="004823DC" w:rsidRPr="00B45AE1" w:rsidRDefault="004823DC" w:rsidP="001118E9">
      <w:pPr>
        <w:jc w:val="both"/>
        <w:rPr>
          <w:rFonts w:ascii="Times New Roman" w:hAnsi="Times New Roman" w:cs="Times New Roman"/>
          <w:sz w:val="24"/>
          <w:szCs w:val="24"/>
        </w:rPr>
      </w:pPr>
    </w:p>
    <w:sectPr w:rsidR="004823DC" w:rsidRPr="00B45AE1">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7DE9A" w14:textId="77777777" w:rsidR="00873F42" w:rsidRDefault="00873F42" w:rsidP="00817B9C">
      <w:pPr>
        <w:spacing w:after="0" w:line="240" w:lineRule="auto"/>
      </w:pPr>
      <w:r>
        <w:separator/>
      </w:r>
    </w:p>
  </w:endnote>
  <w:endnote w:type="continuationSeparator" w:id="0">
    <w:p w14:paraId="34805AFC" w14:textId="77777777" w:rsidR="00873F42" w:rsidRDefault="00873F42" w:rsidP="00817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ED598" w14:textId="77777777" w:rsidR="00817B9C" w:rsidRDefault="00817B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FA6BD" w14:textId="77777777" w:rsidR="00817B9C" w:rsidRDefault="00817B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6506" w14:textId="77777777" w:rsidR="00817B9C" w:rsidRDefault="00817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76096" w14:textId="77777777" w:rsidR="00873F42" w:rsidRDefault="00873F42" w:rsidP="00817B9C">
      <w:pPr>
        <w:spacing w:after="0" w:line="240" w:lineRule="auto"/>
      </w:pPr>
      <w:r>
        <w:separator/>
      </w:r>
    </w:p>
  </w:footnote>
  <w:footnote w:type="continuationSeparator" w:id="0">
    <w:p w14:paraId="0F497694" w14:textId="77777777" w:rsidR="00873F42" w:rsidRDefault="00873F42" w:rsidP="00817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7D10" w14:textId="77777777" w:rsidR="00817B9C" w:rsidRDefault="00000000">
    <w:pPr>
      <w:pStyle w:val="Header"/>
    </w:pPr>
    <w:r>
      <w:rPr>
        <w:noProof/>
      </w:rPr>
      <w:pict w14:anchorId="4E1AE7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19475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E7A4" w14:textId="77777777" w:rsidR="00817B9C" w:rsidRDefault="00000000">
    <w:pPr>
      <w:pStyle w:val="Header"/>
    </w:pPr>
    <w:r>
      <w:rPr>
        <w:noProof/>
      </w:rPr>
      <w:pict w14:anchorId="791F06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19475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906C" w14:textId="77777777" w:rsidR="00817B9C" w:rsidRDefault="00000000">
    <w:pPr>
      <w:pStyle w:val="Header"/>
    </w:pPr>
    <w:r>
      <w:rPr>
        <w:noProof/>
      </w:rPr>
      <w:pict w14:anchorId="365618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19475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BC"/>
    <w:rsid w:val="00092791"/>
    <w:rsid w:val="000B2B9B"/>
    <w:rsid w:val="000C3C33"/>
    <w:rsid w:val="000F3001"/>
    <w:rsid w:val="001118E9"/>
    <w:rsid w:val="00116C51"/>
    <w:rsid w:val="00121E7E"/>
    <w:rsid w:val="00370C85"/>
    <w:rsid w:val="0046656C"/>
    <w:rsid w:val="004823DC"/>
    <w:rsid w:val="005B7626"/>
    <w:rsid w:val="007145BC"/>
    <w:rsid w:val="00731AEB"/>
    <w:rsid w:val="00817B9C"/>
    <w:rsid w:val="00873F42"/>
    <w:rsid w:val="008D128E"/>
    <w:rsid w:val="00980DD4"/>
    <w:rsid w:val="009C2676"/>
    <w:rsid w:val="00AA3615"/>
    <w:rsid w:val="00AE3D13"/>
    <w:rsid w:val="00B27C17"/>
    <w:rsid w:val="00B45AE1"/>
    <w:rsid w:val="00BA369B"/>
    <w:rsid w:val="00C77C28"/>
    <w:rsid w:val="00D1784F"/>
    <w:rsid w:val="00DF0BA0"/>
    <w:rsid w:val="00E30AF8"/>
    <w:rsid w:val="00F30EFF"/>
    <w:rsid w:val="00F72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2C7F0"/>
  <w15:chartTrackingRefBased/>
  <w15:docId w15:val="{5E6A948B-4217-4A10-8D7D-97CE7E0C1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5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145B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145B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45BC"/>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7145BC"/>
    <w:rPr>
      <w:b/>
      <w:bCs/>
    </w:rPr>
  </w:style>
  <w:style w:type="paragraph" w:styleId="NormalWeb">
    <w:name w:val="Normal (Web)"/>
    <w:basedOn w:val="Normal"/>
    <w:uiPriority w:val="99"/>
    <w:unhideWhenUsed/>
    <w:rsid w:val="007145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145BC"/>
    <w:rPr>
      <w:i/>
      <w:iCs/>
    </w:rPr>
  </w:style>
  <w:style w:type="character" w:customStyle="1" w:styleId="Heading3Char">
    <w:name w:val="Heading 3 Char"/>
    <w:basedOn w:val="DefaultParagraphFont"/>
    <w:link w:val="Heading3"/>
    <w:uiPriority w:val="9"/>
    <w:rsid w:val="007145B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7145B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145BC"/>
    <w:rPr>
      <w:color w:val="0563C1" w:themeColor="hyperlink"/>
      <w:u w:val="single"/>
    </w:rPr>
  </w:style>
  <w:style w:type="paragraph" w:customStyle="1" w:styleId="pdq2pgselectionanchorcontainer">
    <w:name w:val="pdq2pg_selectionanchorcontainer"/>
    <w:basedOn w:val="Normal"/>
    <w:rsid w:val="007145B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F0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B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7B9C"/>
  </w:style>
  <w:style w:type="paragraph" w:styleId="Footer">
    <w:name w:val="footer"/>
    <w:basedOn w:val="Normal"/>
    <w:link w:val="FooterChar"/>
    <w:uiPriority w:val="99"/>
    <w:unhideWhenUsed/>
    <w:rsid w:val="00817B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7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42939">
      <w:bodyDiv w:val="1"/>
      <w:marLeft w:val="0"/>
      <w:marRight w:val="0"/>
      <w:marTop w:val="0"/>
      <w:marBottom w:val="0"/>
      <w:divBdr>
        <w:top w:val="none" w:sz="0" w:space="0" w:color="auto"/>
        <w:left w:val="none" w:sz="0" w:space="0" w:color="auto"/>
        <w:bottom w:val="none" w:sz="0" w:space="0" w:color="auto"/>
        <w:right w:val="none" w:sz="0" w:space="0" w:color="auto"/>
      </w:divBdr>
    </w:div>
    <w:div w:id="396439599">
      <w:bodyDiv w:val="1"/>
      <w:marLeft w:val="0"/>
      <w:marRight w:val="0"/>
      <w:marTop w:val="0"/>
      <w:marBottom w:val="0"/>
      <w:divBdr>
        <w:top w:val="none" w:sz="0" w:space="0" w:color="auto"/>
        <w:left w:val="none" w:sz="0" w:space="0" w:color="auto"/>
        <w:bottom w:val="none" w:sz="0" w:space="0" w:color="auto"/>
        <w:right w:val="none" w:sz="0" w:space="0" w:color="auto"/>
      </w:divBdr>
    </w:div>
    <w:div w:id="457722690">
      <w:bodyDiv w:val="1"/>
      <w:marLeft w:val="0"/>
      <w:marRight w:val="0"/>
      <w:marTop w:val="0"/>
      <w:marBottom w:val="0"/>
      <w:divBdr>
        <w:top w:val="none" w:sz="0" w:space="0" w:color="auto"/>
        <w:left w:val="none" w:sz="0" w:space="0" w:color="auto"/>
        <w:bottom w:val="none" w:sz="0" w:space="0" w:color="auto"/>
        <w:right w:val="none" w:sz="0" w:space="0" w:color="auto"/>
      </w:divBdr>
    </w:div>
    <w:div w:id="504054121">
      <w:bodyDiv w:val="1"/>
      <w:marLeft w:val="0"/>
      <w:marRight w:val="0"/>
      <w:marTop w:val="0"/>
      <w:marBottom w:val="0"/>
      <w:divBdr>
        <w:top w:val="none" w:sz="0" w:space="0" w:color="auto"/>
        <w:left w:val="none" w:sz="0" w:space="0" w:color="auto"/>
        <w:bottom w:val="none" w:sz="0" w:space="0" w:color="auto"/>
        <w:right w:val="none" w:sz="0" w:space="0" w:color="auto"/>
      </w:divBdr>
    </w:div>
    <w:div w:id="505902751">
      <w:bodyDiv w:val="1"/>
      <w:marLeft w:val="0"/>
      <w:marRight w:val="0"/>
      <w:marTop w:val="0"/>
      <w:marBottom w:val="0"/>
      <w:divBdr>
        <w:top w:val="none" w:sz="0" w:space="0" w:color="auto"/>
        <w:left w:val="none" w:sz="0" w:space="0" w:color="auto"/>
        <w:bottom w:val="none" w:sz="0" w:space="0" w:color="auto"/>
        <w:right w:val="none" w:sz="0" w:space="0" w:color="auto"/>
      </w:divBdr>
    </w:div>
    <w:div w:id="545408788">
      <w:bodyDiv w:val="1"/>
      <w:marLeft w:val="0"/>
      <w:marRight w:val="0"/>
      <w:marTop w:val="0"/>
      <w:marBottom w:val="0"/>
      <w:divBdr>
        <w:top w:val="none" w:sz="0" w:space="0" w:color="auto"/>
        <w:left w:val="none" w:sz="0" w:space="0" w:color="auto"/>
        <w:bottom w:val="none" w:sz="0" w:space="0" w:color="auto"/>
        <w:right w:val="none" w:sz="0" w:space="0" w:color="auto"/>
      </w:divBdr>
    </w:div>
    <w:div w:id="658002047">
      <w:bodyDiv w:val="1"/>
      <w:marLeft w:val="0"/>
      <w:marRight w:val="0"/>
      <w:marTop w:val="0"/>
      <w:marBottom w:val="0"/>
      <w:divBdr>
        <w:top w:val="none" w:sz="0" w:space="0" w:color="auto"/>
        <w:left w:val="none" w:sz="0" w:space="0" w:color="auto"/>
        <w:bottom w:val="none" w:sz="0" w:space="0" w:color="auto"/>
        <w:right w:val="none" w:sz="0" w:space="0" w:color="auto"/>
      </w:divBdr>
    </w:div>
    <w:div w:id="804353124">
      <w:bodyDiv w:val="1"/>
      <w:marLeft w:val="0"/>
      <w:marRight w:val="0"/>
      <w:marTop w:val="0"/>
      <w:marBottom w:val="0"/>
      <w:divBdr>
        <w:top w:val="none" w:sz="0" w:space="0" w:color="auto"/>
        <w:left w:val="none" w:sz="0" w:space="0" w:color="auto"/>
        <w:bottom w:val="none" w:sz="0" w:space="0" w:color="auto"/>
        <w:right w:val="none" w:sz="0" w:space="0" w:color="auto"/>
      </w:divBdr>
    </w:div>
    <w:div w:id="835539406">
      <w:bodyDiv w:val="1"/>
      <w:marLeft w:val="0"/>
      <w:marRight w:val="0"/>
      <w:marTop w:val="0"/>
      <w:marBottom w:val="0"/>
      <w:divBdr>
        <w:top w:val="none" w:sz="0" w:space="0" w:color="auto"/>
        <w:left w:val="none" w:sz="0" w:space="0" w:color="auto"/>
        <w:bottom w:val="none" w:sz="0" w:space="0" w:color="auto"/>
        <w:right w:val="none" w:sz="0" w:space="0" w:color="auto"/>
      </w:divBdr>
    </w:div>
    <w:div w:id="862548029">
      <w:bodyDiv w:val="1"/>
      <w:marLeft w:val="0"/>
      <w:marRight w:val="0"/>
      <w:marTop w:val="0"/>
      <w:marBottom w:val="0"/>
      <w:divBdr>
        <w:top w:val="none" w:sz="0" w:space="0" w:color="auto"/>
        <w:left w:val="none" w:sz="0" w:space="0" w:color="auto"/>
        <w:bottom w:val="none" w:sz="0" w:space="0" w:color="auto"/>
        <w:right w:val="none" w:sz="0" w:space="0" w:color="auto"/>
      </w:divBdr>
    </w:div>
    <w:div w:id="1340232807">
      <w:bodyDiv w:val="1"/>
      <w:marLeft w:val="0"/>
      <w:marRight w:val="0"/>
      <w:marTop w:val="0"/>
      <w:marBottom w:val="0"/>
      <w:divBdr>
        <w:top w:val="none" w:sz="0" w:space="0" w:color="auto"/>
        <w:left w:val="none" w:sz="0" w:space="0" w:color="auto"/>
        <w:bottom w:val="none" w:sz="0" w:space="0" w:color="auto"/>
        <w:right w:val="none" w:sz="0" w:space="0" w:color="auto"/>
      </w:divBdr>
    </w:div>
    <w:div w:id="1619340408">
      <w:bodyDiv w:val="1"/>
      <w:marLeft w:val="0"/>
      <w:marRight w:val="0"/>
      <w:marTop w:val="0"/>
      <w:marBottom w:val="0"/>
      <w:divBdr>
        <w:top w:val="none" w:sz="0" w:space="0" w:color="auto"/>
        <w:left w:val="none" w:sz="0" w:space="0" w:color="auto"/>
        <w:bottom w:val="none" w:sz="0" w:space="0" w:color="auto"/>
        <w:right w:val="none" w:sz="0" w:space="0" w:color="auto"/>
      </w:divBdr>
    </w:div>
    <w:div w:id="1637489087">
      <w:bodyDiv w:val="1"/>
      <w:marLeft w:val="0"/>
      <w:marRight w:val="0"/>
      <w:marTop w:val="0"/>
      <w:marBottom w:val="0"/>
      <w:divBdr>
        <w:top w:val="none" w:sz="0" w:space="0" w:color="auto"/>
        <w:left w:val="none" w:sz="0" w:space="0" w:color="auto"/>
        <w:bottom w:val="none" w:sz="0" w:space="0" w:color="auto"/>
        <w:right w:val="none" w:sz="0" w:space="0" w:color="auto"/>
      </w:divBdr>
    </w:div>
    <w:div w:id="1714888627">
      <w:bodyDiv w:val="1"/>
      <w:marLeft w:val="0"/>
      <w:marRight w:val="0"/>
      <w:marTop w:val="0"/>
      <w:marBottom w:val="0"/>
      <w:divBdr>
        <w:top w:val="none" w:sz="0" w:space="0" w:color="auto"/>
        <w:left w:val="none" w:sz="0" w:space="0" w:color="auto"/>
        <w:bottom w:val="none" w:sz="0" w:space="0" w:color="auto"/>
        <w:right w:val="none" w:sz="0" w:space="0" w:color="auto"/>
      </w:divBdr>
    </w:div>
    <w:div w:id="1767309927">
      <w:bodyDiv w:val="1"/>
      <w:marLeft w:val="0"/>
      <w:marRight w:val="0"/>
      <w:marTop w:val="0"/>
      <w:marBottom w:val="0"/>
      <w:divBdr>
        <w:top w:val="none" w:sz="0" w:space="0" w:color="auto"/>
        <w:left w:val="none" w:sz="0" w:space="0" w:color="auto"/>
        <w:bottom w:val="none" w:sz="0" w:space="0" w:color="auto"/>
        <w:right w:val="none" w:sz="0" w:space="0" w:color="auto"/>
      </w:divBdr>
    </w:div>
    <w:div w:id="1888569244">
      <w:bodyDiv w:val="1"/>
      <w:marLeft w:val="0"/>
      <w:marRight w:val="0"/>
      <w:marTop w:val="0"/>
      <w:marBottom w:val="0"/>
      <w:divBdr>
        <w:top w:val="none" w:sz="0" w:space="0" w:color="auto"/>
        <w:left w:val="none" w:sz="0" w:space="0" w:color="auto"/>
        <w:bottom w:val="none" w:sz="0" w:space="0" w:color="auto"/>
        <w:right w:val="none" w:sz="0" w:space="0" w:color="auto"/>
      </w:divBdr>
    </w:div>
    <w:div w:id="210784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69739/jmsbc.v2i2.1258?utm_source=chatgpt.com" TargetMode="External"/><Relationship Id="rId18" Type="http://schemas.openxmlformats.org/officeDocument/2006/relationships/hyperlink" Target="https://doi.org/10.65756/pjmms.202604.009?utm_source=chatgpt.com" TargetMode="External"/><Relationship Id="rId26" Type="http://schemas.openxmlformats.org/officeDocument/2006/relationships/hyperlink" Target="https://doi.org/10.9734/ajopacs/2025/v13i4271?utm_source=chatgpt.com" TargetMode="External"/><Relationship Id="rId39" Type="http://schemas.openxmlformats.org/officeDocument/2006/relationships/footer" Target="footer3.xml"/><Relationship Id="rId21" Type="http://schemas.openxmlformats.org/officeDocument/2006/relationships/hyperlink" Target="https://doi.org/10.69739/jece.v2i2.1078?utm_source=chatgpt.com" TargetMode="External"/><Relationship Id="rId34" Type="http://schemas.openxmlformats.org/officeDocument/2006/relationships/header" Target="head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https://doi.org/10.9734/ajriz/2026/v9i1239?utm_source=chatgpt.com" TargetMode="External"/><Relationship Id="rId20" Type="http://schemas.openxmlformats.org/officeDocument/2006/relationships/hyperlink" Target="https://doi.org/10.9734/ajriz/2026/v9i1243?utm_source=chatgpt.com" TargetMode="External"/><Relationship Id="rId29" Type="http://schemas.openxmlformats.org/officeDocument/2006/relationships/hyperlink" Target="https://doi.org/10.69739/jaaas.v2i2.1309?utm_source=chatgpt.com"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5281/zenodo.17148360?utm_source=chatgpt.com" TargetMode="External"/><Relationship Id="rId24" Type="http://schemas.openxmlformats.org/officeDocument/2006/relationships/hyperlink" Target="https://doi.org/10.69739/jece.v2i2.844?utm_source=chatgpt.com" TargetMode="External"/><Relationship Id="rId32" Type="http://schemas.openxmlformats.org/officeDocument/2006/relationships/hyperlink" Target="https://doi.org/10.9734/ajoger/2026/v9i1230?utm_source=chatgp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9734/ajahr/2026/v13i1436?utm_source=chatgpt.com" TargetMode="External"/><Relationship Id="rId23" Type="http://schemas.openxmlformats.org/officeDocument/2006/relationships/hyperlink" Target="https://doi.org/10.5281/zenodo.16921896?utm_source=chatgpt.com" TargetMode="External"/><Relationship Id="rId28" Type="http://schemas.openxmlformats.org/officeDocument/2006/relationships/hyperlink" Target="https://doi.org/10.5281/zenodo.16904018?utm_source=chatgpt.com" TargetMode="External"/><Relationship Id="rId36" Type="http://schemas.openxmlformats.org/officeDocument/2006/relationships/footer" Target="footer1.xml"/><Relationship Id="rId10" Type="http://schemas.openxmlformats.org/officeDocument/2006/relationships/hyperlink" Target="https://doi.org/10.56557/jogee/2026/v22i110220?utm_source=chatgpt.com" TargetMode="External"/><Relationship Id="rId19" Type="http://schemas.openxmlformats.org/officeDocument/2006/relationships/hyperlink" Target="https://doi.org/10.9734/ajgr/2025/v8i4341?utm_source=chatgpt.com" TargetMode="External"/><Relationship Id="rId31" Type="http://schemas.openxmlformats.org/officeDocument/2006/relationships/hyperlink" Target="https://doi.org/10.9734/ajgr/2025/v8i4337?utm_source=chatgpt.com" TargetMode="External"/><Relationship Id="rId4" Type="http://schemas.openxmlformats.org/officeDocument/2006/relationships/footnotes" Target="footnotes.xml"/><Relationship Id="rId9" Type="http://schemas.openxmlformats.org/officeDocument/2006/relationships/hyperlink" Target="https://doi.org/10.9734/ajee/2023/v21i4469?utm_source=chatgpt.com" TargetMode="External"/><Relationship Id="rId14" Type="http://schemas.openxmlformats.org/officeDocument/2006/relationships/hyperlink" Target="https://doi.org/10.69739/sjet.v2i2.1308?utm_source=chatgpt.com" TargetMode="External"/><Relationship Id="rId22" Type="http://schemas.openxmlformats.org/officeDocument/2006/relationships/hyperlink" Target="https://doi.org/10.56557/japsi/2025/v17i210026?utm_source=chatgpt.com" TargetMode="External"/><Relationship Id="rId27" Type="http://schemas.openxmlformats.org/officeDocument/2006/relationships/hyperlink" Target="https://doi.org/10.9734/ajoger/2025/v8i3223?utm_source=chatgpt.com" TargetMode="External"/><Relationship Id="rId30" Type="http://schemas.openxmlformats.org/officeDocument/2006/relationships/hyperlink" Target="https://doi.org/10.1016/j.ecoenv.2023.115925?utm_source=chatgpt.com" TargetMode="External"/><Relationship Id="rId35" Type="http://schemas.openxmlformats.org/officeDocument/2006/relationships/header" Target="header2.xml"/><Relationship Id="rId8" Type="http://schemas.openxmlformats.org/officeDocument/2006/relationships/hyperlink" Target="https://doi.org/10.9734/ajee/2025/v24i11822?utm_source=chatgpt.com" TargetMode="External"/><Relationship Id="rId3" Type="http://schemas.openxmlformats.org/officeDocument/2006/relationships/webSettings" Target="webSettings.xml"/><Relationship Id="rId12" Type="http://schemas.openxmlformats.org/officeDocument/2006/relationships/hyperlink" Target="https://doi.org/10.69739/jece.v2i2.952?utm_source=chatgpt.com" TargetMode="External"/><Relationship Id="rId17" Type="http://schemas.openxmlformats.org/officeDocument/2006/relationships/hyperlink" Target="https://doi.org/10.1021/acs.est.7b05440?utm_source=chatgpt.com" TargetMode="External"/><Relationship Id="rId25" Type="http://schemas.openxmlformats.org/officeDocument/2006/relationships/hyperlink" Target="https://doi.org/10.9734/ajocs/2025/v15i6402?utm_source=chatgpt.com" TargetMode="External"/><Relationship Id="rId33" Type="http://schemas.openxmlformats.org/officeDocument/2006/relationships/hyperlink" Target="https://www.epa.gov/ground-water-and-drinking-water/national-primary-drinking-water-regulations?utm_source=chatgpt.com" TargetMode="External"/><Relationship Id="rId38" Type="http://schemas.openxmlformats.org/officeDocument/2006/relationships/header" Target="header3.xml"/><Relationship Id="rId42" Type="http://schemas.openxmlformats.org/officeDocument/2006/relationships/hyperlink" Target="https://doi.org/10.9734/ajee/2025/v24i11822" TargetMode="External"/><Relationship Id="rId43" Type="http://schemas.openxmlformats.org/officeDocument/2006/relationships/hyperlink" Target="https://doi.org/10.9734/ajee/2023/v21i4469" TargetMode="External"/><Relationship Id="rId44" Type="http://schemas.openxmlformats.org/officeDocument/2006/relationships/hyperlink" Target="https://doi.org/10.56557/jogee/2026/v22i110220" TargetMode="External"/><Relationship Id="rId45" Type="http://schemas.openxmlformats.org/officeDocument/2006/relationships/hyperlink" Target="https://doi.org/10.5281/zenodo.17148360" TargetMode="External"/><Relationship Id="rId46" Type="http://schemas.openxmlformats.org/officeDocument/2006/relationships/hyperlink" Target="https://doi.org/10.69739/jece.v2i2.952" TargetMode="External"/><Relationship Id="rId47" Type="http://schemas.openxmlformats.org/officeDocument/2006/relationships/hyperlink" Target="https://doi.org/10.69739/jmsbc.v2i2.1258" TargetMode="External"/><Relationship Id="rId48" Type="http://schemas.openxmlformats.org/officeDocument/2006/relationships/hyperlink" Target="https://doi.org/10.69739/sjet.v2i2.1308" TargetMode="External"/><Relationship Id="rId49" Type="http://schemas.openxmlformats.org/officeDocument/2006/relationships/hyperlink" Target="https://doi.org/10.9734/ajahr/2026/v13i1436" TargetMode="External"/><Relationship Id="rId50" Type="http://schemas.openxmlformats.org/officeDocument/2006/relationships/hyperlink" Target="https://doi.org/10.9734/ajriz/2026/v9i1239" TargetMode="External"/><Relationship Id="rId51" Type="http://schemas.openxmlformats.org/officeDocument/2006/relationships/hyperlink" Target="https://doi.org/10.1021/acs.est.7b05440" TargetMode="External"/><Relationship Id="rId52" Type="http://schemas.openxmlformats.org/officeDocument/2006/relationships/hyperlink" Target="https://doi.org/10.65756/pjmms.202604.009" TargetMode="External"/><Relationship Id="rId53" Type="http://schemas.openxmlformats.org/officeDocument/2006/relationships/hyperlink" Target="https://doi.org/10.9734/ajgr/2025/v8i4341" TargetMode="External"/><Relationship Id="rId54" Type="http://schemas.openxmlformats.org/officeDocument/2006/relationships/hyperlink" Target="https://doi.org/10.9734/ajriz/2026/v9i1243" TargetMode="External"/><Relationship Id="rId55" Type="http://schemas.openxmlformats.org/officeDocument/2006/relationships/hyperlink" Target="https://doi.org/10.69739/jece.v2i2.1078" TargetMode="External"/><Relationship Id="rId56" Type="http://schemas.openxmlformats.org/officeDocument/2006/relationships/hyperlink" Target="https://doi.org/10.56557/japsi/2025/v17i210026" TargetMode="External"/><Relationship Id="rId57" Type="http://schemas.openxmlformats.org/officeDocument/2006/relationships/hyperlink" Target="https://doi.org/10.5281/zenodo.16921896" TargetMode="External"/><Relationship Id="rId58" Type="http://schemas.openxmlformats.org/officeDocument/2006/relationships/hyperlink" Target="https://doi.org/10.69739/jece.v2i2.844" TargetMode="External"/><Relationship Id="rId59" Type="http://schemas.openxmlformats.org/officeDocument/2006/relationships/hyperlink" Target="https://doi.org/10.9734/ajocs/2025/v15i6402" TargetMode="External"/><Relationship Id="rId60" Type="http://schemas.openxmlformats.org/officeDocument/2006/relationships/hyperlink" Target="https://doi.org/10.9734/ajopacs/2025/v13i4271" TargetMode="External"/><Relationship Id="rId61" Type="http://schemas.openxmlformats.org/officeDocument/2006/relationships/hyperlink" Target="https://doi.org/10.9734/ajoger/2025/v8i3223" TargetMode="External"/><Relationship Id="rId62" Type="http://schemas.openxmlformats.org/officeDocument/2006/relationships/hyperlink" Target="https://doi.org/10.5281/zenodo.16904018" TargetMode="External"/><Relationship Id="rId63" Type="http://schemas.openxmlformats.org/officeDocument/2006/relationships/hyperlink" Target="https://doi.org/10.69739/jaaas.v2i2.1309" TargetMode="External"/><Relationship Id="rId64" Type="http://schemas.openxmlformats.org/officeDocument/2006/relationships/hyperlink" Target="https://doi.org/10.1016/j.ecoenv.2023.115925" TargetMode="External"/><Relationship Id="rId65" Type="http://schemas.openxmlformats.org/officeDocument/2006/relationships/hyperlink" Target="https://doi.org/10.9734/ajgr/2025/v8i4337" TargetMode="External"/><Relationship Id="rId66" Type="http://schemas.openxmlformats.org/officeDocument/2006/relationships/hyperlink" Target="https://doi.org/10.9734/ajoger/2026/v9i1230" TargetMode="External"/><Relationship Id="rId67" Type="http://schemas.openxmlformats.org/officeDocument/2006/relationships/hyperlink" Target="https://www.epa.gov/ground-water-and-drinking-water/national-primary-drinking-water-regulations" TargetMode="External"/><Relationship Id="rId68" Type="http://schemas.openxmlformats.org/officeDocument/2006/relationships/hyperlink" Target="https://www.who.int/southeastasia/publications/i/item/97892400450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25</Pages>
  <Words>9259</Words>
  <Characters>52781</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OTOKWALA</dc:creator>
  <cp:keywords/>
  <dc:description/>
  <cp:lastModifiedBy>SDI 1087</cp:lastModifiedBy>
  <cp:revision>6</cp:revision>
  <dcterms:created xsi:type="dcterms:W3CDTF">2026-08-27T13:44:00Z</dcterms:created>
  <dcterms:modified xsi:type="dcterms:W3CDTF">2026-09-04T10:49:00Z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0ec12cc9-2911-4382-bef2-72f328fbb35f</vt:lpwstr>
  </property>
</Properties>
</file>