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1FDE0" w14:textId="0E978DAB" w:rsidR="00463C15" w:rsidRPr="000B33D4" w:rsidRDefault="000371C0" w:rsidP="000371C0">
      <w:pPr>
        <w:spacing w:before="100" w:beforeAutospacing="1" w:after="100" w:afterAutospacing="1" w:line="360" w:lineRule="auto"/>
        <w:jc w:val="center"/>
        <w:rPr>
          <w:rFonts w:ascii="Times New Roman" w:eastAsia="Times New Roman" w:hAnsi="Times New Roman" w:cs="Times New Roman"/>
          <w:b/>
          <w:bCs/>
          <w:sz w:val="24"/>
          <w:szCs w:val="24"/>
        </w:rPr>
      </w:pPr>
      <w:r w:rsidRPr="000B33D4">
        <w:rPr>
          <w:rFonts w:ascii="Times New Roman" w:eastAsia="Times New Roman" w:hAnsi="Times New Roman" w:cs="Times New Roman"/>
          <w:b/>
          <w:bCs/>
          <w:sz w:val="24"/>
          <w:szCs w:val="24"/>
        </w:rPr>
        <w:t>Assessment O</w:t>
      </w:r>
      <w:r w:rsidR="007C7104" w:rsidRPr="000B33D4">
        <w:rPr>
          <w:rFonts w:ascii="Times New Roman" w:eastAsia="Times New Roman" w:hAnsi="Times New Roman" w:cs="Times New Roman"/>
          <w:b/>
          <w:bCs/>
          <w:sz w:val="24"/>
          <w:szCs w:val="24"/>
        </w:rPr>
        <w:t>f</w:t>
      </w:r>
      <w:r w:rsidRPr="000B33D4">
        <w:rPr>
          <w:rFonts w:ascii="Times New Roman" w:eastAsia="Times New Roman" w:hAnsi="Times New Roman" w:cs="Times New Roman"/>
          <w:b/>
          <w:bCs/>
          <w:sz w:val="24"/>
          <w:szCs w:val="24"/>
        </w:rPr>
        <w:t xml:space="preserve"> </w:t>
      </w:r>
      <w:r w:rsidR="00E17B84" w:rsidRPr="000B33D4">
        <w:rPr>
          <w:rFonts w:ascii="Times New Roman" w:eastAsia="Times New Roman" w:hAnsi="Times New Roman" w:cs="Times New Roman"/>
          <w:b/>
          <w:bCs/>
          <w:sz w:val="24"/>
          <w:szCs w:val="24"/>
        </w:rPr>
        <w:t xml:space="preserve">Infiltration Characteristics And Groundwater Recharge Potentials Under Different Land-Use Practices In A Tropical Watershed, A Case Study Of </w:t>
      </w:r>
      <w:proofErr w:type="spellStart"/>
      <w:r w:rsidRPr="000B33D4">
        <w:rPr>
          <w:rFonts w:ascii="Times New Roman" w:eastAsia="Times New Roman" w:hAnsi="Times New Roman" w:cs="Times New Roman"/>
          <w:b/>
          <w:bCs/>
          <w:sz w:val="24"/>
          <w:szCs w:val="24"/>
        </w:rPr>
        <w:t>Otamiri</w:t>
      </w:r>
      <w:proofErr w:type="spellEnd"/>
      <w:r w:rsidR="00E17B84" w:rsidRPr="000B33D4">
        <w:rPr>
          <w:rFonts w:ascii="Times New Roman" w:eastAsia="Times New Roman" w:hAnsi="Times New Roman" w:cs="Times New Roman"/>
          <w:b/>
          <w:bCs/>
          <w:sz w:val="24"/>
          <w:szCs w:val="24"/>
        </w:rPr>
        <w:t>-</w:t>
      </w:r>
      <w:r w:rsidRPr="000B33D4">
        <w:rPr>
          <w:rFonts w:ascii="Times New Roman" w:eastAsia="Times New Roman" w:hAnsi="Times New Roman" w:cs="Times New Roman"/>
          <w:b/>
          <w:bCs/>
          <w:sz w:val="24"/>
          <w:szCs w:val="24"/>
        </w:rPr>
        <w:t>Nworie River</w:t>
      </w:r>
      <w:r w:rsidR="00E17B84" w:rsidRPr="000B33D4">
        <w:rPr>
          <w:rFonts w:ascii="Times New Roman" w:eastAsia="Times New Roman" w:hAnsi="Times New Roman" w:cs="Times New Roman"/>
          <w:b/>
          <w:bCs/>
          <w:sz w:val="24"/>
          <w:szCs w:val="24"/>
        </w:rPr>
        <w:t xml:space="preserve">, </w:t>
      </w:r>
      <w:r w:rsidRPr="000B33D4">
        <w:rPr>
          <w:rFonts w:ascii="Times New Roman" w:eastAsia="Times New Roman" w:hAnsi="Times New Roman" w:cs="Times New Roman"/>
          <w:b/>
          <w:bCs/>
          <w:sz w:val="24"/>
          <w:szCs w:val="24"/>
        </w:rPr>
        <w:t>Imo State</w:t>
      </w:r>
      <w:r w:rsidR="005E36ED" w:rsidRPr="000B33D4">
        <w:rPr>
          <w:rFonts w:ascii="Times New Roman" w:eastAsia="Times New Roman" w:hAnsi="Times New Roman" w:cs="Times New Roman"/>
          <w:b/>
          <w:bCs/>
          <w:sz w:val="24"/>
          <w:szCs w:val="24"/>
        </w:rPr>
        <w:t>, Nigeria</w:t>
      </w:r>
    </w:p>
    <w:p w14:paraId="6F5559E8" w14:textId="77777777" w:rsidR="00BC0BAF" w:rsidRPr="000B33D4" w:rsidRDefault="002D5205" w:rsidP="000371C0">
      <w:pPr>
        <w:spacing w:before="100" w:beforeAutospacing="1" w:after="100" w:afterAutospacing="1" w:line="360" w:lineRule="auto"/>
        <w:rPr>
          <w:rFonts w:ascii="Times New Roman" w:hAnsi="Times New Roman" w:cs="Times New Roman"/>
          <w:b/>
          <w:sz w:val="24"/>
          <w:szCs w:val="24"/>
        </w:rPr>
      </w:pPr>
      <w:r w:rsidRPr="000B33D4">
        <w:rPr>
          <w:rFonts w:ascii="Times New Roman" w:hAnsi="Times New Roman"/>
          <w:b/>
          <w:sz w:val="24"/>
        </w:rPr>
        <w:t>ABSTRACT</w:t>
      </w:r>
    </w:p>
    <w:p w14:paraId="46778A29" w14:textId="77777777" w:rsidR="005E36ED" w:rsidRPr="000B33D4" w:rsidRDefault="005E36ED" w:rsidP="005E36ED">
      <w:pPr>
        <w:spacing w:before="100" w:beforeAutospacing="1" w:after="100" w:afterAutospacing="1" w:line="360" w:lineRule="auto"/>
        <w:jc w:val="both"/>
      </w:pPr>
      <w:r w:rsidRPr="000B33D4">
        <w:t xml:space="preserve">This study assessed soil infiltration characteristics and groundwater recharge potential under four land-use practices—Agricultural Land, Built-up Area, Forest Reserve, and Bare Soil—within the </w:t>
      </w:r>
      <w:proofErr w:type="spellStart"/>
      <w:r w:rsidRPr="000B33D4">
        <w:t>Otamiri</w:t>
      </w:r>
      <w:proofErr w:type="spellEnd"/>
      <w:r w:rsidRPr="000B33D4">
        <w:t xml:space="preserve">–Nworie tropical watershed in Owerri Municipal, Imo State, southeastern Nigeria. Field infiltration measurements were obtained using a double-ring infiltrometer, while soil samples were </w:t>
      </w:r>
      <w:proofErr w:type="spellStart"/>
      <w:r w:rsidRPr="000B33D4">
        <w:t>analysed</w:t>
      </w:r>
      <w:proofErr w:type="spellEnd"/>
      <w:r w:rsidRPr="000B33D4">
        <w:t xml:space="preserve"> for selected physical properties. The Horton, Philip, and Kostiakov models were fitted to the measured infiltration data, and groundwater recharge potential was estimated using a water-balance approach. Steady-state infiltration rates differed among the land-use types, with the Forest Reserve recording the highest value (184.5 mm/</w:t>
      </w:r>
      <w:proofErr w:type="spellStart"/>
      <w:r w:rsidRPr="000B33D4">
        <w:t>hr</w:t>
      </w:r>
      <w:proofErr w:type="spellEnd"/>
      <w:r w:rsidRPr="000B33D4">
        <w:t>), followed by Agricultural Land (112.3 mm/</w:t>
      </w:r>
      <w:proofErr w:type="spellStart"/>
      <w:r w:rsidRPr="000B33D4">
        <w:t>hr</w:t>
      </w:r>
      <w:proofErr w:type="spellEnd"/>
      <w:r w:rsidRPr="000B33D4">
        <w:t>), Bare Soil (45.2 mm/</w:t>
      </w:r>
      <w:proofErr w:type="spellStart"/>
      <w:r w:rsidRPr="000B33D4">
        <w:t>hr</w:t>
      </w:r>
      <w:proofErr w:type="spellEnd"/>
      <w:r w:rsidRPr="000B33D4">
        <w:t>), and the Built-up Area (12.1 mm/</w:t>
      </w:r>
      <w:proofErr w:type="spellStart"/>
      <w:r w:rsidRPr="000B33D4">
        <w:t>hr</w:t>
      </w:r>
      <w:proofErr w:type="spellEnd"/>
      <w:r w:rsidRPr="000B33D4">
        <w:t>). Saturated hydraulic conductivity followed a similar pattern, ranging from 9.64 cm/</w:t>
      </w:r>
      <w:proofErr w:type="spellStart"/>
      <w:r w:rsidRPr="000B33D4">
        <w:t>hr</w:t>
      </w:r>
      <w:proofErr w:type="spellEnd"/>
      <w:r w:rsidRPr="000B33D4">
        <w:t xml:space="preserve"> in the Forest Reserve to 2.07 cm/</w:t>
      </w:r>
      <w:proofErr w:type="spellStart"/>
      <w:r w:rsidRPr="000B33D4">
        <w:t>hr</w:t>
      </w:r>
      <w:proofErr w:type="spellEnd"/>
      <w:r w:rsidRPr="000B33D4">
        <w:t xml:space="preserve"> in the Built-up Area. The Horton model produced the strongest fit across the evaluated land uses, with coefficients of determination ranging from 0.94 to 0.97 and the lowest root mean square errors among the tested models. Groundwater recharge estimates also indicated higher recharge under forested conditions and lower recharge in the Built-up Area. The results indicate that land-use practices are associated with marked differences in infiltration, soil hydraulic </w:t>
      </w:r>
      <w:proofErr w:type="spellStart"/>
      <w:r w:rsidRPr="000B33D4">
        <w:t>behaviour</w:t>
      </w:r>
      <w:proofErr w:type="spellEnd"/>
      <w:r w:rsidRPr="000B33D4">
        <w:t>, and groundwater recharge potential within the watershed.</w:t>
      </w:r>
    </w:p>
    <w:p w14:paraId="63F0B6E5" w14:textId="03F0C30D" w:rsidR="00973BBC" w:rsidRPr="000B33D4" w:rsidRDefault="00BC0BAF" w:rsidP="000371C0">
      <w:pPr>
        <w:spacing w:before="100" w:beforeAutospacing="1" w:after="100" w:afterAutospacing="1" w:line="360" w:lineRule="auto"/>
        <w:rPr>
          <w:rFonts w:ascii="Times New Roman" w:hAnsi="Times New Roman" w:cs="Times New Roman"/>
          <w:sz w:val="24"/>
          <w:szCs w:val="24"/>
        </w:rPr>
      </w:pPr>
      <w:r w:rsidRPr="000B33D4">
        <w:rPr>
          <w:rFonts w:ascii="Times New Roman" w:hAnsi="Times New Roman" w:cs="Times New Roman"/>
          <w:b/>
          <w:bCs/>
          <w:sz w:val="24"/>
          <w:szCs w:val="24"/>
        </w:rPr>
        <w:t>Keywords</w:t>
      </w:r>
      <w:r w:rsidRPr="000B33D4">
        <w:rPr>
          <w:rFonts w:ascii="Times New Roman" w:hAnsi="Times New Roman" w:cs="Times New Roman"/>
          <w:sz w:val="24"/>
          <w:szCs w:val="24"/>
        </w:rPr>
        <w:t xml:space="preserve">: </w:t>
      </w:r>
      <w:r w:rsidR="001A3419" w:rsidRPr="000B33D4">
        <w:rPr>
          <w:rFonts w:ascii="Times New Roman" w:hAnsi="Times New Roman" w:cs="Times New Roman"/>
          <w:sz w:val="24"/>
          <w:szCs w:val="24"/>
        </w:rPr>
        <w:t>infiltration rate, land –use, groundwater potentials, modelling</w:t>
      </w:r>
    </w:p>
    <w:p w14:paraId="24A567D4" w14:textId="77777777" w:rsidR="00BC0BAF" w:rsidRPr="000B33D4" w:rsidRDefault="008E4210" w:rsidP="00BC0BAF">
      <w:pPr>
        <w:pStyle w:val="ListParagraph"/>
        <w:numPr>
          <w:ilvl w:val="0"/>
          <w:numId w:val="1"/>
        </w:numPr>
        <w:spacing w:before="100" w:beforeAutospacing="1" w:after="100" w:afterAutospacing="1" w:line="360" w:lineRule="auto"/>
        <w:rPr>
          <w:rFonts w:ascii="Times New Roman" w:hAnsi="Times New Roman" w:cs="Times New Roman"/>
          <w:b/>
          <w:sz w:val="24"/>
          <w:szCs w:val="24"/>
        </w:rPr>
      </w:pPr>
      <w:r w:rsidRPr="000B33D4">
        <w:rPr>
          <w:rFonts w:ascii="Times New Roman" w:hAnsi="Times New Roman" w:cs="Times New Roman"/>
          <w:b/>
          <w:sz w:val="24"/>
          <w:szCs w:val="24"/>
        </w:rPr>
        <w:t>INTRODUCTION</w:t>
      </w:r>
    </w:p>
    <w:p w14:paraId="788CF46C" w14:textId="77777777" w:rsidR="00BC0BAF" w:rsidRPr="000B33D4" w:rsidRDefault="00BC0BAF" w:rsidP="00BC0BAF">
      <w:pPr>
        <w:spacing w:line="360" w:lineRule="auto"/>
        <w:jc w:val="both"/>
        <w:rPr>
          <w:rFonts w:ascii="Times New Roman" w:hAnsi="Times New Roman" w:cs="Times New Roman"/>
          <w:sz w:val="24"/>
          <w:szCs w:val="24"/>
        </w:rPr>
      </w:pPr>
      <w:r w:rsidRPr="000B33D4">
        <w:rPr>
          <w:rFonts w:ascii="Times New Roman" w:hAnsi="Times New Roman"/>
          <w:sz w:val="24"/>
        </w:rPr>
        <w:t xml:space="preserve">Water is a vital natural resource that needs to be protected from pollutants (World Health Organization [WHO], 2017; Environment Agency, 2019; Shah </w:t>
      </w:r>
      <w:r w:rsidRPr="000B33D4">
        <w:rPr>
          <w:rFonts w:ascii="Times New Roman" w:hAnsi="Times New Roman"/>
          <w:i/>
          <w:sz w:val="24"/>
        </w:rPr>
        <w:t>et al.,</w:t>
      </w:r>
      <w:r w:rsidRPr="000B33D4">
        <w:rPr>
          <w:rFonts w:ascii="Times New Roman" w:hAnsi="Times New Roman"/>
          <w:sz w:val="24"/>
        </w:rPr>
        <w:t xml:space="preserve"> 2023). Currently, only about 0.5%–1.0% of the total available water resources can be regarded as suitable for drinking (Kausley </w:t>
      </w:r>
      <w:r w:rsidRPr="000B33D4">
        <w:rPr>
          <w:rFonts w:ascii="Times New Roman" w:hAnsi="Times New Roman"/>
          <w:i/>
          <w:sz w:val="24"/>
        </w:rPr>
        <w:t>et al.,</w:t>
      </w:r>
      <w:r w:rsidRPr="000B33D4">
        <w:rPr>
          <w:rFonts w:ascii="Times New Roman" w:hAnsi="Times New Roman"/>
          <w:sz w:val="24"/>
        </w:rPr>
        <w:t xml:space="preserve"> 2019). Water quality can be described in terms of physical, chemical, and biological contaminants (Palansooriya </w:t>
      </w:r>
      <w:r w:rsidRPr="000B33D4">
        <w:rPr>
          <w:rFonts w:ascii="Times New Roman" w:hAnsi="Times New Roman"/>
          <w:i/>
          <w:sz w:val="24"/>
        </w:rPr>
        <w:t>et al.,</w:t>
      </w:r>
      <w:r w:rsidRPr="000B33D4">
        <w:rPr>
          <w:rFonts w:ascii="Times New Roman" w:hAnsi="Times New Roman"/>
          <w:sz w:val="24"/>
        </w:rPr>
        <w:t xml:space="preserve"> 2020). Furthermore, water is one of the most indispensable natural resources on Earth and is fundamental to the survival of humans, animals, plants, and aquatic ecosystems. It serves numerous domestic, agricultural, industrial, </w:t>
      </w:r>
      <w:r w:rsidRPr="000B33D4">
        <w:rPr>
          <w:rFonts w:ascii="Times New Roman" w:hAnsi="Times New Roman"/>
          <w:sz w:val="24"/>
        </w:rPr>
        <w:lastRenderedPageBreak/>
        <w:t>recreational, and environmental functions. Water quality determines its suitability for these various uses. Consequently, maintaining good water quality has become a major environmental and public health concern worldwide.</w:t>
      </w:r>
    </w:p>
    <w:p w14:paraId="5289CD38" w14:textId="77777777" w:rsidR="00BC0BAF" w:rsidRPr="000B33D4" w:rsidRDefault="00BC0BAF" w:rsidP="00BC0BAF">
      <w:pPr>
        <w:spacing w:before="100" w:beforeAutospacing="1" w:after="100" w:afterAutospacing="1" w:line="360" w:lineRule="auto"/>
        <w:jc w:val="both"/>
        <w:rPr>
          <w:rFonts w:ascii="Times New Roman" w:eastAsia="Times New Roman" w:hAnsi="Times New Roman" w:cs="Times New Roman"/>
          <w:sz w:val="24"/>
          <w:szCs w:val="24"/>
        </w:rPr>
      </w:pPr>
      <w:r w:rsidRPr="000B33D4">
        <w:rPr>
          <w:rFonts w:ascii="Times New Roman" w:hAnsi="Times New Roman"/>
          <w:sz w:val="24"/>
        </w:rPr>
        <w:t>Rapid urbanisation, industrialisation, agricultural intensification, and population growth have significantly increased the pollution of surface water resources globally. These activities introduce numerous contaminants into rivers through domestic sewage, industrial effluents, agricultural runoff, solid waste disposal, erosion, and stormwater drainage. Such contaminants adversely affect the physical, chemical, and microbiological characteristics of water, thereby reducing its suitability for human consumption and ecological sustainability (United Nations, 2024; WHO, 2022). Unfortunately, in many areas of the world, especially in developing countries, including Nigeria, it is difficult to obtain a steady source of pure water for drinking and agricultural uses.</w:t>
      </w:r>
    </w:p>
    <w:p w14:paraId="0B92AC19" w14:textId="77777777" w:rsidR="00BC0BAF" w:rsidRPr="000B33D4" w:rsidRDefault="00BC0BAF" w:rsidP="00BC0BAF">
      <w:pPr>
        <w:spacing w:before="100" w:beforeAutospacing="1" w:after="100" w:afterAutospacing="1" w:line="360" w:lineRule="auto"/>
        <w:jc w:val="both"/>
        <w:rPr>
          <w:rFonts w:ascii="Times New Roman" w:eastAsia="Times New Roman" w:hAnsi="Times New Roman" w:cs="Times New Roman"/>
          <w:sz w:val="24"/>
          <w:szCs w:val="24"/>
        </w:rPr>
      </w:pPr>
      <w:r w:rsidRPr="000B33D4">
        <w:rPr>
          <w:rFonts w:ascii="Times New Roman" w:hAnsi="Times New Roman"/>
          <w:sz w:val="24"/>
        </w:rPr>
        <w:t xml:space="preserve">Duruanyim, Okorafor, </w:t>
      </w:r>
      <w:r w:rsidRPr="000B33D4">
        <w:rPr>
          <w:rFonts w:ascii="Times New Roman" w:hAnsi="Times New Roman"/>
          <w:i/>
          <w:sz w:val="24"/>
        </w:rPr>
        <w:t>et al.</w:t>
      </w:r>
      <w:r w:rsidRPr="000B33D4">
        <w:rPr>
          <w:rFonts w:ascii="Times New Roman" w:hAnsi="Times New Roman"/>
          <w:sz w:val="24"/>
        </w:rPr>
        <w:t xml:space="preserve"> (2025) noted that infiltration can be defined as a process by which water on the ground surface enters the soil. In addition, infiltration plays an important role in soil and water conservation, as it determines the actual amount of runoff over the soil surface during irrigation and precipitation. Water infiltration is the process by which water on the soil surface enters the soil profile and moves downward through the unsaturated zone under the influence of gravity and capillary forces (Ferré &amp; Warrick, 2023). It is one of the most fundamental hydrological processes because it governs the partitioning of rainfall into surface runoff, soil moisture storage, evapotranspiration, and groundwater recharge. Tropical watersheds in Nigeria and many developing countries have experienced increasing flooding, declining groundwater levels, erosion, and water scarcity, largely attributed to poor land-management practices.</w:t>
      </w:r>
    </w:p>
    <w:p w14:paraId="14E0EAE4" w14:textId="77777777" w:rsidR="00BC0BAF" w:rsidRPr="000B33D4" w:rsidRDefault="00BC0BAF" w:rsidP="00BC0BAF">
      <w:pPr>
        <w:spacing w:before="100" w:beforeAutospacing="1" w:after="100" w:afterAutospacing="1" w:line="360" w:lineRule="auto"/>
        <w:jc w:val="both"/>
        <w:rPr>
          <w:rFonts w:ascii="Times New Roman" w:eastAsia="Times New Roman" w:hAnsi="Times New Roman" w:cs="Times New Roman"/>
          <w:sz w:val="24"/>
          <w:szCs w:val="24"/>
        </w:rPr>
      </w:pPr>
      <w:r w:rsidRPr="000B33D4">
        <w:rPr>
          <w:rFonts w:ascii="Times New Roman" w:hAnsi="Times New Roman"/>
          <w:sz w:val="24"/>
        </w:rPr>
        <w:t xml:space="preserve">Tropical watersheds in Nigeria and many developing countries have experienced increasing flooding, declining groundwater levels, erosion, and water scarcity, largely attributed to poor land-management practices. Furthermore, groundwater is one of the world's most valuable freshwater resources, supplying drinking water, irrigation water, industrial water, and ecological flows. In many developing countries, including Nigeria, groundwater constitutes the primary source of potable water because of its relatively good quality and year-round availability </w:t>
      </w:r>
      <w:r w:rsidRPr="000B33D4">
        <w:rPr>
          <w:rFonts w:ascii="Times New Roman" w:hAnsi="Times New Roman"/>
          <w:sz w:val="24"/>
        </w:rPr>
        <w:lastRenderedPageBreak/>
        <w:t>(Bouwer, 2002). Groundwater recharge occurs when infiltrated water percolates through the impervious zone and reaches the water table, thereby replenishing aquifer storage.</w:t>
      </w:r>
    </w:p>
    <w:p w14:paraId="139FDBF6" w14:textId="77777777" w:rsidR="00BC0BAF" w:rsidRPr="000B33D4" w:rsidRDefault="00BC0BAF" w:rsidP="00BC0BAF">
      <w:pPr>
        <w:spacing w:before="100" w:beforeAutospacing="1" w:after="100" w:afterAutospacing="1" w:line="360" w:lineRule="auto"/>
        <w:jc w:val="both"/>
        <w:rPr>
          <w:rFonts w:ascii="Times New Roman" w:eastAsia="Times New Roman" w:hAnsi="Times New Roman" w:cs="Times New Roman"/>
          <w:sz w:val="24"/>
          <w:szCs w:val="24"/>
        </w:rPr>
      </w:pPr>
      <w:r w:rsidRPr="000B33D4">
        <w:rPr>
          <w:rFonts w:ascii="Times New Roman" w:hAnsi="Times New Roman"/>
          <w:sz w:val="24"/>
        </w:rPr>
        <w:t xml:space="preserve">The infiltration process is influenced by numerous soil and environmental factors, including soil texture, soil structure, bulk density, porosity, hydraulic conductivity, antecedent moisture content, vegetation cover, rainfall intensity, slope gradient, and land-management practices (Huffman </w:t>
      </w:r>
      <w:r w:rsidRPr="000B33D4">
        <w:rPr>
          <w:rFonts w:ascii="Times New Roman" w:hAnsi="Times New Roman"/>
          <w:i/>
          <w:sz w:val="24"/>
        </w:rPr>
        <w:t>et al.,</w:t>
      </w:r>
      <w:r w:rsidRPr="000B33D4">
        <w:rPr>
          <w:rFonts w:ascii="Times New Roman" w:hAnsi="Times New Roman"/>
          <w:sz w:val="24"/>
        </w:rPr>
        <w:t xml:space="preserve"> 2013). Among these factors, land use has become one of the most important because human activities continuously modify the natural characteristics of the soil surface.</w:t>
      </w:r>
    </w:p>
    <w:p w14:paraId="76C62981" w14:textId="77777777" w:rsidR="00BC0BAF" w:rsidRPr="000B33D4" w:rsidRDefault="00BC0BAF" w:rsidP="001603B9">
      <w:pPr>
        <w:spacing w:before="100" w:beforeAutospacing="1" w:after="100" w:afterAutospacing="1" w:line="360" w:lineRule="auto"/>
        <w:jc w:val="both"/>
        <w:rPr>
          <w:rFonts w:ascii="Times New Roman" w:eastAsia="Times New Roman" w:hAnsi="Times New Roman" w:cs="Times New Roman"/>
          <w:sz w:val="24"/>
          <w:szCs w:val="24"/>
        </w:rPr>
      </w:pPr>
      <w:r w:rsidRPr="000B33D4">
        <w:rPr>
          <w:rFonts w:ascii="Times New Roman" w:hAnsi="Times New Roman"/>
          <w:sz w:val="24"/>
        </w:rPr>
        <w:t xml:space="preserve">Several mathematical models have been developed to describe infiltration processes under varying soil and climatic conditions. These models have been extensively used in watershed hydrology, irrigation engineering, and groundwater recharge studies (Mishra </w:t>
      </w:r>
      <w:r w:rsidRPr="000B33D4">
        <w:rPr>
          <w:rFonts w:ascii="Times New Roman" w:hAnsi="Times New Roman"/>
          <w:i/>
          <w:sz w:val="24"/>
        </w:rPr>
        <w:t>et al.,</w:t>
      </w:r>
      <w:r w:rsidRPr="000B33D4">
        <w:rPr>
          <w:rFonts w:ascii="Times New Roman" w:hAnsi="Times New Roman"/>
          <w:sz w:val="24"/>
        </w:rPr>
        <w:t xml:space="preserve"> 2003). Assessment of infiltration characteristics under different land-use systems provides valuable information for watershed planning, groundwater conservation, irrigation development, erosion control, and sustainable land management. Such information is particularly important in tropical environments where rainfall is intense and seasonal, making infiltration a key determinant of groundwater recharge and overall watershed health (Bouwer, 2002; Huffman </w:t>
      </w:r>
      <w:r w:rsidRPr="000B33D4">
        <w:rPr>
          <w:rFonts w:ascii="Times New Roman" w:hAnsi="Times New Roman"/>
          <w:i/>
          <w:sz w:val="24"/>
        </w:rPr>
        <w:t>et al.,</w:t>
      </w:r>
      <w:r w:rsidRPr="000B33D4">
        <w:rPr>
          <w:rFonts w:ascii="Times New Roman" w:hAnsi="Times New Roman"/>
          <w:sz w:val="24"/>
        </w:rPr>
        <w:t xml:space="preserve"> 2013). Therefore, evaluating infiltration characteristics and groundwater recharge potentials under different land-use practices is essential for understanding the impacts of land-use change on watershed hydrology and for developing appropriate strategies for sustainable water-resources management. Understanding infiltration behaviour under different land-use systems is therefore essential for sustainable watershed planning. Hence, the research addresses the following questions: How does infiltration vary under different land-use practices? Which land-use practice has the highest infiltration capacity? How do soil physical properties influence infiltration characteristics?</w:t>
      </w:r>
    </w:p>
    <w:p w14:paraId="2B334276" w14:textId="77777777" w:rsidR="00D00688" w:rsidRPr="000B33D4" w:rsidRDefault="00EF0729">
      <w:pPr>
        <w:spacing w:before="100" w:beforeAutospacing="1" w:after="100" w:afterAutospacing="1" w:line="360" w:lineRule="auto"/>
        <w:jc w:val="both"/>
        <w:rPr>
          <w:rFonts w:ascii="Times New Roman" w:eastAsia="Times New Roman" w:hAnsi="Times New Roman" w:cs="Times New Roman"/>
          <w:sz w:val="24"/>
          <w:szCs w:val="24"/>
        </w:rPr>
      </w:pPr>
      <w:r w:rsidRPr="000B33D4">
        <w:rPr>
          <w:rFonts w:ascii="Times New Roman" w:eastAsia="Times New Roman" w:hAnsi="Times New Roman"/>
          <w:sz w:val="24"/>
        </w:rPr>
        <w:t xml:space="preserve">Evidence from Owerri has shown that infiltration characteristics differ among contrasting land-use systems and are accompanied by differences in soil physical properties, including hydraulic conductivity and bulk density (Onyegbule </w:t>
      </w:r>
      <w:r w:rsidRPr="000B33D4">
        <w:rPr>
          <w:rFonts w:ascii="Times New Roman" w:eastAsia="Times New Roman" w:hAnsi="Times New Roman"/>
          <w:i/>
          <w:sz w:val="24"/>
        </w:rPr>
        <w:t>et al.</w:t>
      </w:r>
      <w:r w:rsidRPr="000B33D4">
        <w:rPr>
          <w:rFonts w:ascii="Times New Roman" w:eastAsia="Times New Roman" w:hAnsi="Times New Roman"/>
          <w:sz w:val="24"/>
        </w:rPr>
        <w:t xml:space="preserve">, 2018). In the Niger Delta coastal plain sands, land-use type has also been reported to influence soil-quality characteristics, supporting the relevance of land-use context when assessing soil conditions (Kamalu </w:t>
      </w:r>
      <w:r w:rsidRPr="000B33D4">
        <w:rPr>
          <w:rFonts w:ascii="Times New Roman" w:eastAsia="Times New Roman" w:hAnsi="Times New Roman"/>
          <w:i/>
          <w:sz w:val="24"/>
        </w:rPr>
        <w:t>et al.</w:t>
      </w:r>
      <w:r w:rsidRPr="000B33D4">
        <w:rPr>
          <w:rFonts w:ascii="Times New Roman" w:eastAsia="Times New Roman" w:hAnsi="Times New Roman"/>
          <w:sz w:val="24"/>
        </w:rPr>
        <w:t>, 2022).</w:t>
      </w:r>
    </w:p>
    <w:p w14:paraId="68896170" w14:textId="77777777" w:rsidR="00D00688" w:rsidRPr="000B33D4" w:rsidRDefault="00EF0729">
      <w:pPr>
        <w:spacing w:before="100" w:beforeAutospacing="1" w:after="100" w:afterAutospacing="1" w:line="360" w:lineRule="auto"/>
        <w:jc w:val="both"/>
        <w:rPr>
          <w:rFonts w:ascii="Times New Roman" w:eastAsia="Times New Roman" w:hAnsi="Times New Roman" w:cs="Times New Roman"/>
          <w:sz w:val="24"/>
          <w:szCs w:val="24"/>
        </w:rPr>
      </w:pPr>
      <w:r w:rsidRPr="000B33D4">
        <w:rPr>
          <w:rFonts w:ascii="Times New Roman" w:eastAsia="Times New Roman" w:hAnsi="Times New Roman"/>
          <w:sz w:val="24"/>
        </w:rPr>
        <w:lastRenderedPageBreak/>
        <w:t xml:space="preserve">Recent studies further indicate that infiltration parameters vary across soil reference groups and land-use types, while groundwater recharge potential in a tropical watershed is influenced by land use/cover, soil texture, and terrain conditions (Sharghi S. </w:t>
      </w:r>
      <w:r w:rsidRPr="000B33D4">
        <w:rPr>
          <w:rFonts w:ascii="Times New Roman" w:eastAsia="Times New Roman" w:hAnsi="Times New Roman"/>
          <w:i/>
          <w:sz w:val="24"/>
        </w:rPr>
        <w:t>et al.</w:t>
      </w:r>
      <w:r w:rsidRPr="000B33D4">
        <w:rPr>
          <w:rFonts w:ascii="Times New Roman" w:eastAsia="Times New Roman" w:hAnsi="Times New Roman"/>
          <w:sz w:val="24"/>
        </w:rPr>
        <w:t xml:space="preserve">, 2025; Nunes </w:t>
      </w:r>
      <w:r w:rsidRPr="000B33D4">
        <w:rPr>
          <w:rFonts w:ascii="Times New Roman" w:eastAsia="Times New Roman" w:hAnsi="Times New Roman"/>
          <w:i/>
          <w:sz w:val="24"/>
        </w:rPr>
        <w:t>et al.</w:t>
      </w:r>
      <w:r w:rsidRPr="000B33D4">
        <w:rPr>
          <w:rFonts w:ascii="Times New Roman" w:eastAsia="Times New Roman" w:hAnsi="Times New Roman"/>
          <w:sz w:val="24"/>
        </w:rPr>
        <w:t>, 2024).</w:t>
      </w:r>
    </w:p>
    <w:p w14:paraId="2F0FEF36" w14:textId="77777777" w:rsidR="00CA383F" w:rsidRPr="000B33D4" w:rsidRDefault="00EF0729">
      <w:pPr>
        <w:spacing w:before="100" w:beforeAutospacing="1" w:after="100" w:afterAutospacing="1" w:line="360" w:lineRule="auto"/>
        <w:jc w:val="both"/>
        <w:rPr>
          <w:rFonts w:ascii="Times New Roman" w:eastAsia="Times New Roman" w:hAnsi="Times New Roman"/>
          <w:b/>
          <w:sz w:val="24"/>
        </w:rPr>
      </w:pPr>
      <w:r w:rsidRPr="000B33D4">
        <w:rPr>
          <w:rFonts w:ascii="Times New Roman" w:eastAsia="Times New Roman" w:hAnsi="Times New Roman"/>
          <w:b/>
          <w:sz w:val="24"/>
        </w:rPr>
        <w:t>Research gap</w:t>
      </w:r>
    </w:p>
    <w:p w14:paraId="796BE4D8" w14:textId="118B65AB" w:rsidR="00D00688" w:rsidRPr="000B33D4" w:rsidRDefault="00CA383F">
      <w:pPr>
        <w:spacing w:before="100" w:beforeAutospacing="1" w:after="100" w:afterAutospacing="1" w:line="360" w:lineRule="auto"/>
        <w:jc w:val="both"/>
        <w:rPr>
          <w:rFonts w:ascii="Times New Roman" w:eastAsia="Times New Roman" w:hAnsi="Times New Roman" w:cs="Times New Roman"/>
          <w:sz w:val="24"/>
          <w:szCs w:val="24"/>
        </w:rPr>
      </w:pPr>
      <w:r w:rsidRPr="000B33D4">
        <w:rPr>
          <w:rFonts w:ascii="Times New Roman" w:eastAsia="Times New Roman" w:hAnsi="Times New Roman"/>
          <w:bCs/>
          <w:sz w:val="24"/>
        </w:rPr>
        <w:t>A site-specific gap remains in the integrated assessment of field infiltration behaviour, soil physical properties, infiltration-model performance, and groundwater recharge potential across contrasting land-use practices within the Otamiri-Nworie watershed. Addressing these components within a common watershed framework can provide a clearer basis for comparing hydrological responses among the selected land-use practices.</w:t>
      </w:r>
    </w:p>
    <w:p w14:paraId="3B372689" w14:textId="77777777" w:rsidR="00D00688" w:rsidRPr="000B33D4" w:rsidRDefault="00EF0729">
      <w:pPr>
        <w:spacing w:before="100" w:beforeAutospacing="1" w:after="100" w:afterAutospacing="1" w:line="360" w:lineRule="auto"/>
        <w:jc w:val="both"/>
        <w:rPr>
          <w:rFonts w:ascii="Times New Roman" w:eastAsia="Times New Roman" w:hAnsi="Times New Roman" w:cs="Times New Roman"/>
          <w:sz w:val="24"/>
          <w:szCs w:val="24"/>
        </w:rPr>
      </w:pPr>
      <w:r w:rsidRPr="000B33D4">
        <w:rPr>
          <w:rFonts w:ascii="Times New Roman" w:eastAsia="Times New Roman" w:hAnsi="Times New Roman"/>
          <w:b/>
          <w:sz w:val="24"/>
        </w:rPr>
        <w:t>Objective of the Study</w:t>
      </w:r>
    </w:p>
    <w:p w14:paraId="4DCE172E" w14:textId="77777777" w:rsidR="00D00688" w:rsidRPr="000B33D4" w:rsidRDefault="00EF0729">
      <w:pPr>
        <w:spacing w:before="100" w:beforeAutospacing="1" w:after="100" w:afterAutospacing="1" w:line="360" w:lineRule="auto"/>
        <w:jc w:val="both"/>
        <w:rPr>
          <w:rFonts w:ascii="Times New Roman" w:eastAsia="Times New Roman" w:hAnsi="Times New Roman" w:cs="Times New Roman"/>
          <w:bCs/>
          <w:sz w:val="24"/>
          <w:szCs w:val="24"/>
        </w:rPr>
      </w:pPr>
      <w:r w:rsidRPr="000B33D4">
        <w:rPr>
          <w:rFonts w:ascii="Times New Roman" w:eastAsia="Times New Roman" w:hAnsi="Times New Roman"/>
          <w:bCs/>
          <w:sz w:val="24"/>
        </w:rPr>
        <w:t>The objective of this study was to assess infiltration characteristics and groundwater recharge potential under the selected land-use practices in the Otamiri-Nworie watershed, compare the performance of the Horton, Philip, and Kostiakov infiltration models, and examine the influence of measured soil physical properties on infiltration behaviour.</w:t>
      </w:r>
    </w:p>
    <w:p w14:paraId="765C2F80" w14:textId="77777777" w:rsidR="001603B9" w:rsidRPr="000B33D4" w:rsidRDefault="008E4210" w:rsidP="001603B9">
      <w:pPr>
        <w:spacing w:before="100" w:beforeAutospacing="1" w:after="100" w:afterAutospacing="1" w:line="360" w:lineRule="auto"/>
        <w:jc w:val="both"/>
        <w:rPr>
          <w:rFonts w:ascii="Times New Roman" w:eastAsia="Times New Roman" w:hAnsi="Times New Roman" w:cs="Times New Roman"/>
          <w:sz w:val="24"/>
          <w:szCs w:val="24"/>
        </w:rPr>
      </w:pPr>
      <w:r w:rsidRPr="000B33D4">
        <w:rPr>
          <w:rFonts w:ascii="Times New Roman" w:hAnsi="Times New Roman"/>
          <w:b/>
          <w:sz w:val="24"/>
        </w:rPr>
        <w:t>2.0</w:t>
      </w:r>
      <w:r w:rsidRPr="000B33D4">
        <w:rPr>
          <w:rFonts w:ascii="Times New Roman" w:hAnsi="Times New Roman"/>
          <w:b/>
          <w:sz w:val="24"/>
        </w:rPr>
        <w:tab/>
        <w:t>MATERIALS AND METHODS</w:t>
      </w:r>
    </w:p>
    <w:p w14:paraId="49974200" w14:textId="77777777" w:rsidR="004B7805" w:rsidRPr="000B33D4" w:rsidRDefault="008E4210" w:rsidP="004B7805">
      <w:pPr>
        <w:spacing w:after="120" w:line="360" w:lineRule="auto"/>
        <w:rPr>
          <w:rFonts w:ascii="Times New Roman" w:eastAsia="Times New Roman" w:hAnsi="Times New Roman" w:cs="Times New Roman"/>
          <w:b/>
          <w:bCs/>
          <w:sz w:val="24"/>
          <w:szCs w:val="24"/>
        </w:rPr>
      </w:pPr>
      <w:r w:rsidRPr="000B33D4">
        <w:rPr>
          <w:rFonts w:ascii="Times New Roman" w:eastAsia="Times New Roman" w:hAnsi="Times New Roman" w:cs="Times New Roman"/>
          <w:b/>
          <w:bCs/>
          <w:sz w:val="24"/>
          <w:szCs w:val="24"/>
        </w:rPr>
        <w:t>2.1</w:t>
      </w:r>
      <w:r w:rsidRPr="000B33D4">
        <w:rPr>
          <w:rFonts w:ascii="Times New Roman" w:eastAsia="Times New Roman" w:hAnsi="Times New Roman" w:cs="Times New Roman"/>
          <w:b/>
          <w:bCs/>
          <w:sz w:val="24"/>
          <w:szCs w:val="24"/>
        </w:rPr>
        <w:tab/>
      </w:r>
      <w:r w:rsidR="004B7805" w:rsidRPr="000B33D4">
        <w:rPr>
          <w:rFonts w:ascii="Times New Roman" w:eastAsia="Times New Roman" w:hAnsi="Times New Roman" w:cs="Times New Roman"/>
          <w:b/>
          <w:bCs/>
          <w:sz w:val="24"/>
          <w:szCs w:val="24"/>
        </w:rPr>
        <w:t xml:space="preserve">Study Area </w:t>
      </w:r>
    </w:p>
    <w:p w14:paraId="4ACBE79F" w14:textId="77777777" w:rsidR="004B7805" w:rsidRPr="000B33D4" w:rsidRDefault="004B7805" w:rsidP="004B7805">
      <w:pPr>
        <w:spacing w:after="160" w:line="360" w:lineRule="auto"/>
        <w:jc w:val="both"/>
        <w:rPr>
          <w:rFonts w:ascii="Times New Roman" w:eastAsia="Times New Roman" w:hAnsi="Times New Roman" w:cs="Times New Roman"/>
          <w:sz w:val="24"/>
          <w:szCs w:val="24"/>
        </w:rPr>
      </w:pPr>
      <w:r w:rsidRPr="000B33D4">
        <w:rPr>
          <w:rFonts w:ascii="Times New Roman" w:hAnsi="Times New Roman"/>
          <w:sz w:val="24"/>
        </w:rPr>
        <w:t xml:space="preserve">The Otamiri-Nworie watershed is located between latitudes 5°24'N and 5°33'N and longitudes 6°58'E and 7°06'E. The climate is humid tropical, characterised by distinct wet (April to October) and dry (November to March) seasons. Mean annual rainfall ranges from 2,200 mm to 2,500 mm, with average temperatures of around 27°C (Obineche </w:t>
      </w:r>
      <w:r w:rsidRPr="000B33D4">
        <w:rPr>
          <w:rFonts w:ascii="Times New Roman" w:hAnsi="Times New Roman"/>
          <w:i/>
          <w:sz w:val="24"/>
        </w:rPr>
        <w:t>et al.,</w:t>
      </w:r>
      <w:r w:rsidRPr="000B33D4">
        <w:rPr>
          <w:rFonts w:ascii="Times New Roman" w:hAnsi="Times New Roman"/>
          <w:sz w:val="24"/>
        </w:rPr>
        <w:t xml:space="preserve"> 2023). The river is 9.2 km long from its source to its confluence and runs for approximately 5.0 km through Owerri, the capital of Imo State, Nigeria (Udechukwu </w:t>
      </w:r>
      <w:r w:rsidRPr="000B33D4">
        <w:rPr>
          <w:rFonts w:ascii="Times New Roman" w:hAnsi="Times New Roman"/>
          <w:i/>
          <w:sz w:val="24"/>
        </w:rPr>
        <w:t>et al.,</w:t>
      </w:r>
      <w:r w:rsidRPr="000B33D4">
        <w:rPr>
          <w:rFonts w:ascii="Times New Roman" w:hAnsi="Times New Roman"/>
          <w:sz w:val="24"/>
        </w:rPr>
        <w:t xml:space="preserve"> 2025). The underlying geology is dominated by the Benin Formation (Coastal Plain Sands), which typically features highly permeable, sandy, and coarse loamy soils. Owerri is in the humid tropical realm, which is characterised by both wet and dry seasons. The wet season starts in March and ends in October, while the dry season starts in November and ends in February (Onwuadiochi </w:t>
      </w:r>
      <w:r w:rsidRPr="000B33D4">
        <w:rPr>
          <w:rFonts w:ascii="Times New Roman" w:hAnsi="Times New Roman"/>
          <w:i/>
          <w:sz w:val="24"/>
        </w:rPr>
        <w:t>et al.,</w:t>
      </w:r>
      <w:r w:rsidRPr="000B33D4">
        <w:rPr>
          <w:rFonts w:ascii="Times New Roman" w:hAnsi="Times New Roman"/>
          <w:sz w:val="24"/>
        </w:rPr>
        <w:t xml:space="preserve"> 2021). The river empties into the </w:t>
      </w:r>
      <w:r w:rsidRPr="000B33D4">
        <w:rPr>
          <w:rFonts w:ascii="Times New Roman" w:hAnsi="Times New Roman"/>
          <w:sz w:val="24"/>
        </w:rPr>
        <w:lastRenderedPageBreak/>
        <w:t xml:space="preserve">Otamiri River at Nekede in Owerri West Local Government Area (Nwosu </w:t>
      </w:r>
      <w:r w:rsidRPr="000B33D4">
        <w:rPr>
          <w:rFonts w:ascii="Times New Roman" w:hAnsi="Times New Roman"/>
          <w:i/>
          <w:sz w:val="24"/>
        </w:rPr>
        <w:t>et al.,</w:t>
      </w:r>
      <w:r w:rsidRPr="000B33D4">
        <w:rPr>
          <w:rFonts w:ascii="Times New Roman" w:hAnsi="Times New Roman"/>
          <w:sz w:val="24"/>
        </w:rPr>
        <w:t xml:space="preserve"> 2021; Iheagwam &amp; Ezenwaji, 2024).</w:t>
      </w:r>
    </w:p>
    <w:p w14:paraId="0B818EA4" w14:textId="77777777" w:rsidR="004B7805" w:rsidRPr="000B33D4" w:rsidRDefault="004B7805" w:rsidP="004B7805">
      <w:pPr>
        <w:autoSpaceDE w:val="0"/>
        <w:autoSpaceDN w:val="0"/>
        <w:adjustRightInd w:val="0"/>
        <w:spacing w:after="0" w:line="360" w:lineRule="auto"/>
        <w:jc w:val="both"/>
        <w:rPr>
          <w:rFonts w:ascii="Times New Roman" w:hAnsi="Times New Roman" w:cs="Times New Roman"/>
          <w:sz w:val="24"/>
          <w:szCs w:val="24"/>
        </w:rPr>
      </w:pPr>
      <w:r w:rsidRPr="000B33D4">
        <w:rPr>
          <w:rFonts w:ascii="Times New Roman" w:hAnsi="Times New Roman"/>
          <w:sz w:val="24"/>
        </w:rPr>
        <w:t xml:space="preserve">The average annual relative humidity in Imo State is 75%, with the highest values occurring during the rainy season, when it reaches a peak of about 90 per cent. The high temperature and humidity experienced in the state favour luxuriant plant growth, which ideally produces the climax vegetation of the tropical rainforest, primarily because the region falls within the tropical rainforest zone (Udokporo </w:t>
      </w:r>
      <w:r w:rsidRPr="000B33D4">
        <w:rPr>
          <w:rFonts w:ascii="Times New Roman" w:hAnsi="Times New Roman"/>
          <w:i/>
          <w:sz w:val="24"/>
        </w:rPr>
        <w:t>et al.,</w:t>
      </w:r>
      <w:r w:rsidRPr="000B33D4">
        <w:rPr>
          <w:rFonts w:ascii="Times New Roman" w:hAnsi="Times New Roman"/>
          <w:sz w:val="24"/>
        </w:rPr>
        <w:t xml:space="preserve"> 2015). As a result, the watershed is covered by depleted rainforest shrubs with thick underbrush, creeping vines, and deep green vegetation resulting from the heavy decay of plant droppings and foliage.</w:t>
      </w:r>
    </w:p>
    <w:p w14:paraId="0449CED2" w14:textId="77777777" w:rsidR="004B7805" w:rsidRPr="000B33D4" w:rsidRDefault="004B7805" w:rsidP="004B7805">
      <w:pPr>
        <w:autoSpaceDE w:val="0"/>
        <w:autoSpaceDN w:val="0"/>
        <w:adjustRightInd w:val="0"/>
        <w:spacing w:after="0" w:line="360" w:lineRule="auto"/>
        <w:jc w:val="both"/>
        <w:rPr>
          <w:rFonts w:ascii="Times New Roman" w:hAnsi="Times New Roman" w:cs="Times New Roman"/>
          <w:sz w:val="24"/>
          <w:szCs w:val="24"/>
        </w:rPr>
      </w:pPr>
    </w:p>
    <w:p w14:paraId="1E900C55" w14:textId="77777777" w:rsidR="004B7805" w:rsidRPr="000B33D4" w:rsidRDefault="008E4210" w:rsidP="004B7805">
      <w:pPr>
        <w:spacing w:before="160" w:after="0" w:line="360" w:lineRule="auto"/>
        <w:jc w:val="both"/>
        <w:rPr>
          <w:rFonts w:ascii="Times New Roman" w:hAnsi="Times New Roman" w:cs="Times New Roman"/>
          <w:b/>
          <w:sz w:val="24"/>
          <w:szCs w:val="24"/>
        </w:rPr>
      </w:pPr>
      <w:r w:rsidRPr="000B33D4">
        <w:rPr>
          <w:rFonts w:ascii="Times New Roman" w:hAnsi="Times New Roman" w:cs="Times New Roman"/>
          <w:b/>
          <w:sz w:val="24"/>
          <w:szCs w:val="24"/>
        </w:rPr>
        <w:t>2.2</w:t>
      </w:r>
      <w:r w:rsidRPr="000B33D4">
        <w:rPr>
          <w:rFonts w:ascii="Times New Roman" w:hAnsi="Times New Roman" w:cs="Times New Roman"/>
          <w:b/>
          <w:sz w:val="24"/>
          <w:szCs w:val="24"/>
        </w:rPr>
        <w:tab/>
      </w:r>
      <w:r w:rsidR="004B7805" w:rsidRPr="000B33D4">
        <w:rPr>
          <w:rFonts w:ascii="Times New Roman" w:hAnsi="Times New Roman" w:cs="Times New Roman"/>
          <w:b/>
          <w:sz w:val="24"/>
          <w:szCs w:val="24"/>
        </w:rPr>
        <w:t>Organic nature and type of soil</w:t>
      </w:r>
    </w:p>
    <w:p w14:paraId="67D3B95B" w14:textId="77777777" w:rsidR="00FA0E8E" w:rsidRDefault="00FA0E8E" w:rsidP="004B7805">
      <w:pPr>
        <w:autoSpaceDE w:val="0"/>
        <w:autoSpaceDN w:val="0"/>
        <w:adjustRightInd w:val="0"/>
        <w:spacing w:before="160" w:after="0" w:line="360" w:lineRule="auto"/>
        <w:jc w:val="both"/>
        <w:rPr>
          <w:rFonts w:ascii="Times New Roman" w:hAnsi="Times New Roman"/>
          <w:sz w:val="24"/>
        </w:rPr>
      </w:pPr>
      <w:r w:rsidRPr="00FA0E8E">
        <w:rPr>
          <w:rFonts w:ascii="Times New Roman" w:hAnsi="Times New Roman"/>
          <w:sz w:val="24"/>
        </w:rPr>
        <w:t xml:space="preserve">The soils of Imo State are predominantly sandy, with relatively minor proportions of clay, loam, and silt. The watershed is </w:t>
      </w:r>
      <w:proofErr w:type="spellStart"/>
      <w:r w:rsidRPr="00FA0E8E">
        <w:rPr>
          <w:rFonts w:ascii="Times New Roman" w:hAnsi="Times New Roman"/>
          <w:sz w:val="24"/>
        </w:rPr>
        <w:t>characterised</w:t>
      </w:r>
      <w:proofErr w:type="spellEnd"/>
      <w:r w:rsidRPr="00FA0E8E">
        <w:rPr>
          <w:rFonts w:ascii="Times New Roman" w:hAnsi="Times New Roman"/>
          <w:sz w:val="24"/>
        </w:rPr>
        <w:t xml:space="preserve"> by acidic soil conditions, with pH values ranging from 4.67 to 5.60 across the upper and lower soil layers, and from 5.0 to 5.6 between the crest and valley-bottom positions; the lowest pH values were recorded at the mid-slope position (Njoku et al., 2011). The watershed also exhibits generally low organic carbon contents, ranging from 0.676 to 3.764 mg/kg in the upper soil layer and from 4.27 to 5.34 mg/kg in the lower layer, with comparatively lower concentrations occurring at the mid-slope position. Similarly, nitrogen concentrations are low, with ranges of 0.008–0.068% and 0.018–0.048% recorded in the upper and lower soil layers, respectively (</w:t>
      </w:r>
      <w:proofErr w:type="spellStart"/>
      <w:r w:rsidRPr="00FA0E8E">
        <w:rPr>
          <w:rFonts w:ascii="Times New Roman" w:hAnsi="Times New Roman"/>
          <w:sz w:val="24"/>
        </w:rPr>
        <w:t>Obineche</w:t>
      </w:r>
      <w:proofErr w:type="spellEnd"/>
      <w:r w:rsidRPr="00FA0E8E">
        <w:rPr>
          <w:rFonts w:ascii="Times New Roman" w:hAnsi="Times New Roman"/>
          <w:sz w:val="24"/>
        </w:rPr>
        <w:t xml:space="preserve"> et al., 2020).</w:t>
      </w:r>
    </w:p>
    <w:p w14:paraId="0837F65A" w14:textId="63810618" w:rsidR="004B7805" w:rsidRPr="000B33D4" w:rsidRDefault="008E4210" w:rsidP="004B7805">
      <w:pPr>
        <w:autoSpaceDE w:val="0"/>
        <w:autoSpaceDN w:val="0"/>
        <w:adjustRightInd w:val="0"/>
        <w:spacing w:before="160" w:after="0" w:line="360" w:lineRule="auto"/>
        <w:jc w:val="both"/>
        <w:rPr>
          <w:rFonts w:ascii="Times New Roman" w:hAnsi="Times New Roman" w:cs="Times New Roman"/>
          <w:b/>
          <w:sz w:val="24"/>
          <w:szCs w:val="24"/>
        </w:rPr>
      </w:pPr>
      <w:r w:rsidRPr="000B33D4">
        <w:rPr>
          <w:rFonts w:ascii="Times New Roman" w:hAnsi="Times New Roman" w:cs="Times New Roman"/>
          <w:b/>
          <w:sz w:val="24"/>
          <w:szCs w:val="24"/>
        </w:rPr>
        <w:t>2.3</w:t>
      </w:r>
      <w:r w:rsidRPr="000B33D4">
        <w:rPr>
          <w:rFonts w:ascii="Times New Roman" w:hAnsi="Times New Roman" w:cs="Times New Roman"/>
          <w:b/>
          <w:sz w:val="24"/>
          <w:szCs w:val="24"/>
        </w:rPr>
        <w:tab/>
      </w:r>
      <w:r w:rsidR="004B7805" w:rsidRPr="000B33D4">
        <w:rPr>
          <w:rFonts w:ascii="Times New Roman" w:hAnsi="Times New Roman" w:cs="Times New Roman"/>
          <w:b/>
          <w:sz w:val="24"/>
          <w:szCs w:val="24"/>
        </w:rPr>
        <w:t>Hydrogeology and groundwater development</w:t>
      </w:r>
    </w:p>
    <w:p w14:paraId="5D54AA9C" w14:textId="77777777" w:rsidR="00FA0E8E" w:rsidRDefault="00FA0E8E" w:rsidP="004B7805">
      <w:pPr>
        <w:autoSpaceDE w:val="0"/>
        <w:autoSpaceDN w:val="0"/>
        <w:adjustRightInd w:val="0"/>
        <w:spacing w:after="0" w:line="360" w:lineRule="auto"/>
        <w:jc w:val="both"/>
        <w:rPr>
          <w:rFonts w:ascii="Segoe UI" w:hAnsi="Segoe UI" w:cs="Segoe UI"/>
          <w:color w:val="0D0D0D"/>
          <w:shd w:val="clear" w:color="auto" w:fill="FFFFFF"/>
        </w:rPr>
      </w:pPr>
      <w:r>
        <w:rPr>
          <w:rFonts w:ascii="Segoe UI" w:hAnsi="Segoe UI" w:cs="Segoe UI"/>
          <w:color w:val="0D0D0D"/>
          <w:shd w:val="clear" w:color="auto" w:fill="FFFFFF"/>
        </w:rPr>
        <w:t xml:space="preserve">The study area is drained by two principal rivers, the </w:t>
      </w:r>
      <w:proofErr w:type="spellStart"/>
      <w:r>
        <w:rPr>
          <w:rFonts w:ascii="Segoe UI" w:hAnsi="Segoe UI" w:cs="Segoe UI"/>
          <w:color w:val="0D0D0D"/>
          <w:shd w:val="clear" w:color="auto" w:fill="FFFFFF"/>
        </w:rPr>
        <w:t>Otamiri</w:t>
      </w:r>
      <w:proofErr w:type="spellEnd"/>
      <w:r>
        <w:rPr>
          <w:rFonts w:ascii="Segoe UI" w:hAnsi="Segoe UI" w:cs="Segoe UI"/>
          <w:color w:val="0D0D0D"/>
          <w:shd w:val="clear" w:color="auto" w:fill="FFFFFF"/>
        </w:rPr>
        <w:t xml:space="preserve"> and Nworie. The </w:t>
      </w:r>
      <w:proofErr w:type="spellStart"/>
      <w:r>
        <w:rPr>
          <w:rFonts w:ascii="Segoe UI" w:hAnsi="Segoe UI" w:cs="Segoe UI"/>
          <w:color w:val="0D0D0D"/>
          <w:shd w:val="clear" w:color="auto" w:fill="FFFFFF"/>
        </w:rPr>
        <w:t>Otamiri</w:t>
      </w:r>
      <w:proofErr w:type="spellEnd"/>
      <w:r>
        <w:rPr>
          <w:rFonts w:ascii="Segoe UI" w:hAnsi="Segoe UI" w:cs="Segoe UI"/>
          <w:color w:val="0D0D0D"/>
          <w:shd w:val="clear" w:color="auto" w:fill="FFFFFF"/>
        </w:rPr>
        <w:t xml:space="preserve"> River exhibits marked seasonal variation in discharge, attaining a maximum mean flow of approximately 10.7 m³/s during the rainy season (September–October) and declining to a minimum mean flow of about 3.4 m³/s during the dry season (November–February). Its estimated annual discharge is approximately 1.7 × 10⁸ m³, of which 22% (3.74 × 10⁷ m³) is derived from direct rainfall runoff and represents the safe yield of the river (</w:t>
      </w:r>
      <w:proofErr w:type="spellStart"/>
      <w:r>
        <w:rPr>
          <w:rFonts w:ascii="Segoe UI" w:hAnsi="Segoe UI" w:cs="Segoe UI"/>
          <w:color w:val="0D0D0D"/>
          <w:shd w:val="clear" w:color="auto" w:fill="FFFFFF"/>
        </w:rPr>
        <w:t>Egboka</w:t>
      </w:r>
      <w:proofErr w:type="spellEnd"/>
      <w:r>
        <w:rPr>
          <w:rFonts w:ascii="Segoe UI" w:hAnsi="Segoe UI" w:cs="Segoe UI"/>
          <w:color w:val="0D0D0D"/>
          <w:shd w:val="clear" w:color="auto" w:fill="FFFFFF"/>
        </w:rPr>
        <w:t xml:space="preserve"> &amp; Uma, 1985). Within parts of the Owerri urban area, groundwater occurs at depths ranging from approximately 15 to 35 m (</w:t>
      </w:r>
      <w:proofErr w:type="spellStart"/>
      <w:r>
        <w:rPr>
          <w:rFonts w:ascii="Segoe UI" w:hAnsi="Segoe UI" w:cs="Segoe UI"/>
          <w:color w:val="0D0D0D"/>
          <w:shd w:val="clear" w:color="auto" w:fill="FFFFFF"/>
        </w:rPr>
        <w:t>Duruanyim</w:t>
      </w:r>
      <w:proofErr w:type="spellEnd"/>
      <w:r>
        <w:rPr>
          <w:rFonts w:ascii="Segoe UI" w:hAnsi="Segoe UI" w:cs="Segoe UI"/>
          <w:color w:val="0D0D0D"/>
          <w:shd w:val="clear" w:color="auto" w:fill="FFFFFF"/>
        </w:rPr>
        <w:t>, Okorafor, et al., 2025).</w:t>
      </w:r>
    </w:p>
    <w:p w14:paraId="25B23ABE" w14:textId="4B2ECBFE" w:rsidR="004B7805" w:rsidRPr="000B33D4" w:rsidRDefault="004B7805" w:rsidP="004B7805">
      <w:pPr>
        <w:autoSpaceDE w:val="0"/>
        <w:autoSpaceDN w:val="0"/>
        <w:adjustRightInd w:val="0"/>
        <w:spacing w:after="0" w:line="360" w:lineRule="auto"/>
        <w:jc w:val="both"/>
        <w:rPr>
          <w:rFonts w:ascii="Times New Roman" w:hAnsi="Times New Roman" w:cs="Times New Roman"/>
          <w:sz w:val="24"/>
          <w:szCs w:val="24"/>
        </w:rPr>
      </w:pPr>
      <w:r w:rsidRPr="000B33D4">
        <w:rPr>
          <w:rFonts w:ascii="Times New Roman" w:hAnsi="Times New Roman"/>
          <w:sz w:val="24"/>
        </w:rPr>
        <w:lastRenderedPageBreak/>
        <w:t>The materials used in this research comprised equipment and containers. The materials included a thermometer, turbidimeter (Model: HANNA, LP-2000), pH meter (Model: Mettler Toledo MP 220, England), electrical conductivity meter (Model: HANNA, HI8733), atomic absorption spectrophotometer (Model: Buck Scientific-200A/210), and a double-ring infiltrometer.</w:t>
      </w:r>
    </w:p>
    <w:p w14:paraId="41846144" w14:textId="77777777" w:rsidR="008E4210" w:rsidRPr="000B33D4" w:rsidRDefault="008E4210" w:rsidP="004B7805">
      <w:pPr>
        <w:autoSpaceDE w:val="0"/>
        <w:autoSpaceDN w:val="0"/>
        <w:adjustRightInd w:val="0"/>
        <w:spacing w:after="0" w:line="360" w:lineRule="auto"/>
        <w:jc w:val="both"/>
        <w:rPr>
          <w:rFonts w:ascii="Times New Roman" w:hAnsi="Times New Roman" w:cs="Times New Roman"/>
          <w:sz w:val="24"/>
          <w:szCs w:val="24"/>
        </w:rPr>
      </w:pPr>
    </w:p>
    <w:p w14:paraId="0E944A2B" w14:textId="77777777" w:rsidR="004B7805" w:rsidRPr="000B33D4" w:rsidRDefault="008E4210" w:rsidP="004B7805">
      <w:pPr>
        <w:spacing w:after="120" w:line="360" w:lineRule="auto"/>
        <w:rPr>
          <w:rFonts w:ascii="Times New Roman" w:eastAsia="Times New Roman" w:hAnsi="Times New Roman" w:cs="Times New Roman"/>
          <w:b/>
          <w:bCs/>
          <w:sz w:val="24"/>
          <w:szCs w:val="24"/>
        </w:rPr>
      </w:pPr>
      <w:r w:rsidRPr="000B33D4">
        <w:rPr>
          <w:rFonts w:ascii="Times New Roman" w:eastAsia="Times New Roman" w:hAnsi="Times New Roman" w:cs="Times New Roman"/>
          <w:b/>
          <w:bCs/>
          <w:sz w:val="24"/>
          <w:szCs w:val="24"/>
        </w:rPr>
        <w:t>2.4</w:t>
      </w:r>
      <w:r w:rsidRPr="000B33D4">
        <w:rPr>
          <w:rFonts w:ascii="Times New Roman" w:eastAsia="Times New Roman" w:hAnsi="Times New Roman" w:cs="Times New Roman"/>
          <w:b/>
          <w:bCs/>
          <w:sz w:val="24"/>
          <w:szCs w:val="24"/>
        </w:rPr>
        <w:tab/>
      </w:r>
      <w:r w:rsidR="004B7805" w:rsidRPr="000B33D4">
        <w:rPr>
          <w:rFonts w:ascii="Times New Roman" w:eastAsia="Times New Roman" w:hAnsi="Times New Roman" w:cs="Times New Roman"/>
          <w:b/>
          <w:bCs/>
          <w:sz w:val="24"/>
          <w:szCs w:val="24"/>
        </w:rPr>
        <w:t>Field Data Collection and Sampling</w:t>
      </w:r>
    </w:p>
    <w:p w14:paraId="69EE0CA4" w14:textId="77777777" w:rsidR="004B7805" w:rsidRPr="000B33D4" w:rsidRDefault="004B7805" w:rsidP="004B7805">
      <w:pPr>
        <w:spacing w:after="160" w:line="360" w:lineRule="auto"/>
        <w:rPr>
          <w:rFonts w:ascii="Times New Roman" w:eastAsia="Times New Roman" w:hAnsi="Times New Roman" w:cs="Times New Roman"/>
          <w:sz w:val="24"/>
          <w:szCs w:val="24"/>
        </w:rPr>
      </w:pPr>
      <w:r w:rsidRPr="000B33D4">
        <w:rPr>
          <w:rFonts w:ascii="Times New Roman" w:hAnsi="Times New Roman"/>
          <w:sz w:val="24"/>
        </w:rPr>
        <w:t>Four specific land-use types were selected within the Otamiri–Nworie River watershed in Owerri Municipal:</w:t>
      </w:r>
    </w:p>
    <w:p w14:paraId="6C67D22E" w14:textId="77777777" w:rsidR="004B7805" w:rsidRPr="000B33D4" w:rsidRDefault="004B7805" w:rsidP="004B7805">
      <w:pPr>
        <w:numPr>
          <w:ilvl w:val="0"/>
          <w:numId w:val="2"/>
        </w:numPr>
        <w:spacing w:after="0" w:line="360" w:lineRule="auto"/>
        <w:ind w:left="0"/>
        <w:rPr>
          <w:rFonts w:ascii="Times New Roman" w:eastAsia="Times New Roman" w:hAnsi="Times New Roman" w:cs="Times New Roman"/>
          <w:sz w:val="24"/>
          <w:szCs w:val="24"/>
        </w:rPr>
      </w:pPr>
      <w:r w:rsidRPr="000B33D4">
        <w:rPr>
          <w:rFonts w:ascii="Times New Roman" w:hAnsi="Times New Roman"/>
          <w:sz w:val="24"/>
        </w:rPr>
        <w:t>Agricultural Land (AL): Continuously cultivated cassava and maize plots around the study area.</w:t>
      </w:r>
    </w:p>
    <w:p w14:paraId="65F73069" w14:textId="77777777" w:rsidR="004B7805" w:rsidRPr="000B33D4" w:rsidRDefault="004B7805" w:rsidP="004B7805">
      <w:pPr>
        <w:numPr>
          <w:ilvl w:val="0"/>
          <w:numId w:val="2"/>
        </w:numPr>
        <w:spacing w:after="0" w:line="360" w:lineRule="auto"/>
        <w:ind w:left="0"/>
        <w:rPr>
          <w:rFonts w:ascii="Times New Roman" w:eastAsia="Times New Roman" w:hAnsi="Times New Roman" w:cs="Times New Roman"/>
          <w:sz w:val="24"/>
          <w:szCs w:val="24"/>
        </w:rPr>
      </w:pPr>
      <w:r w:rsidRPr="000B33D4">
        <w:rPr>
          <w:rFonts w:ascii="Times New Roman" w:eastAsia="Times New Roman" w:hAnsi="Times New Roman" w:cs="Times New Roman"/>
          <w:bCs/>
          <w:sz w:val="24"/>
          <w:szCs w:val="24"/>
        </w:rPr>
        <w:t>Built-up Area (BA):</w:t>
      </w:r>
      <w:r w:rsidRPr="000B33D4">
        <w:rPr>
          <w:rFonts w:ascii="Times New Roman" w:eastAsia="Times New Roman" w:hAnsi="Times New Roman" w:cs="Times New Roman"/>
          <w:sz w:val="24"/>
          <w:szCs w:val="24"/>
        </w:rPr>
        <w:t xml:space="preserve"> Residential zones featuring compacted soils adjacent to paved structures.</w:t>
      </w:r>
    </w:p>
    <w:p w14:paraId="5709162B" w14:textId="77777777" w:rsidR="004B7805" w:rsidRPr="000B33D4" w:rsidRDefault="004B7805" w:rsidP="004B7805">
      <w:pPr>
        <w:numPr>
          <w:ilvl w:val="0"/>
          <w:numId w:val="2"/>
        </w:numPr>
        <w:spacing w:after="0" w:line="360" w:lineRule="auto"/>
        <w:ind w:left="0"/>
        <w:jc w:val="both"/>
        <w:rPr>
          <w:rFonts w:ascii="Times New Roman" w:eastAsia="Times New Roman" w:hAnsi="Times New Roman" w:cs="Times New Roman"/>
          <w:sz w:val="24"/>
          <w:szCs w:val="24"/>
        </w:rPr>
      </w:pPr>
      <w:r w:rsidRPr="000B33D4">
        <w:rPr>
          <w:rFonts w:ascii="Times New Roman" w:eastAsia="Times New Roman" w:hAnsi="Times New Roman" w:cs="Times New Roman"/>
          <w:bCs/>
          <w:sz w:val="24"/>
          <w:szCs w:val="24"/>
        </w:rPr>
        <w:t>Forest Reserve (FR):</w:t>
      </w:r>
      <w:r w:rsidRPr="000B33D4">
        <w:rPr>
          <w:rFonts w:ascii="Times New Roman" w:eastAsia="Times New Roman" w:hAnsi="Times New Roman" w:cs="Times New Roman"/>
          <w:sz w:val="24"/>
          <w:szCs w:val="24"/>
        </w:rPr>
        <w:t xml:space="preserve"> Relatively undisturbed secondary forest vegetation.</w:t>
      </w:r>
    </w:p>
    <w:p w14:paraId="12A44A4A" w14:textId="77777777" w:rsidR="004B7805" w:rsidRPr="000B33D4" w:rsidRDefault="004B7805" w:rsidP="004B7805">
      <w:pPr>
        <w:numPr>
          <w:ilvl w:val="0"/>
          <w:numId w:val="2"/>
        </w:numPr>
        <w:spacing w:after="0" w:line="360" w:lineRule="auto"/>
        <w:ind w:left="0"/>
        <w:jc w:val="both"/>
        <w:rPr>
          <w:rFonts w:ascii="Times New Roman" w:eastAsia="Times New Roman" w:hAnsi="Times New Roman" w:cs="Times New Roman"/>
          <w:sz w:val="24"/>
          <w:szCs w:val="24"/>
        </w:rPr>
      </w:pPr>
      <w:r w:rsidRPr="000B33D4">
        <w:rPr>
          <w:rFonts w:ascii="Times New Roman" w:eastAsia="Times New Roman" w:hAnsi="Times New Roman" w:cs="Times New Roman"/>
          <w:bCs/>
          <w:sz w:val="24"/>
          <w:szCs w:val="24"/>
        </w:rPr>
        <w:t>Bare Soil (BS):</w:t>
      </w:r>
      <w:r w:rsidRPr="000B33D4">
        <w:rPr>
          <w:rFonts w:ascii="Times New Roman" w:eastAsia="Times New Roman" w:hAnsi="Times New Roman" w:cs="Times New Roman"/>
          <w:sz w:val="24"/>
          <w:szCs w:val="24"/>
        </w:rPr>
        <w:t xml:space="preserve"> Cleared land lacking vegetation cover, exposed to rainfall impact.</w:t>
      </w:r>
    </w:p>
    <w:p w14:paraId="43C2A41E" w14:textId="77777777" w:rsidR="004B7805" w:rsidRPr="000B33D4" w:rsidRDefault="004B7805" w:rsidP="004B7805">
      <w:pPr>
        <w:spacing w:after="160" w:line="360" w:lineRule="auto"/>
        <w:jc w:val="both"/>
        <w:rPr>
          <w:rFonts w:ascii="Times New Roman" w:eastAsia="Times New Roman" w:hAnsi="Times New Roman" w:cs="Times New Roman"/>
          <w:sz w:val="24"/>
          <w:szCs w:val="24"/>
        </w:rPr>
      </w:pPr>
      <w:r w:rsidRPr="000B33D4">
        <w:rPr>
          <w:rFonts w:ascii="Times New Roman" w:hAnsi="Times New Roman"/>
          <w:sz w:val="24"/>
        </w:rPr>
        <w:t>Field infiltration tests were conducted at three replicate points per land-use type using a standard double-ring infiltrometer (inner ring diameter 30 cm, outer ring diameter 50 cm). The rings were driven 15 cm deep into the soil. Water levels were maintained at a constant head, and measurements were recorded at intervals of 5, 10, 15, 30, 45, 60, 90, and 120 minutes until a steady-state condition was achieved. Core soil samples (0–30 cm depth) were simultaneously collected to determine bulk density, porosity, and particle-size distribution.</w:t>
      </w:r>
    </w:p>
    <w:p w14:paraId="1D1EE552" w14:textId="77777777" w:rsidR="004B7805" w:rsidRPr="000B33D4" w:rsidRDefault="008E4210" w:rsidP="004B7805">
      <w:pPr>
        <w:spacing w:after="160" w:line="360" w:lineRule="auto"/>
        <w:jc w:val="both"/>
        <w:rPr>
          <w:rFonts w:ascii="Times New Roman" w:eastAsia="Times New Roman" w:hAnsi="Times New Roman" w:cs="Times New Roman"/>
          <w:b/>
          <w:sz w:val="24"/>
          <w:szCs w:val="24"/>
        </w:rPr>
      </w:pPr>
      <w:r w:rsidRPr="000B33D4">
        <w:rPr>
          <w:rFonts w:ascii="Times New Roman" w:eastAsia="Times New Roman" w:hAnsi="Times New Roman" w:cs="Times New Roman"/>
          <w:b/>
          <w:sz w:val="24"/>
          <w:szCs w:val="24"/>
        </w:rPr>
        <w:t>2.5</w:t>
      </w:r>
      <w:r w:rsidRPr="000B33D4">
        <w:rPr>
          <w:rFonts w:ascii="Times New Roman" w:eastAsia="Times New Roman" w:hAnsi="Times New Roman" w:cs="Times New Roman"/>
          <w:b/>
          <w:sz w:val="24"/>
          <w:szCs w:val="24"/>
        </w:rPr>
        <w:tab/>
      </w:r>
      <w:r w:rsidR="004B7805" w:rsidRPr="000B33D4">
        <w:rPr>
          <w:rFonts w:ascii="Times New Roman" w:eastAsia="Times New Roman" w:hAnsi="Times New Roman" w:cs="Times New Roman"/>
          <w:b/>
          <w:sz w:val="24"/>
          <w:szCs w:val="24"/>
        </w:rPr>
        <w:t>Determination of Soil Physical Properties</w:t>
      </w:r>
    </w:p>
    <w:p w14:paraId="45504D23" w14:textId="77777777" w:rsidR="004B7805" w:rsidRPr="000B33D4" w:rsidRDefault="004B7805" w:rsidP="004B7805">
      <w:pPr>
        <w:spacing w:after="160" w:line="360" w:lineRule="auto"/>
        <w:jc w:val="both"/>
        <w:rPr>
          <w:rFonts w:ascii="Times New Roman" w:eastAsia="Times New Roman" w:hAnsi="Times New Roman" w:cs="Times New Roman"/>
          <w:b/>
          <w:sz w:val="24"/>
          <w:szCs w:val="24"/>
        </w:rPr>
      </w:pPr>
      <w:r w:rsidRPr="000B33D4">
        <w:rPr>
          <w:rFonts w:ascii="Times New Roman" w:eastAsia="Times New Roman" w:hAnsi="Times New Roman" w:cs="Times New Roman"/>
          <w:b/>
          <w:sz w:val="24"/>
          <w:szCs w:val="24"/>
        </w:rPr>
        <w:t xml:space="preserve">Soil moisture content </w:t>
      </w:r>
    </w:p>
    <w:p w14:paraId="15C3AD19" w14:textId="77777777" w:rsidR="00FA0E8E" w:rsidRDefault="00FA0E8E" w:rsidP="004B7805">
      <w:pPr>
        <w:spacing w:after="160" w:line="360" w:lineRule="auto"/>
        <w:jc w:val="both"/>
        <w:rPr>
          <w:rFonts w:ascii="Times New Roman" w:hAnsi="Times New Roman"/>
          <w:sz w:val="24"/>
        </w:rPr>
      </w:pPr>
      <w:r w:rsidRPr="00FA0E8E">
        <w:rPr>
          <w:rFonts w:ascii="Times New Roman" w:hAnsi="Times New Roman"/>
          <w:sz w:val="24"/>
        </w:rPr>
        <w:t xml:space="preserve">Soil samples were collected randomly from the different depths of each of the four treatments using a soil core sampler. The samples were subsequently oven-dried at 105 °C for 24 h to determine soil moisture content on a gravimetric basis, following ASABE Standards (2008). Gravimetric moisture content was calculated as the mass of water present in the soil sample relative to the mass of oven-dried soil, expressed as a percentage (Aikins &amp; </w:t>
      </w:r>
      <w:proofErr w:type="spellStart"/>
      <w:r w:rsidRPr="00FA0E8E">
        <w:rPr>
          <w:rFonts w:ascii="Times New Roman" w:hAnsi="Times New Roman"/>
          <w:sz w:val="24"/>
        </w:rPr>
        <w:t>Afuakwa</w:t>
      </w:r>
      <w:proofErr w:type="spellEnd"/>
      <w:r w:rsidRPr="00FA0E8E">
        <w:rPr>
          <w:rFonts w:ascii="Times New Roman" w:hAnsi="Times New Roman"/>
          <w:sz w:val="24"/>
        </w:rPr>
        <w:t>, 2012).</w:t>
      </w:r>
    </w:p>
    <w:p w14:paraId="45FF7F38" w14:textId="6958FBE0" w:rsidR="004B7805" w:rsidRPr="000B33D4" w:rsidRDefault="004B7805" w:rsidP="004B7805">
      <w:pPr>
        <w:spacing w:after="160" w:line="360" w:lineRule="auto"/>
        <w:jc w:val="both"/>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 xml:space="preserve">MC = </w:t>
      </w:r>
      <m:oMath>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wet soil weight-oven dried soil weight</m:t>
            </m:r>
          </m:num>
          <m:den>
            <m:r>
              <w:rPr>
                <w:rFonts w:ascii="Cambria Math" w:eastAsia="Times New Roman" w:hAnsi="Cambria Math" w:cs="Times New Roman"/>
                <w:sz w:val="24"/>
                <w:szCs w:val="24"/>
              </w:rPr>
              <m:t>oven dried soil weight</m:t>
            </m:r>
          </m:den>
        </m:f>
        <m:r>
          <w:rPr>
            <w:rFonts w:ascii="Cambria Math" w:eastAsia="Times New Roman" w:hAnsi="Cambria Math" w:cs="Times New Roman"/>
            <w:sz w:val="24"/>
            <w:szCs w:val="24"/>
          </w:rPr>
          <m:t>x 100</m:t>
        </m:r>
      </m:oMath>
      <w:r w:rsidRPr="000B33D4">
        <w:rPr>
          <w:rFonts w:ascii="Times New Roman" w:eastAsia="Times New Roman" w:hAnsi="Times New Roman" w:cs="Times New Roman"/>
          <w:sz w:val="24"/>
          <w:szCs w:val="24"/>
        </w:rPr>
        <w:tab/>
      </w:r>
      <w:r w:rsidRPr="000B33D4">
        <w:rPr>
          <w:rFonts w:ascii="Times New Roman" w:eastAsia="Times New Roman" w:hAnsi="Times New Roman" w:cs="Times New Roman"/>
          <w:sz w:val="24"/>
          <w:szCs w:val="24"/>
        </w:rPr>
        <w:tab/>
      </w:r>
      <w:r w:rsidRPr="000B33D4">
        <w:rPr>
          <w:rFonts w:ascii="Times New Roman" w:eastAsia="Times New Roman" w:hAnsi="Times New Roman" w:cs="Times New Roman"/>
          <w:sz w:val="24"/>
          <w:szCs w:val="24"/>
        </w:rPr>
        <w:tab/>
        <w:t>1</w:t>
      </w:r>
    </w:p>
    <w:p w14:paraId="75C05677" w14:textId="77777777" w:rsidR="004B7805" w:rsidRPr="000B33D4" w:rsidRDefault="004B7805" w:rsidP="004B7805">
      <w:pPr>
        <w:spacing w:after="160" w:line="360" w:lineRule="auto"/>
        <w:jc w:val="both"/>
        <w:rPr>
          <w:rFonts w:ascii="Times New Roman" w:eastAsia="Times New Roman" w:hAnsi="Times New Roman" w:cs="Times New Roman"/>
          <w:b/>
          <w:sz w:val="24"/>
          <w:szCs w:val="24"/>
        </w:rPr>
      </w:pPr>
      <w:r w:rsidRPr="000B33D4">
        <w:rPr>
          <w:rFonts w:ascii="Times New Roman" w:eastAsia="Times New Roman" w:hAnsi="Times New Roman" w:cs="Times New Roman"/>
          <w:b/>
          <w:sz w:val="24"/>
          <w:szCs w:val="24"/>
        </w:rPr>
        <w:t xml:space="preserve">Bulk Density </w:t>
      </w:r>
    </w:p>
    <w:p w14:paraId="01CDFF72" w14:textId="77777777" w:rsidR="00FA0E8E" w:rsidRDefault="00FA0E8E" w:rsidP="004B7805">
      <w:pPr>
        <w:spacing w:after="160" w:line="360" w:lineRule="auto"/>
        <w:jc w:val="both"/>
        <w:rPr>
          <w:rFonts w:ascii="Times New Roman" w:hAnsi="Times New Roman"/>
          <w:sz w:val="24"/>
        </w:rPr>
      </w:pPr>
      <w:r w:rsidRPr="00FA0E8E">
        <w:rPr>
          <w:rFonts w:ascii="Times New Roman" w:hAnsi="Times New Roman"/>
          <w:sz w:val="24"/>
        </w:rPr>
        <w:lastRenderedPageBreak/>
        <w:t xml:space="preserve">Soil bulk density was determined at three soil depths using the core method. Undisturbed soil samples were randomly collected using a stainless-steel core sampler, with care taken to </w:t>
      </w:r>
      <w:proofErr w:type="spellStart"/>
      <w:r w:rsidRPr="00FA0E8E">
        <w:rPr>
          <w:rFonts w:ascii="Times New Roman" w:hAnsi="Times New Roman"/>
          <w:sz w:val="24"/>
        </w:rPr>
        <w:t>minimise</w:t>
      </w:r>
      <w:proofErr w:type="spellEnd"/>
      <w:r w:rsidRPr="00FA0E8E">
        <w:rPr>
          <w:rFonts w:ascii="Times New Roman" w:hAnsi="Times New Roman"/>
          <w:sz w:val="24"/>
        </w:rPr>
        <w:t xml:space="preserve"> disturbance and compaction during sampling. The recovered soil cores were carefully trimmed to conform to the exact volume of the sampling cylinder and subsequently oven-dried at 105 °C for 24 h. Bulk density was calculated as the ratio of the oven-dry mass of the soil to the volume of the soil core, following the procedures described by Aikins and </w:t>
      </w:r>
      <w:proofErr w:type="spellStart"/>
      <w:r w:rsidRPr="00FA0E8E">
        <w:rPr>
          <w:rFonts w:ascii="Times New Roman" w:hAnsi="Times New Roman"/>
          <w:sz w:val="24"/>
        </w:rPr>
        <w:t>Afuakwa</w:t>
      </w:r>
      <w:proofErr w:type="spellEnd"/>
      <w:r w:rsidRPr="00FA0E8E">
        <w:rPr>
          <w:rFonts w:ascii="Times New Roman" w:hAnsi="Times New Roman"/>
          <w:sz w:val="24"/>
        </w:rPr>
        <w:t xml:space="preserve"> (2012) and </w:t>
      </w:r>
      <w:proofErr w:type="spellStart"/>
      <w:r w:rsidRPr="00FA0E8E">
        <w:rPr>
          <w:rFonts w:ascii="Times New Roman" w:hAnsi="Times New Roman"/>
          <w:sz w:val="24"/>
        </w:rPr>
        <w:t>Agbai</w:t>
      </w:r>
      <w:proofErr w:type="spellEnd"/>
      <w:r w:rsidRPr="00FA0E8E">
        <w:rPr>
          <w:rFonts w:ascii="Times New Roman" w:hAnsi="Times New Roman"/>
          <w:sz w:val="24"/>
        </w:rPr>
        <w:t xml:space="preserve"> et al. (2022).</w:t>
      </w:r>
    </w:p>
    <w:p w14:paraId="64FAEC77" w14:textId="755966E9" w:rsidR="004B7805" w:rsidRPr="000B33D4" w:rsidRDefault="004B7805" w:rsidP="004B7805">
      <w:pPr>
        <w:spacing w:after="160" w:line="360" w:lineRule="auto"/>
        <w:jc w:val="both"/>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 xml:space="preserve">Bulk density </w:t>
      </w:r>
      <m:oMath>
        <m:r>
          <w:rPr>
            <w:rFonts w:ascii="Cambria Math" w:eastAsia="Times New Roman" w:hAnsi="Cambria Math" w:cs="Times New Roman"/>
            <w:sz w:val="24"/>
            <w:szCs w:val="24"/>
          </w:rPr>
          <m:t xml:space="preserve">= </m:t>
        </m:r>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mass of oven dried soil (g)</m:t>
            </m:r>
          </m:num>
          <m:den>
            <m:r>
              <w:rPr>
                <w:rFonts w:ascii="Cambria Math" w:eastAsia="Times New Roman" w:hAnsi="Cambria Math" w:cs="Times New Roman"/>
                <w:sz w:val="24"/>
                <w:szCs w:val="24"/>
              </w:rPr>
              <m:t>total volume of soil (c</m:t>
            </m:r>
            <m:sSup>
              <m:sSupPr>
                <m:ctrlPr>
                  <w:rPr>
                    <w:rFonts w:ascii="Cambria Math" w:eastAsia="Times New Roman" w:hAnsi="Cambria Math" w:cs="Times New Roman"/>
                    <w:i/>
                    <w:sz w:val="24"/>
                    <w:szCs w:val="24"/>
                  </w:rPr>
                </m:ctrlPr>
              </m:sSupPr>
              <m:e>
                <m:r>
                  <w:rPr>
                    <w:rFonts w:ascii="Cambria Math" w:eastAsia="Times New Roman" w:hAnsi="Cambria Math" w:cs="Times New Roman"/>
                    <w:sz w:val="24"/>
                    <w:szCs w:val="24"/>
                  </w:rPr>
                  <m:t>m</m:t>
                </m:r>
              </m:e>
              <m:sup>
                <m:r>
                  <w:rPr>
                    <w:rFonts w:ascii="Cambria Math" w:eastAsia="Times New Roman" w:hAnsi="Cambria Math" w:cs="Times New Roman"/>
                    <w:sz w:val="24"/>
                    <w:szCs w:val="24"/>
                  </w:rPr>
                  <m:t>3</m:t>
                </m:r>
              </m:sup>
            </m:sSup>
            <m:r>
              <w:rPr>
                <w:rFonts w:ascii="Cambria Math" w:eastAsia="Times New Roman" w:hAnsi="Cambria Math" w:cs="Times New Roman"/>
                <w:sz w:val="24"/>
                <w:szCs w:val="24"/>
              </w:rPr>
              <m:t>)</m:t>
            </m:r>
          </m:den>
        </m:f>
      </m:oMath>
      <w:r w:rsidRPr="000B33D4">
        <w:rPr>
          <w:rFonts w:ascii="Times New Roman" w:eastAsia="Times New Roman" w:hAnsi="Times New Roman" w:cs="Times New Roman"/>
          <w:sz w:val="24"/>
          <w:szCs w:val="24"/>
        </w:rPr>
        <w:tab/>
        <w:t xml:space="preserve">       </w:t>
      </w:r>
      <w:r w:rsidRPr="000B33D4">
        <w:rPr>
          <w:rFonts w:ascii="Times New Roman" w:eastAsia="Times New Roman" w:hAnsi="Times New Roman" w:cs="Times New Roman"/>
          <w:sz w:val="24"/>
          <w:szCs w:val="24"/>
        </w:rPr>
        <w:tab/>
      </w:r>
      <w:r w:rsidRPr="000B33D4">
        <w:rPr>
          <w:rFonts w:ascii="Times New Roman" w:eastAsia="Times New Roman" w:hAnsi="Times New Roman" w:cs="Times New Roman"/>
          <w:sz w:val="24"/>
          <w:szCs w:val="24"/>
        </w:rPr>
        <w:tab/>
      </w:r>
      <w:r w:rsidRPr="000B33D4">
        <w:rPr>
          <w:rFonts w:ascii="Times New Roman" w:eastAsia="Times New Roman" w:hAnsi="Times New Roman" w:cs="Times New Roman"/>
          <w:sz w:val="24"/>
          <w:szCs w:val="24"/>
        </w:rPr>
        <w:tab/>
        <w:t>2</w:t>
      </w:r>
    </w:p>
    <w:p w14:paraId="094E8B11" w14:textId="77777777" w:rsidR="004B7805" w:rsidRPr="000B33D4" w:rsidRDefault="004B7805" w:rsidP="004B7805">
      <w:pPr>
        <w:spacing w:after="160" w:line="360" w:lineRule="auto"/>
        <w:jc w:val="both"/>
        <w:rPr>
          <w:rFonts w:ascii="Times New Roman" w:eastAsia="Times New Roman" w:hAnsi="Times New Roman" w:cs="Times New Roman"/>
          <w:b/>
          <w:sz w:val="24"/>
          <w:szCs w:val="24"/>
        </w:rPr>
      </w:pPr>
      <w:r w:rsidRPr="000B33D4">
        <w:rPr>
          <w:rFonts w:ascii="Times New Roman" w:eastAsia="Times New Roman" w:hAnsi="Times New Roman" w:cs="Times New Roman"/>
          <w:b/>
          <w:sz w:val="24"/>
          <w:szCs w:val="24"/>
        </w:rPr>
        <w:t>Total porosity</w:t>
      </w:r>
    </w:p>
    <w:p w14:paraId="2539CBFE" w14:textId="77777777" w:rsidR="004B7805" w:rsidRPr="000B33D4" w:rsidRDefault="004B7805" w:rsidP="004B7805">
      <w:pPr>
        <w:spacing w:after="160" w:line="360" w:lineRule="auto"/>
        <w:jc w:val="both"/>
        <w:rPr>
          <w:rFonts w:ascii="Times New Roman" w:eastAsia="Times New Roman" w:hAnsi="Times New Roman" w:cs="Times New Roman"/>
          <w:sz w:val="24"/>
          <w:szCs w:val="24"/>
        </w:rPr>
      </w:pPr>
      <w:r w:rsidRPr="000B33D4">
        <w:rPr>
          <w:rFonts w:ascii="Times New Roman" w:hAnsi="Times New Roman"/>
          <w:sz w:val="24"/>
        </w:rPr>
        <w:t>The total porosity was calculated from the bulk-density values and an assumed particle density of 2.65 g/cm</w:t>
      </w:r>
      <w:r w:rsidRPr="000B33D4">
        <w:rPr>
          <w:rFonts w:ascii="Times New Roman" w:hAnsi="Times New Roman"/>
          <w:sz w:val="24"/>
          <w:vertAlign w:val="superscript"/>
        </w:rPr>
        <w:t>3</w:t>
      </w:r>
      <w:r w:rsidRPr="000B33D4">
        <w:rPr>
          <w:rFonts w:ascii="Times New Roman" w:hAnsi="Times New Roman"/>
          <w:sz w:val="24"/>
        </w:rPr>
        <w:t>, using the following equation, as noted by Aikins and Afuakwa (2012).</w:t>
      </w:r>
    </w:p>
    <w:p w14:paraId="35538752" w14:textId="77777777" w:rsidR="004B7805" w:rsidRPr="000B33D4" w:rsidRDefault="004B7805" w:rsidP="004B7805">
      <w:pPr>
        <w:spacing w:after="160" w:line="360" w:lineRule="auto"/>
        <w:jc w:val="both"/>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 xml:space="preserve">TP = 1- </w:t>
      </w:r>
      <m:oMath>
        <m:r>
          <w:rPr>
            <w:rFonts w:ascii="Cambria Math" w:eastAsia="Times New Roman" w:hAnsi="Cambria Math" w:cs="Times New Roman"/>
            <w:sz w:val="24"/>
            <w:szCs w:val="24"/>
          </w:rPr>
          <m:t>(</m:t>
        </m:r>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Bulk density</m:t>
            </m:r>
          </m:num>
          <m:den>
            <m:r>
              <w:rPr>
                <w:rFonts w:ascii="Cambria Math" w:eastAsia="Times New Roman" w:hAnsi="Cambria Math" w:cs="Times New Roman"/>
                <w:sz w:val="24"/>
                <w:szCs w:val="24"/>
              </w:rPr>
              <m:t>particle density</m:t>
            </m:r>
          </m:den>
        </m:f>
      </m:oMath>
      <w:r w:rsidRPr="000B33D4">
        <w:rPr>
          <w:rFonts w:ascii="Times New Roman" w:eastAsia="Times New Roman" w:hAnsi="Times New Roman" w:cs="Times New Roman"/>
          <w:sz w:val="24"/>
          <w:szCs w:val="24"/>
        </w:rPr>
        <w:t xml:space="preserve">) x 100                                                  </w:t>
      </w:r>
      <w:r w:rsidRPr="000B33D4">
        <w:rPr>
          <w:rFonts w:ascii="Times New Roman" w:eastAsia="Times New Roman" w:hAnsi="Times New Roman" w:cs="Times New Roman"/>
          <w:sz w:val="24"/>
          <w:szCs w:val="24"/>
        </w:rPr>
        <w:tab/>
        <w:t xml:space="preserve"> 3</w:t>
      </w:r>
    </w:p>
    <w:p w14:paraId="607B2988" w14:textId="77777777" w:rsidR="004B7805" w:rsidRPr="000B33D4" w:rsidRDefault="004B7805" w:rsidP="004B7805">
      <w:pPr>
        <w:spacing w:after="160" w:line="360" w:lineRule="auto"/>
        <w:jc w:val="both"/>
        <w:rPr>
          <w:rFonts w:ascii="Times New Roman" w:eastAsia="Times New Roman" w:hAnsi="Times New Roman" w:cs="Times New Roman"/>
          <w:b/>
          <w:sz w:val="24"/>
          <w:szCs w:val="24"/>
        </w:rPr>
      </w:pPr>
      <w:r w:rsidRPr="000B33D4">
        <w:rPr>
          <w:rFonts w:ascii="Times New Roman" w:eastAsia="Times New Roman" w:hAnsi="Times New Roman" w:cs="Times New Roman"/>
          <w:b/>
          <w:sz w:val="24"/>
          <w:szCs w:val="24"/>
        </w:rPr>
        <w:t>Saturated hydraulic conductivity (</w:t>
      </w:r>
      <w:proofErr w:type="spellStart"/>
      <w:r w:rsidRPr="000B33D4">
        <w:rPr>
          <w:rFonts w:ascii="Times New Roman" w:eastAsia="Times New Roman" w:hAnsi="Times New Roman" w:cs="Times New Roman"/>
          <w:b/>
          <w:sz w:val="24"/>
          <w:szCs w:val="24"/>
        </w:rPr>
        <w:t>Ksat</w:t>
      </w:r>
      <w:proofErr w:type="spellEnd"/>
      <w:r w:rsidRPr="000B33D4">
        <w:rPr>
          <w:rFonts w:ascii="Times New Roman" w:eastAsia="Times New Roman" w:hAnsi="Times New Roman" w:cs="Times New Roman"/>
          <w:b/>
          <w:sz w:val="24"/>
          <w:szCs w:val="24"/>
        </w:rPr>
        <w:t>)</w:t>
      </w:r>
    </w:p>
    <w:p w14:paraId="4E22F7C9" w14:textId="77777777" w:rsidR="00FA0E8E" w:rsidRDefault="00FA0E8E" w:rsidP="004B7805">
      <w:pPr>
        <w:spacing w:after="160" w:line="360" w:lineRule="auto"/>
        <w:jc w:val="both"/>
        <w:rPr>
          <w:rFonts w:ascii="Times New Roman" w:hAnsi="Times New Roman"/>
          <w:sz w:val="24"/>
        </w:rPr>
      </w:pPr>
      <w:r w:rsidRPr="00FA0E8E">
        <w:rPr>
          <w:rFonts w:ascii="Times New Roman" w:hAnsi="Times New Roman"/>
          <w:sz w:val="24"/>
        </w:rPr>
        <w:t>Saturated hydraulic conductivity (</w:t>
      </w:r>
      <w:proofErr w:type="spellStart"/>
      <w:r w:rsidRPr="00FA0E8E">
        <w:rPr>
          <w:rFonts w:ascii="Times New Roman" w:hAnsi="Times New Roman"/>
          <w:sz w:val="24"/>
        </w:rPr>
        <w:t>Ksat</w:t>
      </w:r>
      <w:proofErr w:type="spellEnd"/>
      <w:r w:rsidRPr="00FA0E8E">
        <w:rPr>
          <w:rFonts w:ascii="Times New Roman" w:hAnsi="Times New Roman"/>
          <w:sz w:val="24"/>
        </w:rPr>
        <w:t xml:space="preserve">) was determined in the laboratory using the constant-head method described by Tuffour et al. (2014) and </w:t>
      </w:r>
      <w:proofErr w:type="spellStart"/>
      <w:r w:rsidRPr="00FA0E8E">
        <w:rPr>
          <w:rFonts w:ascii="Times New Roman" w:hAnsi="Times New Roman"/>
          <w:sz w:val="24"/>
        </w:rPr>
        <w:t>Agbai</w:t>
      </w:r>
      <w:proofErr w:type="spellEnd"/>
      <w:r w:rsidRPr="00FA0E8E">
        <w:rPr>
          <w:rFonts w:ascii="Times New Roman" w:hAnsi="Times New Roman"/>
          <w:sz w:val="24"/>
        </w:rPr>
        <w:t xml:space="preserve"> et al. (2022). The undisturbed soil cores were carefully trimmed to fit the dimensions of the core rings. Muslin cloth was secured over both ends of each core using rubber bands to prevent soil loss while permitting the passage of water. Prior to the percolation tests, the soil samples were saturated by soaking them in water for 24 h. The volume of water passing through each soil core was subsequently measured and recorded until a constant mean flow rate was attained. Saturated hydraulic conductivity was then calculated using the following equation:</w:t>
      </w:r>
    </w:p>
    <w:p w14:paraId="2C63E5B8" w14:textId="4683ECDF" w:rsidR="004B7805" w:rsidRPr="000B33D4" w:rsidRDefault="004B7805" w:rsidP="004B7805">
      <w:pPr>
        <w:spacing w:after="160" w:line="360" w:lineRule="auto"/>
        <w:jc w:val="both"/>
        <w:rPr>
          <w:rFonts w:ascii="Times New Roman" w:eastAsia="Times New Roman" w:hAnsi="Times New Roman" w:cs="Times New Roman"/>
          <w:sz w:val="24"/>
          <w:szCs w:val="24"/>
        </w:rPr>
      </w:pPr>
      <w:proofErr w:type="spellStart"/>
      <w:r w:rsidRPr="000B33D4">
        <w:rPr>
          <w:rFonts w:ascii="Times New Roman" w:eastAsia="Times New Roman" w:hAnsi="Times New Roman" w:cs="Times New Roman"/>
          <w:sz w:val="24"/>
          <w:szCs w:val="24"/>
        </w:rPr>
        <w:t>Ksat</w:t>
      </w:r>
      <w:proofErr w:type="spellEnd"/>
      <w:r w:rsidRPr="000B33D4">
        <w:rPr>
          <w:rFonts w:ascii="Times New Roman" w:eastAsia="Times New Roman" w:hAnsi="Times New Roman" w:cs="Times New Roman"/>
          <w:sz w:val="24"/>
          <w:szCs w:val="24"/>
        </w:rPr>
        <w:t xml:space="preserve"> = Q x </w:t>
      </w:r>
      <m:oMath>
        <m:r>
          <w:rPr>
            <w:rFonts w:ascii="Cambria Math" w:eastAsia="Times New Roman" w:hAnsi="Cambria Math" w:cs="Times New Roman"/>
            <w:sz w:val="24"/>
            <w:szCs w:val="24"/>
          </w:rPr>
          <m:t>(</m:t>
        </m:r>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L</m:t>
            </m:r>
          </m:num>
          <m:den>
            <m:r>
              <w:rPr>
                <w:rFonts w:ascii="Cambria Math" w:eastAsia="Times New Roman" w:hAnsi="Cambria Math" w:cs="Times New Roman"/>
                <w:sz w:val="24"/>
                <w:szCs w:val="24"/>
              </w:rPr>
              <m:t>A x T x H</m:t>
            </m:r>
          </m:den>
        </m:f>
        <m:r>
          <w:rPr>
            <w:rFonts w:ascii="Cambria Math" w:eastAsia="Times New Roman" w:hAnsi="Cambria Math" w:cs="Times New Roman"/>
            <w:sz w:val="24"/>
            <w:szCs w:val="24"/>
          </w:rPr>
          <m:t>)</m:t>
        </m:r>
      </m:oMath>
      <w:r w:rsidRPr="000B33D4">
        <w:rPr>
          <w:rFonts w:ascii="Times New Roman" w:eastAsia="Times New Roman" w:hAnsi="Times New Roman" w:cs="Times New Roman"/>
          <w:sz w:val="24"/>
          <w:szCs w:val="24"/>
        </w:rPr>
        <w:t xml:space="preserve">                                                           </w:t>
      </w:r>
      <w:r w:rsidRPr="000B33D4">
        <w:rPr>
          <w:rFonts w:ascii="Times New Roman" w:eastAsia="Times New Roman" w:hAnsi="Times New Roman" w:cs="Times New Roman"/>
          <w:sz w:val="24"/>
          <w:szCs w:val="24"/>
        </w:rPr>
        <w:tab/>
      </w:r>
      <w:r w:rsidRPr="000B33D4">
        <w:rPr>
          <w:rFonts w:ascii="Times New Roman" w:eastAsia="Times New Roman" w:hAnsi="Times New Roman" w:cs="Times New Roman"/>
          <w:sz w:val="24"/>
          <w:szCs w:val="24"/>
        </w:rPr>
        <w:tab/>
        <w:t xml:space="preserve"> 4</w:t>
      </w:r>
    </w:p>
    <w:p w14:paraId="0F709F09" w14:textId="77777777" w:rsidR="004B7805" w:rsidRPr="000B33D4" w:rsidRDefault="004B7805" w:rsidP="004B7805">
      <w:pPr>
        <w:spacing w:after="160" w:line="360" w:lineRule="auto"/>
        <w:jc w:val="both"/>
        <w:rPr>
          <w:rFonts w:ascii="Times New Roman" w:eastAsia="Times New Roman" w:hAnsi="Times New Roman" w:cs="Times New Roman"/>
          <w:sz w:val="24"/>
          <w:szCs w:val="24"/>
        </w:rPr>
      </w:pPr>
      <w:r w:rsidRPr="000B33D4">
        <w:rPr>
          <w:rFonts w:ascii="Times New Roman" w:hAnsi="Times New Roman"/>
          <w:sz w:val="24"/>
        </w:rPr>
        <w:t>Where Q is water volume, K is hydraulic conductivity, L is soil-column length, T is time, A is cross-sectional area, and H is hydraulic head.</w:t>
      </w:r>
    </w:p>
    <w:p w14:paraId="6E91D1EA" w14:textId="77777777" w:rsidR="004B7805" w:rsidRPr="000B33D4" w:rsidRDefault="008E4210" w:rsidP="004B7805">
      <w:pPr>
        <w:spacing w:after="120" w:line="360" w:lineRule="auto"/>
        <w:jc w:val="both"/>
        <w:rPr>
          <w:rFonts w:ascii="Times New Roman" w:eastAsia="Times New Roman" w:hAnsi="Times New Roman" w:cs="Times New Roman"/>
          <w:b/>
          <w:bCs/>
          <w:sz w:val="24"/>
          <w:szCs w:val="24"/>
        </w:rPr>
      </w:pPr>
      <w:r w:rsidRPr="000B33D4">
        <w:rPr>
          <w:rFonts w:ascii="Times New Roman" w:hAnsi="Times New Roman"/>
          <w:b/>
          <w:sz w:val="24"/>
        </w:rPr>
        <w:t>2.6</w:t>
      </w:r>
      <w:r w:rsidRPr="000B33D4">
        <w:rPr>
          <w:rFonts w:ascii="Times New Roman" w:hAnsi="Times New Roman"/>
          <w:b/>
          <w:sz w:val="24"/>
        </w:rPr>
        <w:tab/>
        <w:t>Hydrological Modelling</w:t>
      </w:r>
    </w:p>
    <w:p w14:paraId="6B2F004E" w14:textId="77777777" w:rsidR="004B7805" w:rsidRPr="000B33D4" w:rsidRDefault="004B7805" w:rsidP="004B7805">
      <w:pPr>
        <w:spacing w:after="160" w:line="360" w:lineRule="auto"/>
        <w:jc w:val="both"/>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Three mathematical models were fitted to the field-measured cumulative infiltration data:</w:t>
      </w:r>
    </w:p>
    <w:p w14:paraId="052BABBF" w14:textId="77777777" w:rsidR="004B7805" w:rsidRPr="00F418B4" w:rsidRDefault="004B7805" w:rsidP="004B7805">
      <w:pPr>
        <w:spacing w:after="160" w:line="360" w:lineRule="auto"/>
        <w:jc w:val="both"/>
        <w:rPr>
          <w:rFonts w:ascii="Times New Roman" w:eastAsia="Times New Roman" w:hAnsi="Times New Roman" w:cs="Times New Roman"/>
          <w:sz w:val="24"/>
          <w:szCs w:val="24"/>
          <w:lang w:val="nl-BE"/>
        </w:rPr>
      </w:pPr>
      <w:r w:rsidRPr="00F418B4">
        <w:rPr>
          <w:rFonts w:ascii="Times New Roman" w:eastAsia="Times New Roman" w:hAnsi="Times New Roman" w:cs="Times New Roman"/>
          <w:b/>
          <w:bCs/>
          <w:sz w:val="24"/>
          <w:szCs w:val="24"/>
          <w:lang w:val="nl-BE"/>
        </w:rPr>
        <w:lastRenderedPageBreak/>
        <w:t>Horton’s Model</w:t>
      </w:r>
    </w:p>
    <w:p w14:paraId="77687827" w14:textId="77777777" w:rsidR="004B7805" w:rsidRPr="000B33D4" w:rsidRDefault="004B7805" w:rsidP="004B7805">
      <w:pPr>
        <w:spacing w:after="0" w:line="360" w:lineRule="auto"/>
        <w:jc w:val="both"/>
        <w:rPr>
          <w:rFonts w:ascii="Times New Roman" w:eastAsia="Times New Roman" w:hAnsi="Times New Roman" w:cs="Times New Roman"/>
          <w:sz w:val="24"/>
          <w:szCs w:val="24"/>
        </w:rPr>
      </w:pPr>
      <w:r w:rsidRPr="00F418B4">
        <w:rPr>
          <w:rFonts w:ascii="Times New Roman" w:hAnsi="Times New Roman"/>
          <w:sz w:val="24"/>
          <w:lang w:val="nl-BE"/>
        </w:rPr>
        <w:t xml:space="preserve">Duruanyim, Okorafor, </w:t>
      </w:r>
      <w:r w:rsidRPr="00F418B4">
        <w:rPr>
          <w:rFonts w:ascii="Times New Roman" w:hAnsi="Times New Roman"/>
          <w:i/>
          <w:sz w:val="24"/>
          <w:lang w:val="nl-BE"/>
        </w:rPr>
        <w:t>et al.</w:t>
      </w:r>
      <w:r w:rsidRPr="00F418B4">
        <w:rPr>
          <w:rFonts w:ascii="Times New Roman" w:hAnsi="Times New Roman"/>
          <w:sz w:val="24"/>
          <w:lang w:val="nl-BE"/>
        </w:rPr>
        <w:t xml:space="preserve"> </w:t>
      </w:r>
      <w:r w:rsidRPr="000B33D4">
        <w:rPr>
          <w:rFonts w:ascii="Times New Roman" w:hAnsi="Times New Roman"/>
          <w:sz w:val="24"/>
        </w:rPr>
        <w:t xml:space="preserve">(2025) describe the basic </w:t>
      </w:r>
      <w:proofErr w:type="spellStart"/>
      <w:r w:rsidRPr="000B33D4">
        <w:rPr>
          <w:rFonts w:ascii="Times New Roman" w:hAnsi="Times New Roman"/>
          <w:sz w:val="24"/>
        </w:rPr>
        <w:t>behaviour</w:t>
      </w:r>
      <w:proofErr w:type="spellEnd"/>
      <w:r w:rsidRPr="000B33D4">
        <w:rPr>
          <w:rFonts w:ascii="Times New Roman" w:hAnsi="Times New Roman"/>
          <w:sz w:val="24"/>
        </w:rPr>
        <w:t xml:space="preserve"> of infiltration as shown by the equation below:</w:t>
      </w:r>
    </w:p>
    <w:p w14:paraId="7DD67217" w14:textId="77777777" w:rsidR="004B7805" w:rsidRPr="000B33D4" w:rsidRDefault="004B7805" w:rsidP="004B7805">
      <w:pPr>
        <w:spacing w:after="0" w:line="360" w:lineRule="auto"/>
        <w:rPr>
          <w:rFonts w:ascii="Times New Roman" w:eastAsia="Times New Roman" w:hAnsi="Times New Roman" w:cs="Times New Roman"/>
          <w:bCs/>
          <w:sz w:val="24"/>
          <w:szCs w:val="24"/>
        </w:rPr>
      </w:pPr>
      <m:oMath>
        <m:r>
          <w:rPr>
            <w:rFonts w:ascii="Cambria Math" w:eastAsia="Times New Roman" w:hAnsi="Cambria Math" w:cs="Times New Roman"/>
            <w:sz w:val="24"/>
            <w:szCs w:val="24"/>
          </w:rPr>
          <m:t>f</m:t>
        </m:r>
        <m:d>
          <m:dPr>
            <m:ctrlPr>
              <w:rPr>
                <w:rFonts w:ascii="Cambria Math" w:eastAsia="Times New Roman" w:hAnsi="Cambria Math" w:cs="Times New Roman"/>
                <w:bCs/>
                <w:i/>
                <w:sz w:val="24"/>
                <w:szCs w:val="24"/>
              </w:rPr>
            </m:ctrlPr>
          </m:dPr>
          <m:e>
            <m:r>
              <w:rPr>
                <w:rFonts w:ascii="Cambria Math" w:eastAsia="Times New Roman" w:hAnsi="Cambria Math" w:cs="Times New Roman"/>
                <w:sz w:val="24"/>
                <w:szCs w:val="24"/>
              </w:rPr>
              <m:t>t</m:t>
            </m:r>
          </m:e>
        </m:d>
        <m:r>
          <w:rPr>
            <w:rFonts w:ascii="Cambria Math" w:eastAsia="Times New Roman" w:hAnsi="Cambria Math" w:cs="Times New Roman"/>
            <w:sz w:val="24"/>
            <w:szCs w:val="24"/>
          </w:rPr>
          <m:t xml:space="preserve">= </m:t>
        </m:r>
        <m:sSub>
          <m:sSubPr>
            <m:ctrlPr>
              <w:rPr>
                <w:rFonts w:ascii="Cambria Math" w:eastAsia="Times New Roman" w:hAnsi="Cambria Math" w:cs="Times New Roman"/>
                <w:bCs/>
                <w:i/>
                <w:sz w:val="24"/>
                <w:szCs w:val="24"/>
              </w:rPr>
            </m:ctrlPr>
          </m:sSubPr>
          <m:e>
            <m:r>
              <w:rPr>
                <w:rFonts w:ascii="Cambria Math" w:eastAsia="Times New Roman" w:hAnsi="Cambria Math" w:cs="Times New Roman"/>
                <w:sz w:val="24"/>
                <w:szCs w:val="24"/>
              </w:rPr>
              <m:t>f</m:t>
            </m:r>
          </m:e>
          <m:sub>
            <m:r>
              <w:rPr>
                <w:rFonts w:ascii="Cambria Math" w:eastAsia="Times New Roman" w:hAnsi="Cambria Math" w:cs="Times New Roman"/>
                <w:sz w:val="24"/>
                <w:szCs w:val="24"/>
              </w:rPr>
              <m:t xml:space="preserve">c </m:t>
            </m:r>
          </m:sub>
        </m:sSub>
        <m:r>
          <w:rPr>
            <w:rFonts w:ascii="Cambria Math" w:eastAsia="Times New Roman" w:hAnsi="Cambria Math" w:cs="Times New Roman"/>
            <w:sz w:val="24"/>
            <w:szCs w:val="24"/>
          </w:rPr>
          <m:t>+ (</m:t>
        </m:r>
        <m:sSub>
          <m:sSubPr>
            <m:ctrlPr>
              <w:rPr>
                <w:rFonts w:ascii="Cambria Math" w:eastAsia="Times New Roman" w:hAnsi="Cambria Math" w:cs="Times New Roman"/>
                <w:bCs/>
                <w:i/>
                <w:sz w:val="24"/>
                <w:szCs w:val="24"/>
              </w:rPr>
            </m:ctrlPr>
          </m:sSubPr>
          <m:e>
            <m:r>
              <w:rPr>
                <w:rFonts w:ascii="Cambria Math" w:eastAsia="Times New Roman" w:hAnsi="Cambria Math" w:cs="Times New Roman"/>
                <w:sz w:val="24"/>
                <w:szCs w:val="24"/>
              </w:rPr>
              <m:t>f</m:t>
            </m:r>
          </m:e>
          <m:sub>
            <m:r>
              <w:rPr>
                <w:rFonts w:ascii="Cambria Math" w:eastAsia="Times New Roman" w:hAnsi="Cambria Math" w:cs="Times New Roman"/>
                <w:sz w:val="24"/>
                <w:szCs w:val="24"/>
              </w:rPr>
              <m:t>o</m:t>
            </m:r>
          </m:sub>
        </m:sSub>
        <m:r>
          <w:rPr>
            <w:rFonts w:ascii="Cambria Math" w:eastAsia="Times New Roman" w:hAnsi="Cambria Math" w:cs="Times New Roman"/>
            <w:sz w:val="24"/>
            <w:szCs w:val="24"/>
          </w:rPr>
          <m:t>-</m:t>
        </m:r>
        <m:sSub>
          <m:sSubPr>
            <m:ctrlPr>
              <w:rPr>
                <w:rFonts w:ascii="Cambria Math" w:eastAsia="Times New Roman" w:hAnsi="Cambria Math" w:cs="Times New Roman"/>
                <w:bCs/>
                <w:i/>
                <w:sz w:val="24"/>
                <w:szCs w:val="24"/>
              </w:rPr>
            </m:ctrlPr>
          </m:sSubPr>
          <m:e>
            <m:r>
              <w:rPr>
                <w:rFonts w:ascii="Cambria Math" w:eastAsia="Times New Roman" w:hAnsi="Cambria Math" w:cs="Times New Roman"/>
                <w:sz w:val="24"/>
                <w:szCs w:val="24"/>
              </w:rPr>
              <m:t>f</m:t>
            </m:r>
          </m:e>
          <m:sub>
            <m:r>
              <w:rPr>
                <w:rFonts w:ascii="Cambria Math" w:eastAsia="Times New Roman" w:hAnsi="Cambria Math" w:cs="Times New Roman"/>
                <w:sz w:val="24"/>
                <w:szCs w:val="24"/>
              </w:rPr>
              <m:t xml:space="preserve">c </m:t>
            </m:r>
          </m:sub>
        </m:sSub>
        <m:r>
          <w:rPr>
            <w:rFonts w:ascii="Cambria Math" w:eastAsia="Times New Roman" w:hAnsi="Cambria Math" w:cs="Times New Roman"/>
            <w:sz w:val="24"/>
            <w:szCs w:val="24"/>
          </w:rPr>
          <m:t>)</m:t>
        </m:r>
        <m:sSup>
          <m:sSupPr>
            <m:ctrlPr>
              <w:rPr>
                <w:rFonts w:ascii="Cambria Math" w:eastAsia="Times New Roman" w:hAnsi="Cambria Math" w:cs="Times New Roman"/>
                <w:bCs/>
                <w:i/>
                <w:sz w:val="24"/>
                <w:szCs w:val="24"/>
              </w:rPr>
            </m:ctrlPr>
          </m:sSupPr>
          <m:e>
            <m:r>
              <w:rPr>
                <w:rFonts w:ascii="Cambria Math" w:eastAsia="Times New Roman" w:hAnsi="Cambria Math" w:cs="Times New Roman"/>
                <w:sz w:val="24"/>
                <w:szCs w:val="24"/>
              </w:rPr>
              <m:t>e</m:t>
            </m:r>
          </m:e>
          <m:sup>
            <m:r>
              <w:rPr>
                <w:rFonts w:ascii="Cambria Math" w:eastAsia="Times New Roman" w:hAnsi="Cambria Math" w:cs="Times New Roman"/>
                <w:sz w:val="24"/>
                <w:szCs w:val="24"/>
              </w:rPr>
              <m:t>-kt</m:t>
            </m:r>
          </m:sup>
        </m:sSup>
      </m:oMath>
      <w:r w:rsidRPr="000B33D4">
        <w:rPr>
          <w:rFonts w:ascii="Times New Roman" w:eastAsia="Times New Roman" w:hAnsi="Times New Roman" w:cs="Times New Roman"/>
          <w:bCs/>
          <w:sz w:val="24"/>
          <w:szCs w:val="24"/>
        </w:rPr>
        <w:tab/>
      </w:r>
      <w:r w:rsidRPr="000B33D4">
        <w:rPr>
          <w:rFonts w:ascii="Times New Roman" w:eastAsia="Times New Roman" w:hAnsi="Times New Roman" w:cs="Times New Roman"/>
          <w:bCs/>
          <w:sz w:val="24"/>
          <w:szCs w:val="24"/>
        </w:rPr>
        <w:tab/>
      </w:r>
      <w:r w:rsidRPr="000B33D4">
        <w:rPr>
          <w:rFonts w:ascii="Times New Roman" w:eastAsia="Times New Roman" w:hAnsi="Times New Roman" w:cs="Times New Roman"/>
          <w:bCs/>
          <w:sz w:val="24"/>
          <w:szCs w:val="24"/>
        </w:rPr>
        <w:tab/>
      </w:r>
      <w:r w:rsidRPr="000B33D4">
        <w:rPr>
          <w:rFonts w:ascii="Times New Roman" w:eastAsia="Times New Roman" w:hAnsi="Times New Roman" w:cs="Times New Roman"/>
          <w:bCs/>
          <w:sz w:val="24"/>
          <w:szCs w:val="24"/>
        </w:rPr>
        <w:tab/>
      </w:r>
      <w:r w:rsidRPr="000B33D4">
        <w:rPr>
          <w:rFonts w:ascii="Times New Roman" w:eastAsia="Times New Roman" w:hAnsi="Times New Roman" w:cs="Times New Roman"/>
          <w:bCs/>
          <w:sz w:val="24"/>
          <w:szCs w:val="24"/>
        </w:rPr>
        <w:tab/>
      </w:r>
      <w:r w:rsidRPr="000B33D4">
        <w:rPr>
          <w:rFonts w:ascii="Times New Roman" w:eastAsia="Times New Roman" w:hAnsi="Times New Roman" w:cs="Times New Roman"/>
          <w:bCs/>
          <w:sz w:val="24"/>
          <w:szCs w:val="24"/>
        </w:rPr>
        <w:tab/>
      </w:r>
      <w:r w:rsidR="00B6119C" w:rsidRPr="000B33D4">
        <w:rPr>
          <w:rFonts w:ascii="Times New Roman" w:eastAsia="Times New Roman" w:hAnsi="Times New Roman" w:cs="Times New Roman"/>
          <w:bCs/>
          <w:sz w:val="24"/>
          <w:szCs w:val="24"/>
        </w:rPr>
        <w:t>5</w:t>
      </w:r>
      <w:r w:rsidRPr="000B33D4">
        <w:rPr>
          <w:rFonts w:ascii="Times New Roman" w:eastAsia="Times New Roman" w:hAnsi="Times New Roman" w:cs="Times New Roman"/>
          <w:bCs/>
          <w:sz w:val="24"/>
          <w:szCs w:val="24"/>
        </w:rPr>
        <w:tab/>
      </w:r>
      <w:r w:rsidRPr="000B33D4">
        <w:rPr>
          <w:rFonts w:ascii="Times New Roman" w:eastAsia="Times New Roman" w:hAnsi="Times New Roman" w:cs="Times New Roman"/>
          <w:bCs/>
          <w:sz w:val="24"/>
          <w:szCs w:val="24"/>
        </w:rPr>
        <w:tab/>
      </w:r>
    </w:p>
    <w:p w14:paraId="26E3DB5C" w14:textId="77777777" w:rsidR="004B7805" w:rsidRPr="000B33D4" w:rsidRDefault="004B7805" w:rsidP="004B7805">
      <w:pPr>
        <w:spacing w:line="360" w:lineRule="auto"/>
        <w:rPr>
          <w:rFonts w:ascii="Times New Roman" w:hAnsi="Times New Roman" w:cs="Times New Roman"/>
          <w:sz w:val="24"/>
          <w:szCs w:val="24"/>
        </w:rPr>
      </w:pPr>
      <w:r w:rsidRPr="000B33D4">
        <w:rPr>
          <w:rFonts w:ascii="Times New Roman" w:hAnsi="Times New Roman" w:cs="Times New Roman"/>
          <w:sz w:val="24"/>
          <w:szCs w:val="24"/>
        </w:rPr>
        <w:t>Where,</w:t>
      </w:r>
    </w:p>
    <w:p w14:paraId="0E632DC5" w14:textId="77777777" w:rsidR="004B7805" w:rsidRPr="000B33D4" w:rsidRDefault="004B7805" w:rsidP="004B7805">
      <w:pPr>
        <w:spacing w:line="360" w:lineRule="auto"/>
        <w:rPr>
          <w:rFonts w:ascii="Times New Roman" w:hAnsi="Times New Roman" w:cs="Times New Roman"/>
          <w:sz w:val="24"/>
          <w:szCs w:val="24"/>
        </w:rPr>
      </w:pPr>
      <m:oMath>
        <m:r>
          <w:rPr>
            <w:rFonts w:ascii="Cambria Math" w:eastAsia="Times New Roman" w:hAnsi="Cambria Math" w:cs="Times New Roman"/>
            <w:sz w:val="24"/>
            <w:szCs w:val="24"/>
          </w:rPr>
          <m:t xml:space="preserve"> f</m:t>
        </m:r>
        <m:d>
          <m:dPr>
            <m:ctrlPr>
              <w:rPr>
                <w:rFonts w:ascii="Cambria Math" w:eastAsia="Times New Roman" w:hAnsi="Cambria Math" w:cs="Times New Roman"/>
                <w:bCs/>
                <w:i/>
                <w:sz w:val="24"/>
                <w:szCs w:val="24"/>
              </w:rPr>
            </m:ctrlPr>
          </m:dPr>
          <m:e>
            <m:r>
              <w:rPr>
                <w:rFonts w:ascii="Cambria Math" w:eastAsia="Times New Roman" w:hAnsi="Cambria Math" w:cs="Times New Roman"/>
                <w:sz w:val="24"/>
                <w:szCs w:val="24"/>
              </w:rPr>
              <m:t>t</m:t>
            </m:r>
          </m:e>
        </m:d>
      </m:oMath>
      <w:r w:rsidRPr="000B33D4">
        <w:rPr>
          <w:rFonts w:ascii="Times New Roman" w:hAnsi="Times New Roman" w:cs="Times New Roman"/>
          <w:sz w:val="24"/>
          <w:szCs w:val="24"/>
        </w:rPr>
        <w:t xml:space="preserve"> is infiltration capacity at time t, </w:t>
      </w:r>
      <m:oMath>
        <m:sSub>
          <m:sSubPr>
            <m:ctrlPr>
              <w:rPr>
                <w:rFonts w:ascii="Cambria Math" w:eastAsia="Times New Roman" w:hAnsi="Cambria Math" w:cs="Times New Roman"/>
                <w:bCs/>
                <w:i/>
                <w:sz w:val="24"/>
                <w:szCs w:val="24"/>
              </w:rPr>
            </m:ctrlPr>
          </m:sSubPr>
          <m:e>
            <m:r>
              <w:rPr>
                <w:rFonts w:ascii="Cambria Math" w:eastAsia="Times New Roman" w:hAnsi="Cambria Math" w:cs="Times New Roman"/>
                <w:sz w:val="24"/>
                <w:szCs w:val="24"/>
              </w:rPr>
              <m:t>f</m:t>
            </m:r>
          </m:e>
          <m:sub>
            <m:r>
              <w:rPr>
                <w:rFonts w:ascii="Cambria Math" w:eastAsia="Times New Roman" w:hAnsi="Cambria Math" w:cs="Times New Roman"/>
                <w:sz w:val="24"/>
                <w:szCs w:val="24"/>
              </w:rPr>
              <m:t>o</m:t>
            </m:r>
          </m:sub>
        </m:sSub>
      </m:oMath>
      <w:r w:rsidRPr="000B33D4">
        <w:rPr>
          <w:rFonts w:ascii="Times New Roman" w:hAnsi="Times New Roman" w:cs="Times New Roman"/>
          <w:sz w:val="24"/>
          <w:szCs w:val="24"/>
        </w:rPr>
        <w:t xml:space="preserve">is initial infiltration rate, </w:t>
      </w:r>
      <m:oMath>
        <m:sSub>
          <m:sSubPr>
            <m:ctrlPr>
              <w:rPr>
                <w:rFonts w:ascii="Cambria Math" w:eastAsia="Times New Roman" w:hAnsi="Cambria Math" w:cs="Times New Roman"/>
                <w:bCs/>
                <w:i/>
                <w:sz w:val="24"/>
                <w:szCs w:val="24"/>
              </w:rPr>
            </m:ctrlPr>
          </m:sSubPr>
          <m:e>
            <m:r>
              <w:rPr>
                <w:rFonts w:ascii="Cambria Math" w:eastAsia="Times New Roman" w:hAnsi="Cambria Math" w:cs="Times New Roman"/>
                <w:sz w:val="24"/>
                <w:szCs w:val="24"/>
              </w:rPr>
              <m:t>f</m:t>
            </m:r>
          </m:e>
          <m:sub>
            <m:r>
              <w:rPr>
                <w:rFonts w:ascii="Cambria Math" w:eastAsia="Times New Roman" w:hAnsi="Cambria Math" w:cs="Times New Roman"/>
                <w:sz w:val="24"/>
                <w:szCs w:val="24"/>
              </w:rPr>
              <m:t xml:space="preserve">c </m:t>
            </m:r>
          </m:sub>
        </m:sSub>
      </m:oMath>
      <w:r w:rsidRPr="000B33D4">
        <w:rPr>
          <w:rFonts w:ascii="Times New Roman" w:hAnsi="Times New Roman" w:cs="Times New Roman"/>
          <w:sz w:val="24"/>
          <w:szCs w:val="24"/>
        </w:rPr>
        <w:t xml:space="preserve"> is steady-state infiltration rate, and k is a decay constant </w:t>
      </w:r>
    </w:p>
    <w:p w14:paraId="0DDF8DC6" w14:textId="77777777" w:rsidR="004B7805" w:rsidRPr="000B33D4" w:rsidRDefault="004B7805" w:rsidP="008E4210">
      <w:pPr>
        <w:spacing w:after="0" w:line="360" w:lineRule="auto"/>
        <w:jc w:val="both"/>
        <w:rPr>
          <w:rFonts w:ascii="Times New Roman" w:hAnsi="Times New Roman" w:cs="Times New Roman"/>
          <w:b/>
          <w:sz w:val="24"/>
          <w:szCs w:val="24"/>
        </w:rPr>
      </w:pPr>
      <w:r w:rsidRPr="000B33D4">
        <w:rPr>
          <w:rFonts w:ascii="Times New Roman" w:hAnsi="Times New Roman"/>
          <w:b/>
          <w:sz w:val="24"/>
        </w:rPr>
        <w:t>Determination of Parameters for Philip’s Model</w:t>
      </w:r>
    </w:p>
    <w:p w14:paraId="544EA90A" w14:textId="77777777" w:rsidR="004B7805" w:rsidRPr="000B33D4" w:rsidRDefault="004B7805" w:rsidP="004B7805">
      <w:pPr>
        <w:spacing w:after="0" w:line="360" w:lineRule="auto"/>
        <w:jc w:val="both"/>
        <w:rPr>
          <w:rFonts w:ascii="Times New Roman" w:hAnsi="Times New Roman" w:cs="Times New Roman"/>
          <w:sz w:val="24"/>
          <w:szCs w:val="24"/>
        </w:rPr>
      </w:pPr>
      <w:r w:rsidRPr="000B33D4">
        <w:rPr>
          <w:rFonts w:ascii="Times New Roman" w:hAnsi="Times New Roman"/>
          <w:sz w:val="24"/>
        </w:rPr>
        <w:t xml:space="preserve">The Philip model (Philip, 1957), as presented by Duruanyim, Egwuonwu, </w:t>
      </w:r>
      <w:r w:rsidRPr="000B33D4">
        <w:rPr>
          <w:rFonts w:ascii="Times New Roman" w:hAnsi="Times New Roman"/>
          <w:i/>
          <w:sz w:val="24"/>
        </w:rPr>
        <w:t>et al.</w:t>
      </w:r>
      <w:r w:rsidRPr="000B33D4">
        <w:rPr>
          <w:rFonts w:ascii="Times New Roman" w:hAnsi="Times New Roman"/>
          <w:sz w:val="24"/>
        </w:rPr>
        <w:t xml:space="preserve"> (2025), is given by the equation below:</w:t>
      </w:r>
    </w:p>
    <w:p w14:paraId="68B7C2BE" w14:textId="77777777" w:rsidR="004B7805" w:rsidRPr="000B33D4" w:rsidRDefault="004B7805" w:rsidP="004B7805">
      <w:pPr>
        <w:spacing w:after="0" w:line="360" w:lineRule="auto"/>
        <w:jc w:val="both"/>
        <w:rPr>
          <w:rFonts w:ascii="Times New Roman" w:hAnsi="Times New Roman" w:cs="Times New Roman"/>
          <w:sz w:val="24"/>
          <w:szCs w:val="24"/>
        </w:rPr>
      </w:pPr>
      <m:oMath>
        <m:r>
          <m:rPr>
            <m:sty m:val="p"/>
          </m:rPr>
          <w:rPr>
            <w:rFonts w:ascii="Cambria Math" w:hAnsi="Cambria Math" w:cs="Times New Roman"/>
            <w:sz w:val="24"/>
            <w:szCs w:val="24"/>
          </w:rPr>
          <m:t>F=S</m:t>
        </m:r>
        <m:sSup>
          <m:sSupPr>
            <m:ctrlPr>
              <w:rPr>
                <w:rFonts w:ascii="Cambria Math" w:hAnsi="Cambria Math" w:cs="Times New Roman"/>
                <w:sz w:val="24"/>
                <w:szCs w:val="24"/>
              </w:rPr>
            </m:ctrlPr>
          </m:sSupPr>
          <m:e>
            <m:r>
              <m:rPr>
                <m:sty m:val="p"/>
              </m:rPr>
              <w:rPr>
                <w:rFonts w:ascii="Cambria Math" w:hAnsi="Cambria Math" w:cs="Times New Roman"/>
                <w:sz w:val="24"/>
                <w:szCs w:val="24"/>
              </w:rPr>
              <m:t>t</m:t>
            </m:r>
          </m:e>
          <m:sup>
            <m:f>
              <m:fPr>
                <m:type m:val="skw"/>
                <m:ctrlPr>
                  <w:rPr>
                    <w:rFonts w:ascii="Cambria Math" w:hAnsi="Cambria Math" w:cs="Times New Roman"/>
                    <w:sz w:val="24"/>
                    <w:szCs w:val="24"/>
                  </w:rPr>
                </m:ctrlPr>
              </m:fPr>
              <m:num>
                <m:r>
                  <m:rPr>
                    <m:sty m:val="p"/>
                  </m:rPr>
                  <w:rPr>
                    <w:rFonts w:ascii="Cambria Math" w:hAnsi="Cambria Math" w:cs="Times New Roman"/>
                    <w:sz w:val="24"/>
                    <w:szCs w:val="24"/>
                  </w:rPr>
                  <m:t>1</m:t>
                </m:r>
              </m:num>
              <m:den>
                <m:r>
                  <m:rPr>
                    <m:sty m:val="p"/>
                  </m:rPr>
                  <w:rPr>
                    <w:rFonts w:ascii="Cambria Math" w:hAnsi="Cambria Math" w:cs="Times New Roman"/>
                    <w:sz w:val="24"/>
                    <w:szCs w:val="24"/>
                  </w:rPr>
                  <m:t>2</m:t>
                </m:r>
              </m:den>
            </m:f>
          </m:sup>
        </m:sSup>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C</m:t>
            </m:r>
          </m:e>
          <m:sub>
            <m:r>
              <m:rPr>
                <m:sty m:val="p"/>
              </m:rPr>
              <w:rPr>
                <w:rFonts w:ascii="Cambria Math" w:hAnsi="Cambria Math" w:cs="Times New Roman"/>
                <w:sz w:val="24"/>
                <w:szCs w:val="24"/>
              </w:rPr>
              <m:t>a</m:t>
            </m:r>
          </m:sub>
        </m:sSub>
        <m:r>
          <m:rPr>
            <m:sty m:val="p"/>
          </m:rPr>
          <w:rPr>
            <w:rFonts w:ascii="Cambria Math" w:hAnsi="Cambria Math" w:cs="Times New Roman"/>
            <w:sz w:val="24"/>
            <w:szCs w:val="24"/>
          </w:rPr>
          <m:t>t</m:t>
        </m:r>
      </m:oMath>
      <w:r w:rsidRPr="000B33D4">
        <w:rPr>
          <w:rFonts w:ascii="Times New Roman" w:hAnsi="Times New Roman" w:cs="Times New Roman"/>
          <w:sz w:val="24"/>
          <w:szCs w:val="24"/>
        </w:rPr>
        <w:tab/>
      </w:r>
      <w:r w:rsidRPr="000B33D4">
        <w:rPr>
          <w:rFonts w:ascii="Times New Roman" w:hAnsi="Times New Roman" w:cs="Times New Roman"/>
          <w:sz w:val="24"/>
          <w:szCs w:val="24"/>
        </w:rPr>
        <w:tab/>
      </w:r>
      <w:r w:rsidRPr="000B33D4">
        <w:rPr>
          <w:rFonts w:ascii="Times New Roman" w:hAnsi="Times New Roman" w:cs="Times New Roman"/>
          <w:sz w:val="24"/>
          <w:szCs w:val="24"/>
        </w:rPr>
        <w:tab/>
      </w:r>
      <w:r w:rsidR="00B6119C" w:rsidRPr="000B33D4">
        <w:rPr>
          <w:rFonts w:ascii="Times New Roman" w:hAnsi="Times New Roman" w:cs="Times New Roman"/>
          <w:sz w:val="24"/>
          <w:szCs w:val="24"/>
        </w:rPr>
        <w:tab/>
      </w:r>
      <w:r w:rsidR="00B6119C" w:rsidRPr="000B33D4">
        <w:rPr>
          <w:rFonts w:ascii="Times New Roman" w:hAnsi="Times New Roman" w:cs="Times New Roman"/>
          <w:sz w:val="24"/>
          <w:szCs w:val="24"/>
        </w:rPr>
        <w:tab/>
      </w:r>
      <w:r w:rsidR="00B6119C" w:rsidRPr="000B33D4">
        <w:rPr>
          <w:rFonts w:ascii="Times New Roman" w:hAnsi="Times New Roman" w:cs="Times New Roman"/>
          <w:sz w:val="24"/>
          <w:szCs w:val="24"/>
        </w:rPr>
        <w:tab/>
      </w:r>
      <w:r w:rsidR="00B6119C" w:rsidRPr="000B33D4">
        <w:rPr>
          <w:rFonts w:ascii="Times New Roman" w:hAnsi="Times New Roman" w:cs="Times New Roman"/>
          <w:sz w:val="24"/>
          <w:szCs w:val="24"/>
        </w:rPr>
        <w:tab/>
        <w:t>6</w:t>
      </w:r>
      <w:r w:rsidRPr="000B33D4">
        <w:rPr>
          <w:rFonts w:ascii="Times New Roman" w:hAnsi="Times New Roman" w:cs="Times New Roman"/>
          <w:sz w:val="24"/>
          <w:szCs w:val="24"/>
        </w:rPr>
        <w:tab/>
      </w:r>
      <w:r w:rsidRPr="000B33D4">
        <w:rPr>
          <w:rFonts w:ascii="Times New Roman" w:hAnsi="Times New Roman" w:cs="Times New Roman"/>
          <w:sz w:val="24"/>
          <w:szCs w:val="24"/>
        </w:rPr>
        <w:tab/>
      </w:r>
    </w:p>
    <w:p w14:paraId="6CB6D241" w14:textId="77777777" w:rsidR="004B7805" w:rsidRPr="000B33D4" w:rsidRDefault="004B7805" w:rsidP="004B7805">
      <w:pPr>
        <w:spacing w:after="0" w:line="360" w:lineRule="auto"/>
        <w:jc w:val="both"/>
        <w:rPr>
          <w:rFonts w:ascii="Times New Roman" w:hAnsi="Times New Roman" w:cs="Times New Roman"/>
          <w:sz w:val="24"/>
          <w:szCs w:val="24"/>
        </w:rPr>
      </w:pPr>
      <w:r w:rsidRPr="000B33D4">
        <w:rPr>
          <w:rFonts w:ascii="Times New Roman" w:hAnsi="Times New Roman" w:cs="Times New Roman"/>
          <w:sz w:val="24"/>
          <w:szCs w:val="24"/>
        </w:rPr>
        <w:t>Where,</w:t>
      </w:r>
    </w:p>
    <w:p w14:paraId="3CAD02A5" w14:textId="77777777" w:rsidR="004B7805" w:rsidRPr="000B33D4" w:rsidRDefault="004B7805" w:rsidP="004B7805">
      <w:pPr>
        <w:spacing w:after="0" w:line="360" w:lineRule="auto"/>
        <w:jc w:val="both"/>
        <w:rPr>
          <w:rFonts w:ascii="Times New Roman" w:hAnsi="Times New Roman" w:cs="Times New Roman"/>
          <w:sz w:val="24"/>
          <w:szCs w:val="24"/>
        </w:rPr>
      </w:pPr>
      <m:oMath>
        <m:r>
          <w:rPr>
            <w:rFonts w:ascii="Cambria Math" w:eastAsia="Times New Roman" w:hAnsi="Cambria Math" w:cs="Times New Roman"/>
            <w:sz w:val="24"/>
            <w:szCs w:val="24"/>
          </w:rPr>
          <m:t xml:space="preserve"> f</m:t>
        </m:r>
        <m:d>
          <m:dPr>
            <m:ctrlPr>
              <w:rPr>
                <w:rFonts w:ascii="Cambria Math" w:eastAsia="Times New Roman" w:hAnsi="Cambria Math" w:cs="Times New Roman"/>
                <w:bCs/>
                <w:i/>
                <w:sz w:val="24"/>
                <w:szCs w:val="24"/>
              </w:rPr>
            </m:ctrlPr>
          </m:dPr>
          <m:e>
            <m:r>
              <w:rPr>
                <w:rFonts w:ascii="Cambria Math" w:eastAsia="Times New Roman" w:hAnsi="Cambria Math" w:cs="Times New Roman"/>
                <w:sz w:val="24"/>
                <w:szCs w:val="24"/>
              </w:rPr>
              <m:t>t</m:t>
            </m:r>
          </m:e>
        </m:d>
      </m:oMath>
      <w:r w:rsidR="00156D9C" w:rsidRPr="000B33D4">
        <w:rPr>
          <w:rFonts w:ascii="Times New Roman" w:eastAsia="Times New Roman" w:hAnsi="Times New Roman" w:cs="Times New Roman"/>
          <w:iCs/>
          <w:sz w:val="24"/>
          <w:szCs w:val="24"/>
        </w:rPr>
        <w:t xml:space="preserve"> =</w:t>
      </w:r>
      <w:r w:rsidRPr="000B33D4">
        <w:rPr>
          <w:rFonts w:ascii="Times New Roman" w:eastAsia="Times New Roman" w:hAnsi="Times New Roman" w:cs="Times New Roman"/>
          <w:iCs/>
          <w:sz w:val="24"/>
          <w:szCs w:val="24"/>
        </w:rPr>
        <w:t xml:space="preserve"> cumulative infiltration</w:t>
      </w:r>
    </w:p>
    <w:p w14:paraId="544B57AC" w14:textId="77777777" w:rsidR="004B7805" w:rsidRPr="000B33D4" w:rsidRDefault="004B7805" w:rsidP="004B7805">
      <w:pPr>
        <w:spacing w:after="0" w:line="360" w:lineRule="auto"/>
        <w:jc w:val="both"/>
        <w:rPr>
          <w:rFonts w:ascii="Times New Roman" w:hAnsi="Times New Roman" w:cs="Times New Roman"/>
          <w:sz w:val="24"/>
          <w:szCs w:val="24"/>
          <w:vertAlign w:val="subscript"/>
        </w:rPr>
      </w:pPr>
      <w:r w:rsidRPr="000B33D4">
        <w:rPr>
          <w:rFonts w:ascii="Times New Roman" w:hAnsi="Times New Roman" w:cs="Times New Roman"/>
          <w:sz w:val="24"/>
          <w:szCs w:val="24"/>
        </w:rPr>
        <w:t xml:space="preserve"> S = soil </w:t>
      </w:r>
      <w:proofErr w:type="spellStart"/>
      <w:r w:rsidRPr="000B33D4">
        <w:rPr>
          <w:rFonts w:ascii="Times New Roman" w:hAnsi="Times New Roman" w:cs="Times New Roman"/>
          <w:sz w:val="24"/>
          <w:szCs w:val="24"/>
        </w:rPr>
        <w:t>sorptivity</w:t>
      </w:r>
      <w:proofErr w:type="spellEnd"/>
      <w:r w:rsidRPr="000B33D4">
        <w:rPr>
          <w:rFonts w:ascii="Times New Roman" w:hAnsi="Times New Roman" w:cs="Times New Roman"/>
          <w:sz w:val="24"/>
          <w:szCs w:val="24"/>
        </w:rPr>
        <w:t>(Lt</w:t>
      </w:r>
      <w:r w:rsidRPr="000B33D4">
        <w:rPr>
          <w:rFonts w:ascii="Times New Roman" w:hAnsi="Times New Roman" w:cs="Times New Roman"/>
          <w:sz w:val="24"/>
          <w:szCs w:val="24"/>
          <w:vertAlign w:val="superscript"/>
        </w:rPr>
        <w:t>-1/2</w:t>
      </w:r>
      <w:r w:rsidRPr="000B33D4">
        <w:rPr>
          <w:rFonts w:ascii="Times New Roman" w:hAnsi="Times New Roman" w:cs="Times New Roman"/>
          <w:sz w:val="24"/>
          <w:szCs w:val="24"/>
        </w:rPr>
        <w:t>), a function of initial and final soil water content, θ</w:t>
      </w:r>
      <w:r w:rsidRPr="000B33D4">
        <w:rPr>
          <w:rFonts w:ascii="Times New Roman" w:hAnsi="Times New Roman" w:cs="Times New Roman"/>
          <w:sz w:val="24"/>
          <w:szCs w:val="24"/>
          <w:vertAlign w:val="subscript"/>
        </w:rPr>
        <w:t>1</w:t>
      </w:r>
      <w:r w:rsidRPr="000B33D4">
        <w:rPr>
          <w:rFonts w:ascii="Times New Roman" w:hAnsi="Times New Roman" w:cs="Times New Roman"/>
          <w:sz w:val="24"/>
          <w:szCs w:val="24"/>
        </w:rPr>
        <w:t xml:space="preserve"> and </w:t>
      </w:r>
      <w:proofErr w:type="spellStart"/>
      <w:r w:rsidRPr="000B33D4">
        <w:rPr>
          <w:rFonts w:ascii="Times New Roman" w:hAnsi="Times New Roman" w:cs="Times New Roman"/>
          <w:sz w:val="24"/>
          <w:szCs w:val="24"/>
        </w:rPr>
        <w:t>θ</w:t>
      </w:r>
      <w:r w:rsidRPr="000B33D4">
        <w:rPr>
          <w:rFonts w:ascii="Times New Roman" w:hAnsi="Times New Roman" w:cs="Times New Roman"/>
          <w:sz w:val="24"/>
          <w:szCs w:val="24"/>
          <w:vertAlign w:val="subscript"/>
        </w:rPr>
        <w:t>n</w:t>
      </w:r>
      <w:proofErr w:type="spellEnd"/>
    </w:p>
    <w:p w14:paraId="696F3241" w14:textId="77777777" w:rsidR="004B7805" w:rsidRPr="000B33D4" w:rsidRDefault="004B7805" w:rsidP="004B7805">
      <w:pPr>
        <w:spacing w:after="0" w:line="360" w:lineRule="auto"/>
        <w:jc w:val="both"/>
        <w:rPr>
          <w:rFonts w:ascii="Times New Roman" w:hAnsi="Times New Roman" w:cs="Times New Roman"/>
          <w:sz w:val="24"/>
          <w:szCs w:val="24"/>
        </w:rPr>
      </w:pPr>
      <w:r w:rsidRPr="000B33D4">
        <w:rPr>
          <w:rFonts w:ascii="Times New Roman" w:hAnsi="Times New Roman" w:cs="Times New Roman"/>
          <w:sz w:val="24"/>
          <w:szCs w:val="24"/>
        </w:rPr>
        <w:t>C</w:t>
      </w:r>
      <w:r w:rsidRPr="000B33D4">
        <w:rPr>
          <w:rFonts w:ascii="Times New Roman" w:hAnsi="Times New Roman" w:cs="Times New Roman"/>
          <w:sz w:val="24"/>
          <w:szCs w:val="24"/>
          <w:vertAlign w:val="subscript"/>
        </w:rPr>
        <w:t>a</w:t>
      </w:r>
      <w:r w:rsidRPr="000B33D4">
        <w:rPr>
          <w:rFonts w:ascii="Times New Roman" w:hAnsi="Times New Roman" w:cs="Times New Roman"/>
          <w:sz w:val="24"/>
          <w:szCs w:val="24"/>
        </w:rPr>
        <w:t xml:space="preserve"> or A = Constant that depends on both soil properties and on θ</w:t>
      </w:r>
      <w:r w:rsidRPr="000B33D4">
        <w:rPr>
          <w:rFonts w:ascii="Times New Roman" w:hAnsi="Times New Roman" w:cs="Times New Roman"/>
          <w:sz w:val="24"/>
          <w:szCs w:val="24"/>
          <w:vertAlign w:val="subscript"/>
        </w:rPr>
        <w:t>1</w:t>
      </w:r>
      <w:r w:rsidRPr="000B33D4">
        <w:rPr>
          <w:rFonts w:ascii="Times New Roman" w:hAnsi="Times New Roman" w:cs="Times New Roman"/>
          <w:sz w:val="24"/>
          <w:szCs w:val="24"/>
        </w:rPr>
        <w:t xml:space="preserve"> and </w:t>
      </w:r>
      <w:proofErr w:type="spellStart"/>
      <w:r w:rsidRPr="000B33D4">
        <w:rPr>
          <w:rFonts w:ascii="Times New Roman" w:hAnsi="Times New Roman" w:cs="Times New Roman"/>
          <w:sz w:val="24"/>
          <w:szCs w:val="24"/>
        </w:rPr>
        <w:t>θ</w:t>
      </w:r>
      <w:r w:rsidRPr="000B33D4">
        <w:rPr>
          <w:rFonts w:ascii="Times New Roman" w:hAnsi="Times New Roman" w:cs="Times New Roman"/>
          <w:sz w:val="24"/>
          <w:szCs w:val="24"/>
          <w:vertAlign w:val="subscript"/>
        </w:rPr>
        <w:t>n</w:t>
      </w:r>
      <w:proofErr w:type="spellEnd"/>
      <w:r w:rsidRPr="000B33D4">
        <w:rPr>
          <w:rFonts w:ascii="Times New Roman" w:hAnsi="Times New Roman" w:cs="Times New Roman"/>
          <w:sz w:val="24"/>
          <w:szCs w:val="24"/>
        </w:rPr>
        <w:t xml:space="preserve"> (transmissivity parameter)</w:t>
      </w:r>
    </w:p>
    <w:p w14:paraId="69E7E078" w14:textId="77777777" w:rsidR="004B7805" w:rsidRPr="000B33D4" w:rsidRDefault="004B7805" w:rsidP="004B7805">
      <w:pPr>
        <w:spacing w:after="0" w:line="360" w:lineRule="auto"/>
        <w:jc w:val="both"/>
        <w:rPr>
          <w:rFonts w:ascii="Times New Roman" w:hAnsi="Times New Roman" w:cs="Times New Roman"/>
          <w:sz w:val="24"/>
          <w:szCs w:val="24"/>
        </w:rPr>
      </w:pPr>
      <w:r w:rsidRPr="000B33D4">
        <w:rPr>
          <w:rFonts w:ascii="Times New Roman" w:hAnsi="Times New Roman"/>
          <w:sz w:val="24"/>
        </w:rPr>
        <w:t>t = elapsed time</w:t>
      </w:r>
    </w:p>
    <w:p w14:paraId="7F9B5B45" w14:textId="77777777" w:rsidR="004B7805" w:rsidRPr="000B33D4" w:rsidRDefault="004B7805" w:rsidP="004B7805">
      <w:pPr>
        <w:spacing w:after="0" w:line="360" w:lineRule="auto"/>
        <w:jc w:val="both"/>
        <w:rPr>
          <w:rFonts w:ascii="Times New Roman" w:hAnsi="Times New Roman" w:cs="Times New Roman"/>
          <w:sz w:val="24"/>
          <w:szCs w:val="24"/>
        </w:rPr>
      </w:pPr>
      <w:r w:rsidRPr="000B33D4">
        <w:rPr>
          <w:rFonts w:ascii="Times New Roman" w:hAnsi="Times New Roman"/>
          <w:sz w:val="24"/>
        </w:rPr>
        <w:t>To determine sorptivity (S), the value of soil dryness (Ф − θ</w:t>
      </w:r>
      <w:r w:rsidRPr="000B33D4">
        <w:rPr>
          <w:rFonts w:ascii="Times New Roman" w:hAnsi="Times New Roman"/>
          <w:sz w:val="24"/>
          <w:vertAlign w:val="subscript"/>
        </w:rPr>
        <w:t>0</w:t>
      </w:r>
      <w:r w:rsidRPr="000B33D4">
        <w:rPr>
          <w:rFonts w:ascii="Times New Roman" w:hAnsi="Times New Roman"/>
          <w:sz w:val="24"/>
        </w:rPr>
        <w:t>) for each site was used against soil type on the chart in Figure 1.</w:t>
      </w:r>
    </w:p>
    <w:p w14:paraId="060953B1" w14:textId="77777777" w:rsidR="004B7805" w:rsidRPr="000B33D4" w:rsidRDefault="004B7805" w:rsidP="004B7805">
      <w:pPr>
        <w:spacing w:after="0" w:line="360" w:lineRule="auto"/>
        <w:jc w:val="both"/>
        <w:rPr>
          <w:rFonts w:ascii="Times New Roman" w:hAnsi="Times New Roman" w:cs="Times New Roman"/>
          <w:sz w:val="24"/>
          <w:szCs w:val="24"/>
        </w:rPr>
      </w:pPr>
      <w:r w:rsidRPr="000B33D4">
        <w:rPr>
          <w:rFonts w:ascii="Times New Roman" w:hAnsi="Times New Roman"/>
          <w:sz w:val="24"/>
        </w:rPr>
        <w:t>Where Ф = final moisture content of the soil</w:t>
      </w:r>
    </w:p>
    <w:p w14:paraId="2EDC56E3" w14:textId="77777777" w:rsidR="004B7805" w:rsidRPr="000B33D4" w:rsidRDefault="004B7805" w:rsidP="004B7805">
      <w:pPr>
        <w:spacing w:after="0" w:line="360" w:lineRule="auto"/>
        <w:jc w:val="both"/>
        <w:rPr>
          <w:rFonts w:ascii="Times New Roman" w:hAnsi="Times New Roman" w:cs="Times New Roman"/>
          <w:sz w:val="24"/>
          <w:szCs w:val="24"/>
        </w:rPr>
      </w:pPr>
      <w:r w:rsidRPr="000B33D4">
        <w:rPr>
          <w:rFonts w:ascii="Times New Roman" w:hAnsi="Times New Roman"/>
          <w:sz w:val="24"/>
        </w:rPr>
        <w:t>θ</w:t>
      </w:r>
      <w:r w:rsidRPr="000B33D4">
        <w:rPr>
          <w:rFonts w:ascii="Times New Roman" w:hAnsi="Times New Roman"/>
          <w:sz w:val="24"/>
          <w:vertAlign w:val="subscript"/>
        </w:rPr>
        <w:t>0</w:t>
      </w:r>
      <w:r w:rsidRPr="000B33D4">
        <w:rPr>
          <w:rFonts w:ascii="Times New Roman" w:hAnsi="Times New Roman"/>
          <w:sz w:val="24"/>
        </w:rPr>
        <w:t xml:space="preserve"> = initial moisture content of the soil</w:t>
      </w:r>
    </w:p>
    <w:p w14:paraId="55FE1509" w14:textId="77777777" w:rsidR="004B7805" w:rsidRPr="000B33D4" w:rsidRDefault="004B7805" w:rsidP="004B7805">
      <w:pPr>
        <w:spacing w:after="0" w:line="360" w:lineRule="auto"/>
        <w:jc w:val="both"/>
        <w:rPr>
          <w:rFonts w:ascii="Times New Roman" w:hAnsi="Times New Roman" w:cs="Times New Roman"/>
          <w:sz w:val="24"/>
          <w:szCs w:val="24"/>
        </w:rPr>
      </w:pPr>
    </w:p>
    <w:p w14:paraId="0F79DA8E" w14:textId="77777777" w:rsidR="004B7805" w:rsidRPr="000B33D4" w:rsidRDefault="004B7805" w:rsidP="00B6119C">
      <w:pPr>
        <w:spacing w:after="0" w:line="360" w:lineRule="auto"/>
        <w:jc w:val="both"/>
        <w:rPr>
          <w:rFonts w:ascii="Times New Roman" w:eastAsia="Times New Roman" w:hAnsi="Times New Roman" w:cs="Times New Roman"/>
          <w:b/>
          <w:sz w:val="24"/>
          <w:szCs w:val="24"/>
        </w:rPr>
      </w:pPr>
      <w:r w:rsidRPr="000B33D4">
        <w:rPr>
          <w:rFonts w:ascii="Times New Roman" w:hAnsi="Times New Roman"/>
          <w:b/>
          <w:sz w:val="24"/>
        </w:rPr>
        <w:t>Determination of the Kostiakov Model:</w:t>
      </w:r>
    </w:p>
    <w:p w14:paraId="50C23CB9" w14:textId="77777777" w:rsidR="004B7805" w:rsidRPr="000B33D4" w:rsidRDefault="004B7805" w:rsidP="004B7805">
      <w:pPr>
        <w:spacing w:after="0" w:line="360" w:lineRule="auto"/>
        <w:jc w:val="both"/>
        <w:rPr>
          <w:rFonts w:ascii="Times New Roman" w:eastAsia="Times New Roman" w:hAnsi="Times New Roman" w:cs="Times New Roman"/>
          <w:sz w:val="24"/>
          <w:szCs w:val="24"/>
        </w:rPr>
      </w:pPr>
      <w:r w:rsidRPr="000B33D4">
        <w:rPr>
          <w:rFonts w:ascii="Times New Roman" w:hAnsi="Times New Roman"/>
          <w:sz w:val="24"/>
        </w:rPr>
        <w:t>The empirical basis of one of the leading methods proposed by Kostiakov (Sonaje &amp; Waikar, 2009) is:</w:t>
      </w:r>
    </w:p>
    <w:p w14:paraId="46A05575" w14:textId="77777777" w:rsidR="004B7805" w:rsidRPr="000B33D4" w:rsidRDefault="004B7805" w:rsidP="004B7805">
      <w:pPr>
        <w:spacing w:after="0" w:line="360" w:lineRule="auto"/>
        <w:jc w:val="both"/>
        <w:rPr>
          <w:rFonts w:ascii="Times New Roman" w:eastAsia="Times New Roman" w:hAnsi="Times New Roman" w:cs="Times New Roman"/>
          <w:sz w:val="24"/>
          <w:szCs w:val="24"/>
        </w:rPr>
      </w:pPr>
      <m:oMath>
        <m:r>
          <w:rPr>
            <w:rFonts w:ascii="Cambria Math" w:eastAsia="Times New Roman" w:hAnsi="Cambria Math" w:cs="Times New Roman"/>
            <w:sz w:val="24"/>
            <w:szCs w:val="24"/>
          </w:rPr>
          <m:t>f</m:t>
        </m:r>
        <m:d>
          <m:dPr>
            <m:ctrlPr>
              <w:rPr>
                <w:rFonts w:ascii="Cambria Math" w:eastAsia="Times New Roman" w:hAnsi="Cambria Math" w:cs="Times New Roman"/>
                <w:bCs/>
                <w:i/>
                <w:sz w:val="24"/>
                <w:szCs w:val="24"/>
              </w:rPr>
            </m:ctrlPr>
          </m:dPr>
          <m:e>
            <m:r>
              <w:rPr>
                <w:rFonts w:ascii="Cambria Math" w:eastAsia="Times New Roman" w:hAnsi="Cambria Math" w:cs="Times New Roman"/>
                <w:sz w:val="24"/>
                <w:szCs w:val="24"/>
              </w:rPr>
              <m:t>t</m:t>
            </m:r>
          </m:e>
        </m:d>
      </m:oMath>
      <w:r w:rsidRPr="000B33D4">
        <w:rPr>
          <w:rFonts w:ascii="Times New Roman" w:eastAsia="Times New Roman" w:hAnsi="Times New Roman" w:cs="Times New Roman"/>
          <w:sz w:val="24"/>
          <w:szCs w:val="24"/>
        </w:rPr>
        <w:t>= at</w:t>
      </w:r>
      <w:r w:rsidRPr="000B33D4">
        <w:rPr>
          <w:rFonts w:ascii="Times New Roman" w:eastAsia="Times New Roman" w:hAnsi="Times New Roman" w:cs="Times New Roman"/>
          <w:sz w:val="24"/>
          <w:szCs w:val="24"/>
          <w:vertAlign w:val="superscript"/>
        </w:rPr>
        <w:t>b</w:t>
      </w:r>
      <w:r w:rsidR="00B6119C" w:rsidRPr="000B33D4">
        <w:rPr>
          <w:rFonts w:ascii="Times New Roman" w:eastAsia="Times New Roman" w:hAnsi="Times New Roman" w:cs="Times New Roman"/>
          <w:sz w:val="24"/>
          <w:szCs w:val="24"/>
        </w:rPr>
        <w:tab/>
      </w:r>
      <w:r w:rsidR="00B6119C" w:rsidRPr="000B33D4">
        <w:rPr>
          <w:rFonts w:ascii="Times New Roman" w:eastAsia="Times New Roman" w:hAnsi="Times New Roman" w:cs="Times New Roman"/>
          <w:sz w:val="24"/>
          <w:szCs w:val="24"/>
        </w:rPr>
        <w:tab/>
      </w:r>
      <w:r w:rsidR="00B6119C" w:rsidRPr="000B33D4">
        <w:rPr>
          <w:rFonts w:ascii="Times New Roman" w:eastAsia="Times New Roman" w:hAnsi="Times New Roman" w:cs="Times New Roman"/>
          <w:sz w:val="24"/>
          <w:szCs w:val="24"/>
        </w:rPr>
        <w:tab/>
      </w:r>
      <w:r w:rsidR="00B6119C" w:rsidRPr="000B33D4">
        <w:rPr>
          <w:rFonts w:ascii="Times New Roman" w:eastAsia="Times New Roman" w:hAnsi="Times New Roman" w:cs="Times New Roman"/>
          <w:sz w:val="24"/>
          <w:szCs w:val="24"/>
        </w:rPr>
        <w:tab/>
      </w:r>
      <w:r w:rsidR="00B6119C" w:rsidRPr="000B33D4">
        <w:rPr>
          <w:rFonts w:ascii="Times New Roman" w:eastAsia="Times New Roman" w:hAnsi="Times New Roman" w:cs="Times New Roman"/>
          <w:sz w:val="24"/>
          <w:szCs w:val="24"/>
        </w:rPr>
        <w:tab/>
      </w:r>
      <w:r w:rsidR="00B6119C" w:rsidRPr="000B33D4">
        <w:rPr>
          <w:rFonts w:ascii="Times New Roman" w:eastAsia="Times New Roman" w:hAnsi="Times New Roman" w:cs="Times New Roman"/>
          <w:sz w:val="24"/>
          <w:szCs w:val="24"/>
        </w:rPr>
        <w:tab/>
      </w:r>
      <w:r w:rsidR="00B6119C" w:rsidRPr="000B33D4">
        <w:rPr>
          <w:rFonts w:ascii="Times New Roman" w:eastAsia="Times New Roman" w:hAnsi="Times New Roman" w:cs="Times New Roman"/>
          <w:sz w:val="24"/>
          <w:szCs w:val="24"/>
        </w:rPr>
        <w:tab/>
      </w:r>
      <w:r w:rsidR="00B6119C" w:rsidRPr="000B33D4">
        <w:rPr>
          <w:rFonts w:ascii="Times New Roman" w:eastAsia="Times New Roman" w:hAnsi="Times New Roman" w:cs="Times New Roman"/>
          <w:sz w:val="24"/>
          <w:szCs w:val="24"/>
        </w:rPr>
        <w:tab/>
        <w:t>7</w:t>
      </w:r>
    </w:p>
    <w:p w14:paraId="0FFB3197" w14:textId="77777777" w:rsidR="004B7805" w:rsidRPr="000B33D4" w:rsidRDefault="004B7805" w:rsidP="004B7805">
      <w:pPr>
        <w:spacing w:after="0" w:line="360" w:lineRule="auto"/>
        <w:jc w:val="both"/>
        <w:rPr>
          <w:rFonts w:ascii="Times New Roman" w:eastAsia="Times New Roman" w:hAnsi="Times New Roman" w:cs="Times New Roman"/>
          <w:sz w:val="24"/>
          <w:szCs w:val="24"/>
        </w:rPr>
      </w:pPr>
      <w:r w:rsidRPr="000B33D4">
        <w:rPr>
          <w:rFonts w:ascii="Times New Roman" w:eastAsia="Times New Roman" w:hAnsi="Times New Roman" w:cs="Times New Roman"/>
          <w:iCs/>
          <w:sz w:val="24"/>
          <w:szCs w:val="24"/>
        </w:rPr>
        <w:t xml:space="preserve">Where, </w:t>
      </w:r>
    </w:p>
    <w:p w14:paraId="32AA174B" w14:textId="77777777" w:rsidR="004B7805" w:rsidRPr="000B33D4" w:rsidRDefault="004B7805" w:rsidP="004B7805">
      <w:pPr>
        <w:spacing w:after="0" w:line="360" w:lineRule="auto"/>
        <w:jc w:val="both"/>
        <w:rPr>
          <w:rFonts w:ascii="Times New Roman" w:eastAsia="Times New Roman" w:hAnsi="Times New Roman" w:cs="Times New Roman"/>
          <w:iCs/>
          <w:sz w:val="24"/>
          <w:szCs w:val="24"/>
        </w:rPr>
      </w:pPr>
      <w:r w:rsidRPr="000B33D4">
        <w:rPr>
          <w:rFonts w:ascii="Times New Roman" w:hAnsi="Times New Roman"/>
          <w:sz w:val="24"/>
        </w:rPr>
        <w:t>a and b are empirical constants determined through logarithmic regression.</w:t>
      </w:r>
    </w:p>
    <w:p w14:paraId="424C5CE1" w14:textId="77777777" w:rsidR="004B7805" w:rsidRPr="000B33D4" w:rsidRDefault="004B7805" w:rsidP="004B7805">
      <w:pPr>
        <w:spacing w:after="0" w:line="360" w:lineRule="auto"/>
        <w:jc w:val="both"/>
        <w:rPr>
          <w:rFonts w:ascii="Times New Roman" w:eastAsia="Times New Roman" w:hAnsi="Times New Roman" w:cs="Times New Roman"/>
          <w:sz w:val="24"/>
          <w:szCs w:val="24"/>
        </w:rPr>
      </w:pPr>
      <w:r w:rsidRPr="000B33D4">
        <w:rPr>
          <w:rFonts w:ascii="Times New Roman" w:hAnsi="Times New Roman"/>
          <w:sz w:val="24"/>
        </w:rPr>
        <w:t>t = opportunity time</w:t>
      </w:r>
    </w:p>
    <w:p w14:paraId="06940C44" w14:textId="77777777" w:rsidR="004B7805" w:rsidRPr="000B33D4" w:rsidRDefault="004B7805" w:rsidP="004B7805">
      <w:pPr>
        <w:spacing w:after="160" w:line="360" w:lineRule="auto"/>
        <w:jc w:val="both"/>
        <w:rPr>
          <w:rFonts w:ascii="Times New Roman" w:eastAsia="Times New Roman" w:hAnsi="Times New Roman" w:cs="Times New Roman"/>
          <w:sz w:val="24"/>
          <w:szCs w:val="24"/>
        </w:rPr>
      </w:pPr>
      <w:r w:rsidRPr="000B33D4">
        <w:rPr>
          <w:rFonts w:ascii="Times New Roman" w:hAnsi="Times New Roman"/>
          <w:sz w:val="24"/>
        </w:rPr>
        <w:lastRenderedPageBreak/>
        <w:t>Model accuracy was validated using the coefficient of determination (R²) and root mean square error (RMSE).</w:t>
      </w:r>
    </w:p>
    <w:p w14:paraId="78A74F16" w14:textId="77777777" w:rsidR="004B7805" w:rsidRPr="000B33D4" w:rsidRDefault="004B7805" w:rsidP="004B7805">
      <w:pPr>
        <w:spacing w:after="120" w:line="360" w:lineRule="auto"/>
        <w:jc w:val="both"/>
        <w:rPr>
          <w:rFonts w:ascii="Times New Roman" w:eastAsia="Times New Roman" w:hAnsi="Times New Roman" w:cs="Times New Roman"/>
          <w:b/>
          <w:bCs/>
          <w:sz w:val="24"/>
          <w:szCs w:val="24"/>
        </w:rPr>
      </w:pPr>
      <w:r w:rsidRPr="000B33D4">
        <w:rPr>
          <w:rFonts w:ascii="Times New Roman" w:eastAsia="Times New Roman" w:hAnsi="Times New Roman" w:cs="Times New Roman"/>
          <w:b/>
          <w:bCs/>
          <w:sz w:val="24"/>
          <w:szCs w:val="24"/>
        </w:rPr>
        <w:t>Groundwater Recharge Estimation</w:t>
      </w:r>
    </w:p>
    <w:p w14:paraId="4591FCA6" w14:textId="77777777" w:rsidR="004B7805" w:rsidRPr="000B33D4" w:rsidRDefault="004B7805" w:rsidP="004B7805">
      <w:pPr>
        <w:spacing w:after="160" w:line="360" w:lineRule="auto"/>
        <w:jc w:val="both"/>
        <w:rPr>
          <w:rFonts w:ascii="Times New Roman" w:eastAsia="Times New Roman" w:hAnsi="Times New Roman" w:cs="Times New Roman"/>
          <w:sz w:val="24"/>
          <w:szCs w:val="24"/>
        </w:rPr>
      </w:pPr>
      <w:r w:rsidRPr="000B33D4">
        <w:rPr>
          <w:rFonts w:ascii="Times New Roman" w:hAnsi="Times New Roman"/>
          <w:sz w:val="24"/>
        </w:rPr>
        <w:t>Potential groundwater recharge (R) was estimated using a simplified water-balance equation applied to the upper zone:</w:t>
      </w:r>
    </w:p>
    <w:p w14:paraId="0C963750" w14:textId="77777777" w:rsidR="004B7805" w:rsidRPr="000B33D4" w:rsidRDefault="004B7805" w:rsidP="004B7805">
      <w:pPr>
        <w:spacing w:after="160" w:line="360" w:lineRule="auto"/>
        <w:jc w:val="both"/>
        <w:rPr>
          <w:rFonts w:ascii="Times New Roman" w:eastAsia="Times New Roman" w:hAnsi="Times New Roman" w:cs="Times New Roman"/>
          <w:sz w:val="24"/>
          <w:szCs w:val="24"/>
        </w:rPr>
      </w:pPr>
      <m:oMath>
        <m:r>
          <w:rPr>
            <w:rFonts w:ascii="Cambria Math" w:eastAsia="Times New Roman" w:hAnsi="Cambria Math" w:cs="Times New Roman"/>
            <w:sz w:val="24"/>
            <w:szCs w:val="24"/>
          </w:rPr>
          <m:t>R=P-ET-RO- ∆S</m:t>
        </m:r>
      </m:oMath>
      <w:r w:rsidRPr="000B33D4">
        <w:rPr>
          <w:rFonts w:ascii="Times New Roman" w:eastAsia="Times New Roman" w:hAnsi="Times New Roman" w:cs="Times New Roman"/>
          <w:sz w:val="24"/>
          <w:szCs w:val="24"/>
        </w:rPr>
        <w:t xml:space="preserve">                                       </w:t>
      </w:r>
      <w:r w:rsidRPr="000B33D4">
        <w:rPr>
          <w:rFonts w:ascii="Times New Roman" w:eastAsia="Times New Roman" w:hAnsi="Times New Roman" w:cs="Times New Roman"/>
          <w:sz w:val="24"/>
          <w:szCs w:val="24"/>
        </w:rPr>
        <w:tab/>
      </w:r>
      <w:r w:rsidRPr="000B33D4">
        <w:rPr>
          <w:rFonts w:ascii="Times New Roman" w:eastAsia="Times New Roman" w:hAnsi="Times New Roman" w:cs="Times New Roman"/>
          <w:sz w:val="24"/>
          <w:szCs w:val="24"/>
        </w:rPr>
        <w:tab/>
      </w:r>
      <w:r w:rsidRPr="000B33D4">
        <w:rPr>
          <w:rFonts w:ascii="Times New Roman" w:eastAsia="Times New Roman" w:hAnsi="Times New Roman" w:cs="Times New Roman"/>
          <w:sz w:val="24"/>
          <w:szCs w:val="24"/>
        </w:rPr>
        <w:tab/>
      </w:r>
      <w:r w:rsidR="00B6119C" w:rsidRPr="000B33D4">
        <w:rPr>
          <w:rFonts w:ascii="Times New Roman" w:eastAsia="Times New Roman" w:hAnsi="Times New Roman" w:cs="Times New Roman"/>
          <w:sz w:val="24"/>
          <w:szCs w:val="24"/>
        </w:rPr>
        <w:t>8</w:t>
      </w:r>
    </w:p>
    <w:p w14:paraId="79D4A4B7" w14:textId="77777777" w:rsidR="004B7805" w:rsidRPr="000B33D4" w:rsidRDefault="004B7805" w:rsidP="004B7805">
      <w:pPr>
        <w:spacing w:after="160" w:line="360" w:lineRule="auto"/>
        <w:jc w:val="both"/>
        <w:rPr>
          <w:rFonts w:ascii="Times New Roman" w:eastAsia="Times New Roman" w:hAnsi="Times New Roman" w:cs="Times New Roman"/>
          <w:iCs/>
          <w:sz w:val="24"/>
          <w:szCs w:val="24"/>
        </w:rPr>
      </w:pPr>
      <w:r w:rsidRPr="000B33D4">
        <w:rPr>
          <w:rFonts w:ascii="Times New Roman" w:eastAsia="Times New Roman" w:hAnsi="Times New Roman" w:cs="Times New Roman"/>
          <w:iCs/>
          <w:sz w:val="24"/>
          <w:szCs w:val="24"/>
        </w:rPr>
        <w:t>Where,</w:t>
      </w:r>
    </w:p>
    <w:p w14:paraId="6DC00A92" w14:textId="77777777" w:rsidR="00210355" w:rsidRPr="000B33D4" w:rsidRDefault="004B7805" w:rsidP="004B7805">
      <w:pPr>
        <w:spacing w:after="160" w:line="360" w:lineRule="auto"/>
        <w:jc w:val="both"/>
        <w:rPr>
          <w:rFonts w:ascii="Times New Roman" w:eastAsia="Times New Roman" w:hAnsi="Times New Roman" w:cs="Times New Roman"/>
          <w:iCs/>
          <w:sz w:val="24"/>
          <w:szCs w:val="24"/>
        </w:rPr>
      </w:pPr>
      <w:r w:rsidRPr="000B33D4">
        <w:rPr>
          <w:rFonts w:ascii="Times New Roman" w:hAnsi="Times New Roman"/>
          <w:sz w:val="24"/>
        </w:rPr>
        <w:t>Where P is annual precipitation (2,350 mm used as the baseline), ET is evapotranspiration, RO is surface runoff calculated using the Soil Conservation Service Curve Number (SCS-CN) method modified for local infiltration dynamics, and ΔS is the change in soil moisture storage (assumed negligible over an annual cycle).</w:t>
      </w:r>
    </w:p>
    <w:p w14:paraId="7B627A3F" w14:textId="77777777" w:rsidR="00210355" w:rsidRPr="000B33D4" w:rsidRDefault="00210355" w:rsidP="004B7805">
      <w:pPr>
        <w:spacing w:after="160" w:line="360" w:lineRule="auto"/>
        <w:jc w:val="both"/>
        <w:rPr>
          <w:rFonts w:ascii="Times New Roman" w:eastAsia="Times New Roman" w:hAnsi="Times New Roman" w:cs="Times New Roman"/>
          <w:sz w:val="24"/>
          <w:szCs w:val="24"/>
        </w:rPr>
      </w:pPr>
    </w:p>
    <w:p w14:paraId="0BF8C2CB" w14:textId="77777777" w:rsidR="00FA57F9" w:rsidRPr="000B33D4" w:rsidRDefault="00FA57F9" w:rsidP="00FA57F9">
      <w:pPr>
        <w:spacing w:before="320" w:after="320" w:line="360" w:lineRule="auto"/>
        <w:rPr>
          <w:rFonts w:ascii="Times New Roman" w:eastAsia="Times New Roman" w:hAnsi="Times New Roman" w:cs="Times New Roman"/>
          <w:b/>
          <w:bCs/>
          <w:sz w:val="24"/>
          <w:szCs w:val="24"/>
        </w:rPr>
      </w:pPr>
      <w:r w:rsidRPr="000B33D4">
        <w:rPr>
          <w:rFonts w:ascii="Times New Roman" w:eastAsia="Times New Roman" w:hAnsi="Times New Roman" w:cs="Times New Roman"/>
          <w:b/>
          <w:bCs/>
          <w:sz w:val="24"/>
          <w:szCs w:val="24"/>
        </w:rPr>
        <w:t>3.0</w:t>
      </w:r>
      <w:r w:rsidRPr="000B33D4">
        <w:rPr>
          <w:rFonts w:ascii="Times New Roman" w:eastAsia="Times New Roman" w:hAnsi="Times New Roman" w:cs="Times New Roman"/>
          <w:b/>
          <w:bCs/>
          <w:sz w:val="24"/>
          <w:szCs w:val="24"/>
        </w:rPr>
        <w:tab/>
        <w:t>RESULTS AND DISCUSSION</w:t>
      </w:r>
    </w:p>
    <w:p w14:paraId="61559B9E" w14:textId="77777777" w:rsidR="00210355" w:rsidRPr="000B33D4" w:rsidRDefault="00210355" w:rsidP="00210355">
      <w:pPr>
        <w:spacing w:before="320" w:after="320" w:line="360" w:lineRule="auto"/>
        <w:rPr>
          <w:rFonts w:ascii="Times New Roman" w:eastAsia="Times New Roman" w:hAnsi="Times New Roman" w:cs="Times New Roman"/>
          <w:sz w:val="24"/>
          <w:szCs w:val="24"/>
        </w:rPr>
      </w:pPr>
      <w:r w:rsidRPr="000B33D4">
        <w:rPr>
          <w:rFonts w:ascii="Times New Roman" w:hAnsi="Times New Roman"/>
          <w:sz w:val="24"/>
        </w:rPr>
        <w:t>The physical characteristics of the soil across the selected land-use types are summarised in Table 1.</w:t>
      </w:r>
    </w:p>
    <w:p w14:paraId="2C3FED3E" w14:textId="77777777" w:rsidR="00210355" w:rsidRPr="000B33D4" w:rsidRDefault="00210355" w:rsidP="00210355">
      <w:pPr>
        <w:spacing w:after="0" w:line="360" w:lineRule="auto"/>
        <w:rPr>
          <w:rFonts w:ascii="Times New Roman" w:eastAsia="Times New Roman" w:hAnsi="Times New Roman" w:cs="Times New Roman"/>
          <w:b/>
          <w:bCs/>
          <w:sz w:val="24"/>
          <w:szCs w:val="24"/>
        </w:rPr>
      </w:pPr>
      <w:r w:rsidRPr="000B33D4">
        <w:rPr>
          <w:rFonts w:ascii="Times New Roman" w:eastAsia="Times New Roman" w:hAnsi="Times New Roman" w:cs="Times New Roman"/>
          <w:b/>
          <w:bCs/>
          <w:sz w:val="24"/>
          <w:szCs w:val="24"/>
        </w:rPr>
        <w:t>Table 1: Soil Physical Properties across Land Use Practices</w:t>
      </w:r>
    </w:p>
    <w:tbl>
      <w:tblPr>
        <w:tblStyle w:val="LightShading1"/>
        <w:tblW w:w="0" w:type="auto"/>
        <w:tblLook w:val="06A0" w:firstRow="1" w:lastRow="0" w:firstColumn="1" w:lastColumn="0" w:noHBand="1" w:noVBand="1"/>
      </w:tblPr>
      <w:tblGrid>
        <w:gridCol w:w="2143"/>
        <w:gridCol w:w="993"/>
        <w:gridCol w:w="851"/>
        <w:gridCol w:w="952"/>
        <w:gridCol w:w="1577"/>
        <w:gridCol w:w="1735"/>
        <w:gridCol w:w="1325"/>
      </w:tblGrid>
      <w:tr w:rsidR="00210355" w:rsidRPr="000B33D4" w14:paraId="4036F07B" w14:textId="77777777" w:rsidTr="00463C1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B7D2C21" w14:textId="77777777" w:rsidR="00210355" w:rsidRPr="000B33D4" w:rsidRDefault="00210355" w:rsidP="00463C15">
            <w:pPr>
              <w:spacing w:line="360" w:lineRule="auto"/>
              <w:rPr>
                <w:rFonts w:ascii="Times New Roman" w:eastAsia="Times New Roman" w:hAnsi="Times New Roman" w:cs="Times New Roman"/>
                <w:b w:val="0"/>
                <w:bCs w:val="0"/>
                <w:sz w:val="24"/>
                <w:szCs w:val="24"/>
              </w:rPr>
            </w:pPr>
            <w:r w:rsidRPr="000B33D4">
              <w:rPr>
                <w:rFonts w:ascii="Times New Roman" w:eastAsia="Times New Roman" w:hAnsi="Times New Roman" w:cs="Times New Roman"/>
                <w:sz w:val="24"/>
                <w:szCs w:val="24"/>
              </w:rPr>
              <w:t>Land Use Type</w:t>
            </w:r>
          </w:p>
        </w:tc>
        <w:tc>
          <w:tcPr>
            <w:tcW w:w="0" w:type="auto"/>
            <w:hideMark/>
          </w:tcPr>
          <w:p w14:paraId="7C12C833" w14:textId="77777777" w:rsidR="00210355" w:rsidRPr="000B33D4" w:rsidRDefault="00210355" w:rsidP="00463C15">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sidRPr="000B33D4">
              <w:rPr>
                <w:rFonts w:ascii="Times New Roman" w:eastAsia="Times New Roman" w:hAnsi="Times New Roman" w:cs="Times New Roman"/>
                <w:sz w:val="24"/>
                <w:szCs w:val="24"/>
              </w:rPr>
              <w:t>Sand (%)</w:t>
            </w:r>
          </w:p>
        </w:tc>
        <w:tc>
          <w:tcPr>
            <w:tcW w:w="0" w:type="auto"/>
            <w:hideMark/>
          </w:tcPr>
          <w:p w14:paraId="7797410A" w14:textId="77777777" w:rsidR="00210355" w:rsidRPr="000B33D4" w:rsidRDefault="00210355" w:rsidP="00463C15">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sidRPr="000B33D4">
              <w:rPr>
                <w:rFonts w:ascii="Times New Roman" w:eastAsia="Times New Roman" w:hAnsi="Times New Roman" w:cs="Times New Roman"/>
                <w:sz w:val="24"/>
                <w:szCs w:val="24"/>
              </w:rPr>
              <w:t>Silt (%)</w:t>
            </w:r>
          </w:p>
        </w:tc>
        <w:tc>
          <w:tcPr>
            <w:tcW w:w="0" w:type="auto"/>
            <w:hideMark/>
          </w:tcPr>
          <w:p w14:paraId="00A707DC" w14:textId="77777777" w:rsidR="00210355" w:rsidRPr="000B33D4" w:rsidRDefault="00210355" w:rsidP="00463C15">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sidRPr="000B33D4">
              <w:rPr>
                <w:rFonts w:ascii="Times New Roman" w:eastAsia="Times New Roman" w:hAnsi="Times New Roman" w:cs="Times New Roman"/>
                <w:sz w:val="24"/>
                <w:szCs w:val="24"/>
              </w:rPr>
              <w:t>Clay (%)</w:t>
            </w:r>
          </w:p>
        </w:tc>
        <w:tc>
          <w:tcPr>
            <w:tcW w:w="0" w:type="auto"/>
            <w:hideMark/>
          </w:tcPr>
          <w:p w14:paraId="22E533B4" w14:textId="77777777" w:rsidR="00210355" w:rsidRPr="000B33D4" w:rsidRDefault="00210355" w:rsidP="00463C15">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sidRPr="000B33D4">
              <w:rPr>
                <w:rFonts w:ascii="Times New Roman" w:eastAsia="Times New Roman" w:hAnsi="Times New Roman" w:cs="Times New Roman"/>
                <w:sz w:val="24"/>
                <w:szCs w:val="24"/>
              </w:rPr>
              <w:t>Textural Class</w:t>
            </w:r>
          </w:p>
        </w:tc>
        <w:tc>
          <w:tcPr>
            <w:tcW w:w="0" w:type="auto"/>
            <w:hideMark/>
          </w:tcPr>
          <w:p w14:paraId="4DFD3D62" w14:textId="77777777" w:rsidR="00210355" w:rsidRPr="000B33D4" w:rsidRDefault="00210355" w:rsidP="00463C15">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sidRPr="000B33D4">
              <w:rPr>
                <w:rFonts w:ascii="Times New Roman" w:eastAsia="Times New Roman" w:hAnsi="Times New Roman" w:cs="Times New Roman"/>
                <w:sz w:val="24"/>
                <w:szCs w:val="24"/>
              </w:rPr>
              <w:t>Bulk Density (g/cm³)</w:t>
            </w:r>
          </w:p>
        </w:tc>
        <w:tc>
          <w:tcPr>
            <w:tcW w:w="0" w:type="auto"/>
            <w:hideMark/>
          </w:tcPr>
          <w:p w14:paraId="0728B867" w14:textId="77777777" w:rsidR="00210355" w:rsidRPr="000B33D4" w:rsidRDefault="00210355" w:rsidP="00463C15">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sidRPr="000B33D4">
              <w:rPr>
                <w:rFonts w:ascii="Times New Roman" w:eastAsia="Times New Roman" w:hAnsi="Times New Roman" w:cs="Times New Roman"/>
                <w:sz w:val="24"/>
                <w:szCs w:val="24"/>
              </w:rPr>
              <w:t>Porosity (%)</w:t>
            </w:r>
          </w:p>
        </w:tc>
      </w:tr>
      <w:tr w:rsidR="00210355" w:rsidRPr="000B33D4" w14:paraId="6E7C008B" w14:textId="77777777" w:rsidTr="00463C15">
        <w:tc>
          <w:tcPr>
            <w:cnfStyle w:val="001000000000" w:firstRow="0" w:lastRow="0" w:firstColumn="1" w:lastColumn="0" w:oddVBand="0" w:evenVBand="0" w:oddHBand="0" w:evenHBand="0" w:firstRowFirstColumn="0" w:firstRowLastColumn="0" w:lastRowFirstColumn="0" w:lastRowLastColumn="0"/>
            <w:tcW w:w="0" w:type="auto"/>
            <w:hideMark/>
          </w:tcPr>
          <w:p w14:paraId="16B466D8" w14:textId="77777777" w:rsidR="00210355" w:rsidRPr="000B33D4" w:rsidRDefault="00210355" w:rsidP="00463C15">
            <w:pPr>
              <w:spacing w:line="360" w:lineRule="auto"/>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Forest Reserve (FR)</w:t>
            </w:r>
          </w:p>
        </w:tc>
        <w:tc>
          <w:tcPr>
            <w:tcW w:w="0" w:type="auto"/>
            <w:hideMark/>
          </w:tcPr>
          <w:p w14:paraId="21DA1CE0" w14:textId="77777777" w:rsidR="00210355" w:rsidRPr="000B33D4"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78.4</w:t>
            </w:r>
          </w:p>
        </w:tc>
        <w:tc>
          <w:tcPr>
            <w:tcW w:w="0" w:type="auto"/>
            <w:hideMark/>
          </w:tcPr>
          <w:p w14:paraId="47927DE3" w14:textId="77777777" w:rsidR="00210355" w:rsidRPr="000B33D4"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12.2</w:t>
            </w:r>
          </w:p>
        </w:tc>
        <w:tc>
          <w:tcPr>
            <w:tcW w:w="0" w:type="auto"/>
            <w:hideMark/>
          </w:tcPr>
          <w:p w14:paraId="59F4565D" w14:textId="77777777" w:rsidR="00210355" w:rsidRPr="000B33D4"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9.4</w:t>
            </w:r>
          </w:p>
        </w:tc>
        <w:tc>
          <w:tcPr>
            <w:tcW w:w="0" w:type="auto"/>
            <w:hideMark/>
          </w:tcPr>
          <w:p w14:paraId="0DA21304" w14:textId="77777777" w:rsidR="00210355" w:rsidRPr="000B33D4"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Sandy Loam</w:t>
            </w:r>
          </w:p>
        </w:tc>
        <w:tc>
          <w:tcPr>
            <w:tcW w:w="0" w:type="auto"/>
            <w:hideMark/>
          </w:tcPr>
          <w:p w14:paraId="1DC04324" w14:textId="77777777" w:rsidR="00210355" w:rsidRPr="000B33D4"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1.28</w:t>
            </w:r>
          </w:p>
        </w:tc>
        <w:tc>
          <w:tcPr>
            <w:tcW w:w="0" w:type="auto"/>
            <w:hideMark/>
          </w:tcPr>
          <w:p w14:paraId="73DC88E0" w14:textId="77777777" w:rsidR="00210355" w:rsidRPr="000B33D4"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51.7</w:t>
            </w:r>
          </w:p>
        </w:tc>
      </w:tr>
      <w:tr w:rsidR="00210355" w:rsidRPr="000B33D4" w14:paraId="09DFD5DC" w14:textId="77777777" w:rsidTr="00463C15">
        <w:tc>
          <w:tcPr>
            <w:cnfStyle w:val="001000000000" w:firstRow="0" w:lastRow="0" w:firstColumn="1" w:lastColumn="0" w:oddVBand="0" w:evenVBand="0" w:oddHBand="0" w:evenHBand="0" w:firstRowFirstColumn="0" w:firstRowLastColumn="0" w:lastRowFirstColumn="0" w:lastRowLastColumn="0"/>
            <w:tcW w:w="0" w:type="auto"/>
            <w:hideMark/>
          </w:tcPr>
          <w:p w14:paraId="262DC869" w14:textId="77777777" w:rsidR="00210355" w:rsidRPr="000B33D4" w:rsidRDefault="00210355" w:rsidP="00463C15">
            <w:pPr>
              <w:spacing w:line="360" w:lineRule="auto"/>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Agricultural Land (AL)</w:t>
            </w:r>
          </w:p>
        </w:tc>
        <w:tc>
          <w:tcPr>
            <w:tcW w:w="0" w:type="auto"/>
            <w:hideMark/>
          </w:tcPr>
          <w:p w14:paraId="456E3DFC" w14:textId="77777777" w:rsidR="00210355" w:rsidRPr="000B33D4"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76.1</w:t>
            </w:r>
          </w:p>
        </w:tc>
        <w:tc>
          <w:tcPr>
            <w:tcW w:w="0" w:type="auto"/>
            <w:hideMark/>
          </w:tcPr>
          <w:p w14:paraId="314CBE38" w14:textId="77777777" w:rsidR="00210355" w:rsidRPr="000B33D4"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13.5</w:t>
            </w:r>
          </w:p>
        </w:tc>
        <w:tc>
          <w:tcPr>
            <w:tcW w:w="0" w:type="auto"/>
            <w:hideMark/>
          </w:tcPr>
          <w:p w14:paraId="682A43BB" w14:textId="77777777" w:rsidR="00210355" w:rsidRPr="000B33D4"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10.4</w:t>
            </w:r>
          </w:p>
        </w:tc>
        <w:tc>
          <w:tcPr>
            <w:tcW w:w="0" w:type="auto"/>
            <w:hideMark/>
          </w:tcPr>
          <w:p w14:paraId="38755186" w14:textId="77777777" w:rsidR="00210355" w:rsidRPr="000B33D4"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Sandy Loam</w:t>
            </w:r>
          </w:p>
        </w:tc>
        <w:tc>
          <w:tcPr>
            <w:tcW w:w="0" w:type="auto"/>
            <w:hideMark/>
          </w:tcPr>
          <w:p w14:paraId="07C54D70" w14:textId="77777777" w:rsidR="00210355" w:rsidRPr="000B33D4"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1.42</w:t>
            </w:r>
          </w:p>
        </w:tc>
        <w:tc>
          <w:tcPr>
            <w:tcW w:w="0" w:type="auto"/>
            <w:hideMark/>
          </w:tcPr>
          <w:p w14:paraId="3738674D" w14:textId="77777777" w:rsidR="00210355" w:rsidRPr="000B33D4"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46.4</w:t>
            </w:r>
          </w:p>
        </w:tc>
      </w:tr>
      <w:tr w:rsidR="00210355" w:rsidRPr="000B33D4" w14:paraId="39646308" w14:textId="77777777" w:rsidTr="00463C15">
        <w:tc>
          <w:tcPr>
            <w:cnfStyle w:val="001000000000" w:firstRow="0" w:lastRow="0" w:firstColumn="1" w:lastColumn="0" w:oddVBand="0" w:evenVBand="0" w:oddHBand="0" w:evenHBand="0" w:firstRowFirstColumn="0" w:firstRowLastColumn="0" w:lastRowFirstColumn="0" w:lastRowLastColumn="0"/>
            <w:tcW w:w="0" w:type="auto"/>
            <w:hideMark/>
          </w:tcPr>
          <w:p w14:paraId="6B1C0713" w14:textId="77777777" w:rsidR="00210355" w:rsidRPr="000B33D4" w:rsidRDefault="00210355" w:rsidP="00463C15">
            <w:pPr>
              <w:spacing w:line="360" w:lineRule="auto"/>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Bare Soil (BS)</w:t>
            </w:r>
          </w:p>
        </w:tc>
        <w:tc>
          <w:tcPr>
            <w:tcW w:w="0" w:type="auto"/>
            <w:hideMark/>
          </w:tcPr>
          <w:p w14:paraId="2D485FE9" w14:textId="77777777" w:rsidR="00210355" w:rsidRPr="000B33D4"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79.0</w:t>
            </w:r>
          </w:p>
        </w:tc>
        <w:tc>
          <w:tcPr>
            <w:tcW w:w="0" w:type="auto"/>
            <w:hideMark/>
          </w:tcPr>
          <w:p w14:paraId="4C9438CC" w14:textId="77777777" w:rsidR="00210355" w:rsidRPr="000B33D4"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11.0</w:t>
            </w:r>
          </w:p>
        </w:tc>
        <w:tc>
          <w:tcPr>
            <w:tcW w:w="0" w:type="auto"/>
            <w:hideMark/>
          </w:tcPr>
          <w:p w14:paraId="6D53CB10" w14:textId="77777777" w:rsidR="00210355" w:rsidRPr="000B33D4"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10.0</w:t>
            </w:r>
          </w:p>
        </w:tc>
        <w:tc>
          <w:tcPr>
            <w:tcW w:w="0" w:type="auto"/>
            <w:hideMark/>
          </w:tcPr>
          <w:p w14:paraId="42A226AA" w14:textId="77777777" w:rsidR="00210355" w:rsidRPr="000B33D4"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Sandy Loam</w:t>
            </w:r>
          </w:p>
        </w:tc>
        <w:tc>
          <w:tcPr>
            <w:tcW w:w="0" w:type="auto"/>
            <w:hideMark/>
          </w:tcPr>
          <w:p w14:paraId="61B2195A" w14:textId="77777777" w:rsidR="00210355" w:rsidRPr="000B33D4"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1.55</w:t>
            </w:r>
          </w:p>
        </w:tc>
        <w:tc>
          <w:tcPr>
            <w:tcW w:w="0" w:type="auto"/>
            <w:hideMark/>
          </w:tcPr>
          <w:p w14:paraId="08838A7C" w14:textId="77777777" w:rsidR="00210355" w:rsidRPr="000B33D4"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41.5</w:t>
            </w:r>
          </w:p>
        </w:tc>
      </w:tr>
      <w:tr w:rsidR="00210355" w:rsidRPr="000B33D4" w14:paraId="5AEBE2B2" w14:textId="77777777" w:rsidTr="00463C15">
        <w:tc>
          <w:tcPr>
            <w:cnfStyle w:val="001000000000" w:firstRow="0" w:lastRow="0" w:firstColumn="1" w:lastColumn="0" w:oddVBand="0" w:evenVBand="0" w:oddHBand="0" w:evenHBand="0" w:firstRowFirstColumn="0" w:firstRowLastColumn="0" w:lastRowFirstColumn="0" w:lastRowLastColumn="0"/>
            <w:tcW w:w="0" w:type="auto"/>
            <w:hideMark/>
          </w:tcPr>
          <w:p w14:paraId="5B37F548" w14:textId="77777777" w:rsidR="00210355" w:rsidRPr="000B33D4" w:rsidRDefault="00210355" w:rsidP="00463C15">
            <w:pPr>
              <w:spacing w:line="360" w:lineRule="auto"/>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Built-up Area (BA)</w:t>
            </w:r>
          </w:p>
        </w:tc>
        <w:tc>
          <w:tcPr>
            <w:tcW w:w="0" w:type="auto"/>
            <w:hideMark/>
          </w:tcPr>
          <w:p w14:paraId="0CC9C106" w14:textId="77777777" w:rsidR="00210355" w:rsidRPr="000B33D4"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74.8</w:t>
            </w:r>
          </w:p>
        </w:tc>
        <w:tc>
          <w:tcPr>
            <w:tcW w:w="0" w:type="auto"/>
            <w:hideMark/>
          </w:tcPr>
          <w:p w14:paraId="32FEABF1" w14:textId="77777777" w:rsidR="00210355" w:rsidRPr="000B33D4"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13.2</w:t>
            </w:r>
          </w:p>
        </w:tc>
        <w:tc>
          <w:tcPr>
            <w:tcW w:w="0" w:type="auto"/>
            <w:hideMark/>
          </w:tcPr>
          <w:p w14:paraId="6F170F32" w14:textId="77777777" w:rsidR="00210355" w:rsidRPr="000B33D4"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12.0</w:t>
            </w:r>
          </w:p>
        </w:tc>
        <w:tc>
          <w:tcPr>
            <w:tcW w:w="0" w:type="auto"/>
            <w:hideMark/>
          </w:tcPr>
          <w:p w14:paraId="62AED86A" w14:textId="77777777" w:rsidR="00210355" w:rsidRPr="000B33D4"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Sandy Clay Loam</w:t>
            </w:r>
          </w:p>
        </w:tc>
        <w:tc>
          <w:tcPr>
            <w:tcW w:w="0" w:type="auto"/>
            <w:hideMark/>
          </w:tcPr>
          <w:p w14:paraId="68B14009" w14:textId="77777777" w:rsidR="00210355" w:rsidRPr="000B33D4"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1.68</w:t>
            </w:r>
          </w:p>
        </w:tc>
        <w:tc>
          <w:tcPr>
            <w:tcW w:w="0" w:type="auto"/>
            <w:hideMark/>
          </w:tcPr>
          <w:p w14:paraId="72F277D4" w14:textId="77777777" w:rsidR="00210355" w:rsidRPr="000B33D4"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36.6</w:t>
            </w:r>
          </w:p>
        </w:tc>
      </w:tr>
    </w:tbl>
    <w:p w14:paraId="2664A90C" w14:textId="77777777" w:rsidR="00210355" w:rsidRPr="000B33D4" w:rsidRDefault="00210355" w:rsidP="00210355">
      <w:pPr>
        <w:spacing w:after="0" w:line="360" w:lineRule="auto"/>
        <w:jc w:val="both"/>
        <w:rPr>
          <w:rFonts w:ascii="Times New Roman" w:eastAsia="Times New Roman" w:hAnsi="Times New Roman" w:cs="Times New Roman"/>
          <w:sz w:val="24"/>
          <w:szCs w:val="24"/>
        </w:rPr>
      </w:pPr>
    </w:p>
    <w:p w14:paraId="7EB5F7CA" w14:textId="77777777" w:rsidR="00210355" w:rsidRPr="000B33D4" w:rsidRDefault="00210355" w:rsidP="00210355">
      <w:pPr>
        <w:spacing w:after="0" w:line="360" w:lineRule="auto"/>
        <w:jc w:val="both"/>
        <w:rPr>
          <w:rFonts w:ascii="Times New Roman" w:eastAsia="Times New Roman" w:hAnsi="Times New Roman" w:cs="Times New Roman"/>
          <w:sz w:val="24"/>
          <w:szCs w:val="24"/>
        </w:rPr>
      </w:pPr>
      <w:r w:rsidRPr="000B33D4">
        <w:rPr>
          <w:rFonts w:ascii="Times New Roman" w:hAnsi="Times New Roman"/>
          <w:sz w:val="24"/>
        </w:rPr>
        <w:lastRenderedPageBreak/>
        <w:t>Heavy soil compaction is evident in the Built-up Area, indicated by a high bulk density (1.68 g/cm³) and lower total porosity (36.6%), which restricts downward water movement. Similar observations have been reported by Gregory et al. (2006), who noted that urbanisation substantially alters soil structure, reducing infiltration capacity and increasing surface runoff. The Forest Reserve recorded the lowest bulk density (1.28 g/cm</w:t>
      </w:r>
      <w:r w:rsidRPr="000B33D4">
        <w:rPr>
          <w:rFonts w:ascii="Times New Roman" w:hAnsi="Times New Roman"/>
          <w:sz w:val="24"/>
          <w:vertAlign w:val="superscript"/>
        </w:rPr>
        <w:t>3</w:t>
      </w:r>
      <w:r w:rsidRPr="000B33D4">
        <w:rPr>
          <w:rFonts w:ascii="Times New Roman" w:hAnsi="Times New Roman"/>
          <w:sz w:val="24"/>
        </w:rPr>
        <w:t>), indicating minimal soil compaction. Consequently, the Forest Reserve exhibited the highest porosity (51.7%) and had a sandy loam textural class, which improves soil aggregation and soil-pore continuity, thereby enhancing infiltration and groundwater recharge (Brady &amp; Weil, 2017).</w:t>
      </w:r>
    </w:p>
    <w:p w14:paraId="25EFF6B2" w14:textId="77777777" w:rsidR="00463C15" w:rsidRPr="000B33D4" w:rsidRDefault="00210355" w:rsidP="00210355">
      <w:pPr>
        <w:spacing w:before="320" w:after="320" w:line="360" w:lineRule="auto"/>
        <w:rPr>
          <w:rFonts w:ascii="Times New Roman" w:eastAsia="Times New Roman" w:hAnsi="Times New Roman" w:cs="Times New Roman"/>
          <w:sz w:val="24"/>
          <w:szCs w:val="24"/>
        </w:rPr>
      </w:pPr>
      <w:r w:rsidRPr="000B33D4">
        <w:rPr>
          <w:rFonts w:ascii="Times New Roman" w:hAnsi="Times New Roman"/>
          <w:sz w:val="24"/>
        </w:rPr>
        <w:t>Agricultural Land showed intermediate characteristics because repeated tillage and agricultural machinery slightly increased soil compaction while reducing organic matter over time (Lal &amp; Shukla, 2004). However, Bare Soil recorded the highest percentage of sand composition in this study. The soils are predominantly sandy loams.</w:t>
      </w:r>
    </w:p>
    <w:p w14:paraId="01D7DD50" w14:textId="77777777" w:rsidR="00210355" w:rsidRPr="000B33D4" w:rsidRDefault="00463C15" w:rsidP="00210355">
      <w:pPr>
        <w:spacing w:before="320" w:after="320" w:line="360" w:lineRule="auto"/>
        <w:rPr>
          <w:rFonts w:ascii="Times New Roman" w:eastAsia="Times New Roman" w:hAnsi="Times New Roman" w:cs="Times New Roman"/>
          <w:b/>
          <w:bCs/>
          <w:sz w:val="24"/>
          <w:szCs w:val="24"/>
        </w:rPr>
      </w:pPr>
      <w:r w:rsidRPr="000B33D4">
        <w:rPr>
          <w:rFonts w:ascii="Times New Roman" w:eastAsia="Times New Roman" w:hAnsi="Times New Roman" w:cs="Times New Roman"/>
          <w:b/>
          <w:bCs/>
          <w:sz w:val="24"/>
          <w:szCs w:val="24"/>
        </w:rPr>
        <w:t>3.1</w:t>
      </w:r>
      <w:r w:rsidRPr="000B33D4">
        <w:rPr>
          <w:rFonts w:ascii="Times New Roman" w:eastAsia="Times New Roman" w:hAnsi="Times New Roman" w:cs="Times New Roman"/>
          <w:b/>
          <w:bCs/>
          <w:sz w:val="24"/>
          <w:szCs w:val="24"/>
        </w:rPr>
        <w:tab/>
      </w:r>
      <w:r w:rsidR="00210355" w:rsidRPr="000B33D4">
        <w:rPr>
          <w:rFonts w:ascii="Times New Roman" w:eastAsia="Times New Roman" w:hAnsi="Times New Roman" w:cs="Times New Roman"/>
          <w:b/>
          <w:bCs/>
          <w:sz w:val="24"/>
          <w:szCs w:val="24"/>
        </w:rPr>
        <w:t xml:space="preserve"> Infiltration Characteristics</w:t>
      </w:r>
    </w:p>
    <w:p w14:paraId="515206F3" w14:textId="77777777" w:rsidR="00210355" w:rsidRPr="000B33D4" w:rsidRDefault="00210355" w:rsidP="00210355">
      <w:pPr>
        <w:spacing w:before="320" w:after="320" w:line="360" w:lineRule="auto"/>
        <w:rPr>
          <w:rFonts w:ascii="Times New Roman" w:eastAsia="Times New Roman" w:hAnsi="Times New Roman" w:cs="Times New Roman"/>
          <w:sz w:val="24"/>
          <w:szCs w:val="24"/>
        </w:rPr>
      </w:pPr>
      <w:r w:rsidRPr="000B33D4">
        <w:rPr>
          <w:rFonts w:ascii="Times New Roman" w:hAnsi="Times New Roman"/>
          <w:sz w:val="24"/>
        </w:rPr>
        <w:t>The measured initial (f₀) and steady-state (fc) infiltration rates varied significantly across the land-use practices (Table 2).</w:t>
      </w:r>
    </w:p>
    <w:p w14:paraId="52E17DA8" w14:textId="77777777" w:rsidR="00210355" w:rsidRPr="000B33D4" w:rsidRDefault="00210355" w:rsidP="00210355">
      <w:pPr>
        <w:spacing w:before="320" w:after="320" w:line="360" w:lineRule="auto"/>
        <w:rPr>
          <w:rFonts w:ascii="Times New Roman" w:eastAsia="Times New Roman" w:hAnsi="Times New Roman" w:cs="Times New Roman"/>
          <w:b/>
          <w:bCs/>
          <w:sz w:val="24"/>
          <w:szCs w:val="24"/>
        </w:rPr>
      </w:pPr>
      <w:r w:rsidRPr="000B33D4">
        <w:rPr>
          <w:rFonts w:ascii="Times New Roman" w:eastAsia="Times New Roman" w:hAnsi="Times New Roman" w:cs="Times New Roman"/>
          <w:b/>
          <w:bCs/>
          <w:sz w:val="24"/>
          <w:szCs w:val="24"/>
        </w:rPr>
        <w:t>Table 2: Measured Field Infiltration Rates</w:t>
      </w:r>
    </w:p>
    <w:tbl>
      <w:tblPr>
        <w:tblStyle w:val="LightShading1"/>
        <w:tblW w:w="0" w:type="auto"/>
        <w:tblLook w:val="06A0" w:firstRow="1" w:lastRow="0" w:firstColumn="1" w:lastColumn="0" w:noHBand="1" w:noVBand="1"/>
      </w:tblPr>
      <w:tblGrid>
        <w:gridCol w:w="2087"/>
        <w:gridCol w:w="2598"/>
        <w:gridCol w:w="2936"/>
        <w:gridCol w:w="1955"/>
      </w:tblGrid>
      <w:tr w:rsidR="00210355" w:rsidRPr="000B33D4" w14:paraId="56AE0885" w14:textId="77777777" w:rsidTr="00463C1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F9E7DA9" w14:textId="77777777" w:rsidR="00210355" w:rsidRPr="000B33D4" w:rsidRDefault="00210355" w:rsidP="00463C15">
            <w:pPr>
              <w:spacing w:line="360" w:lineRule="auto"/>
              <w:rPr>
                <w:rFonts w:ascii="Times New Roman" w:eastAsia="Times New Roman" w:hAnsi="Times New Roman" w:cs="Times New Roman"/>
                <w:b w:val="0"/>
                <w:bCs w:val="0"/>
                <w:sz w:val="24"/>
                <w:szCs w:val="24"/>
              </w:rPr>
            </w:pPr>
            <w:r w:rsidRPr="000B33D4">
              <w:rPr>
                <w:rFonts w:ascii="Times New Roman" w:eastAsia="Times New Roman" w:hAnsi="Times New Roman" w:cs="Times New Roman"/>
                <w:sz w:val="24"/>
                <w:szCs w:val="24"/>
              </w:rPr>
              <w:t>Land Use Type</w:t>
            </w:r>
          </w:p>
        </w:tc>
        <w:tc>
          <w:tcPr>
            <w:tcW w:w="0" w:type="auto"/>
            <w:hideMark/>
          </w:tcPr>
          <w:p w14:paraId="6E4777E3" w14:textId="77777777" w:rsidR="00210355" w:rsidRPr="000B33D4" w:rsidRDefault="00210355" w:rsidP="00463C15">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sidRPr="000B33D4">
              <w:rPr>
                <w:rFonts w:ascii="Times New Roman" w:eastAsia="Times New Roman" w:hAnsi="Times New Roman" w:cs="Times New Roman"/>
                <w:sz w:val="24"/>
                <w:szCs w:val="24"/>
              </w:rPr>
              <w:t>Initial Infiltration Rate, f₀ (mm/</w:t>
            </w:r>
            <w:proofErr w:type="spellStart"/>
            <w:r w:rsidRPr="000B33D4">
              <w:rPr>
                <w:rFonts w:ascii="Times New Roman" w:eastAsia="Times New Roman" w:hAnsi="Times New Roman" w:cs="Times New Roman"/>
                <w:sz w:val="24"/>
                <w:szCs w:val="24"/>
              </w:rPr>
              <w:t>hr</w:t>
            </w:r>
            <w:proofErr w:type="spellEnd"/>
            <w:r w:rsidRPr="000B33D4">
              <w:rPr>
                <w:rFonts w:ascii="Times New Roman" w:eastAsia="Times New Roman" w:hAnsi="Times New Roman" w:cs="Times New Roman"/>
                <w:sz w:val="24"/>
                <w:szCs w:val="24"/>
              </w:rPr>
              <w:t>)</w:t>
            </w:r>
          </w:p>
        </w:tc>
        <w:tc>
          <w:tcPr>
            <w:tcW w:w="0" w:type="auto"/>
            <w:hideMark/>
          </w:tcPr>
          <w:p w14:paraId="46CF21D8" w14:textId="77777777" w:rsidR="00210355" w:rsidRPr="000B33D4" w:rsidRDefault="00210355" w:rsidP="00463C15">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sidRPr="000B33D4">
              <w:rPr>
                <w:rFonts w:ascii="Times New Roman" w:eastAsia="Times New Roman" w:hAnsi="Times New Roman" w:cs="Times New Roman"/>
                <w:sz w:val="24"/>
                <w:szCs w:val="24"/>
              </w:rPr>
              <w:t>Steady-State Infiltration Rate, f</w:t>
            </w:r>
            <w:r w:rsidRPr="000B33D4">
              <w:rPr>
                <w:rFonts w:ascii="Times New Roman" w:eastAsia="Times New Roman" w:hAnsi="Times New Roman" w:cs="Times New Roman"/>
                <w:sz w:val="24"/>
                <w:szCs w:val="24"/>
                <w:vertAlign w:val="subscript"/>
              </w:rPr>
              <w:t>c</w:t>
            </w:r>
            <w:r w:rsidRPr="000B33D4">
              <w:rPr>
                <w:rFonts w:ascii="Times New Roman" w:eastAsia="Times New Roman" w:hAnsi="Times New Roman" w:cs="Times New Roman"/>
                <w:sz w:val="24"/>
                <w:szCs w:val="24"/>
              </w:rPr>
              <w:t xml:space="preserve"> (mm/</w:t>
            </w:r>
            <w:proofErr w:type="spellStart"/>
            <w:r w:rsidRPr="000B33D4">
              <w:rPr>
                <w:rFonts w:ascii="Times New Roman" w:eastAsia="Times New Roman" w:hAnsi="Times New Roman" w:cs="Times New Roman"/>
                <w:sz w:val="24"/>
                <w:szCs w:val="24"/>
              </w:rPr>
              <w:t>hr</w:t>
            </w:r>
            <w:proofErr w:type="spellEnd"/>
            <w:r w:rsidRPr="000B33D4">
              <w:rPr>
                <w:rFonts w:ascii="Times New Roman" w:eastAsia="Times New Roman" w:hAnsi="Times New Roman" w:cs="Times New Roman"/>
                <w:sz w:val="24"/>
                <w:szCs w:val="24"/>
              </w:rPr>
              <w:t>)</w:t>
            </w:r>
          </w:p>
        </w:tc>
        <w:tc>
          <w:tcPr>
            <w:tcW w:w="0" w:type="auto"/>
            <w:hideMark/>
          </w:tcPr>
          <w:p w14:paraId="13524858" w14:textId="77777777" w:rsidR="00210355" w:rsidRPr="000B33D4" w:rsidRDefault="00210355" w:rsidP="00463C15">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sidRPr="000B33D4">
              <w:rPr>
                <w:rFonts w:ascii="Times New Roman" w:eastAsia="Times New Roman" w:hAnsi="Times New Roman" w:cs="Times New Roman"/>
                <w:sz w:val="24"/>
                <w:szCs w:val="24"/>
              </w:rPr>
              <w:t>Time to Steady State (min)</w:t>
            </w:r>
          </w:p>
        </w:tc>
      </w:tr>
      <w:tr w:rsidR="00210355" w:rsidRPr="000B33D4" w14:paraId="7B58E7F8" w14:textId="77777777" w:rsidTr="00463C15">
        <w:tc>
          <w:tcPr>
            <w:cnfStyle w:val="001000000000" w:firstRow="0" w:lastRow="0" w:firstColumn="1" w:lastColumn="0" w:oddVBand="0" w:evenVBand="0" w:oddHBand="0" w:evenHBand="0" w:firstRowFirstColumn="0" w:firstRowLastColumn="0" w:lastRowFirstColumn="0" w:lastRowLastColumn="0"/>
            <w:tcW w:w="0" w:type="auto"/>
            <w:hideMark/>
          </w:tcPr>
          <w:p w14:paraId="6D89CB21" w14:textId="77777777" w:rsidR="00210355" w:rsidRPr="000B33D4" w:rsidRDefault="00210355" w:rsidP="00463C15">
            <w:pPr>
              <w:spacing w:line="360" w:lineRule="auto"/>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Forest Reserve (FR)</w:t>
            </w:r>
          </w:p>
        </w:tc>
        <w:tc>
          <w:tcPr>
            <w:tcW w:w="0" w:type="auto"/>
            <w:hideMark/>
          </w:tcPr>
          <w:p w14:paraId="5A4291A5" w14:textId="77777777" w:rsidR="00210355" w:rsidRPr="000B33D4"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420.5</w:t>
            </w:r>
          </w:p>
        </w:tc>
        <w:tc>
          <w:tcPr>
            <w:tcW w:w="0" w:type="auto"/>
            <w:hideMark/>
          </w:tcPr>
          <w:p w14:paraId="46DA4D12" w14:textId="77777777" w:rsidR="00210355" w:rsidRPr="000B33D4"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184.5</w:t>
            </w:r>
          </w:p>
        </w:tc>
        <w:tc>
          <w:tcPr>
            <w:tcW w:w="0" w:type="auto"/>
            <w:hideMark/>
          </w:tcPr>
          <w:p w14:paraId="3FCB751E" w14:textId="77777777" w:rsidR="00210355" w:rsidRPr="000B33D4"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60</w:t>
            </w:r>
          </w:p>
        </w:tc>
      </w:tr>
      <w:tr w:rsidR="00210355" w:rsidRPr="000B33D4" w14:paraId="05DFFD48" w14:textId="77777777" w:rsidTr="00463C15">
        <w:tc>
          <w:tcPr>
            <w:cnfStyle w:val="001000000000" w:firstRow="0" w:lastRow="0" w:firstColumn="1" w:lastColumn="0" w:oddVBand="0" w:evenVBand="0" w:oddHBand="0" w:evenHBand="0" w:firstRowFirstColumn="0" w:firstRowLastColumn="0" w:lastRowFirstColumn="0" w:lastRowLastColumn="0"/>
            <w:tcW w:w="0" w:type="auto"/>
            <w:hideMark/>
          </w:tcPr>
          <w:p w14:paraId="1CC820C3" w14:textId="77777777" w:rsidR="00210355" w:rsidRPr="000B33D4" w:rsidRDefault="00210355" w:rsidP="00463C15">
            <w:pPr>
              <w:spacing w:line="360" w:lineRule="auto"/>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Agricultural Land (AL)</w:t>
            </w:r>
          </w:p>
        </w:tc>
        <w:tc>
          <w:tcPr>
            <w:tcW w:w="0" w:type="auto"/>
            <w:hideMark/>
          </w:tcPr>
          <w:p w14:paraId="449DA27F" w14:textId="77777777" w:rsidR="00210355" w:rsidRPr="000B33D4"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295.0</w:t>
            </w:r>
          </w:p>
        </w:tc>
        <w:tc>
          <w:tcPr>
            <w:tcW w:w="0" w:type="auto"/>
            <w:hideMark/>
          </w:tcPr>
          <w:p w14:paraId="6E6FAAD1" w14:textId="77777777" w:rsidR="00210355" w:rsidRPr="000B33D4"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112.3</w:t>
            </w:r>
          </w:p>
        </w:tc>
        <w:tc>
          <w:tcPr>
            <w:tcW w:w="0" w:type="auto"/>
            <w:hideMark/>
          </w:tcPr>
          <w:p w14:paraId="4CF8F51B" w14:textId="77777777" w:rsidR="00210355" w:rsidRPr="000B33D4"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75</w:t>
            </w:r>
          </w:p>
        </w:tc>
      </w:tr>
      <w:tr w:rsidR="00210355" w:rsidRPr="000B33D4" w14:paraId="7CC3BC51" w14:textId="77777777" w:rsidTr="00463C15">
        <w:tc>
          <w:tcPr>
            <w:cnfStyle w:val="001000000000" w:firstRow="0" w:lastRow="0" w:firstColumn="1" w:lastColumn="0" w:oddVBand="0" w:evenVBand="0" w:oddHBand="0" w:evenHBand="0" w:firstRowFirstColumn="0" w:firstRowLastColumn="0" w:lastRowFirstColumn="0" w:lastRowLastColumn="0"/>
            <w:tcW w:w="0" w:type="auto"/>
            <w:hideMark/>
          </w:tcPr>
          <w:p w14:paraId="7D0458EB" w14:textId="77777777" w:rsidR="00210355" w:rsidRPr="000B33D4" w:rsidRDefault="00210355" w:rsidP="00463C15">
            <w:pPr>
              <w:spacing w:line="360" w:lineRule="auto"/>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Bare Soil (BS)</w:t>
            </w:r>
          </w:p>
        </w:tc>
        <w:tc>
          <w:tcPr>
            <w:tcW w:w="0" w:type="auto"/>
            <w:hideMark/>
          </w:tcPr>
          <w:p w14:paraId="2AD41E31" w14:textId="77777777" w:rsidR="00210355" w:rsidRPr="000B33D4"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140.2</w:t>
            </w:r>
          </w:p>
        </w:tc>
        <w:tc>
          <w:tcPr>
            <w:tcW w:w="0" w:type="auto"/>
            <w:hideMark/>
          </w:tcPr>
          <w:p w14:paraId="26970A28" w14:textId="77777777" w:rsidR="00210355" w:rsidRPr="000B33D4"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45.2</w:t>
            </w:r>
          </w:p>
        </w:tc>
        <w:tc>
          <w:tcPr>
            <w:tcW w:w="0" w:type="auto"/>
            <w:hideMark/>
          </w:tcPr>
          <w:p w14:paraId="0B6D5788" w14:textId="77777777" w:rsidR="00210355" w:rsidRPr="000B33D4"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90</w:t>
            </w:r>
          </w:p>
        </w:tc>
      </w:tr>
      <w:tr w:rsidR="00210355" w:rsidRPr="000B33D4" w14:paraId="61E18D97" w14:textId="77777777" w:rsidTr="00463C15">
        <w:tc>
          <w:tcPr>
            <w:cnfStyle w:val="001000000000" w:firstRow="0" w:lastRow="0" w:firstColumn="1" w:lastColumn="0" w:oddVBand="0" w:evenVBand="0" w:oddHBand="0" w:evenHBand="0" w:firstRowFirstColumn="0" w:firstRowLastColumn="0" w:lastRowFirstColumn="0" w:lastRowLastColumn="0"/>
            <w:tcW w:w="0" w:type="auto"/>
            <w:hideMark/>
          </w:tcPr>
          <w:p w14:paraId="7C1C6D4D" w14:textId="77777777" w:rsidR="00210355" w:rsidRPr="000B33D4" w:rsidRDefault="00210355" w:rsidP="00463C15">
            <w:pPr>
              <w:spacing w:line="360" w:lineRule="auto"/>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Built-up Area (BA)</w:t>
            </w:r>
          </w:p>
        </w:tc>
        <w:tc>
          <w:tcPr>
            <w:tcW w:w="0" w:type="auto"/>
            <w:hideMark/>
          </w:tcPr>
          <w:p w14:paraId="699A292B" w14:textId="77777777" w:rsidR="00210355" w:rsidRPr="000B33D4"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48.6</w:t>
            </w:r>
          </w:p>
        </w:tc>
        <w:tc>
          <w:tcPr>
            <w:tcW w:w="0" w:type="auto"/>
            <w:hideMark/>
          </w:tcPr>
          <w:p w14:paraId="5A2A3CBF" w14:textId="77777777" w:rsidR="00210355" w:rsidRPr="000B33D4"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12.1</w:t>
            </w:r>
          </w:p>
        </w:tc>
        <w:tc>
          <w:tcPr>
            <w:tcW w:w="0" w:type="auto"/>
            <w:hideMark/>
          </w:tcPr>
          <w:p w14:paraId="21695B55" w14:textId="77777777" w:rsidR="00210355" w:rsidRPr="000B33D4"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45</w:t>
            </w:r>
          </w:p>
        </w:tc>
      </w:tr>
    </w:tbl>
    <w:p w14:paraId="2501BF29" w14:textId="77777777" w:rsidR="00463C15" w:rsidRPr="000B33D4" w:rsidRDefault="00210355" w:rsidP="00210355">
      <w:pPr>
        <w:spacing w:before="320" w:after="320" w:line="360" w:lineRule="auto"/>
        <w:jc w:val="both"/>
        <w:rPr>
          <w:rFonts w:ascii="Times New Roman" w:hAnsi="Times New Roman" w:cs="Times New Roman"/>
          <w:sz w:val="24"/>
          <w:szCs w:val="24"/>
        </w:rPr>
      </w:pPr>
      <w:r w:rsidRPr="000B33D4">
        <w:rPr>
          <w:rFonts w:ascii="Times New Roman" w:hAnsi="Times New Roman"/>
          <w:sz w:val="24"/>
        </w:rPr>
        <w:lastRenderedPageBreak/>
        <w:t xml:space="preserve">Infiltration rates decreased progressively with increasing infiltration time across all land-use types, reflecting the typical infiltration behaviour described by Duruanyim, Okorafor, </w:t>
      </w:r>
      <w:r w:rsidRPr="000B33D4">
        <w:rPr>
          <w:rFonts w:ascii="Times New Roman" w:hAnsi="Times New Roman"/>
          <w:i/>
          <w:sz w:val="24"/>
        </w:rPr>
        <w:t>et al.</w:t>
      </w:r>
      <w:r w:rsidRPr="000B33D4">
        <w:rPr>
          <w:rFonts w:ascii="Times New Roman" w:hAnsi="Times New Roman"/>
          <w:sz w:val="24"/>
        </w:rPr>
        <w:t xml:space="preserve"> (2025). The Forest Reserve displayed the highest infiltration capacity because of abundant macropores created by root channels and organic matter (Bonell &amp; Bruijnzeel, 2005). In the same vein, Agricultural Land showed moderate infiltration rates because of soil disturbance arising from cultivation practices, while the Built-up Area (12.1 mm/hr) exhibited the lowest infiltration rate because impervious surfaces and soil compaction restricted water entry into the soil profile. This resulted in a severe reduction in steady-state infiltration caused by artificial surface sealing and heavy mechanical compaction of exposed surfaces. Similar findings have been reported by Dunne and Leopold (1978), Rawls </w:t>
      </w:r>
      <w:r w:rsidRPr="000B33D4">
        <w:rPr>
          <w:rFonts w:ascii="Times New Roman" w:hAnsi="Times New Roman"/>
          <w:i/>
          <w:sz w:val="24"/>
        </w:rPr>
        <w:t>et al.</w:t>
      </w:r>
      <w:r w:rsidRPr="000B33D4">
        <w:rPr>
          <w:rFonts w:ascii="Times New Roman" w:hAnsi="Times New Roman"/>
          <w:sz w:val="24"/>
        </w:rPr>
        <w:t xml:space="preserve"> (1993), and Beven (2012), who concluded that infiltration decreases significantly with increasing urban development.</w:t>
      </w:r>
    </w:p>
    <w:p w14:paraId="4F0F518C" w14:textId="77777777" w:rsidR="00210355" w:rsidRPr="000B33D4" w:rsidRDefault="00210355" w:rsidP="00210355">
      <w:pPr>
        <w:spacing w:before="320" w:after="320" w:line="360" w:lineRule="auto"/>
        <w:rPr>
          <w:rFonts w:ascii="Times New Roman" w:eastAsia="Times New Roman" w:hAnsi="Times New Roman" w:cs="Times New Roman"/>
          <w:b/>
          <w:sz w:val="24"/>
          <w:szCs w:val="24"/>
        </w:rPr>
      </w:pPr>
      <w:r w:rsidRPr="000B33D4">
        <w:rPr>
          <w:rFonts w:ascii="Times New Roman" w:eastAsia="Times New Roman" w:hAnsi="Times New Roman" w:cs="Times New Roman"/>
          <w:b/>
          <w:sz w:val="24"/>
          <w:szCs w:val="24"/>
        </w:rPr>
        <w:t>Table 3: Hydraulic Conductivity</w:t>
      </w:r>
    </w:p>
    <w:tbl>
      <w:tblPr>
        <w:tblStyle w:val="LightShading1"/>
        <w:tblW w:w="0" w:type="auto"/>
        <w:tblLook w:val="06A0" w:firstRow="1" w:lastRow="0" w:firstColumn="1" w:lastColumn="0" w:noHBand="1" w:noVBand="1"/>
      </w:tblPr>
      <w:tblGrid>
        <w:gridCol w:w="2657"/>
        <w:gridCol w:w="4130"/>
      </w:tblGrid>
      <w:tr w:rsidR="00210355" w:rsidRPr="000B33D4" w14:paraId="7B655879" w14:textId="77777777" w:rsidTr="00463C1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9B856E8" w14:textId="77777777" w:rsidR="00210355" w:rsidRPr="000B33D4" w:rsidRDefault="00210355" w:rsidP="00463C15">
            <w:pPr>
              <w:spacing w:line="360" w:lineRule="auto"/>
              <w:jc w:val="center"/>
              <w:rPr>
                <w:rFonts w:ascii="Times New Roman" w:hAnsi="Times New Roman" w:cs="Times New Roman"/>
                <w:b w:val="0"/>
                <w:bCs w:val="0"/>
                <w:sz w:val="24"/>
                <w:szCs w:val="24"/>
              </w:rPr>
            </w:pPr>
            <w:r w:rsidRPr="000B33D4">
              <w:rPr>
                <w:rFonts w:ascii="Times New Roman" w:hAnsi="Times New Roman" w:cs="Times New Roman"/>
                <w:sz w:val="24"/>
                <w:szCs w:val="24"/>
              </w:rPr>
              <w:t>Land Use</w:t>
            </w:r>
          </w:p>
        </w:tc>
        <w:tc>
          <w:tcPr>
            <w:tcW w:w="0" w:type="auto"/>
            <w:hideMark/>
          </w:tcPr>
          <w:p w14:paraId="4FEABD19" w14:textId="77777777" w:rsidR="00210355" w:rsidRPr="000B33D4" w:rsidRDefault="00210355" w:rsidP="00463C15">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0B33D4">
              <w:rPr>
                <w:rFonts w:ascii="Times New Roman" w:hAnsi="Times New Roman" w:cs="Times New Roman"/>
                <w:sz w:val="24"/>
                <w:szCs w:val="24"/>
              </w:rPr>
              <w:t>Mean Hydraulic Conductivity (cm/</w:t>
            </w:r>
            <w:proofErr w:type="spellStart"/>
            <w:r w:rsidRPr="000B33D4">
              <w:rPr>
                <w:rFonts w:ascii="Times New Roman" w:hAnsi="Times New Roman" w:cs="Times New Roman"/>
                <w:sz w:val="24"/>
                <w:szCs w:val="24"/>
              </w:rPr>
              <w:t>hr</w:t>
            </w:r>
            <w:proofErr w:type="spellEnd"/>
            <w:r w:rsidRPr="000B33D4">
              <w:rPr>
                <w:rFonts w:ascii="Times New Roman" w:hAnsi="Times New Roman" w:cs="Times New Roman"/>
                <w:sz w:val="24"/>
                <w:szCs w:val="24"/>
              </w:rPr>
              <w:t>)</w:t>
            </w:r>
          </w:p>
        </w:tc>
      </w:tr>
      <w:tr w:rsidR="00210355" w:rsidRPr="000B33D4" w14:paraId="20E91231" w14:textId="77777777" w:rsidTr="00463C15">
        <w:tc>
          <w:tcPr>
            <w:cnfStyle w:val="001000000000" w:firstRow="0" w:lastRow="0" w:firstColumn="1" w:lastColumn="0" w:oddVBand="0" w:evenVBand="0" w:oddHBand="0" w:evenHBand="0" w:firstRowFirstColumn="0" w:firstRowLastColumn="0" w:lastRowFirstColumn="0" w:lastRowLastColumn="0"/>
            <w:tcW w:w="0" w:type="auto"/>
            <w:hideMark/>
          </w:tcPr>
          <w:p w14:paraId="7A00057A" w14:textId="77777777" w:rsidR="00210355" w:rsidRPr="000B33D4" w:rsidRDefault="00210355" w:rsidP="00463C15">
            <w:pPr>
              <w:spacing w:line="360" w:lineRule="auto"/>
              <w:rPr>
                <w:rFonts w:ascii="Times New Roman" w:hAnsi="Times New Roman" w:cs="Times New Roman"/>
                <w:sz w:val="24"/>
                <w:szCs w:val="24"/>
              </w:rPr>
            </w:pPr>
            <w:r w:rsidRPr="000B33D4">
              <w:rPr>
                <w:rFonts w:ascii="Times New Roman" w:hAnsi="Times New Roman" w:cs="Times New Roman"/>
                <w:sz w:val="24"/>
                <w:szCs w:val="24"/>
              </w:rPr>
              <w:t>Forest Reserve (FR)</w:t>
            </w:r>
          </w:p>
        </w:tc>
        <w:tc>
          <w:tcPr>
            <w:tcW w:w="0" w:type="auto"/>
            <w:hideMark/>
          </w:tcPr>
          <w:p w14:paraId="6DDF0C55" w14:textId="77777777" w:rsidR="00210355" w:rsidRPr="000B33D4"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B33D4">
              <w:rPr>
                <w:rFonts w:ascii="Times New Roman" w:hAnsi="Times New Roman" w:cs="Times New Roman"/>
                <w:sz w:val="24"/>
                <w:szCs w:val="24"/>
              </w:rPr>
              <w:t>9.64</w:t>
            </w:r>
          </w:p>
        </w:tc>
      </w:tr>
      <w:tr w:rsidR="00210355" w:rsidRPr="000B33D4" w14:paraId="7D7BB83E" w14:textId="77777777" w:rsidTr="00463C15">
        <w:tc>
          <w:tcPr>
            <w:cnfStyle w:val="001000000000" w:firstRow="0" w:lastRow="0" w:firstColumn="1" w:lastColumn="0" w:oddVBand="0" w:evenVBand="0" w:oddHBand="0" w:evenHBand="0" w:firstRowFirstColumn="0" w:firstRowLastColumn="0" w:lastRowFirstColumn="0" w:lastRowLastColumn="0"/>
            <w:tcW w:w="0" w:type="auto"/>
            <w:hideMark/>
          </w:tcPr>
          <w:p w14:paraId="286B9847" w14:textId="77777777" w:rsidR="00210355" w:rsidRPr="000B33D4" w:rsidRDefault="00210355" w:rsidP="00463C15">
            <w:pPr>
              <w:spacing w:line="360" w:lineRule="auto"/>
              <w:rPr>
                <w:rFonts w:ascii="Times New Roman" w:hAnsi="Times New Roman" w:cs="Times New Roman"/>
                <w:sz w:val="24"/>
                <w:szCs w:val="24"/>
              </w:rPr>
            </w:pPr>
            <w:r w:rsidRPr="000B33D4">
              <w:rPr>
                <w:rFonts w:ascii="Times New Roman" w:hAnsi="Times New Roman" w:cs="Times New Roman"/>
                <w:sz w:val="24"/>
                <w:szCs w:val="24"/>
              </w:rPr>
              <w:t>Agricultural Land (AL)</w:t>
            </w:r>
          </w:p>
        </w:tc>
        <w:tc>
          <w:tcPr>
            <w:tcW w:w="0" w:type="auto"/>
            <w:hideMark/>
          </w:tcPr>
          <w:p w14:paraId="42BD914B" w14:textId="77777777" w:rsidR="00210355" w:rsidRPr="000B33D4"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B33D4">
              <w:rPr>
                <w:rFonts w:ascii="Times New Roman" w:hAnsi="Times New Roman" w:cs="Times New Roman"/>
                <w:sz w:val="24"/>
                <w:szCs w:val="24"/>
              </w:rPr>
              <w:t>7.73</w:t>
            </w:r>
          </w:p>
        </w:tc>
      </w:tr>
      <w:tr w:rsidR="00210355" w:rsidRPr="000B33D4" w14:paraId="17D1BFFF" w14:textId="77777777" w:rsidTr="00463C15">
        <w:tc>
          <w:tcPr>
            <w:cnfStyle w:val="001000000000" w:firstRow="0" w:lastRow="0" w:firstColumn="1" w:lastColumn="0" w:oddVBand="0" w:evenVBand="0" w:oddHBand="0" w:evenHBand="0" w:firstRowFirstColumn="0" w:firstRowLastColumn="0" w:lastRowFirstColumn="0" w:lastRowLastColumn="0"/>
            <w:tcW w:w="0" w:type="auto"/>
            <w:hideMark/>
          </w:tcPr>
          <w:p w14:paraId="0E58261A" w14:textId="77777777" w:rsidR="00210355" w:rsidRPr="000B33D4" w:rsidRDefault="00210355" w:rsidP="00463C15">
            <w:pPr>
              <w:spacing w:line="360" w:lineRule="auto"/>
              <w:rPr>
                <w:rFonts w:ascii="Times New Roman" w:hAnsi="Times New Roman" w:cs="Times New Roman"/>
                <w:sz w:val="24"/>
                <w:szCs w:val="24"/>
              </w:rPr>
            </w:pPr>
            <w:r w:rsidRPr="000B33D4">
              <w:rPr>
                <w:rFonts w:ascii="Times New Roman" w:hAnsi="Times New Roman" w:cs="Times New Roman"/>
                <w:sz w:val="24"/>
                <w:szCs w:val="24"/>
              </w:rPr>
              <w:t>Bare soil</w:t>
            </w:r>
          </w:p>
        </w:tc>
        <w:tc>
          <w:tcPr>
            <w:tcW w:w="0" w:type="auto"/>
            <w:hideMark/>
          </w:tcPr>
          <w:p w14:paraId="66BA656C" w14:textId="77777777" w:rsidR="00210355" w:rsidRPr="000B33D4"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B33D4">
              <w:rPr>
                <w:rFonts w:ascii="Times New Roman" w:hAnsi="Times New Roman" w:cs="Times New Roman"/>
                <w:sz w:val="24"/>
                <w:szCs w:val="24"/>
              </w:rPr>
              <w:t>5.78</w:t>
            </w:r>
          </w:p>
        </w:tc>
      </w:tr>
      <w:tr w:rsidR="00210355" w:rsidRPr="000B33D4" w14:paraId="6CDA75FD" w14:textId="77777777" w:rsidTr="00463C15">
        <w:tc>
          <w:tcPr>
            <w:cnfStyle w:val="001000000000" w:firstRow="0" w:lastRow="0" w:firstColumn="1" w:lastColumn="0" w:oddVBand="0" w:evenVBand="0" w:oddHBand="0" w:evenHBand="0" w:firstRowFirstColumn="0" w:firstRowLastColumn="0" w:lastRowFirstColumn="0" w:lastRowLastColumn="0"/>
            <w:tcW w:w="0" w:type="auto"/>
            <w:hideMark/>
          </w:tcPr>
          <w:p w14:paraId="64BF525B" w14:textId="77777777" w:rsidR="00210355" w:rsidRPr="000B33D4" w:rsidRDefault="00210355" w:rsidP="00463C15">
            <w:pPr>
              <w:spacing w:line="360" w:lineRule="auto"/>
              <w:rPr>
                <w:rFonts w:ascii="Times New Roman" w:hAnsi="Times New Roman" w:cs="Times New Roman"/>
                <w:sz w:val="24"/>
                <w:szCs w:val="24"/>
              </w:rPr>
            </w:pPr>
            <w:r w:rsidRPr="000B33D4">
              <w:rPr>
                <w:rFonts w:ascii="Times New Roman" w:hAnsi="Times New Roman" w:cs="Times New Roman"/>
                <w:sz w:val="24"/>
                <w:szCs w:val="24"/>
              </w:rPr>
              <w:t>Built-up Area</w:t>
            </w:r>
          </w:p>
        </w:tc>
        <w:tc>
          <w:tcPr>
            <w:tcW w:w="0" w:type="auto"/>
            <w:hideMark/>
          </w:tcPr>
          <w:p w14:paraId="1AC75A28" w14:textId="77777777" w:rsidR="00210355" w:rsidRPr="000B33D4"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B33D4">
              <w:rPr>
                <w:rFonts w:ascii="Times New Roman" w:hAnsi="Times New Roman" w:cs="Times New Roman"/>
                <w:sz w:val="24"/>
                <w:szCs w:val="24"/>
              </w:rPr>
              <w:t>2.07</w:t>
            </w:r>
          </w:p>
        </w:tc>
      </w:tr>
    </w:tbl>
    <w:p w14:paraId="13ED535D" w14:textId="77777777" w:rsidR="00210355" w:rsidRPr="000B33D4" w:rsidRDefault="00210355" w:rsidP="00210355">
      <w:pPr>
        <w:pStyle w:val="Heading3"/>
        <w:spacing w:line="360" w:lineRule="auto"/>
        <w:rPr>
          <w:rFonts w:ascii="Times New Roman" w:hAnsi="Times New Roman" w:cs="Times New Roman"/>
          <w:sz w:val="24"/>
          <w:szCs w:val="24"/>
        </w:rPr>
      </w:pPr>
    </w:p>
    <w:p w14:paraId="12A3D25B" w14:textId="7F47B67A" w:rsidR="00210355" w:rsidRPr="000B33D4" w:rsidRDefault="00210355" w:rsidP="00360AB5">
      <w:pPr>
        <w:pStyle w:val="NormalWeb"/>
        <w:spacing w:before="0" w:beforeAutospacing="0" w:line="360" w:lineRule="auto"/>
        <w:jc w:val="both"/>
      </w:pPr>
      <w:r w:rsidRPr="000B33D4">
        <w:t>Hydraulic conductivity exhibited the same trend as infiltration. Forest Reserve soils possessed the highest saturated hydraulic conductivity (9.64 cm hr⁻¹), indicating greater pore connectivity and improved soil structure. Built-up Area soils exhibited the lowest conductivity because compaction reduced the effective pore spaces required for water transmission. According to Hillel (200</w:t>
      </w:r>
      <w:r w:rsidR="00F418B4">
        <w:t>3</w:t>
      </w:r>
      <w:r w:rsidRPr="000B33D4">
        <w:t xml:space="preserve">), saturated hydraulic conductivity is directly controlled by pore-size distribution, soil texture, aggregation, and structural stability. The observed relationship confirms the findings of Reynolds </w:t>
      </w:r>
      <w:r w:rsidRPr="000B33D4">
        <w:rPr>
          <w:i/>
        </w:rPr>
        <w:t>et al.</w:t>
      </w:r>
      <w:r w:rsidRPr="000B33D4">
        <w:t xml:space="preserve"> (2002), who reported that hydraulic conductivity declines substantially as soil compaction increases.</w:t>
      </w:r>
    </w:p>
    <w:p w14:paraId="31C9B00C" w14:textId="77777777" w:rsidR="00210355" w:rsidRPr="000B33D4" w:rsidRDefault="003E40FB" w:rsidP="00210355">
      <w:pPr>
        <w:spacing w:after="320" w:line="360" w:lineRule="auto"/>
        <w:rPr>
          <w:rFonts w:ascii="Times New Roman" w:hAnsi="Times New Roman" w:cs="Times New Roman"/>
          <w:b/>
          <w:sz w:val="24"/>
          <w:szCs w:val="24"/>
        </w:rPr>
      </w:pPr>
      <w:r w:rsidRPr="000B33D4">
        <w:rPr>
          <w:rFonts w:ascii="Times New Roman" w:hAnsi="Times New Roman" w:cs="Times New Roman"/>
          <w:b/>
          <w:sz w:val="24"/>
          <w:szCs w:val="24"/>
        </w:rPr>
        <w:t>3.2</w:t>
      </w:r>
      <w:r w:rsidRPr="000B33D4">
        <w:rPr>
          <w:rFonts w:ascii="Times New Roman" w:hAnsi="Times New Roman" w:cs="Times New Roman"/>
          <w:b/>
          <w:sz w:val="24"/>
          <w:szCs w:val="24"/>
        </w:rPr>
        <w:tab/>
      </w:r>
      <w:r w:rsidR="00210355" w:rsidRPr="000B33D4">
        <w:rPr>
          <w:rFonts w:ascii="Times New Roman" w:hAnsi="Times New Roman" w:cs="Times New Roman"/>
          <w:b/>
          <w:sz w:val="24"/>
          <w:szCs w:val="24"/>
        </w:rPr>
        <w:t>Groundwater Recharge Potential</w:t>
      </w:r>
    </w:p>
    <w:p w14:paraId="21737EAC" w14:textId="77777777" w:rsidR="00210355" w:rsidRPr="000B33D4" w:rsidRDefault="00210355" w:rsidP="00210355">
      <w:pPr>
        <w:spacing w:after="320" w:line="360" w:lineRule="auto"/>
        <w:jc w:val="both"/>
        <w:rPr>
          <w:rFonts w:ascii="Times New Roman" w:hAnsi="Times New Roman" w:cs="Times New Roman"/>
          <w:sz w:val="24"/>
          <w:szCs w:val="24"/>
        </w:rPr>
      </w:pPr>
      <w:r w:rsidRPr="000B33D4">
        <w:rPr>
          <w:rFonts w:ascii="Times New Roman" w:hAnsi="Times New Roman"/>
          <w:sz w:val="24"/>
        </w:rPr>
        <w:t>The values and outcomes of the groundwater recharge potentials are shown in Table 4.</w:t>
      </w:r>
    </w:p>
    <w:p w14:paraId="66CF5CCE" w14:textId="77777777" w:rsidR="00210355" w:rsidRPr="000B33D4" w:rsidRDefault="00210355" w:rsidP="00210355">
      <w:pPr>
        <w:spacing w:after="0" w:line="360" w:lineRule="auto"/>
        <w:jc w:val="both"/>
        <w:rPr>
          <w:rFonts w:ascii="Times New Roman" w:hAnsi="Times New Roman" w:cs="Times New Roman"/>
          <w:b/>
          <w:sz w:val="24"/>
          <w:szCs w:val="24"/>
        </w:rPr>
      </w:pPr>
      <w:r w:rsidRPr="000B33D4">
        <w:rPr>
          <w:rFonts w:ascii="Times New Roman" w:hAnsi="Times New Roman" w:cs="Times New Roman"/>
          <w:b/>
          <w:sz w:val="24"/>
          <w:szCs w:val="24"/>
        </w:rPr>
        <w:lastRenderedPageBreak/>
        <w:t>Table 4: Summarizes groundwater recharge estimation</w:t>
      </w:r>
    </w:p>
    <w:tbl>
      <w:tblPr>
        <w:tblStyle w:val="LightShading1"/>
        <w:tblW w:w="0" w:type="auto"/>
        <w:tblLook w:val="06A0" w:firstRow="1" w:lastRow="0" w:firstColumn="1" w:lastColumn="0" w:noHBand="1" w:noVBand="1"/>
      </w:tblPr>
      <w:tblGrid>
        <w:gridCol w:w="2103"/>
        <w:gridCol w:w="2630"/>
        <w:gridCol w:w="2369"/>
      </w:tblGrid>
      <w:tr w:rsidR="00210355" w:rsidRPr="000B33D4" w14:paraId="73E765AB" w14:textId="77777777" w:rsidTr="00463C1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C284040" w14:textId="77777777" w:rsidR="00210355" w:rsidRPr="000B33D4" w:rsidRDefault="00210355" w:rsidP="00463C15">
            <w:pPr>
              <w:spacing w:line="360" w:lineRule="auto"/>
              <w:jc w:val="both"/>
              <w:rPr>
                <w:rFonts w:ascii="Times New Roman" w:hAnsi="Times New Roman" w:cs="Times New Roman"/>
                <w:b w:val="0"/>
                <w:bCs w:val="0"/>
                <w:sz w:val="24"/>
                <w:szCs w:val="24"/>
              </w:rPr>
            </w:pPr>
            <w:r w:rsidRPr="000B33D4">
              <w:rPr>
                <w:rFonts w:ascii="Times New Roman" w:hAnsi="Times New Roman" w:cs="Times New Roman"/>
                <w:sz w:val="24"/>
                <w:szCs w:val="24"/>
              </w:rPr>
              <w:t>Land Use</w:t>
            </w:r>
          </w:p>
        </w:tc>
        <w:tc>
          <w:tcPr>
            <w:tcW w:w="0" w:type="auto"/>
            <w:hideMark/>
          </w:tcPr>
          <w:p w14:paraId="6F35A2ED" w14:textId="77777777" w:rsidR="00210355" w:rsidRPr="000B33D4" w:rsidRDefault="00210355" w:rsidP="00463C15">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0B33D4">
              <w:rPr>
                <w:rFonts w:ascii="Times New Roman" w:hAnsi="Times New Roman" w:cs="Times New Roman"/>
                <w:sz w:val="24"/>
                <w:szCs w:val="24"/>
              </w:rPr>
              <w:t>Annual Recharge (mm)</w:t>
            </w:r>
          </w:p>
        </w:tc>
        <w:tc>
          <w:tcPr>
            <w:tcW w:w="0" w:type="auto"/>
            <w:hideMark/>
          </w:tcPr>
          <w:p w14:paraId="77B84978" w14:textId="77777777" w:rsidR="00210355" w:rsidRPr="000B33D4" w:rsidRDefault="00210355" w:rsidP="00463C15">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0B33D4">
              <w:rPr>
                <w:rFonts w:ascii="Times New Roman" w:hAnsi="Times New Roman" w:cs="Times New Roman"/>
                <w:sz w:val="24"/>
                <w:szCs w:val="24"/>
              </w:rPr>
              <w:t>Recharge Coefficient</w:t>
            </w:r>
          </w:p>
        </w:tc>
      </w:tr>
      <w:tr w:rsidR="00210355" w:rsidRPr="000B33D4" w14:paraId="16C8B7C4" w14:textId="77777777" w:rsidTr="00463C15">
        <w:tc>
          <w:tcPr>
            <w:cnfStyle w:val="001000000000" w:firstRow="0" w:lastRow="0" w:firstColumn="1" w:lastColumn="0" w:oddVBand="0" w:evenVBand="0" w:oddHBand="0" w:evenHBand="0" w:firstRowFirstColumn="0" w:firstRowLastColumn="0" w:lastRowFirstColumn="0" w:lastRowLastColumn="0"/>
            <w:tcW w:w="0" w:type="auto"/>
            <w:hideMark/>
          </w:tcPr>
          <w:p w14:paraId="0F3452AD" w14:textId="77777777" w:rsidR="00210355" w:rsidRPr="000B33D4" w:rsidRDefault="00210355" w:rsidP="00463C15">
            <w:pPr>
              <w:spacing w:line="360" w:lineRule="auto"/>
              <w:jc w:val="both"/>
              <w:rPr>
                <w:rFonts w:ascii="Times New Roman" w:hAnsi="Times New Roman" w:cs="Times New Roman"/>
                <w:sz w:val="24"/>
                <w:szCs w:val="24"/>
              </w:rPr>
            </w:pPr>
            <w:r w:rsidRPr="000B33D4">
              <w:rPr>
                <w:rFonts w:ascii="Times New Roman" w:hAnsi="Times New Roman" w:cs="Times New Roman"/>
                <w:sz w:val="24"/>
                <w:szCs w:val="24"/>
              </w:rPr>
              <w:t xml:space="preserve">Forest Reserve </w:t>
            </w:r>
          </w:p>
        </w:tc>
        <w:tc>
          <w:tcPr>
            <w:tcW w:w="0" w:type="auto"/>
            <w:hideMark/>
          </w:tcPr>
          <w:p w14:paraId="65546C92" w14:textId="77777777" w:rsidR="00210355" w:rsidRPr="000B33D4" w:rsidRDefault="00210355" w:rsidP="00463C1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B33D4">
              <w:rPr>
                <w:rFonts w:ascii="Times New Roman" w:hAnsi="Times New Roman" w:cs="Times New Roman"/>
                <w:sz w:val="24"/>
                <w:szCs w:val="24"/>
              </w:rPr>
              <w:t>581</w:t>
            </w:r>
          </w:p>
        </w:tc>
        <w:tc>
          <w:tcPr>
            <w:tcW w:w="0" w:type="auto"/>
            <w:hideMark/>
          </w:tcPr>
          <w:p w14:paraId="72D5FFF1" w14:textId="77777777" w:rsidR="00210355" w:rsidRPr="000B33D4" w:rsidRDefault="00210355" w:rsidP="00463C1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B33D4">
              <w:rPr>
                <w:rFonts w:ascii="Times New Roman" w:hAnsi="Times New Roman" w:cs="Times New Roman"/>
                <w:sz w:val="24"/>
                <w:szCs w:val="24"/>
              </w:rPr>
              <w:t>0.254</w:t>
            </w:r>
          </w:p>
        </w:tc>
      </w:tr>
      <w:tr w:rsidR="00210355" w:rsidRPr="000B33D4" w14:paraId="784EAF2F" w14:textId="77777777" w:rsidTr="00463C15">
        <w:tc>
          <w:tcPr>
            <w:cnfStyle w:val="001000000000" w:firstRow="0" w:lastRow="0" w:firstColumn="1" w:lastColumn="0" w:oddVBand="0" w:evenVBand="0" w:oddHBand="0" w:evenHBand="0" w:firstRowFirstColumn="0" w:firstRowLastColumn="0" w:lastRowFirstColumn="0" w:lastRowLastColumn="0"/>
            <w:tcW w:w="0" w:type="auto"/>
            <w:hideMark/>
          </w:tcPr>
          <w:p w14:paraId="2D3E8D61" w14:textId="77777777" w:rsidR="00210355" w:rsidRPr="000B33D4" w:rsidRDefault="00210355" w:rsidP="00463C15">
            <w:pPr>
              <w:spacing w:line="360" w:lineRule="auto"/>
              <w:jc w:val="both"/>
              <w:rPr>
                <w:rFonts w:ascii="Times New Roman" w:hAnsi="Times New Roman" w:cs="Times New Roman"/>
                <w:sz w:val="24"/>
                <w:szCs w:val="24"/>
              </w:rPr>
            </w:pPr>
            <w:r w:rsidRPr="000B33D4">
              <w:rPr>
                <w:rFonts w:ascii="Times New Roman" w:hAnsi="Times New Roman" w:cs="Times New Roman"/>
                <w:sz w:val="24"/>
                <w:szCs w:val="24"/>
              </w:rPr>
              <w:t xml:space="preserve">Agricultural Land </w:t>
            </w:r>
          </w:p>
        </w:tc>
        <w:tc>
          <w:tcPr>
            <w:tcW w:w="0" w:type="auto"/>
            <w:hideMark/>
          </w:tcPr>
          <w:p w14:paraId="53C29E66" w14:textId="77777777" w:rsidR="00210355" w:rsidRPr="000B33D4" w:rsidRDefault="00210355" w:rsidP="00463C1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B33D4">
              <w:rPr>
                <w:rFonts w:ascii="Times New Roman" w:hAnsi="Times New Roman" w:cs="Times New Roman"/>
                <w:sz w:val="24"/>
                <w:szCs w:val="24"/>
              </w:rPr>
              <w:t>482</w:t>
            </w:r>
          </w:p>
        </w:tc>
        <w:tc>
          <w:tcPr>
            <w:tcW w:w="0" w:type="auto"/>
            <w:hideMark/>
          </w:tcPr>
          <w:p w14:paraId="6C4398ED" w14:textId="77777777" w:rsidR="00210355" w:rsidRPr="000B33D4" w:rsidRDefault="00210355" w:rsidP="00463C1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B33D4">
              <w:rPr>
                <w:rFonts w:ascii="Times New Roman" w:hAnsi="Times New Roman" w:cs="Times New Roman"/>
                <w:sz w:val="24"/>
                <w:szCs w:val="24"/>
              </w:rPr>
              <w:t>0.211</w:t>
            </w:r>
          </w:p>
        </w:tc>
      </w:tr>
      <w:tr w:rsidR="00210355" w:rsidRPr="000B33D4" w14:paraId="54D514BF" w14:textId="77777777" w:rsidTr="00463C15">
        <w:tc>
          <w:tcPr>
            <w:cnfStyle w:val="001000000000" w:firstRow="0" w:lastRow="0" w:firstColumn="1" w:lastColumn="0" w:oddVBand="0" w:evenVBand="0" w:oddHBand="0" w:evenHBand="0" w:firstRowFirstColumn="0" w:firstRowLastColumn="0" w:lastRowFirstColumn="0" w:lastRowLastColumn="0"/>
            <w:tcW w:w="0" w:type="auto"/>
            <w:hideMark/>
          </w:tcPr>
          <w:p w14:paraId="7DA39E46" w14:textId="77777777" w:rsidR="00210355" w:rsidRPr="000B33D4" w:rsidRDefault="00210355" w:rsidP="00463C15">
            <w:pPr>
              <w:spacing w:line="360" w:lineRule="auto"/>
              <w:jc w:val="both"/>
              <w:rPr>
                <w:rFonts w:ascii="Times New Roman" w:hAnsi="Times New Roman" w:cs="Times New Roman"/>
                <w:sz w:val="24"/>
                <w:szCs w:val="24"/>
              </w:rPr>
            </w:pPr>
            <w:r w:rsidRPr="000B33D4">
              <w:rPr>
                <w:rFonts w:ascii="Times New Roman" w:hAnsi="Times New Roman" w:cs="Times New Roman"/>
                <w:sz w:val="24"/>
                <w:szCs w:val="24"/>
              </w:rPr>
              <w:t>Bare soil</w:t>
            </w:r>
          </w:p>
        </w:tc>
        <w:tc>
          <w:tcPr>
            <w:tcW w:w="0" w:type="auto"/>
            <w:hideMark/>
          </w:tcPr>
          <w:p w14:paraId="08FBDB8B" w14:textId="77777777" w:rsidR="00210355" w:rsidRPr="000B33D4" w:rsidRDefault="00210355" w:rsidP="00463C1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B33D4">
              <w:rPr>
                <w:rFonts w:ascii="Times New Roman" w:hAnsi="Times New Roman" w:cs="Times New Roman"/>
                <w:sz w:val="24"/>
                <w:szCs w:val="24"/>
              </w:rPr>
              <w:t>354</w:t>
            </w:r>
          </w:p>
        </w:tc>
        <w:tc>
          <w:tcPr>
            <w:tcW w:w="0" w:type="auto"/>
            <w:hideMark/>
          </w:tcPr>
          <w:p w14:paraId="41221D91" w14:textId="77777777" w:rsidR="00210355" w:rsidRPr="000B33D4" w:rsidRDefault="00210355" w:rsidP="00463C1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B33D4">
              <w:rPr>
                <w:rFonts w:ascii="Times New Roman" w:hAnsi="Times New Roman" w:cs="Times New Roman"/>
                <w:sz w:val="24"/>
                <w:szCs w:val="24"/>
              </w:rPr>
              <w:t>0.155</w:t>
            </w:r>
          </w:p>
        </w:tc>
      </w:tr>
      <w:tr w:rsidR="00210355" w:rsidRPr="000B33D4" w14:paraId="6C2F155D" w14:textId="77777777" w:rsidTr="00463C15">
        <w:tc>
          <w:tcPr>
            <w:cnfStyle w:val="001000000000" w:firstRow="0" w:lastRow="0" w:firstColumn="1" w:lastColumn="0" w:oddVBand="0" w:evenVBand="0" w:oddHBand="0" w:evenHBand="0" w:firstRowFirstColumn="0" w:firstRowLastColumn="0" w:lastRowFirstColumn="0" w:lastRowLastColumn="0"/>
            <w:tcW w:w="0" w:type="auto"/>
            <w:hideMark/>
          </w:tcPr>
          <w:p w14:paraId="0D89D1C2" w14:textId="77777777" w:rsidR="00210355" w:rsidRPr="000B33D4" w:rsidRDefault="00210355" w:rsidP="00463C15">
            <w:pPr>
              <w:spacing w:line="360" w:lineRule="auto"/>
              <w:jc w:val="both"/>
              <w:rPr>
                <w:rFonts w:ascii="Times New Roman" w:hAnsi="Times New Roman" w:cs="Times New Roman"/>
                <w:sz w:val="24"/>
                <w:szCs w:val="24"/>
              </w:rPr>
            </w:pPr>
            <w:r w:rsidRPr="000B33D4">
              <w:rPr>
                <w:rFonts w:ascii="Times New Roman" w:hAnsi="Times New Roman" w:cs="Times New Roman"/>
                <w:sz w:val="24"/>
                <w:szCs w:val="24"/>
              </w:rPr>
              <w:t>Built-up Area</w:t>
            </w:r>
          </w:p>
        </w:tc>
        <w:tc>
          <w:tcPr>
            <w:tcW w:w="0" w:type="auto"/>
            <w:hideMark/>
          </w:tcPr>
          <w:p w14:paraId="7B40C84E" w14:textId="77777777" w:rsidR="00210355" w:rsidRPr="000B33D4" w:rsidRDefault="00210355" w:rsidP="00463C1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B33D4">
              <w:rPr>
                <w:rFonts w:ascii="Times New Roman" w:hAnsi="Times New Roman" w:cs="Times New Roman"/>
                <w:sz w:val="24"/>
                <w:szCs w:val="24"/>
              </w:rPr>
              <w:t>171</w:t>
            </w:r>
          </w:p>
        </w:tc>
        <w:tc>
          <w:tcPr>
            <w:tcW w:w="0" w:type="auto"/>
            <w:hideMark/>
          </w:tcPr>
          <w:p w14:paraId="7F514773" w14:textId="77777777" w:rsidR="00210355" w:rsidRPr="000B33D4" w:rsidRDefault="00210355" w:rsidP="00463C1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B33D4">
              <w:rPr>
                <w:rFonts w:ascii="Times New Roman" w:hAnsi="Times New Roman" w:cs="Times New Roman"/>
                <w:sz w:val="24"/>
                <w:szCs w:val="24"/>
              </w:rPr>
              <w:t>0.075</w:t>
            </w:r>
          </w:p>
        </w:tc>
      </w:tr>
    </w:tbl>
    <w:p w14:paraId="65538419" w14:textId="77777777" w:rsidR="00210355" w:rsidRPr="000B33D4" w:rsidRDefault="00210355" w:rsidP="00210355">
      <w:pPr>
        <w:pStyle w:val="NormalWeb"/>
        <w:spacing w:before="0" w:beforeAutospacing="0" w:after="0" w:afterAutospacing="0" w:line="360" w:lineRule="auto"/>
        <w:jc w:val="both"/>
      </w:pPr>
    </w:p>
    <w:p w14:paraId="4FFFA1E6" w14:textId="77777777" w:rsidR="00210355" w:rsidRPr="000B33D4" w:rsidRDefault="00210355" w:rsidP="00210355">
      <w:pPr>
        <w:pStyle w:val="NormalWeb"/>
        <w:spacing w:before="0" w:beforeAutospacing="0" w:after="0" w:afterAutospacing="0" w:line="360" w:lineRule="auto"/>
        <w:jc w:val="both"/>
      </w:pPr>
      <w:r w:rsidRPr="000B33D4">
        <w:t>Groundwater recharge varied considerably among the four land-use practices. The Forest Reserve generated the highest recharge (581 mm), representing approximately 25.4% of annual rainfall. The high recharge is associated with greater infiltration capacity, reduced runoff, and extensive root channels that facilitate deep percolation.</w:t>
      </w:r>
    </w:p>
    <w:p w14:paraId="1CF2E733" w14:textId="77777777" w:rsidR="00210355" w:rsidRPr="000B33D4" w:rsidRDefault="00210355" w:rsidP="00210355">
      <w:pPr>
        <w:pStyle w:val="NormalWeb"/>
        <w:spacing w:before="0" w:beforeAutospacing="0" w:line="360" w:lineRule="auto"/>
        <w:jc w:val="both"/>
      </w:pPr>
      <w:r w:rsidRPr="000B33D4">
        <w:t xml:space="preserve">Built-up land produced the lowest recharge (171 mm), despite receiving the same annual rainfall. Impervious surfaces, paved roads, and compacted soils substantially limited infiltration and promoted surface runoff. This finding corroborates the findings of Scanlon </w:t>
      </w:r>
      <w:r w:rsidRPr="000B33D4">
        <w:rPr>
          <w:i/>
        </w:rPr>
        <w:t>et al.</w:t>
      </w:r>
      <w:r w:rsidRPr="000B33D4">
        <w:t xml:space="preserve"> (2002), who observed that urbanisation significantly reduces groundwater recharge in many watersheds.</w:t>
      </w:r>
    </w:p>
    <w:p w14:paraId="2D9C3F8F" w14:textId="77777777" w:rsidR="00210355" w:rsidRPr="000B33D4" w:rsidRDefault="00210355" w:rsidP="00210355">
      <w:pPr>
        <w:pStyle w:val="NormalWeb"/>
        <w:spacing w:line="360" w:lineRule="auto"/>
        <w:jc w:val="both"/>
      </w:pPr>
      <w:r w:rsidRPr="000B33D4">
        <w:t>Grassland and cropland exhibited intermediate recharge values due to moderate infiltration capacities.</w:t>
      </w:r>
    </w:p>
    <w:p w14:paraId="5E3F14FC" w14:textId="77777777" w:rsidR="00210355" w:rsidRPr="000B33D4" w:rsidRDefault="003E40FB" w:rsidP="00210355">
      <w:pPr>
        <w:spacing w:before="320" w:after="320" w:line="360" w:lineRule="auto"/>
        <w:rPr>
          <w:rFonts w:ascii="Times New Roman" w:eastAsia="Times New Roman" w:hAnsi="Times New Roman" w:cs="Times New Roman"/>
          <w:b/>
          <w:bCs/>
          <w:sz w:val="24"/>
          <w:szCs w:val="24"/>
        </w:rPr>
      </w:pPr>
      <w:r w:rsidRPr="000B33D4">
        <w:rPr>
          <w:rFonts w:ascii="Times New Roman" w:eastAsia="Times New Roman" w:hAnsi="Times New Roman" w:cs="Times New Roman"/>
          <w:b/>
          <w:bCs/>
          <w:sz w:val="24"/>
          <w:szCs w:val="24"/>
        </w:rPr>
        <w:t>3.3</w:t>
      </w:r>
      <w:r w:rsidRPr="000B33D4">
        <w:rPr>
          <w:rFonts w:ascii="Times New Roman" w:eastAsia="Times New Roman" w:hAnsi="Times New Roman" w:cs="Times New Roman"/>
          <w:b/>
          <w:bCs/>
          <w:sz w:val="24"/>
          <w:szCs w:val="24"/>
        </w:rPr>
        <w:tab/>
      </w:r>
      <w:r w:rsidR="00210355" w:rsidRPr="000B33D4">
        <w:rPr>
          <w:rFonts w:ascii="Times New Roman" w:eastAsia="Times New Roman" w:hAnsi="Times New Roman" w:cs="Times New Roman"/>
          <w:b/>
          <w:bCs/>
          <w:sz w:val="24"/>
          <w:szCs w:val="24"/>
        </w:rPr>
        <w:t xml:space="preserve"> Evaluation of Infiltration Models</w:t>
      </w:r>
    </w:p>
    <w:p w14:paraId="3514DEB1" w14:textId="77777777" w:rsidR="00210355" w:rsidRPr="000B33D4" w:rsidRDefault="00210355" w:rsidP="00210355">
      <w:pPr>
        <w:spacing w:before="320" w:after="320" w:line="360" w:lineRule="auto"/>
        <w:rPr>
          <w:rFonts w:ascii="Times New Roman" w:eastAsia="Times New Roman" w:hAnsi="Times New Roman" w:cs="Times New Roman"/>
          <w:b/>
          <w:bCs/>
          <w:sz w:val="24"/>
          <w:szCs w:val="24"/>
        </w:rPr>
      </w:pPr>
      <w:r w:rsidRPr="000B33D4">
        <w:rPr>
          <w:rFonts w:ascii="Times New Roman" w:hAnsi="Times New Roman"/>
          <w:sz w:val="24"/>
        </w:rPr>
        <w:t>The empirical models showed varying levels of precision in reproducing the field measurements (Table 5).</w:t>
      </w:r>
    </w:p>
    <w:p w14:paraId="7CAFE94A" w14:textId="77777777" w:rsidR="00210355" w:rsidRPr="000B33D4" w:rsidRDefault="00210355" w:rsidP="00210355">
      <w:pPr>
        <w:spacing w:after="0" w:line="360" w:lineRule="auto"/>
        <w:rPr>
          <w:rFonts w:ascii="Times New Roman" w:eastAsia="Times New Roman" w:hAnsi="Times New Roman" w:cs="Times New Roman"/>
          <w:b/>
          <w:bCs/>
          <w:sz w:val="24"/>
          <w:szCs w:val="24"/>
        </w:rPr>
      </w:pPr>
      <w:r w:rsidRPr="000B33D4">
        <w:rPr>
          <w:rFonts w:ascii="Times New Roman" w:eastAsia="Times New Roman" w:hAnsi="Times New Roman" w:cs="Times New Roman"/>
          <w:b/>
          <w:bCs/>
          <w:sz w:val="24"/>
          <w:szCs w:val="24"/>
        </w:rPr>
        <w:t>Table 5: Model Performance and Statistical Validation</w:t>
      </w:r>
    </w:p>
    <w:tbl>
      <w:tblPr>
        <w:tblStyle w:val="LightShading1"/>
        <w:tblW w:w="0" w:type="auto"/>
        <w:tblLook w:val="06A0" w:firstRow="1" w:lastRow="0" w:firstColumn="1" w:lastColumn="0" w:noHBand="1" w:noVBand="1"/>
      </w:tblPr>
      <w:tblGrid>
        <w:gridCol w:w="1001"/>
        <w:gridCol w:w="1200"/>
        <w:gridCol w:w="1528"/>
        <w:gridCol w:w="1094"/>
        <w:gridCol w:w="1456"/>
        <w:gridCol w:w="1507"/>
        <w:gridCol w:w="1790"/>
      </w:tblGrid>
      <w:tr w:rsidR="00210355" w:rsidRPr="000B33D4" w14:paraId="105D13D8" w14:textId="77777777" w:rsidTr="00463C1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395B68B" w14:textId="77777777" w:rsidR="00210355" w:rsidRPr="000B33D4" w:rsidRDefault="00210355" w:rsidP="00463C15">
            <w:pPr>
              <w:spacing w:line="360" w:lineRule="auto"/>
              <w:rPr>
                <w:rFonts w:ascii="Times New Roman" w:eastAsia="Times New Roman" w:hAnsi="Times New Roman" w:cs="Times New Roman"/>
                <w:b w:val="0"/>
                <w:bCs w:val="0"/>
                <w:sz w:val="24"/>
                <w:szCs w:val="24"/>
              </w:rPr>
            </w:pPr>
            <w:r w:rsidRPr="000B33D4">
              <w:rPr>
                <w:rFonts w:ascii="Times New Roman" w:eastAsia="Times New Roman" w:hAnsi="Times New Roman" w:cs="Times New Roman"/>
                <w:b w:val="0"/>
                <w:sz w:val="24"/>
                <w:szCs w:val="24"/>
              </w:rPr>
              <w:t>Land Use</w:t>
            </w:r>
          </w:p>
        </w:tc>
        <w:tc>
          <w:tcPr>
            <w:tcW w:w="0" w:type="auto"/>
            <w:hideMark/>
          </w:tcPr>
          <w:p w14:paraId="2188B350" w14:textId="77777777" w:rsidR="00210355" w:rsidRPr="000B33D4" w:rsidRDefault="00210355" w:rsidP="00463C15">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sidRPr="000B33D4">
              <w:rPr>
                <w:rFonts w:ascii="Times New Roman" w:eastAsia="Times New Roman" w:hAnsi="Times New Roman" w:cs="Times New Roman"/>
                <w:b w:val="0"/>
                <w:sz w:val="24"/>
                <w:szCs w:val="24"/>
              </w:rPr>
              <w:t>Horton (R²)</w:t>
            </w:r>
          </w:p>
        </w:tc>
        <w:tc>
          <w:tcPr>
            <w:tcW w:w="0" w:type="auto"/>
            <w:hideMark/>
          </w:tcPr>
          <w:p w14:paraId="1453BC1D" w14:textId="77777777" w:rsidR="00210355" w:rsidRPr="000B33D4" w:rsidRDefault="00210355" w:rsidP="00463C15">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sidRPr="000B33D4">
              <w:rPr>
                <w:rFonts w:ascii="Times New Roman" w:eastAsia="Times New Roman" w:hAnsi="Times New Roman" w:cs="Times New Roman"/>
                <w:b w:val="0"/>
                <w:sz w:val="24"/>
                <w:szCs w:val="24"/>
              </w:rPr>
              <w:t>Horton (RMSE)</w:t>
            </w:r>
          </w:p>
        </w:tc>
        <w:tc>
          <w:tcPr>
            <w:tcW w:w="0" w:type="auto"/>
            <w:hideMark/>
          </w:tcPr>
          <w:p w14:paraId="6B6452EA" w14:textId="77777777" w:rsidR="00210355" w:rsidRPr="000B33D4" w:rsidRDefault="00210355" w:rsidP="00463C15">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sidRPr="000B33D4">
              <w:rPr>
                <w:rFonts w:ascii="Times New Roman" w:eastAsia="Times New Roman" w:hAnsi="Times New Roman" w:cs="Times New Roman"/>
                <w:b w:val="0"/>
                <w:sz w:val="24"/>
                <w:szCs w:val="24"/>
              </w:rPr>
              <w:t>Philip (R²)</w:t>
            </w:r>
          </w:p>
        </w:tc>
        <w:tc>
          <w:tcPr>
            <w:tcW w:w="0" w:type="auto"/>
            <w:hideMark/>
          </w:tcPr>
          <w:p w14:paraId="02CDC58F" w14:textId="77777777" w:rsidR="00210355" w:rsidRPr="000B33D4" w:rsidRDefault="00210355" w:rsidP="00463C15">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sidRPr="000B33D4">
              <w:rPr>
                <w:rFonts w:ascii="Times New Roman" w:eastAsia="Times New Roman" w:hAnsi="Times New Roman" w:cs="Times New Roman"/>
                <w:b w:val="0"/>
                <w:sz w:val="24"/>
                <w:szCs w:val="24"/>
              </w:rPr>
              <w:t>Philip (RMSE)</w:t>
            </w:r>
          </w:p>
        </w:tc>
        <w:tc>
          <w:tcPr>
            <w:tcW w:w="0" w:type="auto"/>
            <w:hideMark/>
          </w:tcPr>
          <w:p w14:paraId="2B20BDD1" w14:textId="77777777" w:rsidR="00210355" w:rsidRPr="000B33D4" w:rsidRDefault="00210355" w:rsidP="00463C15">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sidRPr="000B33D4">
              <w:rPr>
                <w:rFonts w:ascii="Times New Roman" w:eastAsia="Times New Roman" w:hAnsi="Times New Roman" w:cs="Times New Roman"/>
                <w:b w:val="0"/>
                <w:sz w:val="24"/>
                <w:szCs w:val="24"/>
              </w:rPr>
              <w:t>Kostiakov (R²)</w:t>
            </w:r>
          </w:p>
        </w:tc>
        <w:tc>
          <w:tcPr>
            <w:tcW w:w="0" w:type="auto"/>
            <w:hideMark/>
          </w:tcPr>
          <w:p w14:paraId="221EBD9E" w14:textId="77777777" w:rsidR="00210355" w:rsidRPr="000B33D4" w:rsidRDefault="00210355" w:rsidP="00463C15">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sidRPr="000B33D4">
              <w:rPr>
                <w:rFonts w:ascii="Times New Roman" w:eastAsia="Times New Roman" w:hAnsi="Times New Roman" w:cs="Times New Roman"/>
                <w:b w:val="0"/>
                <w:sz w:val="24"/>
                <w:szCs w:val="24"/>
              </w:rPr>
              <w:t>Kostiakov (RMSE)</w:t>
            </w:r>
          </w:p>
        </w:tc>
      </w:tr>
      <w:tr w:rsidR="00210355" w:rsidRPr="000B33D4" w14:paraId="70065D7C" w14:textId="77777777" w:rsidTr="00463C15">
        <w:tc>
          <w:tcPr>
            <w:cnfStyle w:val="001000000000" w:firstRow="0" w:lastRow="0" w:firstColumn="1" w:lastColumn="0" w:oddVBand="0" w:evenVBand="0" w:oddHBand="0" w:evenHBand="0" w:firstRowFirstColumn="0" w:firstRowLastColumn="0" w:lastRowFirstColumn="0" w:lastRowLastColumn="0"/>
            <w:tcW w:w="0" w:type="auto"/>
            <w:hideMark/>
          </w:tcPr>
          <w:p w14:paraId="5DCEF6D8" w14:textId="77777777" w:rsidR="00210355" w:rsidRPr="000B33D4" w:rsidRDefault="00210355" w:rsidP="00463C15">
            <w:pPr>
              <w:spacing w:line="360" w:lineRule="auto"/>
              <w:rPr>
                <w:rFonts w:ascii="Times New Roman" w:eastAsia="Times New Roman" w:hAnsi="Times New Roman" w:cs="Times New Roman"/>
                <w:b w:val="0"/>
                <w:sz w:val="24"/>
                <w:szCs w:val="24"/>
              </w:rPr>
            </w:pPr>
            <w:r w:rsidRPr="000B33D4">
              <w:rPr>
                <w:rFonts w:ascii="Times New Roman" w:eastAsia="Times New Roman" w:hAnsi="Times New Roman" w:cs="Times New Roman"/>
                <w:b w:val="0"/>
                <w:sz w:val="24"/>
                <w:szCs w:val="24"/>
              </w:rPr>
              <w:t>FR</w:t>
            </w:r>
          </w:p>
        </w:tc>
        <w:tc>
          <w:tcPr>
            <w:tcW w:w="0" w:type="auto"/>
            <w:hideMark/>
          </w:tcPr>
          <w:p w14:paraId="67E0B134" w14:textId="77777777" w:rsidR="00210355" w:rsidRPr="000B33D4"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B33D4">
              <w:rPr>
                <w:rFonts w:ascii="Times New Roman" w:eastAsia="Times New Roman" w:hAnsi="Times New Roman" w:cs="Times New Roman"/>
                <w:bCs/>
                <w:sz w:val="24"/>
                <w:szCs w:val="24"/>
              </w:rPr>
              <w:t>0.97</w:t>
            </w:r>
          </w:p>
        </w:tc>
        <w:tc>
          <w:tcPr>
            <w:tcW w:w="0" w:type="auto"/>
            <w:hideMark/>
          </w:tcPr>
          <w:p w14:paraId="31FB17F2" w14:textId="77777777" w:rsidR="00210355" w:rsidRPr="000B33D4"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4.21</w:t>
            </w:r>
          </w:p>
        </w:tc>
        <w:tc>
          <w:tcPr>
            <w:tcW w:w="0" w:type="auto"/>
            <w:hideMark/>
          </w:tcPr>
          <w:p w14:paraId="08D262A7" w14:textId="77777777" w:rsidR="00210355" w:rsidRPr="000B33D4"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0.89</w:t>
            </w:r>
          </w:p>
        </w:tc>
        <w:tc>
          <w:tcPr>
            <w:tcW w:w="0" w:type="auto"/>
            <w:hideMark/>
          </w:tcPr>
          <w:p w14:paraId="0A1F5BF1" w14:textId="77777777" w:rsidR="00210355" w:rsidRPr="000B33D4"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11.50</w:t>
            </w:r>
          </w:p>
        </w:tc>
        <w:tc>
          <w:tcPr>
            <w:tcW w:w="0" w:type="auto"/>
            <w:hideMark/>
          </w:tcPr>
          <w:p w14:paraId="7016D3A9" w14:textId="77777777" w:rsidR="00210355" w:rsidRPr="000B33D4"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0.91</w:t>
            </w:r>
          </w:p>
        </w:tc>
        <w:tc>
          <w:tcPr>
            <w:tcW w:w="0" w:type="auto"/>
            <w:hideMark/>
          </w:tcPr>
          <w:p w14:paraId="36C2F38E" w14:textId="77777777" w:rsidR="00210355" w:rsidRPr="000B33D4"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8.92</w:t>
            </w:r>
          </w:p>
        </w:tc>
      </w:tr>
      <w:tr w:rsidR="00210355" w:rsidRPr="000B33D4" w14:paraId="66185A7D" w14:textId="77777777" w:rsidTr="00463C15">
        <w:tc>
          <w:tcPr>
            <w:cnfStyle w:val="001000000000" w:firstRow="0" w:lastRow="0" w:firstColumn="1" w:lastColumn="0" w:oddVBand="0" w:evenVBand="0" w:oddHBand="0" w:evenHBand="0" w:firstRowFirstColumn="0" w:firstRowLastColumn="0" w:lastRowFirstColumn="0" w:lastRowLastColumn="0"/>
            <w:tcW w:w="0" w:type="auto"/>
            <w:hideMark/>
          </w:tcPr>
          <w:p w14:paraId="3F3D4227" w14:textId="77777777" w:rsidR="00210355" w:rsidRPr="000B33D4" w:rsidRDefault="00210355" w:rsidP="00463C15">
            <w:pPr>
              <w:spacing w:line="360" w:lineRule="auto"/>
              <w:rPr>
                <w:rFonts w:ascii="Times New Roman" w:eastAsia="Times New Roman" w:hAnsi="Times New Roman" w:cs="Times New Roman"/>
                <w:b w:val="0"/>
                <w:sz w:val="24"/>
                <w:szCs w:val="24"/>
              </w:rPr>
            </w:pPr>
            <w:r w:rsidRPr="000B33D4">
              <w:rPr>
                <w:rFonts w:ascii="Times New Roman" w:eastAsia="Times New Roman" w:hAnsi="Times New Roman" w:cs="Times New Roman"/>
                <w:b w:val="0"/>
                <w:sz w:val="24"/>
                <w:szCs w:val="24"/>
              </w:rPr>
              <w:t>AL</w:t>
            </w:r>
          </w:p>
        </w:tc>
        <w:tc>
          <w:tcPr>
            <w:tcW w:w="0" w:type="auto"/>
            <w:hideMark/>
          </w:tcPr>
          <w:p w14:paraId="2C1F9F6C" w14:textId="77777777" w:rsidR="00210355" w:rsidRPr="000B33D4"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B33D4">
              <w:rPr>
                <w:rFonts w:ascii="Times New Roman" w:eastAsia="Times New Roman" w:hAnsi="Times New Roman" w:cs="Times New Roman"/>
                <w:bCs/>
                <w:sz w:val="24"/>
                <w:szCs w:val="24"/>
              </w:rPr>
              <w:t>0.95</w:t>
            </w:r>
          </w:p>
        </w:tc>
        <w:tc>
          <w:tcPr>
            <w:tcW w:w="0" w:type="auto"/>
            <w:hideMark/>
          </w:tcPr>
          <w:p w14:paraId="5433B020" w14:textId="77777777" w:rsidR="00210355" w:rsidRPr="000B33D4"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5.80</w:t>
            </w:r>
          </w:p>
        </w:tc>
        <w:tc>
          <w:tcPr>
            <w:tcW w:w="0" w:type="auto"/>
            <w:hideMark/>
          </w:tcPr>
          <w:p w14:paraId="5DF896D0" w14:textId="77777777" w:rsidR="00210355" w:rsidRPr="000B33D4"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0.86</w:t>
            </w:r>
          </w:p>
        </w:tc>
        <w:tc>
          <w:tcPr>
            <w:tcW w:w="0" w:type="auto"/>
            <w:hideMark/>
          </w:tcPr>
          <w:p w14:paraId="24BE8594" w14:textId="77777777" w:rsidR="00210355" w:rsidRPr="000B33D4"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14.22</w:t>
            </w:r>
          </w:p>
        </w:tc>
        <w:tc>
          <w:tcPr>
            <w:tcW w:w="0" w:type="auto"/>
            <w:hideMark/>
          </w:tcPr>
          <w:p w14:paraId="3C173457" w14:textId="77777777" w:rsidR="00210355" w:rsidRPr="000B33D4"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0.88</w:t>
            </w:r>
          </w:p>
        </w:tc>
        <w:tc>
          <w:tcPr>
            <w:tcW w:w="0" w:type="auto"/>
            <w:hideMark/>
          </w:tcPr>
          <w:p w14:paraId="613FC293" w14:textId="77777777" w:rsidR="00210355" w:rsidRPr="000B33D4"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10.15</w:t>
            </w:r>
          </w:p>
        </w:tc>
      </w:tr>
      <w:tr w:rsidR="00210355" w:rsidRPr="000B33D4" w14:paraId="04872B2E" w14:textId="77777777" w:rsidTr="00463C15">
        <w:tc>
          <w:tcPr>
            <w:cnfStyle w:val="001000000000" w:firstRow="0" w:lastRow="0" w:firstColumn="1" w:lastColumn="0" w:oddVBand="0" w:evenVBand="0" w:oddHBand="0" w:evenHBand="0" w:firstRowFirstColumn="0" w:firstRowLastColumn="0" w:lastRowFirstColumn="0" w:lastRowLastColumn="0"/>
            <w:tcW w:w="0" w:type="auto"/>
            <w:hideMark/>
          </w:tcPr>
          <w:p w14:paraId="4F546C7D" w14:textId="77777777" w:rsidR="00210355" w:rsidRPr="000B33D4" w:rsidRDefault="00210355" w:rsidP="00463C15">
            <w:pPr>
              <w:spacing w:line="360" w:lineRule="auto"/>
              <w:rPr>
                <w:rFonts w:ascii="Times New Roman" w:eastAsia="Times New Roman" w:hAnsi="Times New Roman" w:cs="Times New Roman"/>
                <w:b w:val="0"/>
                <w:sz w:val="24"/>
                <w:szCs w:val="24"/>
              </w:rPr>
            </w:pPr>
            <w:r w:rsidRPr="000B33D4">
              <w:rPr>
                <w:rFonts w:ascii="Times New Roman" w:eastAsia="Times New Roman" w:hAnsi="Times New Roman" w:cs="Times New Roman"/>
                <w:b w:val="0"/>
                <w:sz w:val="24"/>
                <w:szCs w:val="24"/>
              </w:rPr>
              <w:t>BS</w:t>
            </w:r>
          </w:p>
        </w:tc>
        <w:tc>
          <w:tcPr>
            <w:tcW w:w="0" w:type="auto"/>
            <w:hideMark/>
          </w:tcPr>
          <w:p w14:paraId="74D2D3A5" w14:textId="77777777" w:rsidR="00210355" w:rsidRPr="000B33D4"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B33D4">
              <w:rPr>
                <w:rFonts w:ascii="Times New Roman" w:eastAsia="Times New Roman" w:hAnsi="Times New Roman" w:cs="Times New Roman"/>
                <w:bCs/>
                <w:sz w:val="24"/>
                <w:szCs w:val="24"/>
              </w:rPr>
              <w:t>0.94</w:t>
            </w:r>
          </w:p>
        </w:tc>
        <w:tc>
          <w:tcPr>
            <w:tcW w:w="0" w:type="auto"/>
            <w:hideMark/>
          </w:tcPr>
          <w:p w14:paraId="570E51C8" w14:textId="77777777" w:rsidR="00210355" w:rsidRPr="000B33D4"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3.12</w:t>
            </w:r>
          </w:p>
        </w:tc>
        <w:tc>
          <w:tcPr>
            <w:tcW w:w="0" w:type="auto"/>
            <w:hideMark/>
          </w:tcPr>
          <w:p w14:paraId="5B6454C6" w14:textId="77777777" w:rsidR="00210355" w:rsidRPr="000B33D4"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0.84</w:t>
            </w:r>
          </w:p>
        </w:tc>
        <w:tc>
          <w:tcPr>
            <w:tcW w:w="0" w:type="auto"/>
            <w:hideMark/>
          </w:tcPr>
          <w:p w14:paraId="33151815" w14:textId="77777777" w:rsidR="00210355" w:rsidRPr="000B33D4"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9.65</w:t>
            </w:r>
          </w:p>
        </w:tc>
        <w:tc>
          <w:tcPr>
            <w:tcW w:w="0" w:type="auto"/>
            <w:hideMark/>
          </w:tcPr>
          <w:p w14:paraId="4B49A389" w14:textId="77777777" w:rsidR="00210355" w:rsidRPr="000B33D4"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0.89</w:t>
            </w:r>
          </w:p>
        </w:tc>
        <w:tc>
          <w:tcPr>
            <w:tcW w:w="0" w:type="auto"/>
            <w:hideMark/>
          </w:tcPr>
          <w:p w14:paraId="6313AAAA" w14:textId="77777777" w:rsidR="00210355" w:rsidRPr="000B33D4"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7.43</w:t>
            </w:r>
          </w:p>
        </w:tc>
      </w:tr>
      <w:tr w:rsidR="00210355" w:rsidRPr="000B33D4" w14:paraId="0F78CB5B" w14:textId="77777777" w:rsidTr="00463C15">
        <w:tc>
          <w:tcPr>
            <w:cnfStyle w:val="001000000000" w:firstRow="0" w:lastRow="0" w:firstColumn="1" w:lastColumn="0" w:oddVBand="0" w:evenVBand="0" w:oddHBand="0" w:evenHBand="0" w:firstRowFirstColumn="0" w:firstRowLastColumn="0" w:lastRowFirstColumn="0" w:lastRowLastColumn="0"/>
            <w:tcW w:w="0" w:type="auto"/>
            <w:hideMark/>
          </w:tcPr>
          <w:p w14:paraId="50903B02" w14:textId="77777777" w:rsidR="00210355" w:rsidRPr="000B33D4" w:rsidRDefault="00210355" w:rsidP="00463C15">
            <w:pPr>
              <w:spacing w:line="360" w:lineRule="auto"/>
              <w:rPr>
                <w:rFonts w:ascii="Times New Roman" w:eastAsia="Times New Roman" w:hAnsi="Times New Roman" w:cs="Times New Roman"/>
                <w:b w:val="0"/>
                <w:sz w:val="24"/>
                <w:szCs w:val="24"/>
              </w:rPr>
            </w:pPr>
            <w:r w:rsidRPr="000B33D4">
              <w:rPr>
                <w:rFonts w:ascii="Times New Roman" w:eastAsia="Times New Roman" w:hAnsi="Times New Roman" w:cs="Times New Roman"/>
                <w:b w:val="0"/>
                <w:sz w:val="24"/>
                <w:szCs w:val="24"/>
              </w:rPr>
              <w:t>BA</w:t>
            </w:r>
          </w:p>
        </w:tc>
        <w:tc>
          <w:tcPr>
            <w:tcW w:w="0" w:type="auto"/>
            <w:hideMark/>
          </w:tcPr>
          <w:p w14:paraId="48349783" w14:textId="77777777" w:rsidR="00210355" w:rsidRPr="000B33D4"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B33D4">
              <w:rPr>
                <w:rFonts w:ascii="Times New Roman" w:eastAsia="Times New Roman" w:hAnsi="Times New Roman" w:cs="Times New Roman"/>
                <w:bCs/>
                <w:sz w:val="24"/>
                <w:szCs w:val="24"/>
              </w:rPr>
              <w:t>0.96</w:t>
            </w:r>
          </w:p>
        </w:tc>
        <w:tc>
          <w:tcPr>
            <w:tcW w:w="0" w:type="auto"/>
            <w:hideMark/>
          </w:tcPr>
          <w:p w14:paraId="24A569FD" w14:textId="77777777" w:rsidR="00210355" w:rsidRPr="000B33D4"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1.85</w:t>
            </w:r>
          </w:p>
        </w:tc>
        <w:tc>
          <w:tcPr>
            <w:tcW w:w="0" w:type="auto"/>
            <w:hideMark/>
          </w:tcPr>
          <w:p w14:paraId="78DFC9E0" w14:textId="77777777" w:rsidR="00210355" w:rsidRPr="000B33D4"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0.79</w:t>
            </w:r>
          </w:p>
        </w:tc>
        <w:tc>
          <w:tcPr>
            <w:tcW w:w="0" w:type="auto"/>
            <w:hideMark/>
          </w:tcPr>
          <w:p w14:paraId="3C5094B4" w14:textId="77777777" w:rsidR="00210355" w:rsidRPr="000B33D4"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6.10</w:t>
            </w:r>
          </w:p>
        </w:tc>
        <w:tc>
          <w:tcPr>
            <w:tcW w:w="0" w:type="auto"/>
            <w:hideMark/>
          </w:tcPr>
          <w:p w14:paraId="7A65A0D1" w14:textId="77777777" w:rsidR="00210355" w:rsidRPr="000B33D4"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0.82</w:t>
            </w:r>
          </w:p>
        </w:tc>
        <w:tc>
          <w:tcPr>
            <w:tcW w:w="0" w:type="auto"/>
            <w:hideMark/>
          </w:tcPr>
          <w:p w14:paraId="27D7738E" w14:textId="77777777" w:rsidR="00210355" w:rsidRPr="000B33D4" w:rsidRDefault="00210355" w:rsidP="00463C1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4.90</w:t>
            </w:r>
          </w:p>
        </w:tc>
      </w:tr>
    </w:tbl>
    <w:p w14:paraId="281E2173" w14:textId="77777777" w:rsidR="00210355" w:rsidRPr="000B33D4" w:rsidRDefault="00210355" w:rsidP="00210355">
      <w:pPr>
        <w:spacing w:after="0" w:line="360" w:lineRule="auto"/>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FR= Forest reserve, AL= Agricultural land, BS= Bare soil, BA = Built-up Area</w:t>
      </w:r>
    </w:p>
    <w:p w14:paraId="26F605E1" w14:textId="77777777" w:rsidR="00210355" w:rsidRPr="000B33D4" w:rsidRDefault="00210355" w:rsidP="00210355">
      <w:pPr>
        <w:spacing w:after="0" w:line="360" w:lineRule="auto"/>
        <w:rPr>
          <w:rFonts w:ascii="Times New Roman" w:eastAsia="Times New Roman" w:hAnsi="Times New Roman" w:cs="Times New Roman"/>
          <w:sz w:val="24"/>
          <w:szCs w:val="24"/>
        </w:rPr>
      </w:pPr>
    </w:p>
    <w:p w14:paraId="474C5F0E" w14:textId="77777777" w:rsidR="00210355" w:rsidRPr="000B33D4" w:rsidRDefault="00210355" w:rsidP="00210355">
      <w:pPr>
        <w:spacing w:after="0" w:line="360" w:lineRule="auto"/>
        <w:jc w:val="both"/>
        <w:rPr>
          <w:rFonts w:ascii="Times New Roman" w:eastAsia="Times New Roman" w:hAnsi="Times New Roman" w:cs="Times New Roman"/>
          <w:sz w:val="24"/>
          <w:szCs w:val="24"/>
        </w:rPr>
      </w:pPr>
      <w:r w:rsidRPr="000B33D4">
        <w:rPr>
          <w:rFonts w:ascii="Times New Roman" w:hAnsi="Times New Roman"/>
          <w:sz w:val="24"/>
        </w:rPr>
        <w:t>Horton’s model consistently outperformed the Philip and Kostiakov equations across all evaluated zones. It achieved the highest coefficients of determination (R² = 0.94 to 0.97) and the lowest root mean square errors, demonstrating its suitability for simulating hydrological responses in this tropical watershed environment.</w:t>
      </w:r>
    </w:p>
    <w:p w14:paraId="57E77F84" w14:textId="77777777" w:rsidR="00210355" w:rsidRPr="000B33D4" w:rsidRDefault="003E40FB" w:rsidP="00210355">
      <w:pPr>
        <w:spacing w:before="320" w:after="320" w:line="360" w:lineRule="auto"/>
        <w:rPr>
          <w:rFonts w:ascii="Times New Roman" w:eastAsia="Times New Roman" w:hAnsi="Times New Roman" w:cs="Times New Roman"/>
          <w:b/>
          <w:bCs/>
          <w:sz w:val="24"/>
          <w:szCs w:val="24"/>
        </w:rPr>
      </w:pPr>
      <w:r w:rsidRPr="000B33D4">
        <w:rPr>
          <w:rFonts w:ascii="Times New Roman" w:eastAsia="Times New Roman" w:hAnsi="Times New Roman" w:cs="Times New Roman"/>
          <w:b/>
          <w:bCs/>
          <w:sz w:val="24"/>
          <w:szCs w:val="24"/>
        </w:rPr>
        <w:t>3.4</w:t>
      </w:r>
      <w:r w:rsidRPr="000B33D4">
        <w:rPr>
          <w:rFonts w:ascii="Times New Roman" w:eastAsia="Times New Roman" w:hAnsi="Times New Roman" w:cs="Times New Roman"/>
          <w:b/>
          <w:bCs/>
          <w:sz w:val="24"/>
          <w:szCs w:val="24"/>
        </w:rPr>
        <w:tab/>
      </w:r>
      <w:r w:rsidR="00210355" w:rsidRPr="000B33D4">
        <w:rPr>
          <w:rFonts w:ascii="Times New Roman" w:eastAsia="Times New Roman" w:hAnsi="Times New Roman" w:cs="Times New Roman"/>
          <w:b/>
          <w:bCs/>
          <w:sz w:val="24"/>
          <w:szCs w:val="24"/>
        </w:rPr>
        <w:t xml:space="preserve">  Groundwater Recharge Potentials</w:t>
      </w:r>
    </w:p>
    <w:p w14:paraId="6713C637" w14:textId="77777777" w:rsidR="00210355" w:rsidRPr="000B33D4" w:rsidRDefault="00210355" w:rsidP="00210355">
      <w:pPr>
        <w:spacing w:before="320" w:after="320" w:line="360" w:lineRule="auto"/>
        <w:jc w:val="both"/>
        <w:rPr>
          <w:rFonts w:ascii="Times New Roman" w:eastAsia="Times New Roman" w:hAnsi="Times New Roman" w:cs="Times New Roman"/>
          <w:sz w:val="24"/>
          <w:szCs w:val="24"/>
        </w:rPr>
      </w:pPr>
      <w:r w:rsidRPr="000B33D4">
        <w:rPr>
          <w:rFonts w:ascii="Times New Roman" w:hAnsi="Times New Roman"/>
          <w:sz w:val="24"/>
        </w:rPr>
        <w:t>Using the water-balance configurations, potential annual groundwater recharge rates were quantified for each zone (Table 6).</w:t>
      </w:r>
    </w:p>
    <w:p w14:paraId="7CA80EF5" w14:textId="77777777" w:rsidR="00210355" w:rsidRPr="000B33D4" w:rsidRDefault="00210355" w:rsidP="00210355">
      <w:pPr>
        <w:spacing w:after="0" w:line="360" w:lineRule="auto"/>
        <w:jc w:val="both"/>
        <w:rPr>
          <w:rFonts w:ascii="Times New Roman" w:eastAsia="Times New Roman" w:hAnsi="Times New Roman" w:cs="Times New Roman"/>
          <w:b/>
          <w:bCs/>
          <w:sz w:val="24"/>
          <w:szCs w:val="24"/>
        </w:rPr>
      </w:pPr>
      <w:r w:rsidRPr="000B33D4">
        <w:rPr>
          <w:rFonts w:ascii="Times New Roman" w:eastAsia="Times New Roman" w:hAnsi="Times New Roman" w:cs="Times New Roman"/>
          <w:b/>
          <w:bCs/>
          <w:sz w:val="24"/>
          <w:szCs w:val="24"/>
        </w:rPr>
        <w:t>Table 6: Annual Water Balance Components and Recharge Potential</w:t>
      </w:r>
    </w:p>
    <w:tbl>
      <w:tblPr>
        <w:tblStyle w:val="LightShading1"/>
        <w:tblW w:w="0" w:type="auto"/>
        <w:tblLook w:val="06A0" w:firstRow="1" w:lastRow="0" w:firstColumn="1" w:lastColumn="0" w:noHBand="1" w:noVBand="1"/>
      </w:tblPr>
      <w:tblGrid>
        <w:gridCol w:w="1573"/>
        <w:gridCol w:w="1441"/>
        <w:gridCol w:w="1490"/>
        <w:gridCol w:w="1685"/>
        <w:gridCol w:w="1711"/>
        <w:gridCol w:w="1676"/>
      </w:tblGrid>
      <w:tr w:rsidR="00210355" w:rsidRPr="000B33D4" w14:paraId="28EA00B4" w14:textId="77777777" w:rsidTr="00463C1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652CB2F" w14:textId="77777777" w:rsidR="00210355" w:rsidRPr="000B33D4" w:rsidRDefault="00210355" w:rsidP="00463C15">
            <w:pPr>
              <w:spacing w:line="360" w:lineRule="auto"/>
              <w:jc w:val="both"/>
              <w:rPr>
                <w:rFonts w:ascii="Times New Roman" w:eastAsia="Times New Roman" w:hAnsi="Times New Roman" w:cs="Times New Roman"/>
                <w:b w:val="0"/>
                <w:sz w:val="24"/>
                <w:szCs w:val="24"/>
              </w:rPr>
            </w:pPr>
            <w:r w:rsidRPr="000B33D4">
              <w:rPr>
                <w:rFonts w:ascii="Times New Roman" w:eastAsia="Times New Roman" w:hAnsi="Times New Roman" w:cs="Times New Roman"/>
                <w:b w:val="0"/>
                <w:sz w:val="24"/>
                <w:szCs w:val="24"/>
              </w:rPr>
              <w:t xml:space="preserve">Land </w:t>
            </w:r>
          </w:p>
          <w:p w14:paraId="41499F6B" w14:textId="77777777" w:rsidR="00210355" w:rsidRPr="000B33D4" w:rsidRDefault="00210355" w:rsidP="00463C15">
            <w:pPr>
              <w:spacing w:line="360" w:lineRule="auto"/>
              <w:jc w:val="both"/>
              <w:rPr>
                <w:rFonts w:ascii="Times New Roman" w:eastAsia="Times New Roman" w:hAnsi="Times New Roman" w:cs="Times New Roman"/>
                <w:b w:val="0"/>
                <w:bCs w:val="0"/>
                <w:sz w:val="24"/>
                <w:szCs w:val="24"/>
              </w:rPr>
            </w:pPr>
            <w:r w:rsidRPr="000B33D4">
              <w:rPr>
                <w:rFonts w:ascii="Times New Roman" w:eastAsia="Times New Roman" w:hAnsi="Times New Roman" w:cs="Times New Roman"/>
                <w:b w:val="0"/>
                <w:sz w:val="24"/>
                <w:szCs w:val="24"/>
              </w:rPr>
              <w:t>Use Type</w:t>
            </w:r>
          </w:p>
        </w:tc>
        <w:tc>
          <w:tcPr>
            <w:tcW w:w="0" w:type="auto"/>
            <w:hideMark/>
          </w:tcPr>
          <w:p w14:paraId="4075A171" w14:textId="77777777" w:rsidR="00210355" w:rsidRPr="000B33D4" w:rsidRDefault="00210355" w:rsidP="00463C15">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sidRPr="000B33D4">
              <w:rPr>
                <w:rFonts w:ascii="Times New Roman" w:eastAsia="Times New Roman" w:hAnsi="Times New Roman" w:cs="Times New Roman"/>
                <w:b w:val="0"/>
                <w:sz w:val="24"/>
                <w:szCs w:val="24"/>
              </w:rPr>
              <w:t>Annual Rainfall (mm)</w:t>
            </w:r>
          </w:p>
        </w:tc>
        <w:tc>
          <w:tcPr>
            <w:tcW w:w="0" w:type="auto"/>
            <w:hideMark/>
          </w:tcPr>
          <w:p w14:paraId="7BBF3028" w14:textId="77777777" w:rsidR="00210355" w:rsidRPr="000B33D4" w:rsidRDefault="00210355" w:rsidP="00463C15">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sidRPr="000B33D4">
              <w:rPr>
                <w:rFonts w:ascii="Times New Roman" w:eastAsia="Times New Roman" w:hAnsi="Times New Roman" w:cs="Times New Roman"/>
                <w:b w:val="0"/>
                <w:sz w:val="24"/>
                <w:szCs w:val="24"/>
              </w:rPr>
              <w:t>Estimated ET (mm)</w:t>
            </w:r>
          </w:p>
        </w:tc>
        <w:tc>
          <w:tcPr>
            <w:tcW w:w="0" w:type="auto"/>
            <w:hideMark/>
          </w:tcPr>
          <w:p w14:paraId="70A77300" w14:textId="77777777" w:rsidR="00210355" w:rsidRPr="000B33D4" w:rsidRDefault="00210355" w:rsidP="00463C15">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sidRPr="000B33D4">
              <w:rPr>
                <w:rFonts w:ascii="Times New Roman" w:eastAsia="Times New Roman" w:hAnsi="Times New Roman" w:cs="Times New Roman"/>
                <w:b w:val="0"/>
                <w:sz w:val="24"/>
                <w:szCs w:val="24"/>
              </w:rPr>
              <w:t>Calculated Runoff (mm)</w:t>
            </w:r>
          </w:p>
        </w:tc>
        <w:tc>
          <w:tcPr>
            <w:tcW w:w="0" w:type="auto"/>
            <w:hideMark/>
          </w:tcPr>
          <w:p w14:paraId="62F3CC98" w14:textId="77777777" w:rsidR="00210355" w:rsidRPr="000B33D4" w:rsidRDefault="00210355" w:rsidP="00463C15">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sidRPr="000B33D4">
              <w:rPr>
                <w:rFonts w:ascii="Times New Roman" w:eastAsia="Times New Roman" w:hAnsi="Times New Roman" w:cs="Times New Roman"/>
                <w:b w:val="0"/>
                <w:sz w:val="24"/>
                <w:szCs w:val="24"/>
              </w:rPr>
              <w:t>Recharge Potential (mm/yr)</w:t>
            </w:r>
          </w:p>
        </w:tc>
        <w:tc>
          <w:tcPr>
            <w:tcW w:w="0" w:type="auto"/>
            <w:hideMark/>
          </w:tcPr>
          <w:p w14:paraId="3DFCDE54" w14:textId="77777777" w:rsidR="00210355" w:rsidRPr="000B33D4" w:rsidRDefault="00210355" w:rsidP="00463C15">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sidRPr="000B33D4">
              <w:rPr>
                <w:rFonts w:ascii="Times New Roman" w:eastAsia="Times New Roman" w:hAnsi="Times New Roman" w:cs="Times New Roman"/>
                <w:b w:val="0"/>
                <w:sz w:val="24"/>
                <w:szCs w:val="24"/>
              </w:rPr>
              <w:t>Recharge Efficiency (%)</w:t>
            </w:r>
          </w:p>
        </w:tc>
      </w:tr>
      <w:tr w:rsidR="00210355" w:rsidRPr="000B33D4" w14:paraId="5264B4E0" w14:textId="77777777" w:rsidTr="00463C15">
        <w:tc>
          <w:tcPr>
            <w:cnfStyle w:val="001000000000" w:firstRow="0" w:lastRow="0" w:firstColumn="1" w:lastColumn="0" w:oddVBand="0" w:evenVBand="0" w:oddHBand="0" w:evenHBand="0" w:firstRowFirstColumn="0" w:firstRowLastColumn="0" w:lastRowFirstColumn="0" w:lastRowLastColumn="0"/>
            <w:tcW w:w="0" w:type="auto"/>
            <w:hideMark/>
          </w:tcPr>
          <w:p w14:paraId="3429B81B" w14:textId="77777777" w:rsidR="00210355" w:rsidRPr="000B33D4" w:rsidRDefault="00210355" w:rsidP="00463C15">
            <w:pPr>
              <w:spacing w:line="360" w:lineRule="auto"/>
              <w:jc w:val="both"/>
              <w:rPr>
                <w:rFonts w:ascii="Times New Roman" w:eastAsia="Times New Roman" w:hAnsi="Times New Roman" w:cs="Times New Roman"/>
                <w:b w:val="0"/>
                <w:sz w:val="24"/>
                <w:szCs w:val="24"/>
              </w:rPr>
            </w:pPr>
            <w:r w:rsidRPr="000B33D4">
              <w:rPr>
                <w:rFonts w:ascii="Times New Roman" w:eastAsia="Times New Roman" w:hAnsi="Times New Roman" w:cs="Times New Roman"/>
                <w:b w:val="0"/>
                <w:sz w:val="24"/>
                <w:szCs w:val="24"/>
              </w:rPr>
              <w:t>Forest Reserve</w:t>
            </w:r>
          </w:p>
        </w:tc>
        <w:tc>
          <w:tcPr>
            <w:tcW w:w="0" w:type="auto"/>
            <w:hideMark/>
          </w:tcPr>
          <w:p w14:paraId="3F88BEEC" w14:textId="77777777" w:rsidR="00210355" w:rsidRPr="000B33D4" w:rsidRDefault="00210355" w:rsidP="00463C1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2,350</w:t>
            </w:r>
          </w:p>
        </w:tc>
        <w:tc>
          <w:tcPr>
            <w:tcW w:w="0" w:type="auto"/>
            <w:hideMark/>
          </w:tcPr>
          <w:p w14:paraId="7C1138C6" w14:textId="77777777" w:rsidR="00210355" w:rsidRPr="000B33D4" w:rsidRDefault="00210355" w:rsidP="00463C1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1,150</w:t>
            </w:r>
          </w:p>
        </w:tc>
        <w:tc>
          <w:tcPr>
            <w:tcW w:w="0" w:type="auto"/>
            <w:hideMark/>
          </w:tcPr>
          <w:p w14:paraId="3BBC0A5A" w14:textId="77777777" w:rsidR="00210355" w:rsidRPr="000B33D4" w:rsidRDefault="00210355" w:rsidP="00463C1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220</w:t>
            </w:r>
          </w:p>
        </w:tc>
        <w:tc>
          <w:tcPr>
            <w:tcW w:w="0" w:type="auto"/>
            <w:hideMark/>
          </w:tcPr>
          <w:p w14:paraId="37E5F371" w14:textId="77777777" w:rsidR="00210355" w:rsidRPr="000B33D4" w:rsidRDefault="00210355" w:rsidP="00463C1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B33D4">
              <w:rPr>
                <w:rFonts w:ascii="Times New Roman" w:eastAsia="Times New Roman" w:hAnsi="Times New Roman" w:cs="Times New Roman"/>
                <w:bCs/>
                <w:sz w:val="24"/>
                <w:szCs w:val="24"/>
              </w:rPr>
              <w:t>980</w:t>
            </w:r>
          </w:p>
        </w:tc>
        <w:tc>
          <w:tcPr>
            <w:tcW w:w="0" w:type="auto"/>
            <w:hideMark/>
          </w:tcPr>
          <w:p w14:paraId="0BB8FA3D" w14:textId="77777777" w:rsidR="00210355" w:rsidRPr="000B33D4" w:rsidRDefault="00210355" w:rsidP="00463C1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41.7%</w:t>
            </w:r>
          </w:p>
        </w:tc>
      </w:tr>
      <w:tr w:rsidR="00210355" w:rsidRPr="000B33D4" w14:paraId="77686264" w14:textId="77777777" w:rsidTr="00463C15">
        <w:tc>
          <w:tcPr>
            <w:cnfStyle w:val="001000000000" w:firstRow="0" w:lastRow="0" w:firstColumn="1" w:lastColumn="0" w:oddVBand="0" w:evenVBand="0" w:oddHBand="0" w:evenHBand="0" w:firstRowFirstColumn="0" w:firstRowLastColumn="0" w:lastRowFirstColumn="0" w:lastRowLastColumn="0"/>
            <w:tcW w:w="0" w:type="auto"/>
            <w:hideMark/>
          </w:tcPr>
          <w:p w14:paraId="7C7BD07C" w14:textId="77777777" w:rsidR="00210355" w:rsidRPr="000B33D4" w:rsidRDefault="00210355" w:rsidP="00463C15">
            <w:pPr>
              <w:spacing w:line="360" w:lineRule="auto"/>
              <w:jc w:val="both"/>
              <w:rPr>
                <w:rFonts w:ascii="Times New Roman" w:eastAsia="Times New Roman" w:hAnsi="Times New Roman" w:cs="Times New Roman"/>
                <w:b w:val="0"/>
                <w:sz w:val="24"/>
                <w:szCs w:val="24"/>
              </w:rPr>
            </w:pPr>
            <w:r w:rsidRPr="000B33D4">
              <w:rPr>
                <w:rFonts w:ascii="Times New Roman" w:eastAsia="Times New Roman" w:hAnsi="Times New Roman" w:cs="Times New Roman"/>
                <w:b w:val="0"/>
                <w:sz w:val="24"/>
                <w:szCs w:val="24"/>
              </w:rPr>
              <w:t>Agricultural Land</w:t>
            </w:r>
          </w:p>
        </w:tc>
        <w:tc>
          <w:tcPr>
            <w:tcW w:w="0" w:type="auto"/>
            <w:hideMark/>
          </w:tcPr>
          <w:p w14:paraId="34FA2074" w14:textId="77777777" w:rsidR="00210355" w:rsidRPr="000B33D4" w:rsidRDefault="00210355" w:rsidP="00463C1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2,350</w:t>
            </w:r>
          </w:p>
        </w:tc>
        <w:tc>
          <w:tcPr>
            <w:tcW w:w="0" w:type="auto"/>
            <w:hideMark/>
          </w:tcPr>
          <w:p w14:paraId="7ABBE245" w14:textId="77777777" w:rsidR="00210355" w:rsidRPr="000B33D4" w:rsidRDefault="00210355" w:rsidP="00463C1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1,020</w:t>
            </w:r>
          </w:p>
        </w:tc>
        <w:tc>
          <w:tcPr>
            <w:tcW w:w="0" w:type="auto"/>
            <w:hideMark/>
          </w:tcPr>
          <w:p w14:paraId="14E472FF" w14:textId="77777777" w:rsidR="00210355" w:rsidRPr="000B33D4" w:rsidRDefault="00210355" w:rsidP="00463C1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510</w:t>
            </w:r>
          </w:p>
        </w:tc>
        <w:tc>
          <w:tcPr>
            <w:tcW w:w="0" w:type="auto"/>
            <w:hideMark/>
          </w:tcPr>
          <w:p w14:paraId="1B1C52EB" w14:textId="77777777" w:rsidR="00210355" w:rsidRPr="000B33D4" w:rsidRDefault="00210355" w:rsidP="00463C1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B33D4">
              <w:rPr>
                <w:rFonts w:ascii="Times New Roman" w:eastAsia="Times New Roman" w:hAnsi="Times New Roman" w:cs="Times New Roman"/>
                <w:bCs/>
                <w:sz w:val="24"/>
                <w:szCs w:val="24"/>
              </w:rPr>
              <w:t>820</w:t>
            </w:r>
          </w:p>
        </w:tc>
        <w:tc>
          <w:tcPr>
            <w:tcW w:w="0" w:type="auto"/>
            <w:hideMark/>
          </w:tcPr>
          <w:p w14:paraId="28A5B047" w14:textId="77777777" w:rsidR="00210355" w:rsidRPr="000B33D4" w:rsidRDefault="00210355" w:rsidP="00463C1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34.9%</w:t>
            </w:r>
          </w:p>
        </w:tc>
      </w:tr>
      <w:tr w:rsidR="00210355" w:rsidRPr="000B33D4" w14:paraId="2DCA8E78" w14:textId="77777777" w:rsidTr="00463C15">
        <w:tc>
          <w:tcPr>
            <w:cnfStyle w:val="001000000000" w:firstRow="0" w:lastRow="0" w:firstColumn="1" w:lastColumn="0" w:oddVBand="0" w:evenVBand="0" w:oddHBand="0" w:evenHBand="0" w:firstRowFirstColumn="0" w:firstRowLastColumn="0" w:lastRowFirstColumn="0" w:lastRowLastColumn="0"/>
            <w:tcW w:w="0" w:type="auto"/>
            <w:hideMark/>
          </w:tcPr>
          <w:p w14:paraId="7A9384EB" w14:textId="77777777" w:rsidR="00210355" w:rsidRPr="000B33D4" w:rsidRDefault="00210355" w:rsidP="00463C15">
            <w:pPr>
              <w:spacing w:line="360" w:lineRule="auto"/>
              <w:jc w:val="both"/>
              <w:rPr>
                <w:rFonts w:ascii="Times New Roman" w:eastAsia="Times New Roman" w:hAnsi="Times New Roman" w:cs="Times New Roman"/>
                <w:b w:val="0"/>
                <w:sz w:val="24"/>
                <w:szCs w:val="24"/>
              </w:rPr>
            </w:pPr>
            <w:r w:rsidRPr="000B33D4">
              <w:rPr>
                <w:rFonts w:ascii="Times New Roman" w:eastAsia="Times New Roman" w:hAnsi="Times New Roman" w:cs="Times New Roman"/>
                <w:b w:val="0"/>
                <w:sz w:val="24"/>
                <w:szCs w:val="24"/>
              </w:rPr>
              <w:t>Bare Soil</w:t>
            </w:r>
          </w:p>
        </w:tc>
        <w:tc>
          <w:tcPr>
            <w:tcW w:w="0" w:type="auto"/>
            <w:hideMark/>
          </w:tcPr>
          <w:p w14:paraId="085F2F79" w14:textId="77777777" w:rsidR="00210355" w:rsidRPr="000B33D4" w:rsidRDefault="00210355" w:rsidP="00463C1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2,350</w:t>
            </w:r>
          </w:p>
        </w:tc>
        <w:tc>
          <w:tcPr>
            <w:tcW w:w="0" w:type="auto"/>
            <w:hideMark/>
          </w:tcPr>
          <w:p w14:paraId="46ACF16D" w14:textId="77777777" w:rsidR="00210355" w:rsidRPr="000B33D4" w:rsidRDefault="00210355" w:rsidP="00463C1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950</w:t>
            </w:r>
          </w:p>
        </w:tc>
        <w:tc>
          <w:tcPr>
            <w:tcW w:w="0" w:type="auto"/>
            <w:hideMark/>
          </w:tcPr>
          <w:p w14:paraId="73B6AC79" w14:textId="77777777" w:rsidR="00210355" w:rsidRPr="000B33D4" w:rsidRDefault="00210355" w:rsidP="00463C1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940</w:t>
            </w:r>
          </w:p>
        </w:tc>
        <w:tc>
          <w:tcPr>
            <w:tcW w:w="0" w:type="auto"/>
            <w:hideMark/>
          </w:tcPr>
          <w:p w14:paraId="4203A1E8" w14:textId="77777777" w:rsidR="00210355" w:rsidRPr="000B33D4" w:rsidRDefault="00210355" w:rsidP="00463C1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B33D4">
              <w:rPr>
                <w:rFonts w:ascii="Times New Roman" w:eastAsia="Times New Roman" w:hAnsi="Times New Roman" w:cs="Times New Roman"/>
                <w:bCs/>
                <w:sz w:val="24"/>
                <w:szCs w:val="24"/>
              </w:rPr>
              <w:t>460</w:t>
            </w:r>
          </w:p>
        </w:tc>
        <w:tc>
          <w:tcPr>
            <w:tcW w:w="0" w:type="auto"/>
            <w:hideMark/>
          </w:tcPr>
          <w:p w14:paraId="2067162D" w14:textId="77777777" w:rsidR="00210355" w:rsidRPr="000B33D4" w:rsidRDefault="00210355" w:rsidP="00463C1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19.6%</w:t>
            </w:r>
          </w:p>
        </w:tc>
      </w:tr>
      <w:tr w:rsidR="00210355" w:rsidRPr="000B33D4" w14:paraId="37E50C78" w14:textId="77777777" w:rsidTr="00463C15">
        <w:tc>
          <w:tcPr>
            <w:cnfStyle w:val="001000000000" w:firstRow="0" w:lastRow="0" w:firstColumn="1" w:lastColumn="0" w:oddVBand="0" w:evenVBand="0" w:oddHBand="0" w:evenHBand="0" w:firstRowFirstColumn="0" w:firstRowLastColumn="0" w:lastRowFirstColumn="0" w:lastRowLastColumn="0"/>
            <w:tcW w:w="0" w:type="auto"/>
            <w:hideMark/>
          </w:tcPr>
          <w:p w14:paraId="4EC86E6E" w14:textId="77777777" w:rsidR="00210355" w:rsidRPr="000B33D4" w:rsidRDefault="00210355" w:rsidP="00463C15">
            <w:pPr>
              <w:spacing w:line="360" w:lineRule="auto"/>
              <w:jc w:val="both"/>
              <w:rPr>
                <w:rFonts w:ascii="Times New Roman" w:eastAsia="Times New Roman" w:hAnsi="Times New Roman" w:cs="Times New Roman"/>
                <w:b w:val="0"/>
                <w:sz w:val="24"/>
                <w:szCs w:val="24"/>
              </w:rPr>
            </w:pPr>
            <w:r w:rsidRPr="000B33D4">
              <w:rPr>
                <w:rFonts w:ascii="Times New Roman" w:eastAsia="Times New Roman" w:hAnsi="Times New Roman" w:cs="Times New Roman"/>
                <w:b w:val="0"/>
                <w:sz w:val="24"/>
                <w:szCs w:val="24"/>
              </w:rPr>
              <w:t>Built-up Area</w:t>
            </w:r>
          </w:p>
        </w:tc>
        <w:tc>
          <w:tcPr>
            <w:tcW w:w="0" w:type="auto"/>
            <w:hideMark/>
          </w:tcPr>
          <w:p w14:paraId="7A414DD2" w14:textId="77777777" w:rsidR="00210355" w:rsidRPr="000B33D4" w:rsidRDefault="00210355" w:rsidP="00463C1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2,350</w:t>
            </w:r>
          </w:p>
        </w:tc>
        <w:tc>
          <w:tcPr>
            <w:tcW w:w="0" w:type="auto"/>
            <w:hideMark/>
          </w:tcPr>
          <w:p w14:paraId="365365A7" w14:textId="77777777" w:rsidR="00210355" w:rsidRPr="000B33D4" w:rsidRDefault="00210355" w:rsidP="00463C1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820</w:t>
            </w:r>
          </w:p>
        </w:tc>
        <w:tc>
          <w:tcPr>
            <w:tcW w:w="0" w:type="auto"/>
            <w:hideMark/>
          </w:tcPr>
          <w:p w14:paraId="386F94F4" w14:textId="77777777" w:rsidR="00210355" w:rsidRPr="000B33D4" w:rsidRDefault="00210355" w:rsidP="00463C1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1,280</w:t>
            </w:r>
          </w:p>
        </w:tc>
        <w:tc>
          <w:tcPr>
            <w:tcW w:w="0" w:type="auto"/>
            <w:hideMark/>
          </w:tcPr>
          <w:p w14:paraId="2BB233F3" w14:textId="77777777" w:rsidR="00210355" w:rsidRPr="000B33D4" w:rsidRDefault="00210355" w:rsidP="00463C1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B33D4">
              <w:rPr>
                <w:rFonts w:ascii="Times New Roman" w:eastAsia="Times New Roman" w:hAnsi="Times New Roman" w:cs="Times New Roman"/>
                <w:bCs/>
                <w:sz w:val="24"/>
                <w:szCs w:val="24"/>
              </w:rPr>
              <w:t>250</w:t>
            </w:r>
          </w:p>
        </w:tc>
        <w:tc>
          <w:tcPr>
            <w:tcW w:w="0" w:type="auto"/>
            <w:hideMark/>
          </w:tcPr>
          <w:p w14:paraId="6E7FCCEA" w14:textId="77777777" w:rsidR="00210355" w:rsidRPr="000B33D4" w:rsidRDefault="00210355" w:rsidP="00463C1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B33D4">
              <w:rPr>
                <w:rFonts w:ascii="Times New Roman" w:eastAsia="Times New Roman" w:hAnsi="Times New Roman" w:cs="Times New Roman"/>
                <w:sz w:val="24"/>
                <w:szCs w:val="24"/>
              </w:rPr>
              <w:t>10.6%</w:t>
            </w:r>
          </w:p>
        </w:tc>
      </w:tr>
    </w:tbl>
    <w:p w14:paraId="691C1AF4" w14:textId="77777777" w:rsidR="00210355" w:rsidRPr="000B33D4" w:rsidRDefault="00210355" w:rsidP="00210355">
      <w:pPr>
        <w:spacing w:after="0" w:line="360" w:lineRule="auto"/>
        <w:jc w:val="both"/>
        <w:rPr>
          <w:rFonts w:ascii="Times New Roman" w:eastAsia="Times New Roman" w:hAnsi="Times New Roman" w:cs="Times New Roman"/>
          <w:sz w:val="24"/>
          <w:szCs w:val="24"/>
        </w:rPr>
      </w:pPr>
    </w:p>
    <w:p w14:paraId="7642E7CA" w14:textId="77777777" w:rsidR="00210355" w:rsidRPr="000B33D4" w:rsidRDefault="00210355" w:rsidP="00210355">
      <w:pPr>
        <w:spacing w:after="0" w:line="360" w:lineRule="auto"/>
        <w:jc w:val="both"/>
        <w:rPr>
          <w:rFonts w:ascii="Times New Roman" w:eastAsia="Times New Roman" w:hAnsi="Times New Roman" w:cs="Times New Roman"/>
          <w:sz w:val="24"/>
          <w:szCs w:val="24"/>
        </w:rPr>
      </w:pPr>
      <w:r w:rsidRPr="000B33D4">
        <w:rPr>
          <w:rFonts w:ascii="Times New Roman" w:hAnsi="Times New Roman"/>
          <w:sz w:val="24"/>
        </w:rPr>
        <w:t>The Forest Reserve converted 41.7% of annual rainfall into groundwater recharge. In sharp contrast, the Built-up Area converted the majority of precipitation into surface runoff (1,280 mm), leaving only 250 mm (10.6%) for deep percolation. This represents an estimated 89.4% loss in recharge capacity when pristine forest systems are heavily urbanised without mitigation.</w:t>
      </w:r>
    </w:p>
    <w:p w14:paraId="7FC338D3" w14:textId="77777777" w:rsidR="00210355" w:rsidRPr="000B33D4" w:rsidRDefault="00210355" w:rsidP="00210355">
      <w:pPr>
        <w:pStyle w:val="NormalWeb"/>
        <w:spacing w:line="360" w:lineRule="auto"/>
        <w:jc w:val="both"/>
      </w:pPr>
      <w:r w:rsidRPr="000B33D4">
        <w:t>The results clearly demonstrate that land use exerts a major influence on watershed hydrology. Forest ecosystems promote high infiltration, low runoff, enhanced groundwater recharge, and improved soil physical properties. Conversely, urban development reduces infiltration because of soil sealing and compaction, thereby increasing surface runoff and decreasing groundwater recharge.</w:t>
      </w:r>
    </w:p>
    <w:p w14:paraId="7F67EE02" w14:textId="307E4750" w:rsidR="003E40FB" w:rsidRPr="000B33D4" w:rsidRDefault="00210355" w:rsidP="00034AF9">
      <w:pPr>
        <w:pStyle w:val="NormalWeb"/>
        <w:spacing w:line="360" w:lineRule="auto"/>
        <w:jc w:val="both"/>
      </w:pPr>
      <w:r w:rsidRPr="000B33D4">
        <w:lastRenderedPageBreak/>
        <w:t xml:space="preserve">These findings agree with Bronstert </w:t>
      </w:r>
      <w:r w:rsidRPr="000B33D4">
        <w:rPr>
          <w:i/>
        </w:rPr>
        <w:t>et al.</w:t>
      </w:r>
      <w:r w:rsidRPr="000B33D4">
        <w:t xml:space="preserve"> (2002), Beven (2012), and </w:t>
      </w:r>
      <w:r w:rsidR="00F418B4" w:rsidRPr="00F418B4">
        <w:t>Food and Agriculture Organization of the United Nations</w:t>
      </w:r>
      <w:r w:rsidRPr="000B33D4">
        <w:t xml:space="preserve"> (202</w:t>
      </w:r>
      <w:r w:rsidR="00F418B4">
        <w:t>2</w:t>
      </w:r>
      <w:r w:rsidRPr="000B33D4">
        <w:t xml:space="preserve">), who </w:t>
      </w:r>
      <w:proofErr w:type="spellStart"/>
      <w:r w:rsidRPr="000B33D4">
        <w:t>emphasised</w:t>
      </w:r>
      <w:proofErr w:type="spellEnd"/>
      <w:r w:rsidRPr="000B33D4">
        <w:t xml:space="preserve"> that sustainable land-management practices are essential for improving infiltration, mitigating floods, and maintaining groundwater resources in tropical watersheds.</w:t>
      </w:r>
    </w:p>
    <w:p w14:paraId="5122D091" w14:textId="77777777" w:rsidR="00210355" w:rsidRPr="000B33D4" w:rsidRDefault="003E40FB" w:rsidP="00210355">
      <w:pPr>
        <w:spacing w:before="320" w:after="320" w:line="360" w:lineRule="auto"/>
        <w:jc w:val="both"/>
        <w:rPr>
          <w:rFonts w:ascii="Times New Roman" w:eastAsia="Times New Roman" w:hAnsi="Times New Roman" w:cs="Times New Roman"/>
          <w:b/>
          <w:bCs/>
          <w:sz w:val="24"/>
          <w:szCs w:val="24"/>
        </w:rPr>
      </w:pPr>
      <w:r w:rsidRPr="000B33D4">
        <w:rPr>
          <w:rFonts w:ascii="Times New Roman" w:eastAsia="Times New Roman" w:hAnsi="Times New Roman" w:cs="Times New Roman"/>
          <w:b/>
          <w:bCs/>
          <w:sz w:val="24"/>
          <w:szCs w:val="24"/>
        </w:rPr>
        <w:t>4.0</w:t>
      </w:r>
      <w:r w:rsidRPr="000B33D4">
        <w:rPr>
          <w:rFonts w:ascii="Times New Roman" w:eastAsia="Times New Roman" w:hAnsi="Times New Roman" w:cs="Times New Roman"/>
          <w:b/>
          <w:bCs/>
          <w:sz w:val="24"/>
          <w:szCs w:val="24"/>
        </w:rPr>
        <w:tab/>
      </w:r>
      <w:r w:rsidR="00210355" w:rsidRPr="000B33D4">
        <w:rPr>
          <w:rFonts w:ascii="Times New Roman" w:eastAsia="Times New Roman" w:hAnsi="Times New Roman" w:cs="Times New Roman"/>
          <w:b/>
          <w:bCs/>
          <w:sz w:val="24"/>
          <w:szCs w:val="24"/>
        </w:rPr>
        <w:t>CONCLUSION AND RECOMMENDATION</w:t>
      </w:r>
    </w:p>
    <w:p w14:paraId="3FA81EAC" w14:textId="77777777" w:rsidR="00210355" w:rsidRPr="000B33D4" w:rsidRDefault="009F2527" w:rsidP="00210355">
      <w:pPr>
        <w:spacing w:before="320" w:after="320" w:line="360" w:lineRule="auto"/>
        <w:jc w:val="both"/>
        <w:rPr>
          <w:rFonts w:ascii="Times New Roman" w:eastAsia="Times New Roman" w:hAnsi="Times New Roman" w:cs="Times New Roman"/>
          <w:b/>
          <w:bCs/>
          <w:sz w:val="24"/>
          <w:szCs w:val="24"/>
        </w:rPr>
      </w:pPr>
      <w:r w:rsidRPr="000B33D4">
        <w:rPr>
          <w:rFonts w:ascii="Times New Roman" w:eastAsia="Times New Roman" w:hAnsi="Times New Roman" w:cs="Times New Roman"/>
          <w:b/>
          <w:bCs/>
          <w:sz w:val="24"/>
          <w:szCs w:val="24"/>
        </w:rPr>
        <w:t>Conclusion</w:t>
      </w:r>
    </w:p>
    <w:p w14:paraId="2FAD77B7" w14:textId="77777777" w:rsidR="00210355" w:rsidRPr="000B33D4" w:rsidRDefault="00210355" w:rsidP="00210355">
      <w:pPr>
        <w:spacing w:after="0" w:line="360" w:lineRule="auto"/>
        <w:jc w:val="both"/>
        <w:rPr>
          <w:rFonts w:ascii="Times New Roman" w:hAnsi="Times New Roman" w:cs="Times New Roman"/>
          <w:sz w:val="24"/>
          <w:szCs w:val="24"/>
        </w:rPr>
      </w:pPr>
      <w:r w:rsidRPr="000B33D4">
        <w:rPr>
          <w:rFonts w:ascii="Times New Roman" w:hAnsi="Times New Roman"/>
          <w:sz w:val="24"/>
        </w:rPr>
        <w:t>This study demonstrated that land-use practices significantly influence soil infiltration characteristics and groundwater recharge potential within the Otamiri–Nworie tropical watershed. Forest Reserve areas exhibited the highest infiltration rates, hydraulic conductivity, and groundwater recharge because of their low soil compaction, high porosity, and well-developed soil structure, whereas Built-up Areas recorded the lowest values because of impervious surfaces and severe soil compaction. Agricultural Land showed moderate infiltration and recharge characteristics, while Bare Soil performed better than Built-up Areas but remained inferior to forested land. Among the evaluated infiltration models, the Horton model provided the best prediction of field infiltration data across all land-use types, with the highest coefficients of determination and the lowest prediction errors. Overall, the findings confirm that increasing urbanisation and vegetation loss substantially reduce groundwater recharge and increase surface runoff, emphasising the need for sustainable land-use planning, watershed conservation, and infiltration-enhancing management practices to maintain groundwater resources and hydrological balance in tropical watersheds.</w:t>
      </w:r>
    </w:p>
    <w:p w14:paraId="2CD6690B" w14:textId="77777777" w:rsidR="00210355" w:rsidRPr="000B33D4" w:rsidRDefault="00210355" w:rsidP="00210355">
      <w:pPr>
        <w:spacing w:after="0" w:line="360" w:lineRule="auto"/>
        <w:jc w:val="both"/>
        <w:rPr>
          <w:rFonts w:ascii="Times New Roman" w:eastAsia="Times New Roman" w:hAnsi="Times New Roman" w:cs="Times New Roman"/>
          <w:b/>
          <w:bCs/>
          <w:sz w:val="24"/>
          <w:szCs w:val="24"/>
        </w:rPr>
      </w:pPr>
    </w:p>
    <w:p w14:paraId="3888A25D" w14:textId="77777777" w:rsidR="00210355" w:rsidRPr="000B33D4" w:rsidRDefault="00210355" w:rsidP="00210355">
      <w:pPr>
        <w:spacing w:after="0" w:line="360" w:lineRule="auto"/>
        <w:jc w:val="both"/>
        <w:rPr>
          <w:rFonts w:ascii="Times New Roman" w:eastAsia="Times New Roman" w:hAnsi="Times New Roman" w:cs="Times New Roman"/>
          <w:b/>
          <w:bCs/>
          <w:sz w:val="24"/>
          <w:szCs w:val="24"/>
        </w:rPr>
      </w:pPr>
      <w:r w:rsidRPr="000B33D4">
        <w:rPr>
          <w:rFonts w:ascii="Times New Roman" w:eastAsia="Times New Roman" w:hAnsi="Times New Roman" w:cs="Times New Roman"/>
          <w:b/>
          <w:bCs/>
          <w:sz w:val="24"/>
          <w:szCs w:val="24"/>
        </w:rPr>
        <w:t>Recommendations</w:t>
      </w:r>
    </w:p>
    <w:p w14:paraId="6CC99BAE" w14:textId="77777777" w:rsidR="00210355" w:rsidRPr="000B33D4" w:rsidRDefault="00210355" w:rsidP="00210355">
      <w:pPr>
        <w:spacing w:before="320" w:after="320" w:line="360" w:lineRule="auto"/>
        <w:jc w:val="both"/>
        <w:rPr>
          <w:rFonts w:ascii="Times New Roman" w:hAnsi="Times New Roman"/>
          <w:sz w:val="24"/>
        </w:rPr>
      </w:pPr>
      <w:r w:rsidRPr="000B33D4">
        <w:rPr>
          <w:rFonts w:ascii="Times New Roman" w:hAnsi="Times New Roman"/>
          <w:sz w:val="24"/>
        </w:rPr>
        <w:t xml:space="preserve">To mitigate these negative hydrological shifts, the following recommendations are made: establish strict conservation perimeters around the remaining forest tracts along the riparian corridors of the Otamiri and Nworie Rivers; encourage urban farmers to practise agroforestry to sustain soil organic matter contents; promote afforestation and watershed restoration to enhance infiltration and groundwater recharge; and encourage farmers to adopt conservation practices </w:t>
      </w:r>
      <w:r w:rsidRPr="000B33D4">
        <w:rPr>
          <w:rFonts w:ascii="Times New Roman" w:hAnsi="Times New Roman"/>
          <w:sz w:val="24"/>
        </w:rPr>
        <w:lastRenderedPageBreak/>
        <w:t>such as reduced tillage, cover cropping, and residue retention, while restricting uncontrolled urban expansion.</w:t>
      </w:r>
    </w:p>
    <w:p w14:paraId="3E48A32C" w14:textId="59399DD8" w:rsidR="00A246EB" w:rsidRPr="000B33D4" w:rsidRDefault="00A246EB" w:rsidP="00210355">
      <w:pPr>
        <w:spacing w:before="320" w:after="320" w:line="360" w:lineRule="auto"/>
        <w:jc w:val="both"/>
        <w:rPr>
          <w:rFonts w:ascii="Times New Roman" w:hAnsi="Times New Roman"/>
          <w:b/>
          <w:bCs/>
          <w:sz w:val="24"/>
        </w:rPr>
      </w:pPr>
      <w:r w:rsidRPr="000B33D4">
        <w:rPr>
          <w:rFonts w:ascii="Times New Roman" w:hAnsi="Times New Roman"/>
          <w:b/>
          <w:bCs/>
          <w:sz w:val="24"/>
        </w:rPr>
        <w:t>Limitations</w:t>
      </w:r>
    </w:p>
    <w:p w14:paraId="1813A529" w14:textId="77777777" w:rsidR="000C5664" w:rsidRPr="000B33D4" w:rsidRDefault="000C5664" w:rsidP="000C5664">
      <w:pPr>
        <w:spacing w:after="0" w:line="240" w:lineRule="auto"/>
        <w:jc w:val="both"/>
      </w:pPr>
      <w:r w:rsidRPr="000B33D4">
        <w:t xml:space="preserve">The study was limited to four selected land-use practices within the </w:t>
      </w:r>
      <w:proofErr w:type="spellStart"/>
      <w:r w:rsidRPr="000B33D4">
        <w:t>Otamiri</w:t>
      </w:r>
      <w:proofErr w:type="spellEnd"/>
      <w:r w:rsidRPr="000B33D4">
        <w:t>–Nworie watershed and to infiltration measurements obtained at the specified sampling points and observation periods. Consequently, the results represent the hydrological conditions captured by the study design and should be interpreted within that spatial and temporal context. Recharge estimates were derived using the stated water-balance assumptions and therefore reflect potential rather than directly measured groundwater recharge.</w:t>
      </w:r>
    </w:p>
    <w:p w14:paraId="424F1B84" w14:textId="77777777" w:rsidR="000C5664" w:rsidRPr="000B33D4" w:rsidRDefault="000C5664" w:rsidP="00251302">
      <w:pPr>
        <w:spacing w:after="0" w:line="240" w:lineRule="auto"/>
      </w:pPr>
    </w:p>
    <w:p w14:paraId="0D665082" w14:textId="44B3D715" w:rsidR="00251302" w:rsidRPr="000B33D4" w:rsidRDefault="00251302" w:rsidP="00251302">
      <w:pPr>
        <w:spacing w:after="0" w:line="240" w:lineRule="auto"/>
        <w:rPr>
          <w:rFonts w:ascii="Times New Roman" w:hAnsi="Times New Roman" w:cs="Times New Roman"/>
          <w:b/>
        </w:rPr>
      </w:pPr>
      <w:r w:rsidRPr="000B33D4">
        <w:rPr>
          <w:rFonts w:ascii="Times New Roman" w:hAnsi="Times New Roman" w:cs="Times New Roman"/>
          <w:b/>
        </w:rPr>
        <w:t>Declaration of AI Use</w:t>
      </w:r>
    </w:p>
    <w:p w14:paraId="292B4D17" w14:textId="77777777" w:rsidR="00251302" w:rsidRPr="000B33D4" w:rsidRDefault="00251302" w:rsidP="00251302">
      <w:pPr>
        <w:spacing w:after="0" w:line="240" w:lineRule="auto"/>
        <w:rPr>
          <w:rFonts w:ascii="Times New Roman" w:hAnsi="Times New Roman" w:cs="Times New Roman"/>
          <w:b/>
        </w:rPr>
      </w:pPr>
    </w:p>
    <w:p w14:paraId="049A3C20" w14:textId="77777777" w:rsidR="00251302" w:rsidRPr="000B33D4" w:rsidRDefault="00251302" w:rsidP="00251302">
      <w:pPr>
        <w:spacing w:after="0" w:line="240" w:lineRule="auto"/>
        <w:rPr>
          <w:rFonts w:ascii="Arial" w:hAnsi="Arial" w:cs="Arial"/>
          <w:sz w:val="20"/>
          <w:szCs w:val="20"/>
        </w:rPr>
      </w:pPr>
      <w:r w:rsidRPr="000B33D4">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2C01525F" w14:textId="77777777" w:rsidR="00251302" w:rsidRPr="000B33D4" w:rsidRDefault="00251302" w:rsidP="00210355">
      <w:pPr>
        <w:spacing w:before="320" w:after="320" w:line="360" w:lineRule="auto"/>
        <w:jc w:val="both"/>
        <w:rPr>
          <w:rFonts w:ascii="Times New Roman" w:eastAsia="Times New Roman" w:hAnsi="Times New Roman" w:cs="Times New Roman"/>
          <w:sz w:val="24"/>
          <w:szCs w:val="24"/>
        </w:rPr>
      </w:pPr>
    </w:p>
    <w:p w14:paraId="49C1C993" w14:textId="77777777" w:rsidR="00210355" w:rsidRPr="000B33D4" w:rsidRDefault="00210355" w:rsidP="00210355">
      <w:pPr>
        <w:spacing w:before="100" w:beforeAutospacing="1" w:after="100" w:afterAutospacing="1" w:line="360" w:lineRule="auto"/>
        <w:jc w:val="both"/>
        <w:rPr>
          <w:rFonts w:ascii="Times New Roman" w:eastAsia="Times New Roman" w:hAnsi="Times New Roman" w:cs="Times New Roman"/>
          <w:b/>
          <w:sz w:val="24"/>
          <w:szCs w:val="24"/>
        </w:rPr>
      </w:pPr>
      <w:r w:rsidRPr="000B33D4">
        <w:rPr>
          <w:rFonts w:ascii="Times New Roman" w:eastAsia="Times New Roman" w:hAnsi="Times New Roman" w:cs="Times New Roman"/>
          <w:b/>
          <w:sz w:val="24"/>
          <w:szCs w:val="24"/>
        </w:rPr>
        <w:t>REFERENCES</w:t>
      </w:r>
    </w:p>
    <w:p w14:paraId="7038F773" w14:textId="77777777" w:rsidR="00F418B4" w:rsidRPr="00F418B4" w:rsidRDefault="00F418B4" w:rsidP="00F418B4">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F418B4">
        <w:rPr>
          <w:rFonts w:ascii="Times New Roman" w:eastAsia="Times New Roman" w:hAnsi="Times New Roman" w:cs="Times New Roman"/>
          <w:sz w:val="24"/>
          <w:szCs w:val="24"/>
          <w:lang w:val="nl-BE"/>
        </w:rPr>
        <w:t xml:space="preserve">Agbai, W. P., Kosuowei, M. T., &amp; Efenudu, U. I. (2022). </w:t>
      </w:r>
      <w:r w:rsidRPr="00F418B4">
        <w:rPr>
          <w:rFonts w:ascii="Times New Roman" w:eastAsia="Times New Roman" w:hAnsi="Times New Roman" w:cs="Times New Roman"/>
          <w:sz w:val="24"/>
          <w:szCs w:val="24"/>
        </w:rPr>
        <w:t xml:space="preserve">The infiltration capacity of soils under different land-use systems in Yenagoa and Southern Ijaw Local Government Areas of Bayelsa State. </w:t>
      </w:r>
      <w:r w:rsidRPr="00F418B4">
        <w:rPr>
          <w:rFonts w:ascii="Times New Roman" w:eastAsia="Times New Roman" w:hAnsi="Times New Roman" w:cs="Times New Roman"/>
          <w:i/>
          <w:iCs/>
          <w:sz w:val="24"/>
          <w:szCs w:val="24"/>
        </w:rPr>
        <w:t>African Journal of Agriculture and Food Science, 5</w:t>
      </w:r>
      <w:r w:rsidRPr="00F418B4">
        <w:rPr>
          <w:rFonts w:ascii="Times New Roman" w:eastAsia="Times New Roman" w:hAnsi="Times New Roman" w:cs="Times New Roman"/>
          <w:sz w:val="24"/>
          <w:szCs w:val="24"/>
        </w:rPr>
        <w:t xml:space="preserve">(1), 17–28. </w:t>
      </w:r>
      <w:hyperlink r:id="rId7" w:tgtFrame="_blank" w:history="1">
        <w:r w:rsidRPr="00F418B4">
          <w:rPr>
            <w:rFonts w:ascii="Times New Roman" w:eastAsia="Times New Roman" w:hAnsi="Times New Roman" w:cs="Times New Roman"/>
            <w:color w:val="0000FF"/>
            <w:sz w:val="24"/>
            <w:szCs w:val="24"/>
            <w:u w:val="single"/>
          </w:rPr>
          <w:t>https://doi.org/10.52589/AJAFS-LIAII98M</w:t>
        </w:r>
      </w:hyperlink>
    </w:p>
    <w:p w14:paraId="5479E9B7" w14:textId="77777777" w:rsidR="00F418B4" w:rsidRPr="00F418B4" w:rsidRDefault="00F418B4" w:rsidP="00F418B4">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F418B4">
        <w:rPr>
          <w:rFonts w:ascii="Times New Roman" w:eastAsia="Times New Roman" w:hAnsi="Times New Roman" w:cs="Times New Roman"/>
          <w:sz w:val="24"/>
          <w:szCs w:val="24"/>
        </w:rPr>
        <w:t xml:space="preserve">Aikins, S. H. M., &amp; </w:t>
      </w:r>
      <w:proofErr w:type="spellStart"/>
      <w:r w:rsidRPr="00F418B4">
        <w:rPr>
          <w:rFonts w:ascii="Times New Roman" w:eastAsia="Times New Roman" w:hAnsi="Times New Roman" w:cs="Times New Roman"/>
          <w:sz w:val="24"/>
          <w:szCs w:val="24"/>
        </w:rPr>
        <w:t>Afuakwa</w:t>
      </w:r>
      <w:proofErr w:type="spellEnd"/>
      <w:r w:rsidRPr="00F418B4">
        <w:rPr>
          <w:rFonts w:ascii="Times New Roman" w:eastAsia="Times New Roman" w:hAnsi="Times New Roman" w:cs="Times New Roman"/>
          <w:sz w:val="24"/>
          <w:szCs w:val="24"/>
        </w:rPr>
        <w:t xml:space="preserve">, J. J. (2012). Effect of four different tillage practices on soil physical properties under cowpea. </w:t>
      </w:r>
      <w:r w:rsidRPr="00F418B4">
        <w:rPr>
          <w:rFonts w:ascii="Times New Roman" w:eastAsia="Times New Roman" w:hAnsi="Times New Roman" w:cs="Times New Roman"/>
          <w:i/>
          <w:iCs/>
          <w:sz w:val="24"/>
          <w:szCs w:val="24"/>
        </w:rPr>
        <w:t>Agriculture and Biology Journal of North America, 3</w:t>
      </w:r>
      <w:r w:rsidRPr="00F418B4">
        <w:rPr>
          <w:rFonts w:ascii="Times New Roman" w:eastAsia="Times New Roman" w:hAnsi="Times New Roman" w:cs="Times New Roman"/>
          <w:sz w:val="24"/>
          <w:szCs w:val="24"/>
        </w:rPr>
        <w:t>(1), 17–24. https://doi.org/10.5251/abjna.2012.3.1.17.24</w:t>
      </w:r>
    </w:p>
    <w:p w14:paraId="640803E5" w14:textId="3EEB0A43" w:rsidR="00F418B4" w:rsidRPr="00F418B4" w:rsidRDefault="00F418B4" w:rsidP="00F418B4">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F418B4">
        <w:rPr>
          <w:rFonts w:ascii="Times New Roman" w:eastAsia="Times New Roman" w:hAnsi="Times New Roman" w:cs="Times New Roman"/>
          <w:sz w:val="24"/>
          <w:szCs w:val="24"/>
        </w:rPr>
        <w:t xml:space="preserve">ASABE Standards. (2008). </w:t>
      </w:r>
      <w:r w:rsidRPr="00F418B4">
        <w:rPr>
          <w:rFonts w:ascii="Times New Roman" w:eastAsia="Times New Roman" w:hAnsi="Times New Roman" w:cs="Times New Roman"/>
          <w:i/>
          <w:iCs/>
          <w:sz w:val="24"/>
          <w:szCs w:val="24"/>
        </w:rPr>
        <w:t>ASAE S358.2 DEC1988 (R2008): Moisture measurement—Forages</w:t>
      </w:r>
      <w:r w:rsidRPr="00F418B4">
        <w:rPr>
          <w:rFonts w:ascii="Times New Roman" w:eastAsia="Times New Roman" w:hAnsi="Times New Roman" w:cs="Times New Roman"/>
          <w:sz w:val="24"/>
          <w:szCs w:val="24"/>
        </w:rPr>
        <w:t xml:space="preserve">. American Society of Agricultural and Biological Engineers. </w:t>
      </w:r>
    </w:p>
    <w:p w14:paraId="228A500B" w14:textId="77777777" w:rsidR="00F418B4" w:rsidRPr="00F418B4" w:rsidRDefault="00F418B4" w:rsidP="00F418B4">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F418B4">
        <w:rPr>
          <w:rFonts w:ascii="Times New Roman" w:eastAsia="Times New Roman" w:hAnsi="Times New Roman" w:cs="Times New Roman"/>
          <w:sz w:val="24"/>
          <w:szCs w:val="24"/>
        </w:rPr>
        <w:t xml:space="preserve">Beven, K. (2012). </w:t>
      </w:r>
      <w:r w:rsidRPr="00F418B4">
        <w:rPr>
          <w:rFonts w:ascii="Times New Roman" w:eastAsia="Times New Roman" w:hAnsi="Times New Roman" w:cs="Times New Roman"/>
          <w:i/>
          <w:iCs/>
          <w:sz w:val="24"/>
          <w:szCs w:val="24"/>
        </w:rPr>
        <w:t>Rainfall-runoff modelling: The primer</w:t>
      </w:r>
      <w:r w:rsidRPr="00F418B4">
        <w:rPr>
          <w:rFonts w:ascii="Times New Roman" w:eastAsia="Times New Roman" w:hAnsi="Times New Roman" w:cs="Times New Roman"/>
          <w:sz w:val="24"/>
          <w:szCs w:val="24"/>
        </w:rPr>
        <w:t xml:space="preserve"> (2nd ed.). Wiley-Blackwell. https://doi.org/10.1002/9781119951001</w:t>
      </w:r>
    </w:p>
    <w:p w14:paraId="2F2D8665" w14:textId="77777777" w:rsidR="00F418B4" w:rsidRPr="00F418B4" w:rsidRDefault="00F418B4" w:rsidP="00F418B4">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F418B4">
        <w:rPr>
          <w:rFonts w:ascii="Times New Roman" w:eastAsia="Times New Roman" w:hAnsi="Times New Roman" w:cs="Times New Roman"/>
          <w:sz w:val="24"/>
          <w:szCs w:val="24"/>
        </w:rPr>
        <w:t xml:space="preserve">Bonell, M., &amp; </w:t>
      </w:r>
      <w:proofErr w:type="spellStart"/>
      <w:r w:rsidRPr="00F418B4">
        <w:rPr>
          <w:rFonts w:ascii="Times New Roman" w:eastAsia="Times New Roman" w:hAnsi="Times New Roman" w:cs="Times New Roman"/>
          <w:sz w:val="24"/>
          <w:szCs w:val="24"/>
        </w:rPr>
        <w:t>Bruijnzeel</w:t>
      </w:r>
      <w:proofErr w:type="spellEnd"/>
      <w:r w:rsidRPr="00F418B4">
        <w:rPr>
          <w:rFonts w:ascii="Times New Roman" w:eastAsia="Times New Roman" w:hAnsi="Times New Roman" w:cs="Times New Roman"/>
          <w:sz w:val="24"/>
          <w:szCs w:val="24"/>
        </w:rPr>
        <w:t xml:space="preserve">, L. A. (Eds.). (2005). </w:t>
      </w:r>
      <w:r w:rsidRPr="00F418B4">
        <w:rPr>
          <w:rFonts w:ascii="Times New Roman" w:eastAsia="Times New Roman" w:hAnsi="Times New Roman" w:cs="Times New Roman"/>
          <w:i/>
          <w:iCs/>
          <w:sz w:val="24"/>
          <w:szCs w:val="24"/>
        </w:rPr>
        <w:t>Forests, water and people in the humid tropics: Past, present and future hydrological research for integrated land and water management</w:t>
      </w:r>
      <w:r w:rsidRPr="00F418B4">
        <w:rPr>
          <w:rFonts w:ascii="Times New Roman" w:eastAsia="Times New Roman" w:hAnsi="Times New Roman" w:cs="Times New Roman"/>
          <w:sz w:val="24"/>
          <w:szCs w:val="24"/>
        </w:rPr>
        <w:t>. Cambridge University Press. https://doi.org/10.1017/CBO9780511535666</w:t>
      </w:r>
    </w:p>
    <w:p w14:paraId="0089A6B7" w14:textId="77777777" w:rsidR="00F418B4" w:rsidRPr="00F418B4" w:rsidRDefault="00F418B4" w:rsidP="00F418B4">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F418B4">
        <w:rPr>
          <w:rFonts w:ascii="Times New Roman" w:eastAsia="Times New Roman" w:hAnsi="Times New Roman" w:cs="Times New Roman"/>
          <w:sz w:val="24"/>
          <w:szCs w:val="24"/>
        </w:rPr>
        <w:t xml:space="preserve">Bouwer, H. (2002). Artificial recharge of groundwater: Hydrogeology and engineering. </w:t>
      </w:r>
      <w:r w:rsidRPr="00F418B4">
        <w:rPr>
          <w:rFonts w:ascii="Times New Roman" w:eastAsia="Times New Roman" w:hAnsi="Times New Roman" w:cs="Times New Roman"/>
          <w:i/>
          <w:iCs/>
          <w:sz w:val="24"/>
          <w:szCs w:val="24"/>
        </w:rPr>
        <w:t>Hydrogeology Journal, 10</w:t>
      </w:r>
      <w:r w:rsidRPr="00F418B4">
        <w:rPr>
          <w:rFonts w:ascii="Times New Roman" w:eastAsia="Times New Roman" w:hAnsi="Times New Roman" w:cs="Times New Roman"/>
          <w:sz w:val="24"/>
          <w:szCs w:val="24"/>
        </w:rPr>
        <w:t>(1), 121–142. https://doi.org/10.1007/s10040-001-0182-4</w:t>
      </w:r>
    </w:p>
    <w:p w14:paraId="3BCD5BAD" w14:textId="59F57312" w:rsidR="00F418B4" w:rsidRPr="00F418B4" w:rsidRDefault="00F418B4" w:rsidP="00F418B4">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F418B4">
        <w:rPr>
          <w:rFonts w:ascii="Times New Roman" w:eastAsia="Times New Roman" w:hAnsi="Times New Roman" w:cs="Times New Roman"/>
          <w:sz w:val="24"/>
          <w:szCs w:val="24"/>
        </w:rPr>
        <w:lastRenderedPageBreak/>
        <w:t xml:space="preserve">Brady, N. C., &amp; Weil, R. R. (2017). </w:t>
      </w:r>
      <w:r w:rsidRPr="00F418B4">
        <w:rPr>
          <w:rFonts w:ascii="Times New Roman" w:eastAsia="Times New Roman" w:hAnsi="Times New Roman" w:cs="Times New Roman"/>
          <w:i/>
          <w:iCs/>
          <w:sz w:val="24"/>
          <w:szCs w:val="24"/>
        </w:rPr>
        <w:t>The nature and properties of soils</w:t>
      </w:r>
      <w:r w:rsidRPr="00F418B4">
        <w:rPr>
          <w:rFonts w:ascii="Times New Roman" w:eastAsia="Times New Roman" w:hAnsi="Times New Roman" w:cs="Times New Roman"/>
          <w:sz w:val="24"/>
          <w:szCs w:val="24"/>
        </w:rPr>
        <w:t xml:space="preserve"> (15th ed.). Pearson. </w:t>
      </w:r>
    </w:p>
    <w:p w14:paraId="5042C13B" w14:textId="77777777" w:rsidR="00F418B4" w:rsidRPr="00F418B4" w:rsidRDefault="00F418B4" w:rsidP="00F418B4">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F418B4">
        <w:rPr>
          <w:rFonts w:ascii="Times New Roman" w:eastAsia="Times New Roman" w:hAnsi="Times New Roman" w:cs="Times New Roman"/>
          <w:sz w:val="24"/>
          <w:szCs w:val="24"/>
        </w:rPr>
        <w:t xml:space="preserve">Bronstert, A., Niehoff, D., &amp; Bürger, G. (2002). Effects of climate and land-use change on storm runoff generation: Present knowledge and modelling capabilities. </w:t>
      </w:r>
      <w:r w:rsidRPr="00F418B4">
        <w:rPr>
          <w:rFonts w:ascii="Times New Roman" w:eastAsia="Times New Roman" w:hAnsi="Times New Roman" w:cs="Times New Roman"/>
          <w:i/>
          <w:iCs/>
          <w:sz w:val="24"/>
          <w:szCs w:val="24"/>
        </w:rPr>
        <w:t>Hydrological Processes, 16</w:t>
      </w:r>
      <w:r w:rsidRPr="00F418B4">
        <w:rPr>
          <w:rFonts w:ascii="Times New Roman" w:eastAsia="Times New Roman" w:hAnsi="Times New Roman" w:cs="Times New Roman"/>
          <w:sz w:val="24"/>
          <w:szCs w:val="24"/>
        </w:rPr>
        <w:t>(2), 509–529. https://doi.org/10.1002/hyp.326</w:t>
      </w:r>
    </w:p>
    <w:p w14:paraId="2BFBE162" w14:textId="384C655D" w:rsidR="00F418B4" w:rsidRPr="00F418B4" w:rsidRDefault="00F418B4" w:rsidP="00F418B4">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F418B4">
        <w:rPr>
          <w:rFonts w:ascii="Times New Roman" w:eastAsia="Times New Roman" w:hAnsi="Times New Roman" w:cs="Times New Roman"/>
          <w:sz w:val="24"/>
          <w:szCs w:val="24"/>
        </w:rPr>
        <w:t xml:space="preserve">Dunne, T., &amp; Leopold, L. B. (1978). </w:t>
      </w:r>
      <w:r w:rsidRPr="00F418B4">
        <w:rPr>
          <w:rFonts w:ascii="Times New Roman" w:eastAsia="Times New Roman" w:hAnsi="Times New Roman" w:cs="Times New Roman"/>
          <w:i/>
          <w:iCs/>
          <w:sz w:val="24"/>
          <w:szCs w:val="24"/>
        </w:rPr>
        <w:t>Water in environmental planning</w:t>
      </w:r>
      <w:r w:rsidRPr="00F418B4">
        <w:rPr>
          <w:rFonts w:ascii="Times New Roman" w:eastAsia="Times New Roman" w:hAnsi="Times New Roman" w:cs="Times New Roman"/>
          <w:sz w:val="24"/>
          <w:szCs w:val="24"/>
        </w:rPr>
        <w:t xml:space="preserve">. W. H. Freeman. </w:t>
      </w:r>
    </w:p>
    <w:p w14:paraId="7902241F" w14:textId="77777777" w:rsidR="00F418B4" w:rsidRPr="00F418B4" w:rsidRDefault="00F418B4" w:rsidP="00F418B4">
      <w:pPr>
        <w:spacing w:before="100" w:beforeAutospacing="1" w:after="100" w:afterAutospacing="1" w:line="240" w:lineRule="auto"/>
        <w:ind w:left="540" w:hanging="540"/>
        <w:jc w:val="both"/>
        <w:rPr>
          <w:rFonts w:ascii="Times New Roman" w:eastAsia="Times New Roman" w:hAnsi="Times New Roman" w:cs="Times New Roman"/>
          <w:sz w:val="24"/>
          <w:szCs w:val="24"/>
        </w:rPr>
      </w:pPr>
      <w:proofErr w:type="spellStart"/>
      <w:r w:rsidRPr="00F418B4">
        <w:rPr>
          <w:rFonts w:ascii="Times New Roman" w:eastAsia="Times New Roman" w:hAnsi="Times New Roman" w:cs="Times New Roman"/>
          <w:sz w:val="24"/>
          <w:szCs w:val="24"/>
        </w:rPr>
        <w:t>Duruanyim</w:t>
      </w:r>
      <w:proofErr w:type="spellEnd"/>
      <w:r w:rsidRPr="00F418B4">
        <w:rPr>
          <w:rFonts w:ascii="Times New Roman" w:eastAsia="Times New Roman" w:hAnsi="Times New Roman" w:cs="Times New Roman"/>
          <w:sz w:val="24"/>
          <w:szCs w:val="24"/>
        </w:rPr>
        <w:t xml:space="preserve">, I. L., </w:t>
      </w:r>
      <w:proofErr w:type="spellStart"/>
      <w:r w:rsidRPr="00F418B4">
        <w:rPr>
          <w:rFonts w:ascii="Times New Roman" w:eastAsia="Times New Roman" w:hAnsi="Times New Roman" w:cs="Times New Roman"/>
          <w:sz w:val="24"/>
          <w:szCs w:val="24"/>
        </w:rPr>
        <w:t>Egwuonwu</w:t>
      </w:r>
      <w:proofErr w:type="spellEnd"/>
      <w:r w:rsidRPr="00F418B4">
        <w:rPr>
          <w:rFonts w:ascii="Times New Roman" w:eastAsia="Times New Roman" w:hAnsi="Times New Roman" w:cs="Times New Roman"/>
          <w:sz w:val="24"/>
          <w:szCs w:val="24"/>
        </w:rPr>
        <w:t xml:space="preserve">, C. C., Okorafor, O. O., &amp; </w:t>
      </w:r>
      <w:proofErr w:type="spellStart"/>
      <w:r w:rsidRPr="00F418B4">
        <w:rPr>
          <w:rFonts w:ascii="Times New Roman" w:eastAsia="Times New Roman" w:hAnsi="Times New Roman" w:cs="Times New Roman"/>
          <w:sz w:val="24"/>
          <w:szCs w:val="24"/>
        </w:rPr>
        <w:t>Ofoma</w:t>
      </w:r>
      <w:proofErr w:type="spellEnd"/>
      <w:r w:rsidRPr="00F418B4">
        <w:rPr>
          <w:rFonts w:ascii="Times New Roman" w:eastAsia="Times New Roman" w:hAnsi="Times New Roman" w:cs="Times New Roman"/>
          <w:sz w:val="24"/>
          <w:szCs w:val="24"/>
        </w:rPr>
        <w:t xml:space="preserve">, A. N. (2025). Prediction </w:t>
      </w:r>
      <w:proofErr w:type="spellStart"/>
      <w:r w:rsidRPr="00F418B4">
        <w:rPr>
          <w:rFonts w:ascii="Times New Roman" w:eastAsia="Times New Roman" w:hAnsi="Times New Roman" w:cs="Times New Roman"/>
          <w:sz w:val="24"/>
          <w:szCs w:val="24"/>
        </w:rPr>
        <w:t>efficieny</w:t>
      </w:r>
      <w:proofErr w:type="spellEnd"/>
      <w:r w:rsidRPr="00F418B4">
        <w:rPr>
          <w:rFonts w:ascii="Times New Roman" w:eastAsia="Times New Roman" w:hAnsi="Times New Roman" w:cs="Times New Roman"/>
          <w:sz w:val="24"/>
          <w:szCs w:val="24"/>
        </w:rPr>
        <w:t xml:space="preserve"> of the Phillip infiltration model in </w:t>
      </w:r>
      <w:proofErr w:type="spellStart"/>
      <w:r w:rsidRPr="00F418B4">
        <w:rPr>
          <w:rFonts w:ascii="Times New Roman" w:eastAsia="Times New Roman" w:hAnsi="Times New Roman" w:cs="Times New Roman"/>
          <w:sz w:val="24"/>
          <w:szCs w:val="24"/>
        </w:rPr>
        <w:t>Okigwe</w:t>
      </w:r>
      <w:proofErr w:type="spellEnd"/>
      <w:r w:rsidRPr="00F418B4">
        <w:rPr>
          <w:rFonts w:ascii="Times New Roman" w:eastAsia="Times New Roman" w:hAnsi="Times New Roman" w:cs="Times New Roman"/>
          <w:sz w:val="24"/>
          <w:szCs w:val="24"/>
        </w:rPr>
        <w:t xml:space="preserve"> Zone, Imo State, Nigeria. </w:t>
      </w:r>
      <w:proofErr w:type="spellStart"/>
      <w:r w:rsidRPr="00F418B4">
        <w:rPr>
          <w:rFonts w:ascii="Times New Roman" w:eastAsia="Times New Roman" w:hAnsi="Times New Roman" w:cs="Times New Roman"/>
          <w:i/>
          <w:iCs/>
          <w:sz w:val="24"/>
          <w:szCs w:val="24"/>
        </w:rPr>
        <w:t>Umudike</w:t>
      </w:r>
      <w:proofErr w:type="spellEnd"/>
      <w:r w:rsidRPr="00F418B4">
        <w:rPr>
          <w:rFonts w:ascii="Times New Roman" w:eastAsia="Times New Roman" w:hAnsi="Times New Roman" w:cs="Times New Roman"/>
          <w:i/>
          <w:iCs/>
          <w:sz w:val="24"/>
          <w:szCs w:val="24"/>
        </w:rPr>
        <w:t xml:space="preserve"> Journal of Engineering and Technology, 11</w:t>
      </w:r>
      <w:r w:rsidRPr="00F418B4">
        <w:rPr>
          <w:rFonts w:ascii="Times New Roman" w:eastAsia="Times New Roman" w:hAnsi="Times New Roman" w:cs="Times New Roman"/>
          <w:sz w:val="24"/>
          <w:szCs w:val="24"/>
        </w:rPr>
        <w:t>(2), 11–17. https://doi.org/10.33922/j.ujet_v11i2_2</w:t>
      </w:r>
    </w:p>
    <w:p w14:paraId="6230A9F4" w14:textId="77777777" w:rsidR="00F418B4" w:rsidRPr="00F418B4" w:rsidRDefault="00F418B4" w:rsidP="00F418B4">
      <w:pPr>
        <w:spacing w:before="100" w:beforeAutospacing="1" w:after="100" w:afterAutospacing="1" w:line="240" w:lineRule="auto"/>
        <w:ind w:left="540" w:hanging="540"/>
        <w:jc w:val="both"/>
        <w:rPr>
          <w:rFonts w:ascii="Times New Roman" w:eastAsia="Times New Roman" w:hAnsi="Times New Roman" w:cs="Times New Roman"/>
          <w:sz w:val="24"/>
          <w:szCs w:val="24"/>
        </w:rPr>
      </w:pPr>
      <w:proofErr w:type="spellStart"/>
      <w:r w:rsidRPr="00F418B4">
        <w:rPr>
          <w:rFonts w:ascii="Times New Roman" w:eastAsia="Times New Roman" w:hAnsi="Times New Roman" w:cs="Times New Roman"/>
          <w:sz w:val="24"/>
          <w:szCs w:val="24"/>
        </w:rPr>
        <w:t>Duruanyim</w:t>
      </w:r>
      <w:proofErr w:type="spellEnd"/>
      <w:r w:rsidRPr="00F418B4">
        <w:rPr>
          <w:rFonts w:ascii="Times New Roman" w:eastAsia="Times New Roman" w:hAnsi="Times New Roman" w:cs="Times New Roman"/>
          <w:sz w:val="24"/>
          <w:szCs w:val="24"/>
        </w:rPr>
        <w:t xml:space="preserve">, I. L., Okorafor, O. O., </w:t>
      </w:r>
      <w:proofErr w:type="spellStart"/>
      <w:r w:rsidRPr="00F418B4">
        <w:rPr>
          <w:rFonts w:ascii="Times New Roman" w:eastAsia="Times New Roman" w:hAnsi="Times New Roman" w:cs="Times New Roman"/>
          <w:sz w:val="24"/>
          <w:szCs w:val="24"/>
        </w:rPr>
        <w:t>Ofoma</w:t>
      </w:r>
      <w:proofErr w:type="spellEnd"/>
      <w:r w:rsidRPr="00F418B4">
        <w:rPr>
          <w:rFonts w:ascii="Times New Roman" w:eastAsia="Times New Roman" w:hAnsi="Times New Roman" w:cs="Times New Roman"/>
          <w:sz w:val="24"/>
          <w:szCs w:val="24"/>
        </w:rPr>
        <w:t xml:space="preserve">, A. N., </w:t>
      </w:r>
      <w:proofErr w:type="spellStart"/>
      <w:r w:rsidRPr="00F418B4">
        <w:rPr>
          <w:rFonts w:ascii="Times New Roman" w:eastAsia="Times New Roman" w:hAnsi="Times New Roman" w:cs="Times New Roman"/>
          <w:sz w:val="24"/>
          <w:szCs w:val="24"/>
        </w:rPr>
        <w:t>Ukaoha</w:t>
      </w:r>
      <w:proofErr w:type="spellEnd"/>
      <w:r w:rsidRPr="00F418B4">
        <w:rPr>
          <w:rFonts w:ascii="Times New Roman" w:eastAsia="Times New Roman" w:hAnsi="Times New Roman" w:cs="Times New Roman"/>
          <w:sz w:val="24"/>
          <w:szCs w:val="24"/>
        </w:rPr>
        <w:t xml:space="preserve">, C. U., </w:t>
      </w:r>
      <w:proofErr w:type="spellStart"/>
      <w:r w:rsidRPr="00F418B4">
        <w:rPr>
          <w:rFonts w:ascii="Times New Roman" w:eastAsia="Times New Roman" w:hAnsi="Times New Roman" w:cs="Times New Roman"/>
          <w:sz w:val="24"/>
          <w:szCs w:val="24"/>
        </w:rPr>
        <w:t>Egwuonwu</w:t>
      </w:r>
      <w:proofErr w:type="spellEnd"/>
      <w:r w:rsidRPr="00F418B4">
        <w:rPr>
          <w:rFonts w:ascii="Times New Roman" w:eastAsia="Times New Roman" w:hAnsi="Times New Roman" w:cs="Times New Roman"/>
          <w:sz w:val="24"/>
          <w:szCs w:val="24"/>
        </w:rPr>
        <w:t xml:space="preserve">, C. C., &amp; </w:t>
      </w:r>
      <w:proofErr w:type="spellStart"/>
      <w:r w:rsidRPr="00F418B4">
        <w:rPr>
          <w:rFonts w:ascii="Times New Roman" w:eastAsia="Times New Roman" w:hAnsi="Times New Roman" w:cs="Times New Roman"/>
          <w:sz w:val="24"/>
          <w:szCs w:val="24"/>
        </w:rPr>
        <w:t>Obineche</w:t>
      </w:r>
      <w:proofErr w:type="spellEnd"/>
      <w:r w:rsidRPr="00F418B4">
        <w:rPr>
          <w:rFonts w:ascii="Times New Roman" w:eastAsia="Times New Roman" w:hAnsi="Times New Roman" w:cs="Times New Roman"/>
          <w:sz w:val="24"/>
          <w:szCs w:val="24"/>
        </w:rPr>
        <w:t xml:space="preserve">, C. I. (2025). Modeling soil infiltration dynamics in Owerri, Nigeria: A relative study of three classical infiltration models. </w:t>
      </w:r>
      <w:r w:rsidRPr="00F418B4">
        <w:rPr>
          <w:rFonts w:ascii="Times New Roman" w:eastAsia="Times New Roman" w:hAnsi="Times New Roman" w:cs="Times New Roman"/>
          <w:i/>
          <w:iCs/>
          <w:sz w:val="24"/>
          <w:szCs w:val="24"/>
        </w:rPr>
        <w:t>Journal of Global Agriculture and Ecology, 17</w:t>
      </w:r>
      <w:r w:rsidRPr="00F418B4">
        <w:rPr>
          <w:rFonts w:ascii="Times New Roman" w:eastAsia="Times New Roman" w:hAnsi="Times New Roman" w:cs="Times New Roman"/>
          <w:sz w:val="24"/>
          <w:szCs w:val="24"/>
        </w:rPr>
        <w:t xml:space="preserve">(4), 78–93. </w:t>
      </w:r>
      <w:hyperlink r:id="rId8" w:tgtFrame="_blank" w:history="1">
        <w:r w:rsidRPr="00F418B4">
          <w:rPr>
            <w:rFonts w:ascii="Times New Roman" w:eastAsia="Times New Roman" w:hAnsi="Times New Roman" w:cs="Times New Roman"/>
            <w:color w:val="0000FF"/>
            <w:sz w:val="24"/>
            <w:szCs w:val="24"/>
            <w:u w:val="single"/>
          </w:rPr>
          <w:t>https://doi.org/10.56557/jogae/2025/v17i49982</w:t>
        </w:r>
      </w:hyperlink>
    </w:p>
    <w:p w14:paraId="7FF4D6AB" w14:textId="65D962DF" w:rsidR="00F418B4" w:rsidRPr="00F418B4" w:rsidRDefault="00F418B4" w:rsidP="00F418B4">
      <w:pPr>
        <w:spacing w:before="100" w:beforeAutospacing="1" w:after="100" w:afterAutospacing="1" w:line="240" w:lineRule="auto"/>
        <w:ind w:left="540" w:hanging="540"/>
        <w:jc w:val="both"/>
        <w:rPr>
          <w:rFonts w:ascii="Times New Roman" w:eastAsia="Times New Roman" w:hAnsi="Times New Roman" w:cs="Times New Roman"/>
          <w:sz w:val="24"/>
          <w:szCs w:val="24"/>
        </w:rPr>
      </w:pPr>
      <w:proofErr w:type="spellStart"/>
      <w:r w:rsidRPr="00F418B4">
        <w:rPr>
          <w:rFonts w:ascii="Times New Roman" w:eastAsia="Times New Roman" w:hAnsi="Times New Roman" w:cs="Times New Roman"/>
          <w:sz w:val="24"/>
          <w:szCs w:val="24"/>
        </w:rPr>
        <w:t>Egboka</w:t>
      </w:r>
      <w:proofErr w:type="spellEnd"/>
      <w:r w:rsidRPr="00F418B4">
        <w:rPr>
          <w:rFonts w:ascii="Times New Roman" w:eastAsia="Times New Roman" w:hAnsi="Times New Roman" w:cs="Times New Roman"/>
          <w:sz w:val="24"/>
          <w:szCs w:val="24"/>
        </w:rPr>
        <w:t xml:space="preserve">, B. C. E., &amp; Uma, K. O. (1985). Water resources of Owerri and its environs, Imo State, Nigeria. </w:t>
      </w:r>
      <w:r w:rsidRPr="00F418B4">
        <w:rPr>
          <w:rFonts w:ascii="Times New Roman" w:eastAsia="Times New Roman" w:hAnsi="Times New Roman" w:cs="Times New Roman"/>
          <w:i/>
          <w:iCs/>
          <w:sz w:val="24"/>
          <w:szCs w:val="24"/>
        </w:rPr>
        <w:t>Journal of Mining and Geology, 22</w:t>
      </w:r>
      <w:r w:rsidRPr="00F418B4">
        <w:rPr>
          <w:rFonts w:ascii="Times New Roman" w:eastAsia="Times New Roman" w:hAnsi="Times New Roman" w:cs="Times New Roman"/>
          <w:sz w:val="24"/>
          <w:szCs w:val="24"/>
        </w:rPr>
        <w:t xml:space="preserve">, 57–64. </w:t>
      </w:r>
    </w:p>
    <w:p w14:paraId="6EDC66F0" w14:textId="5FB2E6CB" w:rsidR="00F418B4" w:rsidRPr="00F418B4" w:rsidRDefault="00F418B4" w:rsidP="00F418B4">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F418B4">
        <w:rPr>
          <w:rFonts w:ascii="Times New Roman" w:eastAsia="Times New Roman" w:hAnsi="Times New Roman" w:cs="Times New Roman"/>
          <w:sz w:val="24"/>
          <w:szCs w:val="24"/>
        </w:rPr>
        <w:t xml:space="preserve">Environment Agency. (2019). </w:t>
      </w:r>
      <w:r w:rsidRPr="00F418B4">
        <w:rPr>
          <w:rFonts w:ascii="Times New Roman" w:eastAsia="Times New Roman" w:hAnsi="Times New Roman" w:cs="Times New Roman"/>
          <w:i/>
          <w:iCs/>
          <w:sz w:val="24"/>
          <w:szCs w:val="24"/>
        </w:rPr>
        <w:t>Drinking water protected areas pressure</w:t>
      </w:r>
      <w:r w:rsidRPr="00F418B4">
        <w:rPr>
          <w:rFonts w:ascii="Times New Roman" w:eastAsia="Times New Roman" w:hAnsi="Times New Roman" w:cs="Times New Roman"/>
          <w:sz w:val="24"/>
          <w:szCs w:val="24"/>
        </w:rPr>
        <w:t xml:space="preserve">. </w:t>
      </w:r>
    </w:p>
    <w:p w14:paraId="1865F91B" w14:textId="65CF9786" w:rsidR="00F418B4" w:rsidRPr="00F418B4" w:rsidRDefault="00F418B4" w:rsidP="00F418B4">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F418B4">
        <w:rPr>
          <w:rFonts w:ascii="Times New Roman" w:eastAsia="Times New Roman" w:hAnsi="Times New Roman" w:cs="Times New Roman"/>
          <w:sz w:val="24"/>
          <w:szCs w:val="24"/>
        </w:rPr>
        <w:t xml:space="preserve">Food and Agriculture Organization of the United Nations. (2022). </w:t>
      </w:r>
      <w:r w:rsidRPr="00F418B4">
        <w:rPr>
          <w:rFonts w:ascii="Times New Roman" w:eastAsia="Times New Roman" w:hAnsi="Times New Roman" w:cs="Times New Roman"/>
          <w:i/>
          <w:iCs/>
          <w:sz w:val="24"/>
          <w:szCs w:val="24"/>
        </w:rPr>
        <w:t>The state of the world’s land and water resources for food and agriculture 2021: Systems at breaking point</w:t>
      </w:r>
      <w:r w:rsidRPr="00F418B4">
        <w:rPr>
          <w:rFonts w:ascii="Times New Roman" w:eastAsia="Times New Roman" w:hAnsi="Times New Roman" w:cs="Times New Roman"/>
          <w:sz w:val="24"/>
          <w:szCs w:val="24"/>
        </w:rPr>
        <w:t>. https://doi.org/10.4060/cb9910en</w:t>
      </w:r>
    </w:p>
    <w:p w14:paraId="1B123449" w14:textId="442D5754" w:rsidR="00F418B4" w:rsidRPr="00F418B4" w:rsidRDefault="00F418B4" w:rsidP="00F418B4">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F418B4">
        <w:rPr>
          <w:rFonts w:ascii="Times New Roman" w:eastAsia="Times New Roman" w:hAnsi="Times New Roman" w:cs="Times New Roman"/>
          <w:sz w:val="24"/>
          <w:szCs w:val="24"/>
        </w:rPr>
        <w:t xml:space="preserve">Ferré, T. P. A., &amp; Warrick, A. W. (2023). Infiltration. In </w:t>
      </w:r>
      <w:r w:rsidRPr="00F418B4">
        <w:rPr>
          <w:rFonts w:ascii="Times New Roman" w:eastAsia="Times New Roman" w:hAnsi="Times New Roman" w:cs="Times New Roman"/>
          <w:i/>
          <w:iCs/>
          <w:sz w:val="24"/>
          <w:szCs w:val="24"/>
        </w:rPr>
        <w:t>Encyclopedia of soils in the environment</w:t>
      </w:r>
      <w:r w:rsidRPr="00F418B4">
        <w:rPr>
          <w:rFonts w:ascii="Times New Roman" w:eastAsia="Times New Roman" w:hAnsi="Times New Roman" w:cs="Times New Roman"/>
          <w:sz w:val="24"/>
          <w:szCs w:val="24"/>
        </w:rPr>
        <w:t xml:space="preserve"> (2nd ed., Vol. 5, pp. 646–651). Elsevier. https://doi.org/10.1016/B978-0-12-822974-3.00250-0</w:t>
      </w:r>
    </w:p>
    <w:p w14:paraId="246CA632" w14:textId="77777777" w:rsidR="00F418B4" w:rsidRPr="00F418B4" w:rsidRDefault="00F418B4" w:rsidP="00F418B4">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F418B4">
        <w:rPr>
          <w:rFonts w:ascii="Times New Roman" w:eastAsia="Times New Roman" w:hAnsi="Times New Roman" w:cs="Times New Roman"/>
          <w:sz w:val="24"/>
          <w:szCs w:val="24"/>
        </w:rPr>
        <w:t xml:space="preserve">Gregory, J. H., Dukes, M. D., Jones, P. H., &amp; Miller, G. L. (2006). Effect of urban soil compaction on infiltration rate. </w:t>
      </w:r>
      <w:r w:rsidRPr="00F418B4">
        <w:rPr>
          <w:rFonts w:ascii="Times New Roman" w:eastAsia="Times New Roman" w:hAnsi="Times New Roman" w:cs="Times New Roman"/>
          <w:i/>
          <w:iCs/>
          <w:sz w:val="24"/>
          <w:szCs w:val="24"/>
        </w:rPr>
        <w:t>Journal of Soil and Water Conservation, 61</w:t>
      </w:r>
      <w:r w:rsidRPr="00F418B4">
        <w:rPr>
          <w:rFonts w:ascii="Times New Roman" w:eastAsia="Times New Roman" w:hAnsi="Times New Roman" w:cs="Times New Roman"/>
          <w:sz w:val="24"/>
          <w:szCs w:val="24"/>
        </w:rPr>
        <w:t>(3), 117–124. https://doi.org/10.1080/00224561.2006.12435870</w:t>
      </w:r>
    </w:p>
    <w:p w14:paraId="77307F30" w14:textId="423F126E" w:rsidR="00F418B4" w:rsidRPr="00F418B4" w:rsidRDefault="00F418B4" w:rsidP="00F418B4">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F418B4">
        <w:rPr>
          <w:rFonts w:ascii="Times New Roman" w:eastAsia="Times New Roman" w:hAnsi="Times New Roman" w:cs="Times New Roman"/>
          <w:sz w:val="24"/>
          <w:szCs w:val="24"/>
        </w:rPr>
        <w:t xml:space="preserve">Hillel, D. (2003). </w:t>
      </w:r>
      <w:r w:rsidRPr="00F418B4">
        <w:rPr>
          <w:rFonts w:ascii="Times New Roman" w:eastAsia="Times New Roman" w:hAnsi="Times New Roman" w:cs="Times New Roman"/>
          <w:i/>
          <w:iCs/>
          <w:sz w:val="24"/>
          <w:szCs w:val="24"/>
        </w:rPr>
        <w:t>Introduction to environmental soil physics</w:t>
      </w:r>
      <w:r w:rsidRPr="00F418B4">
        <w:rPr>
          <w:rFonts w:ascii="Times New Roman" w:eastAsia="Times New Roman" w:hAnsi="Times New Roman" w:cs="Times New Roman"/>
          <w:sz w:val="24"/>
          <w:szCs w:val="24"/>
        </w:rPr>
        <w:t xml:space="preserve">. Academic Press. </w:t>
      </w:r>
      <w:hyperlink r:id="rId9" w:tgtFrame="_blank" w:history="1">
        <w:r w:rsidRPr="00F418B4">
          <w:rPr>
            <w:rFonts w:ascii="Times New Roman" w:eastAsia="Times New Roman" w:hAnsi="Times New Roman" w:cs="Times New Roman"/>
            <w:color w:val="0000FF"/>
            <w:sz w:val="24"/>
            <w:szCs w:val="24"/>
            <w:u w:val="single"/>
          </w:rPr>
          <w:t>https://doi.org/10.1016/B978-0-12-348655-4.X5000-X</w:t>
        </w:r>
      </w:hyperlink>
    </w:p>
    <w:p w14:paraId="1A8C4907" w14:textId="77777777" w:rsidR="00F418B4" w:rsidRPr="00F418B4" w:rsidRDefault="00F418B4" w:rsidP="00F418B4">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F418B4">
        <w:rPr>
          <w:rFonts w:ascii="Times New Roman" w:eastAsia="Times New Roman" w:hAnsi="Times New Roman" w:cs="Times New Roman"/>
          <w:sz w:val="24"/>
          <w:szCs w:val="24"/>
        </w:rPr>
        <w:t xml:space="preserve">Huffman, R. L., Fangmeier, D. D., Elliot, W. J., &amp; Workman, S. R. (2013). </w:t>
      </w:r>
      <w:r w:rsidRPr="00F418B4">
        <w:rPr>
          <w:rFonts w:ascii="Times New Roman" w:eastAsia="Times New Roman" w:hAnsi="Times New Roman" w:cs="Times New Roman"/>
          <w:i/>
          <w:iCs/>
          <w:sz w:val="24"/>
          <w:szCs w:val="24"/>
        </w:rPr>
        <w:t>Soil and water conservation engineering</w:t>
      </w:r>
      <w:r w:rsidRPr="00F418B4">
        <w:rPr>
          <w:rFonts w:ascii="Times New Roman" w:eastAsia="Times New Roman" w:hAnsi="Times New Roman" w:cs="Times New Roman"/>
          <w:sz w:val="24"/>
          <w:szCs w:val="24"/>
        </w:rPr>
        <w:t xml:space="preserve"> (7th ed.). American Society of Agricultural and Biological Engineers. https://doi.org/10.13031/swce.2013</w:t>
      </w:r>
    </w:p>
    <w:p w14:paraId="12DA5D4C" w14:textId="77777777" w:rsidR="00F418B4" w:rsidRPr="00F418B4" w:rsidRDefault="00F418B4" w:rsidP="00F418B4">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F418B4">
        <w:rPr>
          <w:rFonts w:ascii="Times New Roman" w:eastAsia="Times New Roman" w:hAnsi="Times New Roman" w:cs="Times New Roman"/>
          <w:sz w:val="24"/>
          <w:szCs w:val="24"/>
          <w:lang w:val="nl-BE"/>
        </w:rPr>
        <w:t xml:space="preserve">Iheagwam, O. J., &amp; Ezenwaji, E. E. (2024). </w:t>
      </w:r>
      <w:r w:rsidRPr="00F418B4">
        <w:rPr>
          <w:rFonts w:ascii="Times New Roman" w:eastAsia="Times New Roman" w:hAnsi="Times New Roman" w:cs="Times New Roman"/>
          <w:sz w:val="24"/>
          <w:szCs w:val="24"/>
        </w:rPr>
        <w:t xml:space="preserve">Application of water quality index in the assessment of Nworie River in Owerri, Imo State, Nigeria. </w:t>
      </w:r>
      <w:r w:rsidRPr="00F418B4">
        <w:rPr>
          <w:rFonts w:ascii="Times New Roman" w:eastAsia="Times New Roman" w:hAnsi="Times New Roman" w:cs="Times New Roman"/>
          <w:i/>
          <w:iCs/>
          <w:sz w:val="24"/>
          <w:szCs w:val="24"/>
        </w:rPr>
        <w:t>Journal of Environmental Management and Safety, 15</w:t>
      </w:r>
      <w:r w:rsidRPr="00F418B4">
        <w:rPr>
          <w:rFonts w:ascii="Times New Roman" w:eastAsia="Times New Roman" w:hAnsi="Times New Roman" w:cs="Times New Roman"/>
          <w:sz w:val="24"/>
          <w:szCs w:val="24"/>
        </w:rPr>
        <w:t>(3), 141–150. https://doi.org/10.83032/jems.vol15no3.511</w:t>
      </w:r>
    </w:p>
    <w:p w14:paraId="5E39F896" w14:textId="77777777" w:rsidR="00F418B4" w:rsidRPr="00F418B4" w:rsidRDefault="00F418B4" w:rsidP="00F418B4">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F418B4">
        <w:rPr>
          <w:rFonts w:ascii="Times New Roman" w:eastAsia="Times New Roman" w:hAnsi="Times New Roman" w:cs="Times New Roman"/>
          <w:sz w:val="24"/>
          <w:szCs w:val="24"/>
          <w:lang w:val="nl-BE"/>
        </w:rPr>
        <w:lastRenderedPageBreak/>
        <w:t xml:space="preserve">Kamalu, O. J., Ogio, V., &amp; Ikiriko, M. E. (2022). </w:t>
      </w:r>
      <w:r w:rsidRPr="00F418B4">
        <w:rPr>
          <w:rFonts w:ascii="Times New Roman" w:eastAsia="Times New Roman" w:hAnsi="Times New Roman" w:cs="Times New Roman"/>
          <w:sz w:val="24"/>
          <w:szCs w:val="24"/>
        </w:rPr>
        <w:t xml:space="preserve">Evaluation of soil quality under different land use types in the coastal plain sands of Niger Delta. </w:t>
      </w:r>
      <w:r w:rsidRPr="00F418B4">
        <w:rPr>
          <w:rFonts w:ascii="Times New Roman" w:eastAsia="Times New Roman" w:hAnsi="Times New Roman" w:cs="Times New Roman"/>
          <w:i/>
          <w:iCs/>
          <w:sz w:val="24"/>
          <w:szCs w:val="24"/>
        </w:rPr>
        <w:t>Journal of Global Ecology and Environment, 15</w:t>
      </w:r>
      <w:r w:rsidRPr="00F418B4">
        <w:rPr>
          <w:rFonts w:ascii="Times New Roman" w:eastAsia="Times New Roman" w:hAnsi="Times New Roman" w:cs="Times New Roman"/>
          <w:sz w:val="24"/>
          <w:szCs w:val="24"/>
        </w:rPr>
        <w:t xml:space="preserve">(4), 37–44. </w:t>
      </w:r>
      <w:hyperlink r:id="rId10" w:tgtFrame="_blank" w:history="1">
        <w:r w:rsidRPr="00F418B4">
          <w:rPr>
            <w:rFonts w:ascii="Times New Roman" w:eastAsia="Times New Roman" w:hAnsi="Times New Roman" w:cs="Times New Roman"/>
            <w:color w:val="0000FF"/>
            <w:sz w:val="24"/>
            <w:szCs w:val="24"/>
            <w:u w:val="single"/>
          </w:rPr>
          <w:t>https://doi.org/10.56557/jogee/2022/v15i47615</w:t>
        </w:r>
      </w:hyperlink>
    </w:p>
    <w:p w14:paraId="7102735F" w14:textId="77777777" w:rsidR="00F418B4" w:rsidRPr="00F418B4" w:rsidRDefault="00F418B4" w:rsidP="00F418B4">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F418B4">
        <w:rPr>
          <w:rFonts w:ascii="Times New Roman" w:eastAsia="Times New Roman" w:hAnsi="Times New Roman" w:cs="Times New Roman"/>
          <w:sz w:val="24"/>
          <w:szCs w:val="24"/>
        </w:rPr>
        <w:t xml:space="preserve">Kausley, S. B., Dastane, G. G., Kumar, J. K., Desai, K. S., </w:t>
      </w:r>
      <w:proofErr w:type="spellStart"/>
      <w:r w:rsidRPr="00F418B4">
        <w:rPr>
          <w:rFonts w:ascii="Times New Roman" w:eastAsia="Times New Roman" w:hAnsi="Times New Roman" w:cs="Times New Roman"/>
          <w:sz w:val="24"/>
          <w:szCs w:val="24"/>
        </w:rPr>
        <w:t>Doltade</w:t>
      </w:r>
      <w:proofErr w:type="spellEnd"/>
      <w:r w:rsidRPr="00F418B4">
        <w:rPr>
          <w:rFonts w:ascii="Times New Roman" w:eastAsia="Times New Roman" w:hAnsi="Times New Roman" w:cs="Times New Roman"/>
          <w:sz w:val="24"/>
          <w:szCs w:val="24"/>
        </w:rPr>
        <w:t xml:space="preserve">, S. B., &amp; Pandit, A. B. (2019). Clean water for developing countries: Feasibility of different treatment solutions. In J. </w:t>
      </w:r>
      <w:proofErr w:type="spellStart"/>
      <w:r w:rsidRPr="00F418B4">
        <w:rPr>
          <w:rFonts w:ascii="Times New Roman" w:eastAsia="Times New Roman" w:hAnsi="Times New Roman" w:cs="Times New Roman"/>
          <w:sz w:val="24"/>
          <w:szCs w:val="24"/>
        </w:rPr>
        <w:t>Nriagu</w:t>
      </w:r>
      <w:proofErr w:type="spellEnd"/>
      <w:r w:rsidRPr="00F418B4">
        <w:rPr>
          <w:rFonts w:ascii="Times New Roman" w:eastAsia="Times New Roman" w:hAnsi="Times New Roman" w:cs="Times New Roman"/>
          <w:sz w:val="24"/>
          <w:szCs w:val="24"/>
        </w:rPr>
        <w:t xml:space="preserve"> (Ed.), </w:t>
      </w:r>
      <w:r w:rsidRPr="00F418B4">
        <w:rPr>
          <w:rFonts w:ascii="Times New Roman" w:eastAsia="Times New Roman" w:hAnsi="Times New Roman" w:cs="Times New Roman"/>
          <w:i/>
          <w:iCs/>
          <w:sz w:val="24"/>
          <w:szCs w:val="24"/>
        </w:rPr>
        <w:t>Encyclopedia of environmental health</w:t>
      </w:r>
      <w:r w:rsidRPr="00F418B4">
        <w:rPr>
          <w:rFonts w:ascii="Times New Roman" w:eastAsia="Times New Roman" w:hAnsi="Times New Roman" w:cs="Times New Roman"/>
          <w:sz w:val="24"/>
          <w:szCs w:val="24"/>
        </w:rPr>
        <w:t xml:space="preserve"> (2nd ed., pp. 643–652). Elsevier. </w:t>
      </w:r>
      <w:hyperlink r:id="rId11" w:tgtFrame="_blank" w:history="1">
        <w:r w:rsidRPr="00F418B4">
          <w:rPr>
            <w:rFonts w:ascii="Times New Roman" w:eastAsia="Times New Roman" w:hAnsi="Times New Roman" w:cs="Times New Roman"/>
            <w:color w:val="0000FF"/>
            <w:sz w:val="24"/>
            <w:szCs w:val="24"/>
            <w:u w:val="single"/>
          </w:rPr>
          <w:t>https://doi.org/10.1016/B978-0-12-409548-9.11079-6</w:t>
        </w:r>
      </w:hyperlink>
    </w:p>
    <w:p w14:paraId="0610FE66" w14:textId="77777777" w:rsidR="00F418B4" w:rsidRPr="00F418B4" w:rsidRDefault="00F418B4" w:rsidP="00F418B4">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F418B4">
        <w:rPr>
          <w:rFonts w:ascii="Times New Roman" w:eastAsia="Times New Roman" w:hAnsi="Times New Roman" w:cs="Times New Roman"/>
          <w:sz w:val="24"/>
          <w:szCs w:val="24"/>
        </w:rPr>
        <w:t xml:space="preserve">Lal, R., &amp; Shukla, M. K. (2004). </w:t>
      </w:r>
      <w:r w:rsidRPr="00F418B4">
        <w:rPr>
          <w:rFonts w:ascii="Times New Roman" w:eastAsia="Times New Roman" w:hAnsi="Times New Roman" w:cs="Times New Roman"/>
          <w:i/>
          <w:iCs/>
          <w:sz w:val="24"/>
          <w:szCs w:val="24"/>
        </w:rPr>
        <w:t>Principles of soil physics</w:t>
      </w:r>
      <w:r w:rsidRPr="00F418B4">
        <w:rPr>
          <w:rFonts w:ascii="Times New Roman" w:eastAsia="Times New Roman" w:hAnsi="Times New Roman" w:cs="Times New Roman"/>
          <w:sz w:val="24"/>
          <w:szCs w:val="24"/>
        </w:rPr>
        <w:t>. Marcel Dekker. https://doi.org/10.4324/9780203021231</w:t>
      </w:r>
    </w:p>
    <w:p w14:paraId="54FC3E55" w14:textId="77777777" w:rsidR="00F418B4" w:rsidRPr="00F418B4" w:rsidRDefault="00F418B4" w:rsidP="00F418B4">
      <w:pPr>
        <w:spacing w:before="100" w:beforeAutospacing="1" w:after="100" w:afterAutospacing="1" w:line="240" w:lineRule="auto"/>
        <w:ind w:left="540" w:hanging="540"/>
        <w:jc w:val="both"/>
        <w:rPr>
          <w:rFonts w:ascii="Times New Roman" w:eastAsia="Times New Roman" w:hAnsi="Times New Roman" w:cs="Times New Roman"/>
          <w:sz w:val="24"/>
          <w:szCs w:val="24"/>
          <w:lang w:val="nl-BE"/>
        </w:rPr>
      </w:pPr>
      <w:r w:rsidRPr="00F418B4">
        <w:rPr>
          <w:rFonts w:ascii="Times New Roman" w:eastAsia="Times New Roman" w:hAnsi="Times New Roman" w:cs="Times New Roman"/>
          <w:sz w:val="24"/>
          <w:szCs w:val="24"/>
        </w:rPr>
        <w:t xml:space="preserve">Mishra, S. K., Tyagi, J. V., &amp; Singh, V. P. (2003). Comparison of infiltration models. </w:t>
      </w:r>
      <w:r w:rsidRPr="00F418B4">
        <w:rPr>
          <w:rFonts w:ascii="Times New Roman" w:eastAsia="Times New Roman" w:hAnsi="Times New Roman" w:cs="Times New Roman"/>
          <w:i/>
          <w:iCs/>
          <w:sz w:val="24"/>
          <w:szCs w:val="24"/>
        </w:rPr>
        <w:t>Hydrological Processes, 17</w:t>
      </w:r>
      <w:r w:rsidRPr="00F418B4">
        <w:rPr>
          <w:rFonts w:ascii="Times New Roman" w:eastAsia="Times New Roman" w:hAnsi="Times New Roman" w:cs="Times New Roman"/>
          <w:sz w:val="24"/>
          <w:szCs w:val="24"/>
        </w:rPr>
        <w:t xml:space="preserve">(13), 2629–2652. </w:t>
      </w:r>
      <w:hyperlink r:id="rId12" w:tgtFrame="_blank" w:history="1">
        <w:r w:rsidRPr="00F418B4">
          <w:rPr>
            <w:rFonts w:ascii="Times New Roman" w:eastAsia="Times New Roman" w:hAnsi="Times New Roman" w:cs="Times New Roman"/>
            <w:color w:val="0000FF"/>
            <w:sz w:val="24"/>
            <w:szCs w:val="24"/>
            <w:u w:val="single"/>
            <w:lang w:val="nl-BE"/>
          </w:rPr>
          <w:t>https://doi.org/10.1002/hyp.1257</w:t>
        </w:r>
      </w:hyperlink>
    </w:p>
    <w:p w14:paraId="6BF03451" w14:textId="77777777" w:rsidR="00F418B4" w:rsidRPr="00F418B4" w:rsidRDefault="00F418B4" w:rsidP="00F418B4">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F418B4">
        <w:rPr>
          <w:rFonts w:ascii="Times New Roman" w:eastAsia="Times New Roman" w:hAnsi="Times New Roman" w:cs="Times New Roman"/>
          <w:sz w:val="24"/>
          <w:szCs w:val="24"/>
          <w:lang w:val="nl-BE"/>
        </w:rPr>
        <w:t xml:space="preserve">Njoku, J. D., Nnaji, A. O., &amp; Iwuji, M. C. (2011). </w:t>
      </w:r>
      <w:r w:rsidRPr="00F418B4">
        <w:rPr>
          <w:rFonts w:ascii="Times New Roman" w:eastAsia="Times New Roman" w:hAnsi="Times New Roman" w:cs="Times New Roman"/>
          <w:sz w:val="24"/>
          <w:szCs w:val="24"/>
        </w:rPr>
        <w:t xml:space="preserve">Spatial analysis of soil fertility using geographical information systems technology. </w:t>
      </w:r>
      <w:r w:rsidRPr="00F418B4">
        <w:rPr>
          <w:rFonts w:ascii="Times New Roman" w:eastAsia="Times New Roman" w:hAnsi="Times New Roman" w:cs="Times New Roman"/>
          <w:i/>
          <w:iCs/>
          <w:sz w:val="24"/>
          <w:szCs w:val="24"/>
        </w:rPr>
        <w:t>African Research Review, 5</w:t>
      </w:r>
      <w:r w:rsidRPr="00F418B4">
        <w:rPr>
          <w:rFonts w:ascii="Times New Roman" w:eastAsia="Times New Roman" w:hAnsi="Times New Roman" w:cs="Times New Roman"/>
          <w:sz w:val="24"/>
          <w:szCs w:val="24"/>
        </w:rPr>
        <w:t xml:space="preserve">(4), 511–524. </w:t>
      </w:r>
      <w:hyperlink r:id="rId13" w:tgtFrame="_blank" w:history="1">
        <w:r w:rsidRPr="00F418B4">
          <w:rPr>
            <w:rFonts w:ascii="Times New Roman" w:eastAsia="Times New Roman" w:hAnsi="Times New Roman" w:cs="Times New Roman"/>
            <w:color w:val="0000FF"/>
            <w:sz w:val="24"/>
            <w:szCs w:val="24"/>
            <w:u w:val="single"/>
          </w:rPr>
          <w:t>https://doi.org/10.4314/afrrev.v5i4.69300</w:t>
        </w:r>
      </w:hyperlink>
    </w:p>
    <w:p w14:paraId="791407C6" w14:textId="5F20E624" w:rsidR="00F418B4" w:rsidRPr="00F418B4" w:rsidRDefault="00F418B4" w:rsidP="00F418B4">
      <w:pPr>
        <w:spacing w:before="100" w:beforeAutospacing="1" w:after="100" w:afterAutospacing="1" w:line="240" w:lineRule="auto"/>
        <w:ind w:left="540" w:hanging="540"/>
        <w:jc w:val="both"/>
        <w:rPr>
          <w:rFonts w:ascii="Times New Roman" w:eastAsia="Times New Roman" w:hAnsi="Times New Roman" w:cs="Times New Roman"/>
          <w:sz w:val="24"/>
          <w:szCs w:val="24"/>
        </w:rPr>
      </w:pPr>
      <w:proofErr w:type="spellStart"/>
      <w:r w:rsidRPr="00F418B4">
        <w:rPr>
          <w:rFonts w:ascii="Times New Roman" w:eastAsia="Times New Roman" w:hAnsi="Times New Roman" w:cs="Times New Roman"/>
          <w:sz w:val="24"/>
          <w:szCs w:val="24"/>
        </w:rPr>
        <w:t>Obineche</w:t>
      </w:r>
      <w:proofErr w:type="spellEnd"/>
      <w:r w:rsidRPr="00F418B4">
        <w:rPr>
          <w:rFonts w:ascii="Times New Roman" w:eastAsia="Times New Roman" w:hAnsi="Times New Roman" w:cs="Times New Roman"/>
          <w:sz w:val="24"/>
          <w:szCs w:val="24"/>
        </w:rPr>
        <w:t xml:space="preserve">, C. I., </w:t>
      </w:r>
      <w:proofErr w:type="spellStart"/>
      <w:r w:rsidRPr="00F418B4">
        <w:rPr>
          <w:rFonts w:ascii="Times New Roman" w:eastAsia="Times New Roman" w:hAnsi="Times New Roman" w:cs="Times New Roman"/>
          <w:sz w:val="24"/>
          <w:szCs w:val="24"/>
        </w:rPr>
        <w:t>Igbojionu</w:t>
      </w:r>
      <w:proofErr w:type="spellEnd"/>
      <w:r w:rsidRPr="00F418B4">
        <w:rPr>
          <w:rFonts w:ascii="Times New Roman" w:eastAsia="Times New Roman" w:hAnsi="Times New Roman" w:cs="Times New Roman"/>
          <w:sz w:val="24"/>
          <w:szCs w:val="24"/>
        </w:rPr>
        <w:t xml:space="preserve">, D. O., &amp; Ahaneku, I. E. (2020). Assessment of physicochemical properties of soil at Old Nekede Dumpsite Owerri, Imo State, Nigeria. </w:t>
      </w:r>
      <w:r w:rsidRPr="00F418B4">
        <w:rPr>
          <w:rFonts w:ascii="Times New Roman" w:eastAsia="Times New Roman" w:hAnsi="Times New Roman" w:cs="Times New Roman"/>
          <w:i/>
          <w:iCs/>
          <w:sz w:val="24"/>
          <w:szCs w:val="24"/>
        </w:rPr>
        <w:t>Turkish Journal of Agricultural Engineering Research, 1</w:t>
      </w:r>
      <w:r w:rsidRPr="00F418B4">
        <w:rPr>
          <w:rFonts w:ascii="Times New Roman" w:eastAsia="Times New Roman" w:hAnsi="Times New Roman" w:cs="Times New Roman"/>
          <w:sz w:val="24"/>
          <w:szCs w:val="24"/>
        </w:rPr>
        <w:t>(2), 261–270. https://doi.org/10.46592/turkager.2020.v01i02.004</w:t>
      </w:r>
    </w:p>
    <w:p w14:paraId="107B3CFB" w14:textId="77777777" w:rsidR="00F418B4" w:rsidRPr="00F418B4" w:rsidRDefault="00F418B4" w:rsidP="00F418B4">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F418B4">
        <w:rPr>
          <w:rFonts w:ascii="Times New Roman" w:eastAsia="Times New Roman" w:hAnsi="Times New Roman" w:cs="Times New Roman"/>
          <w:sz w:val="24"/>
          <w:szCs w:val="24"/>
        </w:rPr>
        <w:t xml:space="preserve">Nunes, D., Marques, C. H. G., Hirata, R., Terada, R., &amp; </w:t>
      </w:r>
      <w:proofErr w:type="spellStart"/>
      <w:r w:rsidRPr="00F418B4">
        <w:rPr>
          <w:rFonts w:ascii="Times New Roman" w:eastAsia="Times New Roman" w:hAnsi="Times New Roman" w:cs="Times New Roman"/>
          <w:sz w:val="24"/>
          <w:szCs w:val="24"/>
        </w:rPr>
        <w:t>Suhogusoff</w:t>
      </w:r>
      <w:proofErr w:type="spellEnd"/>
      <w:r w:rsidRPr="00F418B4">
        <w:rPr>
          <w:rFonts w:ascii="Times New Roman" w:eastAsia="Times New Roman" w:hAnsi="Times New Roman" w:cs="Times New Roman"/>
          <w:sz w:val="24"/>
          <w:szCs w:val="24"/>
        </w:rPr>
        <w:t xml:space="preserve">, A. V. (2024). A low-cost approach to map natural groundwater recharge potential zones of a tropical watershed with complex land occupation. </w:t>
      </w:r>
      <w:r w:rsidRPr="00F418B4">
        <w:rPr>
          <w:rFonts w:ascii="Times New Roman" w:eastAsia="Times New Roman" w:hAnsi="Times New Roman" w:cs="Times New Roman"/>
          <w:i/>
          <w:iCs/>
          <w:sz w:val="24"/>
          <w:szCs w:val="24"/>
        </w:rPr>
        <w:t>Journal of South American Earth Sciences, 140</w:t>
      </w:r>
      <w:r w:rsidRPr="00F418B4">
        <w:rPr>
          <w:rFonts w:ascii="Times New Roman" w:eastAsia="Times New Roman" w:hAnsi="Times New Roman" w:cs="Times New Roman"/>
          <w:sz w:val="24"/>
          <w:szCs w:val="24"/>
        </w:rPr>
        <w:t xml:space="preserve">, 104915. </w:t>
      </w:r>
      <w:hyperlink r:id="rId14" w:tgtFrame="_blank" w:history="1">
        <w:r w:rsidRPr="00F418B4">
          <w:rPr>
            <w:rFonts w:ascii="Times New Roman" w:eastAsia="Times New Roman" w:hAnsi="Times New Roman" w:cs="Times New Roman"/>
            <w:color w:val="0000FF"/>
            <w:sz w:val="24"/>
            <w:szCs w:val="24"/>
            <w:u w:val="single"/>
          </w:rPr>
          <w:t>https://doi.org/10.1016/j.jsames.2024.104915</w:t>
        </w:r>
      </w:hyperlink>
    </w:p>
    <w:p w14:paraId="62DF1B02" w14:textId="77777777" w:rsidR="00F418B4" w:rsidRPr="00F418B4" w:rsidRDefault="00F418B4" w:rsidP="00F418B4">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F418B4">
        <w:rPr>
          <w:rFonts w:ascii="Times New Roman" w:eastAsia="Times New Roman" w:hAnsi="Times New Roman" w:cs="Times New Roman"/>
          <w:sz w:val="24"/>
          <w:szCs w:val="24"/>
        </w:rPr>
        <w:t xml:space="preserve">Nwosu, T. V., </w:t>
      </w:r>
      <w:proofErr w:type="spellStart"/>
      <w:r w:rsidRPr="00F418B4">
        <w:rPr>
          <w:rFonts w:ascii="Times New Roman" w:eastAsia="Times New Roman" w:hAnsi="Times New Roman" w:cs="Times New Roman"/>
          <w:sz w:val="24"/>
          <w:szCs w:val="24"/>
        </w:rPr>
        <w:t>Nnabuihe</w:t>
      </w:r>
      <w:proofErr w:type="spellEnd"/>
      <w:r w:rsidRPr="00F418B4">
        <w:rPr>
          <w:rFonts w:ascii="Times New Roman" w:eastAsia="Times New Roman" w:hAnsi="Times New Roman" w:cs="Times New Roman"/>
          <w:sz w:val="24"/>
          <w:szCs w:val="24"/>
        </w:rPr>
        <w:t xml:space="preserve">, E. C., Okafor, M. J., &amp; Madueke, C. O. (2021). Assessment of some physical properties of soil along an erosion-prone watershed, Owerri-Imo State Nigeria. </w:t>
      </w:r>
      <w:r w:rsidRPr="00F418B4">
        <w:rPr>
          <w:rFonts w:ascii="Times New Roman" w:eastAsia="Times New Roman" w:hAnsi="Times New Roman" w:cs="Times New Roman"/>
          <w:i/>
          <w:iCs/>
          <w:sz w:val="24"/>
          <w:szCs w:val="24"/>
        </w:rPr>
        <w:t>Journal Clean WAS, 5</w:t>
      </w:r>
      <w:r w:rsidRPr="00F418B4">
        <w:rPr>
          <w:rFonts w:ascii="Times New Roman" w:eastAsia="Times New Roman" w:hAnsi="Times New Roman" w:cs="Times New Roman"/>
          <w:sz w:val="24"/>
          <w:szCs w:val="24"/>
        </w:rPr>
        <w:t>(1), 10–16. https://doi.org/10.26480/jcleanwas.01.2021.10.16</w:t>
      </w:r>
    </w:p>
    <w:p w14:paraId="241C13EA" w14:textId="0C29E69F" w:rsidR="00F418B4" w:rsidRPr="00F418B4" w:rsidRDefault="00F418B4" w:rsidP="00F418B4">
      <w:pPr>
        <w:spacing w:before="100" w:beforeAutospacing="1" w:after="100" w:afterAutospacing="1" w:line="240" w:lineRule="auto"/>
        <w:ind w:left="540" w:hanging="540"/>
        <w:jc w:val="both"/>
        <w:rPr>
          <w:rFonts w:ascii="Times New Roman" w:eastAsia="Times New Roman" w:hAnsi="Times New Roman" w:cs="Times New Roman"/>
          <w:sz w:val="24"/>
          <w:szCs w:val="24"/>
        </w:rPr>
      </w:pPr>
      <w:proofErr w:type="spellStart"/>
      <w:r w:rsidRPr="00F418B4">
        <w:rPr>
          <w:rFonts w:ascii="Times New Roman" w:eastAsia="Times New Roman" w:hAnsi="Times New Roman" w:cs="Times New Roman"/>
          <w:sz w:val="24"/>
          <w:szCs w:val="24"/>
        </w:rPr>
        <w:t>Obineche</w:t>
      </w:r>
      <w:proofErr w:type="spellEnd"/>
      <w:r w:rsidRPr="00F418B4">
        <w:rPr>
          <w:rFonts w:ascii="Times New Roman" w:eastAsia="Times New Roman" w:hAnsi="Times New Roman" w:cs="Times New Roman"/>
          <w:sz w:val="24"/>
          <w:szCs w:val="24"/>
        </w:rPr>
        <w:t xml:space="preserve">, C. I., </w:t>
      </w:r>
      <w:proofErr w:type="spellStart"/>
      <w:r w:rsidRPr="00F418B4">
        <w:rPr>
          <w:rFonts w:ascii="Times New Roman" w:eastAsia="Times New Roman" w:hAnsi="Times New Roman" w:cs="Times New Roman"/>
          <w:sz w:val="24"/>
          <w:szCs w:val="24"/>
        </w:rPr>
        <w:t>Durumbah-Obih</w:t>
      </w:r>
      <w:proofErr w:type="spellEnd"/>
      <w:r w:rsidRPr="00F418B4">
        <w:rPr>
          <w:rFonts w:ascii="Times New Roman" w:eastAsia="Times New Roman" w:hAnsi="Times New Roman" w:cs="Times New Roman"/>
          <w:sz w:val="24"/>
          <w:szCs w:val="24"/>
        </w:rPr>
        <w:t xml:space="preserve">, F. M., &amp; </w:t>
      </w:r>
      <w:proofErr w:type="spellStart"/>
      <w:r w:rsidRPr="00F418B4">
        <w:rPr>
          <w:rFonts w:ascii="Times New Roman" w:eastAsia="Times New Roman" w:hAnsi="Times New Roman" w:cs="Times New Roman"/>
          <w:sz w:val="24"/>
          <w:szCs w:val="24"/>
        </w:rPr>
        <w:t>Onwujiariri</w:t>
      </w:r>
      <w:proofErr w:type="spellEnd"/>
      <w:r w:rsidRPr="00F418B4">
        <w:rPr>
          <w:rFonts w:ascii="Times New Roman" w:eastAsia="Times New Roman" w:hAnsi="Times New Roman" w:cs="Times New Roman"/>
          <w:sz w:val="24"/>
          <w:szCs w:val="24"/>
        </w:rPr>
        <w:t xml:space="preserve">, C. (2023). Investigation of temporal variations in precipitation erosivity in Owerri, Imo State, Nigeria. </w:t>
      </w:r>
      <w:r w:rsidRPr="00F418B4">
        <w:rPr>
          <w:rFonts w:ascii="Times New Roman" w:eastAsia="Times New Roman" w:hAnsi="Times New Roman" w:cs="Times New Roman"/>
          <w:i/>
          <w:iCs/>
          <w:sz w:val="24"/>
          <w:szCs w:val="24"/>
        </w:rPr>
        <w:t>International Journal of Research Publication and Reviews, 4</w:t>
      </w:r>
      <w:r w:rsidRPr="00F418B4">
        <w:rPr>
          <w:rFonts w:ascii="Times New Roman" w:eastAsia="Times New Roman" w:hAnsi="Times New Roman" w:cs="Times New Roman"/>
          <w:sz w:val="24"/>
          <w:szCs w:val="24"/>
        </w:rPr>
        <w:t xml:space="preserve">(11), 1846–1852. </w:t>
      </w:r>
    </w:p>
    <w:p w14:paraId="6434B8F8" w14:textId="77777777" w:rsidR="00F418B4" w:rsidRPr="00F418B4" w:rsidRDefault="00F418B4" w:rsidP="00F418B4">
      <w:pPr>
        <w:spacing w:before="100" w:beforeAutospacing="1" w:after="100" w:afterAutospacing="1" w:line="240" w:lineRule="auto"/>
        <w:ind w:left="540" w:hanging="540"/>
        <w:jc w:val="both"/>
        <w:rPr>
          <w:rFonts w:ascii="Times New Roman" w:eastAsia="Times New Roman" w:hAnsi="Times New Roman" w:cs="Times New Roman"/>
          <w:sz w:val="24"/>
          <w:szCs w:val="24"/>
        </w:rPr>
      </w:pPr>
      <w:proofErr w:type="spellStart"/>
      <w:r w:rsidRPr="00F418B4">
        <w:rPr>
          <w:rFonts w:ascii="Times New Roman" w:eastAsia="Times New Roman" w:hAnsi="Times New Roman" w:cs="Times New Roman"/>
          <w:sz w:val="24"/>
          <w:szCs w:val="24"/>
        </w:rPr>
        <w:t>Onwuadiochi</w:t>
      </w:r>
      <w:proofErr w:type="spellEnd"/>
      <w:r w:rsidRPr="00F418B4">
        <w:rPr>
          <w:rFonts w:ascii="Times New Roman" w:eastAsia="Times New Roman" w:hAnsi="Times New Roman" w:cs="Times New Roman"/>
          <w:sz w:val="24"/>
          <w:szCs w:val="24"/>
        </w:rPr>
        <w:t xml:space="preserve">, I. C., </w:t>
      </w:r>
      <w:proofErr w:type="spellStart"/>
      <w:r w:rsidRPr="00F418B4">
        <w:rPr>
          <w:rFonts w:ascii="Times New Roman" w:eastAsia="Times New Roman" w:hAnsi="Times New Roman" w:cs="Times New Roman"/>
          <w:sz w:val="24"/>
          <w:szCs w:val="24"/>
        </w:rPr>
        <w:t>Onyeanusi</w:t>
      </w:r>
      <w:proofErr w:type="spellEnd"/>
      <w:r w:rsidRPr="00F418B4">
        <w:rPr>
          <w:rFonts w:ascii="Times New Roman" w:eastAsia="Times New Roman" w:hAnsi="Times New Roman" w:cs="Times New Roman"/>
          <w:sz w:val="24"/>
          <w:szCs w:val="24"/>
        </w:rPr>
        <w:t xml:space="preserve">, C. C., &amp; Mage, J. O. (2021). Assessment of rainfall variability for sustainable agriculture in Owerri, Imo State, Nigeria. </w:t>
      </w:r>
      <w:r w:rsidRPr="00F418B4">
        <w:rPr>
          <w:rFonts w:ascii="Times New Roman" w:eastAsia="Times New Roman" w:hAnsi="Times New Roman" w:cs="Times New Roman"/>
          <w:i/>
          <w:iCs/>
          <w:sz w:val="24"/>
          <w:szCs w:val="24"/>
        </w:rPr>
        <w:t>Journal Clean WAS, 5</w:t>
      </w:r>
      <w:r w:rsidRPr="00F418B4">
        <w:rPr>
          <w:rFonts w:ascii="Times New Roman" w:eastAsia="Times New Roman" w:hAnsi="Times New Roman" w:cs="Times New Roman"/>
          <w:sz w:val="24"/>
          <w:szCs w:val="24"/>
        </w:rPr>
        <w:t>(2), 39–46. https://doi.org/10.26480/jcleanwas.02.2021.39.46</w:t>
      </w:r>
    </w:p>
    <w:p w14:paraId="55A8EE70" w14:textId="77777777" w:rsidR="00F418B4" w:rsidRPr="00F418B4" w:rsidRDefault="00F418B4" w:rsidP="00F418B4">
      <w:pPr>
        <w:spacing w:before="100" w:beforeAutospacing="1" w:after="100" w:afterAutospacing="1" w:line="240" w:lineRule="auto"/>
        <w:ind w:left="540" w:hanging="540"/>
        <w:jc w:val="both"/>
        <w:rPr>
          <w:rFonts w:ascii="Times New Roman" w:eastAsia="Times New Roman" w:hAnsi="Times New Roman" w:cs="Times New Roman"/>
          <w:sz w:val="24"/>
          <w:szCs w:val="24"/>
        </w:rPr>
      </w:pPr>
      <w:proofErr w:type="spellStart"/>
      <w:r w:rsidRPr="00F418B4">
        <w:rPr>
          <w:rFonts w:ascii="Times New Roman" w:eastAsia="Times New Roman" w:hAnsi="Times New Roman" w:cs="Times New Roman"/>
          <w:sz w:val="24"/>
          <w:szCs w:val="24"/>
        </w:rPr>
        <w:t>Onyegbule</w:t>
      </w:r>
      <w:proofErr w:type="spellEnd"/>
      <w:r w:rsidRPr="00F418B4">
        <w:rPr>
          <w:rFonts w:ascii="Times New Roman" w:eastAsia="Times New Roman" w:hAnsi="Times New Roman" w:cs="Times New Roman"/>
          <w:sz w:val="24"/>
          <w:szCs w:val="24"/>
        </w:rPr>
        <w:t xml:space="preserve">, U. O., Azu, E. O. D., &amp; </w:t>
      </w:r>
      <w:proofErr w:type="spellStart"/>
      <w:r w:rsidRPr="00F418B4">
        <w:rPr>
          <w:rFonts w:ascii="Times New Roman" w:eastAsia="Times New Roman" w:hAnsi="Times New Roman" w:cs="Times New Roman"/>
          <w:sz w:val="24"/>
          <w:szCs w:val="24"/>
        </w:rPr>
        <w:t>Akagha</w:t>
      </w:r>
      <w:proofErr w:type="spellEnd"/>
      <w:r w:rsidRPr="00F418B4">
        <w:rPr>
          <w:rFonts w:ascii="Times New Roman" w:eastAsia="Times New Roman" w:hAnsi="Times New Roman" w:cs="Times New Roman"/>
          <w:sz w:val="24"/>
          <w:szCs w:val="24"/>
        </w:rPr>
        <w:t xml:space="preserve">, U. N. (2018). Infiltration characteristics of soils in Owerri, Imo State, Southeastern Nigeria under four selected land uses. </w:t>
      </w:r>
      <w:r w:rsidRPr="00F418B4">
        <w:rPr>
          <w:rFonts w:ascii="Times New Roman" w:eastAsia="Times New Roman" w:hAnsi="Times New Roman" w:cs="Times New Roman"/>
          <w:i/>
          <w:iCs/>
          <w:sz w:val="24"/>
          <w:szCs w:val="24"/>
        </w:rPr>
        <w:t>Asian Soil Research Journal, 1</w:t>
      </w:r>
      <w:r w:rsidRPr="00F418B4">
        <w:rPr>
          <w:rFonts w:ascii="Times New Roman" w:eastAsia="Times New Roman" w:hAnsi="Times New Roman" w:cs="Times New Roman"/>
          <w:sz w:val="24"/>
          <w:szCs w:val="24"/>
        </w:rPr>
        <w:t xml:space="preserve">(3), 1–8. </w:t>
      </w:r>
      <w:hyperlink r:id="rId15" w:tgtFrame="_blank" w:history="1">
        <w:r w:rsidRPr="00F418B4">
          <w:rPr>
            <w:rFonts w:ascii="Times New Roman" w:eastAsia="Times New Roman" w:hAnsi="Times New Roman" w:cs="Times New Roman"/>
            <w:color w:val="0000FF"/>
            <w:sz w:val="24"/>
            <w:szCs w:val="24"/>
            <w:u w:val="single"/>
          </w:rPr>
          <w:t>https://doi.org/10.9734/asrj/2018/v1i3686</w:t>
        </w:r>
      </w:hyperlink>
    </w:p>
    <w:p w14:paraId="4CD0318D" w14:textId="77777777" w:rsidR="00F418B4" w:rsidRPr="00F418B4" w:rsidRDefault="00F418B4" w:rsidP="00F418B4">
      <w:pPr>
        <w:spacing w:before="100" w:beforeAutospacing="1" w:after="100" w:afterAutospacing="1" w:line="240" w:lineRule="auto"/>
        <w:ind w:left="540" w:hanging="540"/>
        <w:jc w:val="both"/>
        <w:rPr>
          <w:rFonts w:ascii="Times New Roman" w:eastAsia="Times New Roman" w:hAnsi="Times New Roman" w:cs="Times New Roman"/>
          <w:sz w:val="24"/>
          <w:szCs w:val="24"/>
        </w:rPr>
      </w:pPr>
      <w:proofErr w:type="spellStart"/>
      <w:r w:rsidRPr="00F418B4">
        <w:rPr>
          <w:rFonts w:ascii="Times New Roman" w:eastAsia="Times New Roman" w:hAnsi="Times New Roman" w:cs="Times New Roman"/>
          <w:sz w:val="24"/>
          <w:szCs w:val="24"/>
        </w:rPr>
        <w:lastRenderedPageBreak/>
        <w:t>Palansooriya</w:t>
      </w:r>
      <w:proofErr w:type="spellEnd"/>
      <w:r w:rsidRPr="00F418B4">
        <w:rPr>
          <w:rFonts w:ascii="Times New Roman" w:eastAsia="Times New Roman" w:hAnsi="Times New Roman" w:cs="Times New Roman"/>
          <w:sz w:val="24"/>
          <w:szCs w:val="24"/>
        </w:rPr>
        <w:t xml:space="preserve">, K. N., Yang, Y., Tsang, Y. F., Sarkar, B., Hou, D., Cao, X., Meers, E., Rinklebe, J., Kim, K.-H., &amp; Ok, Y. S. (2020). Occurrence of contaminants in drinking water sources and the potential of biochar for water quality improvement: A review. </w:t>
      </w:r>
      <w:r w:rsidRPr="00F418B4">
        <w:rPr>
          <w:rFonts w:ascii="Times New Roman" w:eastAsia="Times New Roman" w:hAnsi="Times New Roman" w:cs="Times New Roman"/>
          <w:i/>
          <w:iCs/>
          <w:sz w:val="24"/>
          <w:szCs w:val="24"/>
        </w:rPr>
        <w:t>Critical Reviews in Environmental Science and Technology, 50</w:t>
      </w:r>
      <w:r w:rsidRPr="00F418B4">
        <w:rPr>
          <w:rFonts w:ascii="Times New Roman" w:eastAsia="Times New Roman" w:hAnsi="Times New Roman" w:cs="Times New Roman"/>
          <w:sz w:val="24"/>
          <w:szCs w:val="24"/>
        </w:rPr>
        <w:t xml:space="preserve">(6), 549–611. </w:t>
      </w:r>
      <w:hyperlink r:id="rId16" w:tgtFrame="_blank" w:history="1">
        <w:r w:rsidRPr="00F418B4">
          <w:rPr>
            <w:rFonts w:ascii="Times New Roman" w:eastAsia="Times New Roman" w:hAnsi="Times New Roman" w:cs="Times New Roman"/>
            <w:color w:val="0000FF"/>
            <w:sz w:val="24"/>
            <w:szCs w:val="24"/>
            <w:u w:val="single"/>
          </w:rPr>
          <w:t>https://doi.org/10.1080/10643389.2019.1629803</w:t>
        </w:r>
      </w:hyperlink>
    </w:p>
    <w:p w14:paraId="6A09D985" w14:textId="77777777" w:rsidR="00F418B4" w:rsidRPr="00F418B4" w:rsidRDefault="00F418B4" w:rsidP="00F418B4">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F418B4">
        <w:rPr>
          <w:rFonts w:ascii="Times New Roman" w:eastAsia="Times New Roman" w:hAnsi="Times New Roman" w:cs="Times New Roman"/>
          <w:sz w:val="24"/>
          <w:szCs w:val="24"/>
        </w:rPr>
        <w:t xml:space="preserve">Philip, J. R. (1957). The theory of infiltration: 1. The infiltration equation and its solution. </w:t>
      </w:r>
      <w:r w:rsidRPr="00F418B4">
        <w:rPr>
          <w:rFonts w:ascii="Times New Roman" w:eastAsia="Times New Roman" w:hAnsi="Times New Roman" w:cs="Times New Roman"/>
          <w:i/>
          <w:iCs/>
          <w:sz w:val="24"/>
          <w:szCs w:val="24"/>
        </w:rPr>
        <w:t>Soil Science, 83</w:t>
      </w:r>
      <w:r w:rsidRPr="00F418B4">
        <w:rPr>
          <w:rFonts w:ascii="Times New Roman" w:eastAsia="Times New Roman" w:hAnsi="Times New Roman" w:cs="Times New Roman"/>
          <w:sz w:val="24"/>
          <w:szCs w:val="24"/>
        </w:rPr>
        <w:t>(5), 345–357. https://doi.org/10.1097/00010694-195705000-00002</w:t>
      </w:r>
    </w:p>
    <w:p w14:paraId="16EAA15B" w14:textId="3E8118AF" w:rsidR="00F418B4" w:rsidRPr="00F418B4" w:rsidRDefault="00F418B4" w:rsidP="00F418B4">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F418B4">
        <w:rPr>
          <w:rFonts w:ascii="Times New Roman" w:eastAsia="Times New Roman" w:hAnsi="Times New Roman" w:cs="Times New Roman"/>
          <w:sz w:val="24"/>
          <w:szCs w:val="24"/>
        </w:rPr>
        <w:t xml:space="preserve">Rawls, W. J., Ahuja, L. R., Brakensiek, D. L., &amp; </w:t>
      </w:r>
      <w:proofErr w:type="spellStart"/>
      <w:r w:rsidRPr="00F418B4">
        <w:rPr>
          <w:rFonts w:ascii="Times New Roman" w:eastAsia="Times New Roman" w:hAnsi="Times New Roman" w:cs="Times New Roman"/>
          <w:sz w:val="24"/>
          <w:szCs w:val="24"/>
        </w:rPr>
        <w:t>Shirmohammadi</w:t>
      </w:r>
      <w:proofErr w:type="spellEnd"/>
      <w:r w:rsidRPr="00F418B4">
        <w:rPr>
          <w:rFonts w:ascii="Times New Roman" w:eastAsia="Times New Roman" w:hAnsi="Times New Roman" w:cs="Times New Roman"/>
          <w:sz w:val="24"/>
          <w:szCs w:val="24"/>
        </w:rPr>
        <w:t xml:space="preserve">, A. (1993). Infiltration and soil water movement. In D. R. Maidment (Ed.), </w:t>
      </w:r>
      <w:r w:rsidRPr="00F418B4">
        <w:rPr>
          <w:rFonts w:ascii="Times New Roman" w:eastAsia="Times New Roman" w:hAnsi="Times New Roman" w:cs="Times New Roman"/>
          <w:i/>
          <w:iCs/>
          <w:sz w:val="24"/>
          <w:szCs w:val="24"/>
        </w:rPr>
        <w:t>Handbook of hydrology</w:t>
      </w:r>
      <w:r w:rsidRPr="00F418B4">
        <w:rPr>
          <w:rFonts w:ascii="Times New Roman" w:eastAsia="Times New Roman" w:hAnsi="Times New Roman" w:cs="Times New Roman"/>
          <w:sz w:val="24"/>
          <w:szCs w:val="24"/>
        </w:rPr>
        <w:t xml:space="preserve"> (pp. 5.1–5.51). McGraw-Hill. </w:t>
      </w:r>
    </w:p>
    <w:p w14:paraId="423CD1F6" w14:textId="77777777" w:rsidR="00F418B4" w:rsidRPr="00F418B4" w:rsidRDefault="00F418B4" w:rsidP="00F418B4">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F418B4">
        <w:rPr>
          <w:rFonts w:ascii="Times New Roman" w:eastAsia="Times New Roman" w:hAnsi="Times New Roman" w:cs="Times New Roman"/>
          <w:sz w:val="24"/>
          <w:szCs w:val="24"/>
        </w:rPr>
        <w:t xml:space="preserve">Reynolds, W. D., Bowman, B. T., Drury, C. F., Tan, C. S., &amp; Lu, X. (2002). Indicators of good soil physical quality: Density and storage parameters. </w:t>
      </w:r>
      <w:proofErr w:type="spellStart"/>
      <w:r w:rsidRPr="00F418B4">
        <w:rPr>
          <w:rFonts w:ascii="Times New Roman" w:eastAsia="Times New Roman" w:hAnsi="Times New Roman" w:cs="Times New Roman"/>
          <w:i/>
          <w:iCs/>
          <w:sz w:val="24"/>
          <w:szCs w:val="24"/>
        </w:rPr>
        <w:t>Geoderma</w:t>
      </w:r>
      <w:proofErr w:type="spellEnd"/>
      <w:r w:rsidRPr="00F418B4">
        <w:rPr>
          <w:rFonts w:ascii="Times New Roman" w:eastAsia="Times New Roman" w:hAnsi="Times New Roman" w:cs="Times New Roman"/>
          <w:i/>
          <w:iCs/>
          <w:sz w:val="24"/>
          <w:szCs w:val="24"/>
        </w:rPr>
        <w:t>, 110</w:t>
      </w:r>
      <w:r w:rsidRPr="00F418B4">
        <w:rPr>
          <w:rFonts w:ascii="Times New Roman" w:eastAsia="Times New Roman" w:hAnsi="Times New Roman" w:cs="Times New Roman"/>
          <w:sz w:val="24"/>
          <w:szCs w:val="24"/>
        </w:rPr>
        <w:t>(1–2), 131–146. https://doi.org/10.1016/S0016-7061(02)00228-8</w:t>
      </w:r>
    </w:p>
    <w:p w14:paraId="324FA329" w14:textId="77777777" w:rsidR="00F418B4" w:rsidRPr="00F418B4" w:rsidRDefault="00F418B4" w:rsidP="00F418B4">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F418B4">
        <w:rPr>
          <w:rFonts w:ascii="Times New Roman" w:eastAsia="Times New Roman" w:hAnsi="Times New Roman" w:cs="Times New Roman"/>
          <w:sz w:val="24"/>
          <w:szCs w:val="24"/>
        </w:rPr>
        <w:t xml:space="preserve">Scanlon, B. R., Healy, R. W., &amp; Cook, P. G. (2002). Choosing appropriate techniques for quantifying groundwater recharge. </w:t>
      </w:r>
      <w:r w:rsidRPr="00F418B4">
        <w:rPr>
          <w:rFonts w:ascii="Times New Roman" w:eastAsia="Times New Roman" w:hAnsi="Times New Roman" w:cs="Times New Roman"/>
          <w:i/>
          <w:iCs/>
          <w:sz w:val="24"/>
          <w:szCs w:val="24"/>
        </w:rPr>
        <w:t>Hydrogeology Journal, 10</w:t>
      </w:r>
      <w:r w:rsidRPr="00F418B4">
        <w:rPr>
          <w:rFonts w:ascii="Times New Roman" w:eastAsia="Times New Roman" w:hAnsi="Times New Roman" w:cs="Times New Roman"/>
          <w:sz w:val="24"/>
          <w:szCs w:val="24"/>
        </w:rPr>
        <w:t xml:space="preserve">(1), 18–39. </w:t>
      </w:r>
      <w:hyperlink r:id="rId17" w:tgtFrame="_blank" w:history="1">
        <w:r w:rsidRPr="00F418B4">
          <w:rPr>
            <w:rFonts w:ascii="Times New Roman" w:eastAsia="Times New Roman" w:hAnsi="Times New Roman" w:cs="Times New Roman"/>
            <w:color w:val="0000FF"/>
            <w:sz w:val="24"/>
            <w:szCs w:val="24"/>
            <w:u w:val="single"/>
          </w:rPr>
          <w:t>https://doi.org/10.1007/s10040-001-0176-2</w:t>
        </w:r>
      </w:hyperlink>
    </w:p>
    <w:p w14:paraId="343318BD" w14:textId="77777777" w:rsidR="00F418B4" w:rsidRPr="00F418B4" w:rsidRDefault="00F418B4" w:rsidP="00F418B4">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F418B4">
        <w:rPr>
          <w:rFonts w:ascii="Times New Roman" w:eastAsia="Times New Roman" w:hAnsi="Times New Roman" w:cs="Times New Roman"/>
          <w:sz w:val="24"/>
          <w:szCs w:val="24"/>
        </w:rPr>
        <w:t xml:space="preserve">Shah, A., Arjunan, A., </w:t>
      </w:r>
      <w:proofErr w:type="spellStart"/>
      <w:r w:rsidRPr="00F418B4">
        <w:rPr>
          <w:rFonts w:ascii="Times New Roman" w:eastAsia="Times New Roman" w:hAnsi="Times New Roman" w:cs="Times New Roman"/>
          <w:sz w:val="24"/>
          <w:szCs w:val="24"/>
        </w:rPr>
        <w:t>Baroutaji</w:t>
      </w:r>
      <w:proofErr w:type="spellEnd"/>
      <w:r w:rsidRPr="00F418B4">
        <w:rPr>
          <w:rFonts w:ascii="Times New Roman" w:eastAsia="Times New Roman" w:hAnsi="Times New Roman" w:cs="Times New Roman"/>
          <w:sz w:val="24"/>
          <w:szCs w:val="24"/>
        </w:rPr>
        <w:t xml:space="preserve">, A., &amp; Zakharova, J. (2023). A review of physicochemical and biological contaminants in drinking water and their impacts on human health. </w:t>
      </w:r>
      <w:r w:rsidRPr="00F418B4">
        <w:rPr>
          <w:rFonts w:ascii="Times New Roman" w:eastAsia="Times New Roman" w:hAnsi="Times New Roman" w:cs="Times New Roman"/>
          <w:i/>
          <w:iCs/>
          <w:sz w:val="24"/>
          <w:szCs w:val="24"/>
        </w:rPr>
        <w:t>Water Science and Engineering, 16</w:t>
      </w:r>
      <w:r w:rsidRPr="00F418B4">
        <w:rPr>
          <w:rFonts w:ascii="Times New Roman" w:eastAsia="Times New Roman" w:hAnsi="Times New Roman" w:cs="Times New Roman"/>
          <w:sz w:val="24"/>
          <w:szCs w:val="24"/>
        </w:rPr>
        <w:t xml:space="preserve">(4), 333–344. </w:t>
      </w:r>
      <w:hyperlink r:id="rId18" w:tgtFrame="_blank" w:history="1">
        <w:r w:rsidRPr="00F418B4">
          <w:rPr>
            <w:rFonts w:ascii="Times New Roman" w:eastAsia="Times New Roman" w:hAnsi="Times New Roman" w:cs="Times New Roman"/>
            <w:color w:val="0000FF"/>
            <w:sz w:val="24"/>
            <w:szCs w:val="24"/>
            <w:u w:val="single"/>
          </w:rPr>
          <w:t>https://doi.org/10.1016/j.wse.2023.04.003</w:t>
        </w:r>
      </w:hyperlink>
    </w:p>
    <w:p w14:paraId="2748D105" w14:textId="77777777" w:rsidR="00F418B4" w:rsidRPr="00F418B4" w:rsidRDefault="00F418B4" w:rsidP="00F418B4">
      <w:pPr>
        <w:spacing w:before="100" w:beforeAutospacing="1" w:after="100" w:afterAutospacing="1" w:line="240" w:lineRule="auto"/>
        <w:ind w:left="540" w:hanging="540"/>
        <w:jc w:val="both"/>
        <w:rPr>
          <w:rFonts w:ascii="Times New Roman" w:eastAsia="Times New Roman" w:hAnsi="Times New Roman" w:cs="Times New Roman"/>
          <w:sz w:val="24"/>
          <w:szCs w:val="24"/>
          <w:lang w:val="nl-BE"/>
        </w:rPr>
      </w:pPr>
      <w:proofErr w:type="spellStart"/>
      <w:r w:rsidRPr="00F418B4">
        <w:rPr>
          <w:rFonts w:ascii="Times New Roman" w:eastAsia="Times New Roman" w:hAnsi="Times New Roman" w:cs="Times New Roman"/>
          <w:sz w:val="24"/>
          <w:szCs w:val="24"/>
        </w:rPr>
        <w:t>Sharghi</w:t>
      </w:r>
      <w:proofErr w:type="spellEnd"/>
      <w:r w:rsidRPr="00F418B4">
        <w:rPr>
          <w:rFonts w:ascii="Times New Roman" w:eastAsia="Times New Roman" w:hAnsi="Times New Roman" w:cs="Times New Roman"/>
          <w:sz w:val="24"/>
          <w:szCs w:val="24"/>
        </w:rPr>
        <w:t xml:space="preserve"> S., F., Bauke, S. L., Rahmati, M., Burger, D. J., Vereecken, H., &amp; Amelung, W. (2025). Soil infiltration variability across diverse soil reference groups, textures, and land-use types. </w:t>
      </w:r>
      <w:r w:rsidRPr="00F418B4">
        <w:rPr>
          <w:rFonts w:ascii="Times New Roman" w:eastAsia="Times New Roman" w:hAnsi="Times New Roman" w:cs="Times New Roman"/>
          <w:i/>
          <w:iCs/>
          <w:sz w:val="24"/>
          <w:szCs w:val="24"/>
          <w:lang w:val="nl-BE"/>
        </w:rPr>
        <w:t>Geoderma, 463</w:t>
      </w:r>
      <w:r w:rsidRPr="00F418B4">
        <w:rPr>
          <w:rFonts w:ascii="Times New Roman" w:eastAsia="Times New Roman" w:hAnsi="Times New Roman" w:cs="Times New Roman"/>
          <w:sz w:val="24"/>
          <w:szCs w:val="24"/>
          <w:lang w:val="nl-BE"/>
        </w:rPr>
        <w:t xml:space="preserve">, 117550. </w:t>
      </w:r>
      <w:hyperlink r:id="rId19" w:tgtFrame="_blank" w:history="1">
        <w:r w:rsidRPr="00F418B4">
          <w:rPr>
            <w:rFonts w:ascii="Times New Roman" w:eastAsia="Times New Roman" w:hAnsi="Times New Roman" w:cs="Times New Roman"/>
            <w:color w:val="0000FF"/>
            <w:sz w:val="24"/>
            <w:szCs w:val="24"/>
            <w:u w:val="single"/>
            <w:lang w:val="nl-BE"/>
          </w:rPr>
          <w:t>https://doi.org/10.1016/j.geoderma.2025.117550</w:t>
        </w:r>
      </w:hyperlink>
    </w:p>
    <w:p w14:paraId="2F8775CC" w14:textId="100649BE" w:rsidR="00F418B4" w:rsidRPr="00F418B4" w:rsidRDefault="00F418B4" w:rsidP="00F418B4">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F418B4">
        <w:rPr>
          <w:rFonts w:ascii="Times New Roman" w:eastAsia="Times New Roman" w:hAnsi="Times New Roman" w:cs="Times New Roman"/>
          <w:sz w:val="24"/>
          <w:szCs w:val="24"/>
          <w:lang w:val="nl-BE"/>
        </w:rPr>
        <w:t xml:space="preserve">Sonaje, N. P., &amp; Waikar, M. L. (2009). </w:t>
      </w:r>
      <w:r w:rsidRPr="00F418B4">
        <w:rPr>
          <w:rFonts w:ascii="Times New Roman" w:eastAsia="Times New Roman" w:hAnsi="Times New Roman" w:cs="Times New Roman"/>
          <w:sz w:val="24"/>
          <w:szCs w:val="24"/>
        </w:rPr>
        <w:t xml:space="preserve">Application of MATHCAD for hydrological analysis using </w:t>
      </w:r>
      <w:proofErr w:type="spellStart"/>
      <w:r w:rsidRPr="00F418B4">
        <w:rPr>
          <w:rFonts w:ascii="Times New Roman" w:eastAsia="Times New Roman" w:hAnsi="Times New Roman" w:cs="Times New Roman"/>
          <w:sz w:val="24"/>
          <w:szCs w:val="24"/>
        </w:rPr>
        <w:t>Kostikov’s</w:t>
      </w:r>
      <w:proofErr w:type="spellEnd"/>
      <w:r w:rsidRPr="00F418B4">
        <w:rPr>
          <w:rFonts w:ascii="Times New Roman" w:eastAsia="Times New Roman" w:hAnsi="Times New Roman" w:cs="Times New Roman"/>
          <w:sz w:val="24"/>
          <w:szCs w:val="24"/>
        </w:rPr>
        <w:t xml:space="preserve"> method. </w:t>
      </w:r>
      <w:r w:rsidRPr="00F418B4">
        <w:rPr>
          <w:rFonts w:ascii="Times New Roman" w:eastAsia="Times New Roman" w:hAnsi="Times New Roman" w:cs="Times New Roman"/>
          <w:i/>
          <w:iCs/>
          <w:sz w:val="24"/>
          <w:szCs w:val="24"/>
        </w:rPr>
        <w:t>Asian Journal of Chemical and Environmental Research, 2</w:t>
      </w:r>
      <w:r w:rsidRPr="00F418B4">
        <w:rPr>
          <w:rFonts w:ascii="Times New Roman" w:eastAsia="Times New Roman" w:hAnsi="Times New Roman" w:cs="Times New Roman"/>
          <w:sz w:val="24"/>
          <w:szCs w:val="24"/>
        </w:rPr>
        <w:t xml:space="preserve">(1–2), 57–63. </w:t>
      </w:r>
    </w:p>
    <w:p w14:paraId="7ABEE9CC" w14:textId="77777777" w:rsidR="00F418B4" w:rsidRPr="00F418B4" w:rsidRDefault="00F418B4" w:rsidP="00F418B4">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F418B4">
        <w:rPr>
          <w:rFonts w:ascii="Times New Roman" w:eastAsia="Times New Roman" w:hAnsi="Times New Roman" w:cs="Times New Roman"/>
          <w:sz w:val="24"/>
          <w:szCs w:val="24"/>
        </w:rPr>
        <w:t xml:space="preserve">Tuffour, H. O., Bonsu, M., &amp; Khalid, A. A. (2014). Assessment of soil degradation due to compaction resulting from cattle grazing using infiltration parameters. </w:t>
      </w:r>
      <w:r w:rsidRPr="00F418B4">
        <w:rPr>
          <w:rFonts w:ascii="Times New Roman" w:eastAsia="Times New Roman" w:hAnsi="Times New Roman" w:cs="Times New Roman"/>
          <w:i/>
          <w:iCs/>
          <w:sz w:val="24"/>
          <w:szCs w:val="24"/>
        </w:rPr>
        <w:t>International Journal of Scientific Research in Environmental Sciences, 2</w:t>
      </w:r>
      <w:r w:rsidRPr="00F418B4">
        <w:rPr>
          <w:rFonts w:ascii="Times New Roman" w:eastAsia="Times New Roman" w:hAnsi="Times New Roman" w:cs="Times New Roman"/>
          <w:sz w:val="24"/>
          <w:szCs w:val="24"/>
        </w:rPr>
        <w:t>(4), 139–149. https://doi.org/10.12983/ijsres-2014-p0139-0149</w:t>
      </w:r>
    </w:p>
    <w:p w14:paraId="091C3D62" w14:textId="77777777" w:rsidR="00F418B4" w:rsidRPr="00F418B4" w:rsidRDefault="00F418B4" w:rsidP="00F418B4">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F418B4">
        <w:rPr>
          <w:rFonts w:ascii="Times New Roman" w:eastAsia="Times New Roman" w:hAnsi="Times New Roman" w:cs="Times New Roman"/>
          <w:sz w:val="24"/>
          <w:szCs w:val="24"/>
          <w:lang w:val="nl-BE"/>
        </w:rPr>
        <w:t xml:space="preserve">Udechukwu, C. I., Okere, S. G., Essien, E. A., Onyima, E. C., Ekpenyong, E. A., &amp; Udotong, U. F. (2025). </w:t>
      </w:r>
      <w:r w:rsidRPr="00F418B4">
        <w:rPr>
          <w:rFonts w:ascii="Times New Roman" w:eastAsia="Times New Roman" w:hAnsi="Times New Roman" w:cs="Times New Roman"/>
          <w:sz w:val="24"/>
          <w:szCs w:val="24"/>
        </w:rPr>
        <w:t xml:space="preserve">Physicochemical and microbiological analysis of water quality of Nworie River in Imo State, Nigeria. </w:t>
      </w:r>
      <w:r w:rsidRPr="00F418B4">
        <w:rPr>
          <w:rFonts w:ascii="Times New Roman" w:eastAsia="Times New Roman" w:hAnsi="Times New Roman" w:cs="Times New Roman"/>
          <w:i/>
          <w:iCs/>
          <w:sz w:val="24"/>
          <w:szCs w:val="24"/>
        </w:rPr>
        <w:t>World Journal of Advanced Research and Reviews, 26</w:t>
      </w:r>
      <w:r w:rsidRPr="00F418B4">
        <w:rPr>
          <w:rFonts w:ascii="Times New Roman" w:eastAsia="Times New Roman" w:hAnsi="Times New Roman" w:cs="Times New Roman"/>
          <w:sz w:val="24"/>
          <w:szCs w:val="24"/>
        </w:rPr>
        <w:t xml:space="preserve">(2), 1504–1511. </w:t>
      </w:r>
      <w:hyperlink r:id="rId20" w:tgtFrame="_blank" w:history="1">
        <w:r w:rsidRPr="00F418B4">
          <w:rPr>
            <w:rFonts w:ascii="Times New Roman" w:eastAsia="Times New Roman" w:hAnsi="Times New Roman" w:cs="Times New Roman"/>
            <w:color w:val="0000FF"/>
            <w:sz w:val="24"/>
            <w:szCs w:val="24"/>
            <w:u w:val="single"/>
          </w:rPr>
          <w:t>https://doi.org/10.30574/wjarr.2025.26.2.1491</w:t>
        </w:r>
      </w:hyperlink>
    </w:p>
    <w:p w14:paraId="1B6B9F43" w14:textId="77777777" w:rsidR="00F418B4" w:rsidRPr="00F418B4" w:rsidRDefault="00F418B4" w:rsidP="00F418B4">
      <w:pPr>
        <w:spacing w:before="100" w:beforeAutospacing="1" w:after="100" w:afterAutospacing="1" w:line="240" w:lineRule="auto"/>
        <w:ind w:left="540" w:hanging="540"/>
        <w:jc w:val="both"/>
        <w:rPr>
          <w:rFonts w:ascii="Times New Roman" w:eastAsia="Times New Roman" w:hAnsi="Times New Roman" w:cs="Times New Roman"/>
          <w:sz w:val="24"/>
          <w:szCs w:val="24"/>
        </w:rPr>
      </w:pPr>
      <w:proofErr w:type="spellStart"/>
      <w:r w:rsidRPr="00F418B4">
        <w:rPr>
          <w:rFonts w:ascii="Times New Roman" w:eastAsia="Times New Roman" w:hAnsi="Times New Roman" w:cs="Times New Roman"/>
          <w:sz w:val="24"/>
          <w:szCs w:val="24"/>
        </w:rPr>
        <w:t>Udokporo</w:t>
      </w:r>
      <w:proofErr w:type="spellEnd"/>
      <w:r w:rsidRPr="00F418B4">
        <w:rPr>
          <w:rFonts w:ascii="Times New Roman" w:eastAsia="Times New Roman" w:hAnsi="Times New Roman" w:cs="Times New Roman"/>
          <w:sz w:val="24"/>
          <w:szCs w:val="24"/>
        </w:rPr>
        <w:t xml:space="preserve">, E., </w:t>
      </w:r>
      <w:proofErr w:type="spellStart"/>
      <w:r w:rsidRPr="00F418B4">
        <w:rPr>
          <w:rFonts w:ascii="Times New Roman" w:eastAsia="Times New Roman" w:hAnsi="Times New Roman" w:cs="Times New Roman"/>
          <w:sz w:val="24"/>
          <w:szCs w:val="24"/>
        </w:rPr>
        <w:t>Anikwe</w:t>
      </w:r>
      <w:proofErr w:type="spellEnd"/>
      <w:r w:rsidRPr="00F418B4">
        <w:rPr>
          <w:rFonts w:ascii="Times New Roman" w:eastAsia="Times New Roman" w:hAnsi="Times New Roman" w:cs="Times New Roman"/>
          <w:sz w:val="24"/>
          <w:szCs w:val="24"/>
        </w:rPr>
        <w:t xml:space="preserve">, M. A. N., &amp; Chukwu, K. E. (2015). Assessment and mapping of the vulnerability of soils in Imo State, Nigeria, to erosion hazard using GIS. </w:t>
      </w:r>
      <w:r w:rsidRPr="00F418B4">
        <w:rPr>
          <w:rFonts w:ascii="Times New Roman" w:eastAsia="Times New Roman" w:hAnsi="Times New Roman" w:cs="Times New Roman"/>
          <w:i/>
          <w:iCs/>
          <w:sz w:val="24"/>
          <w:szCs w:val="24"/>
        </w:rPr>
        <w:t xml:space="preserve">International </w:t>
      </w:r>
      <w:r w:rsidRPr="00F418B4">
        <w:rPr>
          <w:rFonts w:ascii="Times New Roman" w:eastAsia="Times New Roman" w:hAnsi="Times New Roman" w:cs="Times New Roman"/>
          <w:i/>
          <w:iCs/>
          <w:sz w:val="24"/>
          <w:szCs w:val="24"/>
        </w:rPr>
        <w:lastRenderedPageBreak/>
        <w:t>Journal of Environmental Monitoring and Analysis, 3</w:t>
      </w:r>
      <w:r w:rsidRPr="00F418B4">
        <w:rPr>
          <w:rFonts w:ascii="Times New Roman" w:eastAsia="Times New Roman" w:hAnsi="Times New Roman" w:cs="Times New Roman"/>
          <w:sz w:val="24"/>
          <w:szCs w:val="24"/>
        </w:rPr>
        <w:t>(5), 245–259. https://doi.org/10.11648/j.ijema.20150305.12</w:t>
      </w:r>
    </w:p>
    <w:p w14:paraId="0AC98BD5" w14:textId="77777777" w:rsidR="00F418B4" w:rsidRPr="00F418B4" w:rsidRDefault="00F418B4" w:rsidP="00F418B4">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F418B4">
        <w:rPr>
          <w:rFonts w:ascii="Times New Roman" w:eastAsia="Times New Roman" w:hAnsi="Times New Roman" w:cs="Times New Roman"/>
          <w:sz w:val="24"/>
          <w:szCs w:val="24"/>
        </w:rPr>
        <w:t xml:space="preserve">United Nations. (2024). </w:t>
      </w:r>
      <w:r w:rsidRPr="00F418B4">
        <w:rPr>
          <w:rFonts w:ascii="Times New Roman" w:eastAsia="Times New Roman" w:hAnsi="Times New Roman" w:cs="Times New Roman"/>
          <w:i/>
          <w:iCs/>
          <w:sz w:val="24"/>
          <w:szCs w:val="24"/>
        </w:rPr>
        <w:t>The Sustainable Development Goals Report 2024</w:t>
      </w:r>
      <w:r w:rsidRPr="00F418B4">
        <w:rPr>
          <w:rFonts w:ascii="Times New Roman" w:eastAsia="Times New Roman" w:hAnsi="Times New Roman" w:cs="Times New Roman"/>
          <w:sz w:val="24"/>
          <w:szCs w:val="24"/>
        </w:rPr>
        <w:t xml:space="preserve">. </w:t>
      </w:r>
      <w:hyperlink r:id="rId21" w:tgtFrame="_blank" w:history="1">
        <w:r w:rsidRPr="00F418B4">
          <w:rPr>
            <w:rFonts w:ascii="Times New Roman" w:eastAsia="Times New Roman" w:hAnsi="Times New Roman" w:cs="Times New Roman"/>
            <w:color w:val="0000FF"/>
            <w:sz w:val="24"/>
            <w:szCs w:val="24"/>
            <w:u w:val="single"/>
          </w:rPr>
          <w:t>https://doi.org/10.18356/9789213589755</w:t>
        </w:r>
      </w:hyperlink>
    </w:p>
    <w:p w14:paraId="71063096" w14:textId="799CD0E1" w:rsidR="00F418B4" w:rsidRPr="00F418B4" w:rsidRDefault="00F418B4" w:rsidP="00F418B4">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F418B4">
        <w:rPr>
          <w:rFonts w:ascii="Times New Roman" w:eastAsia="Times New Roman" w:hAnsi="Times New Roman" w:cs="Times New Roman"/>
          <w:sz w:val="24"/>
          <w:szCs w:val="24"/>
        </w:rPr>
        <w:t xml:space="preserve">World Health Organization. (2017). </w:t>
      </w:r>
      <w:r w:rsidRPr="00F418B4">
        <w:rPr>
          <w:rFonts w:ascii="Times New Roman" w:eastAsia="Times New Roman" w:hAnsi="Times New Roman" w:cs="Times New Roman"/>
          <w:i/>
          <w:iCs/>
          <w:sz w:val="24"/>
          <w:szCs w:val="24"/>
        </w:rPr>
        <w:t>Guidelines for drinking-water quality: Fourth edition incorporating the first addendum</w:t>
      </w:r>
      <w:r w:rsidRPr="00F418B4">
        <w:rPr>
          <w:rFonts w:ascii="Times New Roman" w:eastAsia="Times New Roman" w:hAnsi="Times New Roman" w:cs="Times New Roman"/>
          <w:sz w:val="24"/>
          <w:szCs w:val="24"/>
        </w:rPr>
        <w:t xml:space="preserve">. World Health Organization. </w:t>
      </w:r>
    </w:p>
    <w:p w14:paraId="1582CBE7" w14:textId="77777777" w:rsidR="00F418B4" w:rsidRPr="00F418B4" w:rsidRDefault="00F418B4" w:rsidP="00F418B4">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F418B4">
        <w:rPr>
          <w:rFonts w:ascii="Times New Roman" w:eastAsia="Times New Roman" w:hAnsi="Times New Roman" w:cs="Times New Roman"/>
          <w:sz w:val="24"/>
          <w:szCs w:val="24"/>
        </w:rPr>
        <w:t xml:space="preserve">World Health Organization. (2022). </w:t>
      </w:r>
      <w:r w:rsidRPr="00F418B4">
        <w:rPr>
          <w:rFonts w:ascii="Times New Roman" w:eastAsia="Times New Roman" w:hAnsi="Times New Roman" w:cs="Times New Roman"/>
          <w:i/>
          <w:iCs/>
          <w:sz w:val="24"/>
          <w:szCs w:val="24"/>
        </w:rPr>
        <w:t>World health statistics 2022: Monitoring health for the SDGs, sustainable development goals</w:t>
      </w:r>
      <w:r w:rsidRPr="00F418B4">
        <w:rPr>
          <w:rFonts w:ascii="Times New Roman" w:eastAsia="Times New Roman" w:hAnsi="Times New Roman" w:cs="Times New Roman"/>
          <w:sz w:val="24"/>
          <w:szCs w:val="24"/>
        </w:rPr>
        <w:t xml:space="preserve">. World Health Organization. </w:t>
      </w:r>
      <w:hyperlink r:id="rId22" w:tgtFrame="_blank" w:history="1">
        <w:r w:rsidRPr="00F418B4">
          <w:rPr>
            <w:rFonts w:ascii="Times New Roman" w:eastAsia="Times New Roman" w:hAnsi="Times New Roman" w:cs="Times New Roman"/>
            <w:color w:val="0000FF"/>
            <w:sz w:val="24"/>
            <w:szCs w:val="24"/>
            <w:u w:val="single"/>
          </w:rPr>
          <w:t>Official WHO publication page</w:t>
        </w:r>
      </w:hyperlink>
    </w:p>
    <w:p w14:paraId="5B0CA758" w14:textId="2FA1E0C7" w:rsidR="00D00688" w:rsidRDefault="00D00688" w:rsidP="00F418B4">
      <w:pPr>
        <w:spacing w:after="0" w:line="360" w:lineRule="auto"/>
        <w:ind w:left="720" w:hanging="720"/>
      </w:pPr>
    </w:p>
    <w:sectPr w:rsidR="00D00688" w:rsidSect="002614C4">
      <w:headerReference w:type="even" r:id="rId23"/>
      <w:headerReference w:type="default" r:id="rId24"/>
      <w:footerReference w:type="even" r:id="rId25"/>
      <w:footerReference w:type="default" r:id="rId26"/>
      <w:headerReference w:type="first" r:id="rId27"/>
      <w:footerReference w:type="first" r:id="rId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885F84" w14:textId="77777777" w:rsidR="00EF0729" w:rsidRDefault="00EF0729" w:rsidP="0097693A">
      <w:pPr>
        <w:spacing w:after="0" w:line="240" w:lineRule="auto"/>
      </w:pPr>
      <w:r>
        <w:separator/>
      </w:r>
    </w:p>
  </w:endnote>
  <w:endnote w:type="continuationSeparator" w:id="0">
    <w:p w14:paraId="716EC26A" w14:textId="77777777" w:rsidR="00EF0729" w:rsidRDefault="00EF0729" w:rsidP="009769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altName w:val="苹方-简"/>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12D15" w14:textId="77777777" w:rsidR="009908EB" w:rsidRDefault="009908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4225186"/>
      <w:docPartObj>
        <w:docPartGallery w:val="Page Numbers (Bottom of Page)"/>
        <w:docPartUnique/>
      </w:docPartObj>
    </w:sdtPr>
    <w:sdtEndPr/>
    <w:sdtContent>
      <w:p w14:paraId="14F595E2" w14:textId="77777777" w:rsidR="0097693A" w:rsidRDefault="007C7104">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2C83BD98" w14:textId="77777777" w:rsidR="0097693A" w:rsidRDefault="0097693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E50D8" w14:textId="77777777" w:rsidR="009908EB" w:rsidRDefault="009908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0CADFE" w14:textId="77777777" w:rsidR="00EF0729" w:rsidRDefault="00EF0729" w:rsidP="0097693A">
      <w:pPr>
        <w:spacing w:after="0" w:line="240" w:lineRule="auto"/>
      </w:pPr>
      <w:r>
        <w:separator/>
      </w:r>
    </w:p>
  </w:footnote>
  <w:footnote w:type="continuationSeparator" w:id="0">
    <w:p w14:paraId="1E7164C2" w14:textId="77777777" w:rsidR="00EF0729" w:rsidRDefault="00EF0729" w:rsidP="009769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2D309" w14:textId="77777777" w:rsidR="009908EB" w:rsidRDefault="00EF0729">
    <w:pPr>
      <w:pStyle w:val="Header"/>
    </w:pPr>
    <w:r>
      <w:rPr>
        <w:noProof/>
      </w:rPr>
      <w:pict w14:anchorId="6D1B58C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47735"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A12AF" w14:textId="77777777" w:rsidR="009908EB" w:rsidRDefault="00EF0729">
    <w:pPr>
      <w:pStyle w:val="Header"/>
    </w:pPr>
    <w:r>
      <w:rPr>
        <w:noProof/>
      </w:rPr>
      <w:pict w14:anchorId="69D6819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47736"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DD500" w14:textId="77777777" w:rsidR="009908EB" w:rsidRDefault="00EF0729">
    <w:pPr>
      <w:pStyle w:val="Header"/>
    </w:pPr>
    <w:r>
      <w:rPr>
        <w:noProof/>
      </w:rPr>
      <w:pict w14:anchorId="7E65719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47734"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3F7B99"/>
    <w:multiLevelType w:val="multilevel"/>
    <w:tmpl w:val="C2025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2FB1373"/>
    <w:multiLevelType w:val="multilevel"/>
    <w:tmpl w:val="8AB60A2E"/>
    <w:lvl w:ilvl="0">
      <w:start w:val="3"/>
      <w:numFmt w:val="decimal"/>
      <w:lvlText w:val="%1"/>
      <w:lvlJc w:val="left"/>
      <w:pPr>
        <w:ind w:left="480" w:hanging="480"/>
      </w:pPr>
      <w:rPr>
        <w:rFonts w:hint="default"/>
      </w:rPr>
    </w:lvl>
    <w:lvl w:ilvl="1">
      <w:start w:val="8"/>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7876207F"/>
    <w:multiLevelType w:val="multilevel"/>
    <w:tmpl w:val="B91E68BA"/>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16cid:durableId="964232076">
    <w:abstractNumId w:val="2"/>
  </w:num>
  <w:num w:numId="2" w16cid:durableId="1316714466">
    <w:abstractNumId w:val="0"/>
  </w:num>
  <w:num w:numId="3" w16cid:durableId="19107298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xNjIyMLe0sDQxNDcyMDNS0lEKTi0uzszPAykwrAUALH01XiwAAAA="/>
  </w:docVars>
  <w:rsids>
    <w:rsidRoot w:val="000371C0"/>
    <w:rsid w:val="0000799C"/>
    <w:rsid w:val="00034AF9"/>
    <w:rsid w:val="000371C0"/>
    <w:rsid w:val="00054DB3"/>
    <w:rsid w:val="000646B0"/>
    <w:rsid w:val="000713F0"/>
    <w:rsid w:val="000A2717"/>
    <w:rsid w:val="000B33D4"/>
    <w:rsid w:val="000C5664"/>
    <w:rsid w:val="000E2C57"/>
    <w:rsid w:val="000E6A42"/>
    <w:rsid w:val="0014485E"/>
    <w:rsid w:val="00156D9C"/>
    <w:rsid w:val="001603B9"/>
    <w:rsid w:val="00197AC7"/>
    <w:rsid w:val="001A3419"/>
    <w:rsid w:val="001D49A8"/>
    <w:rsid w:val="001F5F7C"/>
    <w:rsid w:val="001F7BBA"/>
    <w:rsid w:val="00210355"/>
    <w:rsid w:val="0024039A"/>
    <w:rsid w:val="00251302"/>
    <w:rsid w:val="00255958"/>
    <w:rsid w:val="002614C4"/>
    <w:rsid w:val="002A373E"/>
    <w:rsid w:val="002D5205"/>
    <w:rsid w:val="002F6FA5"/>
    <w:rsid w:val="00360AB5"/>
    <w:rsid w:val="003C0B97"/>
    <w:rsid w:val="003E40FB"/>
    <w:rsid w:val="00423A41"/>
    <w:rsid w:val="0044775E"/>
    <w:rsid w:val="00463C15"/>
    <w:rsid w:val="004B66D5"/>
    <w:rsid w:val="004B7805"/>
    <w:rsid w:val="004F1701"/>
    <w:rsid w:val="00564E23"/>
    <w:rsid w:val="005B2390"/>
    <w:rsid w:val="005E36ED"/>
    <w:rsid w:val="006D11D8"/>
    <w:rsid w:val="0071510B"/>
    <w:rsid w:val="00763A01"/>
    <w:rsid w:val="007C7104"/>
    <w:rsid w:val="007D7B02"/>
    <w:rsid w:val="007E156C"/>
    <w:rsid w:val="00862D9B"/>
    <w:rsid w:val="008E4210"/>
    <w:rsid w:val="0096606F"/>
    <w:rsid w:val="00973BBC"/>
    <w:rsid w:val="0097693A"/>
    <w:rsid w:val="009839F0"/>
    <w:rsid w:val="00987262"/>
    <w:rsid w:val="009908EB"/>
    <w:rsid w:val="009F2527"/>
    <w:rsid w:val="00A13440"/>
    <w:rsid w:val="00A246EB"/>
    <w:rsid w:val="00A667DD"/>
    <w:rsid w:val="00AB24AE"/>
    <w:rsid w:val="00B33BA5"/>
    <w:rsid w:val="00B6119C"/>
    <w:rsid w:val="00B65718"/>
    <w:rsid w:val="00B90787"/>
    <w:rsid w:val="00BC0BAF"/>
    <w:rsid w:val="00CA383F"/>
    <w:rsid w:val="00D00688"/>
    <w:rsid w:val="00D4483D"/>
    <w:rsid w:val="00D91C03"/>
    <w:rsid w:val="00DE2B3A"/>
    <w:rsid w:val="00E17B84"/>
    <w:rsid w:val="00E63FDC"/>
    <w:rsid w:val="00ED435B"/>
    <w:rsid w:val="00EF0729"/>
    <w:rsid w:val="00EF3172"/>
    <w:rsid w:val="00F30D31"/>
    <w:rsid w:val="00F37908"/>
    <w:rsid w:val="00F418B4"/>
    <w:rsid w:val="00F51CDD"/>
    <w:rsid w:val="00FA0E8E"/>
    <w:rsid w:val="00FA57F9"/>
    <w:rsid w:val="00FB73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9AE198"/>
  <w15:docId w15:val="{A218B9FB-5C73-410C-8C1C-7E47841A3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71C0"/>
    <w:rPr>
      <w:rFonts w:eastAsiaTheme="minorEastAsia"/>
    </w:rPr>
  </w:style>
  <w:style w:type="paragraph" w:styleId="Heading3">
    <w:name w:val="heading 3"/>
    <w:basedOn w:val="Normal"/>
    <w:next w:val="Normal"/>
    <w:link w:val="Heading3Char"/>
    <w:uiPriority w:val="9"/>
    <w:unhideWhenUsed/>
    <w:qFormat/>
    <w:rsid w:val="00210355"/>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
    <w:name w:val="6-作者单位"/>
    <w:basedOn w:val="Normal"/>
    <w:qFormat/>
    <w:rsid w:val="000371C0"/>
    <w:pPr>
      <w:keepNext/>
      <w:spacing w:after="0" w:line="336" w:lineRule="auto"/>
      <w:jc w:val="center"/>
      <w:outlineLvl w:val="2"/>
    </w:pPr>
    <w:rPr>
      <w:rFonts w:ascii="Times New Roman" w:eastAsia="DengXian Light" w:hAnsi="Times New Roman" w:cs="Times New Roman"/>
      <w:bCs/>
      <w:i/>
      <w:color w:val="000000"/>
      <w:sz w:val="18"/>
      <w:szCs w:val="18"/>
    </w:rPr>
  </w:style>
  <w:style w:type="character" w:styleId="Hyperlink">
    <w:name w:val="Hyperlink"/>
    <w:basedOn w:val="DefaultParagraphFont"/>
    <w:uiPriority w:val="99"/>
    <w:unhideWhenUsed/>
    <w:rsid w:val="00BC0BAF"/>
    <w:rPr>
      <w:color w:val="0000FF" w:themeColor="hyperlink"/>
      <w:u w:val="single"/>
    </w:rPr>
  </w:style>
  <w:style w:type="paragraph" w:styleId="ListParagraph">
    <w:name w:val="List Paragraph"/>
    <w:basedOn w:val="Normal"/>
    <w:uiPriority w:val="34"/>
    <w:qFormat/>
    <w:rsid w:val="00BC0BAF"/>
    <w:pPr>
      <w:ind w:left="720"/>
      <w:contextualSpacing/>
    </w:pPr>
  </w:style>
  <w:style w:type="character" w:styleId="Strong">
    <w:name w:val="Strong"/>
    <w:basedOn w:val="DefaultParagraphFont"/>
    <w:uiPriority w:val="22"/>
    <w:qFormat/>
    <w:rsid w:val="00BC0BAF"/>
    <w:rPr>
      <w:b/>
      <w:bCs/>
    </w:rPr>
  </w:style>
  <w:style w:type="paragraph" w:styleId="BalloonText">
    <w:name w:val="Balloon Text"/>
    <w:basedOn w:val="Normal"/>
    <w:link w:val="BalloonTextChar"/>
    <w:uiPriority w:val="99"/>
    <w:semiHidden/>
    <w:unhideWhenUsed/>
    <w:rsid w:val="004B78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7805"/>
    <w:rPr>
      <w:rFonts w:ascii="Tahoma" w:eastAsiaTheme="minorEastAsia" w:hAnsi="Tahoma" w:cs="Tahoma"/>
      <w:sz w:val="16"/>
      <w:szCs w:val="16"/>
    </w:rPr>
  </w:style>
  <w:style w:type="table" w:customStyle="1" w:styleId="LightShading1">
    <w:name w:val="Light Shading1"/>
    <w:basedOn w:val="TableNormal"/>
    <w:uiPriority w:val="60"/>
    <w:rsid w:val="00210355"/>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3Char">
    <w:name w:val="Heading 3 Char"/>
    <w:basedOn w:val="DefaultParagraphFont"/>
    <w:link w:val="Heading3"/>
    <w:uiPriority w:val="9"/>
    <w:rsid w:val="00210355"/>
    <w:rPr>
      <w:rFonts w:asciiTheme="majorHAnsi" w:eastAsiaTheme="majorEastAsia" w:hAnsiTheme="majorHAnsi" w:cstheme="majorBidi"/>
      <w:b/>
      <w:bCs/>
      <w:color w:val="4F81BD" w:themeColor="accent1"/>
    </w:rPr>
  </w:style>
  <w:style w:type="paragraph" w:styleId="NormalWeb">
    <w:name w:val="Normal (Web)"/>
    <w:basedOn w:val="Normal"/>
    <w:uiPriority w:val="99"/>
    <w:unhideWhenUsed/>
    <w:rsid w:val="0021035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10355"/>
    <w:rPr>
      <w:i/>
      <w:iCs/>
    </w:rPr>
  </w:style>
  <w:style w:type="paragraph" w:styleId="Header">
    <w:name w:val="header"/>
    <w:basedOn w:val="Normal"/>
    <w:link w:val="HeaderChar"/>
    <w:uiPriority w:val="99"/>
    <w:unhideWhenUsed/>
    <w:rsid w:val="009769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693A"/>
    <w:rPr>
      <w:rFonts w:eastAsiaTheme="minorEastAsia"/>
    </w:rPr>
  </w:style>
  <w:style w:type="paragraph" w:styleId="Footer">
    <w:name w:val="footer"/>
    <w:basedOn w:val="Normal"/>
    <w:link w:val="FooterChar"/>
    <w:uiPriority w:val="99"/>
    <w:unhideWhenUsed/>
    <w:rsid w:val="009769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693A"/>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i.org/10.56557/jogae/2025/v17i49982?utm_source=chatgpt.com" TargetMode="External"/><Relationship Id="rId13" Type="http://schemas.openxmlformats.org/officeDocument/2006/relationships/hyperlink" Target="https://doi.org/10.4314/afrrev.v5i4.69300?utm_source=chatgpt.com" TargetMode="External"/><Relationship Id="rId18" Type="http://schemas.openxmlformats.org/officeDocument/2006/relationships/hyperlink" Target="https://doi.org/10.1016/j.wse.2023.04.003?utm_source=chatgpt.com" TargetMode="External"/><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https://doi.org/10.18356/9789213589755?utm_source=chatgpt.com" TargetMode="External"/><Relationship Id="rId7" Type="http://schemas.openxmlformats.org/officeDocument/2006/relationships/hyperlink" Target="https://doi.org/10.52589/AJAFS-LIAII98M?utm_source=chatgpt.com" TargetMode="External"/><Relationship Id="rId12" Type="http://schemas.openxmlformats.org/officeDocument/2006/relationships/hyperlink" Target="https://doi.org/10.1002/hyp.1257?utm_source=chatgpt.com" TargetMode="External"/><Relationship Id="rId17" Type="http://schemas.openxmlformats.org/officeDocument/2006/relationships/hyperlink" Target="https://doi.org/10.1007/s10040-001-0176-2?utm_source=chatgpt.com"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doi.org/10.1080/10643389.2019.1629803?utm_source=chatgpt.com" TargetMode="External"/><Relationship Id="rId20" Type="http://schemas.openxmlformats.org/officeDocument/2006/relationships/hyperlink" Target="https://doi.org/10.30574/wjarr.2025.26.2.1491?utm_source=chatgpt.com"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16/B978-0-12-409548-9.11079-6?utm_source=chatgpt.com" TargetMode="External"/><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https://doi.org/10.9734/asrj/2018/v1i3686?utm_source=chatgpt.com"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s://doi.org/10.56557/jogee/2022/v15i47615?utm_source=chatgpt.com" TargetMode="External"/><Relationship Id="rId19" Type="http://schemas.openxmlformats.org/officeDocument/2006/relationships/hyperlink" Target="https://doi.org/10.1016/j.geoderma.2025.117550?utm_source=chatgpt.com" TargetMode="External"/><Relationship Id="rId4" Type="http://schemas.openxmlformats.org/officeDocument/2006/relationships/webSettings" Target="webSettings.xml"/><Relationship Id="rId9" Type="http://schemas.openxmlformats.org/officeDocument/2006/relationships/hyperlink" Target="https://doi.org/10.1016/B978-0-12-348655-4.X5000-X?utm_source=chatgpt.com" TargetMode="External"/><Relationship Id="rId14" Type="http://schemas.openxmlformats.org/officeDocument/2006/relationships/hyperlink" Target="https://doi.org/10.1016/j.jsames.2024.104915?utm_source=chatgpt.com" TargetMode="External"/><Relationship Id="rId22" Type="http://schemas.openxmlformats.org/officeDocument/2006/relationships/hyperlink" Target="https://www.who.int/publications/i/item/9789240051157?utm_source=chatgpt.com"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199</TotalTime>
  <Pages>19</Pages>
  <Words>5867</Words>
  <Characters>33448</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ikechi1</dc:creator>
  <cp:lastModifiedBy>SDI 1089</cp:lastModifiedBy>
  <cp:revision>56</cp:revision>
  <dcterms:created xsi:type="dcterms:W3CDTF">2026-08-20T16:25:00Z</dcterms:created>
  <dcterms:modified xsi:type="dcterms:W3CDTF">2026-09-03T07:04:00Z</dcterms:modified>
</cp:coreProperties>
</file>