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FA7AC" w14:textId="77777777" w:rsidR="00D22359" w:rsidRPr="00967501" w:rsidRDefault="00D22359" w:rsidP="00E774F1">
      <w:pPr>
        <w:spacing w:before="120" w:after="120" w:line="240" w:lineRule="auto"/>
        <w:jc w:val="both"/>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The effect of mineral </w:t>
      </w:r>
      <w:r>
        <w:rPr>
          <w:rFonts w:ascii="Times New Roman" w:hAnsi="Times New Roman" w:cs="Times New Roman"/>
          <w:b/>
          <w:bCs/>
          <w:sz w:val="28"/>
          <w:szCs w:val="28"/>
          <w:highlight w:val="yellow"/>
          <w:lang w:val="en-US"/>
        </w:rPr>
        <w:t>fertilisation</w:t>
      </w:r>
      <w:r>
        <w:rPr>
          <w:rFonts w:ascii="Times New Roman" w:hAnsi="Times New Roman" w:cs="Times New Roman"/>
          <w:b/>
          <w:bCs/>
          <w:sz w:val="28"/>
          <w:szCs w:val="28"/>
          <w:lang w:val="en-US"/>
        </w:rPr>
        <w:t xml:space="preserve"> and planting density on the yield of </w:t>
      </w:r>
      <w:r>
        <w:rPr>
          <w:rFonts w:ascii="Times New Roman" w:hAnsi="Times New Roman" w:cs="Times New Roman"/>
          <w:b/>
          <w:bCs/>
          <w:i/>
          <w:iCs/>
          <w:sz w:val="28"/>
          <w:szCs w:val="28"/>
          <w:lang w:val="en-US"/>
        </w:rPr>
        <w:t>Eleusine indica</w:t>
      </w:r>
      <w:r>
        <w:rPr>
          <w:rFonts w:ascii="Times New Roman" w:hAnsi="Times New Roman" w:cs="Times New Roman"/>
          <w:b/>
          <w:bCs/>
          <w:sz w:val="28"/>
          <w:szCs w:val="28"/>
          <w:lang w:val="en-US"/>
        </w:rPr>
        <w:t xml:space="preserve"> (L.) Gaertn. forage</w:t>
      </w:r>
    </w:p>
    <w:p w14:paraId="01E05E0F" w14:textId="77777777" w:rsidR="00F555C6" w:rsidRDefault="00F555C6" w:rsidP="00E774F1">
      <w:pPr>
        <w:spacing w:before="120" w:after="120" w:line="240" w:lineRule="auto"/>
        <w:rPr>
          <w:rFonts w:ascii="Times New Roman" w:hAnsi="Times New Roman" w:cs="Times New Roman"/>
          <w:sz w:val="22"/>
          <w:szCs w:val="22"/>
          <w:lang w:val="en-US"/>
        </w:rPr>
      </w:pPr>
    </w:p>
    <w:p w14:paraId="1785207F" w14:textId="77777777" w:rsidR="00D5656E" w:rsidRPr="00D5656E" w:rsidRDefault="00D5656E" w:rsidP="00F555C6">
      <w:pPr>
        <w:spacing w:after="0" w:line="240" w:lineRule="auto"/>
        <w:rPr>
          <w:rFonts w:ascii="Times New Roman" w:hAnsi="Times New Roman" w:cs="Times New Roman"/>
          <w:b/>
          <w:bCs/>
          <w:lang w:val="en-US"/>
        </w:rPr>
      </w:pPr>
      <w:r w:rsidRPr="00D5656E">
        <w:rPr>
          <w:rFonts w:ascii="Times New Roman" w:hAnsi="Times New Roman" w:cs="Times New Roman"/>
          <w:b/>
          <w:bCs/>
          <w:lang w:val="en-US"/>
        </w:rPr>
        <w:t>ABSTRACT</w:t>
      </w:r>
    </w:p>
    <w:p w14:paraId="693C60B5" w14:textId="77777777" w:rsidR="00D5656E" w:rsidRPr="00D5656E" w:rsidRDefault="00D5656E"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Forage scarcity remains one of the major constraints limiting livestock productivity in tropical production systems, particularly in sub-Saharan Africa where ruminant feeding relies predominantly on natural pastures. Identifying locally adapted forage species and </w:t>
      </w:r>
      <w:r>
        <w:rPr>
          <w:rFonts w:ascii="Times New Roman" w:hAnsi="Times New Roman" w:cs="Times New Roman"/>
          <w:highlight w:val="yellow"/>
          <w:lang w:val="en-US"/>
        </w:rPr>
        <w:t>optimising</w:t>
      </w:r>
      <w:r>
        <w:rPr>
          <w:rFonts w:ascii="Times New Roman" w:hAnsi="Times New Roman" w:cs="Times New Roman"/>
          <w:lang w:val="en-US"/>
        </w:rPr>
        <w:t xml:space="preserve"> their agronomic management are therefore essential for improving biomass availability and strengthening crop-livestock integration. This study aimed to determine the effects of mineral </w:t>
      </w:r>
      <w:r>
        <w:rPr>
          <w:rFonts w:ascii="Times New Roman" w:hAnsi="Times New Roman" w:cs="Times New Roman"/>
          <w:highlight w:val="yellow"/>
          <w:lang w:val="en-US"/>
        </w:rPr>
        <w:t>fertilisation</w:t>
      </w:r>
      <w:r>
        <w:rPr>
          <w:rFonts w:ascii="Times New Roman" w:hAnsi="Times New Roman" w:cs="Times New Roman"/>
          <w:lang w:val="en-US"/>
        </w:rPr>
        <w:t xml:space="preserve">, cutting interval, and planting density on the growth and biomass production of </w:t>
      </w:r>
      <w:r>
        <w:rPr>
          <w:rFonts w:ascii="Times New Roman" w:hAnsi="Times New Roman" w:cs="Times New Roman"/>
          <w:i/>
          <w:iCs/>
          <w:lang w:val="en-US"/>
        </w:rPr>
        <w:t>Eleusine indica</w:t>
      </w:r>
      <w:r>
        <w:rPr>
          <w:rFonts w:ascii="Times New Roman" w:hAnsi="Times New Roman" w:cs="Times New Roman"/>
          <w:lang w:val="en-US"/>
        </w:rPr>
        <w:t xml:space="preserve"> (L.) Gaertn. under the agroecological conditions of central Côte d’Ivoire. A field experiment was conducted at the CNRA research station in Bouaké using a </w:t>
      </w:r>
      <w:r>
        <w:rPr>
          <w:rFonts w:ascii="Times New Roman" w:hAnsi="Times New Roman" w:cs="Times New Roman"/>
          <w:highlight w:val="yellow"/>
          <w:lang w:val="en-US"/>
        </w:rPr>
        <w:t>randomised</w:t>
      </w:r>
      <w:r>
        <w:rPr>
          <w:rFonts w:ascii="Times New Roman" w:hAnsi="Times New Roman" w:cs="Times New Roman"/>
          <w:lang w:val="en-US"/>
        </w:rPr>
        <w:t xml:space="preserve"> complete block design with eight treatment combinations and three replicates. The treatments combined two planting densities (30 and 40 cm), two cutting intervals (30 and 45 days), and the presence or absence of mineral </w:t>
      </w:r>
      <w:r>
        <w:rPr>
          <w:rFonts w:ascii="Times New Roman" w:hAnsi="Times New Roman" w:cs="Times New Roman"/>
          <w:highlight w:val="yellow"/>
          <w:lang w:val="en-US"/>
        </w:rPr>
        <w:t>fertilisation</w:t>
      </w:r>
      <w:r>
        <w:rPr>
          <w:rFonts w:ascii="Times New Roman" w:hAnsi="Times New Roman" w:cs="Times New Roman"/>
          <w:lang w:val="en-US"/>
        </w:rPr>
        <w:t xml:space="preserve">. Vegetative growth parameters (plant height, tiller number, and leaf production) and dry matter yield were measured throughout the experimental period. The results showed that the combined application of mineral </w:t>
      </w:r>
      <w:r>
        <w:rPr>
          <w:rFonts w:ascii="Times New Roman" w:hAnsi="Times New Roman" w:cs="Times New Roman"/>
          <w:highlight w:val="yellow"/>
          <w:lang w:val="en-US"/>
        </w:rPr>
        <w:t>fertilisation</w:t>
      </w:r>
      <w:r>
        <w:rPr>
          <w:rFonts w:ascii="Times New Roman" w:hAnsi="Times New Roman" w:cs="Times New Roman"/>
          <w:lang w:val="en-US"/>
        </w:rPr>
        <w:t xml:space="preserve">, a 30-day cutting interval, and a planting density of 30 cm (T1) resulted in the highest vegetative performance, </w:t>
      </w:r>
      <w:r>
        <w:rPr>
          <w:rFonts w:ascii="Times New Roman" w:hAnsi="Times New Roman" w:cs="Times New Roman"/>
          <w:highlight w:val="yellow"/>
          <w:lang w:val="en-US"/>
        </w:rPr>
        <w:t>characterised</w:t>
      </w:r>
      <w:r>
        <w:rPr>
          <w:rFonts w:ascii="Times New Roman" w:hAnsi="Times New Roman" w:cs="Times New Roman"/>
          <w:lang w:val="en-US"/>
        </w:rPr>
        <w:t xml:space="preserve"> by greater plant height, higher tiller density, and increased leaf production compared with the other treatments. The highest mean dry matter yields were also obtained with T1 and T2 (</w:t>
      </w:r>
      <w:r>
        <w:rPr>
          <w:rFonts w:ascii="Times New Roman" w:hAnsi="Times New Roman" w:cs="Times New Roman"/>
          <w:highlight w:val="yellow"/>
          <w:lang w:val="en-US"/>
        </w:rPr>
        <w:t>fertilised</w:t>
      </w:r>
      <w:r>
        <w:rPr>
          <w:rFonts w:ascii="Times New Roman" w:hAnsi="Times New Roman" w:cs="Times New Roman"/>
          <w:lang w:val="en-US"/>
        </w:rPr>
        <w:t xml:space="preserve"> treatments harvested every 30 days), reaching 660 and 546.6 kg DM ha⁻¹, respectively. Although differences in dry matter yield among treatments were not statistically significant (p &gt; 0.05), </w:t>
      </w:r>
      <w:r>
        <w:rPr>
          <w:rFonts w:ascii="Times New Roman" w:hAnsi="Times New Roman" w:cs="Times New Roman"/>
          <w:highlight w:val="yellow"/>
          <w:lang w:val="en-US"/>
        </w:rPr>
        <w:t>fertilised</w:t>
      </w:r>
      <w:r>
        <w:rPr>
          <w:rFonts w:ascii="Times New Roman" w:hAnsi="Times New Roman" w:cs="Times New Roman"/>
          <w:lang w:val="en-US"/>
        </w:rPr>
        <w:t xml:space="preserve"> treatments harvested at shorter intervals consistently produced greater biomass and exhibited superior forage regrowth. In addition, T1 and T2 provided the longest estimated grazing durations, 37 and 31 days, respectively, indicating a greater potential for sustaining grazing livestock. Planting density had a comparatively limited effect on biomass production under the experimental conditions. Overall, the findings suggest that mineral </w:t>
      </w:r>
      <w:r>
        <w:rPr>
          <w:rFonts w:ascii="Times New Roman" w:hAnsi="Times New Roman" w:cs="Times New Roman"/>
          <w:highlight w:val="yellow"/>
          <w:lang w:val="en-US"/>
        </w:rPr>
        <w:t>fertilisation</w:t>
      </w:r>
      <w:r>
        <w:rPr>
          <w:rFonts w:ascii="Times New Roman" w:hAnsi="Times New Roman" w:cs="Times New Roman"/>
          <w:lang w:val="en-US"/>
        </w:rPr>
        <w:t xml:space="preserve"> combined with a 30-day cutting interval enhances the forage productivity and grazing potential of </w:t>
      </w:r>
      <w:r>
        <w:rPr>
          <w:rFonts w:ascii="Times New Roman" w:hAnsi="Times New Roman" w:cs="Times New Roman"/>
          <w:i/>
          <w:iCs/>
          <w:lang w:val="en-US"/>
        </w:rPr>
        <w:t>E. indica</w:t>
      </w:r>
      <w:r>
        <w:rPr>
          <w:rFonts w:ascii="Times New Roman" w:hAnsi="Times New Roman" w:cs="Times New Roman"/>
          <w:lang w:val="en-US"/>
        </w:rPr>
        <w:t>. The species demonstrates promising agronomic performance and could represent a valuable alternative forage resource for tropical livestock systems in Côte d’Ivoire and similar agroecological environments.</w:t>
      </w:r>
    </w:p>
    <w:p w14:paraId="4C56F5EA" w14:textId="77777777" w:rsidR="00F555C6" w:rsidRDefault="00F555C6" w:rsidP="00F555C6">
      <w:pPr>
        <w:spacing w:after="0" w:line="240" w:lineRule="auto"/>
        <w:jc w:val="both"/>
        <w:rPr>
          <w:rFonts w:ascii="Times New Roman" w:hAnsi="Times New Roman" w:cs="Times New Roman"/>
          <w:lang w:val="en-US"/>
        </w:rPr>
      </w:pPr>
    </w:p>
    <w:p w14:paraId="3F24FD01" w14:textId="77777777" w:rsidR="00D22359" w:rsidRPr="00D5656E" w:rsidRDefault="00D5656E" w:rsidP="00F555C6">
      <w:pPr>
        <w:spacing w:after="0" w:line="240" w:lineRule="auto"/>
        <w:jc w:val="both"/>
        <w:rPr>
          <w:rFonts w:ascii="Times New Roman" w:hAnsi="Times New Roman" w:cs="Times New Roman"/>
          <w:sz w:val="20"/>
          <w:szCs w:val="20"/>
          <w:lang w:val="en-US"/>
        </w:rPr>
      </w:pPr>
      <w:r>
        <w:rPr>
          <w:rFonts w:ascii="Times New Roman" w:hAnsi="Times New Roman" w:cs="Times New Roman"/>
          <w:lang w:val="en-US"/>
        </w:rPr>
        <w:t xml:space="preserve">Keywords: </w:t>
      </w:r>
      <w:r>
        <w:rPr>
          <w:rFonts w:ascii="Times New Roman" w:hAnsi="Times New Roman" w:cs="Times New Roman"/>
          <w:i/>
          <w:iCs/>
          <w:lang w:val="en-US"/>
        </w:rPr>
        <w:t>Eleusine indica</w:t>
      </w:r>
      <w:r>
        <w:rPr>
          <w:rFonts w:ascii="Times New Roman" w:hAnsi="Times New Roman" w:cs="Times New Roman"/>
          <w:lang w:val="en-US"/>
        </w:rPr>
        <w:t xml:space="preserve">; forage production; mineral </w:t>
      </w:r>
      <w:r>
        <w:rPr>
          <w:rFonts w:ascii="Times New Roman" w:hAnsi="Times New Roman" w:cs="Times New Roman"/>
          <w:highlight w:val="yellow"/>
          <w:lang w:val="en-US"/>
        </w:rPr>
        <w:t>fertilisation</w:t>
      </w:r>
      <w:r>
        <w:rPr>
          <w:rFonts w:ascii="Times New Roman" w:hAnsi="Times New Roman" w:cs="Times New Roman"/>
          <w:lang w:val="en-US"/>
        </w:rPr>
        <w:t>; cutting interval; planting density; dry matter yield; tropical livestock systems.</w:t>
      </w:r>
      <w:r>
        <w:rPr>
          <w:rFonts w:ascii="Times New Roman" w:hAnsi="Times New Roman" w:cs="Times New Roman"/>
          <w:sz w:val="20"/>
          <w:szCs w:val="20"/>
        </w:rPr>
        <w:t> </w:t>
      </w:r>
    </w:p>
    <w:p w14:paraId="090AF7E4" w14:textId="77777777" w:rsidR="00D22359" w:rsidRPr="00D5656E" w:rsidRDefault="00D22359" w:rsidP="00F555C6">
      <w:pPr>
        <w:spacing w:after="0" w:line="240" w:lineRule="auto"/>
        <w:rPr>
          <w:rFonts w:ascii="Times New Roman" w:hAnsi="Times New Roman" w:cs="Times New Roman"/>
          <w:sz w:val="20"/>
          <w:szCs w:val="20"/>
          <w:lang w:val="en-US"/>
        </w:rPr>
      </w:pPr>
      <w:r w:rsidRPr="00D5656E">
        <w:rPr>
          <w:rFonts w:ascii="Times New Roman" w:hAnsi="Times New Roman" w:cs="Times New Roman"/>
          <w:sz w:val="20"/>
          <w:szCs w:val="20"/>
          <w:lang w:val="en-US"/>
        </w:rPr>
        <w:br w:type="page"/>
      </w:r>
    </w:p>
    <w:p w14:paraId="04D4A838" w14:textId="77777777" w:rsidR="00D22359" w:rsidRPr="00FF401E" w:rsidRDefault="00D22359" w:rsidP="00F555C6">
      <w:pPr>
        <w:spacing w:after="0" w:line="240" w:lineRule="auto"/>
        <w:rPr>
          <w:rFonts w:ascii="Times New Roman" w:hAnsi="Times New Roman" w:cs="Times New Roman"/>
          <w:b/>
          <w:bCs/>
          <w:lang w:val="en-US"/>
        </w:rPr>
      </w:pPr>
      <w:r w:rsidRPr="00FF401E">
        <w:rPr>
          <w:rFonts w:ascii="Times New Roman" w:hAnsi="Times New Roman" w:cs="Times New Roman"/>
          <w:b/>
          <w:bCs/>
          <w:lang w:val="en-US"/>
        </w:rPr>
        <w:lastRenderedPageBreak/>
        <w:t>INTRODUCTION</w:t>
      </w:r>
    </w:p>
    <w:p w14:paraId="6D461D45" w14:textId="77777777" w:rsidR="00FF401E" w:rsidRPr="00FF401E" w:rsidRDefault="00FF401E"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Livestock production plays a central role in food security, rural livelihoods, and agricultural development across sub-Saharan Africa. Beyond its contribution to household income, the livestock sector provides essential ecosystem services, including nutrient recycling, traction power, and risk buffering for smallholder farmers. However, in many countries of the region, livestock farming remains largely extensive and is often considered a secondary agricultural activity, receiving limited investment in forage production, pasture improvement, and animal feeding strategies (OECD &amp; Food and Agriculture Organization of the United Nations, 2020). As a result, the productivity of ruminant systems remains low, and deficits in animal products are substantial, reaching approximately 55.4% for meat and 87.4% for dairy products </w:t>
      </w:r>
      <w:r>
        <w:rPr>
          <w:rFonts w:ascii="Times New Roman" w:hAnsi="Times New Roman" w:cs="Times New Roman"/>
          <w:highlight w:val="yellow"/>
          <w:lang w:val="en-US"/>
        </w:rPr>
        <w:t>(Ministère des Ressources Animales et Halieutiques [MIRAH], 2022)</w:t>
      </w:r>
      <w:r>
        <w:rPr>
          <w:rFonts w:ascii="Times New Roman" w:hAnsi="Times New Roman" w:cs="Times New Roman"/>
          <w:lang w:val="en-US"/>
        </w:rPr>
        <w:t>. Meeting the rapidly growing demand for animal products therefore requires significant improvements in the availability and quality of feed resources.</w:t>
      </w:r>
    </w:p>
    <w:p w14:paraId="35DDD15C" w14:textId="77777777" w:rsidR="00FF401E" w:rsidRPr="008F5656" w:rsidRDefault="00FF401E" w:rsidP="00F555C6">
      <w:pPr>
        <w:spacing w:after="0" w:line="240" w:lineRule="auto"/>
        <w:jc w:val="both"/>
        <w:rPr>
          <w:rFonts w:ascii="Times New Roman" w:hAnsi="Times New Roman" w:cs="Times New Roman"/>
          <w:lang w:val="en-US"/>
        </w:rPr>
      </w:pPr>
      <w:r w:rsidRPr="00FF401E">
        <w:rPr>
          <w:rFonts w:ascii="Times New Roman" w:hAnsi="Times New Roman" w:cs="Times New Roman"/>
          <w:lang w:val="en-US"/>
        </w:rPr>
        <w:t xml:space="preserve">Pasture-based livestock systems dominate most production systems in sub-Saharan Africa and rely primarily on natural vegetation. Consequently, forage supply is highly dependent on rainfall patterns and seasonal climatic variability, leading to pronounced fluctuations in both forage quantity and nutritive value throughout the year (Cooke et al., 2025). During the dry season, the decline in herbage biomass and crude protein concentration severely limits animal performance, resulting in reduced growth rates, milk production, reproductive efficiency, and overall herd productivity (Cooke et al., 2025). Improving forage production is </w:t>
      </w:r>
      <w:r w:rsidRPr="008F5656">
        <w:rPr>
          <w:rFonts w:ascii="Times New Roman" w:hAnsi="Times New Roman" w:cs="Times New Roman"/>
          <w:lang w:val="en-US"/>
        </w:rPr>
        <w:t>thus one of the most effective strategies for increasing the efficiency and resilience of ruminant production systems in tropical environments.</w:t>
      </w:r>
    </w:p>
    <w:p w14:paraId="19B5827A" w14:textId="77777777" w:rsidR="00FF401E" w:rsidRPr="008F5656" w:rsidRDefault="00FF401E" w:rsidP="00F555C6">
      <w:pPr>
        <w:spacing w:after="0" w:line="240" w:lineRule="auto"/>
        <w:jc w:val="both"/>
        <w:rPr>
          <w:rFonts w:ascii="Times New Roman" w:hAnsi="Times New Roman" w:cs="Times New Roman"/>
          <w:lang w:val="en-US"/>
        </w:rPr>
      </w:pPr>
      <w:r w:rsidRPr="008F5656">
        <w:rPr>
          <w:rFonts w:ascii="Times New Roman" w:hAnsi="Times New Roman" w:cs="Times New Roman"/>
          <w:lang w:val="en-US"/>
        </w:rPr>
        <w:t xml:space="preserve">The relationship between pasture management practices and forage productivity has become a major area of research because management interventions directly influence plant growth, biomass accumulation, forage quality, and persistence. A better understanding of the interactions among </w:t>
      </w:r>
      <w:r w:rsidRPr="008F5656">
        <w:rPr>
          <w:rFonts w:ascii="Times New Roman" w:hAnsi="Times New Roman" w:cs="Times New Roman"/>
          <w:highlight w:val="yellow"/>
          <w:lang w:val="en-US"/>
        </w:rPr>
        <w:t>fertilisation</w:t>
      </w:r>
      <w:r w:rsidRPr="008F5656">
        <w:rPr>
          <w:rFonts w:ascii="Times New Roman" w:hAnsi="Times New Roman" w:cs="Times New Roman"/>
          <w:lang w:val="en-US"/>
        </w:rPr>
        <w:t xml:space="preserve">, cutting management, and stand establishment is essential for </w:t>
      </w:r>
      <w:r w:rsidRPr="008F5656">
        <w:rPr>
          <w:rFonts w:ascii="Times New Roman" w:hAnsi="Times New Roman" w:cs="Times New Roman"/>
          <w:highlight w:val="yellow"/>
          <w:lang w:val="en-US"/>
        </w:rPr>
        <w:t>optimising</w:t>
      </w:r>
      <w:r w:rsidRPr="008F5656">
        <w:rPr>
          <w:rFonts w:ascii="Times New Roman" w:hAnsi="Times New Roman" w:cs="Times New Roman"/>
          <w:lang w:val="en-US"/>
        </w:rPr>
        <w:t xml:space="preserve"> input use, improving nutrient use efficiency, and reducing the environmental impacts associated with forage production (Boote et al., 2022). Among these practices, mineral </w:t>
      </w:r>
      <w:r w:rsidRPr="008F5656">
        <w:rPr>
          <w:rFonts w:ascii="Times New Roman" w:hAnsi="Times New Roman" w:cs="Times New Roman"/>
          <w:highlight w:val="yellow"/>
          <w:lang w:val="en-US"/>
        </w:rPr>
        <w:t>fertilisation</w:t>
      </w:r>
      <w:r w:rsidRPr="008F5656">
        <w:rPr>
          <w:rFonts w:ascii="Times New Roman" w:hAnsi="Times New Roman" w:cs="Times New Roman"/>
          <w:lang w:val="en-US"/>
        </w:rPr>
        <w:t>, cutting interval, and planting density are particularly important agronomic factors because they determine canopy development, tillering capacity, leaf-to-stem ratio, and ultimately the amount of harvestable biomass.</w:t>
      </w:r>
    </w:p>
    <w:p w14:paraId="635B43CE" w14:textId="77777777" w:rsidR="003460C0" w:rsidRPr="008F5656" w:rsidRDefault="00000000">
      <w:pPr>
        <w:spacing w:after="0" w:line="240" w:lineRule="auto"/>
        <w:jc w:val="both"/>
        <w:rPr>
          <w:rFonts w:ascii="Times New Roman" w:hAnsi="Times New Roman" w:cs="Times New Roman"/>
          <w:lang w:val="en-US"/>
        </w:rPr>
      </w:pPr>
      <w:r w:rsidRPr="008F5656">
        <w:rPr>
          <w:rFonts w:ascii="Times New Roman" w:hAnsi="Times New Roman" w:cs="Times New Roman"/>
          <w:highlight w:val="yellow"/>
          <w:lang w:val="en-US"/>
        </w:rPr>
        <w:t>Recent evidence from forage systems shows that nitrogen supply and stand density can interact to influence forage yield, dry matter accumulation, and related agronomic performance (He et al., 2024; Saleem et al., 2026; Wani et al., 2024).</w:t>
      </w:r>
    </w:p>
    <w:p w14:paraId="3F452C99" w14:textId="77777777" w:rsidR="00FF401E" w:rsidRPr="008F5656" w:rsidRDefault="00FF401E" w:rsidP="00F555C6">
      <w:pPr>
        <w:spacing w:after="0" w:line="240" w:lineRule="auto"/>
        <w:jc w:val="both"/>
        <w:rPr>
          <w:rFonts w:ascii="Times New Roman" w:hAnsi="Times New Roman" w:cs="Times New Roman"/>
          <w:lang w:val="en-US"/>
        </w:rPr>
      </w:pPr>
      <w:r>
        <w:t>Low-quality roughages such as natural pastures and crop residues account for approximately 72–93% of the feed biomass consumed by livestock in sub-Saharan Africa (Boote et al., 2022). Although they provide an inexpensive feed source, they rarely ensure a continuous and adequate supply of forage throughout the year. This limitation has stimulated increasing interest in the development of cultivated forage systems capable of producing large quantities of biomass under tropical conditions. The introduction and management of adapted forage species constitute a key pathway for strengthening crop-livestock integration, enhancing nutrient cycling, improving land productivity, and increasing the economic resilience of agro-pastoral farms (Boote et al., 2022; Tilman et al., 2002).</w:t>
      </w:r>
    </w:p>
    <w:p w14:paraId="5BCCBF99" w14:textId="77777777" w:rsidR="003460C0" w:rsidRPr="008F5656" w:rsidRDefault="00000000">
      <w:pPr>
        <w:spacing w:after="0" w:line="240" w:lineRule="auto"/>
        <w:jc w:val="both"/>
        <w:rPr>
          <w:rFonts w:ascii="Times New Roman" w:hAnsi="Times New Roman" w:cs="Times New Roman"/>
          <w:lang w:val="en-US"/>
        </w:rPr>
      </w:pPr>
      <w:r w:rsidRPr="008F5656">
        <w:rPr>
          <w:rFonts w:ascii="Times New Roman" w:hAnsi="Times New Roman" w:cs="Times New Roman"/>
          <w:highlight w:val="yellow"/>
          <w:lang w:val="en-US"/>
        </w:rPr>
        <w:t>Studies of tropical forage grasses have likewise reported that spacing and nitrogen level can alter fodder productivity, while fertilisation and cutting frequency can jointly affect agronomic performance (Ramanjineyulu et al., 2025; Vásquez et al., 2025).</w:t>
      </w:r>
    </w:p>
    <w:p w14:paraId="58DF3E80" w14:textId="77777777" w:rsidR="00FF401E" w:rsidRPr="008F5656" w:rsidRDefault="00FF401E" w:rsidP="00F555C6">
      <w:pPr>
        <w:spacing w:after="0" w:line="240" w:lineRule="auto"/>
        <w:jc w:val="both"/>
        <w:rPr>
          <w:rFonts w:ascii="Times New Roman" w:hAnsi="Times New Roman" w:cs="Times New Roman"/>
          <w:lang w:val="en-US"/>
        </w:rPr>
      </w:pPr>
      <w:r w:rsidRPr="008F5656">
        <w:rPr>
          <w:rFonts w:ascii="Times New Roman" w:hAnsi="Times New Roman" w:cs="Times New Roman"/>
          <w:lang w:val="en-US"/>
        </w:rPr>
        <w:t xml:space="preserve">Among the grass species naturally occurring in tropical agroecosystems, </w:t>
      </w:r>
      <w:r w:rsidRPr="008F5656">
        <w:rPr>
          <w:rFonts w:ascii="Times New Roman" w:hAnsi="Times New Roman" w:cs="Times New Roman"/>
          <w:i/>
          <w:iCs/>
          <w:lang w:val="en-US"/>
        </w:rPr>
        <w:t>Eleusine indica</w:t>
      </w:r>
      <w:r w:rsidRPr="008F5656">
        <w:rPr>
          <w:rFonts w:ascii="Times New Roman" w:hAnsi="Times New Roman" w:cs="Times New Roman"/>
          <w:lang w:val="en-US"/>
        </w:rPr>
        <w:t xml:space="preserve"> (L.) Gaertn. has attracted growing attention because of its wide ecological adaptability, rapid establishment, tolerance to repeated defoliation, and capacity to produce substantial biomass under a range of environmental conditions. The species is widely distributed throughout tropical and subtropical regions and is commonly found in cultivated fields, roadsides, and disturbed habitats. While </w:t>
      </w:r>
      <w:r w:rsidRPr="008F5656">
        <w:rPr>
          <w:rFonts w:ascii="Times New Roman" w:hAnsi="Times New Roman" w:cs="Times New Roman"/>
          <w:i/>
          <w:iCs/>
          <w:lang w:val="en-US"/>
        </w:rPr>
        <w:t>E. indica</w:t>
      </w:r>
      <w:r w:rsidRPr="008F5656">
        <w:rPr>
          <w:rFonts w:ascii="Times New Roman" w:hAnsi="Times New Roman" w:cs="Times New Roman"/>
          <w:lang w:val="en-US"/>
        </w:rPr>
        <w:t xml:space="preserve"> is generally regarded as a weed in cropping systems, its vigorous growth, abundant tillering, and relatively </w:t>
      </w:r>
      <w:r w:rsidRPr="008F5656">
        <w:rPr>
          <w:rFonts w:ascii="Times New Roman" w:hAnsi="Times New Roman" w:cs="Times New Roman"/>
          <w:highlight w:val="yellow"/>
          <w:lang w:val="en-US"/>
        </w:rPr>
        <w:t>favourable</w:t>
      </w:r>
      <w:r w:rsidRPr="008F5656">
        <w:rPr>
          <w:rFonts w:ascii="Times New Roman" w:hAnsi="Times New Roman" w:cs="Times New Roman"/>
          <w:lang w:val="en-US"/>
        </w:rPr>
        <w:t xml:space="preserve"> nutritive characteristics suggest that it could also serve as a promising forage resource, particularly in low-input production systems. Nevertheless, information on the agronomic </w:t>
      </w:r>
      <w:r w:rsidRPr="008F5656">
        <w:rPr>
          <w:rFonts w:ascii="Times New Roman" w:hAnsi="Times New Roman" w:cs="Times New Roman"/>
          <w:lang w:val="en-US"/>
        </w:rPr>
        <w:lastRenderedPageBreak/>
        <w:t xml:space="preserve">management of </w:t>
      </w:r>
      <w:r w:rsidRPr="008F5656">
        <w:rPr>
          <w:rFonts w:ascii="Times New Roman" w:hAnsi="Times New Roman" w:cs="Times New Roman"/>
          <w:i/>
          <w:iCs/>
          <w:lang w:val="en-US"/>
        </w:rPr>
        <w:t>E. indica</w:t>
      </w:r>
      <w:r w:rsidRPr="008F5656">
        <w:rPr>
          <w:rFonts w:ascii="Times New Roman" w:hAnsi="Times New Roman" w:cs="Times New Roman"/>
          <w:lang w:val="en-US"/>
        </w:rPr>
        <w:t xml:space="preserve"> for forage production remains limited, especially regarding the combined effects of mineral </w:t>
      </w:r>
      <w:r w:rsidRPr="008F5656">
        <w:rPr>
          <w:rFonts w:ascii="Times New Roman" w:hAnsi="Times New Roman" w:cs="Times New Roman"/>
          <w:highlight w:val="yellow"/>
          <w:lang w:val="en-US"/>
        </w:rPr>
        <w:t>fertilisation</w:t>
      </w:r>
      <w:r w:rsidRPr="008F5656">
        <w:rPr>
          <w:rFonts w:ascii="Times New Roman" w:hAnsi="Times New Roman" w:cs="Times New Roman"/>
          <w:lang w:val="en-US"/>
        </w:rPr>
        <w:t>, cutting frequency, and planting density on biomass yield under West African conditions.</w:t>
      </w:r>
    </w:p>
    <w:p w14:paraId="076DA040" w14:textId="77777777" w:rsidR="00FF401E" w:rsidRPr="008F5656" w:rsidRDefault="00FF401E" w:rsidP="00F555C6">
      <w:pPr>
        <w:spacing w:after="0" w:line="240" w:lineRule="auto"/>
        <w:jc w:val="both"/>
        <w:rPr>
          <w:rFonts w:ascii="Times New Roman" w:hAnsi="Times New Roman" w:cs="Times New Roman"/>
          <w:lang w:val="en-US"/>
        </w:rPr>
      </w:pPr>
      <w:r w:rsidRPr="008F5656">
        <w:rPr>
          <w:rFonts w:ascii="Times New Roman" w:hAnsi="Times New Roman" w:cs="Times New Roman"/>
          <w:lang w:val="en-US"/>
        </w:rPr>
        <w:t xml:space="preserve">Mineral </w:t>
      </w:r>
      <w:r w:rsidRPr="008F5656">
        <w:rPr>
          <w:rFonts w:ascii="Times New Roman" w:hAnsi="Times New Roman" w:cs="Times New Roman"/>
          <w:highlight w:val="yellow"/>
          <w:lang w:val="en-US"/>
        </w:rPr>
        <w:t>fertilisation</w:t>
      </w:r>
      <w:r w:rsidRPr="008F5656">
        <w:rPr>
          <w:rFonts w:ascii="Times New Roman" w:hAnsi="Times New Roman" w:cs="Times New Roman"/>
          <w:lang w:val="en-US"/>
        </w:rPr>
        <w:t xml:space="preserve"> can enhance forage productivity by increasing nutrient availability and stimulating leaf expansion, tillering, and photosynthetic activity. Similarly, the interval between successive cuttings influences the balance between forage yield and forage quality, while planting density determines plant competition, canopy architecture, and light interception. The interaction among these factors may substantially affect the productive potential of </w:t>
      </w:r>
      <w:r w:rsidRPr="008F5656">
        <w:rPr>
          <w:rFonts w:ascii="Times New Roman" w:hAnsi="Times New Roman" w:cs="Times New Roman"/>
          <w:i/>
          <w:iCs/>
          <w:lang w:val="en-US"/>
        </w:rPr>
        <w:t>E. indica</w:t>
      </w:r>
      <w:r w:rsidRPr="008F5656">
        <w:rPr>
          <w:rFonts w:ascii="Times New Roman" w:hAnsi="Times New Roman" w:cs="Times New Roman"/>
          <w:lang w:val="en-US"/>
        </w:rPr>
        <w:t>, yet few studies have investigated their combined influence in tropical environments, and virtually no comprehensive assessment has been conducted under the agroecological conditions of Côte d’Ivoire.</w:t>
      </w:r>
    </w:p>
    <w:p w14:paraId="13A9725F" w14:textId="77777777" w:rsidR="00D22359" w:rsidRDefault="00FF401E" w:rsidP="00F555C6">
      <w:pPr>
        <w:spacing w:after="0" w:line="240" w:lineRule="auto"/>
        <w:jc w:val="both"/>
        <w:rPr>
          <w:rFonts w:ascii="Times New Roman" w:hAnsi="Times New Roman" w:cs="Times New Roman"/>
          <w:lang w:val="en-US"/>
        </w:rPr>
      </w:pPr>
      <w:r w:rsidRPr="008F5656">
        <w:rPr>
          <w:rFonts w:ascii="Times New Roman" w:hAnsi="Times New Roman" w:cs="Times New Roman"/>
          <w:lang w:val="en-US"/>
        </w:rPr>
        <w:t xml:space="preserve">The present study was conducted within this context to assess the forage production potential of </w:t>
      </w:r>
      <w:r w:rsidRPr="008F5656">
        <w:rPr>
          <w:rFonts w:ascii="Times New Roman" w:hAnsi="Times New Roman" w:cs="Times New Roman"/>
          <w:i/>
          <w:iCs/>
          <w:lang w:val="en-US"/>
        </w:rPr>
        <w:t>Eleusine indica</w:t>
      </w:r>
      <w:r w:rsidRPr="008F5656">
        <w:rPr>
          <w:rFonts w:ascii="Times New Roman" w:hAnsi="Times New Roman" w:cs="Times New Roman"/>
          <w:lang w:val="en-US"/>
        </w:rPr>
        <w:t xml:space="preserve"> in Côte d’Ivoire and to identify management practices that </w:t>
      </w:r>
      <w:r w:rsidRPr="008F5656">
        <w:rPr>
          <w:rFonts w:ascii="Times New Roman" w:hAnsi="Times New Roman" w:cs="Times New Roman"/>
          <w:highlight w:val="yellow"/>
          <w:lang w:val="en-US"/>
        </w:rPr>
        <w:t>maximise</w:t>
      </w:r>
      <w:r w:rsidRPr="008F5656">
        <w:rPr>
          <w:rFonts w:ascii="Times New Roman" w:hAnsi="Times New Roman" w:cs="Times New Roman"/>
          <w:lang w:val="en-US"/>
        </w:rPr>
        <w:t xml:space="preserve"> biomass production. Specifically, the study evaluates the effects of mineral </w:t>
      </w:r>
      <w:r w:rsidRPr="008F5656">
        <w:rPr>
          <w:rFonts w:ascii="Times New Roman" w:hAnsi="Times New Roman" w:cs="Times New Roman"/>
          <w:highlight w:val="yellow"/>
          <w:lang w:val="en-US"/>
        </w:rPr>
        <w:t>fertilisation</w:t>
      </w:r>
      <w:r w:rsidRPr="008F5656">
        <w:rPr>
          <w:rFonts w:ascii="Times New Roman" w:hAnsi="Times New Roman" w:cs="Times New Roman"/>
          <w:lang w:val="en-US"/>
        </w:rPr>
        <w:t xml:space="preserve">, cutting interval, and planting density on the growth and biomass yield of </w:t>
      </w:r>
      <w:r w:rsidRPr="008F5656">
        <w:rPr>
          <w:rFonts w:ascii="Times New Roman" w:hAnsi="Times New Roman" w:cs="Times New Roman"/>
          <w:i/>
          <w:iCs/>
          <w:lang w:val="en-US"/>
        </w:rPr>
        <w:t>E. indica</w:t>
      </w:r>
      <w:r w:rsidRPr="008F5656">
        <w:rPr>
          <w:rFonts w:ascii="Times New Roman" w:hAnsi="Times New Roman" w:cs="Times New Roman"/>
          <w:lang w:val="en-US"/>
        </w:rPr>
        <w:t>. The results are expected to provide agronomic information that can support the integration of this species into cultivated</w:t>
      </w:r>
      <w:r>
        <w:rPr>
          <w:rFonts w:ascii="Times New Roman" w:hAnsi="Times New Roman" w:cs="Times New Roman"/>
          <w:lang w:val="en-US"/>
        </w:rPr>
        <w:t xml:space="preserve"> forage systems and contribute to the development of more productive and sustainable livestock production systems in tropical regions.</w:t>
      </w:r>
    </w:p>
    <w:p w14:paraId="6695660D" w14:textId="77777777" w:rsidR="00F555C6" w:rsidRDefault="00F555C6" w:rsidP="00F555C6">
      <w:pPr>
        <w:spacing w:after="0" w:line="240" w:lineRule="auto"/>
        <w:jc w:val="both"/>
        <w:rPr>
          <w:rFonts w:ascii="Times New Roman" w:hAnsi="Times New Roman" w:cs="Times New Roman"/>
          <w:b/>
          <w:bCs/>
          <w:lang w:val="en-US"/>
        </w:rPr>
      </w:pPr>
    </w:p>
    <w:p w14:paraId="0C78DBC4" w14:textId="77777777" w:rsidR="00D22359" w:rsidRPr="00D6265C" w:rsidRDefault="00D22359"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MATERIALS AND METHODS</w:t>
      </w:r>
    </w:p>
    <w:p w14:paraId="139395EB" w14:textId="77777777" w:rsidR="00D22359" w:rsidRPr="00D6265C" w:rsidRDefault="00D22359"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Study Area</w:t>
      </w:r>
    </w:p>
    <w:p w14:paraId="1FEB1630" w14:textId="77777777" w:rsidR="00D22359" w:rsidRPr="00D6265C" w:rsidRDefault="00D22359"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This study was conducted from August to December 2023 at the Livestock Production Research Station (SRPEL) of the National Agricultural Research Center (CNRA), located in Bouaké (Figure 1). Bouaké is the capital of the Gbêkê region, in central Côte d’Ivoire. The city of Bouaké (7°46' N; 5°06' W; 376 m elevation) is located in the Guinean savanna zone, approximately 380 km from Abidjan and 250 km from Korhogo </w:t>
      </w:r>
      <w:r>
        <w:rPr>
          <w:rFonts w:ascii="Times New Roman" w:hAnsi="Times New Roman" w:cs="Times New Roman"/>
          <w:highlight w:val="yellow"/>
          <w:lang w:val="en-US"/>
        </w:rPr>
        <w:t>(Soro &amp; Koné, 2019)</w:t>
      </w:r>
      <w:r>
        <w:rPr>
          <w:rFonts w:ascii="Times New Roman" w:hAnsi="Times New Roman" w:cs="Times New Roman"/>
          <w:lang w:val="en-US"/>
        </w:rPr>
        <w:t>.</w:t>
      </w:r>
    </w:p>
    <w:p w14:paraId="18BF03A9" w14:textId="77777777" w:rsidR="00D22359" w:rsidRPr="00D6265C" w:rsidRDefault="00D22359" w:rsidP="00F555C6">
      <w:pPr>
        <w:spacing w:after="0" w:line="240" w:lineRule="auto"/>
        <w:jc w:val="both"/>
        <w:rPr>
          <w:rFonts w:ascii="Times New Roman" w:hAnsi="Times New Roman" w:cs="Times New Roman"/>
          <w:lang w:val="en-US"/>
        </w:rPr>
      </w:pPr>
      <w:r>
        <w:rPr>
          <w:rFonts w:ascii="Times New Roman" w:hAnsi="Times New Roman" w:cs="Times New Roman"/>
          <w:lang w:val="en-US"/>
        </w:rPr>
        <w:t>The region has a subhumid tropical climate, with average monthly temperatures ranging from 24 °C to 28 °C and rainfall varying from 20 to 180 mm depending on the month (Diomandé et al., 2018). The soils are predominantly remolded ferralitic, found on high topographic features (peaks and slopes), clayey and desaturated, sometimes shallow, gravelly, or concreted (Sicot et al., 1972; Yoro, 2000).</w:t>
      </w:r>
    </w:p>
    <w:p w14:paraId="72FC2429" w14:textId="77777777" w:rsidR="00D22359" w:rsidRDefault="00D22359"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current vegetation is influenced by significant human pressure, particularly land clearing for yam cultivation and bushfires during the dry season, which have led to the development of a more or less degraded shrub savanna </w:t>
      </w:r>
      <w:r>
        <w:rPr>
          <w:rFonts w:ascii="Times New Roman" w:hAnsi="Times New Roman" w:cs="Times New Roman"/>
          <w:highlight w:val="yellow"/>
          <w:lang w:val="en-US"/>
        </w:rPr>
        <w:t>(Guillaumet &amp; Adjanohoun, 1971)</w:t>
      </w:r>
      <w:r>
        <w:rPr>
          <w:rFonts w:ascii="Times New Roman" w:hAnsi="Times New Roman" w:cs="Times New Roman"/>
          <w:lang w:val="en-US"/>
        </w:rPr>
        <w:t xml:space="preserve">. </w:t>
      </w:r>
    </w:p>
    <w:p w14:paraId="4E043AD2" w14:textId="77777777" w:rsidR="00F864D0" w:rsidRDefault="00F864D0" w:rsidP="00F555C6">
      <w:pPr>
        <w:spacing w:after="0" w:line="240" w:lineRule="auto"/>
        <w:jc w:val="both"/>
        <w:rPr>
          <w:rFonts w:ascii="Times New Roman" w:hAnsi="Times New Roman" w:cs="Times New Roman"/>
          <w:lang w:val="en-US"/>
        </w:rPr>
      </w:pPr>
    </w:p>
    <w:p w14:paraId="135162EF" w14:textId="77777777" w:rsidR="00D22359" w:rsidRPr="00D22359" w:rsidRDefault="00A0459E" w:rsidP="00F555C6">
      <w:pPr>
        <w:spacing w:after="0" w:line="240" w:lineRule="auto"/>
        <w:jc w:val="center"/>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69C074DB" wp14:editId="23743D92">
            <wp:extent cx="3348110" cy="2725995"/>
            <wp:effectExtent l="0" t="0" r="508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91989" cy="2761721"/>
                    </a:xfrm>
                    <a:prstGeom prst="rect">
                      <a:avLst/>
                    </a:prstGeom>
                    <a:noFill/>
                  </pic:spPr>
                </pic:pic>
              </a:graphicData>
            </a:graphic>
          </wp:inline>
        </w:drawing>
      </w:r>
    </w:p>
    <w:p w14:paraId="344D19BB" w14:textId="77777777" w:rsidR="00D22359" w:rsidRPr="004A2E38" w:rsidRDefault="00D22359" w:rsidP="00F555C6">
      <w:pPr>
        <w:spacing w:after="0" w:line="240" w:lineRule="auto"/>
        <w:jc w:val="center"/>
        <w:rPr>
          <w:rFonts w:ascii="Times New Roman" w:hAnsi="Times New Roman" w:cs="Times New Roman"/>
          <w:sz w:val="22"/>
          <w:szCs w:val="22"/>
          <w:lang w:val="en-US"/>
        </w:rPr>
      </w:pPr>
      <w:r w:rsidRPr="004A2E38">
        <w:rPr>
          <w:rFonts w:ascii="Times New Roman" w:hAnsi="Times New Roman" w:cs="Times New Roman"/>
          <w:sz w:val="22"/>
          <w:szCs w:val="22"/>
          <w:lang w:val="en-US"/>
        </w:rPr>
        <w:t>Figure 1: Location of the experimental site in the city of Bouaké</w:t>
      </w:r>
    </w:p>
    <w:p w14:paraId="0CE0E989" w14:textId="77777777" w:rsidR="00F555C6" w:rsidRDefault="00F555C6" w:rsidP="00F555C6">
      <w:pPr>
        <w:spacing w:after="0" w:line="240" w:lineRule="auto"/>
        <w:jc w:val="both"/>
        <w:rPr>
          <w:rFonts w:ascii="Times New Roman" w:hAnsi="Times New Roman" w:cs="Times New Roman"/>
          <w:b/>
          <w:bCs/>
          <w:lang w:val="en-US"/>
        </w:rPr>
      </w:pPr>
    </w:p>
    <w:p w14:paraId="2B6BF501" w14:textId="77777777" w:rsidR="00D22359" w:rsidRPr="00D6265C" w:rsidRDefault="00D22359"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lastRenderedPageBreak/>
        <w:t>Plant material</w:t>
      </w:r>
    </w:p>
    <w:p w14:paraId="67A2DEBC" w14:textId="77777777" w:rsidR="00D22359" w:rsidRPr="00D6265C" w:rsidRDefault="00D22359" w:rsidP="00F555C6">
      <w:pPr>
        <w:spacing w:after="0" w:line="240" w:lineRule="auto"/>
        <w:jc w:val="both"/>
        <w:rPr>
          <w:rFonts w:ascii="Times New Roman" w:hAnsi="Times New Roman" w:cs="Times New Roman"/>
          <w:lang w:val="en-US"/>
        </w:rPr>
      </w:pPr>
      <w:r>
        <w:rPr>
          <w:rFonts w:ascii="Times New Roman" w:hAnsi="Times New Roman" w:cs="Times New Roman"/>
          <w:highlight w:val="yellow"/>
          <w:lang w:val="en-US"/>
        </w:rPr>
        <w:t>The plant material used in this trial consisted of</w:t>
      </w:r>
      <w:r>
        <w:rPr>
          <w:rFonts w:ascii="Times New Roman" w:hAnsi="Times New Roman" w:cs="Times New Roman"/>
          <w:lang w:val="en-US"/>
        </w:rPr>
        <w:t xml:space="preserve"> </w:t>
      </w:r>
      <w:r>
        <w:rPr>
          <w:rFonts w:ascii="Times New Roman" w:hAnsi="Times New Roman" w:cs="Times New Roman"/>
          <w:i/>
          <w:iCs/>
          <w:lang w:val="en-US"/>
        </w:rPr>
        <w:t>Eleusine indica</w:t>
      </w:r>
      <w:r>
        <w:rPr>
          <w:rFonts w:ascii="Times New Roman" w:hAnsi="Times New Roman" w:cs="Times New Roman"/>
          <w:lang w:val="en-US"/>
        </w:rPr>
        <w:t xml:space="preserve"> (L.) Gaertn. (Figure 2), collected from the CNRA’s botanical garden for forage plants in Bouaké.</w:t>
      </w:r>
    </w:p>
    <w:p w14:paraId="6E47B50D" w14:textId="77777777" w:rsidR="00D22359" w:rsidRPr="00D22359" w:rsidRDefault="00D22359" w:rsidP="00F555C6">
      <w:pPr>
        <w:spacing w:after="0" w:line="240" w:lineRule="auto"/>
        <w:jc w:val="center"/>
        <w:rPr>
          <w:rFonts w:ascii="Times New Roman" w:hAnsi="Times New Roman" w:cs="Times New Roman"/>
          <w:sz w:val="20"/>
          <w:szCs w:val="20"/>
          <w:lang w:val="en-US"/>
        </w:rPr>
      </w:pPr>
      <w:r>
        <w:rPr>
          <w:rFonts w:ascii="Times New Roman" w:hAnsi="Times New Roman" w:cs="Times New Roman"/>
          <w:noProof/>
        </w:rPr>
        <w:drawing>
          <wp:inline distT="0" distB="0" distL="0" distR="0" wp14:anchorId="09DBF7E1" wp14:editId="56C127DD">
            <wp:extent cx="1670050" cy="158940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70050" cy="1589405"/>
                    </a:xfrm>
                    <a:prstGeom prst="rect">
                      <a:avLst/>
                    </a:prstGeom>
                  </pic:spPr>
                </pic:pic>
              </a:graphicData>
            </a:graphic>
          </wp:inline>
        </w:drawing>
      </w:r>
    </w:p>
    <w:p w14:paraId="4FF99CFF" w14:textId="77777777" w:rsidR="00823EF1" w:rsidRPr="004A2E38" w:rsidRDefault="00823EF1" w:rsidP="00F555C6">
      <w:pPr>
        <w:spacing w:after="0" w:line="240" w:lineRule="auto"/>
        <w:jc w:val="center"/>
        <w:rPr>
          <w:rFonts w:ascii="Times New Roman" w:hAnsi="Times New Roman" w:cs="Times New Roman"/>
          <w:lang w:val="en-US"/>
        </w:rPr>
      </w:pPr>
      <w:r w:rsidRPr="004A2E38">
        <w:rPr>
          <w:rFonts w:ascii="Times New Roman" w:hAnsi="Times New Roman" w:cs="Times New Roman"/>
          <w:lang w:val="en-US"/>
        </w:rPr>
        <w:t xml:space="preserve">Figure 2: </w:t>
      </w:r>
      <w:r w:rsidRPr="004A2E38">
        <w:rPr>
          <w:rFonts w:ascii="Times New Roman" w:hAnsi="Times New Roman" w:cs="Times New Roman"/>
          <w:i/>
          <w:iCs/>
          <w:lang w:val="en-US"/>
        </w:rPr>
        <w:t>Eleusine indica</w:t>
      </w:r>
      <w:r w:rsidRPr="004A2E38">
        <w:rPr>
          <w:rFonts w:ascii="Times New Roman" w:hAnsi="Times New Roman" w:cs="Times New Roman"/>
          <w:lang w:val="en-US"/>
        </w:rPr>
        <w:t xml:space="preserve"> plant</w:t>
      </w:r>
    </w:p>
    <w:p w14:paraId="3608C46B" w14:textId="77777777" w:rsidR="00F555C6" w:rsidRDefault="00F555C6" w:rsidP="00F555C6">
      <w:pPr>
        <w:spacing w:after="0" w:line="240" w:lineRule="auto"/>
        <w:jc w:val="both"/>
        <w:rPr>
          <w:rFonts w:ascii="Times New Roman" w:hAnsi="Times New Roman" w:cs="Times New Roman"/>
          <w:i/>
          <w:iCs/>
          <w:lang w:val="en-US"/>
        </w:rPr>
      </w:pPr>
    </w:p>
    <w:p w14:paraId="0964184A" w14:textId="77777777" w:rsidR="00823EF1" w:rsidRPr="00D6265C" w:rsidRDefault="00D94B3B" w:rsidP="00F555C6">
      <w:pPr>
        <w:spacing w:after="0" w:line="240" w:lineRule="auto"/>
        <w:jc w:val="both"/>
        <w:rPr>
          <w:rFonts w:ascii="Times New Roman" w:hAnsi="Times New Roman" w:cs="Times New Roman"/>
          <w:lang w:val="en-US"/>
        </w:rPr>
      </w:pPr>
      <w:r>
        <w:rPr>
          <w:rFonts w:ascii="Times New Roman" w:hAnsi="Times New Roman" w:cs="Times New Roman"/>
          <w:i/>
          <w:iCs/>
          <w:lang w:val="en-US"/>
        </w:rPr>
        <w:t xml:space="preserve">Eleusine indica </w:t>
      </w:r>
      <w:r>
        <w:rPr>
          <w:rFonts w:ascii="Times New Roman" w:hAnsi="Times New Roman" w:cs="Times New Roman"/>
          <w:color w:val="000000" w:themeColor="text1"/>
          <w:lang w:val="en-US"/>
        </w:rPr>
        <w:t xml:space="preserve">is an annual grass belonging to the Poaceae family. It is commonly known as goosegrass, crowfootgrass, or wiregrass because of its finger-like inflorescences, and it has a spreading to erect growth habit, reaching a height of 20 to 60 cm depending on environmental conditions. The plant has a fibrous (fasciculate) root system that helps it adapt to compacted and relatively poor soils. </w:t>
      </w:r>
      <w:r>
        <w:rPr>
          <w:rFonts w:ascii="Times New Roman" w:hAnsi="Times New Roman" w:cs="Times New Roman"/>
          <w:lang w:val="en-US"/>
        </w:rPr>
        <w:t xml:space="preserve">Its leaves are linear, and its spikes, arranged in a fan-like pattern at the top of the stems, constitute a distinctive morphological characteristic. </w:t>
      </w:r>
      <w:r>
        <w:rPr>
          <w:rFonts w:ascii="Times New Roman" w:hAnsi="Times New Roman" w:cs="Times New Roman"/>
          <w:highlight w:val="yellow"/>
          <w:lang w:val="en-US"/>
        </w:rPr>
        <w:t>Widely distributed in tropical and subtropical zones, the species colonises open areas and cultivated plots and shows good tolerance to moderate stress and degraded soils.</w:t>
      </w:r>
      <w:r>
        <w:rPr>
          <w:rFonts w:ascii="Times New Roman" w:hAnsi="Times New Roman" w:cs="Times New Roman"/>
          <w:lang w:val="en-US"/>
        </w:rPr>
        <w:t xml:space="preserve"> </w:t>
      </w:r>
      <w:r>
        <w:rPr>
          <w:rFonts w:ascii="Times New Roman" w:hAnsi="Times New Roman" w:cs="Times New Roman"/>
          <w:highlight w:val="yellow"/>
          <w:lang w:val="en-US"/>
        </w:rPr>
        <w:t>The choice of this species for this study is based on its ability to regrow rapidly and its substantial biomass production, which support its potential use in forage production.</w:t>
      </w:r>
    </w:p>
    <w:p w14:paraId="60047312" w14:textId="77777777" w:rsidR="00F555C6" w:rsidRDefault="00F555C6" w:rsidP="00F555C6">
      <w:pPr>
        <w:spacing w:after="0" w:line="240" w:lineRule="auto"/>
        <w:jc w:val="both"/>
        <w:rPr>
          <w:rFonts w:ascii="Times New Roman" w:hAnsi="Times New Roman" w:cs="Times New Roman"/>
          <w:b/>
          <w:bCs/>
          <w:lang w:val="en-US"/>
        </w:rPr>
      </w:pPr>
    </w:p>
    <w:p w14:paraId="25BF6F7A" w14:textId="77777777" w:rsidR="00823EF1" w:rsidRPr="00D6265C" w:rsidRDefault="00823EF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 xml:space="preserve">Experimental </w:t>
      </w:r>
      <w:r w:rsidR="00F864D0">
        <w:rPr>
          <w:rFonts w:ascii="Times New Roman" w:hAnsi="Times New Roman" w:cs="Times New Roman"/>
          <w:b/>
          <w:bCs/>
          <w:lang w:val="en-US"/>
        </w:rPr>
        <w:t>d</w:t>
      </w:r>
      <w:r>
        <w:rPr>
          <w:rFonts w:ascii="Times New Roman" w:hAnsi="Times New Roman" w:cs="Times New Roman"/>
          <w:b/>
          <w:bCs/>
          <w:lang w:val="en-US"/>
        </w:rPr>
        <w:t>esign</w:t>
      </w:r>
    </w:p>
    <w:p w14:paraId="3C24716A" w14:textId="77777777" w:rsidR="00C14663" w:rsidRPr="00D6265C" w:rsidRDefault="00C14663"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agricultural inputs used during this experiment were a chemical </w:t>
      </w:r>
      <w:r>
        <w:rPr>
          <w:rFonts w:ascii="Times New Roman" w:hAnsi="Times New Roman" w:cs="Times New Roman"/>
          <w:highlight w:val="yellow"/>
          <w:lang w:val="en-US"/>
        </w:rPr>
        <w:t>fertiliser</w:t>
      </w:r>
      <w:r>
        <w:rPr>
          <w:rFonts w:ascii="Times New Roman" w:hAnsi="Times New Roman" w:cs="Times New Roman"/>
          <w:lang w:val="en-US"/>
        </w:rPr>
        <w:t xml:space="preserve"> with an NPK formulation of 15-15-15, applied at a rate equivalent to 166.7 kg/ha, and a preventive phytosanitary treatment, Pyrimax 20 GR, a ready-to-use soil insecticide based on imidacloprid, applied at a rate of 20 g/kg to control termite infestations at the experimental site.</w:t>
      </w:r>
    </w:p>
    <w:p w14:paraId="5D1FBE08" w14:textId="77777777" w:rsidR="00F864D0" w:rsidRDefault="00823EF1" w:rsidP="00F555C6">
      <w:pPr>
        <w:spacing w:after="0" w:line="240" w:lineRule="auto"/>
        <w:jc w:val="both"/>
        <w:rPr>
          <w:rFonts w:ascii="Times New Roman" w:hAnsi="Times New Roman" w:cs="Times New Roman"/>
          <w:lang w:val="en-US"/>
        </w:rPr>
      </w:pPr>
      <w:r>
        <w:rPr>
          <w:rFonts w:ascii="Times New Roman" w:hAnsi="Times New Roman" w:cs="Times New Roman"/>
          <w:highlight w:val="yellow"/>
          <w:lang w:val="en-US"/>
        </w:rPr>
        <w:t>The experimental design was a randomised complete block design (RCBD)</w:t>
      </w:r>
      <w:r>
        <w:rPr>
          <w:rFonts w:ascii="Times New Roman" w:hAnsi="Times New Roman" w:cs="Times New Roman"/>
          <w:lang w:val="en-US"/>
        </w:rPr>
        <w:t xml:space="preserve"> with three replications, which allowed for the control of spatial heterogeneity within the experimental site and improved the precision of statistical comparisons between treatments. Three experimental factors were studied: (i) mineral </w:t>
      </w:r>
      <w:r>
        <w:rPr>
          <w:rFonts w:ascii="Times New Roman" w:hAnsi="Times New Roman" w:cs="Times New Roman"/>
          <w:highlight w:val="yellow"/>
          <w:lang w:val="en-US"/>
        </w:rPr>
        <w:t>fertilisation</w:t>
      </w:r>
      <w:r>
        <w:rPr>
          <w:rFonts w:ascii="Times New Roman" w:hAnsi="Times New Roman" w:cs="Times New Roman"/>
          <w:lang w:val="en-US"/>
        </w:rPr>
        <w:t xml:space="preserve">, (ii) cutting frequency, and (iii) planting spacing (density). The factorial combination of these three variables led to the development of eight distinct treatments (Table I). </w:t>
      </w:r>
      <w:r>
        <w:rPr>
          <w:rFonts w:ascii="Times New Roman" w:hAnsi="Times New Roman" w:cs="Times New Roman"/>
          <w:highlight w:val="yellow"/>
          <w:lang w:val="en-US"/>
        </w:rPr>
        <w:t>This factorial approach allowed for the evaluation</w:t>
      </w:r>
      <w:r>
        <w:rPr>
          <w:rFonts w:ascii="Times New Roman" w:hAnsi="Times New Roman" w:cs="Times New Roman"/>
          <w:lang w:val="en-US"/>
        </w:rPr>
        <w:t xml:space="preserve"> not only of the main effects of each factor on growth and biomass production, but also of their potential interactions. Thus, the eight selected treatments are shown in Figure 3.</w:t>
      </w:r>
    </w:p>
    <w:p w14:paraId="25CA2089" w14:textId="77777777" w:rsidR="00F555C6" w:rsidRDefault="00F555C6" w:rsidP="00F555C6">
      <w:pPr>
        <w:spacing w:after="0" w:line="240" w:lineRule="auto"/>
        <w:jc w:val="both"/>
        <w:rPr>
          <w:rFonts w:ascii="Times New Roman" w:hAnsi="Times New Roman" w:cs="Times New Roman"/>
          <w:lang w:val="en-US"/>
        </w:rPr>
      </w:pPr>
    </w:p>
    <w:p w14:paraId="564EE343" w14:textId="77777777" w:rsidR="00816736" w:rsidRPr="00D6265C" w:rsidRDefault="001277BF" w:rsidP="00F555C6">
      <w:pPr>
        <w:spacing w:after="0" w:line="240" w:lineRule="auto"/>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3931A0E6" wp14:editId="46AA40C7">
            <wp:extent cx="4328308" cy="1814733"/>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57386" cy="1826925"/>
                    </a:xfrm>
                    <a:prstGeom prst="rect">
                      <a:avLst/>
                    </a:prstGeom>
                    <a:noFill/>
                  </pic:spPr>
                </pic:pic>
              </a:graphicData>
            </a:graphic>
          </wp:inline>
        </w:drawing>
      </w:r>
    </w:p>
    <w:p w14:paraId="2B7163B9" w14:textId="77777777" w:rsidR="00050ABD" w:rsidRPr="00D6265C" w:rsidRDefault="001277BF" w:rsidP="00F555C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Figure 3: </w:t>
      </w:r>
      <w:r w:rsidR="00050ABD">
        <w:rPr>
          <w:rFonts w:ascii="Times New Roman" w:hAnsi="Times New Roman" w:cs="Times New Roman"/>
          <w:lang w:val="en-US"/>
        </w:rPr>
        <w:t>Layout of the different blocks and treatments</w:t>
      </w:r>
    </w:p>
    <w:p w14:paraId="380B76A4" w14:textId="77777777" w:rsidR="00823EF1" w:rsidRPr="00823EF1" w:rsidRDefault="00823EF1" w:rsidP="00F555C6">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lastRenderedPageBreak/>
        <w:t>T1 = fertilizer + 30 days before cutting + 30 cm between plants; T2 = fertilizer + 30 days before cutting + 40 cm between plants; T3 = fertilizer + 45 days before cutting + 30 cm between plants; T4 = fertilizer + 45 days before cutting + 40 cm between plants; T5 = no fertilizer + 30 days before cutting + 30 cm between plants; T6 = no fertilizer + 30 days before cutting + 40 cm between plants; T7 = no fertilizer + 45 days before cutting + 30 cm between plants; T8 = no fertilizer + 45 days before cutting + 40 cm between plants.</w:t>
      </w:r>
    </w:p>
    <w:p w14:paraId="2AD34187" w14:textId="77777777" w:rsidR="00F555C6" w:rsidRDefault="00F555C6" w:rsidP="00F555C6">
      <w:pPr>
        <w:spacing w:after="0" w:line="240" w:lineRule="auto"/>
        <w:jc w:val="both"/>
        <w:rPr>
          <w:rFonts w:ascii="Times New Roman" w:hAnsi="Times New Roman" w:cs="Times New Roman"/>
          <w:lang w:val="en-US"/>
        </w:rPr>
      </w:pPr>
    </w:p>
    <w:p w14:paraId="0585AA9E" w14:textId="77777777" w:rsidR="004A2E38"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experiment was conducted on a 159.50 m² plot (27.50 m × 5.80 m), subdivided into three blocks using a </w:t>
      </w:r>
      <w:r>
        <w:rPr>
          <w:rFonts w:ascii="Times New Roman" w:hAnsi="Times New Roman" w:cs="Times New Roman"/>
          <w:highlight w:val="yellow"/>
          <w:lang w:val="en-US"/>
        </w:rPr>
        <w:t>randomised</w:t>
      </w:r>
      <w:r>
        <w:rPr>
          <w:rFonts w:ascii="Times New Roman" w:hAnsi="Times New Roman" w:cs="Times New Roman"/>
          <w:lang w:val="en-US"/>
        </w:rPr>
        <w:t xml:space="preserve"> complete block design. Each block comprised eight 4.8 m² plots (1.60 m × 3.00 m), for a total of 24 experimental units. Treatments T1 through T4 received a basal mineral </w:t>
      </w:r>
      <w:r>
        <w:rPr>
          <w:rFonts w:ascii="Times New Roman" w:hAnsi="Times New Roman" w:cs="Times New Roman"/>
          <w:highlight w:val="yellow"/>
          <w:lang w:val="en-US"/>
        </w:rPr>
        <w:t>fertiliser</w:t>
      </w:r>
      <w:r>
        <w:rPr>
          <w:rFonts w:ascii="Times New Roman" w:hAnsi="Times New Roman" w:cs="Times New Roman"/>
          <w:lang w:val="en-US"/>
        </w:rPr>
        <w:t xml:space="preserve"> application of NPK 15-15-15 at 80 g per plot (equivalent to 167 kg/ha), while treatments T5 through T8 received no </w:t>
      </w:r>
      <w:r>
        <w:rPr>
          <w:rFonts w:ascii="Times New Roman" w:hAnsi="Times New Roman" w:cs="Times New Roman"/>
          <w:highlight w:val="yellow"/>
          <w:lang w:val="en-US"/>
        </w:rPr>
        <w:t>fertiliser</w:t>
      </w:r>
      <w:r>
        <w:rPr>
          <w:rFonts w:ascii="Times New Roman" w:hAnsi="Times New Roman" w:cs="Times New Roman"/>
          <w:lang w:val="en-US"/>
        </w:rPr>
        <w:t xml:space="preserve">. For the </w:t>
      </w:r>
      <w:r>
        <w:rPr>
          <w:rFonts w:ascii="Times New Roman" w:hAnsi="Times New Roman" w:cs="Times New Roman"/>
          <w:highlight w:val="yellow"/>
          <w:lang w:val="en-US"/>
        </w:rPr>
        <w:t>fertilised</w:t>
      </w:r>
      <w:r>
        <w:rPr>
          <w:rFonts w:ascii="Times New Roman" w:hAnsi="Times New Roman" w:cs="Times New Roman"/>
          <w:lang w:val="en-US"/>
        </w:rPr>
        <w:t xml:space="preserve"> treatments, </w:t>
      </w:r>
      <w:r>
        <w:rPr>
          <w:rFonts w:ascii="Times New Roman" w:hAnsi="Times New Roman" w:cs="Times New Roman"/>
          <w:highlight w:val="yellow"/>
          <w:lang w:val="en-US"/>
        </w:rPr>
        <w:t>fertiliser</w:t>
      </w:r>
      <w:r>
        <w:rPr>
          <w:rFonts w:ascii="Times New Roman" w:hAnsi="Times New Roman" w:cs="Times New Roman"/>
          <w:lang w:val="en-US"/>
        </w:rPr>
        <w:t xml:space="preserve"> was reapplied after each harvest. Transplanting was carried out in rows spaced 40 cm apart, with an intra-row spacing of 30 cm or 40 cm depending on the treatment. Two cutting intervals were applied (30 and 45 days) to evaluate the effect of harvest age on biomass production.</w:t>
      </w:r>
    </w:p>
    <w:p w14:paraId="73EF2951" w14:textId="77777777" w:rsidR="00F555C6" w:rsidRDefault="00F555C6" w:rsidP="00F555C6">
      <w:pPr>
        <w:spacing w:after="0" w:line="240" w:lineRule="auto"/>
        <w:jc w:val="both"/>
        <w:rPr>
          <w:rFonts w:ascii="Times New Roman" w:hAnsi="Times New Roman" w:cs="Times New Roman"/>
          <w:b/>
          <w:bCs/>
          <w:lang w:val="en-US"/>
        </w:rPr>
      </w:pPr>
    </w:p>
    <w:p w14:paraId="3910F1ED" w14:textId="77777777" w:rsidR="00823EF1" w:rsidRPr="000403D1" w:rsidRDefault="00823EF1" w:rsidP="00F555C6">
      <w:pPr>
        <w:spacing w:after="0" w:line="240" w:lineRule="auto"/>
        <w:jc w:val="both"/>
        <w:rPr>
          <w:rFonts w:ascii="Times New Roman" w:hAnsi="Times New Roman" w:cs="Times New Roman"/>
          <w:b/>
          <w:bCs/>
          <w:lang w:val="en-US"/>
        </w:rPr>
      </w:pPr>
      <w:r w:rsidRPr="000403D1">
        <w:rPr>
          <w:rFonts w:ascii="Times New Roman" w:hAnsi="Times New Roman" w:cs="Times New Roman"/>
          <w:b/>
          <w:bCs/>
          <w:lang w:val="en-US"/>
        </w:rPr>
        <w:t xml:space="preserve">Setup and </w:t>
      </w:r>
      <w:r w:rsidR="00F864D0">
        <w:rPr>
          <w:rFonts w:ascii="Times New Roman" w:hAnsi="Times New Roman" w:cs="Times New Roman"/>
          <w:b/>
          <w:bCs/>
          <w:lang w:val="en-US"/>
        </w:rPr>
        <w:t>m</w:t>
      </w:r>
      <w:r w:rsidRPr="000403D1">
        <w:rPr>
          <w:rFonts w:ascii="Times New Roman" w:hAnsi="Times New Roman" w:cs="Times New Roman"/>
          <w:b/>
          <w:bCs/>
          <w:lang w:val="en-US"/>
        </w:rPr>
        <w:t xml:space="preserve">onitoring of the </w:t>
      </w:r>
      <w:r w:rsidR="00F864D0">
        <w:rPr>
          <w:rFonts w:ascii="Times New Roman" w:hAnsi="Times New Roman" w:cs="Times New Roman"/>
          <w:b/>
          <w:bCs/>
          <w:lang w:val="en-US"/>
        </w:rPr>
        <w:t>t</w:t>
      </w:r>
      <w:r w:rsidRPr="000403D1">
        <w:rPr>
          <w:rFonts w:ascii="Times New Roman" w:hAnsi="Times New Roman" w:cs="Times New Roman"/>
          <w:b/>
          <w:bCs/>
          <w:lang w:val="en-US"/>
        </w:rPr>
        <w:t>rial</w:t>
      </w:r>
    </w:p>
    <w:p w14:paraId="5A1DE158" w14:textId="77777777" w:rsidR="00841843" w:rsidRPr="001277BF"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experimental site was prepared by manual weeding and stump removal to eliminate all competing vegetation. The plots were marked out with stakes </w:t>
      </w:r>
      <w:r>
        <w:rPr>
          <w:rFonts w:ascii="Times New Roman" w:hAnsi="Times New Roman" w:cs="Times New Roman"/>
          <w:highlight w:val="yellow"/>
          <w:lang w:val="en-US"/>
        </w:rPr>
        <w:t>to ensure uniformity among the experimental units</w:t>
      </w:r>
      <w:r>
        <w:rPr>
          <w:rFonts w:ascii="Times New Roman" w:hAnsi="Times New Roman" w:cs="Times New Roman"/>
          <w:lang w:val="en-US"/>
        </w:rPr>
        <w:t>. Manual tilling with a hoe was used to loosen the soil and promote root establishment. A soil insecticide treatment (Pyrimax 20GR, imidacloprid-based) was applied preventively to control termites and other pests.</w:t>
      </w:r>
    </w:p>
    <w:p w14:paraId="475ADB6A" w14:textId="77777777" w:rsidR="00823EF1" w:rsidRPr="001277BF"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Planting took place in August 2023, following the main rainy season. Planting stock was obtained from root cuttings derived from previously propagated plants. The selected propagules (</w:t>
      </w:r>
      <w:r>
        <w:rPr>
          <w:rFonts w:ascii="Times New Roman" w:hAnsi="Times New Roman" w:cs="Times New Roman"/>
          <w:highlight w:val="yellow"/>
          <w:lang w:val="en-US"/>
        </w:rPr>
        <w:t>10–15 cm</w:t>
      </w:r>
      <w:r>
        <w:rPr>
          <w:rFonts w:ascii="Times New Roman" w:hAnsi="Times New Roman" w:cs="Times New Roman"/>
          <w:lang w:val="en-US"/>
        </w:rPr>
        <w:t xml:space="preserve"> tall) had a well-developed root system. A preventive root treatment was applied before transplanting. A thinning pruning was performed 30 days after transplanting (September 13, 2023) at 5 cm above ground level to </w:t>
      </w:r>
      <w:r>
        <w:rPr>
          <w:rFonts w:ascii="Times New Roman" w:hAnsi="Times New Roman" w:cs="Times New Roman"/>
          <w:highlight w:val="yellow"/>
          <w:lang w:val="en-US"/>
        </w:rPr>
        <w:t>standardise</w:t>
      </w:r>
      <w:r>
        <w:rPr>
          <w:rFonts w:ascii="Times New Roman" w:hAnsi="Times New Roman" w:cs="Times New Roman"/>
          <w:lang w:val="en-US"/>
        </w:rPr>
        <w:t xml:space="preserve"> growth. Two pruning frequencies were then applied: every 30 days (October 13, November 13, and December 13, 2023) and every 45 days (October 26 and December 11, 2023).</w:t>
      </w:r>
    </w:p>
    <w:p w14:paraId="03A0414F" w14:textId="77777777" w:rsidR="00823EF1" w:rsidRPr="001277BF"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Growth parameters (plant height, leaf length, number of leaves, and number of shoots) were measured weekly starting one week after the thinning cut. At each harvest, the above-ground biomass was cut 5 cm above the ground and weighed immediately in the field to determine fresh weight. Samples were collected and dried at 65 °C for 24 hours to estimate dry matter (DM) content. Biomass production was used to estimate carrying capacity. Seasonal stocking rate (expressed in grazing days) was calculated for one Tropical Livestock Unit (TLU) consuming 6.25 kg of DM per day, assuming that only one-third of the available biomass can be sustainably </w:t>
      </w:r>
      <w:r>
        <w:rPr>
          <w:rFonts w:ascii="Times New Roman" w:hAnsi="Times New Roman" w:cs="Times New Roman"/>
          <w:highlight w:val="yellow"/>
          <w:lang w:val="en-US"/>
        </w:rPr>
        <w:t>utilised</w:t>
      </w:r>
      <w:r>
        <w:rPr>
          <w:rFonts w:ascii="Times New Roman" w:hAnsi="Times New Roman" w:cs="Times New Roman"/>
          <w:lang w:val="en-US"/>
        </w:rPr>
        <w:t xml:space="preserve">, in accordance with pasture management principles </w:t>
      </w:r>
      <w:r>
        <w:rPr>
          <w:rFonts w:ascii="Times New Roman" w:hAnsi="Times New Roman" w:cs="Times New Roman"/>
          <w:highlight w:val="yellow"/>
          <w:lang w:val="en-US"/>
        </w:rPr>
        <w:t>(Boudet, 1991; Breman &amp; de Ridder, 1991)</w:t>
      </w:r>
      <w:r>
        <w:rPr>
          <w:rFonts w:ascii="Times New Roman" w:hAnsi="Times New Roman" w:cs="Times New Roman"/>
          <w:lang w:val="en-US"/>
        </w:rPr>
        <w:t xml:space="preserve">. </w:t>
      </w:r>
      <w:r>
        <w:rPr>
          <w:rFonts w:ascii="Times New Roman" w:hAnsi="Times New Roman" w:cs="Times New Roman"/>
          <w:highlight w:val="yellow"/>
          <w:lang w:val="en-US"/>
        </w:rPr>
        <w:t>Carrying capacities at different times of the year were then calculated</w:t>
      </w:r>
      <w:r>
        <w:rPr>
          <w:rFonts w:ascii="Times New Roman" w:hAnsi="Times New Roman" w:cs="Times New Roman"/>
          <w:lang w:val="en-US"/>
        </w:rPr>
        <w:t xml:space="preserve"> based on consumable phytomass using the following equations (1), (2), and (3):</w:t>
      </w:r>
    </w:p>
    <w:p w14:paraId="35F63856" w14:textId="77777777" w:rsidR="00823EF1" w:rsidRPr="008C45BB" w:rsidRDefault="008C45BB" w:rsidP="00F555C6">
      <w:pPr>
        <w:pStyle w:val="ListParagraph"/>
        <w:numPr>
          <w:ilvl w:val="0"/>
          <w:numId w:val="3"/>
        </w:numPr>
        <w:spacing w:after="0" w:line="240" w:lineRule="auto"/>
        <w:jc w:val="both"/>
        <w:rPr>
          <w:rFonts w:ascii="Times New Roman" w:hAnsi="Times New Roman" w:cs="Times New Roman"/>
          <w:lang w:val="en-US"/>
        </w:rPr>
      </w:pPr>
      <w:r w:rsidRPr="008C45BB">
        <w:rPr>
          <w:rFonts w:ascii="Times New Roman" w:hAnsi="Times New Roman" w:cs="Times New Roman"/>
          <w:lang w:val="en-US"/>
        </w:rPr>
        <w:t xml:space="preserve">Eq. (1): </w:t>
      </w:r>
      <w:r w:rsidR="00823EF1" w:rsidRPr="008C45BB">
        <w:rPr>
          <w:rFonts w:ascii="Times New Roman" w:hAnsi="Times New Roman" w:cs="Times New Roman"/>
          <w:b/>
          <w:bCs/>
          <w:lang w:val="en-US"/>
        </w:rPr>
        <w:t>CC (TLU ha⁻¹</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year⁻¹) = (Productivity (kg DM ha⁻¹)</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k)</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(6.25 (kg DM TLU⁻¹)</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w:t>
      </w:r>
      <w:r w:rsidRPr="008C45BB">
        <w:rPr>
          <w:rFonts w:ascii="Times New Roman" w:hAnsi="Times New Roman" w:cs="Times New Roman"/>
          <w:b/>
          <w:bCs/>
          <w:lang w:val="en-US"/>
        </w:rPr>
        <w:t xml:space="preserve"> </w:t>
      </w:r>
      <w:r w:rsidR="00823EF1" w:rsidRPr="008C45BB">
        <w:rPr>
          <w:rFonts w:ascii="Times New Roman" w:hAnsi="Times New Roman" w:cs="Times New Roman"/>
          <w:b/>
          <w:bCs/>
          <w:lang w:val="en-US"/>
        </w:rPr>
        <w:t>duration of use)</w:t>
      </w:r>
      <w:r w:rsidR="00823EF1" w:rsidRPr="008C45BB">
        <w:rPr>
          <w:rFonts w:ascii="Times New Roman" w:hAnsi="Times New Roman" w:cs="Times New Roman"/>
          <w:lang w:val="en-US"/>
        </w:rPr>
        <w:t xml:space="preserve">, </w:t>
      </w:r>
      <w:r w:rsidR="00D26193" w:rsidRPr="008C45BB">
        <w:rPr>
          <w:rFonts w:ascii="Times New Roman" w:hAnsi="Times New Roman" w:cs="Times New Roman"/>
          <w:lang w:val="en-US"/>
        </w:rPr>
        <w:t>w</w:t>
      </w:r>
      <w:r w:rsidR="00823EF1" w:rsidRPr="008C45BB">
        <w:rPr>
          <w:rFonts w:ascii="Times New Roman" w:hAnsi="Times New Roman" w:cs="Times New Roman"/>
          <w:lang w:val="en-US"/>
        </w:rPr>
        <w:t>here</w:t>
      </w:r>
      <w:r w:rsidR="00D26193" w:rsidRPr="008C45BB">
        <w:rPr>
          <w:rFonts w:ascii="Times New Roman" w:hAnsi="Times New Roman" w:cs="Times New Roman"/>
          <w:lang w:val="en-US"/>
        </w:rPr>
        <w:t xml:space="preserve"> </w:t>
      </w:r>
      <w:r w:rsidR="00823EF1" w:rsidRPr="008C45BB">
        <w:rPr>
          <w:rFonts w:ascii="Times New Roman" w:hAnsi="Times New Roman" w:cs="Times New Roman"/>
          <w:lang w:val="en-US"/>
        </w:rPr>
        <w:t>6.25 = daily dry matter intake (kg) of one Tropical Livestock Unit (TLU); k = grazing utilization coefficient, i.e. the proportion of standing biomass that can be sustainably removed by livestock without degrading the pasture; k = 0.35 for the northern Sudanian zone (Boudet, 1991; Breman &amp; de Ridder, 1991; Toutain &amp; Lhoste, 1999); DM = dry matter.</w:t>
      </w:r>
    </w:p>
    <w:p w14:paraId="41DBFD67" w14:textId="77777777" w:rsidR="00823EF1" w:rsidRPr="008C45BB" w:rsidRDefault="008C45BB" w:rsidP="00F555C6">
      <w:pPr>
        <w:pStyle w:val="ListParagraph"/>
        <w:numPr>
          <w:ilvl w:val="0"/>
          <w:numId w:val="3"/>
        </w:numPr>
        <w:spacing w:after="0" w:line="240" w:lineRule="auto"/>
        <w:jc w:val="both"/>
        <w:rPr>
          <w:rFonts w:ascii="Times New Roman" w:hAnsi="Times New Roman" w:cs="Times New Roman"/>
          <w:lang w:val="en-US"/>
        </w:rPr>
      </w:pPr>
      <w:r w:rsidRPr="008C45BB">
        <w:rPr>
          <w:rFonts w:ascii="Times New Roman" w:hAnsi="Times New Roman" w:cs="Times New Roman"/>
          <w:lang w:val="en-US"/>
        </w:rPr>
        <w:t xml:space="preserve">Eq. (2): </w:t>
      </w:r>
      <w:r w:rsidR="00823EF1" w:rsidRPr="008C45BB">
        <w:rPr>
          <w:rFonts w:ascii="Times New Roman" w:hAnsi="Times New Roman" w:cs="Times New Roman"/>
          <w:b/>
          <w:bCs/>
          <w:lang w:val="en-US"/>
        </w:rPr>
        <w:t>GD (TLU) = (k × usable biomass, kg DM) / (6.25 kg DM TLU⁻¹ day⁻¹)</w:t>
      </w:r>
      <w:r w:rsidRPr="008C45BB">
        <w:rPr>
          <w:rFonts w:ascii="Times New Roman" w:hAnsi="Times New Roman" w:cs="Times New Roman"/>
          <w:lang w:val="en-US"/>
        </w:rPr>
        <w:t xml:space="preserve">, </w:t>
      </w:r>
      <w:r w:rsidR="00823EF1" w:rsidRPr="008C45BB">
        <w:rPr>
          <w:rFonts w:ascii="Times New Roman" w:hAnsi="Times New Roman" w:cs="Times New Roman"/>
          <w:lang w:val="en-US"/>
        </w:rPr>
        <w:t>where</w:t>
      </w:r>
      <w:r w:rsidR="00D26193" w:rsidRPr="008C45BB">
        <w:rPr>
          <w:rFonts w:ascii="Times New Roman" w:hAnsi="Times New Roman" w:cs="Times New Roman"/>
          <w:lang w:val="en-US"/>
        </w:rPr>
        <w:t xml:space="preserve"> </w:t>
      </w:r>
      <w:r w:rsidR="00823EF1" w:rsidRPr="008C45BB">
        <w:rPr>
          <w:rFonts w:ascii="Times New Roman" w:hAnsi="Times New Roman" w:cs="Times New Roman"/>
          <w:lang w:val="en-US"/>
        </w:rPr>
        <w:t>GD = number of grazing days provided per TLU (parameters as defined above).</w:t>
      </w:r>
    </w:p>
    <w:p w14:paraId="2F95412B" w14:textId="77777777" w:rsidR="00823EF1" w:rsidRDefault="008C45BB" w:rsidP="00F555C6">
      <w:pPr>
        <w:pStyle w:val="ListParagraph"/>
        <w:numPr>
          <w:ilvl w:val="0"/>
          <w:numId w:val="3"/>
        </w:numPr>
        <w:spacing w:after="0" w:line="240" w:lineRule="auto"/>
        <w:jc w:val="both"/>
        <w:rPr>
          <w:rFonts w:ascii="Times New Roman" w:hAnsi="Times New Roman" w:cs="Times New Roman"/>
          <w:lang w:val="en-US"/>
        </w:rPr>
      </w:pPr>
      <w:r w:rsidRPr="008C45BB">
        <w:rPr>
          <w:rFonts w:ascii="Times New Roman" w:hAnsi="Times New Roman" w:cs="Times New Roman"/>
          <w:lang w:val="en-US"/>
        </w:rPr>
        <w:t xml:space="preserve">Eq. (3): </w:t>
      </w:r>
      <w:r w:rsidR="00823EF1" w:rsidRPr="008C45BB">
        <w:rPr>
          <w:rFonts w:ascii="Times New Roman" w:hAnsi="Times New Roman" w:cs="Times New Roman"/>
          <w:b/>
          <w:bCs/>
          <w:lang w:val="en-US"/>
        </w:rPr>
        <w:t>SR (TLU ha⁻¹ season⁻¹) = GD (TLU) / Number of days of the growing period considered</w:t>
      </w:r>
      <w:r w:rsidRPr="008C45BB">
        <w:rPr>
          <w:rFonts w:ascii="Times New Roman" w:hAnsi="Times New Roman" w:cs="Times New Roman"/>
          <w:b/>
          <w:bCs/>
          <w:lang w:val="en-US"/>
        </w:rPr>
        <w:t xml:space="preserve">, </w:t>
      </w:r>
      <w:r w:rsidR="00823EF1" w:rsidRPr="008C45BB">
        <w:rPr>
          <w:rFonts w:ascii="Times New Roman" w:hAnsi="Times New Roman" w:cs="Times New Roman"/>
          <w:lang w:val="en-US"/>
        </w:rPr>
        <w:t>where</w:t>
      </w:r>
      <w:r w:rsidRPr="008C45BB">
        <w:rPr>
          <w:rFonts w:ascii="Times New Roman" w:hAnsi="Times New Roman" w:cs="Times New Roman"/>
          <w:lang w:val="en-US"/>
        </w:rPr>
        <w:t xml:space="preserve"> </w:t>
      </w:r>
      <w:r w:rsidR="00823EF1" w:rsidRPr="008C45BB">
        <w:rPr>
          <w:rFonts w:ascii="Times New Roman" w:hAnsi="Times New Roman" w:cs="Times New Roman"/>
          <w:lang w:val="en-US"/>
        </w:rPr>
        <w:t>SR = seasonal stocking rate; GD = number of grazing days per TLU calculated in Eq. (2).</w:t>
      </w:r>
    </w:p>
    <w:p w14:paraId="0BF1E5EB" w14:textId="77777777" w:rsidR="008C45BB" w:rsidRDefault="008C45BB" w:rsidP="00F555C6">
      <w:pPr>
        <w:pStyle w:val="ListParagraph"/>
        <w:spacing w:after="0" w:line="240" w:lineRule="auto"/>
        <w:jc w:val="both"/>
        <w:rPr>
          <w:rFonts w:ascii="Times New Roman" w:hAnsi="Times New Roman" w:cs="Times New Roman"/>
          <w:lang w:val="en-US"/>
        </w:rPr>
      </w:pPr>
    </w:p>
    <w:p w14:paraId="5A0E0CEF" w14:textId="77777777" w:rsidR="00823EF1" w:rsidRPr="000403D1" w:rsidRDefault="00823EF1" w:rsidP="00F555C6">
      <w:pPr>
        <w:spacing w:after="0" w:line="240" w:lineRule="auto"/>
        <w:jc w:val="both"/>
        <w:rPr>
          <w:rFonts w:ascii="Times New Roman" w:hAnsi="Times New Roman" w:cs="Times New Roman"/>
          <w:b/>
          <w:bCs/>
          <w:lang w:val="en-US"/>
        </w:rPr>
      </w:pPr>
      <w:r w:rsidRPr="000403D1">
        <w:rPr>
          <w:rFonts w:ascii="Times New Roman" w:hAnsi="Times New Roman" w:cs="Times New Roman"/>
          <w:b/>
          <w:bCs/>
          <w:lang w:val="en-US"/>
        </w:rPr>
        <w:t>Statistical analyses</w:t>
      </w:r>
    </w:p>
    <w:p w14:paraId="68131F3D" w14:textId="77777777"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 xml:space="preserve">The data were entered into Microsoft Excel and then </w:t>
      </w:r>
      <w:r>
        <w:rPr>
          <w:rFonts w:ascii="Times New Roman" w:hAnsi="Times New Roman" w:cs="Times New Roman"/>
          <w:highlight w:val="yellow"/>
          <w:lang w:val="en-US"/>
        </w:rPr>
        <w:t>analysed</w:t>
      </w:r>
      <w:r>
        <w:rPr>
          <w:rFonts w:ascii="Times New Roman" w:hAnsi="Times New Roman" w:cs="Times New Roman"/>
          <w:lang w:val="en-US"/>
        </w:rPr>
        <w:t xml:space="preserve"> using R software version 4.3.0. The effects of mineral </w:t>
      </w:r>
      <w:r>
        <w:rPr>
          <w:rFonts w:ascii="Times New Roman" w:hAnsi="Times New Roman" w:cs="Times New Roman"/>
          <w:highlight w:val="yellow"/>
          <w:lang w:val="en-US"/>
        </w:rPr>
        <w:t>fertilisation</w:t>
      </w:r>
      <w:r>
        <w:rPr>
          <w:rFonts w:ascii="Times New Roman" w:hAnsi="Times New Roman" w:cs="Times New Roman"/>
          <w:lang w:val="en-US"/>
        </w:rPr>
        <w:t xml:space="preserve"> (with and without </w:t>
      </w:r>
      <w:r>
        <w:rPr>
          <w:rFonts w:ascii="Times New Roman" w:hAnsi="Times New Roman" w:cs="Times New Roman"/>
          <w:highlight w:val="yellow"/>
          <w:lang w:val="en-US"/>
        </w:rPr>
        <w:t>fertiliser</w:t>
      </w:r>
      <w:r>
        <w:rPr>
          <w:rFonts w:ascii="Times New Roman" w:hAnsi="Times New Roman" w:cs="Times New Roman"/>
          <w:lang w:val="en-US"/>
        </w:rPr>
        <w:t xml:space="preserve">), planting density (30 cm and 40 cm), cutting frequency (30 and 45 days), as well as their interactions, were evaluated using a multifactorial analysis of variance (ANOVA) adapted to a </w:t>
      </w:r>
      <w:r>
        <w:rPr>
          <w:rFonts w:ascii="Times New Roman" w:hAnsi="Times New Roman" w:cs="Times New Roman"/>
          <w:highlight w:val="yellow"/>
          <w:lang w:val="en-US"/>
        </w:rPr>
        <w:t>randomised</w:t>
      </w:r>
      <w:r>
        <w:rPr>
          <w:rFonts w:ascii="Times New Roman" w:hAnsi="Times New Roman" w:cs="Times New Roman"/>
          <w:lang w:val="en-US"/>
        </w:rPr>
        <w:t xml:space="preserve"> complete block design. The linear model included the three factors considered as fixed effects, as well as the block effect as a random factor to account for the spatial heterogeneity of the experimental site. The normality of the residuals and the homogeneity of the variances were verified prior to the analysis. When the effect of a factor or an interaction was significant (p &lt; 0.05), the means were compared using Fisher’s LSD test at the 5% level to identify significant differences between treatments. Throughout the tables, effects are denoted as follows: NS, not significant (p &gt; 0.05); S, significant (0.01 &lt; p ≤ 0.05); HS, highly significant (0.001 &lt; p ≤ 0.01); and THS, very highly significant (p ≤ 0.001).</w:t>
      </w:r>
    </w:p>
    <w:p w14:paraId="40A24F03" w14:textId="77777777" w:rsidR="00823EF1" w:rsidRPr="00967501" w:rsidRDefault="00823EF1" w:rsidP="00F555C6">
      <w:pPr>
        <w:spacing w:after="0" w:line="240" w:lineRule="auto"/>
        <w:jc w:val="both"/>
        <w:rPr>
          <w:rFonts w:ascii="Times New Roman" w:hAnsi="Times New Roman" w:cs="Times New Roman"/>
          <w:sz w:val="20"/>
          <w:szCs w:val="20"/>
          <w:lang w:val="en-US"/>
        </w:rPr>
      </w:pPr>
    </w:p>
    <w:p w14:paraId="2DBDF67D" w14:textId="77777777" w:rsidR="00823EF1" w:rsidRPr="00D6265C" w:rsidRDefault="00823EF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RESULTS</w:t>
      </w:r>
    </w:p>
    <w:p w14:paraId="6BA5EF6D" w14:textId="77777777" w:rsidR="00823EF1" w:rsidRPr="00D6265C" w:rsidRDefault="00823EF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 xml:space="preserve">Effect of </w:t>
      </w:r>
      <w:r>
        <w:rPr>
          <w:rFonts w:ascii="Times New Roman" w:hAnsi="Times New Roman" w:cs="Times New Roman"/>
          <w:b/>
          <w:bCs/>
          <w:highlight w:val="yellow"/>
          <w:lang w:val="en-US"/>
        </w:rPr>
        <w:t>fertilisation</w:t>
      </w:r>
      <w:r>
        <w:rPr>
          <w:rFonts w:ascii="Times New Roman" w:hAnsi="Times New Roman" w:cs="Times New Roman"/>
          <w:b/>
          <w:bCs/>
          <w:lang w:val="en-US"/>
        </w:rPr>
        <w:t xml:space="preserve">, cutting interval, and density on the growth parameters of </w:t>
      </w:r>
      <w:r>
        <w:rPr>
          <w:rFonts w:ascii="Times New Roman" w:hAnsi="Times New Roman" w:cs="Times New Roman"/>
          <w:b/>
          <w:bCs/>
          <w:i/>
          <w:iCs/>
          <w:lang w:val="en-US"/>
        </w:rPr>
        <w:t>Eleusine indica</w:t>
      </w:r>
      <w:r>
        <w:rPr>
          <w:rFonts w:ascii="Times New Roman" w:hAnsi="Times New Roman" w:cs="Times New Roman"/>
          <w:b/>
          <w:bCs/>
          <w:lang w:val="en-US"/>
        </w:rPr>
        <w:t>.</w:t>
      </w:r>
    </w:p>
    <w:p w14:paraId="57DF1684" w14:textId="77777777" w:rsidR="00823EF1"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effect of the treatments on the growth parameters of </w:t>
      </w:r>
      <w:r>
        <w:rPr>
          <w:rFonts w:ascii="Times New Roman" w:hAnsi="Times New Roman" w:cs="Times New Roman"/>
          <w:i/>
          <w:iCs/>
          <w:lang w:val="en-US"/>
        </w:rPr>
        <w:t>Eleusine indica</w:t>
      </w:r>
      <w:r>
        <w:rPr>
          <w:rFonts w:ascii="Times New Roman" w:hAnsi="Times New Roman" w:cs="Times New Roman"/>
          <w:lang w:val="en-US"/>
        </w:rPr>
        <w:t xml:space="preserve"> is presented in Table II. Analysis of variance reveals a very highly significant difference between treatments (p &lt; 0.001) for all measured variables. For plant height, treatment T1 recorded the highest mean value (19.56 cm), followed by T8 (19.1 cm), while T6 had the lowest height (12.9 cm). The other treatments showed intermediate values ranging from 15.89 to 18.22 cm. The number of tillers ranged from 14.40 to 26.47 depending on the treatment. The highest values were observed in T1 (26.47) and T4 (26.40), while T3 had the lowest mean (14.40). Regarding the number of leaves, T1 (100.98) and T4 (99.99) recorded the highest averages. Treatments T6 (51.04) and T3 (48.28) had the lowest values, with the other treatments falling at intermediate levels.</w:t>
      </w:r>
    </w:p>
    <w:p w14:paraId="246FB1C7" w14:textId="77777777" w:rsidR="000B2340" w:rsidRDefault="000B2340" w:rsidP="00F555C6">
      <w:pPr>
        <w:spacing w:after="0" w:line="240" w:lineRule="auto"/>
        <w:jc w:val="center"/>
        <w:rPr>
          <w:rFonts w:ascii="Times New Roman" w:hAnsi="Times New Roman" w:cs="Times New Roman"/>
          <w:lang w:val="en-US"/>
        </w:rPr>
      </w:pPr>
    </w:p>
    <w:p w14:paraId="6C03E161" w14:textId="77777777" w:rsidR="00823EF1" w:rsidRPr="00D6265C" w:rsidRDefault="00823EF1" w:rsidP="00F555C6">
      <w:pPr>
        <w:spacing w:after="0" w:line="240" w:lineRule="auto"/>
        <w:jc w:val="center"/>
        <w:rPr>
          <w:rFonts w:ascii="Times New Roman" w:hAnsi="Times New Roman" w:cs="Times New Roman"/>
          <w:lang w:val="en-US"/>
        </w:rPr>
      </w:pPr>
      <w:r>
        <w:rPr>
          <w:rFonts w:ascii="Times New Roman" w:hAnsi="Times New Roman" w:cs="Times New Roman"/>
          <w:lang w:val="en-US"/>
        </w:rPr>
        <w:t>Table II: Effect of treatments on growth parameters (mean ± standard deviation)</w:t>
      </w:r>
    </w:p>
    <w:tbl>
      <w:tblPr>
        <w:tblpPr w:leftFromText="141" w:rightFromText="141" w:vertAnchor="text" w:horzAnchor="margin" w:tblpXSpec="center" w:tblpY="150"/>
        <w:tblW w:w="9356" w:type="dxa"/>
        <w:tblCellMar>
          <w:left w:w="70" w:type="dxa"/>
          <w:right w:w="70" w:type="dxa"/>
        </w:tblCellMar>
        <w:tblLook w:val="04A0" w:firstRow="1" w:lastRow="0" w:firstColumn="1" w:lastColumn="0" w:noHBand="0" w:noVBand="1"/>
      </w:tblPr>
      <w:tblGrid>
        <w:gridCol w:w="1413"/>
        <w:gridCol w:w="1989"/>
        <w:gridCol w:w="2162"/>
        <w:gridCol w:w="1949"/>
        <w:gridCol w:w="1843"/>
      </w:tblGrid>
      <w:tr w:rsidR="00823EF1" w:rsidRPr="003010EC" w14:paraId="4FC314D9" w14:textId="77777777" w:rsidTr="003010EC">
        <w:trPr>
          <w:trHeight w:val="269"/>
        </w:trPr>
        <w:tc>
          <w:tcPr>
            <w:tcW w:w="1413" w:type="dxa"/>
            <w:tcBorders>
              <w:top w:val="single" w:sz="4" w:space="0" w:color="auto"/>
              <w:bottom w:val="single" w:sz="4" w:space="0" w:color="auto"/>
            </w:tcBorders>
            <w:noWrap/>
            <w:vAlign w:val="bottom"/>
            <w:hideMark/>
          </w:tcPr>
          <w:p w14:paraId="6BEA2804" w14:textId="77777777" w:rsidR="00823EF1" w:rsidRPr="003010EC" w:rsidRDefault="00823EF1" w:rsidP="00F555C6">
            <w:pPr>
              <w:spacing w:after="0" w:line="240" w:lineRule="auto"/>
              <w:jc w:val="center"/>
              <w:rPr>
                <w:rFonts w:ascii="Times New Roman" w:hAnsi="Times New Roman" w:cs="Times New Roman"/>
                <w:b/>
                <w:bCs/>
              </w:rPr>
            </w:pPr>
            <w:proofErr w:type="spellStart"/>
            <w:r w:rsidRPr="003010EC">
              <w:rPr>
                <w:rFonts w:ascii="Times New Roman" w:hAnsi="Times New Roman" w:cs="Times New Roman"/>
                <w:b/>
                <w:bCs/>
              </w:rPr>
              <w:t>Treatment</w:t>
            </w:r>
            <w:proofErr w:type="spellEnd"/>
          </w:p>
        </w:tc>
        <w:tc>
          <w:tcPr>
            <w:tcW w:w="1989" w:type="dxa"/>
            <w:tcBorders>
              <w:top w:val="single" w:sz="4" w:space="0" w:color="auto"/>
              <w:bottom w:val="single" w:sz="4" w:space="0" w:color="auto"/>
            </w:tcBorders>
            <w:noWrap/>
            <w:vAlign w:val="bottom"/>
            <w:hideMark/>
          </w:tcPr>
          <w:p w14:paraId="110E234F" w14:textId="77777777" w:rsidR="00823EF1" w:rsidRPr="003010EC" w:rsidRDefault="00823EF1" w:rsidP="00F555C6">
            <w:pPr>
              <w:spacing w:after="0" w:line="240" w:lineRule="auto"/>
              <w:jc w:val="center"/>
              <w:rPr>
                <w:rFonts w:ascii="Times New Roman" w:hAnsi="Times New Roman" w:cs="Times New Roman"/>
                <w:b/>
                <w:bCs/>
              </w:rPr>
            </w:pPr>
            <w:r w:rsidRPr="003010EC">
              <w:rPr>
                <w:rFonts w:ascii="Times New Roman" w:hAnsi="Times New Roman" w:cs="Times New Roman"/>
                <w:b/>
                <w:bCs/>
              </w:rPr>
              <w:t xml:space="preserve">Plant </w:t>
            </w:r>
            <w:proofErr w:type="spellStart"/>
            <w:r w:rsidRPr="003010EC">
              <w:rPr>
                <w:rFonts w:ascii="Times New Roman" w:hAnsi="Times New Roman" w:cs="Times New Roman"/>
                <w:b/>
                <w:bCs/>
              </w:rPr>
              <w:t>height</w:t>
            </w:r>
            <w:proofErr w:type="spellEnd"/>
            <w:r w:rsidRPr="003010EC">
              <w:rPr>
                <w:rFonts w:ascii="Times New Roman" w:hAnsi="Times New Roman" w:cs="Times New Roman"/>
                <w:b/>
                <w:bCs/>
              </w:rPr>
              <w:t xml:space="preserve"> (cm)</w:t>
            </w:r>
          </w:p>
        </w:tc>
        <w:tc>
          <w:tcPr>
            <w:tcW w:w="2162" w:type="dxa"/>
            <w:tcBorders>
              <w:top w:val="single" w:sz="4" w:space="0" w:color="auto"/>
              <w:bottom w:val="single" w:sz="4" w:space="0" w:color="auto"/>
            </w:tcBorders>
            <w:noWrap/>
            <w:vAlign w:val="bottom"/>
            <w:hideMark/>
          </w:tcPr>
          <w:p w14:paraId="666D38EE" w14:textId="77777777" w:rsidR="00823EF1" w:rsidRPr="003010EC" w:rsidRDefault="00823EF1" w:rsidP="00F555C6">
            <w:pPr>
              <w:spacing w:after="0" w:line="240" w:lineRule="auto"/>
              <w:jc w:val="center"/>
              <w:rPr>
                <w:rFonts w:ascii="Times New Roman" w:hAnsi="Times New Roman" w:cs="Times New Roman"/>
                <w:b/>
                <w:bCs/>
              </w:rPr>
            </w:pPr>
            <w:r w:rsidRPr="003010EC">
              <w:rPr>
                <w:rFonts w:ascii="Times New Roman" w:hAnsi="Times New Roman" w:cs="Times New Roman"/>
                <w:b/>
                <w:bCs/>
              </w:rPr>
              <w:t xml:space="preserve">Number of </w:t>
            </w:r>
            <w:proofErr w:type="spellStart"/>
            <w:r w:rsidRPr="003010EC">
              <w:rPr>
                <w:rFonts w:ascii="Times New Roman" w:hAnsi="Times New Roman" w:cs="Times New Roman"/>
                <w:b/>
                <w:bCs/>
              </w:rPr>
              <w:t>tillers</w:t>
            </w:r>
            <w:proofErr w:type="spellEnd"/>
          </w:p>
          <w:p w14:paraId="072DFB40" w14:textId="77777777" w:rsidR="00823EF1" w:rsidRPr="003010EC" w:rsidRDefault="00823EF1" w:rsidP="00F555C6">
            <w:pPr>
              <w:spacing w:after="0" w:line="240" w:lineRule="auto"/>
              <w:jc w:val="center"/>
              <w:rPr>
                <w:rFonts w:ascii="Times New Roman" w:hAnsi="Times New Roman" w:cs="Times New Roman"/>
                <w:b/>
                <w:bCs/>
              </w:rPr>
            </w:pPr>
          </w:p>
        </w:tc>
        <w:tc>
          <w:tcPr>
            <w:tcW w:w="1949" w:type="dxa"/>
            <w:tcBorders>
              <w:top w:val="single" w:sz="4" w:space="0" w:color="auto"/>
              <w:bottom w:val="single" w:sz="4" w:space="0" w:color="auto"/>
            </w:tcBorders>
            <w:noWrap/>
            <w:vAlign w:val="bottom"/>
            <w:hideMark/>
          </w:tcPr>
          <w:p w14:paraId="0A0C723D" w14:textId="77777777" w:rsidR="00823EF1" w:rsidRPr="003010EC" w:rsidRDefault="00823EF1" w:rsidP="00F555C6">
            <w:pPr>
              <w:spacing w:after="0" w:line="240" w:lineRule="auto"/>
              <w:jc w:val="center"/>
              <w:rPr>
                <w:rFonts w:ascii="Times New Roman" w:hAnsi="Times New Roman" w:cs="Times New Roman"/>
                <w:b/>
                <w:bCs/>
              </w:rPr>
            </w:pPr>
            <w:r w:rsidRPr="003010EC">
              <w:rPr>
                <w:rFonts w:ascii="Times New Roman" w:hAnsi="Times New Roman" w:cs="Times New Roman"/>
                <w:b/>
                <w:bCs/>
              </w:rPr>
              <w:t>Number of leaves</w:t>
            </w:r>
          </w:p>
        </w:tc>
        <w:tc>
          <w:tcPr>
            <w:tcW w:w="1843" w:type="dxa"/>
            <w:tcBorders>
              <w:top w:val="single" w:sz="4" w:space="0" w:color="auto"/>
              <w:bottom w:val="single" w:sz="4" w:space="0" w:color="auto"/>
            </w:tcBorders>
            <w:noWrap/>
            <w:vAlign w:val="bottom"/>
            <w:hideMark/>
          </w:tcPr>
          <w:p w14:paraId="1A87332D" w14:textId="77777777" w:rsidR="00823EF1" w:rsidRPr="003010EC" w:rsidRDefault="00823EF1" w:rsidP="00F555C6">
            <w:pPr>
              <w:spacing w:after="0" w:line="240" w:lineRule="auto"/>
              <w:jc w:val="center"/>
              <w:rPr>
                <w:rFonts w:ascii="Times New Roman" w:hAnsi="Times New Roman" w:cs="Times New Roman"/>
                <w:b/>
                <w:bCs/>
              </w:rPr>
            </w:pPr>
            <w:r w:rsidRPr="003010EC">
              <w:rPr>
                <w:rFonts w:ascii="Times New Roman" w:hAnsi="Times New Roman" w:cs="Times New Roman"/>
                <w:b/>
                <w:bCs/>
              </w:rPr>
              <w:t>Leaf length (cm)</w:t>
            </w:r>
          </w:p>
        </w:tc>
      </w:tr>
      <w:tr w:rsidR="00823EF1" w:rsidRPr="003010EC" w14:paraId="19F895A0" w14:textId="77777777" w:rsidTr="003010EC">
        <w:trPr>
          <w:trHeight w:val="138"/>
        </w:trPr>
        <w:tc>
          <w:tcPr>
            <w:tcW w:w="1413" w:type="dxa"/>
            <w:tcBorders>
              <w:top w:val="single" w:sz="4" w:space="0" w:color="auto"/>
            </w:tcBorders>
            <w:noWrap/>
            <w:vAlign w:val="bottom"/>
            <w:hideMark/>
          </w:tcPr>
          <w:p w14:paraId="0A0397F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T1</w:t>
            </w:r>
          </w:p>
        </w:tc>
        <w:tc>
          <w:tcPr>
            <w:tcW w:w="1989" w:type="dxa"/>
            <w:tcBorders>
              <w:top w:val="single" w:sz="4" w:space="0" w:color="auto"/>
            </w:tcBorders>
            <w:noWrap/>
            <w:vAlign w:val="bottom"/>
            <w:hideMark/>
          </w:tcPr>
          <w:p w14:paraId="46E964A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19.56±10.23</w:t>
            </w:r>
            <w:r w:rsidRPr="003010EC">
              <w:rPr>
                <w:rFonts w:ascii="Times New Roman" w:hAnsi="Times New Roman" w:cs="Times New Roman"/>
                <w:vertAlign w:val="superscript"/>
              </w:rPr>
              <w:t>a</w:t>
            </w:r>
          </w:p>
        </w:tc>
        <w:tc>
          <w:tcPr>
            <w:tcW w:w="2162" w:type="dxa"/>
            <w:tcBorders>
              <w:top w:val="single" w:sz="4" w:space="0" w:color="auto"/>
            </w:tcBorders>
            <w:noWrap/>
            <w:vAlign w:val="bottom"/>
            <w:hideMark/>
          </w:tcPr>
          <w:p w14:paraId="02C71B8F"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26.47±18.19</w:t>
            </w:r>
            <w:r w:rsidRPr="003010EC">
              <w:rPr>
                <w:rFonts w:ascii="Times New Roman" w:hAnsi="Times New Roman" w:cs="Times New Roman"/>
                <w:vertAlign w:val="superscript"/>
              </w:rPr>
              <w:t>a</w:t>
            </w:r>
          </w:p>
        </w:tc>
        <w:tc>
          <w:tcPr>
            <w:tcW w:w="1949" w:type="dxa"/>
            <w:tcBorders>
              <w:top w:val="single" w:sz="4" w:space="0" w:color="auto"/>
            </w:tcBorders>
            <w:noWrap/>
            <w:vAlign w:val="bottom"/>
            <w:hideMark/>
          </w:tcPr>
          <w:p w14:paraId="2B78FBF7"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100.98±84.39a</w:t>
            </w:r>
          </w:p>
        </w:tc>
        <w:tc>
          <w:tcPr>
            <w:tcW w:w="1843" w:type="dxa"/>
            <w:tcBorders>
              <w:top w:val="single" w:sz="4" w:space="0" w:color="auto"/>
            </w:tcBorders>
            <w:noWrap/>
            <w:vAlign w:val="bottom"/>
            <w:hideMark/>
          </w:tcPr>
          <w:p w14:paraId="5B67035B"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11.94±6.33a</w:t>
            </w:r>
          </w:p>
        </w:tc>
      </w:tr>
      <w:tr w:rsidR="00823EF1" w:rsidRPr="003010EC" w14:paraId="48E6074D" w14:textId="77777777" w:rsidTr="003010EC">
        <w:trPr>
          <w:trHeight w:val="142"/>
        </w:trPr>
        <w:tc>
          <w:tcPr>
            <w:tcW w:w="1413" w:type="dxa"/>
            <w:noWrap/>
            <w:vAlign w:val="bottom"/>
            <w:hideMark/>
          </w:tcPr>
          <w:p w14:paraId="7090CD40"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T2</w:t>
            </w:r>
          </w:p>
        </w:tc>
        <w:tc>
          <w:tcPr>
            <w:tcW w:w="1989" w:type="dxa"/>
            <w:noWrap/>
            <w:vAlign w:val="bottom"/>
            <w:hideMark/>
          </w:tcPr>
          <w:p w14:paraId="7E1EFDF1"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16.14±9.20</w:t>
            </w:r>
            <w:r w:rsidRPr="003010EC">
              <w:rPr>
                <w:rFonts w:ascii="Times New Roman" w:hAnsi="Times New Roman" w:cs="Times New Roman"/>
                <w:vertAlign w:val="superscript"/>
              </w:rPr>
              <w:t>b</w:t>
            </w:r>
          </w:p>
        </w:tc>
        <w:tc>
          <w:tcPr>
            <w:tcW w:w="2162" w:type="dxa"/>
            <w:noWrap/>
            <w:vAlign w:val="bottom"/>
            <w:hideMark/>
          </w:tcPr>
          <w:p w14:paraId="060103C3"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22±17.87</w:t>
            </w:r>
            <w:r w:rsidRPr="003010EC">
              <w:rPr>
                <w:rFonts w:ascii="Times New Roman" w:hAnsi="Times New Roman" w:cs="Times New Roman"/>
                <w:vertAlign w:val="superscript"/>
              </w:rPr>
              <w:t>b</w:t>
            </w:r>
          </w:p>
        </w:tc>
        <w:tc>
          <w:tcPr>
            <w:tcW w:w="1949" w:type="dxa"/>
            <w:noWrap/>
            <w:vAlign w:val="bottom"/>
            <w:hideMark/>
          </w:tcPr>
          <w:p w14:paraId="6FF9F108"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68.05±66.76</w:t>
            </w:r>
            <w:r w:rsidRPr="003010EC">
              <w:rPr>
                <w:rFonts w:ascii="Times New Roman" w:hAnsi="Times New Roman" w:cs="Times New Roman"/>
                <w:vertAlign w:val="superscript"/>
              </w:rPr>
              <w:t>bc</w:t>
            </w:r>
          </w:p>
        </w:tc>
        <w:tc>
          <w:tcPr>
            <w:tcW w:w="1843" w:type="dxa"/>
            <w:noWrap/>
            <w:vAlign w:val="bottom"/>
            <w:hideMark/>
          </w:tcPr>
          <w:p w14:paraId="62A0ABA7"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8.92±5.75</w:t>
            </w:r>
            <w:r w:rsidRPr="003010EC">
              <w:rPr>
                <w:rFonts w:ascii="Times New Roman" w:hAnsi="Times New Roman" w:cs="Times New Roman"/>
                <w:vertAlign w:val="superscript"/>
              </w:rPr>
              <w:t>cd</w:t>
            </w:r>
          </w:p>
        </w:tc>
      </w:tr>
      <w:tr w:rsidR="00823EF1" w:rsidRPr="003010EC" w14:paraId="00DD8BE1" w14:textId="77777777" w:rsidTr="003010EC">
        <w:trPr>
          <w:trHeight w:val="53"/>
        </w:trPr>
        <w:tc>
          <w:tcPr>
            <w:tcW w:w="1413" w:type="dxa"/>
            <w:noWrap/>
            <w:vAlign w:val="bottom"/>
            <w:hideMark/>
          </w:tcPr>
          <w:p w14:paraId="3BB2E273"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T3</w:t>
            </w:r>
          </w:p>
        </w:tc>
        <w:tc>
          <w:tcPr>
            <w:tcW w:w="1989" w:type="dxa"/>
            <w:noWrap/>
            <w:vAlign w:val="bottom"/>
            <w:hideMark/>
          </w:tcPr>
          <w:p w14:paraId="58A62892"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15.89±10.76</w:t>
            </w:r>
            <w:r w:rsidRPr="003010EC">
              <w:rPr>
                <w:rFonts w:ascii="Times New Roman" w:hAnsi="Times New Roman" w:cs="Times New Roman"/>
                <w:vertAlign w:val="superscript"/>
              </w:rPr>
              <w:t>bc</w:t>
            </w:r>
          </w:p>
        </w:tc>
        <w:tc>
          <w:tcPr>
            <w:tcW w:w="2162" w:type="dxa"/>
            <w:noWrap/>
            <w:vAlign w:val="bottom"/>
            <w:hideMark/>
          </w:tcPr>
          <w:p w14:paraId="796F5E39"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14.40±13.37</w:t>
            </w:r>
            <w:r w:rsidRPr="003010EC">
              <w:rPr>
                <w:rFonts w:ascii="Times New Roman" w:hAnsi="Times New Roman" w:cs="Times New Roman"/>
                <w:vertAlign w:val="superscript"/>
              </w:rPr>
              <w:t>c</w:t>
            </w:r>
          </w:p>
        </w:tc>
        <w:tc>
          <w:tcPr>
            <w:tcW w:w="1949" w:type="dxa"/>
            <w:noWrap/>
            <w:vAlign w:val="bottom"/>
            <w:hideMark/>
          </w:tcPr>
          <w:p w14:paraId="407EB435"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48.28±46.44</w:t>
            </w:r>
            <w:r w:rsidRPr="003010EC">
              <w:rPr>
                <w:rFonts w:ascii="Times New Roman" w:hAnsi="Times New Roman" w:cs="Times New Roman"/>
                <w:vertAlign w:val="superscript"/>
              </w:rPr>
              <w:t>d</w:t>
            </w:r>
          </w:p>
        </w:tc>
        <w:tc>
          <w:tcPr>
            <w:tcW w:w="1843" w:type="dxa"/>
            <w:noWrap/>
            <w:vAlign w:val="bottom"/>
            <w:hideMark/>
          </w:tcPr>
          <w:p w14:paraId="57D426B3"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8.91±5.82</w:t>
            </w:r>
            <w:r w:rsidRPr="003010EC">
              <w:rPr>
                <w:rFonts w:ascii="Times New Roman" w:hAnsi="Times New Roman" w:cs="Times New Roman"/>
                <w:vertAlign w:val="superscript"/>
              </w:rPr>
              <w:t>cd</w:t>
            </w:r>
          </w:p>
        </w:tc>
      </w:tr>
      <w:tr w:rsidR="00823EF1" w:rsidRPr="003010EC" w14:paraId="0EA399F6" w14:textId="77777777" w:rsidTr="003010EC">
        <w:trPr>
          <w:trHeight w:val="278"/>
        </w:trPr>
        <w:tc>
          <w:tcPr>
            <w:tcW w:w="1413" w:type="dxa"/>
            <w:noWrap/>
            <w:vAlign w:val="bottom"/>
            <w:hideMark/>
          </w:tcPr>
          <w:p w14:paraId="4E4BEAF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T4</w:t>
            </w:r>
          </w:p>
        </w:tc>
        <w:tc>
          <w:tcPr>
            <w:tcW w:w="1989" w:type="dxa"/>
            <w:noWrap/>
            <w:vAlign w:val="bottom"/>
            <w:hideMark/>
          </w:tcPr>
          <w:p w14:paraId="5181D05C"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18.22±9.43</w:t>
            </w:r>
            <w:r w:rsidRPr="003010EC">
              <w:rPr>
                <w:rFonts w:ascii="Times New Roman" w:hAnsi="Times New Roman" w:cs="Times New Roman"/>
                <w:vertAlign w:val="superscript"/>
              </w:rPr>
              <w:t>ab</w:t>
            </w:r>
          </w:p>
        </w:tc>
        <w:tc>
          <w:tcPr>
            <w:tcW w:w="2162" w:type="dxa"/>
            <w:noWrap/>
            <w:vAlign w:val="bottom"/>
            <w:hideMark/>
          </w:tcPr>
          <w:p w14:paraId="7C233B6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26.40±20.33</w:t>
            </w:r>
            <w:r w:rsidRPr="003010EC">
              <w:rPr>
                <w:rFonts w:ascii="Times New Roman" w:hAnsi="Times New Roman" w:cs="Times New Roman"/>
                <w:vertAlign w:val="superscript"/>
              </w:rPr>
              <w:t>a</w:t>
            </w:r>
          </w:p>
        </w:tc>
        <w:tc>
          <w:tcPr>
            <w:tcW w:w="1949" w:type="dxa"/>
            <w:noWrap/>
            <w:vAlign w:val="bottom"/>
            <w:hideMark/>
          </w:tcPr>
          <w:p w14:paraId="6EABB4EA"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99.99±83.24</w:t>
            </w:r>
            <w:r w:rsidRPr="003010EC">
              <w:rPr>
                <w:rFonts w:ascii="Times New Roman" w:hAnsi="Times New Roman" w:cs="Times New Roman"/>
                <w:vertAlign w:val="superscript"/>
              </w:rPr>
              <w:t>a</w:t>
            </w:r>
          </w:p>
        </w:tc>
        <w:tc>
          <w:tcPr>
            <w:tcW w:w="1843" w:type="dxa"/>
            <w:noWrap/>
            <w:vAlign w:val="bottom"/>
            <w:hideMark/>
          </w:tcPr>
          <w:p w14:paraId="4C4859A3"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10.92±8.87</w:t>
            </w:r>
            <w:r w:rsidRPr="003010EC">
              <w:rPr>
                <w:rFonts w:ascii="Times New Roman" w:hAnsi="Times New Roman" w:cs="Times New Roman"/>
                <w:vertAlign w:val="superscript"/>
              </w:rPr>
              <w:t>ab</w:t>
            </w:r>
          </w:p>
        </w:tc>
      </w:tr>
      <w:tr w:rsidR="00823EF1" w:rsidRPr="003010EC" w14:paraId="4D99A14A" w14:textId="77777777" w:rsidTr="003010EC">
        <w:trPr>
          <w:trHeight w:val="268"/>
        </w:trPr>
        <w:tc>
          <w:tcPr>
            <w:tcW w:w="1413" w:type="dxa"/>
            <w:noWrap/>
            <w:vAlign w:val="bottom"/>
            <w:hideMark/>
          </w:tcPr>
          <w:p w14:paraId="35561A61"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T5</w:t>
            </w:r>
          </w:p>
        </w:tc>
        <w:tc>
          <w:tcPr>
            <w:tcW w:w="1989" w:type="dxa"/>
            <w:noWrap/>
            <w:vAlign w:val="bottom"/>
            <w:hideMark/>
          </w:tcPr>
          <w:p w14:paraId="433ED4E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16.57±8.22</w:t>
            </w:r>
            <w:r w:rsidRPr="003010EC">
              <w:rPr>
                <w:rFonts w:ascii="Times New Roman" w:hAnsi="Times New Roman" w:cs="Times New Roman"/>
                <w:vertAlign w:val="superscript"/>
              </w:rPr>
              <w:t>b</w:t>
            </w:r>
          </w:p>
        </w:tc>
        <w:tc>
          <w:tcPr>
            <w:tcW w:w="2162" w:type="dxa"/>
            <w:noWrap/>
            <w:vAlign w:val="bottom"/>
            <w:hideMark/>
          </w:tcPr>
          <w:p w14:paraId="5C7B7232"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18.67±10.43</w:t>
            </w:r>
            <w:r w:rsidRPr="003010EC">
              <w:rPr>
                <w:rFonts w:ascii="Times New Roman" w:hAnsi="Times New Roman" w:cs="Times New Roman"/>
                <w:vertAlign w:val="superscript"/>
              </w:rPr>
              <w:t>bc</w:t>
            </w:r>
          </w:p>
        </w:tc>
        <w:tc>
          <w:tcPr>
            <w:tcW w:w="1949" w:type="dxa"/>
            <w:noWrap/>
            <w:vAlign w:val="bottom"/>
            <w:hideMark/>
          </w:tcPr>
          <w:p w14:paraId="06D8C9C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77.36±45.56</w:t>
            </w:r>
            <w:r w:rsidRPr="003010EC">
              <w:rPr>
                <w:rFonts w:ascii="Times New Roman" w:hAnsi="Times New Roman" w:cs="Times New Roman"/>
                <w:vertAlign w:val="superscript"/>
              </w:rPr>
              <w:t>b</w:t>
            </w:r>
          </w:p>
        </w:tc>
        <w:tc>
          <w:tcPr>
            <w:tcW w:w="1843" w:type="dxa"/>
            <w:noWrap/>
            <w:vAlign w:val="bottom"/>
            <w:hideMark/>
          </w:tcPr>
          <w:p w14:paraId="45C2649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9.67±4.77</w:t>
            </w:r>
            <w:r w:rsidRPr="003010EC">
              <w:rPr>
                <w:rFonts w:ascii="Times New Roman" w:hAnsi="Times New Roman" w:cs="Times New Roman"/>
                <w:vertAlign w:val="superscript"/>
              </w:rPr>
              <w:t>bcd</w:t>
            </w:r>
          </w:p>
        </w:tc>
      </w:tr>
      <w:tr w:rsidR="00823EF1" w:rsidRPr="003010EC" w14:paraId="73B0CDCE" w14:textId="77777777" w:rsidTr="003010EC">
        <w:trPr>
          <w:trHeight w:val="258"/>
        </w:trPr>
        <w:tc>
          <w:tcPr>
            <w:tcW w:w="1413" w:type="dxa"/>
            <w:noWrap/>
            <w:vAlign w:val="bottom"/>
            <w:hideMark/>
          </w:tcPr>
          <w:p w14:paraId="19CD62B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T6</w:t>
            </w:r>
          </w:p>
        </w:tc>
        <w:tc>
          <w:tcPr>
            <w:tcW w:w="1989" w:type="dxa"/>
            <w:noWrap/>
            <w:vAlign w:val="bottom"/>
            <w:hideMark/>
          </w:tcPr>
          <w:p w14:paraId="775096E3"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12.9±7.23</w:t>
            </w:r>
            <w:r w:rsidRPr="003010EC">
              <w:rPr>
                <w:rFonts w:ascii="Times New Roman" w:hAnsi="Times New Roman" w:cs="Times New Roman"/>
                <w:vertAlign w:val="superscript"/>
              </w:rPr>
              <w:t>c</w:t>
            </w:r>
          </w:p>
        </w:tc>
        <w:tc>
          <w:tcPr>
            <w:tcW w:w="2162" w:type="dxa"/>
            <w:noWrap/>
            <w:vAlign w:val="bottom"/>
            <w:hideMark/>
          </w:tcPr>
          <w:p w14:paraId="69B97A33"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15.58±10.90</w:t>
            </w:r>
            <w:r w:rsidRPr="003010EC">
              <w:rPr>
                <w:rFonts w:ascii="Times New Roman" w:hAnsi="Times New Roman" w:cs="Times New Roman"/>
                <w:vertAlign w:val="superscript"/>
              </w:rPr>
              <w:t>c</w:t>
            </w:r>
          </w:p>
        </w:tc>
        <w:tc>
          <w:tcPr>
            <w:tcW w:w="1949" w:type="dxa"/>
            <w:noWrap/>
            <w:vAlign w:val="bottom"/>
            <w:hideMark/>
          </w:tcPr>
          <w:p w14:paraId="0B91DA8F"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51.04±39.94</w:t>
            </w:r>
            <w:r w:rsidRPr="003010EC">
              <w:rPr>
                <w:rFonts w:ascii="Times New Roman" w:hAnsi="Times New Roman" w:cs="Times New Roman"/>
                <w:vertAlign w:val="superscript"/>
              </w:rPr>
              <w:t>cd</w:t>
            </w:r>
          </w:p>
        </w:tc>
        <w:tc>
          <w:tcPr>
            <w:tcW w:w="1843" w:type="dxa"/>
            <w:noWrap/>
            <w:vAlign w:val="bottom"/>
            <w:hideMark/>
          </w:tcPr>
          <w:p w14:paraId="757A663B"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8.92±9.40</w:t>
            </w:r>
            <w:r w:rsidRPr="003010EC">
              <w:rPr>
                <w:rFonts w:ascii="Times New Roman" w:hAnsi="Times New Roman" w:cs="Times New Roman"/>
                <w:vertAlign w:val="superscript"/>
              </w:rPr>
              <w:t>d</w:t>
            </w:r>
          </w:p>
        </w:tc>
      </w:tr>
      <w:tr w:rsidR="00823EF1" w:rsidRPr="003010EC" w14:paraId="4F9D4E52" w14:textId="77777777" w:rsidTr="003010EC">
        <w:trPr>
          <w:trHeight w:val="134"/>
        </w:trPr>
        <w:tc>
          <w:tcPr>
            <w:tcW w:w="1413" w:type="dxa"/>
            <w:noWrap/>
            <w:vAlign w:val="bottom"/>
            <w:hideMark/>
          </w:tcPr>
          <w:p w14:paraId="60D4591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T7</w:t>
            </w:r>
          </w:p>
        </w:tc>
        <w:tc>
          <w:tcPr>
            <w:tcW w:w="1989" w:type="dxa"/>
            <w:noWrap/>
            <w:vAlign w:val="bottom"/>
            <w:hideMark/>
          </w:tcPr>
          <w:p w14:paraId="4D6A8792"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17.96±8.21</w:t>
            </w:r>
            <w:r w:rsidRPr="003010EC">
              <w:rPr>
                <w:rFonts w:ascii="Times New Roman" w:hAnsi="Times New Roman" w:cs="Times New Roman"/>
                <w:vertAlign w:val="superscript"/>
              </w:rPr>
              <w:t>ab</w:t>
            </w:r>
          </w:p>
        </w:tc>
        <w:tc>
          <w:tcPr>
            <w:tcW w:w="2162" w:type="dxa"/>
            <w:noWrap/>
            <w:vAlign w:val="bottom"/>
            <w:hideMark/>
          </w:tcPr>
          <w:p w14:paraId="0ADFB912"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17.87±12.14</w:t>
            </w:r>
            <w:r w:rsidRPr="003010EC">
              <w:rPr>
                <w:rFonts w:ascii="Times New Roman" w:hAnsi="Times New Roman" w:cs="Times New Roman"/>
                <w:vertAlign w:val="superscript"/>
              </w:rPr>
              <w:t>bc</w:t>
            </w:r>
          </w:p>
        </w:tc>
        <w:tc>
          <w:tcPr>
            <w:tcW w:w="1949" w:type="dxa"/>
            <w:noWrap/>
            <w:vAlign w:val="bottom"/>
            <w:hideMark/>
          </w:tcPr>
          <w:p w14:paraId="43CB9086"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71.72±55.34</w:t>
            </w:r>
            <w:r w:rsidRPr="003010EC">
              <w:rPr>
                <w:rFonts w:ascii="Times New Roman" w:hAnsi="Times New Roman" w:cs="Times New Roman"/>
                <w:vertAlign w:val="superscript"/>
              </w:rPr>
              <w:t>b</w:t>
            </w:r>
          </w:p>
        </w:tc>
        <w:tc>
          <w:tcPr>
            <w:tcW w:w="1843" w:type="dxa"/>
            <w:noWrap/>
            <w:vAlign w:val="bottom"/>
            <w:hideMark/>
          </w:tcPr>
          <w:p w14:paraId="73744C3A"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10.53±5.11</w:t>
            </w:r>
            <w:r w:rsidRPr="003010EC">
              <w:rPr>
                <w:rFonts w:ascii="Times New Roman" w:hAnsi="Times New Roman" w:cs="Times New Roman"/>
                <w:vertAlign w:val="superscript"/>
              </w:rPr>
              <w:t>abc</w:t>
            </w:r>
          </w:p>
        </w:tc>
      </w:tr>
      <w:tr w:rsidR="00823EF1" w:rsidRPr="003010EC" w14:paraId="31DF3927" w14:textId="77777777" w:rsidTr="003010EC">
        <w:trPr>
          <w:trHeight w:val="124"/>
        </w:trPr>
        <w:tc>
          <w:tcPr>
            <w:tcW w:w="1413" w:type="dxa"/>
            <w:noWrap/>
            <w:vAlign w:val="bottom"/>
            <w:hideMark/>
          </w:tcPr>
          <w:p w14:paraId="60D2865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T8</w:t>
            </w:r>
          </w:p>
        </w:tc>
        <w:tc>
          <w:tcPr>
            <w:tcW w:w="1989" w:type="dxa"/>
            <w:noWrap/>
            <w:vAlign w:val="bottom"/>
            <w:hideMark/>
          </w:tcPr>
          <w:p w14:paraId="0779912E"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19.1±9.94</w:t>
            </w:r>
            <w:r w:rsidRPr="003010EC">
              <w:rPr>
                <w:rFonts w:ascii="Times New Roman" w:hAnsi="Times New Roman" w:cs="Times New Roman"/>
                <w:vertAlign w:val="superscript"/>
              </w:rPr>
              <w:t>a</w:t>
            </w:r>
          </w:p>
        </w:tc>
        <w:tc>
          <w:tcPr>
            <w:tcW w:w="2162" w:type="dxa"/>
            <w:noWrap/>
            <w:vAlign w:val="bottom"/>
            <w:hideMark/>
          </w:tcPr>
          <w:p w14:paraId="5DC33AB2"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18.25±12.84</w:t>
            </w:r>
            <w:r w:rsidRPr="003010EC">
              <w:rPr>
                <w:rFonts w:ascii="Times New Roman" w:hAnsi="Times New Roman" w:cs="Times New Roman"/>
                <w:vertAlign w:val="superscript"/>
              </w:rPr>
              <w:t>bc</w:t>
            </w:r>
          </w:p>
        </w:tc>
        <w:tc>
          <w:tcPr>
            <w:tcW w:w="1949" w:type="dxa"/>
            <w:noWrap/>
            <w:vAlign w:val="bottom"/>
            <w:hideMark/>
          </w:tcPr>
          <w:p w14:paraId="25AFA638"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64.99±47.08</w:t>
            </w:r>
            <w:r w:rsidRPr="003010EC">
              <w:rPr>
                <w:rFonts w:ascii="Times New Roman" w:hAnsi="Times New Roman" w:cs="Times New Roman"/>
                <w:vertAlign w:val="superscript"/>
              </w:rPr>
              <w:t>bcd</w:t>
            </w:r>
          </w:p>
        </w:tc>
        <w:tc>
          <w:tcPr>
            <w:tcW w:w="1843" w:type="dxa"/>
            <w:noWrap/>
            <w:vAlign w:val="bottom"/>
            <w:hideMark/>
          </w:tcPr>
          <w:p w14:paraId="5E8866DE"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11.22±5.40</w:t>
            </w:r>
            <w:r w:rsidRPr="003010EC">
              <w:rPr>
                <w:rFonts w:ascii="Times New Roman" w:hAnsi="Times New Roman" w:cs="Times New Roman"/>
                <w:vertAlign w:val="superscript"/>
              </w:rPr>
              <w:t>ab</w:t>
            </w:r>
          </w:p>
        </w:tc>
      </w:tr>
      <w:tr w:rsidR="00823EF1" w:rsidRPr="003010EC" w14:paraId="5867CA8E" w14:textId="77777777" w:rsidTr="003010EC">
        <w:trPr>
          <w:trHeight w:val="114"/>
        </w:trPr>
        <w:tc>
          <w:tcPr>
            <w:tcW w:w="1413" w:type="dxa"/>
            <w:noWrap/>
            <w:vAlign w:val="bottom"/>
            <w:hideMark/>
          </w:tcPr>
          <w:p w14:paraId="5BA05339"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Significance</w:t>
            </w:r>
          </w:p>
        </w:tc>
        <w:tc>
          <w:tcPr>
            <w:tcW w:w="1989" w:type="dxa"/>
            <w:noWrap/>
            <w:vAlign w:val="bottom"/>
            <w:hideMark/>
          </w:tcPr>
          <w:p w14:paraId="30A5AB8B"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THS</w:t>
            </w:r>
          </w:p>
        </w:tc>
        <w:tc>
          <w:tcPr>
            <w:tcW w:w="2162" w:type="dxa"/>
            <w:noWrap/>
            <w:vAlign w:val="bottom"/>
            <w:hideMark/>
          </w:tcPr>
          <w:p w14:paraId="5EB2B44F"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THS</w:t>
            </w:r>
          </w:p>
        </w:tc>
        <w:tc>
          <w:tcPr>
            <w:tcW w:w="1949" w:type="dxa"/>
            <w:noWrap/>
            <w:vAlign w:val="bottom"/>
            <w:hideMark/>
          </w:tcPr>
          <w:p w14:paraId="08BC191D"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THS</w:t>
            </w:r>
          </w:p>
        </w:tc>
        <w:tc>
          <w:tcPr>
            <w:tcW w:w="1843" w:type="dxa"/>
            <w:noWrap/>
            <w:vAlign w:val="bottom"/>
            <w:hideMark/>
          </w:tcPr>
          <w:p w14:paraId="331C1BEB"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THS</w:t>
            </w:r>
          </w:p>
        </w:tc>
      </w:tr>
      <w:tr w:rsidR="00823EF1" w:rsidRPr="003010EC" w14:paraId="45C4E0E2" w14:textId="77777777" w:rsidTr="003010EC">
        <w:trPr>
          <w:trHeight w:val="118"/>
        </w:trPr>
        <w:tc>
          <w:tcPr>
            <w:tcW w:w="1413" w:type="dxa"/>
            <w:tcBorders>
              <w:bottom w:val="single" w:sz="4" w:space="0" w:color="auto"/>
            </w:tcBorders>
            <w:noWrap/>
            <w:vAlign w:val="bottom"/>
            <w:hideMark/>
          </w:tcPr>
          <w:p w14:paraId="20D28EAB" w14:textId="77777777" w:rsidR="00823EF1" w:rsidRPr="003010EC" w:rsidRDefault="00823EF1" w:rsidP="00F555C6">
            <w:pPr>
              <w:spacing w:after="0" w:line="240" w:lineRule="auto"/>
              <w:jc w:val="center"/>
              <w:rPr>
                <w:rFonts w:ascii="Times New Roman" w:hAnsi="Times New Roman" w:cs="Times New Roman"/>
              </w:rPr>
            </w:pPr>
            <w:r w:rsidRPr="003010EC">
              <w:rPr>
                <w:rFonts w:ascii="Times New Roman" w:hAnsi="Times New Roman" w:cs="Times New Roman"/>
              </w:rPr>
              <w:t>Probability</w:t>
            </w:r>
          </w:p>
        </w:tc>
        <w:tc>
          <w:tcPr>
            <w:tcW w:w="1989" w:type="dxa"/>
            <w:tcBorders>
              <w:bottom w:val="single" w:sz="4" w:space="0" w:color="auto"/>
            </w:tcBorders>
            <w:noWrap/>
            <w:vAlign w:val="bottom"/>
            <w:hideMark/>
          </w:tcPr>
          <w:p w14:paraId="48B7EADF" w14:textId="77777777" w:rsidR="00823EF1" w:rsidRPr="003010EC" w:rsidRDefault="004E5FDB" w:rsidP="00F555C6">
            <w:pPr>
              <w:spacing w:after="0" w:line="240" w:lineRule="auto"/>
              <w:jc w:val="center"/>
              <w:rPr>
                <w:rFonts w:ascii="Times New Roman" w:hAnsi="Times New Roman" w:cs="Times New Roman"/>
              </w:rPr>
            </w:pPr>
            <w:r>
              <w:rPr>
                <w:rFonts w:ascii="Times New Roman" w:hAnsi="Times New Roman" w:cs="Times New Roman"/>
                <w:lang w:val="en-US"/>
              </w:rPr>
              <w:t>≤ 0.001</w:t>
            </w:r>
          </w:p>
        </w:tc>
        <w:tc>
          <w:tcPr>
            <w:tcW w:w="2162" w:type="dxa"/>
            <w:tcBorders>
              <w:bottom w:val="single" w:sz="4" w:space="0" w:color="auto"/>
            </w:tcBorders>
            <w:noWrap/>
            <w:vAlign w:val="bottom"/>
            <w:hideMark/>
          </w:tcPr>
          <w:p w14:paraId="52BA420E" w14:textId="77777777" w:rsidR="00823EF1" w:rsidRPr="003010EC" w:rsidRDefault="004E5FDB" w:rsidP="00F555C6">
            <w:pPr>
              <w:spacing w:after="0" w:line="240" w:lineRule="auto"/>
              <w:jc w:val="center"/>
              <w:rPr>
                <w:rFonts w:ascii="Times New Roman" w:hAnsi="Times New Roman" w:cs="Times New Roman"/>
              </w:rPr>
            </w:pPr>
            <w:r>
              <w:rPr>
                <w:rFonts w:ascii="Times New Roman" w:hAnsi="Times New Roman" w:cs="Times New Roman"/>
                <w:lang w:val="en-US"/>
              </w:rPr>
              <w:t xml:space="preserve"> ≤ 0.001</w:t>
            </w:r>
          </w:p>
        </w:tc>
        <w:tc>
          <w:tcPr>
            <w:tcW w:w="1949" w:type="dxa"/>
            <w:tcBorders>
              <w:bottom w:val="single" w:sz="4" w:space="0" w:color="auto"/>
            </w:tcBorders>
            <w:noWrap/>
            <w:vAlign w:val="bottom"/>
            <w:hideMark/>
          </w:tcPr>
          <w:p w14:paraId="4E84F325" w14:textId="77777777" w:rsidR="00823EF1" w:rsidRPr="003010EC" w:rsidRDefault="004E5FDB" w:rsidP="00F555C6">
            <w:pPr>
              <w:spacing w:after="0" w:line="240" w:lineRule="auto"/>
              <w:jc w:val="center"/>
              <w:rPr>
                <w:rFonts w:ascii="Times New Roman" w:hAnsi="Times New Roman" w:cs="Times New Roman"/>
              </w:rPr>
            </w:pPr>
            <w:r>
              <w:rPr>
                <w:rFonts w:ascii="Times New Roman" w:hAnsi="Times New Roman" w:cs="Times New Roman"/>
                <w:lang w:val="en-US"/>
              </w:rPr>
              <w:t>≤ 0.001</w:t>
            </w:r>
          </w:p>
        </w:tc>
        <w:tc>
          <w:tcPr>
            <w:tcW w:w="1843" w:type="dxa"/>
            <w:tcBorders>
              <w:bottom w:val="single" w:sz="4" w:space="0" w:color="auto"/>
            </w:tcBorders>
            <w:noWrap/>
            <w:vAlign w:val="bottom"/>
            <w:hideMark/>
          </w:tcPr>
          <w:p w14:paraId="5D70A709" w14:textId="77777777" w:rsidR="00823EF1" w:rsidRPr="003010EC" w:rsidRDefault="004E5FDB" w:rsidP="00F555C6">
            <w:pPr>
              <w:spacing w:after="0" w:line="240" w:lineRule="auto"/>
              <w:jc w:val="center"/>
              <w:rPr>
                <w:rFonts w:ascii="Times New Roman" w:hAnsi="Times New Roman" w:cs="Times New Roman"/>
              </w:rPr>
            </w:pPr>
            <w:r>
              <w:rPr>
                <w:rFonts w:ascii="Times New Roman" w:hAnsi="Times New Roman" w:cs="Times New Roman"/>
                <w:lang w:val="en-US"/>
              </w:rPr>
              <w:t>≤ 0.001</w:t>
            </w:r>
          </w:p>
        </w:tc>
      </w:tr>
    </w:tbl>
    <w:p w14:paraId="2CF4050F" w14:textId="77777777" w:rsidR="00823EF1" w:rsidRPr="004E5FDB" w:rsidRDefault="000403D1" w:rsidP="00F555C6">
      <w:pPr>
        <w:spacing w:after="0" w:line="240" w:lineRule="auto"/>
        <w:jc w:val="both"/>
        <w:rPr>
          <w:rFonts w:ascii="Times New Roman" w:hAnsi="Times New Roman" w:cs="Times New Roman"/>
          <w:sz w:val="20"/>
          <w:szCs w:val="20"/>
          <w:lang w:val="en-US"/>
        </w:rPr>
      </w:pPr>
      <w:proofErr w:type="spellStart"/>
      <w:r w:rsidRPr="004E5FDB">
        <w:rPr>
          <w:rFonts w:ascii="Times New Roman" w:hAnsi="Times New Roman" w:cs="Times New Roman"/>
          <w:sz w:val="20"/>
          <w:szCs w:val="20"/>
          <w:lang w:val="en-US"/>
        </w:rPr>
        <w:t>a</w:t>
      </w:r>
      <w:r w:rsidR="00823EF1" w:rsidRPr="004E5FDB">
        <w:rPr>
          <w:rFonts w:ascii="Times New Roman" w:hAnsi="Times New Roman" w:cs="Times New Roman"/>
          <w:sz w:val="20"/>
          <w:szCs w:val="20"/>
          <w:lang w:val="en-US"/>
        </w:rPr>
        <w:t>bc</w:t>
      </w:r>
      <w:proofErr w:type="spellEnd"/>
      <w:r w:rsidR="00823EF1" w:rsidRPr="004E5FDB">
        <w:rPr>
          <w:rFonts w:ascii="Times New Roman" w:hAnsi="Times New Roman" w:cs="Times New Roman"/>
          <w:sz w:val="20"/>
          <w:szCs w:val="20"/>
          <w:lang w:val="en-US"/>
        </w:rPr>
        <w:t>: Within a column, different letters indicate a significant difference at p&lt;0.05. THS: very highly significant; T1 = fertilizer + 30 days before cutting + 30 cm between plants; T2 = fertilizer + 30 days before cutting + 40 cm between plants; T3 = fertilizer + 45 days before cutting + 30 cm between plants; T4 = fertilizer + 45 days before cutting + 40 cm between plants; T5 = no fertilizer + 30 days before cutting + 30 cm between plants; T6 = no fertilizer + 30 days before cutting + 40 cm between plants; T7 = no fertilizer + 45 days before cutting + 30 cm between plants; T8 = no fertilizer + 45 days before cutting + 40 cm between plants.</w:t>
      </w:r>
    </w:p>
    <w:p w14:paraId="2872EAD1" w14:textId="77777777" w:rsidR="004E5FDB" w:rsidRDefault="004E5FDB" w:rsidP="00F555C6">
      <w:pPr>
        <w:spacing w:after="0" w:line="240" w:lineRule="auto"/>
        <w:jc w:val="both"/>
        <w:rPr>
          <w:rFonts w:ascii="Times New Roman" w:hAnsi="Times New Roman" w:cs="Times New Roman"/>
          <w:lang w:val="en-US"/>
        </w:rPr>
      </w:pPr>
    </w:p>
    <w:p w14:paraId="5BA709A6" w14:textId="77777777" w:rsidR="00823EF1"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Table III shows the growth trends of </w:t>
      </w:r>
      <w:r>
        <w:rPr>
          <w:rFonts w:ascii="Times New Roman" w:hAnsi="Times New Roman" w:cs="Times New Roman"/>
          <w:i/>
          <w:iCs/>
          <w:lang w:val="en-US"/>
        </w:rPr>
        <w:t>Eleusine indica</w:t>
      </w:r>
      <w:r>
        <w:rPr>
          <w:rFonts w:ascii="Times New Roman" w:hAnsi="Times New Roman" w:cs="Times New Roman"/>
          <w:lang w:val="en-US"/>
        </w:rPr>
        <w:t xml:space="preserve"> as a function of </w:t>
      </w:r>
      <w:r>
        <w:rPr>
          <w:rFonts w:ascii="Times New Roman" w:hAnsi="Times New Roman" w:cs="Times New Roman"/>
          <w:highlight w:val="yellow"/>
          <w:lang w:val="en-US"/>
        </w:rPr>
        <w:t>fertilisation</w:t>
      </w:r>
      <w:r>
        <w:rPr>
          <w:rFonts w:ascii="Times New Roman" w:hAnsi="Times New Roman" w:cs="Times New Roman"/>
          <w:lang w:val="en-US"/>
        </w:rPr>
        <w:t xml:space="preserve">. Analysis of variance indicates no significant difference between </w:t>
      </w:r>
      <w:r>
        <w:rPr>
          <w:rFonts w:ascii="Times New Roman" w:hAnsi="Times New Roman" w:cs="Times New Roman"/>
          <w:highlight w:val="yellow"/>
          <w:lang w:val="en-US"/>
        </w:rPr>
        <w:t>fertilised</w:t>
      </w:r>
      <w:r>
        <w:rPr>
          <w:rFonts w:ascii="Times New Roman" w:hAnsi="Times New Roman" w:cs="Times New Roman"/>
          <w:lang w:val="en-US"/>
        </w:rPr>
        <w:t xml:space="preserve"> and </w:t>
      </w:r>
      <w:r>
        <w:rPr>
          <w:rFonts w:ascii="Times New Roman" w:hAnsi="Times New Roman" w:cs="Times New Roman"/>
          <w:highlight w:val="yellow"/>
          <w:lang w:val="en-US"/>
        </w:rPr>
        <w:t>unfertilised</w:t>
      </w:r>
      <w:r>
        <w:rPr>
          <w:rFonts w:ascii="Times New Roman" w:hAnsi="Times New Roman" w:cs="Times New Roman"/>
          <w:lang w:val="en-US"/>
        </w:rPr>
        <w:t xml:space="preserve"> treatments for plant height and leaf length (p &gt; 0.05). However, a significant difference was observed for the number of tillers and the number of leaves (p ≤ 0.05). These two parameters showed higher values in the </w:t>
      </w:r>
      <w:r>
        <w:rPr>
          <w:rFonts w:ascii="Times New Roman" w:hAnsi="Times New Roman" w:cs="Times New Roman"/>
          <w:highlight w:val="yellow"/>
          <w:lang w:val="en-US"/>
        </w:rPr>
        <w:t>fertilised</w:t>
      </w:r>
      <w:r>
        <w:rPr>
          <w:rFonts w:ascii="Times New Roman" w:hAnsi="Times New Roman" w:cs="Times New Roman"/>
          <w:lang w:val="en-US"/>
        </w:rPr>
        <w:t xml:space="preserve"> plots </w:t>
      </w:r>
      <w:r>
        <w:rPr>
          <w:rFonts w:ascii="Times New Roman" w:hAnsi="Times New Roman" w:cs="Times New Roman"/>
          <w:highlight w:val="yellow"/>
          <w:lang w:val="en-US"/>
        </w:rPr>
        <w:t>than in the unfertilised plots</w:t>
      </w:r>
      <w:r>
        <w:rPr>
          <w:rFonts w:ascii="Times New Roman" w:hAnsi="Times New Roman" w:cs="Times New Roman"/>
          <w:lang w:val="en-US"/>
        </w:rPr>
        <w:t>.</w:t>
      </w:r>
    </w:p>
    <w:p w14:paraId="322A0836" w14:textId="77777777" w:rsidR="00F555C6" w:rsidRDefault="00F555C6" w:rsidP="00F555C6">
      <w:pPr>
        <w:spacing w:after="0" w:line="240" w:lineRule="auto"/>
        <w:jc w:val="both"/>
        <w:rPr>
          <w:rFonts w:ascii="Times New Roman" w:hAnsi="Times New Roman" w:cs="Times New Roman"/>
          <w:lang w:val="en-US"/>
        </w:rPr>
      </w:pPr>
    </w:p>
    <w:p w14:paraId="1189D078" w14:textId="77777777" w:rsidR="00F555C6" w:rsidRDefault="00F555C6" w:rsidP="00F555C6">
      <w:pPr>
        <w:spacing w:after="0" w:line="240" w:lineRule="auto"/>
        <w:jc w:val="both"/>
        <w:rPr>
          <w:rFonts w:ascii="Times New Roman" w:hAnsi="Times New Roman" w:cs="Times New Roman"/>
          <w:lang w:val="en-US"/>
        </w:rPr>
      </w:pPr>
    </w:p>
    <w:p w14:paraId="6F0F3EB1" w14:textId="77777777" w:rsidR="00F555C6" w:rsidRDefault="00F555C6" w:rsidP="00F555C6">
      <w:pPr>
        <w:spacing w:after="0" w:line="240" w:lineRule="auto"/>
        <w:jc w:val="both"/>
        <w:rPr>
          <w:rFonts w:ascii="Times New Roman" w:hAnsi="Times New Roman" w:cs="Times New Roman"/>
          <w:lang w:val="en-US"/>
        </w:rPr>
      </w:pPr>
    </w:p>
    <w:p w14:paraId="36E507DC" w14:textId="77777777" w:rsidR="00F555C6" w:rsidRDefault="00F555C6" w:rsidP="00F555C6">
      <w:pPr>
        <w:spacing w:after="0" w:line="240" w:lineRule="auto"/>
        <w:jc w:val="both"/>
        <w:rPr>
          <w:rFonts w:ascii="Times New Roman" w:hAnsi="Times New Roman" w:cs="Times New Roman"/>
          <w:lang w:val="en-US"/>
        </w:rPr>
      </w:pPr>
    </w:p>
    <w:p w14:paraId="0B6B4AA2" w14:textId="77777777" w:rsidR="00F555C6" w:rsidRDefault="00F555C6" w:rsidP="00F555C6">
      <w:pPr>
        <w:spacing w:after="0" w:line="240" w:lineRule="auto"/>
        <w:jc w:val="both"/>
        <w:rPr>
          <w:rFonts w:ascii="Times New Roman" w:hAnsi="Times New Roman" w:cs="Times New Roman"/>
          <w:lang w:val="en-US"/>
        </w:rPr>
      </w:pPr>
    </w:p>
    <w:p w14:paraId="2E1AD5CF" w14:textId="77777777" w:rsidR="00F555C6" w:rsidRDefault="00F555C6" w:rsidP="00F555C6">
      <w:pPr>
        <w:spacing w:after="0" w:line="240" w:lineRule="auto"/>
        <w:jc w:val="both"/>
        <w:rPr>
          <w:rFonts w:ascii="Times New Roman" w:hAnsi="Times New Roman" w:cs="Times New Roman"/>
          <w:lang w:val="en-US"/>
        </w:rPr>
      </w:pPr>
    </w:p>
    <w:p w14:paraId="56893F70" w14:textId="77777777" w:rsidR="00823EF1" w:rsidRPr="00D6265C" w:rsidRDefault="00823EF1" w:rsidP="00F555C6">
      <w:pPr>
        <w:spacing w:after="0" w:line="240" w:lineRule="auto"/>
        <w:jc w:val="center"/>
        <w:rPr>
          <w:rFonts w:ascii="Times New Roman" w:hAnsi="Times New Roman" w:cs="Times New Roman"/>
          <w:lang w:val="en-US"/>
        </w:rPr>
      </w:pPr>
      <w:r>
        <w:rPr>
          <w:rFonts w:ascii="Times New Roman" w:hAnsi="Times New Roman" w:cs="Times New Roman"/>
          <w:lang w:val="en-US"/>
        </w:rPr>
        <w:t>Table III: Effect of fertilization on growth parameters (mean ± standard deviation)</w:t>
      </w:r>
    </w:p>
    <w:tbl>
      <w:tblPr>
        <w:tblW w:w="9356" w:type="dxa"/>
        <w:jc w:val="center"/>
        <w:tblCellMar>
          <w:left w:w="70" w:type="dxa"/>
          <w:right w:w="70" w:type="dxa"/>
        </w:tblCellMar>
        <w:tblLook w:val="04A0" w:firstRow="1" w:lastRow="0" w:firstColumn="1" w:lastColumn="0" w:noHBand="0" w:noVBand="1"/>
      </w:tblPr>
      <w:tblGrid>
        <w:gridCol w:w="1407"/>
        <w:gridCol w:w="1995"/>
        <w:gridCol w:w="2127"/>
        <w:gridCol w:w="1984"/>
        <w:gridCol w:w="1843"/>
      </w:tblGrid>
      <w:tr w:rsidR="00823EF1" w:rsidRPr="004E5FDB" w14:paraId="3918A842" w14:textId="77777777" w:rsidTr="004E5FDB">
        <w:trPr>
          <w:trHeight w:val="223"/>
          <w:jc w:val="center"/>
        </w:trPr>
        <w:tc>
          <w:tcPr>
            <w:tcW w:w="1407" w:type="dxa"/>
            <w:tcBorders>
              <w:top w:val="single" w:sz="4" w:space="0" w:color="auto"/>
              <w:bottom w:val="single" w:sz="4" w:space="0" w:color="auto"/>
            </w:tcBorders>
            <w:noWrap/>
            <w:vAlign w:val="bottom"/>
            <w:hideMark/>
          </w:tcPr>
          <w:p w14:paraId="6A539256" w14:textId="77777777" w:rsidR="00823EF1" w:rsidRPr="004E5FDB" w:rsidRDefault="00823EF1" w:rsidP="00F555C6">
            <w:pPr>
              <w:spacing w:after="0" w:line="240" w:lineRule="auto"/>
              <w:jc w:val="center"/>
              <w:rPr>
                <w:rFonts w:ascii="Times New Roman" w:hAnsi="Times New Roman" w:cs="Times New Roman"/>
                <w:b/>
                <w:bCs/>
              </w:rPr>
            </w:pPr>
            <w:proofErr w:type="spellStart"/>
            <w:r w:rsidRPr="004E5FDB">
              <w:rPr>
                <w:rFonts w:ascii="Times New Roman" w:hAnsi="Times New Roman" w:cs="Times New Roman"/>
                <w:b/>
                <w:bCs/>
              </w:rPr>
              <w:t>Fertilization</w:t>
            </w:r>
            <w:proofErr w:type="spellEnd"/>
          </w:p>
          <w:p w14:paraId="2321E79A" w14:textId="77777777" w:rsidR="00823EF1" w:rsidRPr="004E5FDB" w:rsidRDefault="00823EF1" w:rsidP="00F555C6">
            <w:pPr>
              <w:spacing w:after="0" w:line="240" w:lineRule="auto"/>
              <w:jc w:val="center"/>
              <w:rPr>
                <w:rFonts w:ascii="Times New Roman" w:hAnsi="Times New Roman" w:cs="Times New Roman"/>
                <w:b/>
                <w:bCs/>
              </w:rPr>
            </w:pPr>
          </w:p>
        </w:tc>
        <w:tc>
          <w:tcPr>
            <w:tcW w:w="1995" w:type="dxa"/>
            <w:tcBorders>
              <w:top w:val="single" w:sz="4" w:space="0" w:color="auto"/>
              <w:bottom w:val="single" w:sz="4" w:space="0" w:color="auto"/>
            </w:tcBorders>
            <w:noWrap/>
            <w:vAlign w:val="bottom"/>
            <w:hideMark/>
          </w:tcPr>
          <w:p w14:paraId="66BECA2C" w14:textId="77777777" w:rsidR="000C2599"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Plant height (cm)</w:t>
            </w:r>
          </w:p>
          <w:p w14:paraId="405EE1E9" w14:textId="77777777" w:rsidR="00823EF1" w:rsidRPr="004E5FDB" w:rsidRDefault="00823EF1" w:rsidP="00F555C6">
            <w:pPr>
              <w:spacing w:after="0" w:line="240" w:lineRule="auto"/>
              <w:jc w:val="center"/>
              <w:rPr>
                <w:rFonts w:ascii="Times New Roman" w:hAnsi="Times New Roman" w:cs="Times New Roman"/>
                <w:b/>
                <w:bCs/>
              </w:rPr>
            </w:pPr>
          </w:p>
        </w:tc>
        <w:tc>
          <w:tcPr>
            <w:tcW w:w="2127" w:type="dxa"/>
            <w:tcBorders>
              <w:top w:val="single" w:sz="4" w:space="0" w:color="auto"/>
              <w:bottom w:val="single" w:sz="4" w:space="0" w:color="auto"/>
            </w:tcBorders>
            <w:noWrap/>
            <w:vAlign w:val="bottom"/>
            <w:hideMark/>
          </w:tcPr>
          <w:p w14:paraId="130D7F04"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Number of </w:t>
            </w:r>
            <w:proofErr w:type="spellStart"/>
            <w:r w:rsidRPr="004E5FDB">
              <w:rPr>
                <w:rFonts w:ascii="Times New Roman" w:hAnsi="Times New Roman" w:cs="Times New Roman"/>
                <w:b/>
                <w:bCs/>
              </w:rPr>
              <w:t>tillers</w:t>
            </w:r>
            <w:proofErr w:type="spellEnd"/>
          </w:p>
          <w:p w14:paraId="07CE67FD" w14:textId="77777777" w:rsidR="00823EF1" w:rsidRPr="004E5FDB" w:rsidRDefault="00823EF1" w:rsidP="00F555C6">
            <w:pPr>
              <w:spacing w:after="0" w:line="240" w:lineRule="auto"/>
              <w:jc w:val="center"/>
              <w:rPr>
                <w:rFonts w:ascii="Times New Roman" w:hAnsi="Times New Roman" w:cs="Times New Roman"/>
                <w:b/>
                <w:bCs/>
              </w:rPr>
            </w:pPr>
          </w:p>
        </w:tc>
        <w:tc>
          <w:tcPr>
            <w:tcW w:w="1984" w:type="dxa"/>
            <w:tcBorders>
              <w:top w:val="single" w:sz="4" w:space="0" w:color="auto"/>
              <w:bottom w:val="single" w:sz="4" w:space="0" w:color="auto"/>
            </w:tcBorders>
            <w:noWrap/>
            <w:vAlign w:val="bottom"/>
            <w:hideMark/>
          </w:tcPr>
          <w:p w14:paraId="14781CD8" w14:textId="77777777" w:rsidR="004E5FDB"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Number of </w:t>
            </w:r>
            <w:proofErr w:type="spellStart"/>
            <w:r w:rsidRPr="004E5FDB">
              <w:rPr>
                <w:rFonts w:ascii="Times New Roman" w:hAnsi="Times New Roman" w:cs="Times New Roman"/>
                <w:b/>
                <w:bCs/>
              </w:rPr>
              <w:t>leaves</w:t>
            </w:r>
            <w:proofErr w:type="spellEnd"/>
          </w:p>
          <w:p w14:paraId="5EF74C54" w14:textId="77777777" w:rsidR="00823EF1" w:rsidRPr="004E5FDB" w:rsidRDefault="00823EF1" w:rsidP="00F555C6">
            <w:pPr>
              <w:spacing w:after="0" w:line="240" w:lineRule="auto"/>
              <w:jc w:val="center"/>
              <w:rPr>
                <w:rFonts w:ascii="Times New Roman" w:hAnsi="Times New Roman" w:cs="Times New Roman"/>
                <w:b/>
                <w:bCs/>
              </w:rPr>
            </w:pPr>
          </w:p>
        </w:tc>
        <w:tc>
          <w:tcPr>
            <w:tcW w:w="1843" w:type="dxa"/>
            <w:tcBorders>
              <w:top w:val="single" w:sz="4" w:space="0" w:color="auto"/>
              <w:bottom w:val="single" w:sz="4" w:space="0" w:color="auto"/>
            </w:tcBorders>
            <w:noWrap/>
            <w:vAlign w:val="bottom"/>
            <w:hideMark/>
          </w:tcPr>
          <w:p w14:paraId="503825C1" w14:textId="77777777" w:rsidR="000C2599"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Leaf length (cm)</w:t>
            </w:r>
          </w:p>
          <w:p w14:paraId="150D44E4" w14:textId="77777777" w:rsidR="00823EF1" w:rsidRPr="004E5FDB" w:rsidRDefault="00823EF1" w:rsidP="00F555C6">
            <w:pPr>
              <w:spacing w:after="0" w:line="240" w:lineRule="auto"/>
              <w:jc w:val="center"/>
              <w:rPr>
                <w:rFonts w:ascii="Times New Roman" w:hAnsi="Times New Roman" w:cs="Times New Roman"/>
                <w:b/>
                <w:bCs/>
              </w:rPr>
            </w:pPr>
          </w:p>
        </w:tc>
      </w:tr>
      <w:tr w:rsidR="00823EF1" w:rsidRPr="004E5FDB" w14:paraId="7DCF9BB3" w14:textId="77777777" w:rsidTr="004E5FDB">
        <w:trPr>
          <w:trHeight w:val="223"/>
          <w:jc w:val="center"/>
        </w:trPr>
        <w:tc>
          <w:tcPr>
            <w:tcW w:w="1407" w:type="dxa"/>
            <w:tcBorders>
              <w:top w:val="single" w:sz="4" w:space="0" w:color="auto"/>
            </w:tcBorders>
            <w:noWrap/>
            <w:vAlign w:val="bottom"/>
            <w:hideMark/>
          </w:tcPr>
          <w:p w14:paraId="01FBC61F"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F</w:t>
            </w:r>
          </w:p>
        </w:tc>
        <w:tc>
          <w:tcPr>
            <w:tcW w:w="1995" w:type="dxa"/>
            <w:tcBorders>
              <w:top w:val="single" w:sz="4" w:space="0" w:color="auto"/>
            </w:tcBorders>
            <w:noWrap/>
            <w:vAlign w:val="bottom"/>
            <w:hideMark/>
          </w:tcPr>
          <w:p w14:paraId="32EC341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17.45±1.74</w:t>
            </w:r>
            <w:r w:rsidRPr="004E5FDB">
              <w:rPr>
                <w:rFonts w:ascii="Times New Roman" w:hAnsi="Times New Roman" w:cs="Times New Roman"/>
                <w:vertAlign w:val="superscript"/>
              </w:rPr>
              <w:t>a</w:t>
            </w:r>
          </w:p>
        </w:tc>
        <w:tc>
          <w:tcPr>
            <w:tcW w:w="2127" w:type="dxa"/>
            <w:tcBorders>
              <w:top w:val="single" w:sz="4" w:space="0" w:color="auto"/>
            </w:tcBorders>
            <w:noWrap/>
            <w:vAlign w:val="bottom"/>
            <w:hideMark/>
          </w:tcPr>
          <w:p w14:paraId="2A96D28A"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22.33±5.68</w:t>
            </w:r>
            <w:r w:rsidRPr="004E5FDB">
              <w:rPr>
                <w:rFonts w:ascii="Times New Roman" w:hAnsi="Times New Roman" w:cs="Times New Roman"/>
                <w:vertAlign w:val="superscript"/>
              </w:rPr>
              <w:t>a</w:t>
            </w:r>
          </w:p>
        </w:tc>
        <w:tc>
          <w:tcPr>
            <w:tcW w:w="1984" w:type="dxa"/>
            <w:tcBorders>
              <w:top w:val="single" w:sz="4" w:space="0" w:color="auto"/>
            </w:tcBorders>
            <w:noWrap/>
            <w:vAlign w:val="bottom"/>
            <w:hideMark/>
          </w:tcPr>
          <w:p w14:paraId="7717B87E"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79.33±25.73</w:t>
            </w:r>
            <w:r w:rsidRPr="004E5FDB">
              <w:rPr>
                <w:rFonts w:ascii="Times New Roman" w:hAnsi="Times New Roman" w:cs="Times New Roman"/>
                <w:vertAlign w:val="superscript"/>
              </w:rPr>
              <w:t>a</w:t>
            </w:r>
          </w:p>
        </w:tc>
        <w:tc>
          <w:tcPr>
            <w:tcW w:w="1843" w:type="dxa"/>
            <w:tcBorders>
              <w:top w:val="single" w:sz="4" w:space="0" w:color="auto"/>
            </w:tcBorders>
            <w:noWrap/>
            <w:vAlign w:val="bottom"/>
            <w:hideMark/>
          </w:tcPr>
          <w:p w14:paraId="640DBB19"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10.17±1.51</w:t>
            </w:r>
            <w:r w:rsidRPr="004E5FDB">
              <w:rPr>
                <w:rFonts w:ascii="Times New Roman" w:hAnsi="Times New Roman" w:cs="Times New Roman"/>
                <w:vertAlign w:val="superscript"/>
              </w:rPr>
              <w:t>a</w:t>
            </w:r>
          </w:p>
        </w:tc>
      </w:tr>
      <w:tr w:rsidR="00823EF1" w:rsidRPr="004E5FDB" w14:paraId="3BCDC5AE" w14:textId="77777777" w:rsidTr="004E5FDB">
        <w:trPr>
          <w:trHeight w:val="72"/>
          <w:jc w:val="center"/>
        </w:trPr>
        <w:tc>
          <w:tcPr>
            <w:tcW w:w="1407" w:type="dxa"/>
            <w:noWrap/>
            <w:vAlign w:val="bottom"/>
            <w:hideMark/>
          </w:tcPr>
          <w:p w14:paraId="2095184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NF</w:t>
            </w:r>
          </w:p>
        </w:tc>
        <w:tc>
          <w:tcPr>
            <w:tcW w:w="1995" w:type="dxa"/>
            <w:noWrap/>
            <w:vAlign w:val="bottom"/>
            <w:hideMark/>
          </w:tcPr>
          <w:p w14:paraId="12D0B47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16.63±2.69</w:t>
            </w:r>
            <w:r w:rsidRPr="004E5FDB">
              <w:rPr>
                <w:rFonts w:ascii="Times New Roman" w:hAnsi="Times New Roman" w:cs="Times New Roman"/>
                <w:vertAlign w:val="superscript"/>
              </w:rPr>
              <w:t>a</w:t>
            </w:r>
          </w:p>
        </w:tc>
        <w:tc>
          <w:tcPr>
            <w:tcW w:w="2127" w:type="dxa"/>
            <w:noWrap/>
            <w:vAlign w:val="bottom"/>
            <w:hideMark/>
          </w:tcPr>
          <w:p w14:paraId="6BA7B87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17.59±1.38</w:t>
            </w:r>
            <w:r w:rsidRPr="004E5FDB">
              <w:rPr>
                <w:rFonts w:ascii="Times New Roman" w:hAnsi="Times New Roman" w:cs="Times New Roman"/>
                <w:vertAlign w:val="superscript"/>
              </w:rPr>
              <w:t>b</w:t>
            </w:r>
          </w:p>
        </w:tc>
        <w:tc>
          <w:tcPr>
            <w:tcW w:w="1984" w:type="dxa"/>
            <w:noWrap/>
            <w:vAlign w:val="bottom"/>
            <w:hideMark/>
          </w:tcPr>
          <w:p w14:paraId="1C5D2792"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66.28±11.34</w:t>
            </w:r>
            <w:r w:rsidRPr="004E5FDB">
              <w:rPr>
                <w:rFonts w:ascii="Times New Roman" w:hAnsi="Times New Roman" w:cs="Times New Roman"/>
                <w:vertAlign w:val="superscript"/>
              </w:rPr>
              <w:t>b</w:t>
            </w:r>
          </w:p>
        </w:tc>
        <w:tc>
          <w:tcPr>
            <w:tcW w:w="1843" w:type="dxa"/>
            <w:noWrap/>
            <w:vAlign w:val="bottom"/>
            <w:hideMark/>
          </w:tcPr>
          <w:p w14:paraId="3CC3BA4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9.85±1.39</w:t>
            </w:r>
            <w:r w:rsidRPr="004E5FDB">
              <w:rPr>
                <w:rFonts w:ascii="Times New Roman" w:hAnsi="Times New Roman" w:cs="Times New Roman"/>
                <w:vertAlign w:val="superscript"/>
              </w:rPr>
              <w:t>a</w:t>
            </w:r>
          </w:p>
        </w:tc>
      </w:tr>
      <w:tr w:rsidR="00823EF1" w:rsidRPr="004E5FDB" w14:paraId="1DCF569E" w14:textId="77777777" w:rsidTr="004E5FDB">
        <w:trPr>
          <w:trHeight w:val="75"/>
          <w:jc w:val="center"/>
        </w:trPr>
        <w:tc>
          <w:tcPr>
            <w:tcW w:w="1407" w:type="dxa"/>
            <w:noWrap/>
            <w:vAlign w:val="bottom"/>
            <w:hideMark/>
          </w:tcPr>
          <w:p w14:paraId="60256B2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Significance</w:t>
            </w:r>
          </w:p>
        </w:tc>
        <w:tc>
          <w:tcPr>
            <w:tcW w:w="1995" w:type="dxa"/>
            <w:noWrap/>
            <w:vAlign w:val="bottom"/>
            <w:hideMark/>
          </w:tcPr>
          <w:p w14:paraId="168D2AFD"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2127" w:type="dxa"/>
            <w:noWrap/>
            <w:vAlign w:val="bottom"/>
            <w:hideMark/>
          </w:tcPr>
          <w:p w14:paraId="40B6E1A2"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w:t>
            </w:r>
          </w:p>
        </w:tc>
        <w:tc>
          <w:tcPr>
            <w:tcW w:w="1984" w:type="dxa"/>
            <w:noWrap/>
            <w:vAlign w:val="bottom"/>
            <w:hideMark/>
          </w:tcPr>
          <w:p w14:paraId="42FAE6C2"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w:t>
            </w:r>
          </w:p>
        </w:tc>
        <w:tc>
          <w:tcPr>
            <w:tcW w:w="1843" w:type="dxa"/>
            <w:noWrap/>
            <w:vAlign w:val="bottom"/>
            <w:hideMark/>
          </w:tcPr>
          <w:p w14:paraId="2E73715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r>
      <w:tr w:rsidR="00823EF1" w:rsidRPr="004E5FDB" w14:paraId="3E54E618" w14:textId="77777777" w:rsidTr="004E5FDB">
        <w:trPr>
          <w:trHeight w:val="66"/>
          <w:jc w:val="center"/>
        </w:trPr>
        <w:tc>
          <w:tcPr>
            <w:tcW w:w="1407" w:type="dxa"/>
            <w:tcBorders>
              <w:bottom w:val="single" w:sz="4" w:space="0" w:color="auto"/>
            </w:tcBorders>
            <w:noWrap/>
            <w:vAlign w:val="bottom"/>
            <w:hideMark/>
          </w:tcPr>
          <w:p w14:paraId="363AC098"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Probability</w:t>
            </w:r>
          </w:p>
        </w:tc>
        <w:tc>
          <w:tcPr>
            <w:tcW w:w="1995" w:type="dxa"/>
            <w:tcBorders>
              <w:bottom w:val="single" w:sz="4" w:space="0" w:color="auto"/>
            </w:tcBorders>
            <w:noWrap/>
            <w:vAlign w:val="bottom"/>
            <w:hideMark/>
          </w:tcPr>
          <w:p w14:paraId="06FB4ED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0.640</w:t>
            </w:r>
          </w:p>
        </w:tc>
        <w:tc>
          <w:tcPr>
            <w:tcW w:w="2127" w:type="dxa"/>
            <w:tcBorders>
              <w:bottom w:val="single" w:sz="4" w:space="0" w:color="auto"/>
            </w:tcBorders>
            <w:noWrap/>
            <w:vAlign w:val="bottom"/>
            <w:hideMark/>
          </w:tcPr>
          <w:p w14:paraId="720CCD8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0.001</w:t>
            </w:r>
          </w:p>
        </w:tc>
        <w:tc>
          <w:tcPr>
            <w:tcW w:w="1984" w:type="dxa"/>
            <w:tcBorders>
              <w:bottom w:val="single" w:sz="4" w:space="0" w:color="auto"/>
            </w:tcBorders>
            <w:noWrap/>
            <w:vAlign w:val="bottom"/>
            <w:hideMark/>
          </w:tcPr>
          <w:p w14:paraId="70365138"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0.012</w:t>
            </w:r>
          </w:p>
        </w:tc>
        <w:tc>
          <w:tcPr>
            <w:tcW w:w="1843" w:type="dxa"/>
            <w:tcBorders>
              <w:bottom w:val="single" w:sz="4" w:space="0" w:color="auto"/>
            </w:tcBorders>
            <w:noWrap/>
            <w:vAlign w:val="bottom"/>
            <w:hideMark/>
          </w:tcPr>
          <w:p w14:paraId="6ED6B7C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0.701</w:t>
            </w:r>
          </w:p>
        </w:tc>
      </w:tr>
    </w:tbl>
    <w:p w14:paraId="5A0C055A" w14:textId="77777777" w:rsidR="00823EF1" w:rsidRPr="00823EF1" w:rsidRDefault="009D2B50" w:rsidP="00F555C6">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a</w:t>
      </w:r>
      <w:r w:rsidR="00823EF1">
        <w:rPr>
          <w:rFonts w:ascii="Times New Roman" w:hAnsi="Times New Roman" w:cs="Times New Roman"/>
          <w:sz w:val="20"/>
          <w:szCs w:val="20"/>
          <w:lang w:val="en-US"/>
        </w:rPr>
        <w:t>b Within a column, different letters indicate a significant difference at p&lt;0.05. THS: very highly significant; S: significant; NS: not significant; F: fertilizer; NF: without fertilizer</w:t>
      </w:r>
    </w:p>
    <w:p w14:paraId="1A363759" w14:textId="77777777" w:rsidR="00823EF1" w:rsidRPr="00823EF1" w:rsidRDefault="00823EF1" w:rsidP="00F555C6">
      <w:pPr>
        <w:spacing w:after="0" w:line="240" w:lineRule="auto"/>
        <w:jc w:val="both"/>
        <w:rPr>
          <w:rFonts w:ascii="Times New Roman" w:hAnsi="Times New Roman" w:cs="Times New Roman"/>
          <w:sz w:val="20"/>
          <w:szCs w:val="20"/>
          <w:lang w:val="en-US"/>
        </w:rPr>
      </w:pPr>
    </w:p>
    <w:p w14:paraId="2CF60928" w14:textId="77777777"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Table IV presents the effect of the two cutting intervals (30 days and 45 days) on the growth parameters of </w:t>
      </w:r>
      <w:r>
        <w:rPr>
          <w:rFonts w:ascii="Times New Roman" w:hAnsi="Times New Roman" w:cs="Times New Roman"/>
          <w:i/>
          <w:iCs/>
          <w:lang w:val="en-US"/>
        </w:rPr>
        <w:t>Eleusine indica</w:t>
      </w:r>
      <w:r>
        <w:rPr>
          <w:rFonts w:ascii="Times New Roman" w:hAnsi="Times New Roman" w:cs="Times New Roman"/>
          <w:lang w:val="en-US"/>
        </w:rPr>
        <w:t xml:space="preserve">. Analysis of variance reveals a significant difference in the number of tillers and the number of leaves (p ≤ 0.05), with respective mean values of 20.68 ± 4.66 and 74.36 ± 20.82 for the 30-day interval, </w:t>
      </w:r>
      <w:r>
        <w:rPr>
          <w:rFonts w:ascii="Times New Roman" w:hAnsi="Times New Roman" w:cs="Times New Roman"/>
          <w:highlight w:val="yellow"/>
          <w:lang w:val="en-US"/>
        </w:rPr>
        <w:t>compared with 19.24 ± 5.10 and 71.24 ± 21.54</w:t>
      </w:r>
      <w:r>
        <w:rPr>
          <w:rFonts w:ascii="Times New Roman" w:hAnsi="Times New Roman" w:cs="Times New Roman"/>
          <w:lang w:val="en-US"/>
        </w:rPr>
        <w:t xml:space="preserve"> for the 45-day interval. In contrast, no significant differences were observed for plant height or leaf length (p &gt; 0.05).</w:t>
      </w:r>
    </w:p>
    <w:p w14:paraId="75CA035E" w14:textId="77777777"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Table IV: Changes in growth parameters (mean ± standard deviation) as a function of the cutting period</w:t>
      </w:r>
    </w:p>
    <w:tbl>
      <w:tblPr>
        <w:tblW w:w="10348" w:type="dxa"/>
        <w:tblInd w:w="-147" w:type="dxa"/>
        <w:tblCellMar>
          <w:left w:w="70" w:type="dxa"/>
          <w:right w:w="70" w:type="dxa"/>
        </w:tblCellMar>
        <w:tblLook w:val="04A0" w:firstRow="1" w:lastRow="0" w:firstColumn="1" w:lastColumn="0" w:noHBand="0" w:noVBand="1"/>
      </w:tblPr>
      <w:tblGrid>
        <w:gridCol w:w="1843"/>
        <w:gridCol w:w="2127"/>
        <w:gridCol w:w="141"/>
        <w:gridCol w:w="1985"/>
        <w:gridCol w:w="1984"/>
        <w:gridCol w:w="2268"/>
      </w:tblGrid>
      <w:tr w:rsidR="00823EF1" w:rsidRPr="00823EF1" w14:paraId="016DDFC9" w14:textId="77777777" w:rsidTr="00281652">
        <w:trPr>
          <w:trHeight w:val="616"/>
        </w:trPr>
        <w:tc>
          <w:tcPr>
            <w:tcW w:w="1843" w:type="dxa"/>
            <w:tcBorders>
              <w:top w:val="single" w:sz="4" w:space="0" w:color="auto"/>
              <w:bottom w:val="single" w:sz="4" w:space="0" w:color="auto"/>
            </w:tcBorders>
            <w:noWrap/>
            <w:vAlign w:val="bottom"/>
            <w:hideMark/>
          </w:tcPr>
          <w:p w14:paraId="61F0240F"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Cutting interval</w:t>
            </w:r>
          </w:p>
          <w:p w14:paraId="54A4377A" w14:textId="77777777" w:rsidR="00823EF1" w:rsidRPr="004E5FDB" w:rsidRDefault="00823EF1" w:rsidP="00F555C6">
            <w:pPr>
              <w:spacing w:after="0" w:line="240" w:lineRule="auto"/>
              <w:jc w:val="center"/>
              <w:rPr>
                <w:rFonts w:ascii="Times New Roman" w:hAnsi="Times New Roman" w:cs="Times New Roman"/>
                <w:b/>
                <w:bCs/>
              </w:rPr>
            </w:pPr>
          </w:p>
          <w:p w14:paraId="3AF12FF8" w14:textId="77777777" w:rsidR="00823EF1" w:rsidRPr="004E5FDB" w:rsidRDefault="00823EF1" w:rsidP="00F555C6">
            <w:pPr>
              <w:spacing w:after="0" w:line="240" w:lineRule="auto"/>
              <w:jc w:val="center"/>
              <w:rPr>
                <w:rFonts w:ascii="Times New Roman" w:hAnsi="Times New Roman" w:cs="Times New Roman"/>
                <w:b/>
                <w:bCs/>
              </w:rPr>
            </w:pPr>
          </w:p>
        </w:tc>
        <w:tc>
          <w:tcPr>
            <w:tcW w:w="2268" w:type="dxa"/>
            <w:gridSpan w:val="2"/>
            <w:tcBorders>
              <w:top w:val="single" w:sz="4" w:space="0" w:color="auto"/>
              <w:bottom w:val="single" w:sz="4" w:space="0" w:color="auto"/>
            </w:tcBorders>
            <w:noWrap/>
            <w:vAlign w:val="bottom"/>
            <w:hideMark/>
          </w:tcPr>
          <w:p w14:paraId="51C9FF1B"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Plant </w:t>
            </w:r>
            <w:proofErr w:type="spellStart"/>
            <w:r w:rsidRPr="004E5FDB">
              <w:rPr>
                <w:rFonts w:ascii="Times New Roman" w:hAnsi="Times New Roman" w:cs="Times New Roman"/>
                <w:b/>
                <w:bCs/>
              </w:rPr>
              <w:t>height</w:t>
            </w:r>
            <w:proofErr w:type="spellEnd"/>
          </w:p>
          <w:p w14:paraId="4D4C899F"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w:t>
            </w:r>
            <w:proofErr w:type="gramStart"/>
            <w:r w:rsidRPr="004E5FDB">
              <w:rPr>
                <w:rFonts w:ascii="Times New Roman" w:hAnsi="Times New Roman" w:cs="Times New Roman"/>
                <w:b/>
                <w:bCs/>
              </w:rPr>
              <w:t>cm</w:t>
            </w:r>
            <w:proofErr w:type="gramEnd"/>
            <w:r w:rsidRPr="004E5FDB">
              <w:rPr>
                <w:rFonts w:ascii="Times New Roman" w:hAnsi="Times New Roman" w:cs="Times New Roman"/>
                <w:b/>
                <w:bCs/>
              </w:rPr>
              <w:t>)</w:t>
            </w:r>
          </w:p>
        </w:tc>
        <w:tc>
          <w:tcPr>
            <w:tcW w:w="1985" w:type="dxa"/>
            <w:tcBorders>
              <w:top w:val="single" w:sz="4" w:space="0" w:color="auto"/>
              <w:bottom w:val="single" w:sz="4" w:space="0" w:color="auto"/>
            </w:tcBorders>
            <w:noWrap/>
            <w:vAlign w:val="bottom"/>
            <w:hideMark/>
          </w:tcPr>
          <w:p w14:paraId="0C48784C"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Number of tillers</w:t>
            </w:r>
          </w:p>
          <w:p w14:paraId="533BC5CA" w14:textId="77777777" w:rsidR="00823EF1" w:rsidRPr="004E5FDB" w:rsidRDefault="00823EF1" w:rsidP="00F555C6">
            <w:pPr>
              <w:spacing w:after="0" w:line="240" w:lineRule="auto"/>
              <w:jc w:val="center"/>
              <w:rPr>
                <w:rFonts w:ascii="Times New Roman" w:hAnsi="Times New Roman" w:cs="Times New Roman"/>
                <w:b/>
                <w:bCs/>
              </w:rPr>
            </w:pPr>
          </w:p>
          <w:p w14:paraId="371FA97B" w14:textId="77777777" w:rsidR="00823EF1" w:rsidRPr="004E5FDB" w:rsidRDefault="00823EF1" w:rsidP="00F555C6">
            <w:pPr>
              <w:spacing w:after="0" w:line="240" w:lineRule="auto"/>
              <w:jc w:val="center"/>
              <w:rPr>
                <w:rFonts w:ascii="Times New Roman" w:hAnsi="Times New Roman" w:cs="Times New Roman"/>
                <w:b/>
                <w:bCs/>
              </w:rPr>
            </w:pPr>
          </w:p>
        </w:tc>
        <w:tc>
          <w:tcPr>
            <w:tcW w:w="1984" w:type="dxa"/>
            <w:tcBorders>
              <w:top w:val="single" w:sz="4" w:space="0" w:color="auto"/>
              <w:bottom w:val="single" w:sz="4" w:space="0" w:color="auto"/>
            </w:tcBorders>
            <w:noWrap/>
            <w:vAlign w:val="bottom"/>
            <w:hideMark/>
          </w:tcPr>
          <w:p w14:paraId="54B59804"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Number of leaves</w:t>
            </w:r>
          </w:p>
          <w:p w14:paraId="5595C478" w14:textId="77777777" w:rsidR="00823EF1" w:rsidRPr="004E5FDB" w:rsidRDefault="00823EF1" w:rsidP="00F555C6">
            <w:pPr>
              <w:spacing w:after="0" w:line="240" w:lineRule="auto"/>
              <w:jc w:val="center"/>
              <w:rPr>
                <w:rFonts w:ascii="Times New Roman" w:hAnsi="Times New Roman" w:cs="Times New Roman"/>
                <w:b/>
                <w:bCs/>
              </w:rPr>
            </w:pPr>
          </w:p>
          <w:p w14:paraId="6D9F0276" w14:textId="77777777" w:rsidR="00823EF1" w:rsidRPr="004E5FDB" w:rsidRDefault="00823EF1" w:rsidP="00F555C6">
            <w:pPr>
              <w:spacing w:after="0" w:line="240" w:lineRule="auto"/>
              <w:jc w:val="center"/>
              <w:rPr>
                <w:rFonts w:ascii="Times New Roman" w:hAnsi="Times New Roman" w:cs="Times New Roman"/>
                <w:b/>
                <w:bCs/>
              </w:rPr>
            </w:pPr>
          </w:p>
        </w:tc>
        <w:tc>
          <w:tcPr>
            <w:tcW w:w="2268" w:type="dxa"/>
            <w:tcBorders>
              <w:top w:val="single" w:sz="4" w:space="0" w:color="auto"/>
              <w:bottom w:val="single" w:sz="4" w:space="0" w:color="auto"/>
            </w:tcBorders>
            <w:noWrap/>
            <w:vAlign w:val="bottom"/>
            <w:hideMark/>
          </w:tcPr>
          <w:p w14:paraId="082E6507"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Leaf </w:t>
            </w:r>
            <w:proofErr w:type="spellStart"/>
            <w:r w:rsidRPr="004E5FDB">
              <w:rPr>
                <w:rFonts w:ascii="Times New Roman" w:hAnsi="Times New Roman" w:cs="Times New Roman"/>
                <w:b/>
                <w:bCs/>
              </w:rPr>
              <w:t>length</w:t>
            </w:r>
            <w:proofErr w:type="spellEnd"/>
          </w:p>
          <w:p w14:paraId="76E67044"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w:t>
            </w:r>
            <w:proofErr w:type="gramStart"/>
            <w:r w:rsidRPr="004E5FDB">
              <w:rPr>
                <w:rFonts w:ascii="Times New Roman" w:hAnsi="Times New Roman" w:cs="Times New Roman"/>
                <w:b/>
                <w:bCs/>
              </w:rPr>
              <w:t>cm</w:t>
            </w:r>
            <w:proofErr w:type="gramEnd"/>
            <w:r w:rsidRPr="004E5FDB">
              <w:rPr>
                <w:rFonts w:ascii="Times New Roman" w:hAnsi="Times New Roman" w:cs="Times New Roman"/>
                <w:b/>
                <w:bCs/>
              </w:rPr>
              <w:t>)</w:t>
            </w:r>
          </w:p>
        </w:tc>
      </w:tr>
      <w:tr w:rsidR="00823EF1" w:rsidRPr="00823EF1" w14:paraId="02C9E5DB" w14:textId="77777777" w:rsidTr="00281652">
        <w:trPr>
          <w:trHeight w:val="203"/>
        </w:trPr>
        <w:tc>
          <w:tcPr>
            <w:tcW w:w="1843" w:type="dxa"/>
            <w:tcBorders>
              <w:top w:val="single" w:sz="4" w:space="0" w:color="auto"/>
            </w:tcBorders>
            <w:noWrap/>
            <w:vAlign w:val="bottom"/>
            <w:hideMark/>
          </w:tcPr>
          <w:p w14:paraId="6F2ED7E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30 j</w:t>
            </w:r>
          </w:p>
        </w:tc>
        <w:tc>
          <w:tcPr>
            <w:tcW w:w="2127" w:type="dxa"/>
            <w:tcBorders>
              <w:top w:val="single" w:sz="4" w:space="0" w:color="auto"/>
            </w:tcBorders>
            <w:noWrap/>
            <w:vAlign w:val="bottom"/>
            <w:hideMark/>
          </w:tcPr>
          <w:p w14:paraId="731D36AB" w14:textId="77777777" w:rsidR="00823EF1" w:rsidRPr="004E5FDB" w:rsidRDefault="00823EF1" w:rsidP="00F555C6">
            <w:pPr>
              <w:spacing w:after="0" w:line="240" w:lineRule="auto"/>
              <w:jc w:val="center"/>
              <w:rPr>
                <w:rFonts w:ascii="Times New Roman" w:hAnsi="Times New Roman" w:cs="Times New Roman"/>
                <w:vertAlign w:val="superscript"/>
              </w:rPr>
            </w:pPr>
            <w:r w:rsidRPr="004E5FDB">
              <w:rPr>
                <w:rFonts w:ascii="Times New Roman" w:hAnsi="Times New Roman" w:cs="Times New Roman"/>
              </w:rPr>
              <w:t>16.29±2.72</w:t>
            </w:r>
            <w:r w:rsidRPr="004E5FDB">
              <w:rPr>
                <w:rFonts w:ascii="Times New Roman" w:hAnsi="Times New Roman" w:cs="Times New Roman"/>
                <w:vertAlign w:val="superscript"/>
              </w:rPr>
              <w:t>a</w:t>
            </w:r>
          </w:p>
        </w:tc>
        <w:tc>
          <w:tcPr>
            <w:tcW w:w="2126" w:type="dxa"/>
            <w:gridSpan w:val="2"/>
            <w:tcBorders>
              <w:top w:val="single" w:sz="4" w:space="0" w:color="auto"/>
            </w:tcBorders>
            <w:noWrap/>
            <w:vAlign w:val="bottom"/>
            <w:hideMark/>
          </w:tcPr>
          <w:p w14:paraId="42C738A1"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20.68±4.66</w:t>
            </w:r>
            <w:r w:rsidRPr="004E5FDB">
              <w:rPr>
                <w:rFonts w:ascii="Times New Roman" w:hAnsi="Times New Roman" w:cs="Times New Roman"/>
                <w:vertAlign w:val="superscript"/>
              </w:rPr>
              <w:t>a</w:t>
            </w:r>
          </w:p>
        </w:tc>
        <w:tc>
          <w:tcPr>
            <w:tcW w:w="1984" w:type="dxa"/>
            <w:tcBorders>
              <w:top w:val="single" w:sz="4" w:space="0" w:color="auto"/>
            </w:tcBorders>
            <w:noWrap/>
            <w:vAlign w:val="bottom"/>
            <w:hideMark/>
          </w:tcPr>
          <w:p w14:paraId="6FD451BA"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74.36±20.82</w:t>
            </w:r>
            <w:r w:rsidRPr="004E5FDB">
              <w:rPr>
                <w:rFonts w:ascii="Times New Roman" w:hAnsi="Times New Roman" w:cs="Times New Roman"/>
                <w:vertAlign w:val="superscript"/>
              </w:rPr>
              <w:t>a</w:t>
            </w:r>
          </w:p>
        </w:tc>
        <w:tc>
          <w:tcPr>
            <w:tcW w:w="2268" w:type="dxa"/>
            <w:tcBorders>
              <w:top w:val="single" w:sz="4" w:space="0" w:color="auto"/>
            </w:tcBorders>
            <w:noWrap/>
            <w:vAlign w:val="bottom"/>
            <w:hideMark/>
          </w:tcPr>
          <w:p w14:paraId="3F503339"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9.63±1.68</w:t>
            </w:r>
            <w:r w:rsidRPr="004E5FDB">
              <w:rPr>
                <w:rFonts w:ascii="Times New Roman" w:hAnsi="Times New Roman" w:cs="Times New Roman"/>
                <w:vertAlign w:val="superscript"/>
              </w:rPr>
              <w:t>a</w:t>
            </w:r>
          </w:p>
        </w:tc>
      </w:tr>
      <w:tr w:rsidR="00823EF1" w:rsidRPr="00823EF1" w14:paraId="5B03EB6D" w14:textId="77777777" w:rsidTr="00281652">
        <w:trPr>
          <w:trHeight w:val="193"/>
        </w:trPr>
        <w:tc>
          <w:tcPr>
            <w:tcW w:w="1843" w:type="dxa"/>
            <w:noWrap/>
            <w:vAlign w:val="bottom"/>
            <w:hideMark/>
          </w:tcPr>
          <w:p w14:paraId="1683B55D"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45 j</w:t>
            </w:r>
          </w:p>
        </w:tc>
        <w:tc>
          <w:tcPr>
            <w:tcW w:w="2127" w:type="dxa"/>
            <w:noWrap/>
            <w:vAlign w:val="bottom"/>
            <w:hideMark/>
          </w:tcPr>
          <w:p w14:paraId="55D16A1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17.79±1.35</w:t>
            </w:r>
            <w:r w:rsidRPr="004E5FDB">
              <w:rPr>
                <w:rFonts w:ascii="Times New Roman" w:hAnsi="Times New Roman" w:cs="Times New Roman"/>
                <w:vertAlign w:val="superscript"/>
              </w:rPr>
              <w:t>a</w:t>
            </w:r>
          </w:p>
        </w:tc>
        <w:tc>
          <w:tcPr>
            <w:tcW w:w="2126" w:type="dxa"/>
            <w:gridSpan w:val="2"/>
            <w:noWrap/>
            <w:vAlign w:val="bottom"/>
            <w:hideMark/>
          </w:tcPr>
          <w:p w14:paraId="5DE07CED"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19.24±5.10</w:t>
            </w:r>
            <w:r w:rsidRPr="004E5FDB">
              <w:rPr>
                <w:rFonts w:ascii="Times New Roman" w:hAnsi="Times New Roman" w:cs="Times New Roman"/>
                <w:vertAlign w:val="superscript"/>
              </w:rPr>
              <w:t>b</w:t>
            </w:r>
          </w:p>
        </w:tc>
        <w:tc>
          <w:tcPr>
            <w:tcW w:w="1984" w:type="dxa"/>
            <w:noWrap/>
            <w:vAlign w:val="bottom"/>
            <w:hideMark/>
          </w:tcPr>
          <w:p w14:paraId="08257840"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71.24±21.54</w:t>
            </w:r>
            <w:r w:rsidRPr="004E5FDB">
              <w:rPr>
                <w:rFonts w:ascii="Times New Roman" w:hAnsi="Times New Roman" w:cs="Times New Roman"/>
                <w:vertAlign w:val="superscript"/>
              </w:rPr>
              <w:t>b</w:t>
            </w:r>
          </w:p>
        </w:tc>
        <w:tc>
          <w:tcPr>
            <w:tcW w:w="2268" w:type="dxa"/>
            <w:noWrap/>
            <w:vAlign w:val="bottom"/>
            <w:hideMark/>
          </w:tcPr>
          <w:p w14:paraId="2082F529"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10.39±1.03</w:t>
            </w:r>
            <w:r w:rsidRPr="004E5FDB">
              <w:rPr>
                <w:rFonts w:ascii="Times New Roman" w:hAnsi="Times New Roman" w:cs="Times New Roman"/>
                <w:vertAlign w:val="superscript"/>
              </w:rPr>
              <w:t>a</w:t>
            </w:r>
          </w:p>
        </w:tc>
      </w:tr>
      <w:tr w:rsidR="00823EF1" w:rsidRPr="00823EF1" w14:paraId="1EFAC1A4" w14:textId="77777777" w:rsidTr="00281652">
        <w:trPr>
          <w:trHeight w:val="55"/>
        </w:trPr>
        <w:tc>
          <w:tcPr>
            <w:tcW w:w="1843" w:type="dxa"/>
            <w:noWrap/>
            <w:vAlign w:val="bottom"/>
            <w:hideMark/>
          </w:tcPr>
          <w:p w14:paraId="406BA40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Significative</w:t>
            </w:r>
          </w:p>
        </w:tc>
        <w:tc>
          <w:tcPr>
            <w:tcW w:w="2127" w:type="dxa"/>
            <w:noWrap/>
            <w:vAlign w:val="bottom"/>
            <w:hideMark/>
          </w:tcPr>
          <w:p w14:paraId="7C800B1C"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2126" w:type="dxa"/>
            <w:gridSpan w:val="2"/>
            <w:noWrap/>
            <w:vAlign w:val="bottom"/>
            <w:hideMark/>
          </w:tcPr>
          <w:p w14:paraId="57373352"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w:t>
            </w:r>
          </w:p>
        </w:tc>
        <w:tc>
          <w:tcPr>
            <w:tcW w:w="1984" w:type="dxa"/>
            <w:noWrap/>
            <w:vAlign w:val="bottom"/>
            <w:hideMark/>
          </w:tcPr>
          <w:p w14:paraId="7BB8BE42"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w:t>
            </w:r>
          </w:p>
        </w:tc>
        <w:tc>
          <w:tcPr>
            <w:tcW w:w="2268" w:type="dxa"/>
            <w:noWrap/>
            <w:vAlign w:val="bottom"/>
            <w:hideMark/>
          </w:tcPr>
          <w:p w14:paraId="7967D24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r>
      <w:tr w:rsidR="00823EF1" w:rsidRPr="00823EF1" w14:paraId="03DEC783" w14:textId="77777777" w:rsidTr="00281652">
        <w:trPr>
          <w:trHeight w:val="53"/>
        </w:trPr>
        <w:tc>
          <w:tcPr>
            <w:tcW w:w="1843" w:type="dxa"/>
            <w:tcBorders>
              <w:bottom w:val="single" w:sz="4" w:space="0" w:color="auto"/>
            </w:tcBorders>
            <w:noWrap/>
            <w:vAlign w:val="bottom"/>
            <w:hideMark/>
          </w:tcPr>
          <w:p w14:paraId="14E36DF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Probability</w:t>
            </w:r>
          </w:p>
        </w:tc>
        <w:tc>
          <w:tcPr>
            <w:tcW w:w="2127" w:type="dxa"/>
            <w:tcBorders>
              <w:bottom w:val="single" w:sz="4" w:space="0" w:color="auto"/>
            </w:tcBorders>
            <w:noWrap/>
            <w:vAlign w:val="bottom"/>
            <w:hideMark/>
          </w:tcPr>
          <w:p w14:paraId="73FDADAF"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0.181</w:t>
            </w:r>
          </w:p>
        </w:tc>
        <w:tc>
          <w:tcPr>
            <w:tcW w:w="2126" w:type="dxa"/>
            <w:gridSpan w:val="2"/>
            <w:tcBorders>
              <w:bottom w:val="single" w:sz="4" w:space="0" w:color="auto"/>
            </w:tcBorders>
            <w:noWrap/>
            <w:vAlign w:val="bottom"/>
            <w:hideMark/>
          </w:tcPr>
          <w:p w14:paraId="65FD0B6E"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0.000</w:t>
            </w:r>
          </w:p>
        </w:tc>
        <w:tc>
          <w:tcPr>
            <w:tcW w:w="1984" w:type="dxa"/>
            <w:tcBorders>
              <w:bottom w:val="single" w:sz="4" w:space="0" w:color="auto"/>
            </w:tcBorders>
            <w:noWrap/>
            <w:vAlign w:val="bottom"/>
            <w:hideMark/>
          </w:tcPr>
          <w:p w14:paraId="37AC7AB7"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0.002</w:t>
            </w:r>
          </w:p>
        </w:tc>
        <w:tc>
          <w:tcPr>
            <w:tcW w:w="2268" w:type="dxa"/>
            <w:tcBorders>
              <w:bottom w:val="single" w:sz="4" w:space="0" w:color="auto"/>
            </w:tcBorders>
            <w:noWrap/>
            <w:vAlign w:val="bottom"/>
            <w:hideMark/>
          </w:tcPr>
          <w:p w14:paraId="6EEC8CB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0.129</w:t>
            </w:r>
          </w:p>
        </w:tc>
      </w:tr>
    </w:tbl>
    <w:p w14:paraId="14989248" w14:textId="77777777" w:rsidR="00823EF1" w:rsidRPr="00967501" w:rsidRDefault="00D6265C" w:rsidP="00F555C6">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abc Within a column, different letters indicate a significant difference at p &lt; 0.05; THS: very highly significant; S: significant; NS: not significant; 30D: 30 days; 45D: 45 days.</w:t>
      </w:r>
    </w:p>
    <w:p w14:paraId="3C3095A5" w14:textId="77777777" w:rsidR="000B2340" w:rsidRDefault="000B2340" w:rsidP="00F555C6">
      <w:pPr>
        <w:spacing w:after="0" w:line="240" w:lineRule="auto"/>
        <w:jc w:val="both"/>
        <w:rPr>
          <w:rFonts w:ascii="Times New Roman" w:hAnsi="Times New Roman" w:cs="Times New Roman"/>
          <w:lang w:val="en-US"/>
        </w:rPr>
      </w:pPr>
    </w:p>
    <w:p w14:paraId="2EE9AB57" w14:textId="77777777"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Table V shows the effect of planting density on the growth parameters of </w:t>
      </w:r>
      <w:r>
        <w:rPr>
          <w:rFonts w:ascii="Times New Roman" w:hAnsi="Times New Roman" w:cs="Times New Roman"/>
          <w:i/>
          <w:iCs/>
          <w:lang w:val="en-US"/>
        </w:rPr>
        <w:t>Eleusine indica</w:t>
      </w:r>
      <w:r>
        <w:rPr>
          <w:rFonts w:ascii="Times New Roman" w:hAnsi="Times New Roman" w:cs="Times New Roman"/>
          <w:lang w:val="en-US"/>
        </w:rPr>
        <w:t>. Analysis of variance at the 5% significance level reveals no significant difference between the 30 cm and 40 cm densities for all variables studied (p &gt; 0.05).</w:t>
      </w:r>
    </w:p>
    <w:p w14:paraId="555EFE9F" w14:textId="77777777" w:rsidR="00823EF1" w:rsidRPr="00D6265C" w:rsidRDefault="00823EF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Table V: Effect of density (mean ± standard deviation) on the development of growth parameters </w:t>
      </w:r>
    </w:p>
    <w:tbl>
      <w:tblPr>
        <w:tblW w:w="9963" w:type="dxa"/>
        <w:tblCellMar>
          <w:left w:w="70" w:type="dxa"/>
          <w:right w:w="70" w:type="dxa"/>
        </w:tblCellMar>
        <w:tblLook w:val="04A0" w:firstRow="1" w:lastRow="0" w:firstColumn="1" w:lastColumn="0" w:noHBand="0" w:noVBand="1"/>
      </w:tblPr>
      <w:tblGrid>
        <w:gridCol w:w="1380"/>
        <w:gridCol w:w="2301"/>
        <w:gridCol w:w="1989"/>
        <w:gridCol w:w="1984"/>
        <w:gridCol w:w="2309"/>
      </w:tblGrid>
      <w:tr w:rsidR="00823EF1" w:rsidRPr="004E5FDB" w14:paraId="7588DFEE" w14:textId="77777777" w:rsidTr="004E5FDB">
        <w:trPr>
          <w:trHeight w:val="511"/>
        </w:trPr>
        <w:tc>
          <w:tcPr>
            <w:tcW w:w="1380" w:type="dxa"/>
            <w:tcBorders>
              <w:top w:val="single" w:sz="4" w:space="0" w:color="auto"/>
              <w:bottom w:val="single" w:sz="4" w:space="0" w:color="auto"/>
            </w:tcBorders>
            <w:noWrap/>
            <w:vAlign w:val="bottom"/>
            <w:hideMark/>
          </w:tcPr>
          <w:p w14:paraId="385B07AF"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Density</w:t>
            </w:r>
          </w:p>
          <w:p w14:paraId="174289F6" w14:textId="77777777" w:rsidR="00823EF1" w:rsidRPr="004E5FDB" w:rsidRDefault="00823EF1" w:rsidP="00F555C6">
            <w:pPr>
              <w:spacing w:after="0" w:line="240" w:lineRule="auto"/>
              <w:jc w:val="center"/>
              <w:rPr>
                <w:rFonts w:ascii="Times New Roman" w:hAnsi="Times New Roman" w:cs="Times New Roman"/>
                <w:b/>
                <w:bCs/>
              </w:rPr>
            </w:pPr>
          </w:p>
          <w:p w14:paraId="6EB35D7C" w14:textId="77777777" w:rsidR="00823EF1" w:rsidRPr="004E5FDB" w:rsidRDefault="00823EF1" w:rsidP="00F555C6">
            <w:pPr>
              <w:spacing w:after="0" w:line="240" w:lineRule="auto"/>
              <w:jc w:val="center"/>
              <w:rPr>
                <w:rFonts w:ascii="Times New Roman" w:hAnsi="Times New Roman" w:cs="Times New Roman"/>
                <w:b/>
                <w:bCs/>
              </w:rPr>
            </w:pPr>
          </w:p>
        </w:tc>
        <w:tc>
          <w:tcPr>
            <w:tcW w:w="2301" w:type="dxa"/>
            <w:tcBorders>
              <w:top w:val="single" w:sz="4" w:space="0" w:color="auto"/>
              <w:bottom w:val="single" w:sz="4" w:space="0" w:color="auto"/>
            </w:tcBorders>
            <w:noWrap/>
            <w:vAlign w:val="bottom"/>
            <w:hideMark/>
          </w:tcPr>
          <w:p w14:paraId="721643F2"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Plant </w:t>
            </w:r>
            <w:proofErr w:type="spellStart"/>
            <w:r w:rsidRPr="004E5FDB">
              <w:rPr>
                <w:rFonts w:ascii="Times New Roman" w:hAnsi="Times New Roman" w:cs="Times New Roman"/>
                <w:b/>
                <w:bCs/>
              </w:rPr>
              <w:t>height</w:t>
            </w:r>
            <w:proofErr w:type="spellEnd"/>
          </w:p>
          <w:p w14:paraId="5B399C50"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w:t>
            </w:r>
            <w:proofErr w:type="gramStart"/>
            <w:r w:rsidRPr="004E5FDB">
              <w:rPr>
                <w:rFonts w:ascii="Times New Roman" w:hAnsi="Times New Roman" w:cs="Times New Roman"/>
                <w:b/>
                <w:bCs/>
              </w:rPr>
              <w:t>cm</w:t>
            </w:r>
            <w:proofErr w:type="gramEnd"/>
            <w:r w:rsidRPr="004E5FDB">
              <w:rPr>
                <w:rFonts w:ascii="Times New Roman" w:hAnsi="Times New Roman" w:cs="Times New Roman"/>
                <w:b/>
                <w:bCs/>
              </w:rPr>
              <w:t>)</w:t>
            </w:r>
          </w:p>
        </w:tc>
        <w:tc>
          <w:tcPr>
            <w:tcW w:w="1989" w:type="dxa"/>
            <w:tcBorders>
              <w:top w:val="single" w:sz="4" w:space="0" w:color="auto"/>
              <w:bottom w:val="single" w:sz="4" w:space="0" w:color="auto"/>
            </w:tcBorders>
            <w:noWrap/>
            <w:vAlign w:val="bottom"/>
            <w:hideMark/>
          </w:tcPr>
          <w:p w14:paraId="4C2E9D93" w14:textId="77777777" w:rsidR="00823EF1"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Number of </w:t>
            </w:r>
            <w:proofErr w:type="spellStart"/>
            <w:r w:rsidRPr="004E5FDB">
              <w:rPr>
                <w:rFonts w:ascii="Times New Roman" w:hAnsi="Times New Roman" w:cs="Times New Roman"/>
                <w:b/>
                <w:bCs/>
              </w:rPr>
              <w:t>tillers</w:t>
            </w:r>
            <w:proofErr w:type="spellEnd"/>
          </w:p>
          <w:p w14:paraId="335FFB8D" w14:textId="77777777" w:rsidR="004E5FDB" w:rsidRDefault="004E5FDB" w:rsidP="00F555C6">
            <w:pPr>
              <w:spacing w:after="0" w:line="240" w:lineRule="auto"/>
              <w:jc w:val="center"/>
              <w:rPr>
                <w:rFonts w:ascii="Times New Roman" w:hAnsi="Times New Roman" w:cs="Times New Roman"/>
                <w:b/>
                <w:bCs/>
              </w:rPr>
            </w:pPr>
          </w:p>
          <w:p w14:paraId="04422053" w14:textId="77777777" w:rsidR="004E5FDB" w:rsidRPr="004E5FDB" w:rsidRDefault="004E5FDB" w:rsidP="00F555C6">
            <w:pPr>
              <w:spacing w:after="0" w:line="240" w:lineRule="auto"/>
              <w:jc w:val="center"/>
              <w:rPr>
                <w:rFonts w:ascii="Times New Roman" w:hAnsi="Times New Roman" w:cs="Times New Roman"/>
                <w:b/>
                <w:bCs/>
              </w:rPr>
            </w:pPr>
          </w:p>
        </w:tc>
        <w:tc>
          <w:tcPr>
            <w:tcW w:w="1984" w:type="dxa"/>
            <w:tcBorders>
              <w:top w:val="single" w:sz="4" w:space="0" w:color="auto"/>
              <w:bottom w:val="single" w:sz="4" w:space="0" w:color="auto"/>
            </w:tcBorders>
            <w:noWrap/>
            <w:vAlign w:val="bottom"/>
            <w:hideMark/>
          </w:tcPr>
          <w:p w14:paraId="77DECA4B" w14:textId="77777777" w:rsidR="00823EF1"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Number of </w:t>
            </w:r>
            <w:proofErr w:type="spellStart"/>
            <w:r w:rsidRPr="004E5FDB">
              <w:rPr>
                <w:rFonts w:ascii="Times New Roman" w:hAnsi="Times New Roman" w:cs="Times New Roman"/>
                <w:b/>
                <w:bCs/>
              </w:rPr>
              <w:t>leaves</w:t>
            </w:r>
            <w:proofErr w:type="spellEnd"/>
          </w:p>
          <w:p w14:paraId="39039DA7" w14:textId="77777777" w:rsidR="004E5FDB" w:rsidRPr="004E5FDB" w:rsidRDefault="004E5FDB" w:rsidP="00F555C6">
            <w:pPr>
              <w:spacing w:after="0" w:line="240" w:lineRule="auto"/>
              <w:jc w:val="center"/>
              <w:rPr>
                <w:rFonts w:ascii="Times New Roman" w:hAnsi="Times New Roman" w:cs="Times New Roman"/>
                <w:b/>
                <w:bCs/>
              </w:rPr>
            </w:pPr>
          </w:p>
          <w:p w14:paraId="5AC3D3A0" w14:textId="77777777" w:rsidR="00823EF1" w:rsidRPr="004E5FDB" w:rsidRDefault="00823EF1" w:rsidP="00F555C6">
            <w:pPr>
              <w:spacing w:after="0" w:line="240" w:lineRule="auto"/>
              <w:jc w:val="center"/>
              <w:rPr>
                <w:rFonts w:ascii="Times New Roman" w:hAnsi="Times New Roman" w:cs="Times New Roman"/>
                <w:b/>
                <w:bCs/>
              </w:rPr>
            </w:pPr>
          </w:p>
        </w:tc>
        <w:tc>
          <w:tcPr>
            <w:tcW w:w="2309" w:type="dxa"/>
            <w:tcBorders>
              <w:top w:val="single" w:sz="4" w:space="0" w:color="auto"/>
              <w:bottom w:val="single" w:sz="4" w:space="0" w:color="auto"/>
            </w:tcBorders>
            <w:noWrap/>
            <w:vAlign w:val="bottom"/>
            <w:hideMark/>
          </w:tcPr>
          <w:p w14:paraId="259A97AA"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 xml:space="preserve">Leaf </w:t>
            </w:r>
            <w:proofErr w:type="spellStart"/>
            <w:r w:rsidRPr="004E5FDB">
              <w:rPr>
                <w:rFonts w:ascii="Times New Roman" w:hAnsi="Times New Roman" w:cs="Times New Roman"/>
                <w:b/>
                <w:bCs/>
              </w:rPr>
              <w:t>length</w:t>
            </w:r>
            <w:proofErr w:type="spellEnd"/>
          </w:p>
          <w:p w14:paraId="36B915DF" w14:textId="77777777" w:rsidR="00823EF1" w:rsidRPr="004E5FDB" w:rsidRDefault="00823EF1" w:rsidP="00F555C6">
            <w:pPr>
              <w:spacing w:after="0" w:line="240" w:lineRule="auto"/>
              <w:jc w:val="center"/>
              <w:rPr>
                <w:rFonts w:ascii="Times New Roman" w:hAnsi="Times New Roman" w:cs="Times New Roman"/>
                <w:b/>
                <w:bCs/>
              </w:rPr>
            </w:pPr>
            <w:r w:rsidRPr="004E5FDB">
              <w:rPr>
                <w:rFonts w:ascii="Times New Roman" w:hAnsi="Times New Roman" w:cs="Times New Roman"/>
                <w:b/>
                <w:bCs/>
              </w:rPr>
              <w:t>(</w:t>
            </w:r>
            <w:proofErr w:type="gramStart"/>
            <w:r w:rsidRPr="004E5FDB">
              <w:rPr>
                <w:rFonts w:ascii="Times New Roman" w:hAnsi="Times New Roman" w:cs="Times New Roman"/>
                <w:b/>
                <w:bCs/>
              </w:rPr>
              <w:t>cm</w:t>
            </w:r>
            <w:proofErr w:type="gramEnd"/>
            <w:r w:rsidRPr="004E5FDB">
              <w:rPr>
                <w:rFonts w:ascii="Times New Roman" w:hAnsi="Times New Roman" w:cs="Times New Roman"/>
                <w:b/>
                <w:bCs/>
              </w:rPr>
              <w:t>)</w:t>
            </w:r>
          </w:p>
        </w:tc>
      </w:tr>
      <w:tr w:rsidR="00823EF1" w:rsidRPr="004E5FDB" w14:paraId="0E6E25B4" w14:textId="77777777" w:rsidTr="004E5FDB">
        <w:trPr>
          <w:trHeight w:val="175"/>
        </w:trPr>
        <w:tc>
          <w:tcPr>
            <w:tcW w:w="1380" w:type="dxa"/>
            <w:tcBorders>
              <w:top w:val="single" w:sz="4" w:space="0" w:color="auto"/>
            </w:tcBorders>
            <w:noWrap/>
            <w:vAlign w:val="bottom"/>
            <w:hideMark/>
          </w:tcPr>
          <w:p w14:paraId="1F03981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30 cm</w:t>
            </w:r>
          </w:p>
        </w:tc>
        <w:tc>
          <w:tcPr>
            <w:tcW w:w="2301" w:type="dxa"/>
            <w:tcBorders>
              <w:top w:val="single" w:sz="4" w:space="0" w:color="auto"/>
            </w:tcBorders>
            <w:noWrap/>
            <w:vAlign w:val="bottom"/>
            <w:hideMark/>
          </w:tcPr>
          <w:p w14:paraId="67EE49C0"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17.49±1.63</w:t>
            </w:r>
            <w:r w:rsidRPr="004E5FDB">
              <w:rPr>
                <w:rFonts w:ascii="Times New Roman" w:hAnsi="Times New Roman" w:cs="Times New Roman"/>
                <w:vertAlign w:val="superscript"/>
              </w:rPr>
              <w:t>a</w:t>
            </w:r>
          </w:p>
        </w:tc>
        <w:tc>
          <w:tcPr>
            <w:tcW w:w="1989" w:type="dxa"/>
            <w:tcBorders>
              <w:top w:val="single" w:sz="4" w:space="0" w:color="auto"/>
            </w:tcBorders>
            <w:noWrap/>
            <w:vAlign w:val="bottom"/>
            <w:hideMark/>
          </w:tcPr>
          <w:p w14:paraId="3B9028B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19.35±5.09</w:t>
            </w:r>
            <w:r w:rsidRPr="004E5FDB">
              <w:rPr>
                <w:rFonts w:ascii="Times New Roman" w:hAnsi="Times New Roman" w:cs="Times New Roman"/>
                <w:vertAlign w:val="superscript"/>
              </w:rPr>
              <w:t>a</w:t>
            </w:r>
          </w:p>
        </w:tc>
        <w:tc>
          <w:tcPr>
            <w:tcW w:w="1984" w:type="dxa"/>
            <w:tcBorders>
              <w:top w:val="single" w:sz="4" w:space="0" w:color="auto"/>
            </w:tcBorders>
            <w:noWrap/>
            <w:vAlign w:val="bottom"/>
            <w:hideMark/>
          </w:tcPr>
          <w:p w14:paraId="24769F6B"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74.59±21.63</w:t>
            </w:r>
            <w:r w:rsidRPr="004E5FDB">
              <w:rPr>
                <w:rFonts w:ascii="Times New Roman" w:hAnsi="Times New Roman" w:cs="Times New Roman"/>
                <w:vertAlign w:val="superscript"/>
              </w:rPr>
              <w:t>a</w:t>
            </w:r>
          </w:p>
        </w:tc>
        <w:tc>
          <w:tcPr>
            <w:tcW w:w="2309" w:type="dxa"/>
            <w:tcBorders>
              <w:top w:val="single" w:sz="4" w:space="0" w:color="auto"/>
            </w:tcBorders>
            <w:noWrap/>
            <w:vAlign w:val="bottom"/>
            <w:hideMark/>
          </w:tcPr>
          <w:p w14:paraId="75CE826A"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10.26±1.30</w:t>
            </w:r>
            <w:r w:rsidRPr="004E5FDB">
              <w:rPr>
                <w:rFonts w:ascii="Times New Roman" w:hAnsi="Times New Roman" w:cs="Times New Roman"/>
                <w:vertAlign w:val="superscript"/>
              </w:rPr>
              <w:t>a</w:t>
            </w:r>
          </w:p>
        </w:tc>
      </w:tr>
      <w:tr w:rsidR="00823EF1" w:rsidRPr="004E5FDB" w14:paraId="78960B75" w14:textId="77777777" w:rsidTr="004E5FDB">
        <w:trPr>
          <w:trHeight w:val="181"/>
        </w:trPr>
        <w:tc>
          <w:tcPr>
            <w:tcW w:w="1380" w:type="dxa"/>
            <w:noWrap/>
            <w:vAlign w:val="bottom"/>
            <w:hideMark/>
          </w:tcPr>
          <w:p w14:paraId="32A93459"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40 cm</w:t>
            </w:r>
          </w:p>
        </w:tc>
        <w:tc>
          <w:tcPr>
            <w:tcW w:w="2301" w:type="dxa"/>
            <w:noWrap/>
            <w:vAlign w:val="bottom"/>
            <w:hideMark/>
          </w:tcPr>
          <w:p w14:paraId="2049F88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16.59±2.75</w:t>
            </w:r>
            <w:r w:rsidRPr="004E5FDB">
              <w:rPr>
                <w:rFonts w:ascii="Times New Roman" w:hAnsi="Times New Roman" w:cs="Times New Roman"/>
                <w:vertAlign w:val="superscript"/>
              </w:rPr>
              <w:t>a</w:t>
            </w:r>
          </w:p>
        </w:tc>
        <w:tc>
          <w:tcPr>
            <w:tcW w:w="1989" w:type="dxa"/>
            <w:noWrap/>
            <w:vAlign w:val="bottom"/>
            <w:hideMark/>
          </w:tcPr>
          <w:p w14:paraId="50CFFD60"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20.57±4.72</w:t>
            </w:r>
            <w:r w:rsidRPr="004E5FDB">
              <w:rPr>
                <w:rFonts w:ascii="Times New Roman" w:hAnsi="Times New Roman" w:cs="Times New Roman"/>
                <w:vertAlign w:val="superscript"/>
              </w:rPr>
              <w:t>a</w:t>
            </w:r>
          </w:p>
        </w:tc>
        <w:tc>
          <w:tcPr>
            <w:tcW w:w="1984" w:type="dxa"/>
            <w:noWrap/>
            <w:vAlign w:val="bottom"/>
            <w:hideMark/>
          </w:tcPr>
          <w:p w14:paraId="56383DC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71.02±20.68</w:t>
            </w:r>
            <w:r w:rsidRPr="004E5FDB">
              <w:rPr>
                <w:rFonts w:ascii="Times New Roman" w:hAnsi="Times New Roman" w:cs="Times New Roman"/>
                <w:vertAlign w:val="superscript"/>
              </w:rPr>
              <w:t>a</w:t>
            </w:r>
          </w:p>
        </w:tc>
        <w:tc>
          <w:tcPr>
            <w:tcW w:w="2309" w:type="dxa"/>
            <w:noWrap/>
            <w:vAlign w:val="bottom"/>
            <w:hideMark/>
          </w:tcPr>
          <w:p w14:paraId="46A665A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9.77±1.55</w:t>
            </w:r>
            <w:r w:rsidRPr="004E5FDB">
              <w:rPr>
                <w:rFonts w:ascii="Times New Roman" w:hAnsi="Times New Roman" w:cs="Times New Roman"/>
                <w:vertAlign w:val="superscript"/>
              </w:rPr>
              <w:t>a</w:t>
            </w:r>
          </w:p>
        </w:tc>
      </w:tr>
      <w:tr w:rsidR="00823EF1" w:rsidRPr="004E5FDB" w14:paraId="5FE8E0FC" w14:textId="77777777" w:rsidTr="004E5FDB">
        <w:trPr>
          <w:trHeight w:val="188"/>
        </w:trPr>
        <w:tc>
          <w:tcPr>
            <w:tcW w:w="1380" w:type="dxa"/>
            <w:noWrap/>
            <w:vAlign w:val="bottom"/>
            <w:hideMark/>
          </w:tcPr>
          <w:p w14:paraId="2F428144"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Significance</w:t>
            </w:r>
          </w:p>
        </w:tc>
        <w:tc>
          <w:tcPr>
            <w:tcW w:w="2301" w:type="dxa"/>
            <w:noWrap/>
            <w:vAlign w:val="bottom"/>
            <w:hideMark/>
          </w:tcPr>
          <w:p w14:paraId="2565C7A0"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1989" w:type="dxa"/>
            <w:noWrap/>
            <w:vAlign w:val="bottom"/>
            <w:hideMark/>
          </w:tcPr>
          <w:p w14:paraId="4CA80843"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1984" w:type="dxa"/>
            <w:noWrap/>
            <w:vAlign w:val="bottom"/>
            <w:hideMark/>
          </w:tcPr>
          <w:p w14:paraId="6551C296"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c>
          <w:tcPr>
            <w:tcW w:w="2309" w:type="dxa"/>
            <w:noWrap/>
            <w:vAlign w:val="bottom"/>
            <w:hideMark/>
          </w:tcPr>
          <w:p w14:paraId="0CA2E2F1"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NS</w:t>
            </w:r>
          </w:p>
        </w:tc>
      </w:tr>
      <w:tr w:rsidR="00823EF1" w:rsidRPr="004E5FDB" w14:paraId="0A50F71B" w14:textId="77777777" w:rsidTr="004E5FDB">
        <w:trPr>
          <w:trHeight w:val="53"/>
        </w:trPr>
        <w:tc>
          <w:tcPr>
            <w:tcW w:w="1380" w:type="dxa"/>
            <w:tcBorders>
              <w:bottom w:val="single" w:sz="4" w:space="0" w:color="auto"/>
            </w:tcBorders>
            <w:noWrap/>
            <w:vAlign w:val="bottom"/>
            <w:hideMark/>
          </w:tcPr>
          <w:p w14:paraId="040C0E8C"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Probability</w:t>
            </w:r>
          </w:p>
        </w:tc>
        <w:tc>
          <w:tcPr>
            <w:tcW w:w="2301" w:type="dxa"/>
            <w:tcBorders>
              <w:bottom w:val="single" w:sz="4" w:space="0" w:color="auto"/>
            </w:tcBorders>
            <w:noWrap/>
            <w:vAlign w:val="bottom"/>
            <w:hideMark/>
          </w:tcPr>
          <w:p w14:paraId="5D96D305"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0.596</w:t>
            </w:r>
          </w:p>
        </w:tc>
        <w:tc>
          <w:tcPr>
            <w:tcW w:w="1989" w:type="dxa"/>
            <w:tcBorders>
              <w:bottom w:val="single" w:sz="4" w:space="0" w:color="auto"/>
            </w:tcBorders>
            <w:noWrap/>
            <w:vAlign w:val="bottom"/>
            <w:hideMark/>
          </w:tcPr>
          <w:p w14:paraId="7E2A4F90"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0.792</w:t>
            </w:r>
          </w:p>
        </w:tc>
        <w:tc>
          <w:tcPr>
            <w:tcW w:w="1984" w:type="dxa"/>
            <w:tcBorders>
              <w:bottom w:val="single" w:sz="4" w:space="0" w:color="auto"/>
            </w:tcBorders>
            <w:noWrap/>
            <w:vAlign w:val="bottom"/>
            <w:hideMark/>
          </w:tcPr>
          <w:p w14:paraId="383B44F8"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0.294</w:t>
            </w:r>
          </w:p>
        </w:tc>
        <w:tc>
          <w:tcPr>
            <w:tcW w:w="2309" w:type="dxa"/>
            <w:tcBorders>
              <w:bottom w:val="single" w:sz="4" w:space="0" w:color="auto"/>
            </w:tcBorders>
            <w:noWrap/>
            <w:vAlign w:val="bottom"/>
            <w:hideMark/>
          </w:tcPr>
          <w:p w14:paraId="54D1A919" w14:textId="77777777" w:rsidR="00823EF1" w:rsidRPr="004E5FDB" w:rsidRDefault="00823EF1" w:rsidP="00F555C6">
            <w:pPr>
              <w:spacing w:after="0" w:line="240" w:lineRule="auto"/>
              <w:jc w:val="center"/>
              <w:rPr>
                <w:rFonts w:ascii="Times New Roman" w:hAnsi="Times New Roman" w:cs="Times New Roman"/>
              </w:rPr>
            </w:pPr>
            <w:r w:rsidRPr="004E5FDB">
              <w:rPr>
                <w:rFonts w:ascii="Times New Roman" w:hAnsi="Times New Roman" w:cs="Times New Roman"/>
              </w:rPr>
              <w:t>0.545</w:t>
            </w:r>
          </w:p>
        </w:tc>
      </w:tr>
    </w:tbl>
    <w:p w14:paraId="5F24842C" w14:textId="77777777" w:rsidR="00967501" w:rsidRPr="00967501" w:rsidRDefault="00D6265C" w:rsidP="00F555C6">
      <w:pPr>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t>abc</w:t>
      </w:r>
      <w:proofErr w:type="spellEnd"/>
      <w:r>
        <w:rPr>
          <w:rFonts w:ascii="Times New Roman" w:hAnsi="Times New Roman" w:cs="Times New Roman"/>
          <w:sz w:val="20"/>
          <w:szCs w:val="20"/>
          <w:lang w:val="en-US"/>
        </w:rPr>
        <w:t>: Within a column, different letters indicate a significant difference at p &lt; 0.05; NS: not significant; 30 cm: 30 cm spacing between plants; 40 cm: 40 cm spacing between plants.</w:t>
      </w:r>
    </w:p>
    <w:p w14:paraId="16EF8320" w14:textId="77777777" w:rsidR="00F555C6" w:rsidRDefault="00F555C6" w:rsidP="00F555C6">
      <w:pPr>
        <w:spacing w:after="0" w:line="240" w:lineRule="auto"/>
        <w:jc w:val="both"/>
        <w:rPr>
          <w:rFonts w:ascii="Times New Roman" w:hAnsi="Times New Roman" w:cs="Times New Roman"/>
          <w:lang w:val="en-US"/>
        </w:rPr>
      </w:pPr>
    </w:p>
    <w:p w14:paraId="7D860EC1"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highlight w:val="yellow"/>
          <w:lang w:val="en-US"/>
        </w:rPr>
        <w:t>Figure 4 illustrates</w:t>
      </w:r>
      <w:r>
        <w:rPr>
          <w:rFonts w:ascii="Times New Roman" w:hAnsi="Times New Roman" w:cs="Times New Roman"/>
          <w:lang w:val="en-US"/>
        </w:rPr>
        <w:t xml:space="preserve"> the change in the height of </w:t>
      </w:r>
      <w:r>
        <w:rPr>
          <w:rFonts w:ascii="Times New Roman" w:hAnsi="Times New Roman" w:cs="Times New Roman"/>
          <w:i/>
          <w:iCs/>
          <w:lang w:val="en-US"/>
        </w:rPr>
        <w:t>Eleusine indica</w:t>
      </w:r>
      <w:r>
        <w:rPr>
          <w:rFonts w:ascii="Times New Roman" w:hAnsi="Times New Roman" w:cs="Times New Roman"/>
          <w:lang w:val="en-US"/>
        </w:rPr>
        <w:t xml:space="preserve"> according to the treatments (T1 to T8) over the 13 weeks of monitoring (W1 to W13). The initial values are comparable across treatments (</w:t>
      </w:r>
      <w:r>
        <w:rPr>
          <w:rFonts w:ascii="Times New Roman" w:hAnsi="Times New Roman" w:cs="Times New Roman"/>
          <w:highlight w:val="yellow"/>
          <w:lang w:val="en-US"/>
        </w:rPr>
        <w:t>15–25 cm</w:t>
      </w:r>
      <w:r>
        <w:rPr>
          <w:rFonts w:ascii="Times New Roman" w:hAnsi="Times New Roman" w:cs="Times New Roman"/>
          <w:lang w:val="en-US"/>
        </w:rPr>
        <w:t xml:space="preserve">). A phase of rapid growth is observed between W1 and W5, particularly pronounced for T1, which increases from 22.33 to 44.27 cm. </w:t>
      </w:r>
      <w:r>
        <w:rPr>
          <w:rFonts w:ascii="Times New Roman" w:hAnsi="Times New Roman" w:cs="Times New Roman"/>
          <w:highlight w:val="yellow"/>
          <w:lang w:val="en-US"/>
        </w:rPr>
        <w:t>From W5 onwards, most growth curves tend towards stabilisation.</w:t>
      </w:r>
      <w:r>
        <w:rPr>
          <w:rFonts w:ascii="Times New Roman" w:hAnsi="Times New Roman" w:cs="Times New Roman"/>
          <w:lang w:val="en-US"/>
        </w:rPr>
        <w:t xml:space="preserve"> Treatment T1 reaches a maximum height of 45.13 cm at W7, </w:t>
      </w:r>
      <w:r>
        <w:rPr>
          <w:rFonts w:ascii="Times New Roman" w:hAnsi="Times New Roman" w:cs="Times New Roman"/>
          <w:highlight w:val="yellow"/>
          <w:lang w:val="en-US"/>
        </w:rPr>
        <w:t>and then remains on a plateau</w:t>
      </w:r>
      <w:r>
        <w:rPr>
          <w:rFonts w:ascii="Times New Roman" w:hAnsi="Times New Roman" w:cs="Times New Roman"/>
          <w:lang w:val="en-US"/>
        </w:rPr>
        <w:t xml:space="preserve">. Treatment T2 shows the lowest growth, with a maximum value of 29.89 cm. Treatments T3, T4, T5, T6, T7, and T8 exhibit intermediate growth rates, with maximum heights ranging from approximately 33 to 38 cm. Overall, most treatments reach a plateau </w:t>
      </w:r>
      <w:r>
        <w:rPr>
          <w:rFonts w:ascii="Times New Roman" w:hAnsi="Times New Roman" w:cs="Times New Roman"/>
          <w:highlight w:val="yellow"/>
          <w:lang w:val="en-US"/>
        </w:rPr>
        <w:t>before W7</w:t>
      </w:r>
      <w:r>
        <w:rPr>
          <w:rFonts w:ascii="Times New Roman" w:hAnsi="Times New Roman" w:cs="Times New Roman"/>
          <w:lang w:val="en-US"/>
        </w:rPr>
        <w:t xml:space="preserve">, indicating a </w:t>
      </w:r>
      <w:r>
        <w:rPr>
          <w:rFonts w:ascii="Times New Roman" w:hAnsi="Times New Roman" w:cs="Times New Roman"/>
          <w:highlight w:val="yellow"/>
          <w:lang w:val="en-US"/>
        </w:rPr>
        <w:t>stabilisation</w:t>
      </w:r>
      <w:r>
        <w:rPr>
          <w:rFonts w:ascii="Times New Roman" w:hAnsi="Times New Roman" w:cs="Times New Roman"/>
          <w:lang w:val="en-US"/>
        </w:rPr>
        <w:t xml:space="preserve"> of growth.</w:t>
      </w:r>
    </w:p>
    <w:p w14:paraId="1AF101CB" w14:textId="77777777" w:rsidR="00967501" w:rsidRPr="00967501" w:rsidRDefault="003575BC" w:rsidP="00F555C6">
      <w:pPr>
        <w:spacing w:after="0" w:line="240" w:lineRule="auto"/>
        <w:jc w:val="center"/>
        <w:rPr>
          <w:rFonts w:ascii="Times New Roman" w:hAnsi="Times New Roman" w:cs="Times New Roman"/>
          <w:sz w:val="20"/>
          <w:szCs w:val="20"/>
          <w:lang w:val="en-US"/>
        </w:rPr>
      </w:pPr>
      <w:r>
        <w:rPr>
          <w:rFonts w:ascii="Times New Roman" w:hAnsi="Times New Roman" w:cs="Times New Roman"/>
          <w:noProof/>
          <w:sz w:val="20"/>
          <w:szCs w:val="20"/>
          <w:lang w:val="en-US"/>
        </w:rPr>
        <w:lastRenderedPageBreak/>
        <w:drawing>
          <wp:inline distT="0" distB="0" distL="0" distR="0" wp14:anchorId="62481D30" wp14:editId="149D12F4">
            <wp:extent cx="4009292" cy="2772579"/>
            <wp:effectExtent l="0" t="0" r="0" b="889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30438" cy="2787202"/>
                    </a:xfrm>
                    <a:prstGeom prst="rect">
                      <a:avLst/>
                    </a:prstGeom>
                    <a:noFill/>
                  </pic:spPr>
                </pic:pic>
              </a:graphicData>
            </a:graphic>
          </wp:inline>
        </w:drawing>
      </w:r>
    </w:p>
    <w:p w14:paraId="2ADE9001" w14:textId="77777777" w:rsidR="00967501" w:rsidRPr="00D6265C" w:rsidRDefault="00967501" w:rsidP="00F555C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Figure </w:t>
      </w:r>
      <w:r w:rsidR="000B2340">
        <w:rPr>
          <w:rFonts w:ascii="Times New Roman" w:hAnsi="Times New Roman" w:cs="Times New Roman"/>
          <w:lang w:val="en-US"/>
        </w:rPr>
        <w:t>4</w:t>
      </w:r>
      <w:r>
        <w:rPr>
          <w:rFonts w:ascii="Times New Roman" w:hAnsi="Times New Roman" w:cs="Times New Roman"/>
          <w:lang w:val="en-US"/>
        </w:rPr>
        <w:t xml:space="preserve">: Growth of </w:t>
      </w:r>
      <w:r w:rsidRPr="0029211F">
        <w:rPr>
          <w:rFonts w:ascii="Times New Roman" w:hAnsi="Times New Roman" w:cs="Times New Roman"/>
          <w:i/>
          <w:iCs/>
          <w:lang w:val="en-US"/>
        </w:rPr>
        <w:t>Eleusine indica</w:t>
      </w:r>
      <w:r>
        <w:rPr>
          <w:rFonts w:ascii="Times New Roman" w:hAnsi="Times New Roman" w:cs="Times New Roman"/>
          <w:lang w:val="en-US"/>
        </w:rPr>
        <w:t xml:space="preserve"> as a function of treatment and time.</w:t>
      </w:r>
    </w:p>
    <w:p w14:paraId="3747463D" w14:textId="77777777" w:rsidR="00967501" w:rsidRPr="00967501" w:rsidRDefault="00967501" w:rsidP="00F555C6">
      <w:pPr>
        <w:spacing w:after="0" w:line="240" w:lineRule="auto"/>
        <w:jc w:val="both"/>
        <w:rPr>
          <w:rFonts w:ascii="Times New Roman" w:hAnsi="Times New Roman" w:cs="Times New Roman"/>
          <w:sz w:val="20"/>
          <w:szCs w:val="20"/>
          <w:lang w:val="en-US"/>
        </w:rPr>
      </w:pPr>
      <w:r>
        <w:rPr>
          <w:rFonts w:ascii="Times New Roman" w:hAnsi="Times New Roman" w:cs="Times New Roman"/>
          <w:sz w:val="20"/>
          <w:szCs w:val="20"/>
          <w:lang w:val="en-US"/>
        </w:rPr>
        <w:t>T1 = fertilizer + 30 days before cutting + 30 cm between plants; T2 = fertilizer + 30 days before cutting + 40 cm between plants; T3 = fertilizer + 45 days before cutting + 30 cm between plants; T4 = fertilizer + 45 days before cutting + 40 cm between plants; T5 = no fertilizer + 30 days before cutting + 30 cm between plants; T6 = no fertilizer + 30 days before cutting + 40 cm between plants; T7 = no fertilizer + 45 days before cutting + 30 cm between plants; T8 = no fertilizer + 45 days before cutting + 40 cm between plants.</w:t>
      </w:r>
    </w:p>
    <w:p w14:paraId="445E5DC3" w14:textId="77777777" w:rsidR="000B2340" w:rsidRDefault="000B2340" w:rsidP="00F555C6">
      <w:pPr>
        <w:spacing w:after="0" w:line="240" w:lineRule="auto"/>
        <w:jc w:val="both"/>
        <w:rPr>
          <w:rFonts w:ascii="Times New Roman" w:hAnsi="Times New Roman" w:cs="Times New Roman"/>
          <w:b/>
          <w:bCs/>
          <w:lang w:val="en-US"/>
        </w:rPr>
      </w:pPr>
    </w:p>
    <w:p w14:paraId="733FE63E" w14:textId="77777777" w:rsidR="00967501" w:rsidRPr="009D2B50" w:rsidRDefault="0096750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 xml:space="preserve">Effect of treatments on average productivity and number of grazing days for </w:t>
      </w:r>
      <w:r>
        <w:rPr>
          <w:rFonts w:ascii="Times New Roman" w:hAnsi="Times New Roman" w:cs="Times New Roman"/>
          <w:b/>
          <w:bCs/>
          <w:i/>
          <w:iCs/>
          <w:lang w:val="en-US"/>
        </w:rPr>
        <w:t>Eleusine indica</w:t>
      </w:r>
    </w:p>
    <w:p w14:paraId="7570C1A5"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Table VI presents the average productivity in terms of fresh (FM) and dry (DM) biomass, as well as the number of grazing days </w:t>
      </w:r>
      <w:r>
        <w:rPr>
          <w:rFonts w:ascii="Times New Roman" w:hAnsi="Times New Roman" w:cs="Times New Roman"/>
          <w:highlight w:val="yellow"/>
          <w:lang w:val="en-US"/>
        </w:rPr>
        <w:t>among the treatments</w:t>
      </w:r>
      <w:r>
        <w:rPr>
          <w:rFonts w:ascii="Times New Roman" w:hAnsi="Times New Roman" w:cs="Times New Roman"/>
          <w:lang w:val="en-US"/>
        </w:rPr>
        <w:t xml:space="preserve"> (T1 to T8). According to the statistical analysis, </w:t>
      </w:r>
      <w:r>
        <w:rPr>
          <w:rFonts w:ascii="Times New Roman" w:hAnsi="Times New Roman" w:cs="Times New Roman"/>
          <w:highlight w:val="yellow"/>
          <w:lang w:val="en-US"/>
        </w:rPr>
        <w:t>there was no significant difference between the treatments</w:t>
      </w:r>
      <w:r>
        <w:rPr>
          <w:rFonts w:ascii="Times New Roman" w:hAnsi="Times New Roman" w:cs="Times New Roman"/>
          <w:lang w:val="en-US"/>
        </w:rPr>
        <w:t xml:space="preserve"> (p &gt; 0.05). However, the observed values indicate higher average yields for treatments T1 (660 kg DM ha⁻¹) and T2 (546.6 kg DM ha⁻¹), corresponding to 37 and 31 grazing days, respectively. Treatments T3, T4, T5, T6, T7, and T8 showed average yields ranging from 413.3 to 546.6 kg DM ha⁻¹, with values generally close to one another despite the diversity of experimental conditions. Treatment T3 (</w:t>
      </w:r>
      <w:r>
        <w:rPr>
          <w:rFonts w:ascii="Times New Roman" w:hAnsi="Times New Roman" w:cs="Times New Roman"/>
          <w:highlight w:val="yellow"/>
          <w:lang w:val="en-US"/>
        </w:rPr>
        <w:t>fertiliser</w:t>
      </w:r>
      <w:r>
        <w:rPr>
          <w:rFonts w:ascii="Times New Roman" w:hAnsi="Times New Roman" w:cs="Times New Roman"/>
          <w:lang w:val="en-US"/>
        </w:rPr>
        <w:t xml:space="preserve"> + 45 days before cutting + 30 cm spacing) had the lowest number of grazing days, at 23 days.</w:t>
      </w:r>
    </w:p>
    <w:p w14:paraId="01C1D127" w14:textId="77777777" w:rsidR="00F555C6" w:rsidRDefault="00F555C6" w:rsidP="00F555C6">
      <w:pPr>
        <w:spacing w:after="0" w:line="240" w:lineRule="auto"/>
        <w:jc w:val="both"/>
        <w:rPr>
          <w:rFonts w:ascii="Times New Roman" w:hAnsi="Times New Roman" w:cs="Times New Roman"/>
          <w:lang w:val="en-US"/>
        </w:rPr>
      </w:pPr>
    </w:p>
    <w:p w14:paraId="0381828A"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Table VI: Average productivity (mean ± standard deviation) of biomass and number of grazing days by treatment in </w:t>
      </w:r>
      <w:r w:rsidRPr="00D60594">
        <w:rPr>
          <w:rFonts w:ascii="Times New Roman" w:hAnsi="Times New Roman" w:cs="Times New Roman"/>
          <w:i/>
          <w:iCs/>
          <w:lang w:val="en-US"/>
        </w:rPr>
        <w:t>Eleusine indica</w:t>
      </w:r>
    </w:p>
    <w:tbl>
      <w:tblPr>
        <w:tblW w:w="8647" w:type="dxa"/>
        <w:jc w:val="center"/>
        <w:tblCellMar>
          <w:left w:w="70" w:type="dxa"/>
          <w:right w:w="70" w:type="dxa"/>
        </w:tblCellMar>
        <w:tblLook w:val="04A0" w:firstRow="1" w:lastRow="0" w:firstColumn="1" w:lastColumn="0" w:noHBand="0" w:noVBand="1"/>
      </w:tblPr>
      <w:tblGrid>
        <w:gridCol w:w="1300"/>
        <w:gridCol w:w="1677"/>
        <w:gridCol w:w="2268"/>
        <w:gridCol w:w="1701"/>
        <w:gridCol w:w="1701"/>
      </w:tblGrid>
      <w:tr w:rsidR="00967501" w:rsidRPr="00D60594" w14:paraId="3A47EC01" w14:textId="77777777" w:rsidTr="002316EB">
        <w:trPr>
          <w:trHeight w:val="416"/>
          <w:jc w:val="center"/>
        </w:trPr>
        <w:tc>
          <w:tcPr>
            <w:tcW w:w="1300" w:type="dxa"/>
            <w:tcBorders>
              <w:top w:val="single" w:sz="4" w:space="0" w:color="auto"/>
              <w:bottom w:val="single" w:sz="4" w:space="0" w:color="auto"/>
            </w:tcBorders>
            <w:noWrap/>
            <w:vAlign w:val="bottom"/>
            <w:hideMark/>
          </w:tcPr>
          <w:p w14:paraId="1A79928C" w14:textId="77777777" w:rsidR="00967501" w:rsidRDefault="00967501" w:rsidP="00F555C6">
            <w:pPr>
              <w:spacing w:after="0" w:line="240" w:lineRule="auto"/>
              <w:jc w:val="center"/>
              <w:rPr>
                <w:rFonts w:ascii="Times New Roman" w:hAnsi="Times New Roman" w:cs="Times New Roman"/>
                <w:b/>
                <w:bCs/>
              </w:rPr>
            </w:pPr>
            <w:proofErr w:type="spellStart"/>
            <w:r w:rsidRPr="00D60594">
              <w:rPr>
                <w:rFonts w:ascii="Times New Roman" w:hAnsi="Times New Roman" w:cs="Times New Roman"/>
                <w:b/>
                <w:bCs/>
              </w:rPr>
              <w:t>Treatment</w:t>
            </w:r>
            <w:proofErr w:type="spellEnd"/>
          </w:p>
          <w:p w14:paraId="44F7C7FC" w14:textId="77777777" w:rsidR="00D60594" w:rsidRPr="00D60594" w:rsidRDefault="00D60594" w:rsidP="00F555C6">
            <w:pPr>
              <w:spacing w:after="0" w:line="240" w:lineRule="auto"/>
              <w:jc w:val="center"/>
              <w:rPr>
                <w:rFonts w:ascii="Times New Roman" w:hAnsi="Times New Roman" w:cs="Times New Roman"/>
                <w:b/>
                <w:bCs/>
              </w:rPr>
            </w:pPr>
          </w:p>
          <w:p w14:paraId="70BFF5E8" w14:textId="77777777" w:rsidR="00967501" w:rsidRPr="00D60594" w:rsidRDefault="00967501" w:rsidP="00F555C6">
            <w:pPr>
              <w:spacing w:after="0" w:line="240" w:lineRule="auto"/>
              <w:jc w:val="center"/>
              <w:rPr>
                <w:rFonts w:ascii="Times New Roman" w:hAnsi="Times New Roman" w:cs="Times New Roman"/>
                <w:b/>
                <w:bCs/>
              </w:rPr>
            </w:pPr>
          </w:p>
        </w:tc>
        <w:tc>
          <w:tcPr>
            <w:tcW w:w="1677" w:type="dxa"/>
            <w:tcBorders>
              <w:top w:val="single" w:sz="4" w:space="0" w:color="auto"/>
              <w:bottom w:val="single" w:sz="4" w:space="0" w:color="auto"/>
            </w:tcBorders>
            <w:noWrap/>
            <w:vAlign w:val="bottom"/>
            <w:hideMark/>
          </w:tcPr>
          <w:p w14:paraId="0F49C842" w14:textId="77777777" w:rsidR="00967501" w:rsidRPr="00D60594" w:rsidRDefault="00967501" w:rsidP="00F555C6">
            <w:pPr>
              <w:spacing w:after="0" w:line="240" w:lineRule="auto"/>
              <w:jc w:val="center"/>
              <w:rPr>
                <w:rFonts w:ascii="Times New Roman" w:hAnsi="Times New Roman" w:cs="Times New Roman"/>
                <w:b/>
                <w:bCs/>
              </w:rPr>
            </w:pPr>
            <w:r w:rsidRPr="00D60594">
              <w:rPr>
                <w:rFonts w:ascii="Times New Roman" w:hAnsi="Times New Roman" w:cs="Times New Roman"/>
                <w:b/>
                <w:bCs/>
              </w:rPr>
              <w:t>Yield</w:t>
            </w:r>
          </w:p>
          <w:p w14:paraId="1C9452F0" w14:textId="77777777" w:rsidR="00967501" w:rsidRPr="00D60594" w:rsidRDefault="00967501" w:rsidP="00F555C6">
            <w:pPr>
              <w:spacing w:after="0" w:line="240" w:lineRule="auto"/>
              <w:jc w:val="center"/>
              <w:rPr>
                <w:rFonts w:ascii="Times New Roman" w:hAnsi="Times New Roman" w:cs="Times New Roman"/>
                <w:b/>
                <w:bCs/>
              </w:rPr>
            </w:pPr>
            <w:r w:rsidRPr="00D60594">
              <w:rPr>
                <w:rFonts w:ascii="Times New Roman" w:hAnsi="Times New Roman" w:cs="Times New Roman"/>
                <w:b/>
                <w:bCs/>
              </w:rPr>
              <w:t>(</w:t>
            </w:r>
            <w:proofErr w:type="gramStart"/>
            <w:r w:rsidRPr="00D60594">
              <w:rPr>
                <w:rFonts w:ascii="Times New Roman" w:hAnsi="Times New Roman" w:cs="Times New Roman"/>
                <w:b/>
                <w:bCs/>
              </w:rPr>
              <w:t>kg</w:t>
            </w:r>
            <w:proofErr w:type="gramEnd"/>
            <w:r w:rsidRPr="00D60594">
              <w:rPr>
                <w:rFonts w:ascii="Times New Roman" w:hAnsi="Times New Roman" w:cs="Times New Roman"/>
                <w:b/>
                <w:bCs/>
              </w:rPr>
              <w:t xml:space="preserve"> FM/ha)</w:t>
            </w:r>
          </w:p>
          <w:p w14:paraId="013E7531" w14:textId="77777777" w:rsidR="00967501" w:rsidRPr="00D60594" w:rsidRDefault="00967501" w:rsidP="00F555C6">
            <w:pPr>
              <w:spacing w:after="0" w:line="240" w:lineRule="auto"/>
              <w:jc w:val="center"/>
              <w:rPr>
                <w:rFonts w:ascii="Times New Roman" w:hAnsi="Times New Roman" w:cs="Times New Roman"/>
                <w:b/>
                <w:bCs/>
              </w:rPr>
            </w:pPr>
          </w:p>
        </w:tc>
        <w:tc>
          <w:tcPr>
            <w:tcW w:w="2268" w:type="dxa"/>
            <w:tcBorders>
              <w:top w:val="single" w:sz="4" w:space="0" w:color="auto"/>
              <w:bottom w:val="single" w:sz="4" w:space="0" w:color="auto"/>
            </w:tcBorders>
            <w:noWrap/>
            <w:vAlign w:val="bottom"/>
            <w:hideMark/>
          </w:tcPr>
          <w:p w14:paraId="54228E86" w14:textId="77777777" w:rsidR="002316EB" w:rsidRPr="00D60594" w:rsidRDefault="00967501" w:rsidP="00F555C6">
            <w:pPr>
              <w:spacing w:after="0" w:line="240" w:lineRule="auto"/>
              <w:jc w:val="center"/>
              <w:rPr>
                <w:rFonts w:ascii="Times New Roman" w:hAnsi="Times New Roman" w:cs="Times New Roman"/>
                <w:b/>
                <w:bCs/>
                <w:lang w:val="en-US"/>
              </w:rPr>
            </w:pPr>
            <w:r w:rsidRPr="00D60594">
              <w:rPr>
                <w:rFonts w:ascii="Times New Roman" w:hAnsi="Times New Roman" w:cs="Times New Roman"/>
                <w:b/>
                <w:bCs/>
                <w:lang w:val="en-US"/>
              </w:rPr>
              <w:t>Potential yield</w:t>
            </w:r>
          </w:p>
          <w:p w14:paraId="4CC28D96" w14:textId="77777777" w:rsidR="00967501" w:rsidRPr="00D60594" w:rsidRDefault="00967501" w:rsidP="00F555C6">
            <w:pPr>
              <w:spacing w:after="0" w:line="240" w:lineRule="auto"/>
              <w:jc w:val="center"/>
              <w:rPr>
                <w:rFonts w:ascii="Times New Roman" w:hAnsi="Times New Roman" w:cs="Times New Roman"/>
                <w:b/>
                <w:bCs/>
                <w:lang w:val="en-US"/>
              </w:rPr>
            </w:pPr>
            <w:r w:rsidRPr="00D60594">
              <w:rPr>
                <w:rFonts w:ascii="Times New Roman" w:hAnsi="Times New Roman" w:cs="Times New Roman"/>
                <w:b/>
                <w:bCs/>
                <w:lang w:val="en-US"/>
              </w:rPr>
              <w:t>(kg DM/ha)</w:t>
            </w:r>
          </w:p>
        </w:tc>
        <w:tc>
          <w:tcPr>
            <w:tcW w:w="1701" w:type="dxa"/>
            <w:tcBorders>
              <w:top w:val="single" w:sz="4" w:space="0" w:color="auto"/>
              <w:bottom w:val="single" w:sz="4" w:space="0" w:color="auto"/>
            </w:tcBorders>
            <w:noWrap/>
            <w:vAlign w:val="bottom"/>
            <w:hideMark/>
          </w:tcPr>
          <w:p w14:paraId="5EBE8FCD" w14:textId="77777777" w:rsidR="00967501" w:rsidRPr="00D60594" w:rsidRDefault="00967501" w:rsidP="00F555C6">
            <w:pPr>
              <w:spacing w:after="0" w:line="240" w:lineRule="auto"/>
              <w:jc w:val="center"/>
              <w:rPr>
                <w:rFonts w:ascii="Times New Roman" w:hAnsi="Times New Roman" w:cs="Times New Roman"/>
                <w:b/>
                <w:bCs/>
              </w:rPr>
            </w:pPr>
            <w:r w:rsidRPr="00D60594">
              <w:rPr>
                <w:rFonts w:ascii="Times New Roman" w:hAnsi="Times New Roman" w:cs="Times New Roman"/>
                <w:b/>
                <w:bCs/>
              </w:rPr>
              <w:t>Potential DM rate (%)</w:t>
            </w:r>
          </w:p>
        </w:tc>
        <w:tc>
          <w:tcPr>
            <w:tcW w:w="1701" w:type="dxa"/>
            <w:tcBorders>
              <w:top w:val="single" w:sz="4" w:space="0" w:color="auto"/>
              <w:bottom w:val="single" w:sz="4" w:space="0" w:color="auto"/>
            </w:tcBorders>
            <w:noWrap/>
            <w:vAlign w:val="bottom"/>
            <w:hideMark/>
          </w:tcPr>
          <w:p w14:paraId="4F9FA348" w14:textId="77777777" w:rsidR="00967501" w:rsidRPr="00D60594" w:rsidRDefault="00967501" w:rsidP="00F555C6">
            <w:pPr>
              <w:spacing w:after="0" w:line="240" w:lineRule="auto"/>
              <w:jc w:val="center"/>
              <w:rPr>
                <w:rFonts w:ascii="Times New Roman" w:hAnsi="Times New Roman" w:cs="Times New Roman"/>
                <w:b/>
                <w:bCs/>
              </w:rPr>
            </w:pPr>
            <w:r w:rsidRPr="00D60594">
              <w:rPr>
                <w:rFonts w:ascii="Times New Roman" w:hAnsi="Times New Roman" w:cs="Times New Roman"/>
                <w:b/>
                <w:bCs/>
              </w:rPr>
              <w:t>Number of grazing days</w:t>
            </w:r>
          </w:p>
        </w:tc>
      </w:tr>
      <w:tr w:rsidR="00967501" w:rsidRPr="00D60594" w14:paraId="5CADBDF3" w14:textId="77777777" w:rsidTr="000B2340">
        <w:trPr>
          <w:trHeight w:val="306"/>
          <w:jc w:val="center"/>
        </w:trPr>
        <w:tc>
          <w:tcPr>
            <w:tcW w:w="1300" w:type="dxa"/>
            <w:tcBorders>
              <w:top w:val="single" w:sz="4" w:space="0" w:color="auto"/>
            </w:tcBorders>
            <w:noWrap/>
            <w:vAlign w:val="bottom"/>
            <w:hideMark/>
          </w:tcPr>
          <w:p w14:paraId="7435BCF3"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T1</w:t>
            </w:r>
          </w:p>
        </w:tc>
        <w:tc>
          <w:tcPr>
            <w:tcW w:w="1677" w:type="dxa"/>
            <w:tcBorders>
              <w:top w:val="single" w:sz="4" w:space="0" w:color="auto"/>
            </w:tcBorders>
            <w:noWrap/>
            <w:vAlign w:val="bottom"/>
            <w:hideMark/>
          </w:tcPr>
          <w:p w14:paraId="4C9EA745"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4363.3±2181.5</w:t>
            </w:r>
            <w:r w:rsidRPr="00D60594">
              <w:rPr>
                <w:rFonts w:ascii="Times New Roman" w:hAnsi="Times New Roman" w:cs="Times New Roman"/>
                <w:vertAlign w:val="superscript"/>
              </w:rPr>
              <w:t>a</w:t>
            </w:r>
          </w:p>
        </w:tc>
        <w:tc>
          <w:tcPr>
            <w:tcW w:w="2268" w:type="dxa"/>
            <w:tcBorders>
              <w:top w:val="single" w:sz="4" w:space="0" w:color="auto"/>
            </w:tcBorders>
            <w:noWrap/>
            <w:vAlign w:val="bottom"/>
            <w:hideMark/>
          </w:tcPr>
          <w:p w14:paraId="7D83D89B"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660±329.9</w:t>
            </w:r>
            <w:r w:rsidRPr="00D60594">
              <w:rPr>
                <w:rFonts w:ascii="Times New Roman" w:hAnsi="Times New Roman" w:cs="Times New Roman"/>
                <w:vertAlign w:val="superscript"/>
              </w:rPr>
              <w:t>a</w:t>
            </w:r>
          </w:p>
        </w:tc>
        <w:tc>
          <w:tcPr>
            <w:tcW w:w="1701" w:type="dxa"/>
            <w:tcBorders>
              <w:top w:val="single" w:sz="4" w:space="0" w:color="auto"/>
            </w:tcBorders>
            <w:noWrap/>
            <w:vAlign w:val="bottom"/>
            <w:hideMark/>
          </w:tcPr>
          <w:p w14:paraId="4619AAA5"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62.97</w:t>
            </w:r>
          </w:p>
        </w:tc>
        <w:tc>
          <w:tcPr>
            <w:tcW w:w="1701" w:type="dxa"/>
            <w:tcBorders>
              <w:top w:val="single" w:sz="4" w:space="0" w:color="auto"/>
            </w:tcBorders>
            <w:noWrap/>
            <w:vAlign w:val="bottom"/>
            <w:hideMark/>
          </w:tcPr>
          <w:p w14:paraId="61B44AFD"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37</w:t>
            </w:r>
          </w:p>
        </w:tc>
      </w:tr>
      <w:tr w:rsidR="00967501" w:rsidRPr="00D60594" w14:paraId="3762A9E3" w14:textId="77777777" w:rsidTr="000B2340">
        <w:trPr>
          <w:trHeight w:val="291"/>
          <w:jc w:val="center"/>
        </w:trPr>
        <w:tc>
          <w:tcPr>
            <w:tcW w:w="1300" w:type="dxa"/>
            <w:noWrap/>
            <w:vAlign w:val="bottom"/>
            <w:hideMark/>
          </w:tcPr>
          <w:p w14:paraId="105CFEA7"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T2</w:t>
            </w:r>
          </w:p>
        </w:tc>
        <w:tc>
          <w:tcPr>
            <w:tcW w:w="1677" w:type="dxa"/>
            <w:noWrap/>
            <w:vAlign w:val="bottom"/>
            <w:hideMark/>
          </w:tcPr>
          <w:p w14:paraId="5AA20B4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2073.3±1036.6</w:t>
            </w:r>
            <w:r w:rsidRPr="00D60594">
              <w:rPr>
                <w:rFonts w:ascii="Times New Roman" w:hAnsi="Times New Roman" w:cs="Times New Roman"/>
                <w:vertAlign w:val="superscript"/>
              </w:rPr>
              <w:t>a</w:t>
            </w:r>
          </w:p>
        </w:tc>
        <w:tc>
          <w:tcPr>
            <w:tcW w:w="2268" w:type="dxa"/>
            <w:noWrap/>
            <w:vAlign w:val="bottom"/>
            <w:hideMark/>
          </w:tcPr>
          <w:p w14:paraId="1598A9D9"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546.6±273.3</w:t>
            </w:r>
            <w:r w:rsidRPr="00D60594">
              <w:rPr>
                <w:rFonts w:ascii="Times New Roman" w:hAnsi="Times New Roman" w:cs="Times New Roman"/>
                <w:vertAlign w:val="superscript"/>
              </w:rPr>
              <w:t>a</w:t>
            </w:r>
          </w:p>
        </w:tc>
        <w:tc>
          <w:tcPr>
            <w:tcW w:w="1701" w:type="dxa"/>
            <w:noWrap/>
            <w:vAlign w:val="bottom"/>
            <w:hideMark/>
          </w:tcPr>
          <w:p w14:paraId="1CB89CA3"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81.48</w:t>
            </w:r>
          </w:p>
        </w:tc>
        <w:tc>
          <w:tcPr>
            <w:tcW w:w="1701" w:type="dxa"/>
            <w:noWrap/>
            <w:vAlign w:val="bottom"/>
            <w:hideMark/>
          </w:tcPr>
          <w:p w14:paraId="715DD288"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31</w:t>
            </w:r>
          </w:p>
        </w:tc>
      </w:tr>
      <w:tr w:rsidR="00967501" w:rsidRPr="00D60594" w14:paraId="291346EE" w14:textId="77777777" w:rsidTr="000B2340">
        <w:trPr>
          <w:trHeight w:val="281"/>
          <w:jc w:val="center"/>
        </w:trPr>
        <w:tc>
          <w:tcPr>
            <w:tcW w:w="1300" w:type="dxa"/>
            <w:noWrap/>
            <w:vAlign w:val="bottom"/>
            <w:hideMark/>
          </w:tcPr>
          <w:p w14:paraId="5F1C3451"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T3</w:t>
            </w:r>
          </w:p>
        </w:tc>
        <w:tc>
          <w:tcPr>
            <w:tcW w:w="1677" w:type="dxa"/>
            <w:noWrap/>
            <w:vAlign w:val="bottom"/>
            <w:hideMark/>
          </w:tcPr>
          <w:p w14:paraId="580FF2D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2470±1234.9</w:t>
            </w:r>
            <w:r w:rsidRPr="00D60594">
              <w:rPr>
                <w:rFonts w:ascii="Times New Roman" w:hAnsi="Times New Roman" w:cs="Times New Roman"/>
                <w:vertAlign w:val="superscript"/>
              </w:rPr>
              <w:t>a</w:t>
            </w:r>
          </w:p>
        </w:tc>
        <w:tc>
          <w:tcPr>
            <w:tcW w:w="2268" w:type="dxa"/>
            <w:noWrap/>
            <w:vAlign w:val="bottom"/>
            <w:hideMark/>
          </w:tcPr>
          <w:p w14:paraId="76E540FB"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413.3±206.6</w:t>
            </w:r>
            <w:r w:rsidRPr="00D60594">
              <w:rPr>
                <w:rFonts w:ascii="Times New Roman" w:hAnsi="Times New Roman" w:cs="Times New Roman"/>
                <w:vertAlign w:val="superscript"/>
              </w:rPr>
              <w:t>a</w:t>
            </w:r>
          </w:p>
        </w:tc>
        <w:tc>
          <w:tcPr>
            <w:tcW w:w="1701" w:type="dxa"/>
            <w:noWrap/>
            <w:vAlign w:val="bottom"/>
            <w:hideMark/>
          </w:tcPr>
          <w:p w14:paraId="53FAD392"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79.43</w:t>
            </w:r>
          </w:p>
        </w:tc>
        <w:tc>
          <w:tcPr>
            <w:tcW w:w="1701" w:type="dxa"/>
            <w:noWrap/>
            <w:vAlign w:val="bottom"/>
            <w:hideMark/>
          </w:tcPr>
          <w:p w14:paraId="58936194"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23</w:t>
            </w:r>
          </w:p>
        </w:tc>
      </w:tr>
      <w:tr w:rsidR="00967501" w:rsidRPr="00D60594" w14:paraId="667CF02B" w14:textId="77777777" w:rsidTr="000B2340">
        <w:trPr>
          <w:trHeight w:val="143"/>
          <w:jc w:val="center"/>
        </w:trPr>
        <w:tc>
          <w:tcPr>
            <w:tcW w:w="1300" w:type="dxa"/>
            <w:noWrap/>
            <w:vAlign w:val="bottom"/>
            <w:hideMark/>
          </w:tcPr>
          <w:p w14:paraId="6394DBF8"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T4</w:t>
            </w:r>
          </w:p>
        </w:tc>
        <w:tc>
          <w:tcPr>
            <w:tcW w:w="1677" w:type="dxa"/>
            <w:noWrap/>
            <w:vAlign w:val="bottom"/>
            <w:hideMark/>
          </w:tcPr>
          <w:p w14:paraId="60C7AC2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3133.3±1566.6</w:t>
            </w:r>
            <w:r w:rsidRPr="00D60594">
              <w:rPr>
                <w:rFonts w:ascii="Times New Roman" w:hAnsi="Times New Roman" w:cs="Times New Roman"/>
                <w:vertAlign w:val="superscript"/>
              </w:rPr>
              <w:t>a</w:t>
            </w:r>
          </w:p>
        </w:tc>
        <w:tc>
          <w:tcPr>
            <w:tcW w:w="2268" w:type="dxa"/>
            <w:noWrap/>
            <w:vAlign w:val="bottom"/>
            <w:hideMark/>
          </w:tcPr>
          <w:p w14:paraId="672560E9"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456.6±228.3</w:t>
            </w:r>
            <w:r w:rsidRPr="00D60594">
              <w:rPr>
                <w:rFonts w:ascii="Times New Roman" w:hAnsi="Times New Roman" w:cs="Times New Roman"/>
                <w:vertAlign w:val="superscript"/>
              </w:rPr>
              <w:t>a</w:t>
            </w:r>
          </w:p>
        </w:tc>
        <w:tc>
          <w:tcPr>
            <w:tcW w:w="1701" w:type="dxa"/>
            <w:noWrap/>
            <w:vAlign w:val="bottom"/>
            <w:hideMark/>
          </w:tcPr>
          <w:p w14:paraId="2003C2A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73.23</w:t>
            </w:r>
          </w:p>
        </w:tc>
        <w:tc>
          <w:tcPr>
            <w:tcW w:w="1701" w:type="dxa"/>
            <w:noWrap/>
            <w:vAlign w:val="bottom"/>
            <w:hideMark/>
          </w:tcPr>
          <w:p w14:paraId="4B50669A"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26</w:t>
            </w:r>
          </w:p>
        </w:tc>
      </w:tr>
      <w:tr w:rsidR="00967501" w:rsidRPr="00D60594" w14:paraId="307796EF" w14:textId="77777777" w:rsidTr="000B2340">
        <w:trPr>
          <w:trHeight w:val="147"/>
          <w:jc w:val="center"/>
        </w:trPr>
        <w:tc>
          <w:tcPr>
            <w:tcW w:w="1300" w:type="dxa"/>
            <w:noWrap/>
            <w:vAlign w:val="bottom"/>
            <w:hideMark/>
          </w:tcPr>
          <w:p w14:paraId="621693BC"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T5</w:t>
            </w:r>
          </w:p>
        </w:tc>
        <w:tc>
          <w:tcPr>
            <w:tcW w:w="1677" w:type="dxa"/>
            <w:noWrap/>
            <w:vAlign w:val="bottom"/>
            <w:hideMark/>
          </w:tcPr>
          <w:p w14:paraId="172E85A4"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1550±774.9</w:t>
            </w:r>
            <w:r w:rsidRPr="00D60594">
              <w:rPr>
                <w:rFonts w:ascii="Times New Roman" w:hAnsi="Times New Roman" w:cs="Times New Roman"/>
                <w:vertAlign w:val="superscript"/>
              </w:rPr>
              <w:t>a</w:t>
            </w:r>
          </w:p>
        </w:tc>
        <w:tc>
          <w:tcPr>
            <w:tcW w:w="2268" w:type="dxa"/>
            <w:noWrap/>
            <w:vAlign w:val="bottom"/>
            <w:hideMark/>
          </w:tcPr>
          <w:p w14:paraId="6EC99F18"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493.3±246.6</w:t>
            </w:r>
            <w:r w:rsidRPr="00D60594">
              <w:rPr>
                <w:rFonts w:ascii="Times New Roman" w:hAnsi="Times New Roman" w:cs="Times New Roman"/>
                <w:vertAlign w:val="superscript"/>
              </w:rPr>
              <w:t>a</w:t>
            </w:r>
          </w:p>
        </w:tc>
        <w:tc>
          <w:tcPr>
            <w:tcW w:w="1701" w:type="dxa"/>
            <w:noWrap/>
            <w:vAlign w:val="bottom"/>
            <w:hideMark/>
          </w:tcPr>
          <w:p w14:paraId="47E9569A"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89.43</w:t>
            </w:r>
          </w:p>
        </w:tc>
        <w:tc>
          <w:tcPr>
            <w:tcW w:w="1701" w:type="dxa"/>
            <w:noWrap/>
            <w:vAlign w:val="bottom"/>
            <w:hideMark/>
          </w:tcPr>
          <w:p w14:paraId="5DAC2796"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28</w:t>
            </w:r>
          </w:p>
        </w:tc>
      </w:tr>
      <w:tr w:rsidR="00967501" w:rsidRPr="00D60594" w14:paraId="42EB623E" w14:textId="77777777" w:rsidTr="000B2340">
        <w:trPr>
          <w:trHeight w:val="293"/>
          <w:jc w:val="center"/>
        </w:trPr>
        <w:tc>
          <w:tcPr>
            <w:tcW w:w="1300" w:type="dxa"/>
            <w:noWrap/>
            <w:vAlign w:val="bottom"/>
            <w:hideMark/>
          </w:tcPr>
          <w:p w14:paraId="76E628C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T6</w:t>
            </w:r>
          </w:p>
        </w:tc>
        <w:tc>
          <w:tcPr>
            <w:tcW w:w="1677" w:type="dxa"/>
            <w:noWrap/>
            <w:vAlign w:val="bottom"/>
            <w:hideMark/>
          </w:tcPr>
          <w:p w14:paraId="76B8932B"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1066.6±533.3</w:t>
            </w:r>
            <w:r w:rsidRPr="00D60594">
              <w:rPr>
                <w:rFonts w:ascii="Times New Roman" w:hAnsi="Times New Roman" w:cs="Times New Roman"/>
                <w:vertAlign w:val="superscript"/>
              </w:rPr>
              <w:t>a</w:t>
            </w:r>
          </w:p>
        </w:tc>
        <w:tc>
          <w:tcPr>
            <w:tcW w:w="2268" w:type="dxa"/>
            <w:noWrap/>
            <w:vAlign w:val="bottom"/>
            <w:hideMark/>
          </w:tcPr>
          <w:p w14:paraId="21F2D022"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436.6±218.3</w:t>
            </w:r>
            <w:r w:rsidRPr="00D60594">
              <w:rPr>
                <w:rFonts w:ascii="Times New Roman" w:hAnsi="Times New Roman" w:cs="Times New Roman"/>
                <w:vertAlign w:val="superscript"/>
              </w:rPr>
              <w:t>a</w:t>
            </w:r>
          </w:p>
        </w:tc>
        <w:tc>
          <w:tcPr>
            <w:tcW w:w="1701" w:type="dxa"/>
            <w:noWrap/>
            <w:vAlign w:val="bottom"/>
            <w:hideMark/>
          </w:tcPr>
          <w:p w14:paraId="7B277766"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93.70</w:t>
            </w:r>
          </w:p>
        </w:tc>
        <w:tc>
          <w:tcPr>
            <w:tcW w:w="1701" w:type="dxa"/>
            <w:noWrap/>
            <w:vAlign w:val="bottom"/>
            <w:hideMark/>
          </w:tcPr>
          <w:p w14:paraId="341C7619"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24</w:t>
            </w:r>
          </w:p>
        </w:tc>
      </w:tr>
      <w:tr w:rsidR="00967501" w:rsidRPr="00D60594" w14:paraId="2BAE3AAA" w14:textId="77777777" w:rsidTr="000B2340">
        <w:trPr>
          <w:trHeight w:val="155"/>
          <w:jc w:val="center"/>
        </w:trPr>
        <w:tc>
          <w:tcPr>
            <w:tcW w:w="1300" w:type="dxa"/>
            <w:noWrap/>
            <w:vAlign w:val="bottom"/>
            <w:hideMark/>
          </w:tcPr>
          <w:p w14:paraId="5B24B119"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T7</w:t>
            </w:r>
          </w:p>
        </w:tc>
        <w:tc>
          <w:tcPr>
            <w:tcW w:w="1677" w:type="dxa"/>
            <w:noWrap/>
            <w:vAlign w:val="bottom"/>
            <w:hideMark/>
          </w:tcPr>
          <w:p w14:paraId="29AAFE59"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1600±799.97</w:t>
            </w:r>
            <w:r w:rsidRPr="00D60594">
              <w:rPr>
                <w:rFonts w:ascii="Times New Roman" w:hAnsi="Times New Roman" w:cs="Times New Roman"/>
                <w:vertAlign w:val="superscript"/>
              </w:rPr>
              <w:t>a</w:t>
            </w:r>
          </w:p>
        </w:tc>
        <w:tc>
          <w:tcPr>
            <w:tcW w:w="2268" w:type="dxa"/>
            <w:noWrap/>
            <w:vAlign w:val="bottom"/>
            <w:hideMark/>
          </w:tcPr>
          <w:p w14:paraId="1FEC7640"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463.3±231.6</w:t>
            </w:r>
            <w:r w:rsidRPr="00D60594">
              <w:rPr>
                <w:rFonts w:ascii="Times New Roman" w:hAnsi="Times New Roman" w:cs="Times New Roman"/>
                <w:vertAlign w:val="superscript"/>
              </w:rPr>
              <w:t>a</w:t>
            </w:r>
          </w:p>
        </w:tc>
        <w:tc>
          <w:tcPr>
            <w:tcW w:w="1701" w:type="dxa"/>
            <w:noWrap/>
            <w:vAlign w:val="bottom"/>
            <w:hideMark/>
          </w:tcPr>
          <w:p w14:paraId="4D812787"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88.63</w:t>
            </w:r>
          </w:p>
        </w:tc>
        <w:tc>
          <w:tcPr>
            <w:tcW w:w="1701" w:type="dxa"/>
            <w:noWrap/>
            <w:vAlign w:val="bottom"/>
            <w:hideMark/>
          </w:tcPr>
          <w:p w14:paraId="6ED63B4F"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26</w:t>
            </w:r>
          </w:p>
        </w:tc>
      </w:tr>
      <w:tr w:rsidR="00967501" w:rsidRPr="00D60594" w14:paraId="17E4378B" w14:textId="77777777" w:rsidTr="000B2340">
        <w:trPr>
          <w:trHeight w:val="159"/>
          <w:jc w:val="center"/>
        </w:trPr>
        <w:tc>
          <w:tcPr>
            <w:tcW w:w="1300" w:type="dxa"/>
            <w:tcBorders>
              <w:bottom w:val="single" w:sz="4" w:space="0" w:color="auto"/>
            </w:tcBorders>
            <w:noWrap/>
            <w:vAlign w:val="bottom"/>
            <w:hideMark/>
          </w:tcPr>
          <w:p w14:paraId="560D5410"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T8</w:t>
            </w:r>
          </w:p>
        </w:tc>
        <w:tc>
          <w:tcPr>
            <w:tcW w:w="1677" w:type="dxa"/>
            <w:tcBorders>
              <w:bottom w:val="single" w:sz="4" w:space="0" w:color="auto"/>
            </w:tcBorders>
            <w:noWrap/>
            <w:vAlign w:val="bottom"/>
            <w:hideMark/>
          </w:tcPr>
          <w:p w14:paraId="585ECE84"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1553.3±776.6</w:t>
            </w:r>
            <w:r w:rsidRPr="00D60594">
              <w:rPr>
                <w:rFonts w:ascii="Times New Roman" w:hAnsi="Times New Roman" w:cs="Times New Roman"/>
                <w:vertAlign w:val="superscript"/>
              </w:rPr>
              <w:t>a</w:t>
            </w:r>
          </w:p>
        </w:tc>
        <w:tc>
          <w:tcPr>
            <w:tcW w:w="2268" w:type="dxa"/>
            <w:tcBorders>
              <w:bottom w:val="single" w:sz="4" w:space="0" w:color="auto"/>
            </w:tcBorders>
            <w:noWrap/>
            <w:vAlign w:val="bottom"/>
            <w:hideMark/>
          </w:tcPr>
          <w:p w14:paraId="48257C96"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440±219.9</w:t>
            </w:r>
            <w:r w:rsidRPr="00D60594">
              <w:rPr>
                <w:rFonts w:ascii="Times New Roman" w:hAnsi="Times New Roman" w:cs="Times New Roman"/>
                <w:vertAlign w:val="superscript"/>
              </w:rPr>
              <w:t>a</w:t>
            </w:r>
          </w:p>
        </w:tc>
        <w:tc>
          <w:tcPr>
            <w:tcW w:w="1701" w:type="dxa"/>
            <w:tcBorders>
              <w:bottom w:val="single" w:sz="4" w:space="0" w:color="auto"/>
            </w:tcBorders>
            <w:noWrap/>
            <w:vAlign w:val="bottom"/>
            <w:hideMark/>
          </w:tcPr>
          <w:p w14:paraId="61297024"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88.87</w:t>
            </w:r>
          </w:p>
        </w:tc>
        <w:tc>
          <w:tcPr>
            <w:tcW w:w="1701" w:type="dxa"/>
            <w:tcBorders>
              <w:bottom w:val="single" w:sz="4" w:space="0" w:color="auto"/>
            </w:tcBorders>
            <w:noWrap/>
            <w:vAlign w:val="bottom"/>
            <w:hideMark/>
          </w:tcPr>
          <w:p w14:paraId="0DBFF344" w14:textId="77777777" w:rsidR="00967501" w:rsidRPr="00D60594" w:rsidRDefault="00967501" w:rsidP="00F555C6">
            <w:pPr>
              <w:spacing w:after="0" w:line="240" w:lineRule="auto"/>
              <w:jc w:val="center"/>
              <w:rPr>
                <w:rFonts w:ascii="Times New Roman" w:hAnsi="Times New Roman" w:cs="Times New Roman"/>
              </w:rPr>
            </w:pPr>
            <w:r w:rsidRPr="00D60594">
              <w:rPr>
                <w:rFonts w:ascii="Times New Roman" w:hAnsi="Times New Roman" w:cs="Times New Roman"/>
              </w:rPr>
              <w:t>25</w:t>
            </w:r>
          </w:p>
        </w:tc>
      </w:tr>
    </w:tbl>
    <w:p w14:paraId="2933A00C" w14:textId="77777777" w:rsidR="00967501" w:rsidRPr="00967501" w:rsidRDefault="00967501" w:rsidP="00F555C6">
      <w:pPr>
        <w:spacing w:after="0" w:line="240" w:lineRule="auto"/>
        <w:jc w:val="both"/>
        <w:rPr>
          <w:rFonts w:ascii="Times New Roman" w:hAnsi="Times New Roman" w:cs="Times New Roman"/>
          <w:sz w:val="20"/>
          <w:szCs w:val="20"/>
          <w:lang w:val="en-US"/>
        </w:rPr>
      </w:pPr>
      <w:proofErr w:type="spellStart"/>
      <w:r>
        <w:rPr>
          <w:rFonts w:ascii="Times New Roman" w:hAnsi="Times New Roman" w:cs="Times New Roman"/>
          <w:sz w:val="20"/>
          <w:szCs w:val="20"/>
          <w:lang w:val="en-US"/>
        </w:rPr>
        <w:t>Abc</w:t>
      </w:r>
      <w:proofErr w:type="spellEnd"/>
      <w:r>
        <w:rPr>
          <w:rFonts w:ascii="Times New Roman" w:hAnsi="Times New Roman" w:cs="Times New Roman"/>
          <w:sz w:val="20"/>
          <w:szCs w:val="20"/>
          <w:lang w:val="en-US"/>
        </w:rPr>
        <w:t xml:space="preserve"> Within a column, different letters indicate a significant difference at p&lt;0.05; T1 = fertilizer + 30 days before cutting + 30 cm between plants; T2 = fertilizer + 30 days before cutting + 40 cm between plants; T3 = fertilizer + 45 days before cutting + 30 cm between plants; T4 = fertilizer + 45 days before cutting + 40 cm between plants; T5 = no fertilizer + 30 days before cutting + 30 cm between plants; T6 = no fertilizer + 30 days before cutting + 40 cm between plants; T7 = no fertilizer + 45 days before cutting + 30 cm between plants; T8 = no fertilizer + 45 days before cutting + 40 cm between plants.</w:t>
      </w:r>
    </w:p>
    <w:p w14:paraId="3C8FA9F3" w14:textId="77777777" w:rsidR="00D60594" w:rsidRDefault="00D60594" w:rsidP="00F555C6">
      <w:pPr>
        <w:spacing w:after="0" w:line="240" w:lineRule="auto"/>
        <w:jc w:val="both"/>
        <w:rPr>
          <w:rFonts w:ascii="Times New Roman" w:hAnsi="Times New Roman" w:cs="Times New Roman"/>
          <w:lang w:val="en-US"/>
        </w:rPr>
      </w:pPr>
    </w:p>
    <w:p w14:paraId="6E77B4F4"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 xml:space="preserve">The seasonal carrying capacities of </w:t>
      </w:r>
      <w:r>
        <w:rPr>
          <w:rFonts w:ascii="Times New Roman" w:hAnsi="Times New Roman" w:cs="Times New Roman"/>
          <w:i/>
          <w:iCs/>
          <w:lang w:val="en-US"/>
        </w:rPr>
        <w:t>Eleusine indica</w:t>
      </w:r>
      <w:r>
        <w:rPr>
          <w:rFonts w:ascii="Times New Roman" w:hAnsi="Times New Roman" w:cs="Times New Roman"/>
          <w:lang w:val="en-US"/>
        </w:rPr>
        <w:t xml:space="preserve"> pastures according to the treatments are </w:t>
      </w:r>
      <w:r>
        <w:rPr>
          <w:rFonts w:ascii="Times New Roman" w:hAnsi="Times New Roman" w:cs="Times New Roman"/>
          <w:highlight w:val="yellow"/>
          <w:lang w:val="en-US"/>
        </w:rPr>
        <w:t>shown in Figure 5</w:t>
      </w:r>
      <w:r>
        <w:rPr>
          <w:rFonts w:ascii="Times New Roman" w:hAnsi="Times New Roman" w:cs="Times New Roman"/>
          <w:lang w:val="en-US"/>
        </w:rPr>
        <w:t>. Treatment T1 has the highest carrying capacity, while T3 has the lowest value. Treatment T2 shows a carrying capacity close to that of T1. Treatments T4, T5, T6, T7, and T8 exhibit intermediate carrying capacities, with values that are generally similar to one another.</w:t>
      </w:r>
    </w:p>
    <w:p w14:paraId="0165E124" w14:textId="77777777" w:rsidR="005A4B66" w:rsidRPr="00967501" w:rsidRDefault="005A4B66" w:rsidP="00F555C6">
      <w:pPr>
        <w:spacing w:after="0" w:line="240" w:lineRule="auto"/>
        <w:jc w:val="center"/>
        <w:rPr>
          <w:rFonts w:ascii="Times New Roman" w:hAnsi="Times New Roman" w:cs="Times New Roman"/>
          <w:sz w:val="20"/>
          <w:szCs w:val="20"/>
          <w:lang w:val="en-US"/>
        </w:rPr>
      </w:pPr>
      <w:r>
        <w:rPr>
          <w:rFonts w:ascii="Times New Roman" w:hAnsi="Times New Roman" w:cs="Times New Roman"/>
          <w:noProof/>
          <w:sz w:val="20"/>
          <w:szCs w:val="20"/>
          <w:lang w:val="en-US"/>
        </w:rPr>
        <w:drawing>
          <wp:inline distT="0" distB="0" distL="0" distR="0" wp14:anchorId="6CD5A07B" wp14:editId="6FA2D34B">
            <wp:extent cx="3477509" cy="2812366"/>
            <wp:effectExtent l="0" t="0" r="8890" b="762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0816" cy="2831215"/>
                    </a:xfrm>
                    <a:prstGeom prst="rect">
                      <a:avLst/>
                    </a:prstGeom>
                    <a:noFill/>
                  </pic:spPr>
                </pic:pic>
              </a:graphicData>
            </a:graphic>
          </wp:inline>
        </w:drawing>
      </w:r>
    </w:p>
    <w:p w14:paraId="3C7AD627" w14:textId="77777777" w:rsidR="00967501" w:rsidRPr="00D6265C" w:rsidRDefault="00967501" w:rsidP="00F555C6">
      <w:pPr>
        <w:spacing w:after="0" w:line="240" w:lineRule="auto"/>
        <w:jc w:val="center"/>
        <w:rPr>
          <w:rFonts w:ascii="Times New Roman" w:hAnsi="Times New Roman" w:cs="Times New Roman"/>
          <w:lang w:val="en-US"/>
        </w:rPr>
      </w:pPr>
      <w:r>
        <w:rPr>
          <w:rFonts w:ascii="Times New Roman" w:hAnsi="Times New Roman" w:cs="Times New Roman"/>
          <w:lang w:val="en-US"/>
        </w:rPr>
        <w:t xml:space="preserve">Figure </w:t>
      </w:r>
      <w:r w:rsidR="000B2340">
        <w:rPr>
          <w:rFonts w:ascii="Times New Roman" w:hAnsi="Times New Roman" w:cs="Times New Roman"/>
          <w:lang w:val="en-US"/>
        </w:rPr>
        <w:t>5</w:t>
      </w:r>
      <w:r>
        <w:rPr>
          <w:rFonts w:ascii="Times New Roman" w:hAnsi="Times New Roman" w:cs="Times New Roman"/>
          <w:lang w:val="en-US"/>
        </w:rPr>
        <w:t xml:space="preserve">: Seasonal carrying capacities of </w:t>
      </w:r>
      <w:r w:rsidRPr="00D31616">
        <w:rPr>
          <w:rFonts w:ascii="Times New Roman" w:hAnsi="Times New Roman" w:cs="Times New Roman"/>
          <w:i/>
          <w:iCs/>
          <w:lang w:val="en-US"/>
        </w:rPr>
        <w:t>Eleusine indica</w:t>
      </w:r>
      <w:r>
        <w:rPr>
          <w:rFonts w:ascii="Times New Roman" w:hAnsi="Times New Roman" w:cs="Times New Roman"/>
          <w:lang w:val="en-US"/>
        </w:rPr>
        <w:t xml:space="preserve"> pastures as a function of treatments </w:t>
      </w:r>
    </w:p>
    <w:p w14:paraId="4F767939" w14:textId="77777777" w:rsidR="005A4B66" w:rsidRDefault="005A4B66" w:rsidP="00F555C6">
      <w:pPr>
        <w:spacing w:after="0" w:line="240" w:lineRule="auto"/>
        <w:jc w:val="both"/>
        <w:rPr>
          <w:rFonts w:ascii="Times New Roman" w:hAnsi="Times New Roman" w:cs="Times New Roman"/>
          <w:b/>
          <w:bCs/>
          <w:lang w:val="en-US"/>
        </w:rPr>
      </w:pPr>
    </w:p>
    <w:p w14:paraId="0F1569F5" w14:textId="77777777" w:rsidR="00967501" w:rsidRPr="00D6265C" w:rsidRDefault="0096750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DISCUSSION</w:t>
      </w:r>
    </w:p>
    <w:p w14:paraId="438EA535"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objective of this study was to evaluate the combined effect of </w:t>
      </w:r>
      <w:r>
        <w:rPr>
          <w:rFonts w:ascii="Times New Roman" w:hAnsi="Times New Roman" w:cs="Times New Roman"/>
          <w:highlight w:val="yellow"/>
          <w:lang w:val="en-US"/>
        </w:rPr>
        <w:t>fertilisation</w:t>
      </w:r>
      <w:r>
        <w:rPr>
          <w:rFonts w:ascii="Times New Roman" w:hAnsi="Times New Roman" w:cs="Times New Roman"/>
          <w:lang w:val="en-US"/>
        </w:rPr>
        <w:t xml:space="preserve">, planting density, and cutting interval on the growth and productivity of </w:t>
      </w:r>
      <w:r>
        <w:rPr>
          <w:rFonts w:ascii="Times New Roman" w:hAnsi="Times New Roman" w:cs="Times New Roman"/>
          <w:i/>
          <w:iCs/>
          <w:lang w:val="en-US"/>
        </w:rPr>
        <w:t>Eleusine indica</w:t>
      </w:r>
      <w:r>
        <w:rPr>
          <w:rFonts w:ascii="Times New Roman" w:hAnsi="Times New Roman" w:cs="Times New Roman"/>
          <w:lang w:val="en-US"/>
        </w:rPr>
        <w:t>. The results show that treatment T1 (</w:t>
      </w:r>
      <w:r>
        <w:rPr>
          <w:rFonts w:ascii="Times New Roman" w:hAnsi="Times New Roman" w:cs="Times New Roman"/>
          <w:highlight w:val="yellow"/>
          <w:lang w:val="en-US"/>
        </w:rPr>
        <w:t>fertiliser</w:t>
      </w:r>
      <w:r>
        <w:rPr>
          <w:rFonts w:ascii="Times New Roman" w:hAnsi="Times New Roman" w:cs="Times New Roman"/>
          <w:lang w:val="en-US"/>
        </w:rPr>
        <w:t xml:space="preserve"> + 30 days before cutting + 30 cm spacing) consistently outperformed the other treatments in terms of morphological parameters (height, number of tillers, number of leaves), while treatment T6 (no </w:t>
      </w:r>
      <w:r>
        <w:rPr>
          <w:rFonts w:ascii="Times New Roman" w:hAnsi="Times New Roman" w:cs="Times New Roman"/>
          <w:highlight w:val="yellow"/>
          <w:lang w:val="en-US"/>
        </w:rPr>
        <w:t>fertiliser</w:t>
      </w:r>
      <w:r>
        <w:rPr>
          <w:rFonts w:ascii="Times New Roman" w:hAnsi="Times New Roman" w:cs="Times New Roman"/>
          <w:lang w:val="en-US"/>
        </w:rPr>
        <w:t xml:space="preserve"> + 30 days before cutting + 40 cm spacing) </w:t>
      </w:r>
      <w:r>
        <w:rPr>
          <w:rFonts w:ascii="Times New Roman" w:hAnsi="Times New Roman" w:cs="Times New Roman"/>
          <w:highlight w:val="yellow"/>
          <w:lang w:val="en-US"/>
        </w:rPr>
        <w:t>recorded the lowest mean plant height</w:t>
      </w:r>
      <w:r>
        <w:rPr>
          <w:rFonts w:ascii="Times New Roman" w:hAnsi="Times New Roman" w:cs="Times New Roman"/>
          <w:lang w:val="en-US"/>
        </w:rPr>
        <w:t>.</w:t>
      </w:r>
    </w:p>
    <w:p w14:paraId="5264CDDA"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highlight w:val="yellow"/>
          <w:lang w:val="en-US"/>
        </w:rPr>
        <w:t>The highest average height was observed in T1 (19.56 cm); however, the factor-level analysis showed no significant effect of fertilisation on plant height (p &gt; 0.05). Although T8 had a similar height (19.1 cm) and T6 had the lowest value (12.9 cm), these differences indicate variation among the treatment combinations rather than a significant main effect of fertilisation on height.</w:t>
      </w:r>
      <w:r>
        <w:rPr>
          <w:rFonts w:ascii="Times New Roman" w:hAnsi="Times New Roman" w:cs="Times New Roman"/>
          <w:lang w:val="en-US"/>
        </w:rPr>
        <w:t xml:space="preserve"> The increase in height under </w:t>
      </w:r>
      <w:r>
        <w:rPr>
          <w:rFonts w:ascii="Times New Roman" w:hAnsi="Times New Roman" w:cs="Times New Roman"/>
          <w:highlight w:val="yellow"/>
          <w:lang w:val="en-US"/>
        </w:rPr>
        <w:t>fertilisation</w:t>
      </w:r>
      <w:r>
        <w:rPr>
          <w:rFonts w:ascii="Times New Roman" w:hAnsi="Times New Roman" w:cs="Times New Roman"/>
          <w:lang w:val="en-US"/>
        </w:rPr>
        <w:t xml:space="preserve"> is consistent with known physiological mechanisms in grasses, where nitrogen promotes cell elongation, photosynthetic activity, and protein synthesis. </w:t>
      </w:r>
      <w:r>
        <w:rPr>
          <w:rFonts w:ascii="Times New Roman" w:hAnsi="Times New Roman" w:cs="Times New Roman"/>
          <w:highlight w:val="yellow"/>
          <w:lang w:val="en-US"/>
        </w:rPr>
        <w:t>Similar results were reported by Leite et al. (2021) and da Silva et al. (2026), who showed a significant increase in grass height with fertiliser application, regardless of density.</w:t>
      </w:r>
      <w:r>
        <w:rPr>
          <w:rFonts w:ascii="Times New Roman" w:hAnsi="Times New Roman" w:cs="Times New Roman"/>
          <w:lang w:val="en-US"/>
        </w:rPr>
        <w:t xml:space="preserve"> Similarly, Wekgari et al. (2024) </w:t>
      </w:r>
      <w:r>
        <w:rPr>
          <w:rFonts w:ascii="Times New Roman" w:hAnsi="Times New Roman" w:cs="Times New Roman"/>
          <w:highlight w:val="yellow"/>
          <w:lang w:val="en-US"/>
        </w:rPr>
        <w:t>observed that a shorter cutting interval (30 days) kept plants in an active vegetative phase, promoting faster growth compared with longer intervals (45 days).</w:t>
      </w:r>
    </w:p>
    <w:p w14:paraId="0039F7BF"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number of tillers, a key indicator of forage production potential, is highest under T1 and T4. Since tillering is highly dependent on the plant’s nutritional status, these results confirm the stimulating effect of </w:t>
      </w:r>
      <w:r>
        <w:rPr>
          <w:rFonts w:ascii="Times New Roman" w:hAnsi="Times New Roman" w:cs="Times New Roman"/>
          <w:highlight w:val="yellow"/>
          <w:lang w:val="en-US"/>
        </w:rPr>
        <w:t>fertilisation</w:t>
      </w:r>
      <w:r>
        <w:rPr>
          <w:rFonts w:ascii="Times New Roman" w:hAnsi="Times New Roman" w:cs="Times New Roman"/>
          <w:lang w:val="en-US"/>
        </w:rPr>
        <w:t xml:space="preserve"> on the activation of axillary buds. </w:t>
      </w:r>
      <w:r>
        <w:rPr>
          <w:rFonts w:ascii="Times New Roman" w:hAnsi="Times New Roman" w:cs="Times New Roman"/>
          <w:highlight w:val="yellow"/>
          <w:lang w:val="en-US"/>
        </w:rPr>
        <w:t>Conversely, T3 and T6 showed significantly lower tiller values, indicating that the response depended on the complete treatment combination.</w:t>
      </w:r>
      <w:r>
        <w:rPr>
          <w:rFonts w:ascii="Times New Roman" w:hAnsi="Times New Roman" w:cs="Times New Roman"/>
          <w:lang w:val="en-US"/>
        </w:rPr>
        <w:t xml:space="preserve"> These observations are consistent with Leite et al. (2021) and da Silva et al. (2026), who demonstrated that nutrient supply increases the tillering capacity of grasses by improving </w:t>
      </w:r>
      <w:r>
        <w:rPr>
          <w:rFonts w:ascii="Times New Roman" w:hAnsi="Times New Roman" w:cs="Times New Roman"/>
          <w:highlight w:val="yellow"/>
          <w:lang w:val="en-US"/>
        </w:rPr>
        <w:t>meristem vigour</w:t>
      </w:r>
      <w:r>
        <w:rPr>
          <w:rFonts w:ascii="Times New Roman" w:hAnsi="Times New Roman" w:cs="Times New Roman"/>
          <w:lang w:val="en-US"/>
        </w:rPr>
        <w:t xml:space="preserve">. Furthermore, </w:t>
      </w:r>
      <w:r>
        <w:rPr>
          <w:rFonts w:ascii="Times New Roman" w:hAnsi="Times New Roman" w:cs="Times New Roman"/>
          <w:highlight w:val="yellow"/>
          <w:lang w:val="en-US"/>
        </w:rPr>
        <w:t>Ruillé et al. (2026) and Wang et al. (2021) noted that</w:t>
      </w:r>
      <w:r>
        <w:rPr>
          <w:rFonts w:ascii="Times New Roman" w:hAnsi="Times New Roman" w:cs="Times New Roman"/>
          <w:lang w:val="en-US"/>
        </w:rPr>
        <w:t xml:space="preserve"> moderate densities, combined with adequate </w:t>
      </w:r>
      <w:r>
        <w:rPr>
          <w:rFonts w:ascii="Times New Roman" w:hAnsi="Times New Roman" w:cs="Times New Roman"/>
          <w:highlight w:val="yellow"/>
          <w:lang w:val="en-US"/>
        </w:rPr>
        <w:t>fertilisation</w:t>
      </w:r>
      <w:r>
        <w:rPr>
          <w:rFonts w:ascii="Times New Roman" w:hAnsi="Times New Roman" w:cs="Times New Roman"/>
          <w:lang w:val="en-US"/>
        </w:rPr>
        <w:t xml:space="preserve">, </w:t>
      </w:r>
      <w:r>
        <w:rPr>
          <w:rFonts w:ascii="Times New Roman" w:hAnsi="Times New Roman" w:cs="Times New Roman"/>
          <w:highlight w:val="yellow"/>
          <w:lang w:val="en-US"/>
        </w:rPr>
        <w:t>optimise</w:t>
      </w:r>
      <w:r>
        <w:rPr>
          <w:rFonts w:ascii="Times New Roman" w:hAnsi="Times New Roman" w:cs="Times New Roman"/>
          <w:lang w:val="en-US"/>
        </w:rPr>
        <w:t xml:space="preserve"> the trade-off between interspecific competition and light interception, which appears consistent with the performance observed under T1 and T4. The number of leaves follows the same trend, with maximum values observed under T1 (100.98) and T4. Since leaf production is directly linked to the active photosynthetic area, these results suggest an improvement in assimilatory potential under </w:t>
      </w:r>
      <w:r>
        <w:rPr>
          <w:rFonts w:ascii="Times New Roman" w:hAnsi="Times New Roman" w:cs="Times New Roman"/>
          <w:highlight w:val="yellow"/>
          <w:lang w:val="en-US"/>
        </w:rPr>
        <w:t>fertilisation</w:t>
      </w:r>
      <w:r>
        <w:rPr>
          <w:rFonts w:ascii="Times New Roman" w:hAnsi="Times New Roman" w:cs="Times New Roman"/>
          <w:lang w:val="en-US"/>
        </w:rPr>
        <w:t xml:space="preserve"> and a short cutting interval. </w:t>
      </w:r>
      <w:r>
        <w:rPr>
          <w:rFonts w:ascii="Times New Roman" w:hAnsi="Times New Roman" w:cs="Times New Roman"/>
          <w:highlight w:val="yellow"/>
          <w:lang w:val="en-US"/>
        </w:rPr>
        <w:t xml:space="preserve">The low values observed under T6 and T3 also indicate </w:t>
      </w:r>
      <w:r>
        <w:rPr>
          <w:rFonts w:ascii="Times New Roman" w:hAnsi="Times New Roman" w:cs="Times New Roman"/>
          <w:highlight w:val="yellow"/>
          <w:lang w:val="en-US"/>
        </w:rPr>
        <w:lastRenderedPageBreak/>
        <w:t>that fertilisation alone did not determine the response of these growth parameters.</w:t>
      </w:r>
      <w:r>
        <w:rPr>
          <w:rFonts w:ascii="Times New Roman" w:hAnsi="Times New Roman" w:cs="Times New Roman"/>
          <w:lang w:val="en-US"/>
        </w:rPr>
        <w:t xml:space="preserve"> Wang et al. (2022) also showed that leaf production is strongly correlated with soil nutrient status, while Thornton and Millard (1997) demonstrated that a shorter cutting interval promotes leaf renewal through improved </w:t>
      </w:r>
      <w:r>
        <w:rPr>
          <w:rFonts w:ascii="Times New Roman" w:hAnsi="Times New Roman" w:cs="Times New Roman"/>
          <w:highlight w:val="yellow"/>
          <w:lang w:val="en-US"/>
        </w:rPr>
        <w:t>nutrient mobilisation</w:t>
      </w:r>
      <w:r>
        <w:rPr>
          <w:rFonts w:ascii="Times New Roman" w:hAnsi="Times New Roman" w:cs="Times New Roman"/>
          <w:lang w:val="en-US"/>
        </w:rPr>
        <w:t>.</w:t>
      </w:r>
    </w:p>
    <w:p w14:paraId="4AE1FBCE"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Although statistical analysis did not reveal any significant differences between treatments for dry biomass, the observed values indicate a </w:t>
      </w:r>
      <w:r>
        <w:rPr>
          <w:rFonts w:ascii="Times New Roman" w:hAnsi="Times New Roman" w:cs="Times New Roman"/>
          <w:highlight w:val="yellow"/>
          <w:lang w:val="en-US"/>
        </w:rPr>
        <w:t>favourable</w:t>
      </w:r>
      <w:r>
        <w:rPr>
          <w:rFonts w:ascii="Times New Roman" w:hAnsi="Times New Roman" w:cs="Times New Roman"/>
          <w:lang w:val="en-US"/>
        </w:rPr>
        <w:t xml:space="preserve"> trend for T1 and T2. This lack of statistical significance could be explained by high intra-plot variability or </w:t>
      </w:r>
      <w:r>
        <w:rPr>
          <w:rFonts w:ascii="Times New Roman" w:hAnsi="Times New Roman" w:cs="Times New Roman"/>
          <w:highlight w:val="yellow"/>
          <w:lang w:val="en-US"/>
        </w:rPr>
        <w:t>by a limited sample size that reduced statistical power</w:t>
      </w:r>
      <w:r>
        <w:rPr>
          <w:rFonts w:ascii="Times New Roman" w:hAnsi="Times New Roman" w:cs="Times New Roman"/>
          <w:lang w:val="en-US"/>
        </w:rPr>
        <w:t xml:space="preserve">. The results are nevertheless consistent with those of </w:t>
      </w:r>
      <w:r>
        <w:rPr>
          <w:rFonts w:ascii="Times New Roman" w:hAnsi="Times New Roman" w:cs="Times New Roman"/>
          <w:highlight w:val="yellow"/>
          <w:lang w:val="en-US"/>
        </w:rPr>
        <w:t>Carroll et al. (2025), who reported an average 43% increase in plant biomass following fertilisation.</w:t>
      </w:r>
      <w:r>
        <w:rPr>
          <w:rFonts w:ascii="Times New Roman" w:hAnsi="Times New Roman" w:cs="Times New Roman"/>
          <w:lang w:val="en-US"/>
        </w:rPr>
        <w:t xml:space="preserve"> The discrepancy between fresh biomass and dry biomass, noted by Wahyuni et al. (2026), serves as a reminder that water content can modulate the apparent expression of yield, which would justify further analyses of tissue water dynamics. Regarding planting density, the lack of a significant difference between 30 and 40 cm suggests that, under the experimental conditions of this study, inter-plant competition did not reach a limiting threshold. However, the low productivity observed under T3 and its reduced number of grazing days (23 days) indicate that an interaction between density, </w:t>
      </w:r>
      <w:r>
        <w:rPr>
          <w:rFonts w:ascii="Times New Roman" w:hAnsi="Times New Roman" w:cs="Times New Roman"/>
          <w:highlight w:val="yellow"/>
          <w:lang w:val="en-US"/>
        </w:rPr>
        <w:t>fertilisation</w:t>
      </w:r>
      <w:r>
        <w:rPr>
          <w:rFonts w:ascii="Times New Roman" w:hAnsi="Times New Roman" w:cs="Times New Roman"/>
          <w:lang w:val="en-US"/>
        </w:rPr>
        <w:t>, and cutting interval could influence forage sustainability. Zhang et al. (2021) have also shown that an optimal density improves resource use efficiency, whereas an imbalance can reduce overall productivity.</w:t>
      </w:r>
    </w:p>
    <w:p w14:paraId="5A85E820" w14:textId="77777777" w:rsidR="00967501" w:rsidRPr="00D6265C"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growth dynamics reveal an initial rapid phase lasting until </w:t>
      </w:r>
      <w:r>
        <w:rPr>
          <w:rFonts w:ascii="Times New Roman" w:hAnsi="Times New Roman" w:cs="Times New Roman"/>
          <w:highlight w:val="yellow"/>
          <w:lang w:val="en-US"/>
        </w:rPr>
        <w:t>weeks 5–7</w:t>
      </w:r>
      <w:r>
        <w:rPr>
          <w:rFonts w:ascii="Times New Roman" w:hAnsi="Times New Roman" w:cs="Times New Roman"/>
          <w:lang w:val="en-US"/>
        </w:rPr>
        <w:t xml:space="preserve">, followed by a plateau across all treatments. Under T1, maximum height reached 45.13 cm by week 7. This phase likely corresponds to a period of maximum nutrient uptake and intense photosynthetic activity, as described by da Silva et al. (2026). The subsequent </w:t>
      </w:r>
      <w:r>
        <w:rPr>
          <w:rFonts w:ascii="Times New Roman" w:hAnsi="Times New Roman" w:cs="Times New Roman"/>
          <w:highlight w:val="yellow"/>
          <w:lang w:val="en-US"/>
        </w:rPr>
        <w:t>stabilisation</w:t>
      </w:r>
      <w:r>
        <w:rPr>
          <w:rFonts w:ascii="Times New Roman" w:hAnsi="Times New Roman" w:cs="Times New Roman"/>
          <w:lang w:val="en-US"/>
        </w:rPr>
        <w:t xml:space="preserve"> could reflect either a gradual limitation of available resources or a physiological adjustment </w:t>
      </w:r>
      <w:r>
        <w:rPr>
          <w:rFonts w:ascii="Times New Roman" w:hAnsi="Times New Roman" w:cs="Times New Roman"/>
          <w:highlight w:val="yellow"/>
          <w:lang w:val="en-US"/>
        </w:rPr>
        <w:t>towards</w:t>
      </w:r>
      <w:r>
        <w:rPr>
          <w:rFonts w:ascii="Times New Roman" w:hAnsi="Times New Roman" w:cs="Times New Roman"/>
          <w:lang w:val="en-US"/>
        </w:rPr>
        <w:t xml:space="preserve"> a state of structural equilibrium. Harpole et al. (2016) showed that </w:t>
      </w:r>
      <w:r>
        <w:rPr>
          <w:rFonts w:ascii="Times New Roman" w:hAnsi="Times New Roman" w:cs="Times New Roman"/>
          <w:highlight w:val="yellow"/>
          <w:lang w:val="en-US"/>
        </w:rPr>
        <w:t>fertilisation</w:t>
      </w:r>
      <w:r>
        <w:rPr>
          <w:rFonts w:ascii="Times New Roman" w:hAnsi="Times New Roman" w:cs="Times New Roman"/>
          <w:lang w:val="en-US"/>
        </w:rPr>
        <w:t xml:space="preserve"> can stimulate initial growth but that the effect diminishes as resources become limiting. Jackson and Gratton (2026) also </w:t>
      </w:r>
      <w:r>
        <w:rPr>
          <w:rFonts w:ascii="Times New Roman" w:hAnsi="Times New Roman" w:cs="Times New Roman"/>
          <w:highlight w:val="yellow"/>
          <w:lang w:val="en-US"/>
        </w:rPr>
        <w:t>emphasise</w:t>
      </w:r>
      <w:r>
        <w:rPr>
          <w:rFonts w:ascii="Times New Roman" w:hAnsi="Times New Roman" w:cs="Times New Roman"/>
          <w:lang w:val="en-US"/>
        </w:rPr>
        <w:t xml:space="preserve"> that less intensive systems, although exhibiting more moderate initial growth, may offer better long-term ecological sustainability.</w:t>
      </w:r>
    </w:p>
    <w:p w14:paraId="5E26F721" w14:textId="77777777" w:rsidR="00816736" w:rsidRDefault="00967501"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Since grazing days are directly correlated with available biomass, the superior performance of T1 and T2 indicates a higher pastoral potential. However, the low value observed in T3 suggests that an imbalance between </w:t>
      </w:r>
      <w:r>
        <w:rPr>
          <w:rFonts w:ascii="Times New Roman" w:hAnsi="Times New Roman" w:cs="Times New Roman"/>
          <w:highlight w:val="yellow"/>
          <w:lang w:val="en-US"/>
        </w:rPr>
        <w:t>fertilisation</w:t>
      </w:r>
      <w:r>
        <w:rPr>
          <w:rFonts w:ascii="Times New Roman" w:hAnsi="Times New Roman" w:cs="Times New Roman"/>
          <w:lang w:val="en-US"/>
        </w:rPr>
        <w:t xml:space="preserve">, stocking rate, and cutting interval may limit the duration of vegetation cover </w:t>
      </w:r>
      <w:r>
        <w:rPr>
          <w:rFonts w:ascii="Times New Roman" w:hAnsi="Times New Roman" w:cs="Times New Roman"/>
          <w:highlight w:val="yellow"/>
          <w:lang w:val="en-US"/>
        </w:rPr>
        <w:t>utilisation</w:t>
      </w:r>
      <w:r>
        <w:rPr>
          <w:rFonts w:ascii="Times New Roman" w:hAnsi="Times New Roman" w:cs="Times New Roman"/>
          <w:lang w:val="en-US"/>
        </w:rPr>
        <w:t xml:space="preserve">. From an operational perspective, although yield differences are not statistically significant, the observed trends indicate that combinations incorporating </w:t>
      </w:r>
      <w:r>
        <w:rPr>
          <w:rFonts w:ascii="Times New Roman" w:hAnsi="Times New Roman" w:cs="Times New Roman"/>
          <w:highlight w:val="yellow"/>
          <w:lang w:val="en-US"/>
        </w:rPr>
        <w:t>fertilisation</w:t>
      </w:r>
      <w:r>
        <w:rPr>
          <w:rFonts w:ascii="Times New Roman" w:hAnsi="Times New Roman" w:cs="Times New Roman"/>
          <w:lang w:val="en-US"/>
        </w:rPr>
        <w:t xml:space="preserve"> and a short cutting interval (T1 and T2) are the most promising options for </w:t>
      </w:r>
      <w:r>
        <w:rPr>
          <w:rFonts w:ascii="Times New Roman" w:hAnsi="Times New Roman" w:cs="Times New Roman"/>
          <w:highlight w:val="yellow"/>
          <w:lang w:val="en-US"/>
        </w:rPr>
        <w:t>maximising</w:t>
      </w:r>
      <w:r>
        <w:rPr>
          <w:rFonts w:ascii="Times New Roman" w:hAnsi="Times New Roman" w:cs="Times New Roman"/>
          <w:lang w:val="en-US"/>
        </w:rPr>
        <w:t xml:space="preserve"> dry biomass and seasonal carrying capacity. Further studies incorporating edaphic parameters, soil nutrient dynamics, and water use efficiency would help refine technical recommendations and assess the long-term sustainability of the proposed systems.</w:t>
      </w:r>
    </w:p>
    <w:p w14:paraId="17E38F39" w14:textId="77777777" w:rsidR="000B2340" w:rsidRPr="0029211F" w:rsidRDefault="000B2340" w:rsidP="00F555C6">
      <w:pPr>
        <w:spacing w:after="0" w:line="240" w:lineRule="auto"/>
        <w:jc w:val="both"/>
        <w:rPr>
          <w:rFonts w:ascii="Times New Roman" w:hAnsi="Times New Roman" w:cs="Times New Roman"/>
          <w:lang w:val="en-US"/>
        </w:rPr>
      </w:pPr>
    </w:p>
    <w:p w14:paraId="0FFA3635" w14:textId="77777777" w:rsidR="00967501" w:rsidRPr="00D6265C" w:rsidRDefault="00967501" w:rsidP="00F555C6">
      <w:pPr>
        <w:spacing w:after="0" w:line="240" w:lineRule="auto"/>
        <w:jc w:val="both"/>
        <w:rPr>
          <w:rFonts w:ascii="Times New Roman" w:hAnsi="Times New Roman" w:cs="Times New Roman"/>
          <w:b/>
          <w:bCs/>
          <w:lang w:val="en-US"/>
        </w:rPr>
      </w:pPr>
      <w:r>
        <w:rPr>
          <w:rFonts w:ascii="Times New Roman" w:hAnsi="Times New Roman" w:cs="Times New Roman"/>
          <w:b/>
          <w:bCs/>
          <w:lang w:val="en-US"/>
        </w:rPr>
        <w:t>CONCLUSION</w:t>
      </w:r>
    </w:p>
    <w:p w14:paraId="0CFE4116" w14:textId="77777777" w:rsidR="0023653A" w:rsidRPr="0023653A" w:rsidRDefault="0023653A"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This study investigated the combined effects of mineral </w:t>
      </w:r>
      <w:r>
        <w:rPr>
          <w:rFonts w:ascii="Times New Roman" w:hAnsi="Times New Roman" w:cs="Times New Roman"/>
          <w:highlight w:val="yellow"/>
          <w:lang w:val="en-US"/>
        </w:rPr>
        <w:t>fertilisation</w:t>
      </w:r>
      <w:r>
        <w:rPr>
          <w:rFonts w:ascii="Times New Roman" w:hAnsi="Times New Roman" w:cs="Times New Roman"/>
          <w:lang w:val="en-US"/>
        </w:rPr>
        <w:t xml:space="preserve">, planting density, and cutting interval on the growth and biomass production of </w:t>
      </w:r>
      <w:r>
        <w:rPr>
          <w:rFonts w:ascii="Times New Roman" w:hAnsi="Times New Roman" w:cs="Times New Roman"/>
          <w:i/>
          <w:iCs/>
          <w:lang w:val="en-US"/>
        </w:rPr>
        <w:t>Eleusine indica</w:t>
      </w:r>
      <w:r>
        <w:rPr>
          <w:rFonts w:ascii="Times New Roman" w:hAnsi="Times New Roman" w:cs="Times New Roman"/>
          <w:lang w:val="en-US"/>
        </w:rPr>
        <w:t xml:space="preserve"> (L.) Gaertn. under the agroecological conditions of central Côte d’Ivoire. The results demonstrate that the agronomic performance of the species can be improved through appropriate management practices, although biomass yield differences among treatments were not statistically significant under the experimental conditions.</w:t>
      </w:r>
    </w:p>
    <w:p w14:paraId="11139474" w14:textId="77777777" w:rsidR="0023653A" w:rsidRPr="0023653A" w:rsidRDefault="0023653A"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The combination of mineral </w:t>
      </w:r>
      <w:r>
        <w:rPr>
          <w:rFonts w:ascii="Times New Roman" w:hAnsi="Times New Roman" w:cs="Times New Roman"/>
          <w:highlight w:val="yellow"/>
          <w:lang w:val="en-US"/>
        </w:rPr>
        <w:t>fertilisation</w:t>
      </w:r>
      <w:r>
        <w:rPr>
          <w:rFonts w:ascii="Times New Roman" w:hAnsi="Times New Roman" w:cs="Times New Roman"/>
          <w:lang w:val="en-US"/>
        </w:rPr>
        <w:t xml:space="preserve">, a 30-day cutting interval, and a planting density of 30 cm (T1) consistently produced the best vegetative performance, with greater plant height, tillering, and leaf production, as well as the highest dry matter yield and grazing potential. These findings suggest that frequent harvesting combined with adequate nutrient supply enhances the productive capacity of </w:t>
      </w:r>
      <w:r>
        <w:rPr>
          <w:rFonts w:ascii="Times New Roman" w:hAnsi="Times New Roman" w:cs="Times New Roman"/>
          <w:i/>
          <w:iCs/>
          <w:lang w:val="en-US"/>
        </w:rPr>
        <w:t>E. indica</w:t>
      </w:r>
      <w:r>
        <w:rPr>
          <w:rFonts w:ascii="Times New Roman" w:hAnsi="Times New Roman" w:cs="Times New Roman"/>
          <w:lang w:val="en-US"/>
        </w:rPr>
        <w:t xml:space="preserve"> and may contribute to increased forage availability for ruminant production systems. The absence of significant yield differences among treatments also indicates a considerable degree of agronomic plasticity, particularly with respect to the planting densities tested (30 and 40 cm), suggesting that the species is relatively tolerant to moderate variations in stand density.</w:t>
      </w:r>
    </w:p>
    <w:p w14:paraId="3732E71B" w14:textId="77777777" w:rsidR="0023653A" w:rsidRPr="0023653A" w:rsidRDefault="0023653A" w:rsidP="00F555C6">
      <w:pPr>
        <w:spacing w:after="0" w:line="240" w:lineRule="auto"/>
        <w:jc w:val="both"/>
        <w:rPr>
          <w:rFonts w:ascii="Times New Roman" w:hAnsi="Times New Roman" w:cs="Times New Roman"/>
          <w:lang w:val="en-US"/>
        </w:rPr>
      </w:pPr>
      <w:r>
        <w:rPr>
          <w:rFonts w:ascii="Times New Roman" w:hAnsi="Times New Roman" w:cs="Times New Roman"/>
          <w:lang w:val="en-US"/>
        </w:rPr>
        <w:lastRenderedPageBreak/>
        <w:t xml:space="preserve">Overall, </w:t>
      </w:r>
      <w:r>
        <w:rPr>
          <w:rFonts w:ascii="Times New Roman" w:hAnsi="Times New Roman" w:cs="Times New Roman"/>
          <w:i/>
          <w:iCs/>
          <w:lang w:val="en-US"/>
        </w:rPr>
        <w:t>E. indica</w:t>
      </w:r>
      <w:r>
        <w:rPr>
          <w:rFonts w:ascii="Times New Roman" w:hAnsi="Times New Roman" w:cs="Times New Roman"/>
          <w:lang w:val="en-US"/>
        </w:rPr>
        <w:t xml:space="preserve"> appears to be a promising forage resource for tropical livestock systems and could contribute to the diversification of cultivated forage species in Côte d’Ivoire. Its ability to maintain relatively stable biomass production across the tested management conditions highlights its potential for integration into low-input and mixed crop-livestock production systems.</w:t>
      </w:r>
    </w:p>
    <w:p w14:paraId="36D8BCCB" w14:textId="77777777" w:rsidR="00967501" w:rsidRDefault="0023653A" w:rsidP="00F555C6">
      <w:pPr>
        <w:spacing w:after="0" w:line="240" w:lineRule="auto"/>
        <w:jc w:val="both"/>
        <w:rPr>
          <w:rFonts w:ascii="Times New Roman" w:hAnsi="Times New Roman" w:cs="Times New Roman"/>
          <w:lang w:val="en-US"/>
        </w:rPr>
      </w:pPr>
      <w:r>
        <w:rPr>
          <w:rFonts w:ascii="Times New Roman" w:hAnsi="Times New Roman" w:cs="Times New Roman"/>
          <w:lang w:val="en-US"/>
        </w:rPr>
        <w:t xml:space="preserve">Future research should focus on </w:t>
      </w:r>
      <w:r>
        <w:rPr>
          <w:rFonts w:ascii="Times New Roman" w:hAnsi="Times New Roman" w:cs="Times New Roman"/>
          <w:highlight w:val="yellow"/>
          <w:lang w:val="en-US"/>
        </w:rPr>
        <w:t>optimising</w:t>
      </w:r>
      <w:r>
        <w:rPr>
          <w:rFonts w:ascii="Times New Roman" w:hAnsi="Times New Roman" w:cs="Times New Roman"/>
          <w:lang w:val="en-US"/>
        </w:rPr>
        <w:t xml:space="preserve"> </w:t>
      </w:r>
      <w:r>
        <w:rPr>
          <w:rFonts w:ascii="Times New Roman" w:hAnsi="Times New Roman" w:cs="Times New Roman"/>
          <w:highlight w:val="yellow"/>
          <w:lang w:val="en-US"/>
        </w:rPr>
        <w:t>fertilisation</w:t>
      </w:r>
      <w:r>
        <w:rPr>
          <w:rFonts w:ascii="Times New Roman" w:hAnsi="Times New Roman" w:cs="Times New Roman"/>
          <w:lang w:val="en-US"/>
        </w:rPr>
        <w:t xml:space="preserve"> strategies through the evaluation of different mineral </w:t>
      </w:r>
      <w:r>
        <w:rPr>
          <w:rFonts w:ascii="Times New Roman" w:hAnsi="Times New Roman" w:cs="Times New Roman"/>
          <w:highlight w:val="yellow"/>
          <w:lang w:val="en-US"/>
        </w:rPr>
        <w:t>fertiliser</w:t>
      </w:r>
      <w:r>
        <w:rPr>
          <w:rFonts w:ascii="Times New Roman" w:hAnsi="Times New Roman" w:cs="Times New Roman"/>
          <w:lang w:val="en-US"/>
        </w:rPr>
        <w:t xml:space="preserve"> rates and nutrient combinations, assessing the contribution of organic amendments such as compost, manure, and bio</w:t>
      </w:r>
      <w:r>
        <w:rPr>
          <w:rFonts w:ascii="Times New Roman" w:hAnsi="Times New Roman" w:cs="Times New Roman"/>
          <w:highlight w:val="yellow"/>
          <w:lang w:val="en-US"/>
        </w:rPr>
        <w:t>fertiliser</w:t>
      </w:r>
      <w:r>
        <w:rPr>
          <w:rFonts w:ascii="Times New Roman" w:hAnsi="Times New Roman" w:cs="Times New Roman"/>
          <w:lang w:val="en-US"/>
        </w:rPr>
        <w:t>s, and developing management practices that ensure forage production during the dry season. Additional studies on grass-legume associations, nutrient and water use efficiency, and soil-plant-climate interactions would provide valuable information for designing productive, resilient, and environmentally sustainable forage systems in tropical agroecosystems.</w:t>
      </w:r>
    </w:p>
    <w:p w14:paraId="4D43A170" w14:textId="77777777" w:rsidR="008F5656" w:rsidRDefault="008F5656" w:rsidP="00F555C6">
      <w:pPr>
        <w:spacing w:after="0" w:line="240" w:lineRule="auto"/>
        <w:jc w:val="both"/>
        <w:rPr>
          <w:rFonts w:ascii="Times New Roman" w:hAnsi="Times New Roman" w:cs="Times New Roman"/>
          <w:lang w:val="en-US"/>
        </w:rPr>
      </w:pPr>
    </w:p>
    <w:p w14:paraId="153A4071" w14:textId="7620618F" w:rsidR="008F5656" w:rsidRPr="008F5656" w:rsidRDefault="008F5656" w:rsidP="00F555C6">
      <w:pPr>
        <w:spacing w:after="0" w:line="240" w:lineRule="auto"/>
        <w:jc w:val="both"/>
        <w:rPr>
          <w:rFonts w:ascii="Times New Roman" w:hAnsi="Times New Roman" w:cs="Times New Roman"/>
          <w:b/>
          <w:bCs/>
          <w:lang w:val="en-US"/>
        </w:rPr>
      </w:pPr>
      <w:r w:rsidRPr="008F5656">
        <w:rPr>
          <w:rFonts w:ascii="Times New Roman" w:hAnsi="Times New Roman" w:cs="Times New Roman"/>
          <w:b/>
          <w:bCs/>
          <w:lang w:val="en-US"/>
        </w:rPr>
        <w:t>Limitations</w:t>
      </w:r>
    </w:p>
    <w:p w14:paraId="2FE2B84F" w14:textId="77777777" w:rsidR="008F5656" w:rsidRDefault="008F5656" w:rsidP="008F5656">
      <w:pPr>
        <w:pStyle w:val="pdq2pgselectionanchorcontainer"/>
        <w:jc w:val="both"/>
      </w:pPr>
      <w:r>
        <w:t xml:space="preserve">The study was conducted at a single site during one August–December 2023 experimental period and evaluated two planting spacings, two cutting intervals, and one mineral </w:t>
      </w:r>
      <w:proofErr w:type="spellStart"/>
      <w:r>
        <w:t>fertiliser</w:t>
      </w:r>
      <w:proofErr w:type="spellEnd"/>
      <w:r>
        <w:t xml:space="preserve"> regime. The findings therefore describe responses within these specific treatment ranges and agroecological conditions. Further evaluation across seasons and locations, with additional </w:t>
      </w:r>
      <w:proofErr w:type="spellStart"/>
      <w:r>
        <w:t>fertiliser</w:t>
      </w:r>
      <w:proofErr w:type="spellEnd"/>
      <w:r>
        <w:t xml:space="preserve"> rates and measurements of soil nutrient and water dynamics, would help determine the consistency of the observed responses and strengthen agronomic recommendations for </w:t>
      </w:r>
      <w:r>
        <w:rPr>
          <w:rStyle w:val="Emphasis"/>
        </w:rPr>
        <w:t>Eleusine indica</w:t>
      </w:r>
      <w:r>
        <w:t xml:space="preserve"> forage production.</w:t>
      </w:r>
    </w:p>
    <w:p w14:paraId="169EC39D" w14:textId="77777777" w:rsidR="008F5656" w:rsidRPr="00D6265C" w:rsidRDefault="008F5656" w:rsidP="00F555C6">
      <w:pPr>
        <w:spacing w:after="0" w:line="240" w:lineRule="auto"/>
        <w:jc w:val="both"/>
        <w:rPr>
          <w:rFonts w:ascii="Times New Roman" w:hAnsi="Times New Roman" w:cs="Times New Roman"/>
          <w:sz w:val="20"/>
          <w:szCs w:val="20"/>
          <w:lang w:val="en-US"/>
        </w:rPr>
      </w:pPr>
    </w:p>
    <w:p w14:paraId="33CF8440" w14:textId="77777777" w:rsidR="004275B5" w:rsidRPr="004275B5" w:rsidRDefault="004275B5" w:rsidP="00F555C6">
      <w:pPr>
        <w:spacing w:after="0" w:line="240" w:lineRule="auto"/>
        <w:jc w:val="both"/>
        <w:rPr>
          <w:rFonts w:ascii="Times New Roman" w:hAnsi="Times New Roman" w:cs="Times New Roman"/>
          <w:b/>
          <w:bCs/>
          <w:lang w:val="en-US"/>
        </w:rPr>
      </w:pPr>
    </w:p>
    <w:p w14:paraId="3B11502F" w14:textId="77777777" w:rsidR="008B1E87" w:rsidRDefault="008B1E87" w:rsidP="008B1E87">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223DF91D" w14:textId="77777777" w:rsidR="005974A5" w:rsidRDefault="005974A5" w:rsidP="008B1E87">
      <w:pPr>
        <w:spacing w:after="0" w:line="240" w:lineRule="auto"/>
        <w:rPr>
          <w:rFonts w:ascii="Times New Roman" w:hAnsi="Times New Roman" w:cs="Times New Roman"/>
          <w:b/>
        </w:rPr>
      </w:pPr>
    </w:p>
    <w:p w14:paraId="3E8A7F70" w14:textId="77777777" w:rsidR="008B1E87" w:rsidRPr="002D08AC" w:rsidRDefault="008B1E87" w:rsidP="008B1E87">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6247C47A" w14:textId="77777777" w:rsidR="008B1E87" w:rsidRDefault="008B1E87" w:rsidP="00F555C6">
      <w:pPr>
        <w:spacing w:after="0" w:line="240" w:lineRule="auto"/>
        <w:jc w:val="both"/>
        <w:rPr>
          <w:rFonts w:ascii="Times New Roman" w:hAnsi="Times New Roman" w:cs="Times New Roman"/>
          <w:lang w:val="en-US"/>
        </w:rPr>
      </w:pPr>
    </w:p>
    <w:p w14:paraId="76495F86" w14:textId="77777777" w:rsidR="007C5C9A" w:rsidRPr="004275B5" w:rsidRDefault="007C5C9A" w:rsidP="00F555C6">
      <w:pPr>
        <w:spacing w:after="0" w:line="240" w:lineRule="auto"/>
        <w:jc w:val="both"/>
        <w:rPr>
          <w:rFonts w:ascii="Times New Roman" w:hAnsi="Times New Roman" w:cs="Times New Roman"/>
          <w:b/>
          <w:bCs/>
          <w:lang w:val="en-US"/>
        </w:rPr>
      </w:pPr>
    </w:p>
    <w:p w14:paraId="77E28466" w14:textId="77777777" w:rsidR="00967501" w:rsidRPr="00D31616" w:rsidRDefault="00967501" w:rsidP="00F555C6">
      <w:pPr>
        <w:spacing w:after="0" w:line="240" w:lineRule="auto"/>
        <w:jc w:val="both"/>
        <w:rPr>
          <w:rFonts w:ascii="Times New Roman" w:hAnsi="Times New Roman" w:cs="Times New Roman"/>
          <w:b/>
          <w:bCs/>
        </w:rPr>
      </w:pPr>
      <w:r w:rsidRPr="00D31616">
        <w:rPr>
          <w:rFonts w:ascii="Times New Roman" w:hAnsi="Times New Roman" w:cs="Times New Roman"/>
          <w:b/>
          <w:bCs/>
        </w:rPr>
        <w:t>REFERENCES</w:t>
      </w:r>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Boote, K. J., Adesogan, A. T., Balehegn, M., Duncan, A., Muir, J. P., Dubeux, J. C. B., Jr., &amp; Rios, E. F. (2022). Fodder development in sub-Saharan Africa: An introduction. </w:t>
      </w:r>
      <w:r>
        <w:rPr>
          <w:rFonts w:ascii="Times New Roman" w:hAnsi="Times New Roman"/>
          <w:b w:val="0"/>
          <w:i/>
        </w:rPr>
        <w:t>Agronomy Journal, 114</w:t>
      </w:r>
      <w:r>
        <w:rPr>
          <w:rFonts w:ascii="Times New Roman" w:hAnsi="Times New Roman"/>
          <w:b w:val="0"/>
          <w:i w:val="0"/>
        </w:rPr>
        <w:t>(1), 1–7.</w:t>
      </w:r>
      <w:r>
        <w:rPr>
          <w:rFonts w:ascii="Times New Roman" w:hAnsi="Times New Roman"/>
          <w:b w:val="0"/>
          <w:i w:val="0"/>
        </w:rPr>
        <w:t xml:space="preserve"> </w:t>
      </w:r>
      <w:hyperlink r:id="rId25">
        <w:r>
          <w:rPr>
            <w:rFonts w:ascii="Times New Roman" w:hAnsi="Times New Roman"/>
            <w:color w:val="0563C1"/>
            <w:u w:val="single"/>
          </w:rPr>
          <w:t>https://doi.org/10.1002/agj2.20924</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Boudet, G. (1991). </w:t>
      </w:r>
      <w:r>
        <w:rPr>
          <w:rFonts w:ascii="Times New Roman" w:hAnsi="Times New Roman"/>
          <w:b w:val="0"/>
          <w:i/>
        </w:rPr>
        <w:t>Manuel sur les pâturages tropicaux et les cultures fourragères</w:t>
      </w:r>
      <w:r>
        <w:rPr>
          <w:rFonts w:ascii="Times New Roman" w:hAnsi="Times New Roman"/>
          <w:b w:val="0"/>
          <w:i w:val="0"/>
        </w:rPr>
        <w:t>. La Documentation française.</w:t>
      </w:r>
      <w:r>
        <w:rPr>
          <w:rFonts w:ascii="Times New Roman" w:hAnsi="Times New Roman"/>
          <w:b w:val="0"/>
          <w:i w:val="0"/>
        </w:rPr>
        <w:t xml:space="preserve"> </w:t>
      </w:r>
      <w:hyperlink r:id="rId26">
        <w:r>
          <w:rPr>
            <w:rFonts w:ascii="Times New Roman" w:hAnsi="Times New Roman"/>
            <w:color w:val="0563C1"/>
            <w:u w:val="single"/>
          </w:rPr>
          <w:t>https://www.fao.org/4/w4442e/w4442e0o.htm</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Breman, H., &amp; de Ridder, N. (Eds.). (1991). </w:t>
      </w:r>
      <w:r>
        <w:rPr>
          <w:rFonts w:ascii="Times New Roman" w:hAnsi="Times New Roman"/>
          <w:b w:val="0"/>
          <w:i/>
        </w:rPr>
        <w:t>Manuel sur les pâturages des pays sahéliens</w:t>
      </w:r>
      <w:r>
        <w:rPr>
          <w:rFonts w:ascii="Times New Roman" w:hAnsi="Times New Roman"/>
          <w:b w:val="0"/>
          <w:i w:val="0"/>
        </w:rPr>
        <w:t>. Karthala/ACCT/CABO-DLO/CTA.</w:t>
      </w:r>
      <w:r>
        <w:rPr>
          <w:rFonts w:ascii="Times New Roman" w:hAnsi="Times New Roman"/>
          <w:b w:val="0"/>
          <w:i w:val="0"/>
        </w:rPr>
        <w:t xml:space="preserve"> </w:t>
      </w:r>
      <w:hyperlink r:id="rId27">
        <w:r>
          <w:rPr>
            <w:rFonts w:ascii="Times New Roman" w:hAnsi="Times New Roman"/>
            <w:color w:val="0563C1"/>
            <w:u w:val="single"/>
          </w:rPr>
          <w:t>https://ifad.tind.io/record/2191?ln=fr</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Carroll, O. H., Seabloom, E. W., Borer, E. T., Harpole, W. S., Wilfahrt, P., Arnillas, C. A., Bakker, J. D., Blumenthal, D. M., Boughton, E., Bugalho, M. N., Caldeira, M., Campbell, M. M., Catford, J., Chen, Q., Dickman, C. R., Donohue, I., DuPre, M. E., Eskelinen, A., Estrada, C., … MacDougall, A. S. (2025). Frequent failure of nutrients to increase plant biomass supports the need for precision fertilization in agriculture. </w:t>
      </w:r>
      <w:r>
        <w:rPr>
          <w:rFonts w:ascii="Times New Roman" w:hAnsi="Times New Roman"/>
          <w:b w:val="0"/>
          <w:i/>
        </w:rPr>
        <w:t>Scientific Reports, 15</w:t>
      </w:r>
      <w:r>
        <w:rPr>
          <w:rFonts w:ascii="Times New Roman" w:hAnsi="Times New Roman"/>
          <w:b w:val="0"/>
          <w:i w:val="0"/>
        </w:rPr>
        <w:t>, 14564.</w:t>
      </w:r>
      <w:r>
        <w:rPr>
          <w:rFonts w:ascii="Times New Roman" w:hAnsi="Times New Roman"/>
          <w:b w:val="0"/>
          <w:i w:val="0"/>
        </w:rPr>
        <w:t xml:space="preserve"> </w:t>
      </w:r>
      <w:hyperlink r:id="rId28">
        <w:r>
          <w:rPr>
            <w:rFonts w:ascii="Times New Roman" w:hAnsi="Times New Roman"/>
            <w:color w:val="0563C1"/>
            <w:u w:val="single"/>
          </w:rPr>
          <w:t>https://doi.org/10.1038/s41598-025-99071-z</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Cooke, A. S., Machekano, H., Gwiriri, L. C., Tinsley, J. H. I., Silva, G. M., Nyamukondiwa, C., Safalaoh, A., Morgan, E. R., &amp; Lee, M. R. F. (2025). The nutritional feed gap: Seasonal variations in ruminant nutrition and knowledge gaps in relation to food security in Southern Africa. </w:t>
      </w:r>
      <w:r>
        <w:rPr>
          <w:rFonts w:ascii="Times New Roman" w:hAnsi="Times New Roman"/>
          <w:b w:val="0"/>
          <w:i/>
        </w:rPr>
        <w:t>Food Security, 17</w:t>
      </w:r>
      <w:r>
        <w:rPr>
          <w:rFonts w:ascii="Times New Roman" w:hAnsi="Times New Roman"/>
          <w:b w:val="0"/>
          <w:i w:val="0"/>
        </w:rPr>
        <w:t>(1), 73–100.</w:t>
      </w:r>
      <w:r>
        <w:rPr>
          <w:rFonts w:ascii="Times New Roman" w:hAnsi="Times New Roman"/>
          <w:b w:val="0"/>
          <w:i w:val="0"/>
        </w:rPr>
        <w:t xml:space="preserve"> </w:t>
      </w:r>
      <w:hyperlink r:id="rId29">
        <w:r>
          <w:rPr>
            <w:rFonts w:ascii="Times New Roman" w:hAnsi="Times New Roman"/>
            <w:color w:val="0563C1"/>
            <w:u w:val="single"/>
          </w:rPr>
          <w:t>https://doi.org/10.1007/s12571-024-01509-1</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da Silva, H. R., Difante, G. dos S., Roberto, F. F. da S., Ferreira Júnior, M. A., Araújo, C. M. C., Longhini, V. Z., Rodrigues, J. G., Pereira, M. de G., Montagner, D. B., Ítavo, L. C. V., Gurgel, A. L. C., &amp; de Castro, M. M. P. M. F. (2026). Effects of nitrogen fertilization on forage production, animal performance, and greenhouse gas emissions in tropical pastures: A systematic review. </w:t>
      </w:r>
      <w:r>
        <w:rPr>
          <w:rFonts w:ascii="Times New Roman" w:hAnsi="Times New Roman"/>
          <w:b w:val="0"/>
          <w:i/>
        </w:rPr>
        <w:t>Agriculture, Ecosystems &amp; Environment, 406</w:t>
      </w:r>
      <w:r>
        <w:rPr>
          <w:rFonts w:ascii="Times New Roman" w:hAnsi="Times New Roman"/>
          <w:b w:val="0"/>
          <w:i w:val="0"/>
        </w:rPr>
        <w:t>, 110401.</w:t>
      </w:r>
      <w:r>
        <w:rPr>
          <w:rFonts w:ascii="Times New Roman" w:hAnsi="Times New Roman"/>
          <w:b w:val="0"/>
          <w:i w:val="0"/>
        </w:rPr>
        <w:t xml:space="preserve"> </w:t>
      </w:r>
      <w:hyperlink r:id="rId30">
        <w:r>
          <w:rPr>
            <w:rFonts w:ascii="Times New Roman" w:hAnsi="Times New Roman"/>
            <w:color w:val="0563C1"/>
            <w:u w:val="single"/>
          </w:rPr>
          <w:t>https://doi.org/10.1016/j.agee.2026.110401</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Diomandé, B. I., Coulibaly, K. A., &amp; Koné, N. (2018). Changement climatique et mutation des systèmes culturaux dans le périmètre communal de Bouaké au Centre de la Côte d’Ivoire. </w:t>
      </w:r>
      <w:r>
        <w:rPr>
          <w:rFonts w:ascii="Times New Roman" w:hAnsi="Times New Roman"/>
          <w:b w:val="0"/>
          <w:i/>
        </w:rPr>
        <w:t>Afrique Science, 14</w:t>
      </w:r>
      <w:r>
        <w:rPr>
          <w:rFonts w:ascii="Times New Roman" w:hAnsi="Times New Roman"/>
          <w:b w:val="0"/>
          <w:i w:val="0"/>
        </w:rPr>
        <w:t>(3), 1–13.</w:t>
      </w:r>
      <w:r>
        <w:rPr>
          <w:rFonts w:ascii="Times New Roman" w:hAnsi="Times New Roman"/>
          <w:b w:val="0"/>
          <w:i w:val="0"/>
        </w:rPr>
        <w:t xml:space="preserve"> </w:t>
      </w:r>
      <w:r>
        <w:rPr>
          <w:rFonts w:ascii="Times New Roman" w:hAnsi="Times New Roman"/>
          <w:b/>
          <w:i w:val="0"/>
        </w:rPr>
        <w:t>ONLINE version not available</w:t>
      </w:r>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Guillaumet, J.-L., &amp; Adjanohoun, E. (1971). La végétation de la Côte d’Ivoire. In </w:t>
      </w:r>
      <w:r>
        <w:rPr>
          <w:rFonts w:ascii="Times New Roman" w:hAnsi="Times New Roman"/>
          <w:b w:val="0"/>
          <w:i/>
        </w:rPr>
        <w:t>Le milieu naturel de la Côte d’Ivoire</w:t>
      </w:r>
      <w:r>
        <w:rPr>
          <w:rFonts w:ascii="Times New Roman" w:hAnsi="Times New Roman"/>
          <w:b w:val="0"/>
          <w:i w:val="0"/>
        </w:rPr>
        <w:t xml:space="preserve"> (Mémoires ORSTOM No. 50, pp. 157–263). ORSTOM.</w:t>
      </w:r>
      <w:r>
        <w:rPr>
          <w:rFonts w:ascii="Times New Roman" w:hAnsi="Times New Roman"/>
          <w:b w:val="0"/>
          <w:i w:val="0"/>
        </w:rPr>
        <w:t xml:space="preserve"> </w:t>
      </w:r>
      <w:hyperlink r:id="rId31">
        <w:r>
          <w:rPr>
            <w:rFonts w:ascii="Times New Roman" w:hAnsi="Times New Roman"/>
            <w:color w:val="0563C1"/>
            <w:u w:val="single"/>
          </w:rPr>
          <w:t>https://horizon.documentation.ird.fr/exl-doc/pleins_textes/pleins_textes_2/memoires/16372.pdf</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Harpole, W. S., Sullivan, L. L., Lind, E. M., Firn, J., Adler, P. B., Borer, E. T., Chase, J., Fay, P. A., Hautier, Y., Hillebrand, H., MacDougall, A. S., Seabloom, E. W., Williams, R., Bakker, J. D., Cadotte, M. W., Chaneton, E. J., Chu, C., Cleland, E. E., D’Antonio, C., … Wragg, P. D. (2016). Addition of multiple limiting resources reduces grassland diversity. </w:t>
      </w:r>
      <w:r>
        <w:rPr>
          <w:rFonts w:ascii="Times New Roman" w:hAnsi="Times New Roman"/>
          <w:b w:val="0"/>
          <w:i/>
        </w:rPr>
        <w:t>Nature, 537</w:t>
      </w:r>
      <w:r>
        <w:rPr>
          <w:rFonts w:ascii="Times New Roman" w:hAnsi="Times New Roman"/>
          <w:b w:val="0"/>
          <w:i w:val="0"/>
        </w:rPr>
        <w:t>(7618), 93–96.</w:t>
      </w:r>
      <w:r>
        <w:rPr>
          <w:rFonts w:ascii="Times New Roman" w:hAnsi="Times New Roman"/>
          <w:b w:val="0"/>
          <w:i w:val="0"/>
        </w:rPr>
        <w:t xml:space="preserve"> </w:t>
      </w:r>
      <w:hyperlink r:id="rId32">
        <w:r>
          <w:rPr>
            <w:rFonts w:ascii="Times New Roman" w:hAnsi="Times New Roman"/>
            <w:color w:val="0563C1"/>
            <w:u w:val="single"/>
          </w:rPr>
          <w:t>https://doi.org/10.1038/nature19324</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He, J., Liu, H., Ren, Y., Liu, H., &amp; Du, W. (2024). Effects of nitrogen fertilization rate and seeding density on the forage yield and quality of autumn-sown triticale in an alpine grazing area of the Qinghai-Tibetan Plateau, China. </w:t>
      </w:r>
      <w:r>
        <w:rPr>
          <w:rFonts w:ascii="Times New Roman" w:hAnsi="Times New Roman"/>
          <w:b w:val="0"/>
          <w:i/>
        </w:rPr>
        <w:t>Grass and Forage Science, 79</w:t>
      </w:r>
      <w:r>
        <w:rPr>
          <w:rFonts w:ascii="Times New Roman" w:hAnsi="Times New Roman"/>
          <w:b w:val="0"/>
          <w:i w:val="0"/>
        </w:rPr>
        <w:t>(3), 392–403.</w:t>
      </w:r>
      <w:r>
        <w:rPr>
          <w:rFonts w:ascii="Times New Roman" w:hAnsi="Times New Roman"/>
          <w:b w:val="0"/>
          <w:i w:val="0"/>
        </w:rPr>
        <w:t xml:space="preserve"> </w:t>
      </w:r>
      <w:hyperlink r:id="rId33">
        <w:r>
          <w:rPr>
            <w:rFonts w:ascii="Times New Roman" w:hAnsi="Times New Roman"/>
            <w:color w:val="0563C1"/>
            <w:u w:val="single"/>
          </w:rPr>
          <w:t>https://doi.org/10.1111/gfs.12666</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Jackson, R. D., &amp; Gratton, C. (2026). Grassland 2.0—Agroecosystems that care for us today while building capacity for future generations to do the same. </w:t>
      </w:r>
      <w:r>
        <w:rPr>
          <w:rFonts w:ascii="Times New Roman" w:hAnsi="Times New Roman"/>
          <w:b w:val="0"/>
          <w:i/>
        </w:rPr>
        <w:t>Frontiers in Sustainable Food Systems, 9</w:t>
      </w:r>
      <w:r>
        <w:rPr>
          <w:rFonts w:ascii="Times New Roman" w:hAnsi="Times New Roman"/>
          <w:b w:val="0"/>
          <w:i w:val="0"/>
        </w:rPr>
        <w:t>, 1696429.</w:t>
      </w:r>
      <w:r>
        <w:rPr>
          <w:rFonts w:ascii="Times New Roman" w:hAnsi="Times New Roman"/>
          <w:b w:val="0"/>
          <w:i w:val="0"/>
        </w:rPr>
        <w:t xml:space="preserve"> </w:t>
      </w:r>
      <w:hyperlink r:id="rId34">
        <w:r>
          <w:rPr>
            <w:rFonts w:ascii="Times New Roman" w:hAnsi="Times New Roman"/>
            <w:color w:val="0563C1"/>
            <w:u w:val="single"/>
          </w:rPr>
          <w:t>https://doi.org/10.3389/fsufs.2025.1696429</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Leite, R. G., Cardoso, A. da S., Fonseca, N. V. B., Silva, M. L. C., Tedeschi, L. O., Delevatti, L. M., Ruggieri, A. C., &amp; Reis, R. A. (2021). Effects of nitrogen fertilization on protein and carbohydrate fractions of Marandu palisadegrass. </w:t>
      </w:r>
      <w:r>
        <w:rPr>
          <w:rFonts w:ascii="Times New Roman" w:hAnsi="Times New Roman"/>
          <w:b w:val="0"/>
          <w:i/>
        </w:rPr>
        <w:t>Scientific Reports, 11</w:t>
      </w:r>
      <w:r>
        <w:rPr>
          <w:rFonts w:ascii="Times New Roman" w:hAnsi="Times New Roman"/>
          <w:b w:val="0"/>
          <w:i w:val="0"/>
        </w:rPr>
        <w:t>, 14786.</w:t>
      </w:r>
      <w:r>
        <w:rPr>
          <w:rFonts w:ascii="Times New Roman" w:hAnsi="Times New Roman"/>
          <w:b w:val="0"/>
          <w:i w:val="0"/>
        </w:rPr>
        <w:t xml:space="preserve"> </w:t>
      </w:r>
      <w:hyperlink r:id="rId35">
        <w:r>
          <w:rPr>
            <w:rFonts w:ascii="Times New Roman" w:hAnsi="Times New Roman"/>
            <w:color w:val="0563C1"/>
            <w:u w:val="single"/>
          </w:rPr>
          <w:t>https://doi.org/10.1038/s41598-021-94098-4</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Ministère des Ressources Animales et Halieutiques. (2022). </w:t>
      </w:r>
      <w:r>
        <w:rPr>
          <w:rFonts w:ascii="Times New Roman" w:hAnsi="Times New Roman"/>
          <w:b w:val="0"/>
          <w:i/>
        </w:rPr>
        <w:t>Politique nationale de développement de l’élevage, de la pêche et de l’aquaculture (PONADEPA 2022–2026)</w:t>
      </w:r>
      <w:r>
        <w:rPr>
          <w:rFonts w:ascii="Times New Roman" w:hAnsi="Times New Roman"/>
          <w:b w:val="0"/>
          <w:i w:val="0"/>
        </w:rPr>
        <w:t>. Gouvernement de Côte d’Ivoire.</w:t>
      </w:r>
      <w:r>
        <w:rPr>
          <w:rFonts w:ascii="Times New Roman" w:hAnsi="Times New Roman"/>
          <w:b w:val="0"/>
          <w:i w:val="0"/>
        </w:rPr>
        <w:t xml:space="preserve"> </w:t>
      </w:r>
      <w:hyperlink r:id="rId36">
        <w:r>
          <w:rPr>
            <w:rFonts w:ascii="Times New Roman" w:hAnsi="Times New Roman"/>
            <w:color w:val="0563C1"/>
            <w:u w:val="single"/>
          </w:rPr>
          <w:t>https://www.partenariat.gouv.ci/uploads/document/PONADEPA_2022-2026.pdf?download=1</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OECD, &amp; Food and Agriculture Organization of the United Nations. (2020). </w:t>
      </w:r>
      <w:r>
        <w:rPr>
          <w:rFonts w:ascii="Times New Roman" w:hAnsi="Times New Roman"/>
          <w:b w:val="0"/>
          <w:i/>
        </w:rPr>
        <w:t>OECD-FAO agricultural outlook 2020–2029</w:t>
      </w:r>
      <w:r>
        <w:rPr>
          <w:rFonts w:ascii="Times New Roman" w:hAnsi="Times New Roman"/>
          <w:b w:val="0"/>
          <w:i w:val="0"/>
        </w:rPr>
        <w:t>. OECD Publishing.</w:t>
      </w:r>
      <w:r>
        <w:rPr>
          <w:rFonts w:ascii="Times New Roman" w:hAnsi="Times New Roman"/>
          <w:b w:val="0"/>
          <w:i w:val="0"/>
        </w:rPr>
        <w:t xml:space="preserve"> </w:t>
      </w:r>
      <w:hyperlink r:id="rId37">
        <w:r>
          <w:rPr>
            <w:rFonts w:ascii="Times New Roman" w:hAnsi="Times New Roman"/>
            <w:color w:val="0563C1"/>
            <w:u w:val="single"/>
          </w:rPr>
          <w:t>https://doi.org/10.1787/1112c23b-en</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Ramanjineyulu, M., Abhilash Naik, S. N., Bharathi, A., Sravya, G. C., &amp; Sainath Rao, M. (2025). Varietal response of Napier grass (</w:t>
      </w:r>
      <w:r>
        <w:rPr>
          <w:rFonts w:ascii="Times New Roman" w:hAnsi="Times New Roman"/>
          <w:b w:val="0"/>
          <w:i/>
        </w:rPr>
        <w:t>Pennisetum purpureum</w:t>
      </w:r>
      <w:r>
        <w:rPr>
          <w:rFonts w:ascii="Times New Roman" w:hAnsi="Times New Roman"/>
          <w:b w:val="0"/>
          <w:i w:val="0"/>
        </w:rPr>
        <w:t xml:space="preserve"> Schumach.) to spacing and nitrogen levels under dryland conditions of Southern India. </w:t>
      </w:r>
      <w:r>
        <w:rPr>
          <w:rFonts w:ascii="Times New Roman" w:hAnsi="Times New Roman"/>
          <w:b w:val="0"/>
          <w:i/>
        </w:rPr>
        <w:t>Plant Cell Biotechnology and Molecular Biology, 26</w:t>
      </w:r>
      <w:r>
        <w:rPr>
          <w:rFonts w:ascii="Times New Roman" w:hAnsi="Times New Roman"/>
          <w:b w:val="0"/>
          <w:i w:val="0"/>
        </w:rPr>
        <w:t>(9–10), 202–211.</w:t>
      </w:r>
      <w:r>
        <w:rPr>
          <w:rFonts w:ascii="Times New Roman" w:hAnsi="Times New Roman"/>
          <w:b w:val="0"/>
          <w:i w:val="0"/>
        </w:rPr>
        <w:t xml:space="preserve"> </w:t>
      </w:r>
      <w:hyperlink r:id="rId38">
        <w:r>
          <w:rPr>
            <w:rFonts w:ascii="Times New Roman" w:hAnsi="Times New Roman"/>
            <w:color w:val="0563C1"/>
            <w:u w:val="single"/>
          </w:rPr>
          <w:t>https://doi.org/10.56557/pcbmb/2025/v26i9-109777</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Ruillé, M., Beillouin, D., &amp; Prudhomme, R. (2026). Ecological drivers of intercropping performance for enhanced global crop production. </w:t>
      </w:r>
      <w:r>
        <w:rPr>
          <w:rFonts w:ascii="Times New Roman" w:hAnsi="Times New Roman"/>
          <w:b w:val="0"/>
          <w:i/>
        </w:rPr>
        <w:t>npj Sustainable Agriculture, 4</w:t>
      </w:r>
      <w:r>
        <w:rPr>
          <w:rFonts w:ascii="Times New Roman" w:hAnsi="Times New Roman"/>
          <w:b w:val="0"/>
          <w:i w:val="0"/>
        </w:rPr>
        <w:t>, 8.</w:t>
      </w:r>
      <w:r>
        <w:rPr>
          <w:rFonts w:ascii="Times New Roman" w:hAnsi="Times New Roman"/>
          <w:b w:val="0"/>
          <w:i w:val="0"/>
        </w:rPr>
        <w:t xml:space="preserve"> </w:t>
      </w:r>
      <w:hyperlink r:id="rId39">
        <w:r>
          <w:rPr>
            <w:rFonts w:ascii="Times New Roman" w:hAnsi="Times New Roman"/>
            <w:color w:val="0563C1"/>
            <w:u w:val="single"/>
          </w:rPr>
          <w:t>https://doi.org/10.1038/s44264-025-00110-z</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Saleem, M. A., Iqbal, A., Gull, U., &amp; Iqbal, M. (2026). Optimizing planting space and nitrogen inputs for sustainable forage production of Mombasa grass (</w:t>
      </w:r>
      <w:r>
        <w:rPr>
          <w:rFonts w:ascii="Times New Roman" w:hAnsi="Times New Roman"/>
          <w:b w:val="0"/>
          <w:i/>
        </w:rPr>
        <w:t>Megathyrsus maximus</w:t>
      </w:r>
      <w:r>
        <w:rPr>
          <w:rFonts w:ascii="Times New Roman" w:hAnsi="Times New Roman"/>
          <w:b w:val="0"/>
          <w:i w:val="0"/>
        </w:rPr>
        <w:t xml:space="preserve"> Jacq.) under cut and carry system. </w:t>
      </w:r>
      <w:r>
        <w:rPr>
          <w:rFonts w:ascii="Times New Roman" w:hAnsi="Times New Roman"/>
          <w:b w:val="0"/>
          <w:i/>
        </w:rPr>
        <w:t>New Zealand Journal of Crop and Horticultural Science, 54</w:t>
      </w:r>
      <w:r>
        <w:rPr>
          <w:rFonts w:ascii="Times New Roman" w:hAnsi="Times New Roman"/>
          <w:b w:val="0"/>
          <w:i w:val="0"/>
        </w:rPr>
        <w:t>(1), e70080.</w:t>
      </w:r>
      <w:r>
        <w:rPr>
          <w:rFonts w:ascii="Times New Roman" w:hAnsi="Times New Roman"/>
          <w:b w:val="0"/>
          <w:i w:val="0"/>
        </w:rPr>
        <w:t xml:space="preserve"> </w:t>
      </w:r>
      <w:hyperlink r:id="rId40">
        <w:r>
          <w:rPr>
            <w:rFonts w:ascii="Times New Roman" w:hAnsi="Times New Roman"/>
            <w:color w:val="0563C1"/>
            <w:u w:val="single"/>
          </w:rPr>
          <w:t>https://doi.org/10.1002/nzc2.70080</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Sicot, M., Talineau, J.-C., Bonzon, B., Fillonneau, C., Hainnaux, G., &amp; Picard, D. (1972). </w:t>
      </w:r>
      <w:r>
        <w:rPr>
          <w:rFonts w:ascii="Times New Roman" w:hAnsi="Times New Roman"/>
          <w:b w:val="0"/>
          <w:i/>
        </w:rPr>
        <w:t>Critères agronomiques de choix des plantes fourragères en Côte d’Ivoire</w:t>
      </w:r>
      <w:r>
        <w:rPr>
          <w:rFonts w:ascii="Times New Roman" w:hAnsi="Times New Roman"/>
          <w:b w:val="0"/>
          <w:i w:val="0"/>
        </w:rPr>
        <w:t>. ORSTOM, Centre d’Adiopodoumé.</w:t>
      </w:r>
      <w:r>
        <w:rPr>
          <w:rFonts w:ascii="Times New Roman" w:hAnsi="Times New Roman"/>
          <w:b w:val="0"/>
          <w:i w:val="0"/>
        </w:rPr>
        <w:t xml:space="preserve"> </w:t>
      </w:r>
      <w:hyperlink r:id="rId41">
        <w:r>
          <w:rPr>
            <w:rFonts w:ascii="Times New Roman" w:hAnsi="Times New Roman"/>
            <w:color w:val="0563C1"/>
            <w:u w:val="single"/>
          </w:rPr>
          <w:t>https://horizon.documentation.ird.fr/exl-doc/pleins_textes/divers11-01/05582.pdf</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Soro, N., &amp; Koné, A. A. (2019). Caractéristiques du relief et répartition de l’habitat dans la ville de Bouaké. </w:t>
      </w:r>
      <w:r>
        <w:rPr>
          <w:rFonts w:ascii="Times New Roman" w:hAnsi="Times New Roman"/>
          <w:b w:val="0"/>
          <w:i/>
        </w:rPr>
        <w:t>DaloGéo, 1</w:t>
      </w:r>
      <w:r>
        <w:rPr>
          <w:rFonts w:ascii="Times New Roman" w:hAnsi="Times New Roman"/>
          <w:b w:val="0"/>
          <w:i w:val="0"/>
        </w:rPr>
        <w:t>, 257–270.</w:t>
      </w:r>
      <w:r>
        <w:rPr>
          <w:rFonts w:ascii="Times New Roman" w:hAnsi="Times New Roman"/>
          <w:b w:val="0"/>
          <w:i w:val="0"/>
        </w:rPr>
        <w:t xml:space="preserve"> </w:t>
      </w:r>
      <w:hyperlink r:id="rId42">
        <w:r>
          <w:rPr>
            <w:rFonts w:ascii="Times New Roman" w:hAnsi="Times New Roman"/>
            <w:color w:val="0563C1"/>
            <w:u w:val="single"/>
          </w:rPr>
          <w:t>https://www.revuegeo-univdaloa.net/fr/publication/caracteristiques-du-relief-et-repartition-de-lhabitat-dans-la-ville-de-bouake</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Thornton, B., &amp; Millard, P. (1997). Increased defoliation frequency depletes remobilization of nitrogen for leaf growth in grasses. </w:t>
      </w:r>
      <w:r>
        <w:rPr>
          <w:rFonts w:ascii="Times New Roman" w:hAnsi="Times New Roman"/>
          <w:b w:val="0"/>
          <w:i/>
        </w:rPr>
        <w:t>Annals of Botany, 80</w:t>
      </w:r>
      <w:r>
        <w:rPr>
          <w:rFonts w:ascii="Times New Roman" w:hAnsi="Times New Roman"/>
          <w:b w:val="0"/>
          <w:i w:val="0"/>
        </w:rPr>
        <w:t>(1), 89–95.</w:t>
      </w:r>
      <w:r>
        <w:rPr>
          <w:rFonts w:ascii="Times New Roman" w:hAnsi="Times New Roman"/>
          <w:b w:val="0"/>
          <w:i w:val="0"/>
        </w:rPr>
        <w:t xml:space="preserve"> </w:t>
      </w:r>
      <w:hyperlink r:id="rId13">
        <w:r>
          <w:rPr>
            <w:rFonts w:ascii="Times New Roman" w:hAnsi="Times New Roman"/>
            <w:color w:val="0563C1"/>
            <w:u w:val="single"/>
          </w:rPr>
          <w:t>https://doi.org/10.1006/anbo.1997.0416</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Tilman, D., Cassman, K. G., Matson, P. A., Naylor, R., &amp; Polasky, S. (2002). Agricultural sustainability and intensive production practices. </w:t>
      </w:r>
      <w:r>
        <w:rPr>
          <w:rFonts w:ascii="Times New Roman" w:hAnsi="Times New Roman"/>
          <w:b w:val="0"/>
          <w:i/>
        </w:rPr>
        <w:t>Nature, 418</w:t>
      </w:r>
      <w:r>
        <w:rPr>
          <w:rFonts w:ascii="Times New Roman" w:hAnsi="Times New Roman"/>
          <w:b w:val="0"/>
          <w:i w:val="0"/>
        </w:rPr>
        <w:t>(6898), 671–677.</w:t>
      </w:r>
      <w:r>
        <w:rPr>
          <w:rFonts w:ascii="Times New Roman" w:hAnsi="Times New Roman"/>
          <w:b w:val="0"/>
          <w:i w:val="0"/>
        </w:rPr>
        <w:t xml:space="preserve"> </w:t>
      </w:r>
      <w:hyperlink r:id="rId43">
        <w:r>
          <w:rPr>
            <w:rFonts w:ascii="Times New Roman" w:hAnsi="Times New Roman"/>
            <w:color w:val="0563C1"/>
            <w:u w:val="single"/>
          </w:rPr>
          <w:t>https://doi.org/10.1038/nature01014</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Toutain, B., &amp; Lhoste, P. (1999). Sciences, technologies et gestion des pâturages au Sahel. In A. Bourgeot (Ed.), </w:t>
      </w:r>
      <w:r>
        <w:rPr>
          <w:rFonts w:ascii="Times New Roman" w:hAnsi="Times New Roman"/>
          <w:b w:val="0"/>
          <w:i/>
        </w:rPr>
        <w:t>Horizons nomades en Afrique sahélienne: Sociétés, développement et démocratie</w:t>
      </w:r>
      <w:r>
        <w:rPr>
          <w:rFonts w:ascii="Times New Roman" w:hAnsi="Times New Roman"/>
          <w:b w:val="0"/>
          <w:i w:val="0"/>
        </w:rPr>
        <w:t xml:space="preserve"> (pp. 377–394). Karthala.</w:t>
      </w:r>
      <w:r>
        <w:rPr>
          <w:rFonts w:ascii="Times New Roman" w:hAnsi="Times New Roman"/>
          <w:b w:val="0"/>
          <w:i w:val="0"/>
        </w:rPr>
        <w:t xml:space="preserve"> </w:t>
      </w:r>
      <w:hyperlink r:id="rId44">
        <w:r>
          <w:rPr>
            <w:rFonts w:ascii="Times New Roman" w:hAnsi="Times New Roman"/>
            <w:color w:val="0563C1"/>
            <w:u w:val="single"/>
          </w:rPr>
          <w:t>https://publications.cirad.fr/une_notice.php?dk=465556</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Vásquez, H. V., Valqui, L., Bobadilla, L. G., Meseth, E., Trigoso, M. J., Zagaceta, L. H., Valqui-Valqui, L., Saravia-Navarro, D., Barboza, E., &amp; Maicelo, J. L. (2025). Agronomic and nutritional evaluation of INIA 910-Kumymarca ryegrass (</w:t>
      </w:r>
      <w:r>
        <w:rPr>
          <w:rFonts w:ascii="Times New Roman" w:hAnsi="Times New Roman"/>
          <w:b w:val="0"/>
          <w:i/>
        </w:rPr>
        <w:t>Lolium multiflorum</w:t>
      </w:r>
      <w:r>
        <w:rPr>
          <w:rFonts w:ascii="Times New Roman" w:hAnsi="Times New Roman"/>
          <w:b w:val="0"/>
          <w:i w:val="0"/>
        </w:rPr>
        <w:t xml:space="preserve"> Lam.): An alternative for sustainable forage production in Department of Amazonas (NW Peru). </w:t>
      </w:r>
      <w:r>
        <w:rPr>
          <w:rFonts w:ascii="Times New Roman" w:hAnsi="Times New Roman"/>
          <w:b w:val="0"/>
          <w:i/>
        </w:rPr>
        <w:t>Agronomy, 15</w:t>
      </w:r>
      <w:r>
        <w:rPr>
          <w:rFonts w:ascii="Times New Roman" w:hAnsi="Times New Roman"/>
          <w:b w:val="0"/>
          <w:i w:val="0"/>
        </w:rPr>
        <w:t>(1), 100.</w:t>
      </w:r>
      <w:r>
        <w:rPr>
          <w:rFonts w:ascii="Times New Roman" w:hAnsi="Times New Roman"/>
          <w:b w:val="0"/>
          <w:i w:val="0"/>
        </w:rPr>
        <w:t xml:space="preserve"> </w:t>
      </w:r>
      <w:hyperlink r:id="rId45">
        <w:r>
          <w:rPr>
            <w:rFonts w:ascii="Times New Roman" w:hAnsi="Times New Roman"/>
            <w:color w:val="0563C1"/>
            <w:u w:val="single"/>
          </w:rPr>
          <w:t>https://doi.org/10.3390/agronomy15010100</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Wahyuni, R. D., Pötsch, E. M., Katagiri Dalmoro, Y., Sessegolo Ferzola, P., &amp; Gierus, M. (2026). Long-term mineral N fertilization in permanent mountain grassland: Trade-offs between dry matter yield and metabolizable energy of grasses, legumes and forbs. </w:t>
      </w:r>
      <w:r>
        <w:rPr>
          <w:rFonts w:ascii="Times New Roman" w:hAnsi="Times New Roman"/>
          <w:b w:val="0"/>
          <w:i/>
        </w:rPr>
        <w:t>Agronomy, 16</w:t>
      </w:r>
      <w:r>
        <w:rPr>
          <w:rFonts w:ascii="Times New Roman" w:hAnsi="Times New Roman"/>
          <w:b w:val="0"/>
          <w:i w:val="0"/>
        </w:rPr>
        <w:t>(16), 1538.</w:t>
      </w:r>
      <w:r>
        <w:rPr>
          <w:rFonts w:ascii="Times New Roman" w:hAnsi="Times New Roman"/>
          <w:b w:val="0"/>
          <w:i w:val="0"/>
        </w:rPr>
        <w:t xml:space="preserve"> </w:t>
      </w:r>
      <w:hyperlink r:id="rId46">
        <w:r>
          <w:rPr>
            <w:rFonts w:ascii="Times New Roman" w:hAnsi="Times New Roman"/>
            <w:color w:val="0563C1"/>
            <w:u w:val="single"/>
          </w:rPr>
          <w:t>https://doi.org/10.3390/agronomy16161538</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Wang, Q., Sun, Z., Bai, W., Zhang, D., Zhang, Y., Wang, R., van der Werf, W., Evers, J. B., Stomph, T.-J., Guo, J., &amp; Zhang, L. (2021). Light interception and use efficiency differ with maize plant density in maize-peanut intercropping. </w:t>
      </w:r>
      <w:r>
        <w:rPr>
          <w:rFonts w:ascii="Times New Roman" w:hAnsi="Times New Roman"/>
          <w:b w:val="0"/>
          <w:i/>
        </w:rPr>
        <w:t>Frontiers of Agricultural Science and Engineering, 8</w:t>
      </w:r>
      <w:r>
        <w:rPr>
          <w:rFonts w:ascii="Times New Roman" w:hAnsi="Times New Roman"/>
          <w:b w:val="0"/>
          <w:i w:val="0"/>
        </w:rPr>
        <w:t>(3), 432–446.</w:t>
      </w:r>
      <w:r>
        <w:rPr>
          <w:rFonts w:ascii="Times New Roman" w:hAnsi="Times New Roman"/>
          <w:b w:val="0"/>
          <w:i w:val="0"/>
        </w:rPr>
        <w:t xml:space="preserve"> </w:t>
      </w:r>
      <w:hyperlink r:id="rId14">
        <w:r>
          <w:rPr>
            <w:rFonts w:ascii="Times New Roman" w:hAnsi="Times New Roman"/>
            <w:color w:val="0563C1"/>
            <w:u w:val="single"/>
          </w:rPr>
          <w:t>https://doi.org/10.15302/J-FASE-2021403</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Wang, X., Wang, R., &amp; Gao, J. (2022). Precipitation and soil nutrients determine the spatial variability of grassland productivity at large scales in China. </w:t>
      </w:r>
      <w:r>
        <w:rPr>
          <w:rFonts w:ascii="Times New Roman" w:hAnsi="Times New Roman"/>
          <w:b w:val="0"/>
          <w:i/>
        </w:rPr>
        <w:t>Frontiers in Plant Science, 13</w:t>
      </w:r>
      <w:r>
        <w:rPr>
          <w:rFonts w:ascii="Times New Roman" w:hAnsi="Times New Roman"/>
          <w:b w:val="0"/>
          <w:i w:val="0"/>
        </w:rPr>
        <w:t>, 996313.</w:t>
      </w:r>
      <w:r>
        <w:rPr>
          <w:rFonts w:ascii="Times New Roman" w:hAnsi="Times New Roman"/>
          <w:b w:val="0"/>
          <w:i w:val="0"/>
        </w:rPr>
        <w:t xml:space="preserve"> </w:t>
      </w:r>
      <w:hyperlink r:id="rId15">
        <w:r>
          <w:rPr>
            <w:rFonts w:ascii="Times New Roman" w:hAnsi="Times New Roman"/>
            <w:color w:val="0563C1"/>
            <w:u w:val="single"/>
          </w:rPr>
          <w:t>https://doi.org/10.3389/fpls.2022.996313</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Wani, A. A., Rasool, F. U., Ahmad, L., Bhat, M. I., Qayoom, K., Mir, A. H., &amp; Bhat, R. A. (2024). Effect of planting density and nitrogen levels on the yield attributing characters of fodder maize (Shalimar Fodder Maize-1). </w:t>
      </w:r>
      <w:r>
        <w:rPr>
          <w:rFonts w:ascii="Times New Roman" w:hAnsi="Times New Roman"/>
          <w:b w:val="0"/>
          <w:i/>
        </w:rPr>
        <w:t>Asian Journal of Soil Science and Plant Nutrition, 10</w:t>
      </w:r>
      <w:r>
        <w:rPr>
          <w:rFonts w:ascii="Times New Roman" w:hAnsi="Times New Roman"/>
          <w:b w:val="0"/>
          <w:i w:val="0"/>
        </w:rPr>
        <w:t>(2), 483–488.</w:t>
      </w:r>
      <w:r>
        <w:rPr>
          <w:rFonts w:ascii="Times New Roman" w:hAnsi="Times New Roman"/>
          <w:b w:val="0"/>
          <w:i w:val="0"/>
        </w:rPr>
        <w:t xml:space="preserve"> </w:t>
      </w:r>
      <w:hyperlink r:id="rId47">
        <w:r>
          <w:rPr>
            <w:rFonts w:ascii="Times New Roman" w:hAnsi="Times New Roman"/>
            <w:color w:val="0563C1"/>
            <w:u w:val="single"/>
          </w:rPr>
          <w:t>https://doi.org/10.9734/ajsspn/2024/v10i2306</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Wekgari, Y., Dereba, F., &amp; Gamachu, N. (2024). Determination of cutting frequency for optimum herbage yield and nutritive value of Desho grass (</w:t>
      </w:r>
      <w:r>
        <w:rPr>
          <w:rFonts w:ascii="Times New Roman" w:hAnsi="Times New Roman"/>
          <w:b w:val="0"/>
          <w:i/>
        </w:rPr>
        <w:t>Pennisetum glaucifolium</w:t>
      </w:r>
      <w:r>
        <w:rPr>
          <w:rFonts w:ascii="Times New Roman" w:hAnsi="Times New Roman"/>
          <w:b w:val="0"/>
          <w:i w:val="0"/>
        </w:rPr>
        <w:t xml:space="preserve">) in western Oromia, Ethiopia. </w:t>
      </w:r>
      <w:r>
        <w:rPr>
          <w:rFonts w:ascii="Times New Roman" w:hAnsi="Times New Roman"/>
          <w:b w:val="0"/>
          <w:i/>
        </w:rPr>
        <w:t>Heliyon, 10</w:t>
      </w:r>
      <w:r>
        <w:rPr>
          <w:rFonts w:ascii="Times New Roman" w:hAnsi="Times New Roman"/>
          <w:b w:val="0"/>
          <w:i w:val="0"/>
        </w:rPr>
        <w:t>(18), e38132.</w:t>
      </w:r>
      <w:r>
        <w:rPr>
          <w:rFonts w:ascii="Times New Roman" w:hAnsi="Times New Roman"/>
          <w:b w:val="0"/>
          <w:i w:val="0"/>
        </w:rPr>
        <w:t xml:space="preserve"> </w:t>
      </w:r>
      <w:hyperlink r:id="rId16">
        <w:r>
          <w:rPr>
            <w:rFonts w:ascii="Times New Roman" w:hAnsi="Times New Roman"/>
            <w:color w:val="0563C1"/>
            <w:u w:val="single"/>
          </w:rPr>
          <w:t>https://doi.org/10.1016/j.heliyon.2024.e38132</w:t>
        </w:r>
      </w:hyperlink>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Yoro, G. R. (2000). </w:t>
      </w:r>
      <w:r>
        <w:rPr>
          <w:rFonts w:ascii="Times New Roman" w:hAnsi="Times New Roman"/>
          <w:b w:val="0"/>
          <w:i/>
        </w:rPr>
        <w:t>Les principaux sols de Côte d’Ivoire et leur corrélation avec les groupes de référence de la Base mondiale de données des sols (WRB)</w:t>
      </w:r>
      <w:r>
        <w:rPr>
          <w:rFonts w:ascii="Times New Roman" w:hAnsi="Times New Roman"/>
          <w:b w:val="0"/>
          <w:i w:val="0"/>
        </w:rPr>
        <w:t>. Quatorzième réunion du Sous-comité Ouest et Centre Africain de Corrélation des Sols, Cotonou, Bénin.</w:t>
      </w:r>
      <w:r>
        <w:rPr>
          <w:rFonts w:ascii="Times New Roman" w:hAnsi="Times New Roman"/>
          <w:b w:val="0"/>
          <w:i w:val="0"/>
        </w:rPr>
        <w:t xml:space="preserve"> </w:t>
      </w:r>
      <w:r>
        <w:rPr>
          <w:rFonts w:ascii="Times New Roman" w:hAnsi="Times New Roman"/>
          <w:b/>
          <w:i w:val="0"/>
        </w:rPr>
        <w:t>ONLINE version not available</w:t>
      </w:r>
    </w:p>
    <w:p>
      <w:pPr>
        <w:spacing w:after="0" w:line="240" w:lineRule="auto"/>
        <w:ind w:left="284" w:hanging="284"/>
        <w:jc w:val="both"/>
        <w:rPr>
          <w:rFonts w:ascii="Times New Roman" w:hAnsi="Times New Roman" w:cs="Times New Roman"/>
          <w:bCs/>
        </w:rPr>
      </w:pPr>
      <w:r>
        <w:rPr>
          <w:rFonts w:ascii="Times New Roman" w:hAnsi="Times New Roman"/>
          <w:b w:val="0"/>
          <w:i w:val="0"/>
        </w:rPr>
        <w:t xml:space="preserve">Zhang, Y., Xu, Z., Li, J., &amp; Wang, R. (2021). Optimum planting density improves resource use efficiency and yield stability of rainfed maize in semiarid climate. </w:t>
      </w:r>
      <w:r>
        <w:rPr>
          <w:rFonts w:ascii="Times New Roman" w:hAnsi="Times New Roman"/>
          <w:b w:val="0"/>
          <w:i/>
        </w:rPr>
        <w:t>Frontiers in Plant Science, 12</w:t>
      </w:r>
      <w:r>
        <w:rPr>
          <w:rFonts w:ascii="Times New Roman" w:hAnsi="Times New Roman"/>
          <w:b w:val="0"/>
          <w:i w:val="0"/>
        </w:rPr>
        <w:t>, 752606.</w:t>
      </w:r>
      <w:r>
        <w:rPr>
          <w:rFonts w:ascii="Times New Roman" w:hAnsi="Times New Roman"/>
          <w:b w:val="0"/>
          <w:i w:val="0"/>
        </w:rPr>
        <w:t xml:space="preserve"> </w:t>
      </w:r>
      <w:hyperlink r:id="rId48">
        <w:r>
          <w:rPr>
            <w:rFonts w:ascii="Times New Roman" w:hAnsi="Times New Roman"/>
            <w:color w:val="0563C1"/>
            <w:u w:val="single"/>
          </w:rPr>
          <w:t>https://doi.org/10.3389/fpls.2021.752606</w:t>
        </w:r>
      </w:hyperlink>
    </w:p>
    <w:sectPr w:rsidR="00E774F1" w:rsidRPr="008F5656" w:rsidSect="00967501">
      <w:headerReference w:type="even" r:id="rId17"/>
      <w:headerReference w:type="default" r:id="rId18"/>
      <w:footerReference w:type="even" r:id="rId19"/>
      <w:footerReference w:type="default" r:id="rId20"/>
      <w:headerReference w:type="first" r:id="rId21"/>
      <w:footerReference w:type="first" r:id="rId22"/>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B7D46" w14:textId="77777777" w:rsidR="006C1315" w:rsidRDefault="006C1315" w:rsidP="00D6265C">
      <w:pPr>
        <w:spacing w:after="0" w:line="240" w:lineRule="auto"/>
      </w:pPr>
      <w:r>
        <w:separator/>
      </w:r>
    </w:p>
  </w:endnote>
  <w:endnote w:type="continuationSeparator" w:id="0">
    <w:p w14:paraId="1C09CDC9" w14:textId="77777777" w:rsidR="006C1315" w:rsidRDefault="006C1315" w:rsidP="00D62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99DF" w14:textId="77777777" w:rsidR="005974A5" w:rsidRDefault="005974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293608"/>
      <w:docPartObj>
        <w:docPartGallery w:val="Page Numbers (Bottom of Page)"/>
        <w:docPartUnique/>
      </w:docPartObj>
    </w:sdtPr>
    <w:sdtEndPr>
      <w:rPr>
        <w:rFonts w:ascii="Times New Roman" w:hAnsi="Times New Roman" w:cs="Times New Roman"/>
      </w:rPr>
    </w:sdtEndPr>
    <w:sdtContent>
      <w:p w14:paraId="58B4C3F9" w14:textId="77777777" w:rsidR="00D6265C" w:rsidRPr="00D6265C" w:rsidRDefault="00D6265C">
        <w:pPr>
          <w:pStyle w:val="Footer"/>
          <w:jc w:val="center"/>
          <w:rPr>
            <w:rFonts w:ascii="Times New Roman" w:hAnsi="Times New Roman" w:cs="Times New Roman"/>
          </w:rPr>
        </w:pPr>
        <w:r w:rsidRPr="00D6265C">
          <w:rPr>
            <w:rFonts w:ascii="Times New Roman" w:hAnsi="Times New Roman" w:cs="Times New Roman"/>
          </w:rPr>
          <w:fldChar w:fldCharType="begin"/>
        </w:r>
        <w:r w:rsidRPr="00D6265C">
          <w:rPr>
            <w:rFonts w:ascii="Times New Roman" w:hAnsi="Times New Roman" w:cs="Times New Roman"/>
          </w:rPr>
          <w:instrText>PAGE   \* MERGEFORMAT</w:instrText>
        </w:r>
        <w:r w:rsidRPr="00D6265C">
          <w:rPr>
            <w:rFonts w:ascii="Times New Roman" w:hAnsi="Times New Roman" w:cs="Times New Roman"/>
          </w:rPr>
          <w:fldChar w:fldCharType="separate"/>
        </w:r>
        <w:r w:rsidRPr="00D6265C">
          <w:rPr>
            <w:rFonts w:ascii="Times New Roman" w:hAnsi="Times New Roman" w:cs="Times New Roman"/>
          </w:rPr>
          <w:t>2</w:t>
        </w:r>
        <w:r w:rsidRPr="00D6265C">
          <w:rPr>
            <w:rFonts w:ascii="Times New Roman" w:hAnsi="Times New Roman" w:cs="Times New Roman"/>
          </w:rPr>
          <w:fldChar w:fldCharType="end"/>
        </w:r>
      </w:p>
    </w:sdtContent>
  </w:sdt>
  <w:p w14:paraId="29CF171A" w14:textId="77777777" w:rsidR="00D6265C" w:rsidRDefault="00D626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EC220" w14:textId="77777777" w:rsidR="005974A5" w:rsidRDefault="005974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F5F4A" w14:textId="77777777" w:rsidR="006C1315" w:rsidRDefault="006C1315" w:rsidP="00D6265C">
      <w:pPr>
        <w:spacing w:after="0" w:line="240" w:lineRule="auto"/>
      </w:pPr>
      <w:r>
        <w:separator/>
      </w:r>
    </w:p>
  </w:footnote>
  <w:footnote w:type="continuationSeparator" w:id="0">
    <w:p w14:paraId="27BDC1CA" w14:textId="77777777" w:rsidR="006C1315" w:rsidRDefault="006C1315" w:rsidP="00D62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0B562" w14:textId="77777777" w:rsidR="005974A5" w:rsidRDefault="00000000">
    <w:pPr>
      <w:pStyle w:val="Header"/>
    </w:pPr>
    <w:r>
      <w:rPr>
        <w:noProof/>
      </w:rPr>
      <w:pict w14:anchorId="693BCA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72360" o:spid="_x0000_s1026" type="#_x0000_t136" style="position:absolute;margin-left:0;margin-top:0;width:578.5pt;height:108.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68CFF" w14:textId="77777777" w:rsidR="005974A5" w:rsidRDefault="00000000">
    <w:pPr>
      <w:pStyle w:val="Header"/>
    </w:pPr>
    <w:r>
      <w:rPr>
        <w:noProof/>
      </w:rPr>
      <w:pict w14:anchorId="3A3D9D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72361" o:spid="_x0000_s1027" type="#_x0000_t136" style="position:absolute;margin-left:0;margin-top:0;width:578.5pt;height:108.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00BBA" w14:textId="77777777" w:rsidR="005974A5" w:rsidRDefault="00000000">
    <w:pPr>
      <w:pStyle w:val="Header"/>
    </w:pPr>
    <w:r>
      <w:rPr>
        <w:noProof/>
      </w:rPr>
      <w:pict w14:anchorId="50998C5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72359" o:spid="_x0000_s1025" type="#_x0000_t136" style="position:absolute;margin-left:0;margin-top:0;width:578.5pt;height:108.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24385"/>
    <w:multiLevelType w:val="hybridMultilevel"/>
    <w:tmpl w:val="272C2A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09E2192"/>
    <w:multiLevelType w:val="hybridMultilevel"/>
    <w:tmpl w:val="2C94B0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6B96987"/>
    <w:multiLevelType w:val="hybridMultilevel"/>
    <w:tmpl w:val="7C728DF2"/>
    <w:lvl w:ilvl="0" w:tplc="17D8F982">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5089396">
    <w:abstractNumId w:val="1"/>
  </w:num>
  <w:num w:numId="2" w16cid:durableId="296254118">
    <w:abstractNumId w:val="2"/>
  </w:num>
  <w:num w:numId="3" w16cid:durableId="1434935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359"/>
    <w:rsid w:val="000403D1"/>
    <w:rsid w:val="00050ABD"/>
    <w:rsid w:val="00064156"/>
    <w:rsid w:val="00077680"/>
    <w:rsid w:val="00087D44"/>
    <w:rsid w:val="000B2340"/>
    <w:rsid w:val="000B7EBB"/>
    <w:rsid w:val="000C2599"/>
    <w:rsid w:val="000F3EBA"/>
    <w:rsid w:val="00114BED"/>
    <w:rsid w:val="001231C8"/>
    <w:rsid w:val="001277BF"/>
    <w:rsid w:val="00141547"/>
    <w:rsid w:val="00145544"/>
    <w:rsid w:val="00166EDE"/>
    <w:rsid w:val="0017596D"/>
    <w:rsid w:val="001953CC"/>
    <w:rsid w:val="001E28B2"/>
    <w:rsid w:val="001E5E36"/>
    <w:rsid w:val="002316EB"/>
    <w:rsid w:val="0023653A"/>
    <w:rsid w:val="0029211F"/>
    <w:rsid w:val="003010EC"/>
    <w:rsid w:val="003460C0"/>
    <w:rsid w:val="003575BC"/>
    <w:rsid w:val="004275B5"/>
    <w:rsid w:val="004614D7"/>
    <w:rsid w:val="0047326F"/>
    <w:rsid w:val="00485093"/>
    <w:rsid w:val="004A2E38"/>
    <w:rsid w:val="004B1629"/>
    <w:rsid w:val="004D0F6D"/>
    <w:rsid w:val="004E5FDB"/>
    <w:rsid w:val="005974A5"/>
    <w:rsid w:val="005978CC"/>
    <w:rsid w:val="005A4B66"/>
    <w:rsid w:val="005B08B0"/>
    <w:rsid w:val="005D1B0E"/>
    <w:rsid w:val="005D248F"/>
    <w:rsid w:val="00662927"/>
    <w:rsid w:val="00670BBB"/>
    <w:rsid w:val="006967B8"/>
    <w:rsid w:val="006C1315"/>
    <w:rsid w:val="006C43BB"/>
    <w:rsid w:val="006C4EBE"/>
    <w:rsid w:val="006F0BAB"/>
    <w:rsid w:val="0071437C"/>
    <w:rsid w:val="00752D21"/>
    <w:rsid w:val="007C5C9A"/>
    <w:rsid w:val="007D1C4B"/>
    <w:rsid w:val="008050BD"/>
    <w:rsid w:val="00816736"/>
    <w:rsid w:val="00823EF1"/>
    <w:rsid w:val="0082757A"/>
    <w:rsid w:val="00841843"/>
    <w:rsid w:val="0088350D"/>
    <w:rsid w:val="008B1E87"/>
    <w:rsid w:val="008B5BD7"/>
    <w:rsid w:val="008C45BB"/>
    <w:rsid w:val="008C4C33"/>
    <w:rsid w:val="008D3EFF"/>
    <w:rsid w:val="008F5656"/>
    <w:rsid w:val="008F76DF"/>
    <w:rsid w:val="00943E58"/>
    <w:rsid w:val="00967501"/>
    <w:rsid w:val="0096757C"/>
    <w:rsid w:val="009809DA"/>
    <w:rsid w:val="009B12BD"/>
    <w:rsid w:val="009C4109"/>
    <w:rsid w:val="009C7357"/>
    <w:rsid w:val="009D2B50"/>
    <w:rsid w:val="009D3CE9"/>
    <w:rsid w:val="009D5F24"/>
    <w:rsid w:val="009E3B41"/>
    <w:rsid w:val="00A0459E"/>
    <w:rsid w:val="00A4779D"/>
    <w:rsid w:val="00A658EF"/>
    <w:rsid w:val="00A715B1"/>
    <w:rsid w:val="00A97B7A"/>
    <w:rsid w:val="00AC4963"/>
    <w:rsid w:val="00B968B4"/>
    <w:rsid w:val="00BB24B8"/>
    <w:rsid w:val="00BF480F"/>
    <w:rsid w:val="00BF62A1"/>
    <w:rsid w:val="00C14663"/>
    <w:rsid w:val="00CA30D9"/>
    <w:rsid w:val="00D22359"/>
    <w:rsid w:val="00D26193"/>
    <w:rsid w:val="00D31616"/>
    <w:rsid w:val="00D5656E"/>
    <w:rsid w:val="00D60594"/>
    <w:rsid w:val="00D6265C"/>
    <w:rsid w:val="00D832CB"/>
    <w:rsid w:val="00D84E23"/>
    <w:rsid w:val="00D91FF4"/>
    <w:rsid w:val="00D94B3B"/>
    <w:rsid w:val="00DE1C98"/>
    <w:rsid w:val="00DE72BE"/>
    <w:rsid w:val="00E774F1"/>
    <w:rsid w:val="00EE302C"/>
    <w:rsid w:val="00EE435F"/>
    <w:rsid w:val="00EE4D84"/>
    <w:rsid w:val="00F13E16"/>
    <w:rsid w:val="00F16CBE"/>
    <w:rsid w:val="00F555C6"/>
    <w:rsid w:val="00F73632"/>
    <w:rsid w:val="00F8075E"/>
    <w:rsid w:val="00F81519"/>
    <w:rsid w:val="00F864D0"/>
    <w:rsid w:val="00FB6ECA"/>
    <w:rsid w:val="00FC10F6"/>
    <w:rsid w:val="00FD7A7F"/>
    <w:rsid w:val="00FE4B64"/>
    <w:rsid w:val="00FF401E"/>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423CC"/>
  <w15:chartTrackingRefBased/>
  <w15:docId w15:val="{E50BC564-AFAF-4FD6-B35A-448282CE1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23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223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223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23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23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23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23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23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23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3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23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23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23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23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23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23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23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2359"/>
    <w:rPr>
      <w:rFonts w:eastAsiaTheme="majorEastAsia" w:cstheme="majorBidi"/>
      <w:color w:val="272727" w:themeColor="text1" w:themeTint="D8"/>
    </w:rPr>
  </w:style>
  <w:style w:type="paragraph" w:styleId="Title">
    <w:name w:val="Title"/>
    <w:basedOn w:val="Normal"/>
    <w:next w:val="Normal"/>
    <w:link w:val="TitleChar"/>
    <w:uiPriority w:val="10"/>
    <w:qFormat/>
    <w:rsid w:val="00D223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23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23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23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2359"/>
    <w:pPr>
      <w:spacing w:before="160"/>
      <w:jc w:val="center"/>
    </w:pPr>
    <w:rPr>
      <w:i/>
      <w:iCs/>
      <w:color w:val="404040" w:themeColor="text1" w:themeTint="BF"/>
    </w:rPr>
  </w:style>
  <w:style w:type="character" w:customStyle="1" w:styleId="QuoteChar">
    <w:name w:val="Quote Char"/>
    <w:basedOn w:val="DefaultParagraphFont"/>
    <w:link w:val="Quote"/>
    <w:uiPriority w:val="29"/>
    <w:rsid w:val="00D22359"/>
    <w:rPr>
      <w:i/>
      <w:iCs/>
      <w:color w:val="404040" w:themeColor="text1" w:themeTint="BF"/>
    </w:rPr>
  </w:style>
  <w:style w:type="paragraph" w:styleId="ListParagraph">
    <w:name w:val="List Paragraph"/>
    <w:basedOn w:val="Normal"/>
    <w:uiPriority w:val="34"/>
    <w:qFormat/>
    <w:rsid w:val="00D22359"/>
    <w:pPr>
      <w:ind w:left="720"/>
      <w:contextualSpacing/>
    </w:pPr>
  </w:style>
  <w:style w:type="character" w:styleId="IntenseEmphasis">
    <w:name w:val="Intense Emphasis"/>
    <w:basedOn w:val="DefaultParagraphFont"/>
    <w:uiPriority w:val="21"/>
    <w:qFormat/>
    <w:rsid w:val="00D22359"/>
    <w:rPr>
      <w:i/>
      <w:iCs/>
      <w:color w:val="0F4761" w:themeColor="accent1" w:themeShade="BF"/>
    </w:rPr>
  </w:style>
  <w:style w:type="paragraph" w:styleId="IntenseQuote">
    <w:name w:val="Intense Quote"/>
    <w:basedOn w:val="Normal"/>
    <w:next w:val="Normal"/>
    <w:link w:val="IntenseQuoteChar"/>
    <w:uiPriority w:val="30"/>
    <w:qFormat/>
    <w:rsid w:val="00D223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2359"/>
    <w:rPr>
      <w:i/>
      <w:iCs/>
      <w:color w:val="0F4761" w:themeColor="accent1" w:themeShade="BF"/>
    </w:rPr>
  </w:style>
  <w:style w:type="character" w:styleId="IntenseReference">
    <w:name w:val="Intense Reference"/>
    <w:basedOn w:val="DefaultParagraphFont"/>
    <w:uiPriority w:val="32"/>
    <w:qFormat/>
    <w:rsid w:val="00D22359"/>
    <w:rPr>
      <w:b/>
      <w:bCs/>
      <w:smallCaps/>
      <w:color w:val="0F4761" w:themeColor="accent1" w:themeShade="BF"/>
      <w:spacing w:val="5"/>
    </w:rPr>
  </w:style>
  <w:style w:type="table" w:styleId="TableGrid">
    <w:name w:val="Table Grid"/>
    <w:basedOn w:val="TableNormal"/>
    <w:uiPriority w:val="39"/>
    <w:rsid w:val="00823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67501"/>
    <w:rPr>
      <w:rFonts w:ascii="Times New Roman" w:hAnsi="Times New Roman" w:cs="Times New Roman"/>
    </w:rPr>
  </w:style>
  <w:style w:type="paragraph" w:styleId="Header">
    <w:name w:val="header"/>
    <w:basedOn w:val="Normal"/>
    <w:link w:val="HeaderChar"/>
    <w:uiPriority w:val="99"/>
    <w:unhideWhenUsed/>
    <w:rsid w:val="00D6265C"/>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265C"/>
  </w:style>
  <w:style w:type="paragraph" w:styleId="Footer">
    <w:name w:val="footer"/>
    <w:basedOn w:val="Normal"/>
    <w:link w:val="FooterChar"/>
    <w:uiPriority w:val="99"/>
    <w:unhideWhenUsed/>
    <w:rsid w:val="00D6265C"/>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265C"/>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D7A7F"/>
    <w:rPr>
      <w:color w:val="467886" w:themeColor="hyperlink"/>
      <w:u w:val="single"/>
    </w:rPr>
  </w:style>
  <w:style w:type="character" w:styleId="UnresolvedMention">
    <w:name w:val="Unresolved Mention"/>
    <w:basedOn w:val="DefaultParagraphFont"/>
    <w:uiPriority w:val="99"/>
    <w:semiHidden/>
    <w:unhideWhenUsed/>
    <w:rsid w:val="000B7EBB"/>
    <w:rPr>
      <w:color w:val="605E5C"/>
      <w:shd w:val="clear" w:color="auto" w:fill="E1DFDD"/>
    </w:rPr>
  </w:style>
  <w:style w:type="paragraph" w:customStyle="1" w:styleId="pdq2pgselectionanchorcontainer">
    <w:name w:val="pdq2pg_selectionanchorcontainer"/>
    <w:basedOn w:val="Normal"/>
    <w:rsid w:val="008F5656"/>
    <w:pPr>
      <w:spacing w:before="100" w:beforeAutospacing="1" w:after="100" w:afterAutospacing="1" w:line="240" w:lineRule="auto"/>
    </w:pPr>
    <w:rPr>
      <w:rFonts w:ascii="Times New Roman" w:eastAsia="Times New Roman" w:hAnsi="Times New Roman" w:cs="Times New Roman"/>
      <w:kern w:val="0"/>
      <w:lang w:val="en-US" w:eastAsia="en-US"/>
      <w14:ligatures w14:val="none"/>
    </w:rPr>
  </w:style>
  <w:style w:type="character" w:styleId="Emphasis">
    <w:name w:val="Emphasis"/>
    <w:basedOn w:val="DefaultParagraphFont"/>
    <w:uiPriority w:val="20"/>
    <w:qFormat/>
    <w:rsid w:val="008F56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26915">
      <w:bodyDiv w:val="1"/>
      <w:marLeft w:val="0"/>
      <w:marRight w:val="0"/>
      <w:marTop w:val="0"/>
      <w:marBottom w:val="0"/>
      <w:divBdr>
        <w:top w:val="none" w:sz="0" w:space="0" w:color="auto"/>
        <w:left w:val="none" w:sz="0" w:space="0" w:color="auto"/>
        <w:bottom w:val="none" w:sz="0" w:space="0" w:color="auto"/>
        <w:right w:val="none" w:sz="0" w:space="0" w:color="auto"/>
      </w:divBdr>
    </w:div>
    <w:div w:id="67240621">
      <w:bodyDiv w:val="1"/>
      <w:marLeft w:val="0"/>
      <w:marRight w:val="0"/>
      <w:marTop w:val="0"/>
      <w:marBottom w:val="0"/>
      <w:divBdr>
        <w:top w:val="none" w:sz="0" w:space="0" w:color="auto"/>
        <w:left w:val="none" w:sz="0" w:space="0" w:color="auto"/>
        <w:bottom w:val="none" w:sz="0" w:space="0" w:color="auto"/>
        <w:right w:val="none" w:sz="0" w:space="0" w:color="auto"/>
      </w:divBdr>
    </w:div>
    <w:div w:id="83457661">
      <w:bodyDiv w:val="1"/>
      <w:marLeft w:val="0"/>
      <w:marRight w:val="0"/>
      <w:marTop w:val="0"/>
      <w:marBottom w:val="0"/>
      <w:divBdr>
        <w:top w:val="none" w:sz="0" w:space="0" w:color="auto"/>
        <w:left w:val="none" w:sz="0" w:space="0" w:color="auto"/>
        <w:bottom w:val="none" w:sz="0" w:space="0" w:color="auto"/>
        <w:right w:val="none" w:sz="0" w:space="0" w:color="auto"/>
      </w:divBdr>
    </w:div>
    <w:div w:id="86850688">
      <w:bodyDiv w:val="1"/>
      <w:marLeft w:val="0"/>
      <w:marRight w:val="0"/>
      <w:marTop w:val="0"/>
      <w:marBottom w:val="0"/>
      <w:divBdr>
        <w:top w:val="none" w:sz="0" w:space="0" w:color="auto"/>
        <w:left w:val="none" w:sz="0" w:space="0" w:color="auto"/>
        <w:bottom w:val="none" w:sz="0" w:space="0" w:color="auto"/>
        <w:right w:val="none" w:sz="0" w:space="0" w:color="auto"/>
      </w:divBdr>
    </w:div>
    <w:div w:id="102917965">
      <w:bodyDiv w:val="1"/>
      <w:marLeft w:val="0"/>
      <w:marRight w:val="0"/>
      <w:marTop w:val="0"/>
      <w:marBottom w:val="0"/>
      <w:divBdr>
        <w:top w:val="none" w:sz="0" w:space="0" w:color="auto"/>
        <w:left w:val="none" w:sz="0" w:space="0" w:color="auto"/>
        <w:bottom w:val="none" w:sz="0" w:space="0" w:color="auto"/>
        <w:right w:val="none" w:sz="0" w:space="0" w:color="auto"/>
      </w:divBdr>
    </w:div>
    <w:div w:id="125053298">
      <w:bodyDiv w:val="1"/>
      <w:marLeft w:val="0"/>
      <w:marRight w:val="0"/>
      <w:marTop w:val="0"/>
      <w:marBottom w:val="0"/>
      <w:divBdr>
        <w:top w:val="none" w:sz="0" w:space="0" w:color="auto"/>
        <w:left w:val="none" w:sz="0" w:space="0" w:color="auto"/>
        <w:bottom w:val="none" w:sz="0" w:space="0" w:color="auto"/>
        <w:right w:val="none" w:sz="0" w:space="0" w:color="auto"/>
      </w:divBdr>
    </w:div>
    <w:div w:id="219444156">
      <w:bodyDiv w:val="1"/>
      <w:marLeft w:val="0"/>
      <w:marRight w:val="0"/>
      <w:marTop w:val="0"/>
      <w:marBottom w:val="0"/>
      <w:divBdr>
        <w:top w:val="none" w:sz="0" w:space="0" w:color="auto"/>
        <w:left w:val="none" w:sz="0" w:space="0" w:color="auto"/>
        <w:bottom w:val="none" w:sz="0" w:space="0" w:color="auto"/>
        <w:right w:val="none" w:sz="0" w:space="0" w:color="auto"/>
      </w:divBdr>
    </w:div>
    <w:div w:id="232130052">
      <w:bodyDiv w:val="1"/>
      <w:marLeft w:val="0"/>
      <w:marRight w:val="0"/>
      <w:marTop w:val="0"/>
      <w:marBottom w:val="0"/>
      <w:divBdr>
        <w:top w:val="none" w:sz="0" w:space="0" w:color="auto"/>
        <w:left w:val="none" w:sz="0" w:space="0" w:color="auto"/>
        <w:bottom w:val="none" w:sz="0" w:space="0" w:color="auto"/>
        <w:right w:val="none" w:sz="0" w:space="0" w:color="auto"/>
      </w:divBdr>
    </w:div>
    <w:div w:id="324170881">
      <w:bodyDiv w:val="1"/>
      <w:marLeft w:val="0"/>
      <w:marRight w:val="0"/>
      <w:marTop w:val="0"/>
      <w:marBottom w:val="0"/>
      <w:divBdr>
        <w:top w:val="none" w:sz="0" w:space="0" w:color="auto"/>
        <w:left w:val="none" w:sz="0" w:space="0" w:color="auto"/>
        <w:bottom w:val="none" w:sz="0" w:space="0" w:color="auto"/>
        <w:right w:val="none" w:sz="0" w:space="0" w:color="auto"/>
      </w:divBdr>
    </w:div>
    <w:div w:id="325745920">
      <w:bodyDiv w:val="1"/>
      <w:marLeft w:val="0"/>
      <w:marRight w:val="0"/>
      <w:marTop w:val="0"/>
      <w:marBottom w:val="0"/>
      <w:divBdr>
        <w:top w:val="none" w:sz="0" w:space="0" w:color="auto"/>
        <w:left w:val="none" w:sz="0" w:space="0" w:color="auto"/>
        <w:bottom w:val="none" w:sz="0" w:space="0" w:color="auto"/>
        <w:right w:val="none" w:sz="0" w:space="0" w:color="auto"/>
      </w:divBdr>
    </w:div>
    <w:div w:id="332607550">
      <w:bodyDiv w:val="1"/>
      <w:marLeft w:val="0"/>
      <w:marRight w:val="0"/>
      <w:marTop w:val="0"/>
      <w:marBottom w:val="0"/>
      <w:divBdr>
        <w:top w:val="none" w:sz="0" w:space="0" w:color="auto"/>
        <w:left w:val="none" w:sz="0" w:space="0" w:color="auto"/>
        <w:bottom w:val="none" w:sz="0" w:space="0" w:color="auto"/>
        <w:right w:val="none" w:sz="0" w:space="0" w:color="auto"/>
      </w:divBdr>
    </w:div>
    <w:div w:id="439644220">
      <w:bodyDiv w:val="1"/>
      <w:marLeft w:val="0"/>
      <w:marRight w:val="0"/>
      <w:marTop w:val="0"/>
      <w:marBottom w:val="0"/>
      <w:divBdr>
        <w:top w:val="none" w:sz="0" w:space="0" w:color="auto"/>
        <w:left w:val="none" w:sz="0" w:space="0" w:color="auto"/>
        <w:bottom w:val="none" w:sz="0" w:space="0" w:color="auto"/>
        <w:right w:val="none" w:sz="0" w:space="0" w:color="auto"/>
      </w:divBdr>
    </w:div>
    <w:div w:id="468476840">
      <w:bodyDiv w:val="1"/>
      <w:marLeft w:val="0"/>
      <w:marRight w:val="0"/>
      <w:marTop w:val="0"/>
      <w:marBottom w:val="0"/>
      <w:divBdr>
        <w:top w:val="none" w:sz="0" w:space="0" w:color="auto"/>
        <w:left w:val="none" w:sz="0" w:space="0" w:color="auto"/>
        <w:bottom w:val="none" w:sz="0" w:space="0" w:color="auto"/>
        <w:right w:val="none" w:sz="0" w:space="0" w:color="auto"/>
      </w:divBdr>
    </w:div>
    <w:div w:id="478499955">
      <w:bodyDiv w:val="1"/>
      <w:marLeft w:val="0"/>
      <w:marRight w:val="0"/>
      <w:marTop w:val="0"/>
      <w:marBottom w:val="0"/>
      <w:divBdr>
        <w:top w:val="none" w:sz="0" w:space="0" w:color="auto"/>
        <w:left w:val="none" w:sz="0" w:space="0" w:color="auto"/>
        <w:bottom w:val="none" w:sz="0" w:space="0" w:color="auto"/>
        <w:right w:val="none" w:sz="0" w:space="0" w:color="auto"/>
      </w:divBdr>
    </w:div>
    <w:div w:id="499545580">
      <w:bodyDiv w:val="1"/>
      <w:marLeft w:val="0"/>
      <w:marRight w:val="0"/>
      <w:marTop w:val="0"/>
      <w:marBottom w:val="0"/>
      <w:divBdr>
        <w:top w:val="none" w:sz="0" w:space="0" w:color="auto"/>
        <w:left w:val="none" w:sz="0" w:space="0" w:color="auto"/>
        <w:bottom w:val="none" w:sz="0" w:space="0" w:color="auto"/>
        <w:right w:val="none" w:sz="0" w:space="0" w:color="auto"/>
      </w:divBdr>
    </w:div>
    <w:div w:id="506216195">
      <w:bodyDiv w:val="1"/>
      <w:marLeft w:val="0"/>
      <w:marRight w:val="0"/>
      <w:marTop w:val="0"/>
      <w:marBottom w:val="0"/>
      <w:divBdr>
        <w:top w:val="none" w:sz="0" w:space="0" w:color="auto"/>
        <w:left w:val="none" w:sz="0" w:space="0" w:color="auto"/>
        <w:bottom w:val="none" w:sz="0" w:space="0" w:color="auto"/>
        <w:right w:val="none" w:sz="0" w:space="0" w:color="auto"/>
      </w:divBdr>
    </w:div>
    <w:div w:id="553351836">
      <w:bodyDiv w:val="1"/>
      <w:marLeft w:val="0"/>
      <w:marRight w:val="0"/>
      <w:marTop w:val="0"/>
      <w:marBottom w:val="0"/>
      <w:divBdr>
        <w:top w:val="none" w:sz="0" w:space="0" w:color="auto"/>
        <w:left w:val="none" w:sz="0" w:space="0" w:color="auto"/>
        <w:bottom w:val="none" w:sz="0" w:space="0" w:color="auto"/>
        <w:right w:val="none" w:sz="0" w:space="0" w:color="auto"/>
      </w:divBdr>
    </w:div>
    <w:div w:id="562645839">
      <w:bodyDiv w:val="1"/>
      <w:marLeft w:val="0"/>
      <w:marRight w:val="0"/>
      <w:marTop w:val="0"/>
      <w:marBottom w:val="0"/>
      <w:divBdr>
        <w:top w:val="none" w:sz="0" w:space="0" w:color="auto"/>
        <w:left w:val="none" w:sz="0" w:space="0" w:color="auto"/>
        <w:bottom w:val="none" w:sz="0" w:space="0" w:color="auto"/>
        <w:right w:val="none" w:sz="0" w:space="0" w:color="auto"/>
      </w:divBdr>
    </w:div>
    <w:div w:id="564068898">
      <w:bodyDiv w:val="1"/>
      <w:marLeft w:val="0"/>
      <w:marRight w:val="0"/>
      <w:marTop w:val="0"/>
      <w:marBottom w:val="0"/>
      <w:divBdr>
        <w:top w:val="none" w:sz="0" w:space="0" w:color="auto"/>
        <w:left w:val="none" w:sz="0" w:space="0" w:color="auto"/>
        <w:bottom w:val="none" w:sz="0" w:space="0" w:color="auto"/>
        <w:right w:val="none" w:sz="0" w:space="0" w:color="auto"/>
      </w:divBdr>
    </w:div>
    <w:div w:id="624507124">
      <w:bodyDiv w:val="1"/>
      <w:marLeft w:val="0"/>
      <w:marRight w:val="0"/>
      <w:marTop w:val="0"/>
      <w:marBottom w:val="0"/>
      <w:divBdr>
        <w:top w:val="none" w:sz="0" w:space="0" w:color="auto"/>
        <w:left w:val="none" w:sz="0" w:space="0" w:color="auto"/>
        <w:bottom w:val="none" w:sz="0" w:space="0" w:color="auto"/>
        <w:right w:val="none" w:sz="0" w:space="0" w:color="auto"/>
      </w:divBdr>
    </w:div>
    <w:div w:id="669411916">
      <w:bodyDiv w:val="1"/>
      <w:marLeft w:val="0"/>
      <w:marRight w:val="0"/>
      <w:marTop w:val="0"/>
      <w:marBottom w:val="0"/>
      <w:divBdr>
        <w:top w:val="none" w:sz="0" w:space="0" w:color="auto"/>
        <w:left w:val="none" w:sz="0" w:space="0" w:color="auto"/>
        <w:bottom w:val="none" w:sz="0" w:space="0" w:color="auto"/>
        <w:right w:val="none" w:sz="0" w:space="0" w:color="auto"/>
      </w:divBdr>
    </w:div>
    <w:div w:id="719325201">
      <w:bodyDiv w:val="1"/>
      <w:marLeft w:val="0"/>
      <w:marRight w:val="0"/>
      <w:marTop w:val="0"/>
      <w:marBottom w:val="0"/>
      <w:divBdr>
        <w:top w:val="none" w:sz="0" w:space="0" w:color="auto"/>
        <w:left w:val="none" w:sz="0" w:space="0" w:color="auto"/>
        <w:bottom w:val="none" w:sz="0" w:space="0" w:color="auto"/>
        <w:right w:val="none" w:sz="0" w:space="0" w:color="auto"/>
      </w:divBdr>
    </w:div>
    <w:div w:id="739135250">
      <w:bodyDiv w:val="1"/>
      <w:marLeft w:val="0"/>
      <w:marRight w:val="0"/>
      <w:marTop w:val="0"/>
      <w:marBottom w:val="0"/>
      <w:divBdr>
        <w:top w:val="none" w:sz="0" w:space="0" w:color="auto"/>
        <w:left w:val="none" w:sz="0" w:space="0" w:color="auto"/>
        <w:bottom w:val="none" w:sz="0" w:space="0" w:color="auto"/>
        <w:right w:val="none" w:sz="0" w:space="0" w:color="auto"/>
      </w:divBdr>
    </w:div>
    <w:div w:id="773942898">
      <w:bodyDiv w:val="1"/>
      <w:marLeft w:val="0"/>
      <w:marRight w:val="0"/>
      <w:marTop w:val="0"/>
      <w:marBottom w:val="0"/>
      <w:divBdr>
        <w:top w:val="none" w:sz="0" w:space="0" w:color="auto"/>
        <w:left w:val="none" w:sz="0" w:space="0" w:color="auto"/>
        <w:bottom w:val="none" w:sz="0" w:space="0" w:color="auto"/>
        <w:right w:val="none" w:sz="0" w:space="0" w:color="auto"/>
      </w:divBdr>
    </w:div>
    <w:div w:id="788746317">
      <w:bodyDiv w:val="1"/>
      <w:marLeft w:val="0"/>
      <w:marRight w:val="0"/>
      <w:marTop w:val="0"/>
      <w:marBottom w:val="0"/>
      <w:divBdr>
        <w:top w:val="none" w:sz="0" w:space="0" w:color="auto"/>
        <w:left w:val="none" w:sz="0" w:space="0" w:color="auto"/>
        <w:bottom w:val="none" w:sz="0" w:space="0" w:color="auto"/>
        <w:right w:val="none" w:sz="0" w:space="0" w:color="auto"/>
      </w:divBdr>
    </w:div>
    <w:div w:id="791750579">
      <w:bodyDiv w:val="1"/>
      <w:marLeft w:val="0"/>
      <w:marRight w:val="0"/>
      <w:marTop w:val="0"/>
      <w:marBottom w:val="0"/>
      <w:divBdr>
        <w:top w:val="none" w:sz="0" w:space="0" w:color="auto"/>
        <w:left w:val="none" w:sz="0" w:space="0" w:color="auto"/>
        <w:bottom w:val="none" w:sz="0" w:space="0" w:color="auto"/>
        <w:right w:val="none" w:sz="0" w:space="0" w:color="auto"/>
      </w:divBdr>
    </w:div>
    <w:div w:id="814756752">
      <w:bodyDiv w:val="1"/>
      <w:marLeft w:val="0"/>
      <w:marRight w:val="0"/>
      <w:marTop w:val="0"/>
      <w:marBottom w:val="0"/>
      <w:divBdr>
        <w:top w:val="none" w:sz="0" w:space="0" w:color="auto"/>
        <w:left w:val="none" w:sz="0" w:space="0" w:color="auto"/>
        <w:bottom w:val="none" w:sz="0" w:space="0" w:color="auto"/>
        <w:right w:val="none" w:sz="0" w:space="0" w:color="auto"/>
      </w:divBdr>
    </w:div>
    <w:div w:id="849684895">
      <w:bodyDiv w:val="1"/>
      <w:marLeft w:val="0"/>
      <w:marRight w:val="0"/>
      <w:marTop w:val="0"/>
      <w:marBottom w:val="0"/>
      <w:divBdr>
        <w:top w:val="none" w:sz="0" w:space="0" w:color="auto"/>
        <w:left w:val="none" w:sz="0" w:space="0" w:color="auto"/>
        <w:bottom w:val="none" w:sz="0" w:space="0" w:color="auto"/>
        <w:right w:val="none" w:sz="0" w:space="0" w:color="auto"/>
      </w:divBdr>
    </w:div>
    <w:div w:id="866867354">
      <w:bodyDiv w:val="1"/>
      <w:marLeft w:val="0"/>
      <w:marRight w:val="0"/>
      <w:marTop w:val="0"/>
      <w:marBottom w:val="0"/>
      <w:divBdr>
        <w:top w:val="none" w:sz="0" w:space="0" w:color="auto"/>
        <w:left w:val="none" w:sz="0" w:space="0" w:color="auto"/>
        <w:bottom w:val="none" w:sz="0" w:space="0" w:color="auto"/>
        <w:right w:val="none" w:sz="0" w:space="0" w:color="auto"/>
      </w:divBdr>
    </w:div>
    <w:div w:id="960383368">
      <w:bodyDiv w:val="1"/>
      <w:marLeft w:val="0"/>
      <w:marRight w:val="0"/>
      <w:marTop w:val="0"/>
      <w:marBottom w:val="0"/>
      <w:divBdr>
        <w:top w:val="none" w:sz="0" w:space="0" w:color="auto"/>
        <w:left w:val="none" w:sz="0" w:space="0" w:color="auto"/>
        <w:bottom w:val="none" w:sz="0" w:space="0" w:color="auto"/>
        <w:right w:val="none" w:sz="0" w:space="0" w:color="auto"/>
      </w:divBdr>
    </w:div>
    <w:div w:id="963462266">
      <w:bodyDiv w:val="1"/>
      <w:marLeft w:val="0"/>
      <w:marRight w:val="0"/>
      <w:marTop w:val="0"/>
      <w:marBottom w:val="0"/>
      <w:divBdr>
        <w:top w:val="none" w:sz="0" w:space="0" w:color="auto"/>
        <w:left w:val="none" w:sz="0" w:space="0" w:color="auto"/>
        <w:bottom w:val="none" w:sz="0" w:space="0" w:color="auto"/>
        <w:right w:val="none" w:sz="0" w:space="0" w:color="auto"/>
      </w:divBdr>
    </w:div>
    <w:div w:id="977419413">
      <w:bodyDiv w:val="1"/>
      <w:marLeft w:val="0"/>
      <w:marRight w:val="0"/>
      <w:marTop w:val="0"/>
      <w:marBottom w:val="0"/>
      <w:divBdr>
        <w:top w:val="none" w:sz="0" w:space="0" w:color="auto"/>
        <w:left w:val="none" w:sz="0" w:space="0" w:color="auto"/>
        <w:bottom w:val="none" w:sz="0" w:space="0" w:color="auto"/>
        <w:right w:val="none" w:sz="0" w:space="0" w:color="auto"/>
      </w:divBdr>
    </w:div>
    <w:div w:id="1043600892">
      <w:bodyDiv w:val="1"/>
      <w:marLeft w:val="0"/>
      <w:marRight w:val="0"/>
      <w:marTop w:val="0"/>
      <w:marBottom w:val="0"/>
      <w:divBdr>
        <w:top w:val="none" w:sz="0" w:space="0" w:color="auto"/>
        <w:left w:val="none" w:sz="0" w:space="0" w:color="auto"/>
        <w:bottom w:val="none" w:sz="0" w:space="0" w:color="auto"/>
        <w:right w:val="none" w:sz="0" w:space="0" w:color="auto"/>
      </w:divBdr>
    </w:div>
    <w:div w:id="1089930043">
      <w:bodyDiv w:val="1"/>
      <w:marLeft w:val="0"/>
      <w:marRight w:val="0"/>
      <w:marTop w:val="0"/>
      <w:marBottom w:val="0"/>
      <w:divBdr>
        <w:top w:val="none" w:sz="0" w:space="0" w:color="auto"/>
        <w:left w:val="none" w:sz="0" w:space="0" w:color="auto"/>
        <w:bottom w:val="none" w:sz="0" w:space="0" w:color="auto"/>
        <w:right w:val="none" w:sz="0" w:space="0" w:color="auto"/>
      </w:divBdr>
    </w:div>
    <w:div w:id="1112239529">
      <w:bodyDiv w:val="1"/>
      <w:marLeft w:val="0"/>
      <w:marRight w:val="0"/>
      <w:marTop w:val="0"/>
      <w:marBottom w:val="0"/>
      <w:divBdr>
        <w:top w:val="none" w:sz="0" w:space="0" w:color="auto"/>
        <w:left w:val="none" w:sz="0" w:space="0" w:color="auto"/>
        <w:bottom w:val="none" w:sz="0" w:space="0" w:color="auto"/>
        <w:right w:val="none" w:sz="0" w:space="0" w:color="auto"/>
      </w:divBdr>
    </w:div>
    <w:div w:id="1161238928">
      <w:bodyDiv w:val="1"/>
      <w:marLeft w:val="0"/>
      <w:marRight w:val="0"/>
      <w:marTop w:val="0"/>
      <w:marBottom w:val="0"/>
      <w:divBdr>
        <w:top w:val="none" w:sz="0" w:space="0" w:color="auto"/>
        <w:left w:val="none" w:sz="0" w:space="0" w:color="auto"/>
        <w:bottom w:val="none" w:sz="0" w:space="0" w:color="auto"/>
        <w:right w:val="none" w:sz="0" w:space="0" w:color="auto"/>
      </w:divBdr>
    </w:div>
    <w:div w:id="1202132240">
      <w:bodyDiv w:val="1"/>
      <w:marLeft w:val="0"/>
      <w:marRight w:val="0"/>
      <w:marTop w:val="0"/>
      <w:marBottom w:val="0"/>
      <w:divBdr>
        <w:top w:val="none" w:sz="0" w:space="0" w:color="auto"/>
        <w:left w:val="none" w:sz="0" w:space="0" w:color="auto"/>
        <w:bottom w:val="none" w:sz="0" w:space="0" w:color="auto"/>
        <w:right w:val="none" w:sz="0" w:space="0" w:color="auto"/>
      </w:divBdr>
    </w:div>
    <w:div w:id="1231310249">
      <w:bodyDiv w:val="1"/>
      <w:marLeft w:val="0"/>
      <w:marRight w:val="0"/>
      <w:marTop w:val="0"/>
      <w:marBottom w:val="0"/>
      <w:divBdr>
        <w:top w:val="none" w:sz="0" w:space="0" w:color="auto"/>
        <w:left w:val="none" w:sz="0" w:space="0" w:color="auto"/>
        <w:bottom w:val="none" w:sz="0" w:space="0" w:color="auto"/>
        <w:right w:val="none" w:sz="0" w:space="0" w:color="auto"/>
      </w:divBdr>
    </w:div>
    <w:div w:id="1236354711">
      <w:bodyDiv w:val="1"/>
      <w:marLeft w:val="0"/>
      <w:marRight w:val="0"/>
      <w:marTop w:val="0"/>
      <w:marBottom w:val="0"/>
      <w:divBdr>
        <w:top w:val="none" w:sz="0" w:space="0" w:color="auto"/>
        <w:left w:val="none" w:sz="0" w:space="0" w:color="auto"/>
        <w:bottom w:val="none" w:sz="0" w:space="0" w:color="auto"/>
        <w:right w:val="none" w:sz="0" w:space="0" w:color="auto"/>
      </w:divBdr>
    </w:div>
    <w:div w:id="1279332020">
      <w:bodyDiv w:val="1"/>
      <w:marLeft w:val="0"/>
      <w:marRight w:val="0"/>
      <w:marTop w:val="0"/>
      <w:marBottom w:val="0"/>
      <w:divBdr>
        <w:top w:val="none" w:sz="0" w:space="0" w:color="auto"/>
        <w:left w:val="none" w:sz="0" w:space="0" w:color="auto"/>
        <w:bottom w:val="none" w:sz="0" w:space="0" w:color="auto"/>
        <w:right w:val="none" w:sz="0" w:space="0" w:color="auto"/>
      </w:divBdr>
    </w:div>
    <w:div w:id="1283270726">
      <w:bodyDiv w:val="1"/>
      <w:marLeft w:val="0"/>
      <w:marRight w:val="0"/>
      <w:marTop w:val="0"/>
      <w:marBottom w:val="0"/>
      <w:divBdr>
        <w:top w:val="none" w:sz="0" w:space="0" w:color="auto"/>
        <w:left w:val="none" w:sz="0" w:space="0" w:color="auto"/>
        <w:bottom w:val="none" w:sz="0" w:space="0" w:color="auto"/>
        <w:right w:val="none" w:sz="0" w:space="0" w:color="auto"/>
      </w:divBdr>
    </w:div>
    <w:div w:id="1293904934">
      <w:bodyDiv w:val="1"/>
      <w:marLeft w:val="0"/>
      <w:marRight w:val="0"/>
      <w:marTop w:val="0"/>
      <w:marBottom w:val="0"/>
      <w:divBdr>
        <w:top w:val="none" w:sz="0" w:space="0" w:color="auto"/>
        <w:left w:val="none" w:sz="0" w:space="0" w:color="auto"/>
        <w:bottom w:val="none" w:sz="0" w:space="0" w:color="auto"/>
        <w:right w:val="none" w:sz="0" w:space="0" w:color="auto"/>
      </w:divBdr>
    </w:div>
    <w:div w:id="1301380658">
      <w:bodyDiv w:val="1"/>
      <w:marLeft w:val="0"/>
      <w:marRight w:val="0"/>
      <w:marTop w:val="0"/>
      <w:marBottom w:val="0"/>
      <w:divBdr>
        <w:top w:val="none" w:sz="0" w:space="0" w:color="auto"/>
        <w:left w:val="none" w:sz="0" w:space="0" w:color="auto"/>
        <w:bottom w:val="none" w:sz="0" w:space="0" w:color="auto"/>
        <w:right w:val="none" w:sz="0" w:space="0" w:color="auto"/>
      </w:divBdr>
    </w:div>
    <w:div w:id="1329479435">
      <w:bodyDiv w:val="1"/>
      <w:marLeft w:val="0"/>
      <w:marRight w:val="0"/>
      <w:marTop w:val="0"/>
      <w:marBottom w:val="0"/>
      <w:divBdr>
        <w:top w:val="none" w:sz="0" w:space="0" w:color="auto"/>
        <w:left w:val="none" w:sz="0" w:space="0" w:color="auto"/>
        <w:bottom w:val="none" w:sz="0" w:space="0" w:color="auto"/>
        <w:right w:val="none" w:sz="0" w:space="0" w:color="auto"/>
      </w:divBdr>
    </w:div>
    <w:div w:id="1406494543">
      <w:bodyDiv w:val="1"/>
      <w:marLeft w:val="0"/>
      <w:marRight w:val="0"/>
      <w:marTop w:val="0"/>
      <w:marBottom w:val="0"/>
      <w:divBdr>
        <w:top w:val="none" w:sz="0" w:space="0" w:color="auto"/>
        <w:left w:val="none" w:sz="0" w:space="0" w:color="auto"/>
        <w:bottom w:val="none" w:sz="0" w:space="0" w:color="auto"/>
        <w:right w:val="none" w:sz="0" w:space="0" w:color="auto"/>
      </w:divBdr>
    </w:div>
    <w:div w:id="1448500802">
      <w:bodyDiv w:val="1"/>
      <w:marLeft w:val="0"/>
      <w:marRight w:val="0"/>
      <w:marTop w:val="0"/>
      <w:marBottom w:val="0"/>
      <w:divBdr>
        <w:top w:val="none" w:sz="0" w:space="0" w:color="auto"/>
        <w:left w:val="none" w:sz="0" w:space="0" w:color="auto"/>
        <w:bottom w:val="none" w:sz="0" w:space="0" w:color="auto"/>
        <w:right w:val="none" w:sz="0" w:space="0" w:color="auto"/>
      </w:divBdr>
    </w:div>
    <w:div w:id="1450052494">
      <w:bodyDiv w:val="1"/>
      <w:marLeft w:val="0"/>
      <w:marRight w:val="0"/>
      <w:marTop w:val="0"/>
      <w:marBottom w:val="0"/>
      <w:divBdr>
        <w:top w:val="none" w:sz="0" w:space="0" w:color="auto"/>
        <w:left w:val="none" w:sz="0" w:space="0" w:color="auto"/>
        <w:bottom w:val="none" w:sz="0" w:space="0" w:color="auto"/>
        <w:right w:val="none" w:sz="0" w:space="0" w:color="auto"/>
      </w:divBdr>
    </w:div>
    <w:div w:id="1553887182">
      <w:bodyDiv w:val="1"/>
      <w:marLeft w:val="0"/>
      <w:marRight w:val="0"/>
      <w:marTop w:val="0"/>
      <w:marBottom w:val="0"/>
      <w:divBdr>
        <w:top w:val="none" w:sz="0" w:space="0" w:color="auto"/>
        <w:left w:val="none" w:sz="0" w:space="0" w:color="auto"/>
        <w:bottom w:val="none" w:sz="0" w:space="0" w:color="auto"/>
        <w:right w:val="none" w:sz="0" w:space="0" w:color="auto"/>
      </w:divBdr>
    </w:div>
    <w:div w:id="1570652141">
      <w:bodyDiv w:val="1"/>
      <w:marLeft w:val="0"/>
      <w:marRight w:val="0"/>
      <w:marTop w:val="0"/>
      <w:marBottom w:val="0"/>
      <w:divBdr>
        <w:top w:val="none" w:sz="0" w:space="0" w:color="auto"/>
        <w:left w:val="none" w:sz="0" w:space="0" w:color="auto"/>
        <w:bottom w:val="none" w:sz="0" w:space="0" w:color="auto"/>
        <w:right w:val="none" w:sz="0" w:space="0" w:color="auto"/>
      </w:divBdr>
    </w:div>
    <w:div w:id="1620335493">
      <w:bodyDiv w:val="1"/>
      <w:marLeft w:val="0"/>
      <w:marRight w:val="0"/>
      <w:marTop w:val="0"/>
      <w:marBottom w:val="0"/>
      <w:divBdr>
        <w:top w:val="none" w:sz="0" w:space="0" w:color="auto"/>
        <w:left w:val="none" w:sz="0" w:space="0" w:color="auto"/>
        <w:bottom w:val="none" w:sz="0" w:space="0" w:color="auto"/>
        <w:right w:val="none" w:sz="0" w:space="0" w:color="auto"/>
      </w:divBdr>
    </w:div>
    <w:div w:id="1713310792">
      <w:bodyDiv w:val="1"/>
      <w:marLeft w:val="0"/>
      <w:marRight w:val="0"/>
      <w:marTop w:val="0"/>
      <w:marBottom w:val="0"/>
      <w:divBdr>
        <w:top w:val="none" w:sz="0" w:space="0" w:color="auto"/>
        <w:left w:val="none" w:sz="0" w:space="0" w:color="auto"/>
        <w:bottom w:val="none" w:sz="0" w:space="0" w:color="auto"/>
        <w:right w:val="none" w:sz="0" w:space="0" w:color="auto"/>
      </w:divBdr>
    </w:div>
    <w:div w:id="1769615299">
      <w:bodyDiv w:val="1"/>
      <w:marLeft w:val="0"/>
      <w:marRight w:val="0"/>
      <w:marTop w:val="0"/>
      <w:marBottom w:val="0"/>
      <w:divBdr>
        <w:top w:val="none" w:sz="0" w:space="0" w:color="auto"/>
        <w:left w:val="none" w:sz="0" w:space="0" w:color="auto"/>
        <w:bottom w:val="none" w:sz="0" w:space="0" w:color="auto"/>
        <w:right w:val="none" w:sz="0" w:space="0" w:color="auto"/>
      </w:divBdr>
    </w:div>
    <w:div w:id="1792213031">
      <w:bodyDiv w:val="1"/>
      <w:marLeft w:val="0"/>
      <w:marRight w:val="0"/>
      <w:marTop w:val="0"/>
      <w:marBottom w:val="0"/>
      <w:divBdr>
        <w:top w:val="none" w:sz="0" w:space="0" w:color="auto"/>
        <w:left w:val="none" w:sz="0" w:space="0" w:color="auto"/>
        <w:bottom w:val="none" w:sz="0" w:space="0" w:color="auto"/>
        <w:right w:val="none" w:sz="0" w:space="0" w:color="auto"/>
      </w:divBdr>
    </w:div>
    <w:div w:id="1812288740">
      <w:bodyDiv w:val="1"/>
      <w:marLeft w:val="0"/>
      <w:marRight w:val="0"/>
      <w:marTop w:val="0"/>
      <w:marBottom w:val="0"/>
      <w:divBdr>
        <w:top w:val="none" w:sz="0" w:space="0" w:color="auto"/>
        <w:left w:val="none" w:sz="0" w:space="0" w:color="auto"/>
        <w:bottom w:val="none" w:sz="0" w:space="0" w:color="auto"/>
        <w:right w:val="none" w:sz="0" w:space="0" w:color="auto"/>
      </w:divBdr>
    </w:div>
    <w:div w:id="1828545700">
      <w:bodyDiv w:val="1"/>
      <w:marLeft w:val="0"/>
      <w:marRight w:val="0"/>
      <w:marTop w:val="0"/>
      <w:marBottom w:val="0"/>
      <w:divBdr>
        <w:top w:val="none" w:sz="0" w:space="0" w:color="auto"/>
        <w:left w:val="none" w:sz="0" w:space="0" w:color="auto"/>
        <w:bottom w:val="none" w:sz="0" w:space="0" w:color="auto"/>
        <w:right w:val="none" w:sz="0" w:space="0" w:color="auto"/>
      </w:divBdr>
    </w:div>
    <w:div w:id="1845123959">
      <w:bodyDiv w:val="1"/>
      <w:marLeft w:val="0"/>
      <w:marRight w:val="0"/>
      <w:marTop w:val="0"/>
      <w:marBottom w:val="0"/>
      <w:divBdr>
        <w:top w:val="none" w:sz="0" w:space="0" w:color="auto"/>
        <w:left w:val="none" w:sz="0" w:space="0" w:color="auto"/>
        <w:bottom w:val="none" w:sz="0" w:space="0" w:color="auto"/>
        <w:right w:val="none" w:sz="0" w:space="0" w:color="auto"/>
      </w:divBdr>
    </w:div>
    <w:div w:id="1854107735">
      <w:bodyDiv w:val="1"/>
      <w:marLeft w:val="0"/>
      <w:marRight w:val="0"/>
      <w:marTop w:val="0"/>
      <w:marBottom w:val="0"/>
      <w:divBdr>
        <w:top w:val="none" w:sz="0" w:space="0" w:color="auto"/>
        <w:left w:val="none" w:sz="0" w:space="0" w:color="auto"/>
        <w:bottom w:val="none" w:sz="0" w:space="0" w:color="auto"/>
        <w:right w:val="none" w:sz="0" w:space="0" w:color="auto"/>
      </w:divBdr>
    </w:div>
    <w:div w:id="1876498020">
      <w:bodyDiv w:val="1"/>
      <w:marLeft w:val="0"/>
      <w:marRight w:val="0"/>
      <w:marTop w:val="0"/>
      <w:marBottom w:val="0"/>
      <w:divBdr>
        <w:top w:val="none" w:sz="0" w:space="0" w:color="auto"/>
        <w:left w:val="none" w:sz="0" w:space="0" w:color="auto"/>
        <w:bottom w:val="none" w:sz="0" w:space="0" w:color="auto"/>
        <w:right w:val="none" w:sz="0" w:space="0" w:color="auto"/>
      </w:divBdr>
    </w:div>
    <w:div w:id="1878006010">
      <w:bodyDiv w:val="1"/>
      <w:marLeft w:val="0"/>
      <w:marRight w:val="0"/>
      <w:marTop w:val="0"/>
      <w:marBottom w:val="0"/>
      <w:divBdr>
        <w:top w:val="none" w:sz="0" w:space="0" w:color="auto"/>
        <w:left w:val="none" w:sz="0" w:space="0" w:color="auto"/>
        <w:bottom w:val="none" w:sz="0" w:space="0" w:color="auto"/>
        <w:right w:val="none" w:sz="0" w:space="0" w:color="auto"/>
      </w:divBdr>
    </w:div>
    <w:div w:id="1919244363">
      <w:bodyDiv w:val="1"/>
      <w:marLeft w:val="0"/>
      <w:marRight w:val="0"/>
      <w:marTop w:val="0"/>
      <w:marBottom w:val="0"/>
      <w:divBdr>
        <w:top w:val="none" w:sz="0" w:space="0" w:color="auto"/>
        <w:left w:val="none" w:sz="0" w:space="0" w:color="auto"/>
        <w:bottom w:val="none" w:sz="0" w:space="0" w:color="auto"/>
        <w:right w:val="none" w:sz="0" w:space="0" w:color="auto"/>
      </w:divBdr>
    </w:div>
    <w:div w:id="1924993963">
      <w:bodyDiv w:val="1"/>
      <w:marLeft w:val="0"/>
      <w:marRight w:val="0"/>
      <w:marTop w:val="0"/>
      <w:marBottom w:val="0"/>
      <w:divBdr>
        <w:top w:val="none" w:sz="0" w:space="0" w:color="auto"/>
        <w:left w:val="none" w:sz="0" w:space="0" w:color="auto"/>
        <w:bottom w:val="none" w:sz="0" w:space="0" w:color="auto"/>
        <w:right w:val="none" w:sz="0" w:space="0" w:color="auto"/>
      </w:divBdr>
    </w:div>
    <w:div w:id="2008750146">
      <w:bodyDiv w:val="1"/>
      <w:marLeft w:val="0"/>
      <w:marRight w:val="0"/>
      <w:marTop w:val="0"/>
      <w:marBottom w:val="0"/>
      <w:divBdr>
        <w:top w:val="none" w:sz="0" w:space="0" w:color="auto"/>
        <w:left w:val="none" w:sz="0" w:space="0" w:color="auto"/>
        <w:bottom w:val="none" w:sz="0" w:space="0" w:color="auto"/>
        <w:right w:val="none" w:sz="0" w:space="0" w:color="auto"/>
      </w:divBdr>
    </w:div>
    <w:div w:id="2025284889">
      <w:bodyDiv w:val="1"/>
      <w:marLeft w:val="0"/>
      <w:marRight w:val="0"/>
      <w:marTop w:val="0"/>
      <w:marBottom w:val="0"/>
      <w:divBdr>
        <w:top w:val="none" w:sz="0" w:space="0" w:color="auto"/>
        <w:left w:val="none" w:sz="0" w:space="0" w:color="auto"/>
        <w:bottom w:val="none" w:sz="0" w:space="0" w:color="auto"/>
        <w:right w:val="none" w:sz="0" w:space="0" w:color="auto"/>
      </w:divBdr>
    </w:div>
    <w:div w:id="2038113950">
      <w:bodyDiv w:val="1"/>
      <w:marLeft w:val="0"/>
      <w:marRight w:val="0"/>
      <w:marTop w:val="0"/>
      <w:marBottom w:val="0"/>
      <w:divBdr>
        <w:top w:val="none" w:sz="0" w:space="0" w:color="auto"/>
        <w:left w:val="none" w:sz="0" w:space="0" w:color="auto"/>
        <w:bottom w:val="none" w:sz="0" w:space="0" w:color="auto"/>
        <w:right w:val="none" w:sz="0" w:space="0" w:color="auto"/>
      </w:divBdr>
    </w:div>
    <w:div w:id="2062435747">
      <w:bodyDiv w:val="1"/>
      <w:marLeft w:val="0"/>
      <w:marRight w:val="0"/>
      <w:marTop w:val="0"/>
      <w:marBottom w:val="0"/>
      <w:divBdr>
        <w:top w:val="none" w:sz="0" w:space="0" w:color="auto"/>
        <w:left w:val="none" w:sz="0" w:space="0" w:color="auto"/>
        <w:bottom w:val="none" w:sz="0" w:space="0" w:color="auto"/>
        <w:right w:val="none" w:sz="0" w:space="0" w:color="auto"/>
      </w:divBdr>
    </w:div>
    <w:div w:id="2089501963">
      <w:bodyDiv w:val="1"/>
      <w:marLeft w:val="0"/>
      <w:marRight w:val="0"/>
      <w:marTop w:val="0"/>
      <w:marBottom w:val="0"/>
      <w:divBdr>
        <w:top w:val="none" w:sz="0" w:space="0" w:color="auto"/>
        <w:left w:val="none" w:sz="0" w:space="0" w:color="auto"/>
        <w:bottom w:val="none" w:sz="0" w:space="0" w:color="auto"/>
        <w:right w:val="none" w:sz="0" w:space="0" w:color="auto"/>
      </w:divBdr>
    </w:div>
    <w:div w:id="2104450167">
      <w:bodyDiv w:val="1"/>
      <w:marLeft w:val="0"/>
      <w:marRight w:val="0"/>
      <w:marTop w:val="0"/>
      <w:marBottom w:val="0"/>
      <w:divBdr>
        <w:top w:val="none" w:sz="0" w:space="0" w:color="auto"/>
        <w:left w:val="none" w:sz="0" w:space="0" w:color="auto"/>
        <w:bottom w:val="none" w:sz="0" w:space="0" w:color="auto"/>
        <w:right w:val="none" w:sz="0" w:space="0" w:color="auto"/>
      </w:divBdr>
    </w:div>
    <w:div w:id="211913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1006/anbo.1997.0416"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doi.org/10.1016/j.heliyon.2024.e3813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389/fpls.2022.996313"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5302/J-FASE-2021403" TargetMode="External"/><Relationship Id="rId22" Type="http://schemas.openxmlformats.org/officeDocument/2006/relationships/footer" Target="footer3.xml"/><Relationship Id="rId25" Type="http://schemas.openxmlformats.org/officeDocument/2006/relationships/hyperlink" Target="https://doi.org/10.1002/agj2.20924" TargetMode="External"/><Relationship Id="rId26" Type="http://schemas.openxmlformats.org/officeDocument/2006/relationships/hyperlink" Target="https://www.fao.org/4/w4442e/w4442e0o.htm" TargetMode="External"/><Relationship Id="rId27" Type="http://schemas.openxmlformats.org/officeDocument/2006/relationships/hyperlink" Target="https://ifad.tind.io/record/2191?ln=fr" TargetMode="External"/><Relationship Id="rId28" Type="http://schemas.openxmlformats.org/officeDocument/2006/relationships/hyperlink" Target="https://doi.org/10.1038/s41598-025-99071-z" TargetMode="External"/><Relationship Id="rId29" Type="http://schemas.openxmlformats.org/officeDocument/2006/relationships/hyperlink" Target="https://doi.org/10.1007/s12571-024-01509-1" TargetMode="External"/><Relationship Id="rId30" Type="http://schemas.openxmlformats.org/officeDocument/2006/relationships/hyperlink" Target="https://doi.org/10.1016/j.agee.2026.110401" TargetMode="External"/><Relationship Id="rId31" Type="http://schemas.openxmlformats.org/officeDocument/2006/relationships/hyperlink" Target="https://horizon.documentation.ird.fr/exl-doc/pleins_textes/pleins_textes_2/memoires/16372.pdf" TargetMode="External"/><Relationship Id="rId32" Type="http://schemas.openxmlformats.org/officeDocument/2006/relationships/hyperlink" Target="https://doi.org/10.1038/nature19324" TargetMode="External"/><Relationship Id="rId33" Type="http://schemas.openxmlformats.org/officeDocument/2006/relationships/hyperlink" Target="https://doi.org/10.1111/gfs.12666" TargetMode="External"/><Relationship Id="rId34" Type="http://schemas.openxmlformats.org/officeDocument/2006/relationships/hyperlink" Target="https://doi.org/10.3389/fsufs.2025.1696429" TargetMode="External"/><Relationship Id="rId35" Type="http://schemas.openxmlformats.org/officeDocument/2006/relationships/hyperlink" Target="https://doi.org/10.1038/s41598-021-94098-4" TargetMode="External"/><Relationship Id="rId36" Type="http://schemas.openxmlformats.org/officeDocument/2006/relationships/hyperlink" Target="https://www.partenariat.gouv.ci/uploads/document/PONADEPA_2022-2026.pdf?download=1" TargetMode="External"/><Relationship Id="rId37" Type="http://schemas.openxmlformats.org/officeDocument/2006/relationships/hyperlink" Target="https://doi.org/10.1787/1112c23b-en" TargetMode="External"/><Relationship Id="rId38" Type="http://schemas.openxmlformats.org/officeDocument/2006/relationships/hyperlink" Target="https://doi.org/10.56557/pcbmb/2025/v26i9-109777" TargetMode="External"/><Relationship Id="rId39" Type="http://schemas.openxmlformats.org/officeDocument/2006/relationships/hyperlink" Target="https://doi.org/10.1038/s44264-025-00110-z" TargetMode="External"/><Relationship Id="rId40" Type="http://schemas.openxmlformats.org/officeDocument/2006/relationships/hyperlink" Target="https://doi.org/10.1002/nzc2.70080" TargetMode="External"/><Relationship Id="rId41" Type="http://schemas.openxmlformats.org/officeDocument/2006/relationships/hyperlink" Target="https://horizon.documentation.ird.fr/exl-doc/pleins_textes/divers11-01/05582.pdf" TargetMode="External"/><Relationship Id="rId42" Type="http://schemas.openxmlformats.org/officeDocument/2006/relationships/hyperlink" Target="https://www.revuegeo-univdaloa.net/fr/publication/caracteristiques-du-relief-et-repartition-de-lhabitat-dans-la-ville-de-bouake" TargetMode="External"/><Relationship Id="rId43" Type="http://schemas.openxmlformats.org/officeDocument/2006/relationships/hyperlink" Target="https://doi.org/10.1038/nature01014" TargetMode="External"/><Relationship Id="rId44" Type="http://schemas.openxmlformats.org/officeDocument/2006/relationships/hyperlink" Target="https://publications.cirad.fr/une_notice.php?dk=465556" TargetMode="External"/><Relationship Id="rId45" Type="http://schemas.openxmlformats.org/officeDocument/2006/relationships/hyperlink" Target="https://doi.org/10.3390/agronomy15010100" TargetMode="External"/><Relationship Id="rId46" Type="http://schemas.openxmlformats.org/officeDocument/2006/relationships/hyperlink" Target="https://doi.org/10.3390/agronomy16161538" TargetMode="External"/><Relationship Id="rId47" Type="http://schemas.openxmlformats.org/officeDocument/2006/relationships/hyperlink" Target="https://doi.org/10.9734/ajsspn/2024/v10i2306" TargetMode="External"/><Relationship Id="rId48" Type="http://schemas.openxmlformats.org/officeDocument/2006/relationships/hyperlink" Target="https://doi.org/10.3389/fpls.2021.75260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A05EF-FAFE-45F9-BF48-1D4C199CB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13</Pages>
  <Words>6842</Words>
  <Characters>39006</Characters>
  <Application>Microsoft Office Word</Application>
  <DocSecurity>0</DocSecurity>
  <Lines>325</Lines>
  <Paragraphs>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BOLOU Bi  Bolou Emile</dc:creator>
  <cp:keywords/>
  <dc:description/>
  <cp:lastModifiedBy>SDI PC New 16</cp:lastModifiedBy>
  <cp:revision>99</cp:revision>
  <dcterms:created xsi:type="dcterms:W3CDTF">2026-07-30T08:01:00Z</dcterms:created>
  <dcterms:modified xsi:type="dcterms:W3CDTF">2026-08-22T13:05:00Z</dcterms:modified>
</cp:coreProperties>
</file>