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94B78" w14:textId="77777777" w:rsidR="00207892" w:rsidRPr="00207892" w:rsidRDefault="00207892" w:rsidP="00FA4D91">
      <w:pPr>
        <w:pStyle w:val="Title"/>
        <w:jc w:val="both"/>
        <w:rPr>
          <w:bCs/>
          <w:i/>
          <w:iCs/>
          <w:u w:val="single"/>
        </w:rPr>
      </w:pPr>
      <w:r w:rsidRPr="00207892">
        <w:rPr>
          <w:bCs/>
          <w:i/>
          <w:iCs/>
          <w:u w:val="single"/>
        </w:rPr>
        <w:t>Review Article</w:t>
      </w:r>
    </w:p>
    <w:p w14:paraId="6B611BD9" w14:textId="77777777" w:rsidR="00CF0836" w:rsidRPr="00D424DA" w:rsidRDefault="00000000" w:rsidP="00FA4D91">
      <w:pPr>
        <w:pStyle w:val="Title"/>
        <w:jc w:val="both"/>
        <w:rPr>
          <w:color w:val="auto"/>
        </w:rPr>
      </w:pPr>
      <w:r w:rsidRPr="00D424DA">
        <w:rPr>
          <w:color w:val="auto"/>
        </w:rPr>
        <w:t>COVID‑19 Vaccine Uptake and Associated Factors in Nigeria: A Critical Epidemiological Review</w:t>
      </w:r>
    </w:p>
    <w:p w14:paraId="07764B32" w14:textId="77777777" w:rsidR="00CF0836" w:rsidRPr="00D424DA" w:rsidRDefault="00000000" w:rsidP="00FA4D91">
      <w:pPr>
        <w:pStyle w:val="Heading1"/>
        <w:jc w:val="both"/>
        <w:rPr>
          <w:color w:val="auto"/>
        </w:rPr>
      </w:pPr>
      <w:r w:rsidRPr="00D424DA">
        <w:rPr>
          <w:color w:val="auto"/>
        </w:rPr>
        <w:t>Abstract</w:t>
      </w:r>
    </w:p>
    <w:p w14:paraId="602F7E46" w14:textId="77777777" w:rsidR="00CF0836" w:rsidRPr="00D424DA" w:rsidRDefault="00000000" w:rsidP="00FA4D91">
      <w:pPr>
        <w:jc w:val="both"/>
      </w:pPr>
      <w:r w:rsidRPr="00D424DA">
        <w:t>COVID‑19 vaccination in Nigeria has been investigated through administrative reports, household and telephone surveys, facility-based studies, qualitative enquiries and digital interventions. Their findings are difficult to reconcile because willingness, hesitancy, receipt of a first dose and completion of vaccination are frequently treated as interchangeable outcomes. This critical narrative review examines the distribution of vaccine uptake, its associated factors and the strength of evidence supporting strategies to improve equitable vaccination. Live searches of publicly accessible scholarly records, web-indexed biomedical literature and authoritative institutional sources identified relevant publications from January 2020 to 22 July 2026, supplemented by foundational methodological and behavioural literature. Evidence was organised by outcome definition, fieldwork period, population, sampling design and inferential strength rather than combined into a pooled national estimate. Early household evidence documented low receipt despite substantial willingness in some populations, whereas later administrative reports indicated considerable expansion of vaccination. These observations do not establish a uniform trajectory across states or population groups. Confidence in vaccine safety, perceived need, trusted recommendations, social endorsement and practical access repeatedly appeared relevant, but demographic associations varied across settings. Most determinant studies were cross-sectional and could not establish whether knowledge, trust or healthcare contact preceded vaccination. Particular uncertainties concern pregnant women, older people outside clinical services, residents of informal settlements and populations poorly represented in telephone or online samples. Nigerian randomised social-media experiments did not demonstrate statistically clear increases in uptake, despite more encouraging observational campaign findings. Evidence from a trial in another West African country supports testing accessible delivery models but does not establish their Nigerian effect size. The most defensible response combines reliable local services with respectful communication, product- and time-specific measurement, and targeted protection of people at higher clinical risk. Future research should prioritise representative longitudinal surveillance, verified vaccination outcomes and pragmatic evaluations that distinguish demand constraints from service failures.</w:t>
      </w:r>
    </w:p>
    <w:p w14:paraId="190C3DB7" w14:textId="77777777" w:rsidR="00CF0836" w:rsidRPr="00D424DA" w:rsidRDefault="00000000" w:rsidP="00FA4D91">
      <w:pPr>
        <w:jc w:val="both"/>
      </w:pPr>
      <w:r w:rsidRPr="00D424DA">
        <w:rPr>
          <w:i/>
        </w:rPr>
        <w:t xml:space="preserve">Keywords: </w:t>
      </w:r>
      <w:r w:rsidRPr="00D424DA">
        <w:t>immunisation coverage; vaccine confidence; health equity; primary health care; risk perception; implementation research; sub-Saharan Africa</w:t>
      </w:r>
    </w:p>
    <w:p w14:paraId="05A859BE" w14:textId="77777777" w:rsidR="00CF0836" w:rsidRPr="00D424DA" w:rsidRDefault="00000000" w:rsidP="00FA4D91">
      <w:pPr>
        <w:pStyle w:val="Heading1"/>
        <w:pageBreakBefore/>
        <w:jc w:val="both"/>
        <w:rPr>
          <w:color w:val="auto"/>
        </w:rPr>
      </w:pPr>
      <w:r w:rsidRPr="00D424DA">
        <w:rPr>
          <w:color w:val="auto"/>
        </w:rPr>
        <w:lastRenderedPageBreak/>
        <w:t>1. Introduction</w:t>
      </w:r>
    </w:p>
    <w:p w14:paraId="268793B5" w14:textId="77777777" w:rsidR="00CF0836" w:rsidRPr="00D424DA" w:rsidRDefault="00000000" w:rsidP="00FA4D91">
      <w:pPr>
        <w:jc w:val="both"/>
      </w:pPr>
      <w:r w:rsidRPr="00D424DA">
        <w:t>Vaccination programme performance is not adequately described by the number of people who report favourable opinions about a vaccine. A population may express willingness while facing limited access, or may receive vaccination despite unresolved concerns. This distinction is especially consequential in the Nigerian COVID‑19 literature, where studies labelled as investigations of uptake have sometimes measured willingness, while other studies have equated every unvaccinated respondent with a hesitant respondent. These choices change both the estimated size of the problem and the interventions that appear necessary. An epidemiological account must therefore establish what was measured before interpreting the factors associated with it (Adedeji-Adenola et al., 2022; Ibenye-Ugbala et al., 2026; MacDonald &amp; SAGE Working Group on Vaccine Hesitancy, 2015).</w:t>
      </w:r>
    </w:p>
    <w:p w14:paraId="3A3A5DBF" w14:textId="77777777" w:rsidR="00CF0836" w:rsidRPr="00D424DA" w:rsidRDefault="00000000" w:rsidP="00FA4D91">
      <w:pPr>
        <w:jc w:val="both"/>
      </w:pPr>
      <w:r w:rsidRPr="00D424DA">
        <w:t>Nigeria began its national COVID‑19 vaccination programme on 5 March 2021. Subsequent expansion occurred alongside a changing public-health response, and official reporting eventually incorporated efforts to integrate vaccination into primary healthcare and reach populations experiencing vulnerability. The World Health Organization's account of Nigerian implementation in July 2023 documented substantial cumulative vaccination, but its denominator was the targeted adult population rather than every resident. Such reports describe programme activity at a specified time; they cannot retrospectively validate a survey from a different period or establish current protection in every subgroup (World Health Organization, 2023a).</w:t>
      </w:r>
    </w:p>
    <w:p w14:paraId="6C2B3DCD" w14:textId="77777777" w:rsidR="00CF0836" w:rsidRPr="00D424DA" w:rsidRDefault="00000000" w:rsidP="00FA4D91">
      <w:pPr>
        <w:jc w:val="both"/>
      </w:pPr>
      <w:r w:rsidRPr="00D424DA">
        <w:t>The published evidence spans different stages of vaccine availability and public experience. Pre-rollout and early-rollout surveys often asked about a hypothetical free vaccine. Later investigations examined actual receipt, although usually by self-report, and some assessed dose completion or booster uptake. Nationally framed telephone studies, small community enquiries and surveys of healthcare workers answer different questions. Their contrasts are informative when interpreted in context, but misleading when presented as competing estimates of one stable national prevalence. A review centred on epidemiological interpretation is therefore needed alongside behavioural accounts of hesitancy (Bamgboye et al., 2024; Kanyanda et al., 2021; Nomhwange et al., 2022; Sato, 2023).</w:t>
      </w:r>
    </w:p>
    <w:p w14:paraId="51EEE45F" w14:textId="77777777" w:rsidR="00CF0836" w:rsidRPr="00D424DA" w:rsidRDefault="00000000" w:rsidP="00FA4D91">
      <w:pPr>
        <w:jc w:val="both"/>
      </w:pPr>
      <w:r w:rsidRPr="00D424DA">
        <w:t>Previous Nigerian reviews established the prominence of safety concerns, confidence and sociodemographic variation. Olu-Abiodun and colleagues synthesised ten studies of vaccine acceptance, while Babatope and colleagues examined barriers across a broader set of heterogeneous studies. These reviews remain useful descriptions of the early literature. Nevertheless, their emphasis on acceptance and hesitancy does not resolve the later questions of actual receipt, appropriate denominators, population selection or the causal effectiveness of delivery and communication interventions. Newer household evidence, mixed-methods investigations and randomised digital experiments warrant a reassessment that preserves those distinctions (Babatope et al., 2023; Evans et al., 2024; Olu-Abiodun et al., 2022; Wonodi et al., 2024).</w:t>
      </w:r>
    </w:p>
    <w:p w14:paraId="54BBF6F0" w14:textId="77777777" w:rsidR="00E25FA8" w:rsidRDefault="00000000" w:rsidP="00FA4D91">
      <w:pPr>
        <w:jc w:val="both"/>
      </w:pPr>
      <w:r>
        <w:rPr>
          <w:highlight w:val="yellow"/>
        </w:rPr>
        <w:lastRenderedPageBreak/>
        <w:t>Recent Nigerian publications further broaden the evidence base beyond early acceptance-focused syntheses. A 2025 scoping review mapped determinants of uptake and hesitancy across Nigerian studies, while a northern Nigerian study continued to distinguish perceptions and willingness from observed vaccination behaviour (Ifeanyi et al., 2025; Njoku et al., 2025).</w:t>
      </w:r>
    </w:p>
    <w:p w14:paraId="49FD3AA4" w14:textId="77777777" w:rsidR="00CF0836" w:rsidRPr="00D424DA" w:rsidRDefault="00000000" w:rsidP="00FA4D91">
      <w:pPr>
        <w:jc w:val="both"/>
      </w:pPr>
      <w:r w:rsidRPr="00D424DA">
        <w:t>An additional challenge is the lag between fieldwork and publication. A study appearing in 2025 or 2026 may describe behaviour during the initial rollout rather than contemporary vaccination. Treating publication year as observation year creates an artificial impression of persistent stagnation or abrupt improvement. Conversely, cumulative administrative totals may conceal unmet needs among people who were not reached, those requiring subsequent doses or those whose clinical risk warrants renewed attention. Evidence must be situated in both calendar time and the vaccination pathway (Enyereibe et al., 2025; Ibenye-Ugbala et al., 2026; World Health Organization, 2023b).</w:t>
      </w:r>
    </w:p>
    <w:p w14:paraId="12BF7D2C" w14:textId="77777777" w:rsidR="00E25FA8" w:rsidRDefault="00000000" w:rsidP="00FA4D91">
      <w:pPr>
        <w:jc w:val="both"/>
      </w:pPr>
      <w:r>
        <w:rPr>
          <w:highlight w:val="yellow"/>
        </w:rPr>
        <w:t>Recent empirical work also reinforces the need to interpret uptake in relation to setting and service configuration: evidence from Niger State examined integration of routine immunisation with COVID-19 vaccination, whereas clinic-based sero-epidemiological data from southern Nigeria described vaccination uptake within selected clinical populations rather than a national frame (Okagbue et al., 2025; Ugwu et al., 2026).</w:t>
      </w:r>
    </w:p>
    <w:p w14:paraId="5731C16C" w14:textId="77777777" w:rsidR="00E25FA8" w:rsidRPr="00881E0A" w:rsidRDefault="00000000" w:rsidP="00FA4D91">
      <w:pPr>
        <w:pStyle w:val="Heading2"/>
        <w:jc w:val="both"/>
        <w:rPr>
          <w:b w:val="0"/>
          <w:bCs w:val="0"/>
          <w:color w:val="auto"/>
        </w:rPr>
      </w:pPr>
      <w:r w:rsidRPr="00881E0A">
        <w:rPr>
          <w:b w:val="0"/>
          <w:bCs w:val="0"/>
          <w:highlight w:val="yellow"/>
        </w:rPr>
        <w:t>Despite this expanding literature, a specific synthesis gap remains: recent Nigerian studies and reviews continue to vary in whether they measure willingness, hesitancy, receipt, completion or programme delivery, and they differ substantially in sampling frame, observation period and inferential scope. A critical appraisal that preserves these distinctions is therefore needed to prevent attitudinal, behavioural and service-delivery evidence from being interpreted as interchangeable (Ifeanyi et al., 2025; Okagbue et al., 2025; Ugwu et al., 2026).</w:t>
      </w:r>
    </w:p>
    <w:p w14:paraId="2AD62E2B" w14:textId="77777777" w:rsidR="00CF0836" w:rsidRPr="00D424DA" w:rsidRDefault="00000000" w:rsidP="00FA4D91">
      <w:pPr>
        <w:pStyle w:val="Heading2"/>
        <w:jc w:val="both"/>
        <w:rPr>
          <w:color w:val="auto"/>
        </w:rPr>
      </w:pPr>
      <w:r w:rsidRPr="00D424DA">
        <w:rPr>
          <w:color w:val="auto"/>
        </w:rPr>
        <w:t>1.1 Scope, Research Gap and Objectives</w:t>
      </w:r>
    </w:p>
    <w:p w14:paraId="75B5EA9B" w14:textId="77777777" w:rsidR="00CF0836" w:rsidRPr="00D424DA" w:rsidRDefault="00000000" w:rsidP="00FA4D91">
      <w:pPr>
        <w:jc w:val="both"/>
      </w:pPr>
      <w:r w:rsidRPr="00D424DA">
        <w:t>This review examines COVID‑19 vaccine uptake among Nigerian adults and relevant priority populations, with acceptance and hesitancy considered as related but distinct constructs. Its objectives are to clarify outcome definitions, interpret temporal and geographical variation, evaluate individual and contextual factors associated with vaccination, and distinguish observational associations from evidence capable of supporting intervention decisions. The principal contribution is an integrated appraisal of measurement, representativeness, causal interpretation and implementation relevance. Nigerian evidence forms the core synthesis; international methodological literature and a directly relevant West African intervention trial provide limited contextual support. Vaccine efficacy, laboratory immunogenicity and comprehensive pharmacovigilance are outside scope except where necessary to interpret programme goals. The review does not seek to calculate a pooled national uptake estimate or to prescribe individual vaccination schedules.</w:t>
      </w:r>
    </w:p>
    <w:p w14:paraId="5EF624FB" w14:textId="77777777" w:rsidR="00CF0836" w:rsidRPr="00D424DA" w:rsidRDefault="00000000" w:rsidP="00FA4D91">
      <w:pPr>
        <w:pStyle w:val="Heading1"/>
        <w:jc w:val="both"/>
        <w:rPr>
          <w:color w:val="auto"/>
        </w:rPr>
      </w:pPr>
      <w:r w:rsidRPr="00D424DA">
        <w:rPr>
          <w:color w:val="auto"/>
        </w:rPr>
        <w:lastRenderedPageBreak/>
        <w:t>2. Methods for Literature Selection</w:t>
      </w:r>
    </w:p>
    <w:p w14:paraId="23F5A7F2" w14:textId="77777777" w:rsidR="00CF0836" w:rsidRPr="00D424DA" w:rsidRDefault="00000000" w:rsidP="00FA4D91">
      <w:pPr>
        <w:pStyle w:val="Heading2"/>
        <w:jc w:val="both"/>
        <w:rPr>
          <w:color w:val="auto"/>
        </w:rPr>
      </w:pPr>
      <w:r w:rsidRPr="00D424DA">
        <w:rPr>
          <w:color w:val="auto"/>
        </w:rPr>
        <w:t>2.1 Review Design and Rationale</w:t>
      </w:r>
    </w:p>
    <w:p w14:paraId="2238C4EF" w14:textId="77777777" w:rsidR="00CF0836" w:rsidRPr="00D424DA" w:rsidRDefault="00000000" w:rsidP="00FA4D91">
      <w:pPr>
        <w:jc w:val="both"/>
      </w:pPr>
      <w:r w:rsidRPr="00D424DA">
        <w:t>A critical narrative design was selected because the central question concerns the interpretation of heterogeneous evidence rather than estimation of a single common parameter. Included sources differed in population, outcome, vaccination phase and study purpose. Combining them statistically would obscure distinctions between intention, receipt and completion. The review used the principles of the Scale for the Assessment of Narrative Review Articles to guide the justification of scope, description of literature selection, referencing and scientific reasoning. This framework informed manuscript development; no formal numerical quality score was assigned to the review or to its constituent studies (Baethge et al., 2019).</w:t>
      </w:r>
    </w:p>
    <w:p w14:paraId="76E7CC61" w14:textId="77777777" w:rsidR="00CF0836" w:rsidRPr="00D424DA" w:rsidRDefault="00000000" w:rsidP="00FA4D91">
      <w:pPr>
        <w:pStyle w:val="Heading2"/>
        <w:jc w:val="both"/>
        <w:rPr>
          <w:color w:val="auto"/>
        </w:rPr>
      </w:pPr>
      <w:r w:rsidRPr="00D424DA">
        <w:rPr>
          <w:color w:val="auto"/>
        </w:rPr>
        <w:t>2.2 Information Sources</w:t>
      </w:r>
    </w:p>
    <w:p w14:paraId="359890FC" w14:textId="77777777" w:rsidR="00CF0836" w:rsidRPr="00D424DA" w:rsidRDefault="00000000" w:rsidP="00FA4D91">
      <w:pPr>
        <w:jc w:val="both"/>
      </w:pPr>
      <w:r w:rsidRPr="00D424DA">
        <w:t>Live searches used publicly accessible scholarly records and web-indexed searches targeting PubMed and PubMed Central. Article records and accessible full texts were examined to establish bibliographic identity, methods and results. References in relevant reviews and primary studies were followed to locate additional evidence. Institutional searches focused on the World Health Organization for programme context, behavioural guidance and changes in vaccination priorities. Searches for article titles, authors and digital object identifiers (DOIs) supported metadata verification and checks for correction or retraction notices. Subscription bibliographic databases were not directly searched, and no claim of exhaustive database coverage is made.</w:t>
      </w:r>
    </w:p>
    <w:p w14:paraId="38FEF52E" w14:textId="77777777" w:rsidR="00CF0836" w:rsidRPr="00D424DA" w:rsidRDefault="00000000" w:rsidP="00FA4D91">
      <w:pPr>
        <w:pStyle w:val="Heading2"/>
        <w:jc w:val="both"/>
        <w:rPr>
          <w:color w:val="auto"/>
        </w:rPr>
      </w:pPr>
      <w:r w:rsidRPr="00D424DA">
        <w:rPr>
          <w:color w:val="auto"/>
        </w:rPr>
        <w:t>2.3 Search Strategy and Search Period</w:t>
      </w:r>
    </w:p>
    <w:p w14:paraId="2810B330" w14:textId="77777777" w:rsidR="00CF0836" w:rsidRPr="00D424DA" w:rsidRDefault="00000000" w:rsidP="00FA4D91">
      <w:pPr>
        <w:jc w:val="both"/>
      </w:pPr>
      <w:r w:rsidRPr="00D424DA">
        <w:t>The eligible publication period was 1 January 2020 to 22 July 2026. Earlier publications were included only for established concepts of vaccine hesitancy, behavioural measurement, narrative-review conduct or statistical interpretation. Live retrieval was restricted to publications within this interval rather than treating newly indexed material as automatically eligible. Search concepts combined Nigeria with COVID‑19 vaccination and uptake, acceptance, willingness, hesitancy, coverage, determinants or associated factors. Additional searches addressed pregnancy, older adults, healthcare workers, chronic illness, trust, misinformation, rural access, informal settlements, social media, randomised evaluation and primary healthcare integration.</w:t>
      </w:r>
    </w:p>
    <w:p w14:paraId="23B70B3C" w14:textId="77777777" w:rsidR="00CF0836" w:rsidRPr="00D424DA" w:rsidRDefault="00000000" w:rsidP="00FA4D91">
      <w:pPr>
        <w:jc w:val="both"/>
      </w:pPr>
      <w:r w:rsidRPr="00D424DA">
        <w:t>Representative search expressions were "Nigeria" AND "COVID‑19" AND ("vaccine uptake" OR vaccination OR hesitancy); "Nigeria" AND "COVID‑19 vaccine" AND ("associated factors" OR determinants OR barriers); and "Nigeria" AND vaccination AND (randomised OR intervention OR "social media"). Web-indexed biomedical searches used site restrictions to pubmed.ncbi.nlm.nih.gov and pmc.ncbi.nlm.nih.gov. Exact-title and DOI searches were used to retrieve or verify individual articles. Search terms were adapted to the retrieved evidence, including alternative British and American spellings, rather than presented as a fixed systematic-review database strategy.</w:t>
      </w:r>
    </w:p>
    <w:p w14:paraId="4036CB9F" w14:textId="77777777" w:rsidR="00CF0836" w:rsidRPr="00D424DA" w:rsidRDefault="00000000" w:rsidP="00FA4D91">
      <w:pPr>
        <w:pStyle w:val="Heading2"/>
        <w:jc w:val="both"/>
        <w:rPr>
          <w:color w:val="auto"/>
        </w:rPr>
      </w:pPr>
      <w:r w:rsidRPr="00D424DA">
        <w:rPr>
          <w:color w:val="auto"/>
        </w:rPr>
        <w:lastRenderedPageBreak/>
        <w:t>2.4 Eligibility Criteria</w:t>
      </w:r>
    </w:p>
    <w:p w14:paraId="112E6FE7" w14:textId="77777777" w:rsidR="00CF0836" w:rsidRPr="00D424DA" w:rsidRDefault="00000000" w:rsidP="00FA4D91">
      <w:pPr>
        <w:jc w:val="both"/>
      </w:pPr>
      <w:r w:rsidRPr="00D424DA">
        <w:t>Eligible empirical sources addressed Nigerian populations and measured vaccination receipt, dose completion, intention, acceptance, hesitancy or contextually relevant barriers. Quantitative, qualitative, mixed-methods and intervention studies were considered. Reviews were retained to identify earlier syntheses and assess the review gap, but their component studies were not treated as additional independent observations. English-language peer-reviewed articles were prioritised. Authoritative institutional documents were eligible for programme descriptions and guidance, not as substitutes for comparative effectiveness studies. Sources without verifiable bibliographic identity were excluded. Abstract-only records were not used to support detailed methods or numerical interpretations unavailable in the accessible record.</w:t>
      </w:r>
    </w:p>
    <w:p w14:paraId="3D879BED" w14:textId="77777777" w:rsidR="00CF0836" w:rsidRPr="00D424DA" w:rsidRDefault="00000000" w:rsidP="00FA4D91">
      <w:pPr>
        <w:pStyle w:val="Heading2"/>
        <w:jc w:val="both"/>
        <w:rPr>
          <w:color w:val="auto"/>
        </w:rPr>
      </w:pPr>
      <w:r w:rsidRPr="00D424DA">
        <w:rPr>
          <w:color w:val="auto"/>
        </w:rPr>
        <w:t>2.5 Screening, Duplicate Handling and Study Selection</w:t>
      </w:r>
    </w:p>
    <w:p w14:paraId="1675B6FB" w14:textId="77777777" w:rsidR="00CF0836" w:rsidRPr="00D424DA" w:rsidRDefault="00000000" w:rsidP="00FA4D91">
      <w:pPr>
        <w:jc w:val="both"/>
      </w:pPr>
      <w:r w:rsidRPr="00D424DA">
        <w:t>Titles and abstracts were assessed for relevance, followed by examination of accessible full texts for the sources central to the synthesis. Duplicate publication records were reconciled using titles, authors, journal details and DOIs. Reports using the same national telephone-survey infrastructure were considered potentially overlapping evidence, even when they addressed different questions or survey rounds. Similarly, observational and experimental publications concerning the same communication programme were distinguished from independent replication. Selection was purposive and interpretive rather than an exhaustive systematic screening exercise. No numerical screening flow diagram is presented, and study selection did not involve independent duplicate screening or a registered systematic-review protocol.</w:t>
      </w:r>
    </w:p>
    <w:p w14:paraId="3CF97388" w14:textId="77777777" w:rsidR="00CF0836" w:rsidRPr="00D424DA" w:rsidRDefault="00000000" w:rsidP="00FA4D91">
      <w:pPr>
        <w:pStyle w:val="Heading2"/>
        <w:jc w:val="both"/>
        <w:rPr>
          <w:color w:val="auto"/>
        </w:rPr>
      </w:pPr>
      <w:r w:rsidRPr="00D424DA">
        <w:rPr>
          <w:color w:val="auto"/>
        </w:rPr>
        <w:t>2.6 Critical Appraisal and Evidence Synthesis</w:t>
      </w:r>
    </w:p>
    <w:p w14:paraId="48D1F2A9" w14:textId="77777777" w:rsidR="00CF0836" w:rsidRPr="00D424DA" w:rsidRDefault="00000000" w:rsidP="00FA4D91">
      <w:pPr>
        <w:jc w:val="both"/>
      </w:pPr>
      <w:r w:rsidRPr="00D424DA">
        <w:t>Appraisal considered sampling, eligibility, observation dates, outcome definitions, self-report, missing data, adjustment for confounding, precision and external validity. Greater weight was given to probability-based population estimates for descriptive inference and randomised allocation for intervention effects. Qualitative findings were used to illuminate mechanisms and experiences, not estimate their population prevalence. Particular attention was paid to discordance between an article's title and measured endpoint, conflation of non-vaccination with hesitancy, and interpretation of odds ratios as if they were risk ratios. Findings were organised into measurement, distribution, associated factors, equity and implementation themes. Confidence judgements are narrative assessments, not formal certainty grades.</w:t>
      </w:r>
    </w:p>
    <w:p w14:paraId="39571776" w14:textId="77777777" w:rsidR="00CF0836" w:rsidRPr="00D424DA" w:rsidRDefault="00000000" w:rsidP="00FA4D91">
      <w:pPr>
        <w:pStyle w:val="Heading1"/>
        <w:jc w:val="both"/>
        <w:rPr>
          <w:color w:val="auto"/>
        </w:rPr>
      </w:pPr>
      <w:r w:rsidRPr="00D424DA">
        <w:rPr>
          <w:color w:val="auto"/>
        </w:rPr>
        <w:t>3. Defining and Measuring COVID‑19 Vaccine Uptake</w:t>
      </w:r>
    </w:p>
    <w:p w14:paraId="5D2BCA14" w14:textId="77777777" w:rsidR="00CF0836" w:rsidRPr="00D424DA" w:rsidRDefault="00000000" w:rsidP="00FA4D91">
      <w:pPr>
        <w:pStyle w:val="Heading2"/>
        <w:jc w:val="both"/>
        <w:rPr>
          <w:color w:val="auto"/>
        </w:rPr>
      </w:pPr>
      <w:r w:rsidRPr="00D424DA">
        <w:rPr>
          <w:color w:val="auto"/>
        </w:rPr>
        <w:t>3.1 Separate Attitudes, Intentions and Behaviour</w:t>
      </w:r>
    </w:p>
    <w:p w14:paraId="73F454A7" w14:textId="77777777" w:rsidR="00CF0836" w:rsidRPr="00D424DA" w:rsidRDefault="00000000" w:rsidP="00FA4D91">
      <w:pPr>
        <w:jc w:val="both"/>
      </w:pPr>
      <w:r w:rsidRPr="00D424DA">
        <w:t xml:space="preserve">Acceptance describes a stated orientation towards vaccination, but its operational meaning varies. It may refer to an answer about future willingness, a favourable attitude score or an author's classification of people already vaccinated. Hesitancy, conventionally understood as delay or refusal despite available vaccination services, is not synonymous with absence of a dose. Someone who has never been offered an accessible appointment may be unvaccinated </w:t>
      </w:r>
      <w:r w:rsidRPr="00D424DA">
        <w:lastRenderedPageBreak/>
        <w:t>without rejecting vaccination. Conversely, a person vaccinated to satisfy employment requirements may retain substantial doubts. Treating behaviour and attitude as one binary variable loses both distinctions (Brewer et al., 2017; MacDonald &amp; SAGE Working Group on Vaccine Hesitancy, 2015).</w:t>
      </w:r>
    </w:p>
    <w:p w14:paraId="7F608060" w14:textId="77777777" w:rsidR="00CF0836" w:rsidRPr="00D424DA" w:rsidRDefault="00000000" w:rsidP="00FA4D91">
      <w:pPr>
        <w:jc w:val="both"/>
      </w:pPr>
      <w:r w:rsidRPr="00D424DA">
        <w:t>A concrete example is the online study by Adedeji-Adenola and colleagues. Despite referring to uptake in its title, its principal reported proportion was willingness to receive vaccination: 80.9% of 1,058 respondents. That result concerns expressed intention within an online sample, not verified vaccination coverage. At the other end of the classification problem, Ibenye-Ugbala and colleagues reported 44.1% vaccinated and classified the remaining 55.9% as hesitant, although some unvaccinated respondents planned to receive vaccination. The useful information lies in the separate responses, not in accepting the combined label uncritically (Adedeji-Adenola et al., 2022; Ibenye-Ugbala et al., 2026).</w:t>
      </w:r>
    </w:p>
    <w:p w14:paraId="3429F0DD" w14:textId="77777777" w:rsidR="00CF0836" w:rsidRPr="00D424DA" w:rsidRDefault="00000000" w:rsidP="00FA4D91">
      <w:pPr>
        <w:jc w:val="both"/>
      </w:pPr>
      <w:r w:rsidRPr="00D424DA">
        <w:t>Attitude scales introduce another distinction. In the study of people living with chronic conditions in Ibadan, a positive attitude was defined relative to the sample median of a vaccine-attitude score. The resulting proportion cannot be interpreted as the percentage vaccinated or as a universally calibrated threshold of confidence. A median-based classification is partly determined by the distribution within the sample itself. It may be useful for within-study comparisons, but transporting its prevalence into a national synthesis would require evidence that the same construct and threshold apply elsewhere (Ojewale et al., 2022).</w:t>
      </w:r>
    </w:p>
    <w:p w14:paraId="480A3037" w14:textId="77777777" w:rsidR="00CF0836" w:rsidRPr="00D424DA" w:rsidRDefault="00000000" w:rsidP="00FA4D91">
      <w:pPr>
        <w:jc w:val="both"/>
      </w:pPr>
      <w:r w:rsidRPr="00D424DA">
        <w:t>These examples support a practical extraction rule: record the actual question, response options and denominator before assigning a study to an outcome category. Titles and discussion terminology are insufficient. A review that counts every acceptance study as an uptake study can manufacture an apparent intention-behaviour gap from unrelated samples, rather than observe that gap within the same individuals. The converse error is to overlook genuine access problems because all non-receipt is attributed to reluctance. Outcome precision is therefore a prerequisite for both descriptive accuracy and fair attribution of responsibility (Adedeji-Adenola et al., 2022; Ibenye-Ugbala et al., 2026; World Health Organization, 2022).</w:t>
      </w:r>
    </w:p>
    <w:p w14:paraId="49E89754" w14:textId="77777777" w:rsidR="00CF0836" w:rsidRPr="00D424DA" w:rsidRDefault="00000000" w:rsidP="00FA4D91">
      <w:pPr>
        <w:pStyle w:val="Heading2"/>
        <w:jc w:val="both"/>
        <w:rPr>
          <w:color w:val="auto"/>
        </w:rPr>
      </w:pPr>
      <w:r w:rsidRPr="00D424DA">
        <w:rPr>
          <w:color w:val="auto"/>
        </w:rPr>
        <w:t>3.2 Initiation, Completion and Time-Specific Protection</w:t>
      </w:r>
    </w:p>
    <w:p w14:paraId="7B025A30" w14:textId="77777777" w:rsidR="00CF0836" w:rsidRPr="00D424DA" w:rsidRDefault="00000000" w:rsidP="00FA4D91">
      <w:pPr>
        <w:jc w:val="both"/>
      </w:pPr>
      <w:r w:rsidRPr="00D424DA">
        <w:t>Receipt of at least one dose provides a clear behavioural endpoint when the question and population are specified. It does not establish completion of the primary series, receipt of a subsequent recommended dose or the timing of vaccination relative to a risk period. Early vaccine products also differed in their primary schedules. Consequently, a generic definition of full vaccination as two doses can misclassify recipients of a product with a one-dose primary schedule. Studies should retain the product, dose count and policy definition applicable during fieldwork rather than impose a later definition retrospectively (Bamgboye et al., 2024; World Health Organization, 2023b).</w:t>
      </w:r>
    </w:p>
    <w:p w14:paraId="244ADA20" w14:textId="77777777" w:rsidR="00CF0836" w:rsidRPr="00D424DA" w:rsidRDefault="00000000" w:rsidP="00FA4D91">
      <w:pPr>
        <w:jc w:val="both"/>
      </w:pPr>
      <w:r w:rsidRPr="00D424DA">
        <w:t xml:space="preserve">Completion requires an appropriate denominator. Among people who initiated a multidose schedule, the relevant question is how many completed it after having sufficient time to do so. Among all eligible adults, completion coverage answers a different question because it includes </w:t>
      </w:r>
      <w:r w:rsidRPr="00D424DA">
        <w:lastRenderedPageBreak/>
        <w:t>both failure to initiate and failure to continue. Booster coverage likewise differs depending on whether the denominator is all adults, primary-series recipients or people eligible for a subsequent dose at the observation date. These quantities cannot be compared by percentage alone. Their interpretation depends on a shared eligibility rule and comparable follow-up (Bamgboye et al., 2024; World Health Organization, 2023a, 2023b).</w:t>
      </w:r>
    </w:p>
    <w:p w14:paraId="669ECCAC" w14:textId="77777777" w:rsidR="00CF0836" w:rsidRPr="00D424DA" w:rsidRDefault="00000000" w:rsidP="00FA4D91">
      <w:pPr>
        <w:jc w:val="both"/>
      </w:pPr>
      <w:r w:rsidRPr="00D424DA">
        <w:t>Administrative counts of doses administered are not counts of unique people protected. A person may contribute more than one administration, while differences in registration, reporting delay or population estimation can affect the relation between recorded activity and coverage. These are measurement considerations, not evidence that a particular Nigerian dataset is invalid. Transparent reconciliation would require person-level deduplication, documented denominator sources and consistency checks across reporting levels. Surveys remain complementary because they can investigate those not reached, although self-report introduces its own uncertainty (Bamgboye et al., 2024; Enyereibe et al., 2025; World Health Organization, 2023a).</w:t>
      </w:r>
    </w:p>
    <w:p w14:paraId="751ED486" w14:textId="77777777" w:rsidR="00CF0836" w:rsidRPr="00D424DA" w:rsidRDefault="00000000" w:rsidP="00FA4D91">
      <w:pPr>
        <w:pStyle w:val="Heading2"/>
        <w:jc w:val="both"/>
        <w:rPr>
          <w:color w:val="auto"/>
        </w:rPr>
      </w:pPr>
      <w:r w:rsidRPr="00D424DA">
        <w:rPr>
          <w:color w:val="auto"/>
        </w:rPr>
        <w:t>3.3 A Combined Behavioural and Service-Delivery Interpretation</w:t>
      </w:r>
    </w:p>
    <w:p w14:paraId="3ACC040D" w14:textId="77777777" w:rsidR="00CF0836" w:rsidRPr="00D424DA" w:rsidRDefault="00000000" w:rsidP="00FA4D91">
      <w:pPr>
        <w:jc w:val="both"/>
      </w:pPr>
      <w:r w:rsidRPr="00D424DA">
        <w:t>The behavioural and social drivers framework distinguishes thinking and feeling, social processes, motivation and practical issues. This is preferable to explaining uptake through confidence alone because it makes service accessibility conceptually visible. The 5C approach similarly recognises constraints alongside confidence, complacency, calculation and collective responsibility. Neither framework makes every measured association causal. Their value is to guide the questions asked and identify candidate mechanisms that require testing. They should not be used to convert a cross-sectional regression into a validated pathway from belief to behaviour (Betsch et al., 2018; World Health Organization, 2022).</w:t>
      </w:r>
    </w:p>
    <w:p w14:paraId="3FC44BCD" w14:textId="77777777" w:rsidR="00CF0836" w:rsidRPr="00D424DA" w:rsidRDefault="00000000" w:rsidP="00FA4D91">
      <w:pPr>
        <w:jc w:val="both"/>
      </w:pPr>
      <w:r w:rsidRPr="00D424DA">
        <w:t>For Nigeria, an integrated interpretation starts with eligibility and opportunity, then examines motivation and the experience of obtaining vaccination. The sequence is not necessarily linear: an unsuccessful visit may reduce trust, a trusted recommendation may reveal a convenient service, and receiving vaccination may improve reported confidence. The Abuja mixed-methods study using the behavioural and social drivers framework found relevant signals across practical, social and confidence domains, supporting the usefulness of assessing these dimensions together. It did not establish which component would produce the largest increase if changed by an intervention. Table 1 summarises the endpoint distinctions that govern the remainder of this review (Wonodi et al., 2024).</w:t>
      </w:r>
    </w:p>
    <w:p w14:paraId="689CD295" w14:textId="77777777" w:rsidR="00CF0836" w:rsidRPr="00D424DA" w:rsidRDefault="00000000" w:rsidP="00FA4D91">
      <w:pPr>
        <w:pStyle w:val="Caption"/>
        <w:jc w:val="both"/>
        <w:rPr>
          <w:color w:val="auto"/>
        </w:rPr>
      </w:pPr>
      <w:r w:rsidRPr="00D424DA">
        <w:rPr>
          <w:b/>
          <w:color w:val="auto"/>
        </w:rPr>
        <w:t>Table 1</w:t>
      </w:r>
    </w:p>
    <w:p w14:paraId="63479989" w14:textId="77777777" w:rsidR="00CF0836" w:rsidRPr="00D424DA" w:rsidRDefault="00000000" w:rsidP="00FA4D91">
      <w:pPr>
        <w:pStyle w:val="Caption"/>
        <w:jc w:val="both"/>
        <w:rPr>
          <w:color w:val="auto"/>
        </w:rPr>
      </w:pPr>
      <w:r w:rsidRPr="00D424DA">
        <w:rPr>
          <w:i/>
          <w:color w:val="auto"/>
        </w:rPr>
        <w:t>Vaccination endpoints and the denominators needed for valid interpretation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4A0" w:firstRow="1" w:lastRow="0" w:firstColumn="1" w:lastColumn="0" w:noHBand="0" w:noVBand="1"/>
      </w:tblPr>
      <w:tblGrid>
        <w:gridCol w:w="1584"/>
        <w:gridCol w:w="2592"/>
        <w:gridCol w:w="3096"/>
        <w:gridCol w:w="2088"/>
      </w:tblGrid>
      <w:tr w:rsidR="00D424DA" w:rsidRPr="00D424DA" w14:paraId="78253BAE" w14:textId="77777777" w:rsidTr="00690906">
        <w:trPr>
          <w:tblHeader/>
          <w:jc w:val="center"/>
        </w:trPr>
        <w:tc>
          <w:tcPr>
            <w:tcW w:w="1584" w:type="dxa"/>
            <w:vAlign w:val="center"/>
          </w:tcPr>
          <w:p w14:paraId="4CD9FCD4" w14:textId="77777777" w:rsidR="00CF0836" w:rsidRPr="00D424DA" w:rsidRDefault="00000000" w:rsidP="00FA4D91">
            <w:pPr>
              <w:pStyle w:val="Tabletext"/>
              <w:jc w:val="both"/>
            </w:pPr>
            <w:r w:rsidRPr="00D424DA">
              <w:rPr>
                <w:b/>
              </w:rPr>
              <w:t>Endpoint</w:t>
            </w:r>
          </w:p>
        </w:tc>
        <w:tc>
          <w:tcPr>
            <w:tcW w:w="2592" w:type="dxa"/>
            <w:vAlign w:val="center"/>
          </w:tcPr>
          <w:p w14:paraId="61C5259C" w14:textId="77777777" w:rsidR="00CF0836" w:rsidRPr="00D424DA" w:rsidRDefault="00000000" w:rsidP="00FA4D91">
            <w:pPr>
              <w:pStyle w:val="Tabletext"/>
              <w:jc w:val="both"/>
            </w:pPr>
            <w:r w:rsidRPr="00D424DA">
              <w:rPr>
                <w:b/>
              </w:rPr>
              <w:t>Required population or denominator</w:t>
            </w:r>
          </w:p>
        </w:tc>
        <w:tc>
          <w:tcPr>
            <w:tcW w:w="3096" w:type="dxa"/>
            <w:vAlign w:val="center"/>
          </w:tcPr>
          <w:p w14:paraId="6340AE48" w14:textId="77777777" w:rsidR="00CF0836" w:rsidRPr="00D424DA" w:rsidRDefault="00000000" w:rsidP="00FA4D91">
            <w:pPr>
              <w:pStyle w:val="Tabletext"/>
              <w:jc w:val="both"/>
            </w:pPr>
            <w:r w:rsidRPr="00D424DA">
              <w:rPr>
                <w:b/>
              </w:rPr>
              <w:t>Interpretive boundary</w:t>
            </w:r>
          </w:p>
        </w:tc>
        <w:tc>
          <w:tcPr>
            <w:tcW w:w="2088" w:type="dxa"/>
            <w:vAlign w:val="center"/>
          </w:tcPr>
          <w:p w14:paraId="436AED7A" w14:textId="77777777" w:rsidR="00CF0836" w:rsidRPr="00D424DA" w:rsidRDefault="00000000" w:rsidP="00FA4D91">
            <w:pPr>
              <w:pStyle w:val="Tabletext"/>
              <w:jc w:val="both"/>
            </w:pPr>
            <w:r w:rsidRPr="00D424DA">
              <w:rPr>
                <w:b/>
              </w:rPr>
              <w:t>Supporting references</w:t>
            </w:r>
          </w:p>
        </w:tc>
      </w:tr>
      <w:tr w:rsidR="00D424DA" w:rsidRPr="007D29D1" w14:paraId="0C3BFA83" w14:textId="77777777" w:rsidTr="00690906">
        <w:trPr>
          <w:cantSplit/>
          <w:jc w:val="center"/>
        </w:trPr>
        <w:tc>
          <w:tcPr>
            <w:tcW w:w="1584" w:type="dxa"/>
            <w:vAlign w:val="center"/>
          </w:tcPr>
          <w:p w14:paraId="476F84A9" w14:textId="77777777" w:rsidR="00CF0836" w:rsidRPr="00D424DA" w:rsidRDefault="00000000" w:rsidP="00FA4D91">
            <w:pPr>
              <w:pStyle w:val="Tabletext"/>
              <w:jc w:val="both"/>
            </w:pPr>
            <w:r w:rsidRPr="00D424DA">
              <w:t>Willingness or intention</w:t>
            </w:r>
          </w:p>
        </w:tc>
        <w:tc>
          <w:tcPr>
            <w:tcW w:w="2592" w:type="dxa"/>
            <w:vAlign w:val="center"/>
          </w:tcPr>
          <w:p w14:paraId="1C412A61" w14:textId="77777777" w:rsidR="00CF0836" w:rsidRPr="00D424DA" w:rsidRDefault="00000000" w:rsidP="00FA4D91">
            <w:pPr>
              <w:pStyle w:val="Tabletext"/>
              <w:jc w:val="both"/>
            </w:pPr>
            <w:r w:rsidRPr="00D424DA">
              <w:t>Respondents asked about a specified future vaccine offer and time horizon.</w:t>
            </w:r>
          </w:p>
        </w:tc>
        <w:tc>
          <w:tcPr>
            <w:tcW w:w="3096" w:type="dxa"/>
            <w:vAlign w:val="center"/>
          </w:tcPr>
          <w:p w14:paraId="0B037CB2" w14:textId="77777777" w:rsidR="00CF0836" w:rsidRPr="00D424DA" w:rsidRDefault="00000000" w:rsidP="00FA4D91">
            <w:pPr>
              <w:pStyle w:val="Tabletext"/>
              <w:jc w:val="both"/>
            </w:pPr>
            <w:r w:rsidRPr="00D424DA">
              <w:t>A stated plan is not receipt. Conditional willingness may assume free and accessible services.</w:t>
            </w:r>
          </w:p>
        </w:tc>
        <w:tc>
          <w:tcPr>
            <w:tcW w:w="2088" w:type="dxa"/>
            <w:vAlign w:val="center"/>
          </w:tcPr>
          <w:p w14:paraId="1FD367A5" w14:textId="77777777" w:rsidR="00CF0836" w:rsidRPr="007D29D1" w:rsidRDefault="00000000" w:rsidP="00FA4D91">
            <w:pPr>
              <w:pStyle w:val="Tabletext"/>
              <w:jc w:val="both"/>
              <w:rPr>
                <w:lang w:val="nl-BE"/>
              </w:rPr>
            </w:pPr>
            <w:r w:rsidRPr="007D29D1">
              <w:rPr>
                <w:lang w:val="nl-BE"/>
              </w:rPr>
              <w:t>(Adedeji-Adenola et al., 2022; Kanyanda et al., 2021)</w:t>
            </w:r>
          </w:p>
        </w:tc>
      </w:tr>
      <w:tr w:rsidR="00D424DA" w:rsidRPr="00D424DA" w14:paraId="152CCE7F" w14:textId="77777777" w:rsidTr="00690906">
        <w:trPr>
          <w:cantSplit/>
          <w:jc w:val="center"/>
        </w:trPr>
        <w:tc>
          <w:tcPr>
            <w:tcW w:w="1584" w:type="dxa"/>
            <w:vAlign w:val="center"/>
          </w:tcPr>
          <w:p w14:paraId="740637B2" w14:textId="77777777" w:rsidR="00CF0836" w:rsidRPr="00D424DA" w:rsidRDefault="00000000" w:rsidP="00FA4D91">
            <w:pPr>
              <w:pStyle w:val="Tabletext"/>
              <w:jc w:val="both"/>
            </w:pPr>
            <w:r w:rsidRPr="00D424DA">
              <w:lastRenderedPageBreak/>
              <w:t>Hesitancy</w:t>
            </w:r>
          </w:p>
        </w:tc>
        <w:tc>
          <w:tcPr>
            <w:tcW w:w="2592" w:type="dxa"/>
            <w:vAlign w:val="center"/>
          </w:tcPr>
          <w:p w14:paraId="2D93AC24" w14:textId="77777777" w:rsidR="00CF0836" w:rsidRPr="00D424DA" w:rsidRDefault="00000000" w:rsidP="00FA4D91">
            <w:pPr>
              <w:pStyle w:val="Tabletext"/>
              <w:jc w:val="both"/>
            </w:pPr>
            <w:r w:rsidRPr="00D424DA">
              <w:t>People assessed using a defined attitudinal or behavioural question, with service availability considered.</w:t>
            </w:r>
          </w:p>
        </w:tc>
        <w:tc>
          <w:tcPr>
            <w:tcW w:w="3096" w:type="dxa"/>
            <w:vAlign w:val="center"/>
          </w:tcPr>
          <w:p w14:paraId="153F99F4" w14:textId="77777777" w:rsidR="00CF0836" w:rsidRPr="00D424DA" w:rsidRDefault="00000000" w:rsidP="00FA4D91">
            <w:pPr>
              <w:pStyle w:val="Tabletext"/>
              <w:jc w:val="both"/>
            </w:pPr>
            <w:r w:rsidRPr="00D424DA">
              <w:t>Non-vaccination alone does not establish reluctance; vaccinated people can retain concerns.</w:t>
            </w:r>
          </w:p>
        </w:tc>
        <w:tc>
          <w:tcPr>
            <w:tcW w:w="2088" w:type="dxa"/>
            <w:vAlign w:val="center"/>
          </w:tcPr>
          <w:p w14:paraId="4401D3F2" w14:textId="77777777" w:rsidR="00CF0836" w:rsidRPr="00D424DA" w:rsidRDefault="00000000" w:rsidP="00FA4D91">
            <w:pPr>
              <w:pStyle w:val="Tabletext"/>
              <w:jc w:val="both"/>
            </w:pPr>
            <w:r w:rsidRPr="00D424DA">
              <w:t>(Ibenye-Ugbala et al., 2026; MacDonald &amp; SAGE Working Group on Vaccine Hesitancy, 2015)</w:t>
            </w:r>
          </w:p>
        </w:tc>
      </w:tr>
      <w:tr w:rsidR="00D424DA" w:rsidRPr="007D29D1" w14:paraId="46AE3B69" w14:textId="77777777" w:rsidTr="00690906">
        <w:trPr>
          <w:cantSplit/>
          <w:jc w:val="center"/>
        </w:trPr>
        <w:tc>
          <w:tcPr>
            <w:tcW w:w="1584" w:type="dxa"/>
            <w:vAlign w:val="center"/>
          </w:tcPr>
          <w:p w14:paraId="72FAA0F8" w14:textId="77777777" w:rsidR="00CF0836" w:rsidRPr="00D424DA" w:rsidRDefault="00000000" w:rsidP="00FA4D91">
            <w:pPr>
              <w:pStyle w:val="Tabletext"/>
              <w:jc w:val="both"/>
            </w:pPr>
            <w:r w:rsidRPr="00D424DA">
              <w:t>Any-dose uptake</w:t>
            </w:r>
          </w:p>
        </w:tc>
        <w:tc>
          <w:tcPr>
            <w:tcW w:w="2592" w:type="dxa"/>
            <w:vAlign w:val="center"/>
          </w:tcPr>
          <w:p w14:paraId="13FE4B33" w14:textId="77777777" w:rsidR="00CF0836" w:rsidRPr="00D424DA" w:rsidRDefault="00000000" w:rsidP="00FA4D91">
            <w:pPr>
              <w:pStyle w:val="Tabletext"/>
              <w:jc w:val="both"/>
            </w:pPr>
            <w:r w:rsidRPr="00D424DA">
              <w:t>Eligible people reporting or documenting at least one dose by a stated date.</w:t>
            </w:r>
          </w:p>
        </w:tc>
        <w:tc>
          <w:tcPr>
            <w:tcW w:w="3096" w:type="dxa"/>
            <w:vAlign w:val="center"/>
          </w:tcPr>
          <w:p w14:paraId="1D9795CF" w14:textId="77777777" w:rsidR="00CF0836" w:rsidRPr="00D424DA" w:rsidRDefault="00000000" w:rsidP="00FA4D91">
            <w:pPr>
              <w:pStyle w:val="Tabletext"/>
              <w:jc w:val="both"/>
            </w:pPr>
            <w:r w:rsidRPr="00D424DA">
              <w:t>Measures initiation, not primary-series completion or current protection.</w:t>
            </w:r>
          </w:p>
        </w:tc>
        <w:tc>
          <w:tcPr>
            <w:tcW w:w="2088" w:type="dxa"/>
            <w:vAlign w:val="center"/>
          </w:tcPr>
          <w:p w14:paraId="5B5AD51A" w14:textId="77777777" w:rsidR="00CF0836" w:rsidRPr="007D29D1" w:rsidRDefault="00000000" w:rsidP="00FA4D91">
            <w:pPr>
              <w:pStyle w:val="Tabletext"/>
              <w:jc w:val="both"/>
              <w:rPr>
                <w:lang w:val="nl-BE"/>
              </w:rPr>
            </w:pPr>
            <w:r w:rsidRPr="007D29D1">
              <w:rPr>
                <w:lang w:val="nl-BE"/>
              </w:rPr>
              <w:t>(Bamgboye et al., 2024; Enyereibe et al., 2025)</w:t>
            </w:r>
          </w:p>
        </w:tc>
      </w:tr>
      <w:tr w:rsidR="00D424DA" w:rsidRPr="00D424DA" w14:paraId="077E10CC" w14:textId="77777777" w:rsidTr="00690906">
        <w:trPr>
          <w:cantSplit/>
          <w:jc w:val="center"/>
        </w:trPr>
        <w:tc>
          <w:tcPr>
            <w:tcW w:w="1584" w:type="dxa"/>
            <w:vAlign w:val="center"/>
          </w:tcPr>
          <w:p w14:paraId="2529F361" w14:textId="77777777" w:rsidR="00CF0836" w:rsidRPr="00D424DA" w:rsidRDefault="00000000" w:rsidP="00FA4D91">
            <w:pPr>
              <w:pStyle w:val="Tabletext"/>
              <w:jc w:val="both"/>
            </w:pPr>
            <w:r w:rsidRPr="00D424DA">
              <w:t>Primary-series completion</w:t>
            </w:r>
          </w:p>
        </w:tc>
        <w:tc>
          <w:tcPr>
            <w:tcW w:w="2592" w:type="dxa"/>
            <w:vAlign w:val="center"/>
          </w:tcPr>
          <w:p w14:paraId="556A879C" w14:textId="77777777" w:rsidR="00CF0836" w:rsidRPr="00D424DA" w:rsidRDefault="00000000" w:rsidP="00FA4D91">
            <w:pPr>
              <w:pStyle w:val="Tabletext"/>
              <w:jc w:val="both"/>
            </w:pPr>
            <w:r w:rsidRPr="00D424DA">
              <w:t>All eligible adults, or initiators who have had sufficient time to complete the product-specific schedule.</w:t>
            </w:r>
          </w:p>
        </w:tc>
        <w:tc>
          <w:tcPr>
            <w:tcW w:w="3096" w:type="dxa"/>
            <w:vAlign w:val="center"/>
          </w:tcPr>
          <w:p w14:paraId="72E14E6D" w14:textId="77777777" w:rsidR="00CF0836" w:rsidRPr="00D424DA" w:rsidRDefault="00000000" w:rsidP="00FA4D91">
            <w:pPr>
              <w:pStyle w:val="Tabletext"/>
              <w:jc w:val="both"/>
            </w:pPr>
            <w:r w:rsidRPr="00D424DA">
              <w:t>The denominator and product schedule must be explicit; these two completion measures differ.</w:t>
            </w:r>
          </w:p>
        </w:tc>
        <w:tc>
          <w:tcPr>
            <w:tcW w:w="2088" w:type="dxa"/>
            <w:vAlign w:val="center"/>
          </w:tcPr>
          <w:p w14:paraId="488A94DF" w14:textId="77777777" w:rsidR="00CF0836" w:rsidRPr="00D424DA" w:rsidRDefault="00000000" w:rsidP="00FA4D91">
            <w:pPr>
              <w:pStyle w:val="Tabletext"/>
              <w:jc w:val="both"/>
            </w:pPr>
            <w:r w:rsidRPr="00D424DA">
              <w:t>(Bamgboye et al., 2024; World Health Organization, 2023b)</w:t>
            </w:r>
          </w:p>
        </w:tc>
      </w:tr>
      <w:tr w:rsidR="00D424DA" w:rsidRPr="00D424DA" w14:paraId="340DF2E9" w14:textId="77777777" w:rsidTr="00690906">
        <w:trPr>
          <w:cantSplit/>
          <w:jc w:val="center"/>
        </w:trPr>
        <w:tc>
          <w:tcPr>
            <w:tcW w:w="1584" w:type="dxa"/>
            <w:vAlign w:val="center"/>
          </w:tcPr>
          <w:p w14:paraId="0A57172A" w14:textId="77777777" w:rsidR="00CF0836" w:rsidRPr="00D424DA" w:rsidRDefault="00000000" w:rsidP="00FA4D91">
            <w:pPr>
              <w:pStyle w:val="Tabletext"/>
              <w:jc w:val="both"/>
            </w:pPr>
            <w:r w:rsidRPr="00D424DA">
              <w:t>Subsequent recommended dose</w:t>
            </w:r>
          </w:p>
        </w:tc>
        <w:tc>
          <w:tcPr>
            <w:tcW w:w="2592" w:type="dxa"/>
            <w:vAlign w:val="center"/>
          </w:tcPr>
          <w:p w14:paraId="4A204A73" w14:textId="77777777" w:rsidR="00CF0836" w:rsidRPr="00D424DA" w:rsidRDefault="00000000" w:rsidP="00FA4D91">
            <w:pPr>
              <w:pStyle w:val="Tabletext"/>
              <w:jc w:val="both"/>
            </w:pPr>
            <w:r w:rsidRPr="00D424DA">
              <w:t>People eligible for another dose under the policy and interval applicable at observation.</w:t>
            </w:r>
          </w:p>
        </w:tc>
        <w:tc>
          <w:tcPr>
            <w:tcW w:w="3096" w:type="dxa"/>
            <w:vAlign w:val="center"/>
          </w:tcPr>
          <w:p w14:paraId="53D4ED5A" w14:textId="77777777" w:rsidR="00CF0836" w:rsidRPr="00D424DA" w:rsidRDefault="00000000" w:rsidP="00FA4D91">
            <w:pPr>
              <w:pStyle w:val="Tabletext"/>
              <w:jc w:val="both"/>
            </w:pPr>
            <w:r w:rsidRPr="00D424DA">
              <w:t>A proportion of all adults differs from a proportion of eligible primary-series recipients.</w:t>
            </w:r>
          </w:p>
        </w:tc>
        <w:tc>
          <w:tcPr>
            <w:tcW w:w="2088" w:type="dxa"/>
            <w:vAlign w:val="center"/>
          </w:tcPr>
          <w:p w14:paraId="2AA26BCA" w14:textId="77777777" w:rsidR="00CF0836" w:rsidRPr="00D424DA" w:rsidRDefault="00000000" w:rsidP="00FA4D91">
            <w:pPr>
              <w:pStyle w:val="Tabletext"/>
              <w:jc w:val="both"/>
            </w:pPr>
            <w:r w:rsidRPr="00D424DA">
              <w:t>(World Health Organization, 2023b)</w:t>
            </w:r>
          </w:p>
        </w:tc>
      </w:tr>
      <w:tr w:rsidR="00D424DA" w:rsidRPr="00D424DA" w14:paraId="646EB4E6" w14:textId="77777777" w:rsidTr="00690906">
        <w:trPr>
          <w:cantSplit/>
          <w:jc w:val="center"/>
        </w:trPr>
        <w:tc>
          <w:tcPr>
            <w:tcW w:w="1584" w:type="dxa"/>
            <w:vAlign w:val="center"/>
          </w:tcPr>
          <w:p w14:paraId="162C95E9" w14:textId="77777777" w:rsidR="00CF0836" w:rsidRPr="00D424DA" w:rsidRDefault="00000000" w:rsidP="00FA4D91">
            <w:pPr>
              <w:pStyle w:val="Tabletext"/>
              <w:keepNext/>
              <w:jc w:val="both"/>
            </w:pPr>
            <w:r w:rsidRPr="00D424DA">
              <w:t>Doses administered</w:t>
            </w:r>
          </w:p>
        </w:tc>
        <w:tc>
          <w:tcPr>
            <w:tcW w:w="2592" w:type="dxa"/>
            <w:vAlign w:val="center"/>
          </w:tcPr>
          <w:p w14:paraId="477FC723" w14:textId="77777777" w:rsidR="00CF0836" w:rsidRPr="00D424DA" w:rsidRDefault="00000000" w:rsidP="00FA4D91">
            <w:pPr>
              <w:pStyle w:val="Tabletext"/>
              <w:keepNext/>
              <w:jc w:val="both"/>
            </w:pPr>
            <w:r w:rsidRPr="00D424DA">
              <w:t>Vaccine administrations recorded by the programme.</w:t>
            </w:r>
          </w:p>
        </w:tc>
        <w:tc>
          <w:tcPr>
            <w:tcW w:w="3096" w:type="dxa"/>
            <w:vAlign w:val="center"/>
          </w:tcPr>
          <w:p w14:paraId="0C076C19" w14:textId="77777777" w:rsidR="00CF0836" w:rsidRPr="00D424DA" w:rsidRDefault="00000000" w:rsidP="00FA4D91">
            <w:pPr>
              <w:pStyle w:val="Tabletext"/>
              <w:keepNext/>
              <w:jc w:val="both"/>
            </w:pPr>
            <w:r w:rsidRPr="00D424DA">
              <w:t>Counts service activity; repeated doses to one person are not additional unique recipients.</w:t>
            </w:r>
          </w:p>
        </w:tc>
        <w:tc>
          <w:tcPr>
            <w:tcW w:w="2088" w:type="dxa"/>
            <w:vAlign w:val="center"/>
          </w:tcPr>
          <w:p w14:paraId="13CAC185" w14:textId="77777777" w:rsidR="00CF0836" w:rsidRPr="00D424DA" w:rsidRDefault="00000000" w:rsidP="00FA4D91">
            <w:pPr>
              <w:pStyle w:val="Tabletext"/>
              <w:keepNext/>
              <w:jc w:val="both"/>
            </w:pPr>
            <w:r w:rsidRPr="00D424DA">
              <w:t>(World Health Organization, 2023a)</w:t>
            </w:r>
          </w:p>
        </w:tc>
      </w:tr>
    </w:tbl>
    <w:p w14:paraId="061ED47E" w14:textId="77777777" w:rsidR="00CF0836" w:rsidRPr="00D424DA" w:rsidRDefault="00000000" w:rsidP="00FA4D91">
      <w:pPr>
        <w:pStyle w:val="Tablenote"/>
        <w:keepLines/>
        <w:jc w:val="both"/>
      </w:pPr>
      <w:r w:rsidRPr="00D424DA">
        <w:rPr>
          <w:i/>
        </w:rPr>
        <w:t xml:space="preserve">Note. </w:t>
      </w:r>
      <w:r w:rsidRPr="00D424DA">
        <w:t>The table presents analytical distinctions, not a new validated classification instrument. COVID‑19 = coronavirus disease 2019. Eligibility and observation dates should accompany every reported percentage.</w:t>
      </w:r>
    </w:p>
    <w:p w14:paraId="67CA9FB1" w14:textId="77777777" w:rsidR="00CF0836" w:rsidRPr="00D424DA" w:rsidRDefault="00000000" w:rsidP="00FA4D91">
      <w:pPr>
        <w:pStyle w:val="Heading1"/>
        <w:jc w:val="both"/>
        <w:rPr>
          <w:color w:val="auto"/>
        </w:rPr>
      </w:pPr>
      <w:r w:rsidRPr="00D424DA">
        <w:rPr>
          <w:color w:val="auto"/>
        </w:rPr>
        <w:t>4. Temporal and Geographical Patterns of Reported Uptake</w:t>
      </w:r>
    </w:p>
    <w:p w14:paraId="635D32CC" w14:textId="77777777" w:rsidR="00CF0836" w:rsidRPr="00D424DA" w:rsidRDefault="00000000" w:rsidP="00FA4D91">
      <w:pPr>
        <w:pStyle w:val="Heading2"/>
        <w:jc w:val="both"/>
        <w:rPr>
          <w:color w:val="auto"/>
        </w:rPr>
      </w:pPr>
      <w:r w:rsidRPr="00D424DA">
        <w:rPr>
          <w:color w:val="auto"/>
        </w:rPr>
        <w:t>4.1 Early Rollout and the Limits of Retrospective Comparisons</w:t>
      </w:r>
    </w:p>
    <w:p w14:paraId="0972B2B9" w14:textId="77777777" w:rsidR="00CF0836" w:rsidRPr="00D424DA" w:rsidRDefault="00000000" w:rsidP="00FA4D91">
      <w:pPr>
        <w:jc w:val="both"/>
      </w:pPr>
      <w:r w:rsidRPr="00D424DA">
        <w:t>Early evidence must be read against the opportunity to obtain vaccination. The population-based survey reported by Enyereibe and colleagues was conducted in June 2021, although published in 2025. Among vaccine-eligible participants, reported receipt was 3.4% in the Federal Capital Territory and 1.6% in Kano. These are observations from approximately three months after national introduction, not evidence of coverage in 2025. Their household sampling offers a stronger descriptive basis than convenience recruitment, but their geographical scope remains restricted to the surveyed locations (Enyereibe et al., 2025).</w:t>
      </w:r>
    </w:p>
    <w:p w14:paraId="103F2B4B" w14:textId="77777777" w:rsidR="00CF0836" w:rsidRPr="00D424DA" w:rsidRDefault="00000000" w:rsidP="00FA4D91">
      <w:pPr>
        <w:jc w:val="both"/>
      </w:pPr>
      <w:r w:rsidRPr="00D424DA">
        <w:t>The same investigation documented substantial prior infection through serological evidence. This helps explain why notified cases alone could provide an incomplete picture of local exposure, but it does not prove that participants accurately understood their infection history or that prior infection caused vaccination decisions. Serological exposure, perceived susceptibility and vaccine receipt are distinct variables. Without individual temporal data, the study cannot determine whether low receipt reflected limited initial access, safety concerns, low perceived need or their interaction. It supports the need for contextual interpretation rather than a single explanation (Enyereibe et al., 2025).</w:t>
      </w:r>
    </w:p>
    <w:p w14:paraId="626C85AE" w14:textId="77777777" w:rsidR="00CF0836" w:rsidRPr="00D424DA" w:rsidRDefault="00000000" w:rsidP="00FA4D91">
      <w:pPr>
        <w:jc w:val="both"/>
      </w:pPr>
      <w:r w:rsidRPr="00D424DA">
        <w:lastRenderedPageBreak/>
        <w:t>In Zamfara, a community survey of 910 household heads conducted from October to December 2021 found that 8.9% had received vaccination. Among those not vaccinated, only 10.1% expressed willingness to be vaccinated within the following week. That short time horizon differs from a question about eventual willingness and should not be compared directly with general acceptance estimates. Associations presented as predictors of acceptability in the paper should also not be relabelled as determinants of actual receipt. The household-head design does not describe all adult members equally (Ahmad et al., 2025).</w:t>
      </w:r>
    </w:p>
    <w:p w14:paraId="78514F35" w14:textId="77777777" w:rsidR="00CF0836" w:rsidRPr="00D424DA" w:rsidRDefault="00000000" w:rsidP="00FA4D91">
      <w:pPr>
        <w:jc w:val="both"/>
      </w:pPr>
      <w:r w:rsidRPr="00D424DA">
        <w:t>Early national telephone work provides a contrasting perspective. Kanyanda and colleagues found generally substantial willingness across six sub-Saharan African countries, including Nigeria, while Oyekale's analysis of a Nigerian survey round reported high stated willingness. Such findings challenge the assumption that insufficient demand was necessarily the sole initial obstacle. They do not demonstrate that vaccine supply was the only obstacle either: hypothetical willingness may weaken when a decision becomes immediate, and the availability assumed by the question may differ from local reality. Their greatest contribution is to keep both motivation and opportunity in view (Kanyanda et al., 2021; Oyekale, 2022).</w:t>
      </w:r>
    </w:p>
    <w:p w14:paraId="62588CC7" w14:textId="77777777" w:rsidR="00CF0836" w:rsidRPr="00D424DA" w:rsidRDefault="00000000" w:rsidP="00FA4D91">
      <w:pPr>
        <w:pStyle w:val="Heading2"/>
        <w:jc w:val="both"/>
        <w:rPr>
          <w:color w:val="auto"/>
        </w:rPr>
      </w:pPr>
      <w:r w:rsidRPr="00D424DA">
        <w:rPr>
          <w:color w:val="auto"/>
        </w:rPr>
        <w:t>4.2 Telephone, Digital and Household Estimates During Expansion</w:t>
      </w:r>
    </w:p>
    <w:p w14:paraId="7A1D971D" w14:textId="77777777" w:rsidR="00CF0836" w:rsidRPr="00D424DA" w:rsidRDefault="00000000" w:rsidP="00FA4D91">
      <w:pPr>
        <w:jc w:val="both"/>
      </w:pPr>
      <w:r w:rsidRPr="00D424DA">
        <w:t>Ojo and colleagues analysed national telephone-survey data collected from November 2021 to January 2022 and reported 32.8% uptake. Interpretation requires a reporting caveat: the abstract describes 2,370 participants, whereas the methods and results describe an analytic sample of 2,122. The discrepancy is not resolved by choosing one number without explanation. The estimate is informative about the weighted survey analysis, but the exact sample denominator needs clarification before using it in a quantitative synthesis. Telephone coverage and selection of household heads also remain relevant to its target population (Ojo et al., 2023).</w:t>
      </w:r>
    </w:p>
    <w:p w14:paraId="5C3B3828" w14:textId="77777777" w:rsidR="00CF0836" w:rsidRPr="00D424DA" w:rsidRDefault="00000000" w:rsidP="00FA4D91">
      <w:pPr>
        <w:jc w:val="both"/>
      </w:pPr>
      <w:r w:rsidRPr="00D424DA">
        <w:t>A six-location telephone survey conducted in May and June 2022 reported 29.7% complete vaccination, 19.3% incomplete vaccination and 50.9% no vaccination. Its locations were chosen to represent different zones and substantial reported case burdens, but sample allocation was related to cases rather than the distribution of all Nigerian adults. Lagos contributed a particularly large share. These design features make the study valuable for comparisons within the surveyed setting, while limiting any claim that its pooled percentage estimates national adult coverage. Its separate reporting of intention among unvaccinated participants is a methodological strength (Bamgboye et al., 2024).</w:t>
      </w:r>
    </w:p>
    <w:p w14:paraId="66E643D9" w14:textId="77777777" w:rsidR="00CF0836" w:rsidRPr="00D424DA" w:rsidRDefault="00000000" w:rsidP="00FA4D91">
      <w:pPr>
        <w:jc w:val="both"/>
      </w:pPr>
      <w:r w:rsidRPr="00D424DA">
        <w:t>The October 2022 digital survey by Agha and colleagues reported any-dose receipt in 56.4% of 957 respondents across six selected states. The sample was recruited through Facebook and Instagram and structured across demographic cells. This approach improved diversity within the recruited sample but did not establish that people without internet access, social-media accounts or willingness to engage with a chatbot had equivalent inclusion probabilities. The percentage therefore should not be treated as evidence that national uptake had risen to that level. It is more securely interpreted as a platform-recruited behavioural study (Agha et al., 2024).</w:t>
      </w:r>
    </w:p>
    <w:p w14:paraId="2AC5DC8F" w14:textId="77777777" w:rsidR="00CF0836" w:rsidRPr="00D424DA" w:rsidRDefault="00000000" w:rsidP="00FA4D91">
      <w:pPr>
        <w:jc w:val="both"/>
      </w:pPr>
      <w:r w:rsidRPr="00D424DA">
        <w:lastRenderedPageBreak/>
        <w:t>A household survey in Gwagwalada, Abuja, conducted in November 2022 reported 46% uptake among 1,512 eligible adults and paired the survey with qualitative enquiry. Its community-based design and explicit behavioural framework provide useful evidence independent of purely online recruitment. Nonetheless, one area council cannot represent the entire Federal Capital Territory, much less Nigeria. The contrast between this finding and digital or telephone estimates is not itself evidence of disagreement: different populations can have different uptake at similar times without any study being intrinsically contradictory (Wonodi et al., 2024).</w:t>
      </w:r>
    </w:p>
    <w:p w14:paraId="03AB360A" w14:textId="77777777" w:rsidR="00CF0836" w:rsidRPr="00D424DA" w:rsidRDefault="00000000" w:rsidP="00FA4D91">
      <w:pPr>
        <w:pStyle w:val="Heading2"/>
        <w:jc w:val="both"/>
        <w:rPr>
          <w:color w:val="auto"/>
        </w:rPr>
      </w:pPr>
      <w:r w:rsidRPr="00D424DA">
        <w:rPr>
          <w:color w:val="auto"/>
        </w:rPr>
        <w:t>4.3 Administrative Expansion and Persistent Local Blind Spots</w:t>
      </w:r>
    </w:p>
    <w:p w14:paraId="5A44DA2C" w14:textId="77777777" w:rsidR="00CF0836" w:rsidRPr="00D424DA" w:rsidRDefault="00000000" w:rsidP="00FA4D91">
      <w:pPr>
        <w:jc w:val="both"/>
      </w:pPr>
      <w:r w:rsidRPr="00D424DA">
        <w:t>Official reporting offers an essential but different scale of observation. As of 17 July 2023, the World Health Organization's Nigerian programme account reported 87,838,137 people with at least one dose, 77,285,627 with a completed primary series and 16,011,524 booster recipients. The statement that more than three-quarters had received a dose referred to the targeted adult population. These figures document major cumulative programme expansion, but they are not interchangeable with all-age population coverage or contemporaneous survey estimates from selected communities (World Health Organization, 2023a).</w:t>
      </w:r>
    </w:p>
    <w:p w14:paraId="1E72C133" w14:textId="77777777" w:rsidR="00CF0836" w:rsidRPr="00D424DA" w:rsidRDefault="00000000" w:rsidP="00FA4D91">
      <w:pPr>
        <w:jc w:val="both"/>
      </w:pPr>
      <w:r w:rsidRPr="00D424DA">
        <w:t>Later publications do not necessarily update that administrative picture. The 2026 Lagos article by Ibenye-Ugbala and colleagues describes a project ending in June 2022, with data collection, analysis and writing occupying its final four months. Its findings therefore belong to an earlier implementation period. Sogbesan and colleagues' 2026 mixed-methods article also requires interpretation through its recruitment setting rather than its publication date: community participants were recruited through selected primary-care facilities, including mothers attending routine immunisation services. Neither publication provides a nationally representative estimate for 2026 (Ibenye-Ugbala et al., 2026; Sogbesan et al., 2026).</w:t>
      </w:r>
    </w:p>
    <w:p w14:paraId="336A74A1" w14:textId="77777777" w:rsidR="00CF0836" w:rsidRPr="00D424DA" w:rsidRDefault="00000000" w:rsidP="00FA4D91">
      <w:pPr>
        <w:jc w:val="both"/>
      </w:pPr>
      <w:r w:rsidRPr="00D424DA">
        <w:t>The strongest conclusion about temporal change is consequently narrower than a smooth national uptake curve. Initial receipt was low in several documented settings, programme totals later expanded substantially, and local studies continued to identify uneven reach. The relative contributions of expanded supply, convenient delivery, changing perceptions, occupational requirements and repeated opportunities cannot be separated by juxtaposing unrelated cross-sectional percentages. A defensible trend analysis would follow comparable populations with stable outcome definitions or link consistent administrative series to independent validation. Table 2 presents selected estimates with their observation periods and design qualifications (Bamgboye et al., 2024; Enyereibe et al., 2025; World Health Organization, 2023a).</w:t>
      </w:r>
    </w:p>
    <w:p w14:paraId="160919AF" w14:textId="77777777" w:rsidR="00CF0836" w:rsidRPr="00D424DA" w:rsidRDefault="00000000" w:rsidP="00FA4D91">
      <w:pPr>
        <w:pStyle w:val="Caption"/>
        <w:jc w:val="both"/>
        <w:rPr>
          <w:color w:val="auto"/>
        </w:rPr>
      </w:pPr>
      <w:r w:rsidRPr="00D424DA">
        <w:rPr>
          <w:b/>
          <w:color w:val="auto"/>
        </w:rPr>
        <w:t>Table 2</w:t>
      </w:r>
    </w:p>
    <w:p w14:paraId="762B1634" w14:textId="77777777" w:rsidR="00CF0836" w:rsidRPr="00D424DA" w:rsidRDefault="00000000" w:rsidP="00FA4D91">
      <w:pPr>
        <w:pStyle w:val="Caption"/>
        <w:jc w:val="both"/>
        <w:rPr>
          <w:color w:val="auto"/>
        </w:rPr>
      </w:pPr>
      <w:r w:rsidRPr="00D424DA">
        <w:rPr>
          <w:i/>
          <w:color w:val="auto"/>
        </w:rPr>
        <w:t>Selected Nigerian uptake estimates interpreted by fieldwork, population and design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4A0" w:firstRow="1" w:lastRow="0" w:firstColumn="1" w:lastColumn="0" w:noHBand="0" w:noVBand="1"/>
      </w:tblPr>
      <w:tblGrid>
        <w:gridCol w:w="1800"/>
        <w:gridCol w:w="1584"/>
        <w:gridCol w:w="1728"/>
        <w:gridCol w:w="2376"/>
        <w:gridCol w:w="1872"/>
      </w:tblGrid>
      <w:tr w:rsidR="00D424DA" w:rsidRPr="00D424DA" w14:paraId="732CF3A3" w14:textId="77777777" w:rsidTr="00690906">
        <w:trPr>
          <w:tblHeader/>
          <w:jc w:val="center"/>
        </w:trPr>
        <w:tc>
          <w:tcPr>
            <w:tcW w:w="1800" w:type="dxa"/>
            <w:vAlign w:val="center"/>
          </w:tcPr>
          <w:p w14:paraId="6DFFBB9A" w14:textId="77777777" w:rsidR="00CF0836" w:rsidRPr="00D424DA" w:rsidRDefault="00000000" w:rsidP="00FA4D91">
            <w:pPr>
              <w:pStyle w:val="Tabletext"/>
              <w:jc w:val="both"/>
            </w:pPr>
            <w:r w:rsidRPr="00D424DA">
              <w:rPr>
                <w:b/>
              </w:rPr>
              <w:t>Setting and observation period</w:t>
            </w:r>
          </w:p>
        </w:tc>
        <w:tc>
          <w:tcPr>
            <w:tcW w:w="1584" w:type="dxa"/>
            <w:vAlign w:val="center"/>
          </w:tcPr>
          <w:p w14:paraId="06CD06BF" w14:textId="77777777" w:rsidR="00CF0836" w:rsidRPr="00D424DA" w:rsidRDefault="00000000" w:rsidP="00FA4D91">
            <w:pPr>
              <w:pStyle w:val="Tabletext"/>
              <w:jc w:val="both"/>
            </w:pPr>
            <w:r w:rsidRPr="00D424DA">
              <w:rPr>
                <w:b/>
              </w:rPr>
              <w:t>Sample or frame</w:t>
            </w:r>
          </w:p>
        </w:tc>
        <w:tc>
          <w:tcPr>
            <w:tcW w:w="1728" w:type="dxa"/>
            <w:vAlign w:val="center"/>
          </w:tcPr>
          <w:p w14:paraId="02889459" w14:textId="77777777" w:rsidR="00CF0836" w:rsidRPr="00D424DA" w:rsidRDefault="00000000" w:rsidP="00FA4D91">
            <w:pPr>
              <w:pStyle w:val="Tabletext"/>
              <w:jc w:val="both"/>
            </w:pPr>
            <w:r w:rsidRPr="00D424DA">
              <w:rPr>
                <w:b/>
              </w:rPr>
              <w:t>Reported endpoint</w:t>
            </w:r>
          </w:p>
        </w:tc>
        <w:tc>
          <w:tcPr>
            <w:tcW w:w="2376" w:type="dxa"/>
            <w:vAlign w:val="center"/>
          </w:tcPr>
          <w:p w14:paraId="4CAFCE55" w14:textId="77777777" w:rsidR="00CF0836" w:rsidRPr="00D424DA" w:rsidRDefault="00000000" w:rsidP="00FA4D91">
            <w:pPr>
              <w:pStyle w:val="Tabletext"/>
              <w:jc w:val="both"/>
            </w:pPr>
            <w:r w:rsidRPr="00D424DA">
              <w:rPr>
                <w:b/>
              </w:rPr>
              <w:t>Main qualification</w:t>
            </w:r>
          </w:p>
        </w:tc>
        <w:tc>
          <w:tcPr>
            <w:tcW w:w="1872" w:type="dxa"/>
            <w:vAlign w:val="center"/>
          </w:tcPr>
          <w:p w14:paraId="0F8B6EF9" w14:textId="77777777" w:rsidR="00CF0836" w:rsidRPr="00D424DA" w:rsidRDefault="00000000" w:rsidP="00FA4D91">
            <w:pPr>
              <w:pStyle w:val="Tabletext"/>
              <w:jc w:val="both"/>
            </w:pPr>
            <w:r w:rsidRPr="00D424DA">
              <w:rPr>
                <w:b/>
              </w:rPr>
              <w:t>Supporting references</w:t>
            </w:r>
          </w:p>
        </w:tc>
      </w:tr>
      <w:tr w:rsidR="00D424DA" w:rsidRPr="00D424DA" w14:paraId="4A741621" w14:textId="77777777" w:rsidTr="00690906">
        <w:trPr>
          <w:cantSplit/>
          <w:jc w:val="center"/>
        </w:trPr>
        <w:tc>
          <w:tcPr>
            <w:tcW w:w="1800" w:type="dxa"/>
            <w:vAlign w:val="center"/>
          </w:tcPr>
          <w:p w14:paraId="1E8BA25D" w14:textId="77777777" w:rsidR="00CF0836" w:rsidRPr="00D424DA" w:rsidRDefault="00000000" w:rsidP="00FA4D91">
            <w:pPr>
              <w:pStyle w:val="Tabletext"/>
              <w:jc w:val="both"/>
            </w:pPr>
            <w:r w:rsidRPr="00D424DA">
              <w:lastRenderedPageBreak/>
              <w:t>FCT and Kano; June 2021</w:t>
            </w:r>
          </w:p>
        </w:tc>
        <w:tc>
          <w:tcPr>
            <w:tcW w:w="1584" w:type="dxa"/>
            <w:vAlign w:val="center"/>
          </w:tcPr>
          <w:p w14:paraId="6DE07DDC" w14:textId="77777777" w:rsidR="00CF0836" w:rsidRPr="00D424DA" w:rsidRDefault="00000000" w:rsidP="00FA4D91">
            <w:pPr>
              <w:pStyle w:val="Tabletext"/>
              <w:jc w:val="both"/>
            </w:pPr>
            <w:r w:rsidRPr="00D424DA">
              <w:t>Population-based household survey.</w:t>
            </w:r>
          </w:p>
        </w:tc>
        <w:tc>
          <w:tcPr>
            <w:tcW w:w="1728" w:type="dxa"/>
            <w:vAlign w:val="center"/>
          </w:tcPr>
          <w:p w14:paraId="584943FA" w14:textId="77777777" w:rsidR="00CF0836" w:rsidRPr="00D424DA" w:rsidRDefault="00000000" w:rsidP="00FA4D91">
            <w:pPr>
              <w:pStyle w:val="Tabletext"/>
              <w:jc w:val="both"/>
            </w:pPr>
            <w:r w:rsidRPr="00D424DA">
              <w:t>Any dose: 3.4% in FCT; 1.6% in Kano among vaccine-eligible participants.</w:t>
            </w:r>
          </w:p>
        </w:tc>
        <w:tc>
          <w:tcPr>
            <w:tcW w:w="2376" w:type="dxa"/>
            <w:vAlign w:val="center"/>
          </w:tcPr>
          <w:p w14:paraId="0DC1ACC2" w14:textId="77777777" w:rsidR="00CF0836" w:rsidRPr="00D424DA" w:rsidRDefault="00000000" w:rsidP="00FA4D91">
            <w:pPr>
              <w:pStyle w:val="Tabletext"/>
              <w:jc w:val="both"/>
            </w:pPr>
            <w:r w:rsidRPr="00D424DA">
              <w:t>Early rollout; published in 2025. Not a national estimate or a measure of 2025 coverage.</w:t>
            </w:r>
          </w:p>
        </w:tc>
        <w:tc>
          <w:tcPr>
            <w:tcW w:w="1872" w:type="dxa"/>
            <w:vAlign w:val="center"/>
          </w:tcPr>
          <w:p w14:paraId="5A0D4745" w14:textId="77777777" w:rsidR="00CF0836" w:rsidRPr="00D424DA" w:rsidRDefault="00000000" w:rsidP="00FA4D91">
            <w:pPr>
              <w:pStyle w:val="Tabletext"/>
              <w:jc w:val="both"/>
            </w:pPr>
            <w:r w:rsidRPr="00D424DA">
              <w:t>(Enyereibe et al., 2025)</w:t>
            </w:r>
          </w:p>
        </w:tc>
      </w:tr>
      <w:tr w:rsidR="00D424DA" w:rsidRPr="00D424DA" w14:paraId="33B9D7F6" w14:textId="77777777" w:rsidTr="00690906">
        <w:trPr>
          <w:cantSplit/>
          <w:jc w:val="center"/>
        </w:trPr>
        <w:tc>
          <w:tcPr>
            <w:tcW w:w="1800" w:type="dxa"/>
            <w:vAlign w:val="center"/>
          </w:tcPr>
          <w:p w14:paraId="6281D7B0" w14:textId="77777777" w:rsidR="00CF0836" w:rsidRPr="00D424DA" w:rsidRDefault="00000000" w:rsidP="00FA4D91">
            <w:pPr>
              <w:pStyle w:val="Tabletext"/>
              <w:jc w:val="both"/>
            </w:pPr>
            <w:r w:rsidRPr="00D424DA">
              <w:t>Zamfara; October–December 2021</w:t>
            </w:r>
          </w:p>
        </w:tc>
        <w:tc>
          <w:tcPr>
            <w:tcW w:w="1584" w:type="dxa"/>
            <w:vAlign w:val="center"/>
          </w:tcPr>
          <w:p w14:paraId="2A3C63C4" w14:textId="77777777" w:rsidR="00CF0836" w:rsidRPr="00D424DA" w:rsidRDefault="00000000" w:rsidP="00FA4D91">
            <w:pPr>
              <w:pStyle w:val="Tabletext"/>
              <w:jc w:val="both"/>
            </w:pPr>
            <w:r w:rsidRPr="00D424DA">
              <w:t>910 household heads.</w:t>
            </w:r>
          </w:p>
        </w:tc>
        <w:tc>
          <w:tcPr>
            <w:tcW w:w="1728" w:type="dxa"/>
            <w:vAlign w:val="center"/>
          </w:tcPr>
          <w:p w14:paraId="69CC0E19" w14:textId="77777777" w:rsidR="00CF0836" w:rsidRPr="00D424DA" w:rsidRDefault="00000000" w:rsidP="00FA4D91">
            <w:pPr>
              <w:pStyle w:val="Tabletext"/>
              <w:jc w:val="both"/>
            </w:pPr>
            <w:r w:rsidRPr="00D424DA">
              <w:t>Any dose: 8.9%.</w:t>
            </w:r>
          </w:p>
        </w:tc>
        <w:tc>
          <w:tcPr>
            <w:tcW w:w="2376" w:type="dxa"/>
            <w:vAlign w:val="center"/>
          </w:tcPr>
          <w:p w14:paraId="5445C240" w14:textId="77777777" w:rsidR="00CF0836" w:rsidRPr="00D424DA" w:rsidRDefault="00000000" w:rsidP="00FA4D91">
            <w:pPr>
              <w:pStyle w:val="Tabletext"/>
              <w:jc w:val="both"/>
            </w:pPr>
            <w:r w:rsidRPr="00D424DA">
              <w:t>Household heads do not represent every adult equally. Acceptance models concern a separate endpoint.</w:t>
            </w:r>
          </w:p>
        </w:tc>
        <w:tc>
          <w:tcPr>
            <w:tcW w:w="1872" w:type="dxa"/>
            <w:vAlign w:val="center"/>
          </w:tcPr>
          <w:p w14:paraId="133A040B" w14:textId="77777777" w:rsidR="00CF0836" w:rsidRPr="00D424DA" w:rsidRDefault="00000000" w:rsidP="00FA4D91">
            <w:pPr>
              <w:pStyle w:val="Tabletext"/>
              <w:jc w:val="both"/>
            </w:pPr>
            <w:r w:rsidRPr="00D424DA">
              <w:t>(Ahmad et al., 2025)</w:t>
            </w:r>
          </w:p>
        </w:tc>
      </w:tr>
      <w:tr w:rsidR="00D424DA" w:rsidRPr="00D424DA" w14:paraId="2E6CCEE4" w14:textId="77777777" w:rsidTr="00690906">
        <w:trPr>
          <w:cantSplit/>
          <w:jc w:val="center"/>
        </w:trPr>
        <w:tc>
          <w:tcPr>
            <w:tcW w:w="1800" w:type="dxa"/>
            <w:vAlign w:val="center"/>
          </w:tcPr>
          <w:p w14:paraId="7B9EDA85" w14:textId="77777777" w:rsidR="00CF0836" w:rsidRPr="00D424DA" w:rsidRDefault="00000000" w:rsidP="00FA4D91">
            <w:pPr>
              <w:pStyle w:val="Tabletext"/>
              <w:jc w:val="both"/>
            </w:pPr>
            <w:r w:rsidRPr="00D424DA">
              <w:t>National phone survey; November 2021–January 2022</w:t>
            </w:r>
          </w:p>
        </w:tc>
        <w:tc>
          <w:tcPr>
            <w:tcW w:w="1584" w:type="dxa"/>
            <w:vAlign w:val="center"/>
          </w:tcPr>
          <w:p w14:paraId="18321E93" w14:textId="77777777" w:rsidR="00CF0836" w:rsidRPr="00D424DA" w:rsidRDefault="00000000" w:rsidP="00FA4D91">
            <w:pPr>
              <w:pStyle w:val="Tabletext"/>
              <w:jc w:val="both"/>
            </w:pPr>
            <w:r w:rsidRPr="00D424DA">
              <w:t>Weighted household-head analysis.</w:t>
            </w:r>
          </w:p>
        </w:tc>
        <w:tc>
          <w:tcPr>
            <w:tcW w:w="1728" w:type="dxa"/>
            <w:vAlign w:val="center"/>
          </w:tcPr>
          <w:p w14:paraId="55CBA36D" w14:textId="77777777" w:rsidR="00CF0836" w:rsidRPr="00D424DA" w:rsidRDefault="00000000" w:rsidP="00FA4D91">
            <w:pPr>
              <w:pStyle w:val="Tabletext"/>
              <w:jc w:val="both"/>
            </w:pPr>
            <w:r w:rsidRPr="00D424DA">
              <w:t>Reported uptake: 32.8%.</w:t>
            </w:r>
          </w:p>
        </w:tc>
        <w:tc>
          <w:tcPr>
            <w:tcW w:w="2376" w:type="dxa"/>
            <w:vAlign w:val="center"/>
          </w:tcPr>
          <w:p w14:paraId="00496504" w14:textId="77777777" w:rsidR="00CF0836" w:rsidRPr="00D424DA" w:rsidRDefault="00000000" w:rsidP="00FA4D91">
            <w:pPr>
              <w:pStyle w:val="Tabletext"/>
              <w:jc w:val="both"/>
            </w:pPr>
            <w:r w:rsidRPr="00D424DA">
              <w:t xml:space="preserve">Abstract </w:t>
            </w:r>
            <w:r w:rsidRPr="00D424DA">
              <w:rPr>
                <w:i/>
              </w:rPr>
              <w:t>n</w:t>
            </w:r>
            <w:r w:rsidRPr="00D424DA">
              <w:t xml:space="preserve"> = 2,370; methods/results </w:t>
            </w:r>
            <w:r w:rsidRPr="00D424DA">
              <w:rPr>
                <w:i/>
              </w:rPr>
              <w:t>n</w:t>
            </w:r>
            <w:r w:rsidRPr="00D424DA">
              <w:t xml:space="preserve"> = 2,122. Denominator discrepancy requires clarification.</w:t>
            </w:r>
          </w:p>
        </w:tc>
        <w:tc>
          <w:tcPr>
            <w:tcW w:w="1872" w:type="dxa"/>
            <w:vAlign w:val="center"/>
          </w:tcPr>
          <w:p w14:paraId="1AB50AD2" w14:textId="77777777" w:rsidR="00CF0836" w:rsidRPr="00D424DA" w:rsidRDefault="00000000" w:rsidP="00FA4D91">
            <w:pPr>
              <w:pStyle w:val="Tabletext"/>
              <w:jc w:val="both"/>
            </w:pPr>
            <w:r w:rsidRPr="00D424DA">
              <w:t>(Ojo et al., 2023)</w:t>
            </w:r>
          </w:p>
        </w:tc>
      </w:tr>
      <w:tr w:rsidR="00D424DA" w:rsidRPr="00D424DA" w14:paraId="23A91A81" w14:textId="77777777" w:rsidTr="00690906">
        <w:trPr>
          <w:cantSplit/>
          <w:jc w:val="center"/>
        </w:trPr>
        <w:tc>
          <w:tcPr>
            <w:tcW w:w="1800" w:type="dxa"/>
            <w:vAlign w:val="center"/>
          </w:tcPr>
          <w:p w14:paraId="1F49D653" w14:textId="77777777" w:rsidR="00CF0836" w:rsidRPr="00D424DA" w:rsidRDefault="00000000" w:rsidP="00FA4D91">
            <w:pPr>
              <w:pStyle w:val="Tabletext"/>
              <w:jc w:val="both"/>
            </w:pPr>
            <w:r w:rsidRPr="00D424DA">
              <w:t>Six selected locations; May–June 2022</w:t>
            </w:r>
          </w:p>
        </w:tc>
        <w:tc>
          <w:tcPr>
            <w:tcW w:w="1584" w:type="dxa"/>
            <w:vAlign w:val="center"/>
          </w:tcPr>
          <w:p w14:paraId="6EAFEB4B" w14:textId="77777777" w:rsidR="00CF0836" w:rsidRPr="00D424DA" w:rsidRDefault="00000000" w:rsidP="00FA4D91">
            <w:pPr>
              <w:pStyle w:val="Tabletext"/>
              <w:jc w:val="both"/>
            </w:pPr>
            <w:r w:rsidRPr="00D424DA">
              <w:t>1,148 telephone respondents.</w:t>
            </w:r>
          </w:p>
        </w:tc>
        <w:tc>
          <w:tcPr>
            <w:tcW w:w="1728" w:type="dxa"/>
            <w:vAlign w:val="center"/>
          </w:tcPr>
          <w:p w14:paraId="6DE27E7A" w14:textId="77777777" w:rsidR="00CF0836" w:rsidRPr="00D424DA" w:rsidRDefault="00000000" w:rsidP="00FA4D91">
            <w:pPr>
              <w:pStyle w:val="Tabletext"/>
              <w:jc w:val="both"/>
            </w:pPr>
            <w:r w:rsidRPr="00D424DA">
              <w:t>Complete: 29.7%; incomplete: 19.3%; none: 50.9%.</w:t>
            </w:r>
          </w:p>
        </w:tc>
        <w:tc>
          <w:tcPr>
            <w:tcW w:w="2376" w:type="dxa"/>
            <w:vAlign w:val="center"/>
          </w:tcPr>
          <w:p w14:paraId="251AED42" w14:textId="77777777" w:rsidR="00CF0836" w:rsidRPr="00D424DA" w:rsidRDefault="00000000" w:rsidP="00FA4D91">
            <w:pPr>
              <w:pStyle w:val="Tabletext"/>
              <w:jc w:val="both"/>
            </w:pPr>
            <w:r w:rsidRPr="00D424DA">
              <w:t>Case-related allocation and selected locations limit national interpretation. Product definitions require care.</w:t>
            </w:r>
          </w:p>
        </w:tc>
        <w:tc>
          <w:tcPr>
            <w:tcW w:w="1872" w:type="dxa"/>
            <w:vAlign w:val="center"/>
          </w:tcPr>
          <w:p w14:paraId="150CB5DA" w14:textId="77777777" w:rsidR="00CF0836" w:rsidRPr="00D424DA" w:rsidRDefault="00000000" w:rsidP="00FA4D91">
            <w:pPr>
              <w:pStyle w:val="Tabletext"/>
              <w:jc w:val="both"/>
            </w:pPr>
            <w:r w:rsidRPr="00D424DA">
              <w:t>(Bamgboye et al., 2024)</w:t>
            </w:r>
          </w:p>
        </w:tc>
      </w:tr>
      <w:tr w:rsidR="00D424DA" w:rsidRPr="00D424DA" w14:paraId="57205F38" w14:textId="77777777" w:rsidTr="00690906">
        <w:trPr>
          <w:cantSplit/>
          <w:jc w:val="center"/>
        </w:trPr>
        <w:tc>
          <w:tcPr>
            <w:tcW w:w="1800" w:type="dxa"/>
            <w:vAlign w:val="center"/>
          </w:tcPr>
          <w:p w14:paraId="296A8415" w14:textId="77777777" w:rsidR="00CF0836" w:rsidRPr="00D424DA" w:rsidRDefault="00000000" w:rsidP="00FA4D91">
            <w:pPr>
              <w:pStyle w:val="Tabletext"/>
              <w:jc w:val="both"/>
            </w:pPr>
            <w:r w:rsidRPr="00D424DA">
              <w:t>Six selected states; October 2022</w:t>
            </w:r>
          </w:p>
        </w:tc>
        <w:tc>
          <w:tcPr>
            <w:tcW w:w="1584" w:type="dxa"/>
            <w:vAlign w:val="center"/>
          </w:tcPr>
          <w:p w14:paraId="7659DC76" w14:textId="77777777" w:rsidR="00CF0836" w:rsidRPr="00D424DA" w:rsidRDefault="00000000" w:rsidP="00FA4D91">
            <w:pPr>
              <w:pStyle w:val="Tabletext"/>
              <w:jc w:val="both"/>
            </w:pPr>
            <w:r w:rsidRPr="00D424DA">
              <w:t>957 social-media/chatbot respondents.</w:t>
            </w:r>
          </w:p>
        </w:tc>
        <w:tc>
          <w:tcPr>
            <w:tcW w:w="1728" w:type="dxa"/>
            <w:vAlign w:val="center"/>
          </w:tcPr>
          <w:p w14:paraId="706B9BF7" w14:textId="77777777" w:rsidR="00CF0836" w:rsidRPr="00D424DA" w:rsidRDefault="00000000" w:rsidP="00FA4D91">
            <w:pPr>
              <w:pStyle w:val="Tabletext"/>
              <w:jc w:val="both"/>
            </w:pPr>
            <w:r w:rsidRPr="00D424DA">
              <w:t>Any dose: 56.4%.</w:t>
            </w:r>
          </w:p>
        </w:tc>
        <w:tc>
          <w:tcPr>
            <w:tcW w:w="2376" w:type="dxa"/>
            <w:vAlign w:val="center"/>
          </w:tcPr>
          <w:p w14:paraId="6B4B51BB" w14:textId="77777777" w:rsidR="00CF0836" w:rsidRPr="00D424DA" w:rsidRDefault="00000000" w:rsidP="00FA4D91">
            <w:pPr>
              <w:pStyle w:val="Tabletext"/>
              <w:jc w:val="both"/>
            </w:pPr>
            <w:r w:rsidRPr="00D424DA">
              <w:t>Demographic stratification does not remove digital recruitment bias.</w:t>
            </w:r>
          </w:p>
        </w:tc>
        <w:tc>
          <w:tcPr>
            <w:tcW w:w="1872" w:type="dxa"/>
            <w:vAlign w:val="center"/>
          </w:tcPr>
          <w:p w14:paraId="438B6EA4" w14:textId="77777777" w:rsidR="00CF0836" w:rsidRPr="00D424DA" w:rsidRDefault="00000000" w:rsidP="00FA4D91">
            <w:pPr>
              <w:pStyle w:val="Tabletext"/>
              <w:jc w:val="both"/>
            </w:pPr>
            <w:r w:rsidRPr="00D424DA">
              <w:t>(Agha et al., 2024)</w:t>
            </w:r>
          </w:p>
        </w:tc>
      </w:tr>
      <w:tr w:rsidR="00D424DA" w:rsidRPr="00D424DA" w14:paraId="7CD0A50B" w14:textId="77777777" w:rsidTr="00690906">
        <w:trPr>
          <w:cantSplit/>
          <w:jc w:val="center"/>
        </w:trPr>
        <w:tc>
          <w:tcPr>
            <w:tcW w:w="1800" w:type="dxa"/>
            <w:vAlign w:val="center"/>
          </w:tcPr>
          <w:p w14:paraId="0FF1D8CA" w14:textId="77777777" w:rsidR="00CF0836" w:rsidRPr="00D424DA" w:rsidRDefault="00000000" w:rsidP="00FA4D91">
            <w:pPr>
              <w:pStyle w:val="Tabletext"/>
              <w:jc w:val="both"/>
            </w:pPr>
            <w:r w:rsidRPr="00D424DA">
              <w:t>Gwagwalada, Abuja; November 2022</w:t>
            </w:r>
          </w:p>
        </w:tc>
        <w:tc>
          <w:tcPr>
            <w:tcW w:w="1584" w:type="dxa"/>
            <w:vAlign w:val="center"/>
          </w:tcPr>
          <w:p w14:paraId="4C167102" w14:textId="77777777" w:rsidR="00CF0836" w:rsidRPr="00D424DA" w:rsidRDefault="00000000" w:rsidP="00FA4D91">
            <w:pPr>
              <w:pStyle w:val="Tabletext"/>
              <w:jc w:val="both"/>
            </w:pPr>
            <w:r w:rsidRPr="00D424DA">
              <w:t>1,512 adults; household cluster sampling.</w:t>
            </w:r>
          </w:p>
        </w:tc>
        <w:tc>
          <w:tcPr>
            <w:tcW w:w="1728" w:type="dxa"/>
            <w:vAlign w:val="center"/>
          </w:tcPr>
          <w:p w14:paraId="13FA3957" w14:textId="77777777" w:rsidR="00CF0836" w:rsidRPr="00D424DA" w:rsidRDefault="00000000" w:rsidP="00FA4D91">
            <w:pPr>
              <w:pStyle w:val="Tabletext"/>
              <w:jc w:val="both"/>
            </w:pPr>
            <w:r w:rsidRPr="00D424DA">
              <w:t>Any-dose uptake: 46%.</w:t>
            </w:r>
          </w:p>
        </w:tc>
        <w:tc>
          <w:tcPr>
            <w:tcW w:w="2376" w:type="dxa"/>
            <w:vAlign w:val="center"/>
          </w:tcPr>
          <w:p w14:paraId="01766965" w14:textId="77777777" w:rsidR="00CF0836" w:rsidRPr="00D424DA" w:rsidRDefault="00000000" w:rsidP="00FA4D91">
            <w:pPr>
              <w:pStyle w:val="Tabletext"/>
              <w:jc w:val="both"/>
            </w:pPr>
            <w:r w:rsidRPr="00D424DA">
              <w:t>Area-council estimate with complementary qualitative evidence; not nationwide coverage.</w:t>
            </w:r>
          </w:p>
        </w:tc>
        <w:tc>
          <w:tcPr>
            <w:tcW w:w="1872" w:type="dxa"/>
            <w:vAlign w:val="center"/>
          </w:tcPr>
          <w:p w14:paraId="36B5F04E" w14:textId="77777777" w:rsidR="00CF0836" w:rsidRPr="00D424DA" w:rsidRDefault="00000000" w:rsidP="00FA4D91">
            <w:pPr>
              <w:pStyle w:val="Tabletext"/>
              <w:jc w:val="both"/>
            </w:pPr>
            <w:r w:rsidRPr="00D424DA">
              <w:t>(Wonodi et al., 2024)</w:t>
            </w:r>
          </w:p>
        </w:tc>
      </w:tr>
      <w:tr w:rsidR="00D424DA" w:rsidRPr="00D424DA" w14:paraId="430A3F57" w14:textId="77777777" w:rsidTr="00690906">
        <w:trPr>
          <w:cantSplit/>
          <w:jc w:val="center"/>
        </w:trPr>
        <w:tc>
          <w:tcPr>
            <w:tcW w:w="1800" w:type="dxa"/>
            <w:vAlign w:val="center"/>
          </w:tcPr>
          <w:p w14:paraId="6B5891F3" w14:textId="77777777" w:rsidR="00CF0836" w:rsidRPr="00D424DA" w:rsidRDefault="00000000" w:rsidP="00FA4D91">
            <w:pPr>
              <w:pStyle w:val="Tabletext"/>
              <w:jc w:val="both"/>
            </w:pPr>
            <w:r w:rsidRPr="00D424DA">
              <w:t>Port Harcourt; January–March 2022</w:t>
            </w:r>
          </w:p>
        </w:tc>
        <w:tc>
          <w:tcPr>
            <w:tcW w:w="1584" w:type="dxa"/>
            <w:vAlign w:val="center"/>
          </w:tcPr>
          <w:p w14:paraId="3FE41A54" w14:textId="77777777" w:rsidR="00CF0836" w:rsidRPr="00D424DA" w:rsidRDefault="00000000" w:rsidP="00FA4D91">
            <w:pPr>
              <w:pStyle w:val="Tabletext"/>
              <w:jc w:val="both"/>
            </w:pPr>
            <w:r w:rsidRPr="00D424DA">
              <w:t>927 antenatal attendees at three clinics.</w:t>
            </w:r>
          </w:p>
        </w:tc>
        <w:tc>
          <w:tcPr>
            <w:tcW w:w="1728" w:type="dxa"/>
            <w:vAlign w:val="center"/>
          </w:tcPr>
          <w:p w14:paraId="2CD2D684" w14:textId="77777777" w:rsidR="00CF0836" w:rsidRPr="00D424DA" w:rsidRDefault="00000000" w:rsidP="00FA4D91">
            <w:pPr>
              <w:pStyle w:val="Tabletext"/>
              <w:jc w:val="both"/>
            </w:pPr>
            <w:r w:rsidRPr="00D424DA">
              <w:t>Vaccinated: 14.4%.</w:t>
            </w:r>
          </w:p>
        </w:tc>
        <w:tc>
          <w:tcPr>
            <w:tcW w:w="2376" w:type="dxa"/>
            <w:vAlign w:val="center"/>
          </w:tcPr>
          <w:p w14:paraId="2F7C632A" w14:textId="77777777" w:rsidR="00CF0836" w:rsidRPr="00D424DA" w:rsidRDefault="00000000" w:rsidP="00FA4D91">
            <w:pPr>
              <w:pStyle w:val="Tabletext"/>
              <w:jc w:val="both"/>
            </w:pPr>
            <w:r w:rsidRPr="00D424DA">
              <w:t>Clinic attendance selects women already connected to care; willingness was measured separately.</w:t>
            </w:r>
          </w:p>
        </w:tc>
        <w:tc>
          <w:tcPr>
            <w:tcW w:w="1872" w:type="dxa"/>
            <w:vAlign w:val="center"/>
          </w:tcPr>
          <w:p w14:paraId="51F51A99" w14:textId="77777777" w:rsidR="00CF0836" w:rsidRPr="00D424DA" w:rsidRDefault="00000000" w:rsidP="00FA4D91">
            <w:pPr>
              <w:pStyle w:val="Tabletext"/>
              <w:jc w:val="both"/>
            </w:pPr>
            <w:r w:rsidRPr="00D424DA">
              <w:t>(Omunakwe et al., 2024)</w:t>
            </w:r>
          </w:p>
        </w:tc>
      </w:tr>
      <w:tr w:rsidR="00D424DA" w:rsidRPr="00D424DA" w14:paraId="68B6EC24" w14:textId="77777777" w:rsidTr="00690906">
        <w:trPr>
          <w:cantSplit/>
          <w:jc w:val="center"/>
        </w:trPr>
        <w:tc>
          <w:tcPr>
            <w:tcW w:w="1800" w:type="dxa"/>
            <w:vAlign w:val="center"/>
          </w:tcPr>
          <w:p w14:paraId="7B2CCBB0" w14:textId="77777777" w:rsidR="00CF0836" w:rsidRPr="00D424DA" w:rsidRDefault="00000000" w:rsidP="00FA4D91">
            <w:pPr>
              <w:pStyle w:val="Tabletext"/>
              <w:jc w:val="both"/>
            </w:pPr>
            <w:r w:rsidRPr="00D424DA">
              <w:t>Lagos; project ending June 2022</w:t>
            </w:r>
          </w:p>
        </w:tc>
        <w:tc>
          <w:tcPr>
            <w:tcW w:w="1584" w:type="dxa"/>
            <w:vAlign w:val="center"/>
          </w:tcPr>
          <w:p w14:paraId="008F0C0A" w14:textId="77777777" w:rsidR="00CF0836" w:rsidRPr="00D424DA" w:rsidRDefault="00000000" w:rsidP="00FA4D91">
            <w:pPr>
              <w:pStyle w:val="Tabletext"/>
              <w:jc w:val="both"/>
            </w:pPr>
            <w:r w:rsidRPr="00D424DA">
              <w:t>854 community respondents across three LGAs.</w:t>
            </w:r>
          </w:p>
        </w:tc>
        <w:tc>
          <w:tcPr>
            <w:tcW w:w="1728" w:type="dxa"/>
            <w:vAlign w:val="center"/>
          </w:tcPr>
          <w:p w14:paraId="0ACD7ABB" w14:textId="77777777" w:rsidR="00CF0836" w:rsidRPr="00D424DA" w:rsidRDefault="00000000" w:rsidP="00FA4D91">
            <w:pPr>
              <w:pStyle w:val="Tabletext"/>
              <w:jc w:val="both"/>
            </w:pPr>
            <w:r w:rsidRPr="00D424DA">
              <w:t>Vaccinated: 44.1%.</w:t>
            </w:r>
          </w:p>
        </w:tc>
        <w:tc>
          <w:tcPr>
            <w:tcW w:w="2376" w:type="dxa"/>
            <w:vAlign w:val="center"/>
          </w:tcPr>
          <w:p w14:paraId="07EA1A06" w14:textId="77777777" w:rsidR="00CF0836" w:rsidRPr="00D424DA" w:rsidRDefault="00000000" w:rsidP="00FA4D91">
            <w:pPr>
              <w:pStyle w:val="Tabletext"/>
              <w:jc w:val="both"/>
            </w:pPr>
            <w:r w:rsidRPr="00D424DA">
              <w:t>Published in 2026. All unvaccinated respondents were labelled hesitant, including some planning vaccination.</w:t>
            </w:r>
          </w:p>
        </w:tc>
        <w:tc>
          <w:tcPr>
            <w:tcW w:w="1872" w:type="dxa"/>
            <w:vAlign w:val="center"/>
          </w:tcPr>
          <w:p w14:paraId="3AF51F1A" w14:textId="77777777" w:rsidR="00CF0836" w:rsidRPr="00D424DA" w:rsidRDefault="00000000" w:rsidP="00FA4D91">
            <w:pPr>
              <w:pStyle w:val="Tabletext"/>
              <w:jc w:val="both"/>
            </w:pPr>
            <w:r w:rsidRPr="00D424DA">
              <w:t>(Ibenye-Ugbala et al., 2026)</w:t>
            </w:r>
          </w:p>
        </w:tc>
      </w:tr>
      <w:tr w:rsidR="00D424DA" w:rsidRPr="00D424DA" w14:paraId="3E8B6E7E" w14:textId="77777777" w:rsidTr="00690906">
        <w:trPr>
          <w:cantSplit/>
          <w:jc w:val="center"/>
        </w:trPr>
        <w:tc>
          <w:tcPr>
            <w:tcW w:w="1800" w:type="dxa"/>
            <w:vAlign w:val="center"/>
          </w:tcPr>
          <w:p w14:paraId="4C8E125F" w14:textId="77777777" w:rsidR="00CF0836" w:rsidRPr="00D424DA" w:rsidRDefault="00000000" w:rsidP="00FA4D91">
            <w:pPr>
              <w:pStyle w:val="Tabletext"/>
              <w:keepNext/>
              <w:jc w:val="both"/>
            </w:pPr>
            <w:r w:rsidRPr="00D424DA">
              <w:t>Lagos, Oyo and Jigawa; published 2026</w:t>
            </w:r>
          </w:p>
        </w:tc>
        <w:tc>
          <w:tcPr>
            <w:tcW w:w="1584" w:type="dxa"/>
            <w:vAlign w:val="center"/>
          </w:tcPr>
          <w:p w14:paraId="01639291" w14:textId="77777777" w:rsidR="00CF0836" w:rsidRPr="00D424DA" w:rsidRDefault="00000000" w:rsidP="00FA4D91">
            <w:pPr>
              <w:pStyle w:val="Tabletext"/>
              <w:keepNext/>
              <w:jc w:val="both"/>
            </w:pPr>
            <w:r w:rsidRPr="00D424DA">
              <w:t>2,206 community participants and 396 HCWs at selected facilities.</w:t>
            </w:r>
          </w:p>
        </w:tc>
        <w:tc>
          <w:tcPr>
            <w:tcW w:w="1728" w:type="dxa"/>
            <w:vAlign w:val="center"/>
          </w:tcPr>
          <w:p w14:paraId="63FA8629" w14:textId="77777777" w:rsidR="00CF0836" w:rsidRPr="00D424DA" w:rsidRDefault="00000000" w:rsidP="00FA4D91">
            <w:pPr>
              <w:pStyle w:val="Tabletext"/>
              <w:keepNext/>
              <w:jc w:val="both"/>
            </w:pPr>
            <w:r w:rsidRPr="00D424DA">
              <w:t>Any dose: 43.4% in community sample; 96.7% in HCWs.</w:t>
            </w:r>
          </w:p>
        </w:tc>
        <w:tc>
          <w:tcPr>
            <w:tcW w:w="2376" w:type="dxa"/>
            <w:vAlign w:val="center"/>
          </w:tcPr>
          <w:p w14:paraId="1CF9C9A9" w14:textId="77777777" w:rsidR="00CF0836" w:rsidRPr="00D424DA" w:rsidRDefault="00000000" w:rsidP="00FA4D91">
            <w:pPr>
              <w:pStyle w:val="Tabletext"/>
              <w:keepNext/>
              <w:jc w:val="both"/>
            </w:pPr>
            <w:r w:rsidRPr="00D424DA">
              <w:t>Convenience/purposive recruitment; publication year is not an observation date.</w:t>
            </w:r>
          </w:p>
        </w:tc>
        <w:tc>
          <w:tcPr>
            <w:tcW w:w="1872" w:type="dxa"/>
            <w:vAlign w:val="center"/>
          </w:tcPr>
          <w:p w14:paraId="35BA1384" w14:textId="77777777" w:rsidR="00CF0836" w:rsidRPr="00D424DA" w:rsidRDefault="00000000" w:rsidP="00FA4D91">
            <w:pPr>
              <w:pStyle w:val="Tabletext"/>
              <w:keepNext/>
              <w:jc w:val="both"/>
            </w:pPr>
            <w:r w:rsidRPr="00D424DA">
              <w:t>(Sogbesan et al., 2026)</w:t>
            </w:r>
          </w:p>
        </w:tc>
      </w:tr>
    </w:tbl>
    <w:p w14:paraId="061AB2D1" w14:textId="77777777" w:rsidR="00CF0836" w:rsidRPr="00D424DA" w:rsidRDefault="00000000" w:rsidP="00FA4D91">
      <w:pPr>
        <w:pStyle w:val="Tablenote"/>
        <w:keepLines/>
        <w:jc w:val="both"/>
      </w:pPr>
      <w:r w:rsidRPr="00D424DA">
        <w:rPr>
          <w:i/>
        </w:rPr>
        <w:lastRenderedPageBreak/>
        <w:t xml:space="preserve">Note. </w:t>
      </w:r>
      <w:r w:rsidRPr="00D424DA">
        <w:t>These are illustrative studies, not an exhaustive evidence inventory or a pooled prevalence series. Percentages retain the source definitions. FCT = Federal Capital Territory; LGA = local government area; HCW = healthcare worker. Most receipt outcomes were self-reported.</w:t>
      </w:r>
    </w:p>
    <w:p w14:paraId="494AA3A3" w14:textId="77777777" w:rsidR="00CF0836" w:rsidRPr="00D424DA" w:rsidRDefault="00000000" w:rsidP="00FA4D91">
      <w:pPr>
        <w:pStyle w:val="Heading1"/>
        <w:jc w:val="both"/>
        <w:rPr>
          <w:color w:val="auto"/>
        </w:rPr>
      </w:pPr>
      <w:r w:rsidRPr="00D424DA">
        <w:rPr>
          <w:color w:val="auto"/>
        </w:rPr>
        <w:t>5. Factors Associated with Vaccine Uptake</w:t>
      </w:r>
    </w:p>
    <w:p w14:paraId="4F748865" w14:textId="77777777" w:rsidR="00CF0836" w:rsidRPr="00D424DA" w:rsidRDefault="00000000" w:rsidP="00FA4D91">
      <w:pPr>
        <w:pStyle w:val="Heading2"/>
        <w:jc w:val="both"/>
        <w:rPr>
          <w:color w:val="auto"/>
        </w:rPr>
      </w:pPr>
      <w:r w:rsidRPr="00D424DA">
        <w:rPr>
          <w:color w:val="auto"/>
        </w:rPr>
        <w:t>5.1 Age and Sex Are Contextual Indicators, Not Fixed Explanations</w:t>
      </w:r>
    </w:p>
    <w:p w14:paraId="44A15EE9" w14:textId="77777777" w:rsidR="00CF0836" w:rsidRPr="00D424DA" w:rsidRDefault="00000000" w:rsidP="00FA4D91">
      <w:pPr>
        <w:jc w:val="both"/>
      </w:pPr>
      <w:r w:rsidRPr="00D424DA">
        <w:t>Older age was associated with higher reported uptake in some Nigerian surveys. In the national telephone analysis, adults aged at least 60 years had higher adjusted odds than those younger than 30 years. In the six-location telephone survey, adults aged 50–64 years had a higher adjusted prevalence than those younger than 25 years. These comparisons are directionally compatible, but they are not equivalent effect estimates: their age categories, populations and statistical measures differ. Neither establishes that age itself causes vaccination independently of eligibility, perceived vulnerability, healthcare contact and service availability (Bamgboye et al., 2024; Ojo et al., 2023).</w:t>
      </w:r>
    </w:p>
    <w:p w14:paraId="7DC2F0C6" w14:textId="77777777" w:rsidR="00CF0836" w:rsidRPr="00D424DA" w:rsidRDefault="00000000" w:rsidP="00FA4D91">
      <w:pPr>
        <w:jc w:val="both"/>
      </w:pPr>
      <w:r w:rsidRPr="00D424DA">
        <w:t>Age-related differences can reflect several processes that require separate investigation. Earlier prioritisation may give older adults more opportunities, while greater perceived risk may encourage attendance. Conversely, transport difficulties, dependence on another household member or difficulty locating a vaccination site may prevent an interested older person from acting. These pathways can coexist, making a positive average age association compatible with serious unmet need among the least mobile older adults. The geriatric-centre study from Ibadan underscores the relevance of safety perceptions and practical information within this population, without representing those unable to attend the centre (Adebusoye et al., 2023; World Health Organization, 2023b).</w:t>
      </w:r>
    </w:p>
    <w:p w14:paraId="3A9BDDDB" w14:textId="77777777" w:rsidR="00CF0836" w:rsidRPr="00D424DA" w:rsidRDefault="00000000" w:rsidP="00FA4D91">
      <w:pPr>
        <w:jc w:val="both"/>
      </w:pPr>
      <w:r w:rsidRPr="00D424DA">
        <w:t>Sex associations were less consistent. Bamgboye and colleagues reported greater uptake among women in their telephone sample, whereas Sogbesan and colleagues found higher adjusted uptake among men in a community sample heavily composed of female facility users. In the digital study by Agha and colleagues, an initial sex difference did not remain clearly independent after adjustment. These findings should not be forced into a universal claim that Nigerian women or men are inherently more hesitant. They reflect different recruitment mechanisms, occupational patterns, household roles and adjustment sets (Agha et al., 2024; Bamgboye et al., 2024; Sogbesan et al., 2026).</w:t>
      </w:r>
    </w:p>
    <w:p w14:paraId="089AF334" w14:textId="77777777" w:rsidR="00CF0836" w:rsidRPr="00D424DA" w:rsidRDefault="00000000" w:rsidP="00FA4D91">
      <w:pPr>
        <w:jc w:val="both"/>
      </w:pPr>
      <w:r w:rsidRPr="00D424DA">
        <w:t>The appropriate interpretation is that sex can identify inequities requiring explanation, not that it supplies the explanation. Adjusting for employment, access or social approval may change a sex coefficient because these variables share information or occupy different positions in a causal pathway. Disappearance of statistical significance alone does not establish mediation. Programme design should therefore investigate the specific constraints experienced by women and men locally, while avoiding assumptions that a sex-specific communication campaign will correct barriers that actually concern service hours, income loss or mobility (Agha et al., 2024; World Health Organization, 2022).</w:t>
      </w:r>
    </w:p>
    <w:p w14:paraId="3B70C0CC" w14:textId="77777777" w:rsidR="00CF0836" w:rsidRPr="00D424DA" w:rsidRDefault="00000000" w:rsidP="00FA4D91">
      <w:pPr>
        <w:pStyle w:val="Heading2"/>
        <w:jc w:val="both"/>
        <w:rPr>
          <w:color w:val="auto"/>
        </w:rPr>
      </w:pPr>
      <w:r w:rsidRPr="00D424DA">
        <w:rPr>
          <w:color w:val="auto"/>
        </w:rPr>
        <w:lastRenderedPageBreak/>
        <w:t>5.2 Education, Employment and Economic Resources</w:t>
      </w:r>
    </w:p>
    <w:p w14:paraId="6FA120B5" w14:textId="77777777" w:rsidR="00CF0836" w:rsidRPr="00D424DA" w:rsidRDefault="00000000" w:rsidP="00FA4D91">
      <w:pPr>
        <w:jc w:val="both"/>
      </w:pPr>
      <w:r w:rsidRPr="00D424DA">
        <w:t>Education often appears favourable in analyses of actual uptake, but the evidence does not support an uncomplicated education-to-vaccination gradient. Ojo and colleagues found greater uptake among respondents with tertiary education, while early multicountry telephone evidence identified some pockets of hesitancy among more educated or wealthier respondents. These observations need not conflict. Education may facilitate navigation of services and access to information while also enabling greater scrutiny, selective media use or delay during uncertain early rollout. Its association depends on the endpoint, population and phase being examined (Kanyanda et al., 2021; Ojo et al., 2023).</w:t>
      </w:r>
    </w:p>
    <w:p w14:paraId="1370AE5A" w14:textId="77777777" w:rsidR="00CF0836" w:rsidRPr="00D424DA" w:rsidRDefault="00000000" w:rsidP="00FA4D91">
      <w:pPr>
        <w:jc w:val="both"/>
      </w:pPr>
      <w:r w:rsidRPr="00D424DA">
        <w:t>Formal employment may similarly represent exposure to workplace vaccination, administrative requirements, occupational risk or predictable service access, rather than a direct psychological effect. Government employment was associated with uptake in the facility-linked community analysis reported by Sogbesan and colleagues. Because employment and vaccination were observed together, the estimate does not isolate any particular workplace mechanism. A comparison between occupations would require information on on-site services, eligibility, mandates, paid time, previous illness and employment conditions. Otherwise, occupational categories remain proxies for several unmeasured opportunities (Sogbesan et al., 2026).</w:t>
      </w:r>
    </w:p>
    <w:p w14:paraId="64DD6A11" w14:textId="77777777" w:rsidR="00CF0836" w:rsidRPr="00D424DA" w:rsidRDefault="00000000" w:rsidP="00FA4D91">
      <w:pPr>
        <w:jc w:val="both"/>
      </w:pPr>
      <w:r w:rsidRPr="00D424DA">
        <w:t>Economic barriers are particularly important when a vaccine is officially free. Transport, queuing, childcare and income forgone can still make attendance costly. Agha and colleagues found lower adjusted odds of uptake among respondents reporting cost or loss of income as obstacles. This supports asking about the full cost of obtaining vaccination rather than assuming that a zero purchase price removes financial constraints. Because the evidence is cross-sectional and digitally selected, it does not quantify how much uptake would increase following transport reimbursement or extended opening hours. Those are intervention hypotheses, not effects already demonstrated (Agha et al., 2024).</w:t>
      </w:r>
    </w:p>
    <w:p w14:paraId="1D3AF0EF" w14:textId="77777777" w:rsidR="00CF0836" w:rsidRPr="00D424DA" w:rsidRDefault="00000000" w:rsidP="00FA4D91">
      <w:pPr>
        <w:jc w:val="both"/>
      </w:pPr>
      <w:r w:rsidRPr="00D424DA">
        <w:t>Income and education should also be distinguished from the mechanisms through which they might operate. A programme that identifies lower uptake in a disadvantaged group but responds only with information may miss the relevant constraint. Equally, providing transport without addressing an unresolved safety concern may have little effect. The analytical task is to identify the barrier at the point of attempted vaccination and determine whether it is changeable. Behavioural and service-delivery frameworks are useful precisely because they discourage substituting a demographic label for a measurable mechanism (Betsch et al., 2018; World Health Organization, 2022).</w:t>
      </w:r>
    </w:p>
    <w:p w14:paraId="7939C3BB" w14:textId="77777777" w:rsidR="00CF0836" w:rsidRPr="00D424DA" w:rsidRDefault="00000000" w:rsidP="00FA4D91">
      <w:pPr>
        <w:pStyle w:val="Heading2"/>
        <w:jc w:val="both"/>
        <w:rPr>
          <w:color w:val="auto"/>
        </w:rPr>
      </w:pPr>
      <w:r w:rsidRPr="00D424DA">
        <w:rPr>
          <w:color w:val="auto"/>
        </w:rPr>
        <w:t>5.3 Trust, Safety Confidence and Institutional Relationships</w:t>
      </w:r>
    </w:p>
    <w:p w14:paraId="3816E501" w14:textId="77777777" w:rsidR="00CF0836" w:rsidRPr="00D424DA" w:rsidRDefault="00000000" w:rsidP="00FA4D91">
      <w:pPr>
        <w:jc w:val="both"/>
      </w:pPr>
      <w:r w:rsidRPr="00D424DA">
        <w:t xml:space="preserve">Confidence in vaccine safety and the credibility of institutions recurs across quantitative and qualitative Nigerian evidence. The early multisite qualitative investigation by Wonodi and colleagues documented narratives in which distrust, interpretations of the pandemic and concerns about external intentions shaped vaccine discussions. The study's focus groups and interviews provided depth about the content and social meaning of those narratives. They did not establish </w:t>
      </w:r>
      <w:r w:rsidRPr="00D424DA">
        <w:lastRenderedPageBreak/>
        <w:t>how common each belief was among all Nigerians or the proportion of non-vaccination attributable to it (Wonodi et al., 2022).</w:t>
      </w:r>
    </w:p>
    <w:p w14:paraId="615C2BCE" w14:textId="77777777" w:rsidR="00CF0836" w:rsidRPr="00D424DA" w:rsidRDefault="00000000" w:rsidP="00FA4D91">
      <w:pPr>
        <w:jc w:val="both"/>
      </w:pPr>
      <w:r w:rsidRPr="00D424DA">
        <w:t>Trust is not one interchangeable exposure. Confidence in a familiar health worker, approval of government pandemic management, belief in the competence of a vaccination team and confidence in a specific product can differ within the same person. Sato's analysis linked survey information on vaccine hesitancy with geographically matched information on trust in government. Because the two datasets were matched at contextual rather than individual level, the resulting association should not be interpreted as proof that a particular person's distrust caused that person's refusal. It is evidence about contextual correspondence that warrants individual-level testing (Sato, 2022).</w:t>
      </w:r>
    </w:p>
    <w:p w14:paraId="280972E0" w14:textId="77777777" w:rsidR="00CF0836" w:rsidRPr="00D424DA" w:rsidRDefault="00000000" w:rsidP="00FA4D91">
      <w:pPr>
        <w:jc w:val="both"/>
      </w:pPr>
      <w:r w:rsidRPr="00D424DA">
        <w:t>Among healthcare workers in Ondo State, lower trust in government information was associated with greater endorsement of vaccine conspiracy beliefs and lower willingness. This finding is relevant because healthcare workers can be both vaccine recipients and sources of advice. Nevertheless, the design cannot determine whether mistrust preceded exposure to misinformation, whether misinformation reduced trust, or whether both reflected other experiences. Treating one as the established cause of the other would exceed the temporal information available (Oyeyemi et al., 2023).</w:t>
      </w:r>
    </w:p>
    <w:p w14:paraId="0D88CA94" w14:textId="77777777" w:rsidR="00CF0836" w:rsidRPr="00D424DA" w:rsidRDefault="00000000" w:rsidP="00FA4D91">
      <w:pPr>
        <w:jc w:val="both"/>
      </w:pPr>
      <w:r w:rsidRPr="00D424DA">
        <w:t>The practical implication is not that communication is futile, but that credibility cannot be reduced to message frequency. A service that is predictable, respectful and able to answer questions gives a recommendation a different context from a campaign followed by an unavailable clinic. Qualitative evidence from Ebonyi and the Abuja mixed-methods study supports attention to interpersonal endorsement and practical experience alongside safety confidence. These sources justify integrated interventions but do not rank their components by causal effectiveness (Omale et al., 2024; Wonodi et al., 2024).</w:t>
      </w:r>
    </w:p>
    <w:p w14:paraId="53D04304" w14:textId="77777777" w:rsidR="00CF0836" w:rsidRPr="00D424DA" w:rsidRDefault="00000000" w:rsidP="00FA4D91">
      <w:pPr>
        <w:jc w:val="both"/>
      </w:pPr>
      <w:r w:rsidRPr="00D424DA">
        <w:t>Safety concerns should be recorded as perceptions unless linked to clinically evaluated events. A report that respondents feared harm is not evidence that vaccination produced that harm. Equally, dismissing every concern as misinformation can obscure legitimate questions about expected reactions, eligibility or where to seek advice. An epidemiologically sound programme distinguishes the occurrence of a concern, its informational basis and its behavioural consequences. This distinction protects both scientific accuracy and the quality of engagement with people deciding whether to be vaccinated (Omunakwe et al., 2024; World Health Organization, 2022).</w:t>
      </w:r>
    </w:p>
    <w:p w14:paraId="77A7D395" w14:textId="77777777" w:rsidR="00CF0836" w:rsidRPr="00D424DA" w:rsidRDefault="00000000" w:rsidP="00FA4D91">
      <w:pPr>
        <w:pStyle w:val="Heading2"/>
        <w:jc w:val="both"/>
        <w:rPr>
          <w:color w:val="auto"/>
        </w:rPr>
      </w:pPr>
      <w:r w:rsidRPr="00D424DA">
        <w:rPr>
          <w:color w:val="auto"/>
        </w:rPr>
        <w:t>5.4 Perceived Disease Risk, Previous Experience and Knowledge</w:t>
      </w:r>
    </w:p>
    <w:p w14:paraId="7C6CE0E1" w14:textId="77777777" w:rsidR="00CF0836" w:rsidRPr="00D424DA" w:rsidRDefault="00000000" w:rsidP="00FA4D91">
      <w:pPr>
        <w:jc w:val="both"/>
      </w:pPr>
      <w:r w:rsidRPr="00D424DA">
        <w:t xml:space="preserve">Low perceived need can reduce the urgency of vaccination even when a person has no strong objection to vaccines. Nigerian qualitative studies described a mismatch between public messages about COVID‑19 and some participants' personal experience of serious illness. Such accounts offer plausible explanations for delayed action but do not establish that the disease was absent or clinically unimportant in those communities. The serological evidence from the Federal Capital Territory and Kano demonstrates why perceived experience, notified disease and </w:t>
      </w:r>
      <w:r w:rsidRPr="00D424DA">
        <w:lastRenderedPageBreak/>
        <w:t>underlying exposure should not be treated as equivalent measures (Enyereibe et al., 2025; Wonodi et al., 2022).</w:t>
      </w:r>
    </w:p>
    <w:p w14:paraId="77FC0B59" w14:textId="77777777" w:rsidR="00CF0836" w:rsidRPr="00D424DA" w:rsidRDefault="00000000" w:rsidP="00FA4D91">
      <w:pPr>
        <w:jc w:val="both"/>
      </w:pPr>
      <w:r w:rsidRPr="00D424DA">
        <w:t>Previous testing and healthcare contact were associated with receipt in the facility-linked study by Sogbesan and colleagues. A test may increase awareness, but the association can also arise because people with better access, occupational requirements or greater concern are more likely both to test and to vaccinate. Without dates and reasons for testing, the relationship cannot be interpreted as an effect of testing on uptake. For healthcare workers, very high baseline vaccination also leaves few unvaccinated observations, making adjusted estimates involving uncommon exposures especially unstable (Sogbesan et al., 2026).</w:t>
      </w:r>
    </w:p>
    <w:p w14:paraId="1B4C6007" w14:textId="77777777" w:rsidR="00CF0836" w:rsidRPr="00D424DA" w:rsidRDefault="00000000" w:rsidP="00FA4D91">
      <w:pPr>
        <w:jc w:val="both"/>
      </w:pPr>
      <w:r w:rsidRPr="00D424DA">
        <w:t>Knowledge measures are frequently interpreted too strongly. Correct answers about transmission or prevention need not imply confidence in a newly introduced vaccine, and a questionnaire score may capture education or healthcare exposure rather than a directly actionable barrier. Vaccination itself may provide information through counselling, creating reverse causation when knowledge and uptake are measured at the same interview. Thus, an association between knowledge and vaccination does not demonstrate that an educational session would produce the corresponding change in behaviour (Brewer et al., 2017; Ibenye-Ugbala et al., 2026; Ojewale et al., 2022).</w:t>
      </w:r>
    </w:p>
    <w:p w14:paraId="5C0CA869" w14:textId="77777777" w:rsidR="00CF0836" w:rsidRPr="00D424DA" w:rsidRDefault="00000000" w:rsidP="00FA4D91">
      <w:pPr>
        <w:jc w:val="both"/>
      </w:pPr>
      <w:r w:rsidRPr="00D424DA">
        <w:t>The more useful research question is what information is missing at a specific decision point. Someone uncertain about safety requires a different conversation from someone who does not know where services operate or whether a previous dose counts towards completion. Grouping these needs into a general knowledge deficit reduces programme precision. Longitudinal studies should measure baseline understanding, subsequent service opportunities and verified receipt separately. They should also examine whether changes in understanding precede behaviour rather than merely accompany it (Wonodi et al., 2024; World Health Organization, 2022).</w:t>
      </w:r>
    </w:p>
    <w:p w14:paraId="6CA5A300" w14:textId="77777777" w:rsidR="00CF0836" w:rsidRPr="00D424DA" w:rsidRDefault="00000000" w:rsidP="00FA4D91">
      <w:pPr>
        <w:pStyle w:val="Heading2"/>
        <w:jc w:val="both"/>
        <w:rPr>
          <w:color w:val="auto"/>
        </w:rPr>
      </w:pPr>
      <w:r w:rsidRPr="00D424DA">
        <w:rPr>
          <w:color w:val="auto"/>
        </w:rPr>
        <w:t>5.5 Social Norms, Religious Context and Digital Information</w:t>
      </w:r>
    </w:p>
    <w:p w14:paraId="296B358E" w14:textId="77777777" w:rsidR="00CF0836" w:rsidRPr="00D424DA" w:rsidRDefault="00000000" w:rsidP="00FA4D91">
      <w:pPr>
        <w:jc w:val="both"/>
      </w:pPr>
      <w:r w:rsidRPr="00D424DA">
        <w:t>Social endorsement can support vaccination through reassurance, practical guidance and visible examples of attendance. The Abuja behavioural study identified family and friends' endorsement as a relevant social-process measure, while the Makoko barrier analysis highlighted interpersonal and contextual differences between vaccinated and unvaccinated residents. These studies suggest that the social environment deserves attention, but they cannot separate influence from selection. People with similar attitudes may associate with one another, and vaccinated respondents may become more aware of vaccination within their networks (Ozoh et al., 2023; Wonodi et al., 2024).</w:t>
      </w:r>
    </w:p>
    <w:p w14:paraId="10F25A7C" w14:textId="77777777" w:rsidR="00CF0836" w:rsidRPr="00D424DA" w:rsidRDefault="00000000" w:rsidP="00FA4D91">
      <w:pPr>
        <w:jc w:val="both"/>
      </w:pPr>
      <w:r w:rsidRPr="00D424DA">
        <w:t xml:space="preserve">Religious affiliation should be interpreted with particular care. Nigerian studies do not establish a uniform association that applies across communities. In the six-location telephone study, Muslim affiliation was associated with higher adjusted uptake than Christian affiliation; other reports emphasised particular religious narratives or local differences. An affiliation coefficient combines geography, service exposure, socioeconomic position, leadership and many other </w:t>
      </w:r>
      <w:r w:rsidRPr="00D424DA">
        <w:lastRenderedPageBreak/>
        <w:t>contextual features. It is not a test of religious doctrine and should not be presented as evidence that a faith group is intrinsically resistant (Bamgboye et al., 2024; Omale et al., 2024).</w:t>
      </w:r>
    </w:p>
    <w:p w14:paraId="3C860EFB" w14:textId="77777777" w:rsidR="00CF0836" w:rsidRPr="00D424DA" w:rsidRDefault="00000000" w:rsidP="00FA4D91">
      <w:pPr>
        <w:jc w:val="both"/>
      </w:pPr>
      <w:r w:rsidRPr="00D424DA">
        <w:t>Local religious and community leaders may be useful partners when trusted by the relevant population, but their involvement should not be assumed to guarantee behaviour change. Engagement needs to identify who is listened to, who is excluded and what practical support follows the recommendation. A statement from a leader, an opportunity to ask questions and an accessible vaccination session are different intervention components. Their contributions require evaluation rather than attribution of any subsequent increase to leadership alone (Omale et al., 2024; World Health Organization, 2022).</w:t>
      </w:r>
    </w:p>
    <w:p w14:paraId="7DF9750B" w14:textId="77777777" w:rsidR="00CF0836" w:rsidRPr="00D424DA" w:rsidRDefault="00000000" w:rsidP="00FA4D91">
      <w:pPr>
        <w:jc w:val="both"/>
      </w:pPr>
      <w:r w:rsidRPr="00D424DA">
        <w:t>Digital environments can circulate both useful information and misleading claims. Sadiq and colleagues' analysis of Nigerian YouTube material illuminates the types of messages and arguments present on that platform. It cannot estimate the prevalence of those beliefs among Nigerian adults or establish how viewing a video changes actual vaccination. Similarly, comments are not a probability sample of audiences, and the most visible material is not necessarily the most influential. Platform research is best used to identify topics for further enquiry and communication testing rather than to diagnose national attitudes (Sadiq et al., 2023).</w:t>
      </w:r>
    </w:p>
    <w:p w14:paraId="660C1A3C" w14:textId="77777777" w:rsidR="00CF0836" w:rsidRPr="00D424DA" w:rsidRDefault="00000000" w:rsidP="00FA4D91">
      <w:pPr>
        <w:pStyle w:val="Heading2"/>
        <w:jc w:val="both"/>
        <w:rPr>
          <w:color w:val="auto"/>
        </w:rPr>
      </w:pPr>
      <w:r w:rsidRPr="00D424DA">
        <w:rPr>
          <w:color w:val="auto"/>
        </w:rPr>
        <w:t>5.6 Access, Service Reliability and the Opportunity to Act</w:t>
      </w:r>
    </w:p>
    <w:p w14:paraId="795757B8" w14:textId="77777777" w:rsidR="00CF0836" w:rsidRPr="00D424DA" w:rsidRDefault="00000000" w:rsidP="00FA4D91">
      <w:pPr>
        <w:jc w:val="both"/>
      </w:pPr>
      <w:r w:rsidRPr="00D424DA">
        <w:t>Practical access is a recurring theme across evidence collected using different methods. In the digital survey, reporting that vaccination was unavailable where respondents normally obtained health services was associated with substantially lower uptake. The Abuja household study also identified knowledge of vaccination sites as a relevant practical measure. In Makoko, the comparison of vaccinated and unvaccinated residents situated behaviour within the lived constraints of a deprived urban community. Together, these studies challenge any presumption that non-vaccination can be fully explained by unfavourable beliefs (Agha et al., 2024; Ozoh et al., 2023; Wonodi et al., 2024).</w:t>
      </w:r>
    </w:p>
    <w:p w14:paraId="26CD2B93" w14:textId="77777777" w:rsidR="00CF0836" w:rsidRPr="00D424DA" w:rsidRDefault="00000000" w:rsidP="00FA4D91">
      <w:pPr>
        <w:jc w:val="both"/>
      </w:pPr>
      <w:r w:rsidRPr="00D424DA">
        <w:t>Urban residence does not necessarily imply convenient access. Informal settlements may be geographically close to services while residents face uncertain eligibility information, unsuitable opening times, social exclusion or competing work demands. Conversely, rural residents may report favourable intentions but have fewer reliable opportunities. A rural disadvantage in receipt can therefore coexist with a rural advantage in willingness, as suggested by contrasts between later uptake studies and earlier intention analyses. The apparent inconsistency becomes more coherent when opportunity and motivation are separated (Bamgboye et al., 2024; Oyekale, 2022; Ozoh et al., 2023).</w:t>
      </w:r>
    </w:p>
    <w:p w14:paraId="280D7873" w14:textId="77777777" w:rsidR="00CF0836" w:rsidRPr="00D424DA" w:rsidRDefault="00000000" w:rsidP="00FA4D91">
      <w:pPr>
        <w:jc w:val="both"/>
      </w:pPr>
      <w:r w:rsidRPr="00D424DA">
        <w:t xml:space="preserve">Availability is also a time-specific condition. A respondent who reports a nearby facility may still have encountered a closed service, an unavailable product or an instruction to return later. These possibilities require direct measurement; they should not be asserted as the explanation for every observed difference. Practical indicators should include whether vaccination was offered, whether a visit was attempted, whether an eligible dose was available and whether the person </w:t>
      </w:r>
      <w:r w:rsidRPr="00D424DA">
        <w:lastRenderedPageBreak/>
        <w:t>completed the visit. Such measures would identify service failures more precisely than a general question about distance (Brewer et al., 2017; World Health Organization, 2022).</w:t>
      </w:r>
    </w:p>
    <w:p w14:paraId="27D2A9A6" w14:textId="77777777" w:rsidR="00CF0836" w:rsidRPr="00D424DA" w:rsidRDefault="00000000" w:rsidP="00FA4D91">
      <w:pPr>
        <w:jc w:val="both"/>
      </w:pPr>
      <w:r w:rsidRPr="00D424DA">
        <w:t>The evidence supports an integrated interpretation but not a numerical allocation of responsibility among barriers. Confidence, opportunity and social support are correlated, and most Nigerian studies measure them simultaneously. The most defensible judgement is that access cannot be omitted from either research or implementation, not that it has been proven to dominate every locality. Table 3 summarises recurring associations, conflicting findings and the limits of causal interpretation across the main determinant domains (Agha et al., 2024; Omale et al., 2024; Wonodi et al., 2024).</w:t>
      </w:r>
    </w:p>
    <w:p w14:paraId="57C2FEEC" w14:textId="77777777" w:rsidR="00CF0836" w:rsidRPr="00D424DA" w:rsidRDefault="00000000" w:rsidP="00FA4D91">
      <w:pPr>
        <w:pStyle w:val="Caption"/>
        <w:jc w:val="both"/>
        <w:rPr>
          <w:color w:val="auto"/>
        </w:rPr>
      </w:pPr>
      <w:r w:rsidRPr="00D424DA">
        <w:rPr>
          <w:b/>
          <w:color w:val="auto"/>
        </w:rPr>
        <w:t>Table 3</w:t>
      </w:r>
    </w:p>
    <w:p w14:paraId="6EBA97B9" w14:textId="77777777" w:rsidR="00CF0836" w:rsidRPr="00D424DA" w:rsidRDefault="00000000" w:rsidP="00FA4D91">
      <w:pPr>
        <w:pStyle w:val="Caption"/>
        <w:jc w:val="both"/>
        <w:rPr>
          <w:color w:val="auto"/>
        </w:rPr>
      </w:pPr>
      <w:r w:rsidRPr="00D424DA">
        <w:rPr>
          <w:i/>
          <w:color w:val="auto"/>
        </w:rPr>
        <w:t>Associated factors, contrasting findings and limits of inference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4A0" w:firstRow="1" w:lastRow="0" w:firstColumn="1" w:lastColumn="0" w:noHBand="0" w:noVBand="1"/>
      </w:tblPr>
      <w:tblGrid>
        <w:gridCol w:w="1440"/>
        <w:gridCol w:w="2880"/>
        <w:gridCol w:w="2952"/>
        <w:gridCol w:w="2088"/>
      </w:tblGrid>
      <w:tr w:rsidR="00D424DA" w:rsidRPr="00D424DA" w14:paraId="37D9B0A5" w14:textId="77777777" w:rsidTr="00690906">
        <w:trPr>
          <w:tblHeader/>
          <w:jc w:val="center"/>
        </w:trPr>
        <w:tc>
          <w:tcPr>
            <w:tcW w:w="1440" w:type="dxa"/>
            <w:vAlign w:val="center"/>
          </w:tcPr>
          <w:p w14:paraId="075B74F1" w14:textId="77777777" w:rsidR="00CF0836" w:rsidRPr="00D424DA" w:rsidRDefault="00000000" w:rsidP="00FA4D91">
            <w:pPr>
              <w:pStyle w:val="Tabletext"/>
              <w:jc w:val="both"/>
            </w:pPr>
            <w:r w:rsidRPr="00D424DA">
              <w:rPr>
                <w:b/>
              </w:rPr>
              <w:t>Domain</w:t>
            </w:r>
          </w:p>
        </w:tc>
        <w:tc>
          <w:tcPr>
            <w:tcW w:w="2880" w:type="dxa"/>
            <w:vAlign w:val="center"/>
          </w:tcPr>
          <w:p w14:paraId="5AA20835" w14:textId="77777777" w:rsidR="00CF0836" w:rsidRPr="00D424DA" w:rsidRDefault="00000000" w:rsidP="00FA4D91">
            <w:pPr>
              <w:pStyle w:val="Tabletext"/>
              <w:jc w:val="both"/>
            </w:pPr>
            <w:r w:rsidRPr="00D424DA">
              <w:rPr>
                <w:b/>
              </w:rPr>
              <w:t>Selected evidence</w:t>
            </w:r>
          </w:p>
        </w:tc>
        <w:tc>
          <w:tcPr>
            <w:tcW w:w="2952" w:type="dxa"/>
            <w:vAlign w:val="center"/>
          </w:tcPr>
          <w:p w14:paraId="1521BE1C" w14:textId="77777777" w:rsidR="00CF0836" w:rsidRPr="00D424DA" w:rsidRDefault="00000000" w:rsidP="00FA4D91">
            <w:pPr>
              <w:pStyle w:val="Tabletext"/>
              <w:jc w:val="both"/>
            </w:pPr>
            <w:r w:rsidRPr="00D424DA">
              <w:rPr>
                <w:b/>
              </w:rPr>
              <w:t>Interpretation and unresolved issue</w:t>
            </w:r>
          </w:p>
        </w:tc>
        <w:tc>
          <w:tcPr>
            <w:tcW w:w="2088" w:type="dxa"/>
            <w:vAlign w:val="center"/>
          </w:tcPr>
          <w:p w14:paraId="4A86FE61" w14:textId="77777777" w:rsidR="00CF0836" w:rsidRPr="00D424DA" w:rsidRDefault="00000000" w:rsidP="00FA4D91">
            <w:pPr>
              <w:pStyle w:val="Tabletext"/>
              <w:jc w:val="both"/>
            </w:pPr>
            <w:r w:rsidRPr="00D424DA">
              <w:rPr>
                <w:b/>
              </w:rPr>
              <w:t>Supporting references</w:t>
            </w:r>
          </w:p>
        </w:tc>
      </w:tr>
      <w:tr w:rsidR="00D424DA" w:rsidRPr="007D29D1" w14:paraId="79FB71F0" w14:textId="77777777" w:rsidTr="00690906">
        <w:trPr>
          <w:cantSplit/>
          <w:jc w:val="center"/>
        </w:trPr>
        <w:tc>
          <w:tcPr>
            <w:tcW w:w="1440" w:type="dxa"/>
            <w:vAlign w:val="center"/>
          </w:tcPr>
          <w:p w14:paraId="355A88E0" w14:textId="77777777" w:rsidR="00CF0836" w:rsidRPr="00D424DA" w:rsidRDefault="00000000" w:rsidP="00FA4D91">
            <w:pPr>
              <w:pStyle w:val="Tabletext"/>
              <w:jc w:val="both"/>
            </w:pPr>
            <w:r w:rsidRPr="00D424DA">
              <w:t>Age</w:t>
            </w:r>
          </w:p>
        </w:tc>
        <w:tc>
          <w:tcPr>
            <w:tcW w:w="2880" w:type="dxa"/>
            <w:vAlign w:val="center"/>
          </w:tcPr>
          <w:p w14:paraId="6D41D888" w14:textId="77777777" w:rsidR="00CF0836" w:rsidRPr="00D424DA" w:rsidRDefault="00000000" w:rsidP="00FA4D91">
            <w:pPr>
              <w:pStyle w:val="Tabletext"/>
              <w:jc w:val="both"/>
            </w:pPr>
            <w:r w:rsidRPr="00D424DA">
              <w:t>Age ≥60 versus &lt;30 years: aOR 2.20 (95% CI 1.19–4.07) in a national phone analysis.</w:t>
            </w:r>
          </w:p>
        </w:tc>
        <w:tc>
          <w:tcPr>
            <w:tcW w:w="2952" w:type="dxa"/>
            <w:vAlign w:val="center"/>
          </w:tcPr>
          <w:p w14:paraId="121CCD79" w14:textId="77777777" w:rsidR="00CF0836" w:rsidRPr="00D424DA" w:rsidRDefault="00000000" w:rsidP="00FA4D91">
            <w:pPr>
              <w:pStyle w:val="Tabletext"/>
              <w:jc w:val="both"/>
            </w:pPr>
            <w:r w:rsidRPr="00D424DA">
              <w:t>Association may reflect prioritisation, perceived risk and service contact; it does not describe homebound older adults.</w:t>
            </w:r>
          </w:p>
        </w:tc>
        <w:tc>
          <w:tcPr>
            <w:tcW w:w="2088" w:type="dxa"/>
            <w:vAlign w:val="center"/>
          </w:tcPr>
          <w:p w14:paraId="76035C5E" w14:textId="77777777" w:rsidR="00CF0836" w:rsidRPr="007D29D1" w:rsidRDefault="00000000" w:rsidP="00FA4D91">
            <w:pPr>
              <w:pStyle w:val="Tabletext"/>
              <w:jc w:val="both"/>
              <w:rPr>
                <w:lang w:val="nl-BE"/>
              </w:rPr>
            </w:pPr>
            <w:r w:rsidRPr="007D29D1">
              <w:rPr>
                <w:lang w:val="nl-BE"/>
              </w:rPr>
              <w:t>(Adebusoye et al., 2023; Ojo et al., 2023)</w:t>
            </w:r>
          </w:p>
        </w:tc>
      </w:tr>
      <w:tr w:rsidR="00D424DA" w:rsidRPr="007D29D1" w14:paraId="05F08DC3" w14:textId="77777777" w:rsidTr="00690906">
        <w:trPr>
          <w:cantSplit/>
          <w:jc w:val="center"/>
        </w:trPr>
        <w:tc>
          <w:tcPr>
            <w:tcW w:w="1440" w:type="dxa"/>
            <w:vAlign w:val="center"/>
          </w:tcPr>
          <w:p w14:paraId="3E4F04B1" w14:textId="77777777" w:rsidR="00CF0836" w:rsidRPr="00D424DA" w:rsidRDefault="00000000" w:rsidP="00FA4D91">
            <w:pPr>
              <w:pStyle w:val="Tabletext"/>
              <w:jc w:val="both"/>
            </w:pPr>
            <w:r w:rsidRPr="00D424DA">
              <w:t>Education</w:t>
            </w:r>
          </w:p>
        </w:tc>
        <w:tc>
          <w:tcPr>
            <w:tcW w:w="2880" w:type="dxa"/>
            <w:vAlign w:val="center"/>
          </w:tcPr>
          <w:p w14:paraId="7873C18E" w14:textId="77777777" w:rsidR="00CF0836" w:rsidRPr="00D424DA" w:rsidRDefault="00000000" w:rsidP="00FA4D91">
            <w:pPr>
              <w:pStyle w:val="Tabletext"/>
              <w:jc w:val="both"/>
            </w:pPr>
            <w:r w:rsidRPr="00D424DA">
              <w:t>Tertiary education: aOR 3.03 (95% CI 1.83–5.01) versus no formal education in the same analysis.</w:t>
            </w:r>
          </w:p>
        </w:tc>
        <w:tc>
          <w:tcPr>
            <w:tcW w:w="2952" w:type="dxa"/>
            <w:vAlign w:val="center"/>
          </w:tcPr>
          <w:p w14:paraId="0BD55AD4" w14:textId="77777777" w:rsidR="00CF0836" w:rsidRPr="00D424DA" w:rsidRDefault="00000000" w:rsidP="00FA4D91">
            <w:pPr>
              <w:pStyle w:val="Tabletext"/>
              <w:jc w:val="both"/>
            </w:pPr>
            <w:r w:rsidRPr="00D424DA">
              <w:t>Early willingness studies did not show a universal educational advantage. Endpoint and phase can alter the pattern.</w:t>
            </w:r>
          </w:p>
        </w:tc>
        <w:tc>
          <w:tcPr>
            <w:tcW w:w="2088" w:type="dxa"/>
            <w:vAlign w:val="center"/>
          </w:tcPr>
          <w:p w14:paraId="130A1C68" w14:textId="77777777" w:rsidR="00CF0836" w:rsidRPr="007D29D1" w:rsidRDefault="00000000" w:rsidP="00FA4D91">
            <w:pPr>
              <w:pStyle w:val="Tabletext"/>
              <w:jc w:val="both"/>
              <w:rPr>
                <w:lang w:val="nl-BE"/>
              </w:rPr>
            </w:pPr>
            <w:r w:rsidRPr="007D29D1">
              <w:rPr>
                <w:lang w:val="nl-BE"/>
              </w:rPr>
              <w:t>(Kanyanda et al., 2021; Ojo et al., 2023)</w:t>
            </w:r>
          </w:p>
        </w:tc>
      </w:tr>
      <w:tr w:rsidR="00D424DA" w:rsidRPr="007D29D1" w14:paraId="62907183" w14:textId="77777777" w:rsidTr="00690906">
        <w:trPr>
          <w:cantSplit/>
          <w:jc w:val="center"/>
        </w:trPr>
        <w:tc>
          <w:tcPr>
            <w:tcW w:w="1440" w:type="dxa"/>
            <w:vAlign w:val="center"/>
          </w:tcPr>
          <w:p w14:paraId="787B2C5B" w14:textId="77777777" w:rsidR="00CF0836" w:rsidRPr="00D424DA" w:rsidRDefault="00000000" w:rsidP="00FA4D91">
            <w:pPr>
              <w:pStyle w:val="Tabletext"/>
              <w:jc w:val="both"/>
            </w:pPr>
            <w:r w:rsidRPr="00D424DA">
              <w:t>Sex</w:t>
            </w:r>
          </w:p>
        </w:tc>
        <w:tc>
          <w:tcPr>
            <w:tcW w:w="2880" w:type="dxa"/>
            <w:vAlign w:val="center"/>
          </w:tcPr>
          <w:p w14:paraId="286199F1" w14:textId="77777777" w:rsidR="00CF0836" w:rsidRPr="00D424DA" w:rsidRDefault="00000000" w:rsidP="00FA4D91">
            <w:pPr>
              <w:pStyle w:val="Tabletext"/>
              <w:jc w:val="both"/>
            </w:pPr>
            <w:r w:rsidRPr="00D424DA">
              <w:t>Direction differed across telephone and facility-linked samples; a digital-study difference attenuated after adjustment.</w:t>
            </w:r>
          </w:p>
        </w:tc>
        <w:tc>
          <w:tcPr>
            <w:tcW w:w="2952" w:type="dxa"/>
            <w:vAlign w:val="center"/>
          </w:tcPr>
          <w:p w14:paraId="435B8832" w14:textId="77777777" w:rsidR="00CF0836" w:rsidRPr="00D424DA" w:rsidRDefault="00000000" w:rsidP="00FA4D91">
            <w:pPr>
              <w:pStyle w:val="Tabletext"/>
              <w:jc w:val="both"/>
            </w:pPr>
            <w:r w:rsidRPr="00D424DA">
              <w:t>No fixed sex-based explanation is established. Recruitment and social circumstances require examination.</w:t>
            </w:r>
          </w:p>
        </w:tc>
        <w:tc>
          <w:tcPr>
            <w:tcW w:w="2088" w:type="dxa"/>
            <w:vAlign w:val="center"/>
          </w:tcPr>
          <w:p w14:paraId="2984B13E" w14:textId="77777777" w:rsidR="00CF0836" w:rsidRPr="007D29D1" w:rsidRDefault="00000000" w:rsidP="00FA4D91">
            <w:pPr>
              <w:pStyle w:val="Tabletext"/>
              <w:jc w:val="both"/>
              <w:rPr>
                <w:lang w:val="nl-BE"/>
              </w:rPr>
            </w:pPr>
            <w:r w:rsidRPr="007D29D1">
              <w:rPr>
                <w:lang w:val="nl-BE"/>
              </w:rPr>
              <w:t>(Agha et al., 2024; Bamgboye et al., 2024; Sogbesan et al., 2026)</w:t>
            </w:r>
          </w:p>
        </w:tc>
      </w:tr>
      <w:tr w:rsidR="00D424DA" w:rsidRPr="00D424DA" w14:paraId="6B57B9FD" w14:textId="77777777" w:rsidTr="00690906">
        <w:trPr>
          <w:cantSplit/>
          <w:jc w:val="center"/>
        </w:trPr>
        <w:tc>
          <w:tcPr>
            <w:tcW w:w="1440" w:type="dxa"/>
            <w:vAlign w:val="center"/>
          </w:tcPr>
          <w:p w14:paraId="5A5F8E32" w14:textId="77777777" w:rsidR="00CF0836" w:rsidRPr="00D424DA" w:rsidRDefault="00000000" w:rsidP="00FA4D91">
            <w:pPr>
              <w:pStyle w:val="Tabletext"/>
              <w:jc w:val="both"/>
            </w:pPr>
            <w:r w:rsidRPr="00D424DA">
              <w:t>Rural residence</w:t>
            </w:r>
          </w:p>
        </w:tc>
        <w:tc>
          <w:tcPr>
            <w:tcW w:w="2880" w:type="dxa"/>
            <w:vAlign w:val="center"/>
          </w:tcPr>
          <w:p w14:paraId="1EDF0BAD" w14:textId="77777777" w:rsidR="00CF0836" w:rsidRPr="00D424DA" w:rsidRDefault="00000000" w:rsidP="00FA4D91">
            <w:pPr>
              <w:pStyle w:val="Tabletext"/>
              <w:jc w:val="both"/>
            </w:pPr>
            <w:r w:rsidRPr="00D424DA">
              <w:t>aPR 0.81 (95% CI 0.72–0.91) versus urban residence in a six-location uptake survey.</w:t>
            </w:r>
          </w:p>
        </w:tc>
        <w:tc>
          <w:tcPr>
            <w:tcW w:w="2952" w:type="dxa"/>
            <w:vAlign w:val="center"/>
          </w:tcPr>
          <w:p w14:paraId="6DCFBAD2" w14:textId="77777777" w:rsidR="00CF0836" w:rsidRPr="00D424DA" w:rsidRDefault="00000000" w:rsidP="00FA4D91">
            <w:pPr>
              <w:pStyle w:val="Tabletext"/>
              <w:jc w:val="both"/>
            </w:pPr>
            <w:r w:rsidRPr="00D424DA">
              <w:t>An uptake disadvantage can coexist with favourable willingness; service opportunity may differ.</w:t>
            </w:r>
          </w:p>
        </w:tc>
        <w:tc>
          <w:tcPr>
            <w:tcW w:w="2088" w:type="dxa"/>
            <w:vAlign w:val="center"/>
          </w:tcPr>
          <w:p w14:paraId="553EF55C" w14:textId="77777777" w:rsidR="00CF0836" w:rsidRPr="00D424DA" w:rsidRDefault="00000000" w:rsidP="00FA4D91">
            <w:pPr>
              <w:pStyle w:val="Tabletext"/>
              <w:jc w:val="both"/>
            </w:pPr>
            <w:r w:rsidRPr="00D424DA">
              <w:t>(Bamgboye et al., 2024; Oyekale, 2022)</w:t>
            </w:r>
          </w:p>
        </w:tc>
      </w:tr>
      <w:tr w:rsidR="00D424DA" w:rsidRPr="00D424DA" w14:paraId="468205E6" w14:textId="77777777" w:rsidTr="00690906">
        <w:trPr>
          <w:cantSplit/>
          <w:jc w:val="center"/>
        </w:trPr>
        <w:tc>
          <w:tcPr>
            <w:tcW w:w="1440" w:type="dxa"/>
            <w:vAlign w:val="center"/>
          </w:tcPr>
          <w:p w14:paraId="1F870A82" w14:textId="77777777" w:rsidR="00CF0836" w:rsidRPr="00D424DA" w:rsidRDefault="00000000" w:rsidP="00FA4D91">
            <w:pPr>
              <w:pStyle w:val="Tabletext"/>
              <w:jc w:val="both"/>
            </w:pPr>
            <w:r w:rsidRPr="00D424DA">
              <w:t>Practical access</w:t>
            </w:r>
          </w:p>
        </w:tc>
        <w:tc>
          <w:tcPr>
            <w:tcW w:w="2880" w:type="dxa"/>
            <w:vAlign w:val="center"/>
          </w:tcPr>
          <w:p w14:paraId="1AAAF0C6" w14:textId="77777777" w:rsidR="00CF0836" w:rsidRPr="00D424DA" w:rsidRDefault="00000000" w:rsidP="00FA4D91">
            <w:pPr>
              <w:pStyle w:val="Tabletext"/>
              <w:jc w:val="both"/>
            </w:pPr>
            <w:r w:rsidRPr="00D424DA">
              <w:t>Cost/income loss: aOR 0.35 (95% CI 0.24–0.50); unavailable routine-site vaccination: 0.29 (0.21–0.40).</w:t>
            </w:r>
          </w:p>
        </w:tc>
        <w:tc>
          <w:tcPr>
            <w:tcW w:w="2952" w:type="dxa"/>
            <w:vAlign w:val="center"/>
          </w:tcPr>
          <w:p w14:paraId="2AE3A3B6" w14:textId="77777777" w:rsidR="00CF0836" w:rsidRPr="00D424DA" w:rsidRDefault="00000000" w:rsidP="00FA4D91">
            <w:pPr>
              <w:pStyle w:val="Tabletext"/>
              <w:jc w:val="both"/>
            </w:pPr>
            <w:r w:rsidRPr="00D424DA">
              <w:t>Digital cross-sectional associations support investigating access, not a quantified effect of removing each barrier.</w:t>
            </w:r>
          </w:p>
        </w:tc>
        <w:tc>
          <w:tcPr>
            <w:tcW w:w="2088" w:type="dxa"/>
            <w:vAlign w:val="center"/>
          </w:tcPr>
          <w:p w14:paraId="7A0C5767" w14:textId="77777777" w:rsidR="00CF0836" w:rsidRPr="00D424DA" w:rsidRDefault="00000000" w:rsidP="00FA4D91">
            <w:pPr>
              <w:pStyle w:val="Tabletext"/>
              <w:jc w:val="both"/>
            </w:pPr>
            <w:r w:rsidRPr="00D424DA">
              <w:t>(Agha et al., 2024)</w:t>
            </w:r>
          </w:p>
        </w:tc>
      </w:tr>
      <w:tr w:rsidR="00D424DA" w:rsidRPr="007D29D1" w14:paraId="69741719" w14:textId="77777777" w:rsidTr="00690906">
        <w:trPr>
          <w:cantSplit/>
          <w:jc w:val="center"/>
        </w:trPr>
        <w:tc>
          <w:tcPr>
            <w:tcW w:w="1440" w:type="dxa"/>
            <w:vAlign w:val="center"/>
          </w:tcPr>
          <w:p w14:paraId="05292F96" w14:textId="77777777" w:rsidR="00CF0836" w:rsidRPr="00D424DA" w:rsidRDefault="00000000" w:rsidP="00FA4D91">
            <w:pPr>
              <w:pStyle w:val="Tabletext"/>
              <w:jc w:val="both"/>
            </w:pPr>
            <w:r w:rsidRPr="00D424DA">
              <w:t>Trust and safety</w:t>
            </w:r>
          </w:p>
        </w:tc>
        <w:tc>
          <w:tcPr>
            <w:tcW w:w="2880" w:type="dxa"/>
            <w:vAlign w:val="center"/>
          </w:tcPr>
          <w:p w14:paraId="1813379B" w14:textId="77777777" w:rsidR="00CF0836" w:rsidRPr="00D424DA" w:rsidRDefault="00000000" w:rsidP="00FA4D91">
            <w:pPr>
              <w:pStyle w:val="Tabletext"/>
              <w:jc w:val="both"/>
            </w:pPr>
            <w:r w:rsidRPr="00D424DA">
              <w:t>Contextual trust, confidence in safety and willingness were associated across several designs.</w:t>
            </w:r>
          </w:p>
        </w:tc>
        <w:tc>
          <w:tcPr>
            <w:tcW w:w="2952" w:type="dxa"/>
            <w:vAlign w:val="center"/>
          </w:tcPr>
          <w:p w14:paraId="3448EBEF" w14:textId="77777777" w:rsidR="00CF0836" w:rsidRPr="00D424DA" w:rsidRDefault="00000000" w:rsidP="00FA4D91">
            <w:pPr>
              <w:pStyle w:val="Tabletext"/>
              <w:jc w:val="both"/>
            </w:pPr>
            <w:r w:rsidRPr="00D424DA">
              <w:t>Trust measures are not interchangeable. Ecological matching and reverse causation limit individual causal claims.</w:t>
            </w:r>
          </w:p>
        </w:tc>
        <w:tc>
          <w:tcPr>
            <w:tcW w:w="2088" w:type="dxa"/>
            <w:vAlign w:val="center"/>
          </w:tcPr>
          <w:p w14:paraId="6C8FF342" w14:textId="77777777" w:rsidR="00CF0836" w:rsidRPr="007D29D1" w:rsidRDefault="00000000" w:rsidP="00FA4D91">
            <w:pPr>
              <w:pStyle w:val="Tabletext"/>
              <w:jc w:val="both"/>
              <w:rPr>
                <w:lang w:val="nl-BE"/>
              </w:rPr>
            </w:pPr>
            <w:r w:rsidRPr="007D29D1">
              <w:rPr>
                <w:lang w:val="nl-BE"/>
              </w:rPr>
              <w:t>(Oyeyemi et al., 2023; Sato, 2022; Wonodi et al., 2024)</w:t>
            </w:r>
          </w:p>
        </w:tc>
      </w:tr>
      <w:tr w:rsidR="00D424DA" w:rsidRPr="007D29D1" w14:paraId="10748309" w14:textId="77777777" w:rsidTr="00690906">
        <w:trPr>
          <w:cantSplit/>
          <w:jc w:val="center"/>
        </w:trPr>
        <w:tc>
          <w:tcPr>
            <w:tcW w:w="1440" w:type="dxa"/>
            <w:vAlign w:val="center"/>
          </w:tcPr>
          <w:p w14:paraId="25A6F81E" w14:textId="77777777" w:rsidR="00CF0836" w:rsidRPr="00D424DA" w:rsidRDefault="00000000" w:rsidP="00FA4D91">
            <w:pPr>
              <w:pStyle w:val="Tabletext"/>
              <w:jc w:val="both"/>
            </w:pPr>
            <w:r w:rsidRPr="00D424DA">
              <w:lastRenderedPageBreak/>
              <w:t>Social and religious context</w:t>
            </w:r>
          </w:p>
        </w:tc>
        <w:tc>
          <w:tcPr>
            <w:tcW w:w="2880" w:type="dxa"/>
            <w:vAlign w:val="center"/>
          </w:tcPr>
          <w:p w14:paraId="11896F2B" w14:textId="77777777" w:rsidR="00CF0836" w:rsidRPr="00D424DA" w:rsidRDefault="00000000" w:rsidP="00FA4D91">
            <w:pPr>
              <w:pStyle w:val="Tabletext"/>
              <w:jc w:val="both"/>
            </w:pPr>
            <w:r w:rsidRPr="00D424DA">
              <w:t>Social endorsement appeared relevant; affiliation associations varied with setting and population.</w:t>
            </w:r>
          </w:p>
        </w:tc>
        <w:tc>
          <w:tcPr>
            <w:tcW w:w="2952" w:type="dxa"/>
            <w:vAlign w:val="center"/>
          </w:tcPr>
          <w:p w14:paraId="607A770C" w14:textId="77777777" w:rsidR="00CF0836" w:rsidRPr="00D424DA" w:rsidRDefault="00000000" w:rsidP="00FA4D91">
            <w:pPr>
              <w:pStyle w:val="Tabletext"/>
              <w:jc w:val="both"/>
            </w:pPr>
            <w:r w:rsidRPr="00D424DA">
              <w:t>Do not infer intrinsic resistance from affiliation or distinguish influence from social selection without stronger designs.</w:t>
            </w:r>
          </w:p>
        </w:tc>
        <w:tc>
          <w:tcPr>
            <w:tcW w:w="2088" w:type="dxa"/>
            <w:vAlign w:val="center"/>
          </w:tcPr>
          <w:p w14:paraId="5535EA90" w14:textId="77777777" w:rsidR="00CF0836" w:rsidRPr="007D29D1" w:rsidRDefault="00000000" w:rsidP="00FA4D91">
            <w:pPr>
              <w:pStyle w:val="Tabletext"/>
              <w:jc w:val="both"/>
              <w:rPr>
                <w:lang w:val="nl-BE"/>
              </w:rPr>
            </w:pPr>
            <w:r w:rsidRPr="007D29D1">
              <w:rPr>
                <w:lang w:val="nl-BE"/>
              </w:rPr>
              <w:t>(Bamgboye et al., 2024; Omale et al., 2024; Ozoh et al., 2023)</w:t>
            </w:r>
          </w:p>
        </w:tc>
      </w:tr>
      <w:tr w:rsidR="00D424DA" w:rsidRPr="007D29D1" w14:paraId="01B0498A" w14:textId="77777777" w:rsidTr="00690906">
        <w:trPr>
          <w:cantSplit/>
          <w:jc w:val="center"/>
        </w:trPr>
        <w:tc>
          <w:tcPr>
            <w:tcW w:w="1440" w:type="dxa"/>
            <w:vAlign w:val="center"/>
          </w:tcPr>
          <w:p w14:paraId="60D3B93F" w14:textId="77777777" w:rsidR="00CF0836" w:rsidRPr="00D424DA" w:rsidRDefault="00000000" w:rsidP="00FA4D91">
            <w:pPr>
              <w:pStyle w:val="Tabletext"/>
              <w:keepNext/>
              <w:jc w:val="both"/>
            </w:pPr>
            <w:r w:rsidRPr="00D424DA">
              <w:t>Knowledge and experience</w:t>
            </w:r>
          </w:p>
        </w:tc>
        <w:tc>
          <w:tcPr>
            <w:tcW w:w="2880" w:type="dxa"/>
            <w:vAlign w:val="center"/>
          </w:tcPr>
          <w:p w14:paraId="3576A2F1" w14:textId="77777777" w:rsidR="00CF0836" w:rsidRPr="00D424DA" w:rsidRDefault="00000000" w:rsidP="00FA4D91">
            <w:pPr>
              <w:pStyle w:val="Tabletext"/>
              <w:keepNext/>
              <w:jc w:val="both"/>
            </w:pPr>
            <w:r w:rsidRPr="00D424DA">
              <w:t>Knowledge, testing or healthcare contact were associated with attitudes or receipt in some samples.</w:t>
            </w:r>
          </w:p>
        </w:tc>
        <w:tc>
          <w:tcPr>
            <w:tcW w:w="2952" w:type="dxa"/>
            <w:vAlign w:val="center"/>
          </w:tcPr>
          <w:p w14:paraId="2355D776" w14:textId="77777777" w:rsidR="00CF0836" w:rsidRPr="00D424DA" w:rsidRDefault="00000000" w:rsidP="00FA4D91">
            <w:pPr>
              <w:pStyle w:val="Tabletext"/>
              <w:keepNext/>
              <w:jc w:val="both"/>
            </w:pPr>
            <w:r w:rsidRPr="00D424DA">
              <w:t>These may precede or follow vaccination. A knowledge association does not estimate an educational intervention effect.</w:t>
            </w:r>
          </w:p>
        </w:tc>
        <w:tc>
          <w:tcPr>
            <w:tcW w:w="2088" w:type="dxa"/>
            <w:vAlign w:val="center"/>
          </w:tcPr>
          <w:p w14:paraId="2F379087" w14:textId="77777777" w:rsidR="00CF0836" w:rsidRPr="007D29D1" w:rsidRDefault="00000000" w:rsidP="00FA4D91">
            <w:pPr>
              <w:pStyle w:val="Tabletext"/>
              <w:keepNext/>
              <w:jc w:val="both"/>
              <w:rPr>
                <w:lang w:val="nl-BE"/>
              </w:rPr>
            </w:pPr>
            <w:r w:rsidRPr="007D29D1">
              <w:rPr>
                <w:lang w:val="nl-BE"/>
              </w:rPr>
              <w:t>(Ojewale et al., 2022; Sogbesan et al., 2026)</w:t>
            </w:r>
          </w:p>
        </w:tc>
      </w:tr>
    </w:tbl>
    <w:p w14:paraId="6301D2FA" w14:textId="77777777" w:rsidR="00CF0836" w:rsidRPr="00D424DA" w:rsidRDefault="00000000" w:rsidP="00FA4D91">
      <w:pPr>
        <w:pStyle w:val="Tablenote"/>
        <w:keepLines/>
        <w:jc w:val="both"/>
      </w:pPr>
      <w:r w:rsidRPr="00D424DA">
        <w:rPr>
          <w:i/>
        </w:rPr>
        <w:t xml:space="preserve">Note. </w:t>
      </w:r>
      <w:proofErr w:type="spellStart"/>
      <w:r w:rsidRPr="00D424DA">
        <w:t>aOR</w:t>
      </w:r>
      <w:proofErr w:type="spellEnd"/>
      <w:r w:rsidRPr="00D424DA">
        <w:t xml:space="preserve"> = adjusted odds ratio; aPR = adjusted prevalence ratio; CI = confidence interval. Estimates retain their original reference groups and outcome definitions; aORs and aPRs are not directly comparable. The table does not rank factors by causal importance.</w:t>
      </w:r>
    </w:p>
    <w:p w14:paraId="5807A23A" w14:textId="77777777" w:rsidR="00CF0836" w:rsidRPr="00D424DA" w:rsidRDefault="00000000" w:rsidP="00FA4D91">
      <w:pPr>
        <w:pStyle w:val="Heading1"/>
        <w:jc w:val="both"/>
        <w:rPr>
          <w:color w:val="auto"/>
        </w:rPr>
      </w:pPr>
      <w:r w:rsidRPr="00D424DA">
        <w:rPr>
          <w:color w:val="auto"/>
        </w:rPr>
        <w:t>6. Priority Populations and Inequalities in the Evidence</w:t>
      </w:r>
    </w:p>
    <w:p w14:paraId="37E78102" w14:textId="77777777" w:rsidR="00CF0836" w:rsidRPr="00D424DA" w:rsidRDefault="00000000" w:rsidP="00FA4D91">
      <w:pPr>
        <w:pStyle w:val="Heading2"/>
        <w:jc w:val="both"/>
        <w:rPr>
          <w:color w:val="auto"/>
        </w:rPr>
      </w:pPr>
      <w:r w:rsidRPr="00D424DA">
        <w:rPr>
          <w:color w:val="auto"/>
        </w:rPr>
        <w:t>6.1 Healthcare Workers: Access, Professional Variation and Counselling</w:t>
      </w:r>
    </w:p>
    <w:p w14:paraId="474CFFD2" w14:textId="77777777" w:rsidR="00CF0836" w:rsidRPr="00D424DA" w:rsidRDefault="00000000" w:rsidP="00FA4D91">
      <w:pPr>
        <w:jc w:val="both"/>
      </w:pPr>
      <w:r w:rsidRPr="00D424DA">
        <w:t>Healthcare workers occupy a distinctive position because occupational exposure, institutional vaccination offers and professional expectations may affect their own uptake. The large early deployment assessment by Nomhwange and colleagues enrolled more than 10,000 healthcare workers during March and April 2021. It is valuable for understanding responses during organised vaccine provision, but it should not be treated as a simple probability sample of every Nigerian healthcare worker. Recruitment during deployment can select people already connected to the programme and therefore more likely to encounter an offer (Nomhwange et al., 2022).</w:t>
      </w:r>
    </w:p>
    <w:p w14:paraId="6FFEE9D0" w14:textId="77777777" w:rsidR="00CF0836" w:rsidRPr="00D424DA" w:rsidRDefault="00000000" w:rsidP="00FA4D91">
      <w:pPr>
        <w:jc w:val="both"/>
      </w:pPr>
      <w:r w:rsidRPr="00D424DA">
        <w:t>High reported uptake in a workforce does not eliminate uncertainty about confidence. Sogbesan and colleagues reported vaccination in 96.7% of 396 primary healthcare workers, compared with 43.4% of 2,206 community participants recruited through selected facilities. This contrast should not be interpreted as the causal effect of being a healthcare worker. The groups differed in recruitment, opportunities and social composition. It does, nevertheless, illustrate why service-linked exposure must be considered when interpreting occupational contrasts (Sogbesan et al., 2026).</w:t>
      </w:r>
    </w:p>
    <w:p w14:paraId="215CB831" w14:textId="77777777" w:rsidR="00CF0836" w:rsidRPr="00D424DA" w:rsidRDefault="00000000" w:rsidP="00FA4D91">
      <w:pPr>
        <w:jc w:val="both"/>
      </w:pPr>
      <w:r w:rsidRPr="00D424DA">
        <w:t>The Ondo survey shows that professional training does not automatically prevent endorsement of misleading claims. Yet the finding should not justify treating all healthcare workers as a homogeneous communication problem. Roles, training, employment conditions and sources of information differ. A defensible workforce strategy would identify specific counselling needs and provide accessible opportunities for vaccination, while evaluating the quality of recommendations offered to patients. Self-reported willingness to recommend a vaccine is not the same outcome as a recommendation observed in practice or a patient's subsequent receipt (Nomhwange et al., 2022; Oyeyemi et al., 2023).</w:t>
      </w:r>
    </w:p>
    <w:p w14:paraId="7D12EB5E" w14:textId="77777777" w:rsidR="00CF0836" w:rsidRPr="00D424DA" w:rsidRDefault="00000000" w:rsidP="00FA4D91">
      <w:pPr>
        <w:pStyle w:val="Heading2"/>
        <w:jc w:val="both"/>
        <w:rPr>
          <w:color w:val="auto"/>
        </w:rPr>
      </w:pPr>
      <w:r w:rsidRPr="00D424DA">
        <w:rPr>
          <w:color w:val="auto"/>
        </w:rPr>
        <w:lastRenderedPageBreak/>
        <w:t>6.2 Pregnant Women and Reproductive-Health Services</w:t>
      </w:r>
    </w:p>
    <w:p w14:paraId="59DC5E7F" w14:textId="77777777" w:rsidR="00CF0836" w:rsidRPr="00D424DA" w:rsidRDefault="00000000" w:rsidP="00FA4D91">
      <w:pPr>
        <w:jc w:val="both"/>
      </w:pPr>
      <w:r w:rsidRPr="00D424DA">
        <w:t>Pregnancy-specific evidence deserves separate consideration because decisions concern both maternal and fetal well-being, and general adult messages may not answer the questions raised during antenatal care. In a survey of 927 antenatal attendees in Port Harcourt from January to March 2022, Omunakwe and colleagues reported vaccination in 14.4%. The study also measured willingness and reasons for hesitancy, which should not be merged with receipt. Its multicentre recruitment improves local breadth, but women attending the selected clinics are not representative of all pregnant women, particularly those receiving little or no antenatal care (Omunakwe et al., 2024).</w:t>
      </w:r>
    </w:p>
    <w:p w14:paraId="762216F5" w14:textId="77777777" w:rsidR="00CF0836" w:rsidRPr="00D424DA" w:rsidRDefault="00000000" w:rsidP="00FA4D91">
      <w:pPr>
        <w:jc w:val="both"/>
      </w:pPr>
      <w:r w:rsidRPr="00D424DA">
        <w:t>Antenatal contact offers an opportunity for discussion and service linkage, not evidence that an educational intervention alone will increase vaccination. Evaluation should distinguish whether an eligible woman received a clear recommendation, whether concerns were addressed, whether vaccination was available during or near the visit and whether receipt followed. Current clinical eligibility and product guidance must govern implementation; historical acceptance surveys cannot substitute for that guidance. The relevant programme outcome is appropriate, informed vaccination among eligible women rather than an undifferentiated increase in favourable attitudes (Omunakwe et al., 2024; World Health Organization, 2023b).</w:t>
      </w:r>
    </w:p>
    <w:p w14:paraId="14D7B9A1" w14:textId="77777777" w:rsidR="00CF0836" w:rsidRPr="00D424DA" w:rsidRDefault="00000000" w:rsidP="00FA4D91">
      <w:pPr>
        <w:jc w:val="both"/>
      </w:pPr>
      <w:r w:rsidRPr="00D424DA">
        <w:t>Measurement also needs to avoid attributing an apparent sex difference to pregnancy without evidence. Most general-population surveys do not provide sufficient pregnancy-specific denominators, timing or reasons for delay. Women may be classified together despite very different clinical and social circumstances. Pregnancy-focused research should therefore retain gestational timing, previous vaccination, clinician advice and service availability, while recognising the risk of excluding women who are least connected to formal services. This approach would make the evidence more useful for care pathways than broad comparisons of male and female respondents (Omunakwe et al., 2024; World Health Organization, 2022).</w:t>
      </w:r>
    </w:p>
    <w:p w14:paraId="32F91C72" w14:textId="77777777" w:rsidR="00CF0836" w:rsidRPr="00D424DA" w:rsidRDefault="00000000" w:rsidP="00FA4D91">
      <w:pPr>
        <w:pStyle w:val="Heading2"/>
        <w:jc w:val="both"/>
        <w:rPr>
          <w:color w:val="auto"/>
        </w:rPr>
      </w:pPr>
      <w:r w:rsidRPr="00D424DA">
        <w:rPr>
          <w:color w:val="auto"/>
        </w:rPr>
        <w:t>6.3 Older Adults and People Living With Chronic Conditions</w:t>
      </w:r>
    </w:p>
    <w:p w14:paraId="19C51BC8" w14:textId="77777777" w:rsidR="00CF0836" w:rsidRPr="00D424DA" w:rsidRDefault="00000000" w:rsidP="00FA4D91">
      <w:pPr>
        <w:jc w:val="both"/>
      </w:pPr>
      <w:r w:rsidRPr="00D424DA">
        <w:t>Older adults and people with relevant comorbidities are central to risk-based vaccination priorities, but their representation in Nigerian behavioural research is uneven. The geriatric-centre study in Ibadan reported hesitancy among 43.1% of 332 participants. Its definition and clinic-based recruitment should be retained when interpreting the estimate. Those attending a specialist centre have already navigated a healthcare pathway; people who are homebound, dependent on carers or disconnected from services may have different barriers. A clinic estimate cannot establish the burden among those missing from the clinic (Adebusoye et al., 2023; World Health Organization, 2023b).</w:t>
      </w:r>
    </w:p>
    <w:p w14:paraId="39C77D61" w14:textId="77777777" w:rsidR="00CF0836" w:rsidRPr="00D424DA" w:rsidRDefault="00000000" w:rsidP="00FA4D91">
      <w:pPr>
        <w:jc w:val="both"/>
      </w:pPr>
      <w:r w:rsidRPr="00D424DA">
        <w:t xml:space="preserve">Similarly, the Ibadan chronic-condition study provides evidence about attitudes among patients receiving care, not direct coverage in all people living with chronic illness. Its findings concerning confidence in government and other correlates support further investigation, but a favourable attitude score does not establish that a clinically appropriate dose was received. The practical research gap is therefore the link from risk identification through recommendation and </w:t>
      </w:r>
      <w:r w:rsidRPr="00D424DA">
        <w:lastRenderedPageBreak/>
        <w:t>access to documented receipt. Without that link, a programme may appear successful on attitudes while leaving clinically important gaps in vaccination (Ojewale et al., 2022).</w:t>
      </w:r>
    </w:p>
    <w:p w14:paraId="3521D525" w14:textId="77777777" w:rsidR="00CF0836" w:rsidRPr="00D424DA" w:rsidRDefault="00000000" w:rsidP="00FA4D91">
      <w:pPr>
        <w:jc w:val="both"/>
      </w:pPr>
      <w:r w:rsidRPr="00D424DA">
        <w:t>For these populations, overall first-dose coverage is an incomplete performance measure. The more relevant questions include whether eligible high-risk people were identified, whether opportunities were missed during routine care and whether subsequent recommended vaccination occurred at the appropriate time. Such questions require denominators based on clinical risk and current eligibility, rather than only age or attendance. They also require outreach methods capable of reaching people outside existing care networks. These are design priorities inferred from the limitations of the available evidence, not proven effects of a particular Nigerian outreach model (Adebusoye et al., 2023; Ojewale et al., 2022; World Health Organization, 2023b).</w:t>
      </w:r>
    </w:p>
    <w:p w14:paraId="6DFABD49" w14:textId="77777777" w:rsidR="00CF0836" w:rsidRPr="00D424DA" w:rsidRDefault="00000000" w:rsidP="00FA4D91">
      <w:pPr>
        <w:pStyle w:val="Heading2"/>
        <w:jc w:val="both"/>
        <w:rPr>
          <w:color w:val="auto"/>
        </w:rPr>
      </w:pPr>
      <w:r w:rsidRPr="00D424DA">
        <w:rPr>
          <w:color w:val="auto"/>
        </w:rPr>
        <w:t>6.4 Informal Settlements, Rural Communities and Underrepresented Adults</w:t>
      </w:r>
    </w:p>
    <w:p w14:paraId="473C9959" w14:textId="77777777" w:rsidR="00CF0836" w:rsidRPr="00D424DA" w:rsidRDefault="00000000" w:rsidP="00FA4D91">
      <w:pPr>
        <w:jc w:val="both"/>
      </w:pPr>
      <w:r w:rsidRPr="00D424DA">
        <w:t>The Makoko investigation deliberately compared 45 vaccinated with 45 unvaccinated residents. Its balanced groups were chosen for barrier analysis and must not be used to infer 50% community coverage. The study is valuable because it examines a population that broad urban categories can obscure. This illustrates a wider methodological principle: targeted qualitative or comparative recruitment can reveal barriers well while being unsuitable for prevalence estimation. Excluding such work would lose important equity evidence, but misusing it as a survey would create a different error (Ozoh et al., 2023).</w:t>
      </w:r>
    </w:p>
    <w:p w14:paraId="7AD3C0AC" w14:textId="77777777" w:rsidR="00CF0836" w:rsidRPr="00D424DA" w:rsidRDefault="00000000" w:rsidP="00FA4D91">
      <w:pPr>
        <w:jc w:val="both"/>
      </w:pPr>
      <w:r w:rsidRPr="00D424DA">
        <w:t>Rural and northern populations should likewise not be treated as uniform. The Zamfara household-head study, the Kano household survey and telephone analyses of broader regions involved different populations and stages of rollout. Their results justify locally informed investigation, not a single regional explanation. Household-head recruitment may underrepresent younger adults and women, while phone and internet recruitment can miss people with limited connectivity. Apparent geographical patterns must therefore be read together with who was able to enter each study (Ahmad et al., 2025; Enyereibe et al., 2025; Oyekale, 2022).</w:t>
      </w:r>
    </w:p>
    <w:p w14:paraId="2893826B" w14:textId="77777777" w:rsidR="00CF0836" w:rsidRPr="00D424DA" w:rsidRDefault="00000000" w:rsidP="00FA4D91">
      <w:pPr>
        <w:jc w:val="both"/>
      </w:pPr>
      <w:r w:rsidRPr="00D424DA">
        <w:t>The reviewed evidence provides limited direct information about adults with disabilities, mobile populations, people experiencing displacement and those beyond routine service reach. Absence of detailed estimates for these groups does not establish that their uptake was low or high; it identifies an information gap. Equity-oriented surveillance should record inclusion barriers and use recruitment approaches that do not depend exclusively on digital access or clinic attendance. The purpose is to make underserved populations observable without converting their social identity into an assumed behavioural deficit (World Health Organization, 2022, 2023a).</w:t>
      </w:r>
    </w:p>
    <w:p w14:paraId="3DFF0722" w14:textId="77777777" w:rsidR="00CF0836" w:rsidRPr="00D424DA" w:rsidRDefault="00000000" w:rsidP="00FA4D91">
      <w:pPr>
        <w:pStyle w:val="Heading1"/>
        <w:jc w:val="both"/>
        <w:rPr>
          <w:color w:val="auto"/>
        </w:rPr>
      </w:pPr>
      <w:r w:rsidRPr="00D424DA">
        <w:rPr>
          <w:color w:val="auto"/>
        </w:rPr>
        <w:t>7. Methodological Quality and Causal Interpretation</w:t>
      </w:r>
    </w:p>
    <w:p w14:paraId="7BC16908" w14:textId="77777777" w:rsidR="00CF0836" w:rsidRPr="00D424DA" w:rsidRDefault="00000000" w:rsidP="00FA4D91">
      <w:pPr>
        <w:pStyle w:val="Heading2"/>
        <w:jc w:val="both"/>
        <w:rPr>
          <w:color w:val="auto"/>
        </w:rPr>
      </w:pPr>
      <w:r w:rsidRPr="00D424DA">
        <w:rPr>
          <w:color w:val="auto"/>
        </w:rPr>
        <w:t>7.1 Representativeness Depends on the Sampling Process</w:t>
      </w:r>
    </w:p>
    <w:p w14:paraId="45E75543" w14:textId="77777777" w:rsidR="00CF0836" w:rsidRPr="00D424DA" w:rsidRDefault="00000000" w:rsidP="00FA4D91">
      <w:pPr>
        <w:jc w:val="both"/>
      </w:pPr>
      <w:r w:rsidRPr="00D424DA">
        <w:t xml:space="preserve">Sample size cannot compensate for systematic exclusion. A large online survey can estimate relationships precisely within its recruited population while still misrepresenting adults without digital access. A telephone sample drawn from a household frame may be better grounded, but </w:t>
      </w:r>
      <w:r w:rsidRPr="00D424DA">
        <w:lastRenderedPageBreak/>
        <w:t>attrition, phone ownership and selection of a respondent within the household remain consequential. Facility samples answer questions about people who reached services. These designs should be appraised according to their intended inferential population rather than ranked only by participant count (Agha et al., 2024; Kanyanda et al., 2021; Sogbesan et al., 2026).</w:t>
      </w:r>
    </w:p>
    <w:p w14:paraId="56BEC0D5" w14:textId="77777777" w:rsidR="00CF0836" w:rsidRPr="00D424DA" w:rsidRDefault="00000000" w:rsidP="00FA4D91">
      <w:pPr>
        <w:jc w:val="both"/>
      </w:pPr>
      <w:r w:rsidRPr="00D424DA">
        <w:t>Probability weights can correct known differences in selection probabilities and some observed non-response patterns. They do not automatically remove bias from unmeasured differences between respondents and non-respondents. Nor do demographic quotas convert convenience recruitment into probability sampling. A national label should therefore be supported by a national frame, transparent selection and an appropriate weighting strategy. For subnational comparisons, sampling allocation and uncertainty matter as much as the presence of respondents from several geopolitical zones. Geographic breadth alone is not proof of population representativeness (Bamgboye et al., 2024; Kanyanda et al., 2021).</w:t>
      </w:r>
    </w:p>
    <w:p w14:paraId="6EF88EE2" w14:textId="77777777" w:rsidR="00CF0836" w:rsidRPr="00D424DA" w:rsidRDefault="00000000" w:rsidP="00FA4D91">
      <w:pPr>
        <w:jc w:val="both"/>
      </w:pPr>
      <w:r w:rsidRPr="00D424DA">
        <w:t>Another source of overconfidence is repeated analysis of related data. Oyekale, Sato and Ojo and colleagues drew on the Nigerian national longitudinal telephone-survey infrastructure, though with different questions, rounds or analytical purposes. Agreement among their reports is not equivalent to replication in wholly independent populations. Reviews should map the underlying datasets and observation periods before counting corroborating studies. The same principle applies to several publications from one intervention programme: they may address complementary questions without providing independent confirmation of the same effect (Evans et al., 2023; Evans et al., 2024; Ojo et al., 2023; Oyekale, 2022; Sato, 2023).</w:t>
      </w:r>
    </w:p>
    <w:p w14:paraId="508E5655" w14:textId="77777777" w:rsidR="00CF0836" w:rsidRPr="00D424DA" w:rsidRDefault="00000000" w:rsidP="00FA4D91">
      <w:pPr>
        <w:pStyle w:val="Heading2"/>
        <w:jc w:val="both"/>
        <w:rPr>
          <w:color w:val="auto"/>
        </w:rPr>
      </w:pPr>
      <w:r w:rsidRPr="00D424DA">
        <w:rPr>
          <w:color w:val="auto"/>
        </w:rPr>
        <w:t>7.2 Measurement, Missing Data and Internal Consistency</w:t>
      </w:r>
    </w:p>
    <w:p w14:paraId="7F92D9CF" w14:textId="77777777" w:rsidR="00CF0836" w:rsidRPr="00D424DA" w:rsidRDefault="00000000" w:rsidP="00FA4D91">
      <w:pPr>
        <w:jc w:val="both"/>
      </w:pPr>
      <w:r w:rsidRPr="00D424DA">
        <w:t>Self-reported vaccination is often the most feasible population measure, but its interpretation depends on recall, question wording and the ability to identify dose number or product. Asking whether a person has ever received a COVID‑19 vaccine is generally more specific than asking whether they are fully vaccinated, unless the latter is carefully defined. Record verification can strengthen outcome ascertainment, although requiring a retained card may exclude valid recipients who have lost documentation. A mixed verification strategy should therefore distinguish verified receipt, credible self-report and uncertain status rather than silently recode uncertainty as non-vaccination (Bamgboye et al., 2024; World Health Organization, 2022).</w:t>
      </w:r>
    </w:p>
    <w:p w14:paraId="3FBADFB9" w14:textId="77777777" w:rsidR="00CF0836" w:rsidRPr="00D424DA" w:rsidRDefault="00000000" w:rsidP="00FA4D91">
      <w:pPr>
        <w:jc w:val="both"/>
      </w:pPr>
      <w:r w:rsidRPr="00D424DA">
        <w:t>Missing responses can change denominators between overall uptake, willingness among unvaccinated participants and reasons for refusal. Each percentage should retain its own denominator, especially when questions are conditional. Reasons for reluctance may be multiple-response items and should not be expected to sum to 100%. A composite hesitant category can also conceal important subgroups: people declining all vaccination, those awaiting information and those planning to attend later. Collapsing these categories may simplify regression but weakens intervention targeting (Ahmad et al., 2025; Ibenye-Ugbala et al., 2026; Omunakwe et al., 2024).</w:t>
      </w:r>
    </w:p>
    <w:p w14:paraId="7F258A0E" w14:textId="77777777" w:rsidR="00CF0836" w:rsidRPr="00D424DA" w:rsidRDefault="00000000" w:rsidP="00FA4D91">
      <w:pPr>
        <w:jc w:val="both"/>
      </w:pPr>
      <w:r w:rsidRPr="00D424DA">
        <w:t xml:space="preserve">Internal discrepancies warrant proportionate treatment. The sample-size inconsistency in Ojo and colleagues' report does not justify declaring the entire evidence base unreliable. It does justify </w:t>
      </w:r>
      <w:r w:rsidRPr="00D424DA">
        <w:lastRenderedPageBreak/>
        <w:t>withholding unwarranted numerical precision and seeking clarification before pooling. Similar scrutiny should be applied to inconsistent outcome labels or descriptions of the fieldwork period. The appropriate response is to preserve verifiable results with a clearly bounded interpretation, rather than either ignoring the problem or treating every reporting imperfection as evidence of invalid data (Ojo et al., 2023).</w:t>
      </w:r>
    </w:p>
    <w:p w14:paraId="5E2E30B9" w14:textId="77777777" w:rsidR="00CF0836" w:rsidRPr="00D424DA" w:rsidRDefault="00000000" w:rsidP="00FA4D91">
      <w:pPr>
        <w:pStyle w:val="Heading2"/>
        <w:jc w:val="both"/>
        <w:rPr>
          <w:color w:val="auto"/>
        </w:rPr>
      </w:pPr>
      <w:r w:rsidRPr="00D424DA">
        <w:rPr>
          <w:color w:val="auto"/>
        </w:rPr>
        <w:t>7.3 Association Is Not an Intervention Effect</w:t>
      </w:r>
    </w:p>
    <w:p w14:paraId="2D1009F1" w14:textId="77777777" w:rsidR="00CF0836" w:rsidRPr="00D424DA" w:rsidRDefault="00000000" w:rsidP="00FA4D91">
      <w:pPr>
        <w:jc w:val="both"/>
      </w:pPr>
      <w:r w:rsidRPr="00D424DA">
        <w:t>Most determinant studies compare vaccinated and unvaccinated people at one point in time. Consequently, exposures such as confidence, information source and knowledge may have been altered by the vaccination encounter itself. A vaccinated person may name healthcare workers as a source because counselling occurred during administration. A person who encountered no service may report lower trust after an unsuccessful attempt. These pathways make reverse causation plausible even when a regression includes several demographic covariates. Statistical adjustment cannot restore a temporal sequence that was not measured (Ojo et al., 2023; Wonodi et al., 2024).</w:t>
      </w:r>
    </w:p>
    <w:p w14:paraId="5B5A2922" w14:textId="77777777" w:rsidR="00CF0836" w:rsidRPr="00D424DA" w:rsidRDefault="00000000" w:rsidP="00FA4D91">
      <w:pPr>
        <w:jc w:val="both"/>
      </w:pPr>
      <w:r w:rsidRPr="00D424DA">
        <w:t>Confounding presents a separate challenge. Education, wealth, employment, urban residence and healthcare contact may be interrelated. Including all available variables without an explicit causal question can obscure whether an estimate represents a total relationship, a direct relationship conditional on mediators, or an artefact of selection. Variables should be chosen according to the research question and plausible temporal structure, not solely because they meet a bivariate significance threshold. Sensitivity analyses can show whether conclusions depend on alternative adjustment sets, but they do not eliminate unmeasured confounding (Agha et al., 2024; Bamgboye et al., 2024).</w:t>
      </w:r>
    </w:p>
    <w:p w14:paraId="2CE8DB3D" w14:textId="77777777" w:rsidR="00CF0836" w:rsidRPr="00D424DA" w:rsidRDefault="00000000" w:rsidP="00FA4D91">
      <w:pPr>
        <w:jc w:val="both"/>
      </w:pPr>
      <w:r w:rsidRPr="00D424DA">
        <w:t>The statistical measure also matters. An adjusted odds ratio is not an adjusted risk ratio, and when vaccination is common its numerical magnitude can appear more dramatic than the corresponding relative probability. For cross-sectional binary outcomes, appropriately specified prevalence-ratio approaches can improve interpretation. The modified Poisson approach provides a relevant methodological foundation, although analysts must still account for survey weights, clustering and the particular sampling design. Reporting adjusted absolute probabilities or percentage-point differences alongside relative estimates would make results more useful for programme decisions (Zou, 2004).</w:t>
      </w:r>
    </w:p>
    <w:p w14:paraId="7C2F7D7C" w14:textId="77777777" w:rsidR="00CF0836" w:rsidRPr="00D424DA" w:rsidRDefault="00000000" w:rsidP="00FA4D91">
      <w:pPr>
        <w:pStyle w:val="Heading2"/>
        <w:jc w:val="both"/>
        <w:rPr>
          <w:color w:val="auto"/>
        </w:rPr>
      </w:pPr>
      <w:r w:rsidRPr="00D424DA">
        <w:rPr>
          <w:color w:val="auto"/>
        </w:rPr>
        <w:t>7.4 Precision, Qualitative Evidence and Strength of Inference</w:t>
      </w:r>
    </w:p>
    <w:p w14:paraId="44EE0571" w14:textId="77777777" w:rsidR="00CF0836" w:rsidRPr="00D424DA" w:rsidRDefault="00000000" w:rsidP="00FA4D91">
      <w:pPr>
        <w:jc w:val="both"/>
      </w:pPr>
      <w:r w:rsidRPr="00D424DA">
        <w:t>A large estimated association with a wide confidence interval is evidence of uncertainty, not exceptional importance. Sparse cells can occur in subgroup analyses or when almost everyone in a workforce has already been vaccinated. Multiple candidate predictors, uncommon outcomes and extensive categorisation can make estimates unstable. Reviews should examine denominators and confidence intervals rather than rank barriers by the largest reported odds ratio. The geriatric and household-head studies illustrate why striking point estimates require attention to precision and the exact outcome being modelled (Adebusoye et al., 2023; Ahmad et al., 2025).</w:t>
      </w:r>
    </w:p>
    <w:p w14:paraId="7A53A294" w14:textId="77777777" w:rsidR="00CF0836" w:rsidRPr="00D424DA" w:rsidRDefault="00000000" w:rsidP="00FA4D91">
      <w:pPr>
        <w:jc w:val="both"/>
      </w:pPr>
      <w:r w:rsidRPr="00D424DA">
        <w:lastRenderedPageBreak/>
        <w:t>Qualitative evidence contributes a different form of knowledge. Focus groups can reveal how safety concerns, social expectations and service experiences are interpreted, but cannot establish prevalence. Their contribution is strongest when sampling decisions, context and analysis are transparent and when divergent accounts are retained. The Ebonyi and early multisite studies broaden understanding of mechanisms, while the Abuja study permits comparison between survey patterns and qualitative accounts. Convergence improves interpretive plausibility, but it is not equivalent to experimental confirmation (Omale et al., 2024; Wonodi et al., 2022; Wonodi et al., 2024).</w:t>
      </w:r>
    </w:p>
    <w:p w14:paraId="7591027F" w14:textId="77777777" w:rsidR="00CF0836" w:rsidRPr="00D424DA" w:rsidRDefault="00000000" w:rsidP="00FA4D91">
      <w:pPr>
        <w:jc w:val="both"/>
      </w:pPr>
      <w:r w:rsidRPr="00D424DA">
        <w:t>Taken together, the evidence supports comparatively high confidence that measurement and access must be considered alongside motivation. Confidence is lower in any fixed ordering of demographic determinants or in causal claims about trust, knowledge and social-media exposure. Intervention conclusions require a separate hierarchy because an exposure associated with vaccination may be difficult to change, may not be causal or may operate differently when deliberately manipulated. This distinction sets the basis for evaluating proposed responses rather than assuming that every significant association identifies an effective programme lever (Brewer et al., 2017; Evans et al., 2024).</w:t>
      </w:r>
    </w:p>
    <w:p w14:paraId="5719B05B" w14:textId="77777777" w:rsidR="00CF0836" w:rsidRPr="00D424DA" w:rsidRDefault="00000000" w:rsidP="00FA4D91">
      <w:pPr>
        <w:pStyle w:val="Heading1"/>
        <w:jc w:val="both"/>
        <w:rPr>
          <w:color w:val="auto"/>
        </w:rPr>
      </w:pPr>
      <w:r w:rsidRPr="00D424DA">
        <w:rPr>
          <w:color w:val="auto"/>
        </w:rPr>
        <w:t>8. Intervention Evidence and Implications for Implementation</w:t>
      </w:r>
    </w:p>
    <w:p w14:paraId="0F8F7465" w14:textId="77777777" w:rsidR="00CF0836" w:rsidRPr="00D424DA" w:rsidRDefault="00000000" w:rsidP="00FA4D91">
      <w:pPr>
        <w:pStyle w:val="Heading2"/>
        <w:jc w:val="both"/>
        <w:rPr>
          <w:color w:val="auto"/>
        </w:rPr>
      </w:pPr>
      <w:r w:rsidRPr="00D424DA">
        <w:rPr>
          <w:color w:val="auto"/>
        </w:rPr>
        <w:t>8.1 Social-Media Campaigns: Encouraging Associations, Uncertain Uptake Effects</w:t>
      </w:r>
    </w:p>
    <w:p w14:paraId="0D70F84C" w14:textId="77777777" w:rsidR="00CF0836" w:rsidRPr="00D424DA" w:rsidRDefault="00000000" w:rsidP="00FA4D91">
      <w:pPr>
        <w:jc w:val="both"/>
      </w:pPr>
      <w:r w:rsidRPr="00D424DA">
        <w:t>The Nigerian social-media programme studied by Evans and colleagues provides an unusually informative contrast between observational and randomised evidence. The 2023 campaign evaluation compared respondents in campaign and comparison locations and reported favourable associations with vaccination-related outcomes. Its longitudinal component is a strength relative to a single cross-section. Nevertheless, non-random allocation of campaign locations, digital recruitment, attrition and concurrent programme changes limit attribution. Differences between locations may reflect factors that were present before exposure or evolved alongside the campaign (Evans et al., 2023).</w:t>
      </w:r>
    </w:p>
    <w:p w14:paraId="41F23887" w14:textId="77777777" w:rsidR="00CF0836" w:rsidRPr="00D424DA" w:rsidRDefault="00000000" w:rsidP="00FA4D91">
      <w:pPr>
        <w:jc w:val="both"/>
      </w:pPr>
      <w:r w:rsidRPr="00D424DA">
        <w:t xml:space="preserve">The later publication reported two randomised experiments among unvaccinated social-media users selected for a persuadable middle position. Neither experiment demonstrated a statistically clear increase in the primary uptake endpoint. In the second, the adjusted difference was 6.0 percentage points with </w:t>
      </w:r>
      <w:r w:rsidRPr="00D424DA">
        <w:rPr>
          <w:i/>
        </w:rPr>
        <w:t>p</w:t>
      </w:r>
      <w:r w:rsidRPr="00D424DA">
        <w:t xml:space="preserve"> = .085; the first produced smaller, non-significant uptake differences. Some attitude or social-norm outcomes changed in parts of the analysis, but these were not consistently accompanied by demonstrated receipt. These results warrant neither a claim of proven success nor a claim that digital communication cannot work (Evans et al., 2024).</w:t>
      </w:r>
    </w:p>
    <w:p w14:paraId="046F605F" w14:textId="77777777" w:rsidR="00CF0836" w:rsidRPr="00D424DA" w:rsidRDefault="00000000" w:rsidP="00FA4D91">
      <w:pPr>
        <w:jc w:val="both"/>
      </w:pPr>
      <w:r w:rsidRPr="00D424DA">
        <w:t xml:space="preserve">The contrast changes the evidential conclusion. The observational study supports feasibility and a potentially useful association; the randomised experiments offer more direct causal evidence but leave uptake effects uncertain. Their selected digital population also limits transferability to people outside social-media recruitment. Attrition and limited sample size reduce precision, while changes in attitudes remain intermediate outcomes. An intervention can be promising </w:t>
      </w:r>
      <w:r w:rsidRPr="00D424DA">
        <w:lastRenderedPageBreak/>
        <w:t>enough to refine without being established enough to scale on the assumption of a known vaccination effect (Evans et al., 2023; Evans et al., 2024).</w:t>
      </w:r>
    </w:p>
    <w:p w14:paraId="3FD0E15F" w14:textId="77777777" w:rsidR="00CF0836" w:rsidRPr="00D424DA" w:rsidRDefault="00000000" w:rsidP="00FA4D91">
      <w:pPr>
        <w:jc w:val="both"/>
      </w:pPr>
      <w:r w:rsidRPr="00D424DA">
        <w:t>Future campaign evaluations should specify a primary behavioural endpoint, follow participants long enough for accessible vaccination to occur and document whether a service offer accompanied the message. Engagement metrics, advertisement exposure and favourable comments should remain implementation measures rather than substitutes for receipt. A programme may reach many people yet fail to overcome a closed clinic or transport cost. Conversely, a modest communication component may be sufficient when an immediately accessible service is available. This interaction should be designed into evaluation rather than inferred from message exposure alone (Brewer et al., 2017; World Health Organization, 2022).</w:t>
      </w:r>
    </w:p>
    <w:p w14:paraId="4B62D094" w14:textId="77777777" w:rsidR="00CF0836" w:rsidRPr="00D424DA" w:rsidRDefault="00000000" w:rsidP="00FA4D91">
      <w:pPr>
        <w:pStyle w:val="Heading2"/>
        <w:jc w:val="both"/>
        <w:rPr>
          <w:color w:val="auto"/>
        </w:rPr>
      </w:pPr>
      <w:r w:rsidRPr="00D424DA">
        <w:rPr>
          <w:color w:val="auto"/>
        </w:rPr>
        <w:t>8.2 Last-Mile Delivery and the Limits of Regional Extrapolation</w:t>
      </w:r>
    </w:p>
    <w:p w14:paraId="28E89A27" w14:textId="77777777" w:rsidR="00CF0836" w:rsidRPr="00D424DA" w:rsidRDefault="00000000" w:rsidP="00FA4D91">
      <w:pPr>
        <w:jc w:val="both"/>
      </w:pPr>
      <w:r w:rsidRPr="00D424DA">
        <w:t>Direct Nigerian experimental evidence on convenient delivery was limited in the reviewed literature. A relevant comparator is the cluster-randomised trial in 150 communities in Sierra Leone, where mobile vaccination teams accompanied by community mobilisation increased uptake by approximately 26 percentage points within several days. Randomisation provides stronger evidence for the intervention package than Nigerian cross-sectional associations between access and receipt. However, the trial concerns a specific service configuration and setting; it does not supply a Nigerian effect estimate or isolate the separate contribution of mobilisation from delivery (Meriggi et al., 2024).</w:t>
      </w:r>
    </w:p>
    <w:p w14:paraId="7E6EA294" w14:textId="77777777" w:rsidR="00CF0836" w:rsidRPr="00D424DA" w:rsidRDefault="00000000" w:rsidP="00FA4D91">
      <w:pPr>
        <w:jc w:val="both"/>
      </w:pPr>
      <w:r w:rsidRPr="00D424DA">
        <w:t>The proper implication is to test similarly practical approaches under Nigerian conditions. Candidate settings include remote communities, informal settlements and locations where routine service users report difficulty obtaining vaccination. Adaptation should consider staffing, reliable supply, transport, local communication and the opportunity cost of reallocating health workers. A positive effect in one country does not remove the need to assess acceptability, cost and sustainability elsewhere. Equally, uncertainty about the exact Nigerian effect is not a reason to ignore a strong experimental demonstration that access can be a major constraint (Agha et al., 2024; Meriggi et al., 2024; Ozoh et al., 2023).</w:t>
      </w:r>
    </w:p>
    <w:p w14:paraId="756014DA" w14:textId="77777777" w:rsidR="00CF0836" w:rsidRPr="00D424DA" w:rsidRDefault="00000000" w:rsidP="00FA4D91">
      <w:pPr>
        <w:jc w:val="both"/>
      </w:pPr>
      <w:r w:rsidRPr="00D424DA">
        <w:t>An integrated delivery trial could compare usual services with scheduled community sessions, an enhanced information-and-referral package, and their combination. Such a design would help distinguish whether the main limiting factor is motivation, opportunity or both. Its outcomes should include verified uptake, completion when due, missed opportunities, total programme cost and effects on other primary-care activities. These are proposed evaluation priorities derived from the evidence, not descriptions of interventions already shown to work nationwide (Brewer et al., 2017; Meriggi et al., 2024; World Health Organization, 2022).</w:t>
      </w:r>
    </w:p>
    <w:p w14:paraId="020CF09A" w14:textId="77777777" w:rsidR="00CF0836" w:rsidRPr="00D424DA" w:rsidRDefault="00000000" w:rsidP="00FA4D91">
      <w:pPr>
        <w:pStyle w:val="Heading2"/>
        <w:jc w:val="both"/>
        <w:rPr>
          <w:color w:val="auto"/>
        </w:rPr>
      </w:pPr>
      <w:r w:rsidRPr="00D424DA">
        <w:rPr>
          <w:color w:val="auto"/>
        </w:rPr>
        <w:t>8.3 Integration into Primary Healthcare and Risk-Based Prioritisation</w:t>
      </w:r>
    </w:p>
    <w:p w14:paraId="4576EBBB" w14:textId="77777777" w:rsidR="00CF0836" w:rsidRPr="00D424DA" w:rsidRDefault="00000000" w:rsidP="00FA4D91">
      <w:pPr>
        <w:jc w:val="both"/>
      </w:pPr>
      <w:r w:rsidRPr="00D424DA">
        <w:t xml:space="preserve">The World Health Organization's 2023 Nigerian programme account described support for integrating COVID‑19 vaccination with primary healthcare and reaching vulnerable populations. This establishes a policy and implementation direction, not an evaluated causal effect. Integration may create opportunities during antenatal, chronic-disease or other routine contacts, </w:t>
      </w:r>
      <w:r w:rsidRPr="00D424DA">
        <w:lastRenderedPageBreak/>
        <w:t>but its value depends on an eligible person actually being offered an available dose. Counting facilities designated to provide vaccination is therefore insufficient. Assessment should follow the patient pathway from identification through counselling and administration (World Health Organization, 2023a).</w:t>
      </w:r>
    </w:p>
    <w:p w14:paraId="7E3E5014" w14:textId="77777777" w:rsidR="00CF0836" w:rsidRPr="00D424DA" w:rsidRDefault="00000000" w:rsidP="00FA4D91">
      <w:pPr>
        <w:jc w:val="both"/>
      </w:pPr>
      <w:r w:rsidRPr="00D424DA">
        <w:t>Risk-based prioritisation also changes what success means. The World Health Organization's 2023 Strategic Advisory Group of Experts on Immunization roadmap emphasised vaccination priorities in a setting of substantial population immunity and changing disease epidemiology. An epidemiological review should therefore avoid treating an old universal coverage target as a timeless proxy for protection. National averages can rise while clinically important groups remain insufficiently reached. Monitoring should distinguish initial uptake from recommended subsequent vaccination and identify gaps among those for whom prevention of severe disease remains most consequential (World Health Organization, 2023b).</w:t>
      </w:r>
    </w:p>
    <w:p w14:paraId="37931CBB" w14:textId="77777777" w:rsidR="00CF0836" w:rsidRPr="00D424DA" w:rsidRDefault="00000000" w:rsidP="00FA4D91">
      <w:pPr>
        <w:jc w:val="both"/>
      </w:pPr>
      <w:r w:rsidRPr="00D424DA">
        <w:t>Integration presents trade-offs that require observation rather than assumption. Adding vaccination to a busy clinic may reduce the need for another visit, but it may also increase waiting times or workload. Outreach can reach people outside facilities but may be difficult to sustain without predictable staffing and supply. These are reasons to evaluate implementation conditions and balancing outcomes, not arguments against integration. The strongest programme design would combine population reach with explicit measures of service reliability, patient experience and continuity of other essential care (Brewer et al., 2017; World Health Organization, 2023a).</w:t>
      </w:r>
    </w:p>
    <w:p w14:paraId="21C20961" w14:textId="77777777" w:rsidR="00CF0836" w:rsidRPr="00D424DA" w:rsidRDefault="00000000" w:rsidP="00FA4D91">
      <w:pPr>
        <w:pStyle w:val="Heading2"/>
        <w:jc w:val="both"/>
        <w:rPr>
          <w:color w:val="auto"/>
        </w:rPr>
      </w:pPr>
      <w:r w:rsidRPr="00D424DA">
        <w:rPr>
          <w:color w:val="auto"/>
        </w:rPr>
        <w:t>8.4 Communication, Accountability and Proportionate Policy</w:t>
      </w:r>
    </w:p>
    <w:p w14:paraId="2BEE80BE" w14:textId="77777777" w:rsidR="00CF0836" w:rsidRPr="00D424DA" w:rsidRDefault="00000000" w:rsidP="00FA4D91">
      <w:pPr>
        <w:jc w:val="both"/>
      </w:pPr>
      <w:r w:rsidRPr="00D424DA">
        <w:t>Communication should connect trustworthy information with a feasible action. For an undecided person, a clear recommendation and an opportunity to discuss safety may be appropriate. For a willing person unable to attend, reliable opening hours, referral or outreach may be more relevant. For someone with a previous dose, the issue may be understanding whether another dose is recommended. This segmentation follows the behavioural and service-delivery evidence more closely than a uniform campaign directed at a presumed national deficit of knowledge (Wonodi et al., 2024; World Health Organization, 2022).</w:t>
      </w:r>
    </w:p>
    <w:p w14:paraId="77CDBCD5" w14:textId="77777777" w:rsidR="00CF0836" w:rsidRPr="00D424DA" w:rsidRDefault="00000000" w:rsidP="00FA4D91">
      <w:pPr>
        <w:jc w:val="both"/>
      </w:pPr>
      <w:r w:rsidRPr="00D424DA">
        <w:t>Coercive policies require a separate evidential and ethical assessment. A qualitative report that respondents mentioned workplace requirements or suggested mandates does not establish their effectiveness, fairness or acceptability across the population. Nor does an association between government employment and uptake demonstrate that compulsion caused the difference. Any evaluation should distinguish convenient workplace provision from mandatory conditions and assess unintended exclusion, trust and access to essential services. The Nigerian studies reviewed here do not justify a universal mandate recommendation derived from correlational findings alone (Omale et al., 2024; Sogbesan et al., 2026).</w:t>
      </w:r>
    </w:p>
    <w:p w14:paraId="2AD21FFB" w14:textId="77777777" w:rsidR="00CF0836" w:rsidRPr="00D424DA" w:rsidRDefault="00000000" w:rsidP="00FA4D91">
      <w:pPr>
        <w:jc w:val="both"/>
      </w:pPr>
      <w:r w:rsidRPr="00D424DA">
        <w:t xml:space="preserve">Accountability should include monitoring reasons for missed vaccination opportunities and responding to community feedback. A repeated failure to deliver after mobilisation can undermine the credibility of subsequent invitations, but the frequency and consequences of such </w:t>
      </w:r>
      <w:r w:rsidRPr="00D424DA">
        <w:lastRenderedPageBreak/>
        <w:t>failures require documentation. The priority is a testable service improvement cycle rather than attributing every unmet target to the public. Table 4 separates intervention findings from plausible but unproven implementation implications, with particular attention to the difference between Nigerian evidence and regional extrapolation (Brewer et al., 2017; World Health Organization, 2022).</w:t>
      </w:r>
    </w:p>
    <w:p w14:paraId="5A21A98A" w14:textId="77777777" w:rsidR="00CF0836" w:rsidRPr="00D424DA" w:rsidRDefault="00000000" w:rsidP="00FA4D91">
      <w:pPr>
        <w:pStyle w:val="Caption"/>
        <w:jc w:val="both"/>
        <w:rPr>
          <w:color w:val="auto"/>
        </w:rPr>
      </w:pPr>
      <w:r w:rsidRPr="00D424DA">
        <w:rPr>
          <w:b/>
          <w:color w:val="auto"/>
        </w:rPr>
        <w:t>Table 4</w:t>
      </w:r>
    </w:p>
    <w:p w14:paraId="5871E64D" w14:textId="77777777" w:rsidR="00CF0836" w:rsidRPr="00D424DA" w:rsidRDefault="00000000" w:rsidP="00FA4D91">
      <w:pPr>
        <w:pStyle w:val="Caption"/>
        <w:jc w:val="both"/>
        <w:rPr>
          <w:color w:val="auto"/>
        </w:rPr>
      </w:pPr>
      <w:r w:rsidRPr="00D424DA">
        <w:rPr>
          <w:i/>
          <w:color w:val="auto"/>
        </w:rPr>
        <w:t>Intervention evidence and boundaries of implementation claims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4A0" w:firstRow="1" w:lastRow="0" w:firstColumn="1" w:lastColumn="0" w:noHBand="0" w:noVBand="1"/>
      </w:tblPr>
      <w:tblGrid>
        <w:gridCol w:w="1728"/>
        <w:gridCol w:w="2880"/>
        <w:gridCol w:w="2664"/>
        <w:gridCol w:w="2088"/>
      </w:tblGrid>
      <w:tr w:rsidR="00D424DA" w:rsidRPr="00D424DA" w14:paraId="078BF0DB" w14:textId="77777777" w:rsidTr="00690906">
        <w:trPr>
          <w:tblHeader/>
          <w:jc w:val="center"/>
        </w:trPr>
        <w:tc>
          <w:tcPr>
            <w:tcW w:w="1728" w:type="dxa"/>
            <w:vAlign w:val="center"/>
          </w:tcPr>
          <w:p w14:paraId="249D09A4" w14:textId="77777777" w:rsidR="00CF0836" w:rsidRPr="00D424DA" w:rsidRDefault="00000000" w:rsidP="00FA4D91">
            <w:pPr>
              <w:pStyle w:val="Tabletext"/>
              <w:jc w:val="both"/>
            </w:pPr>
            <w:r w:rsidRPr="00D424DA">
              <w:rPr>
                <w:b/>
              </w:rPr>
              <w:t>Approach</w:t>
            </w:r>
          </w:p>
        </w:tc>
        <w:tc>
          <w:tcPr>
            <w:tcW w:w="2880" w:type="dxa"/>
            <w:vAlign w:val="center"/>
          </w:tcPr>
          <w:p w14:paraId="3787A11C" w14:textId="77777777" w:rsidR="00CF0836" w:rsidRPr="00D424DA" w:rsidRDefault="00000000" w:rsidP="00FA4D91">
            <w:pPr>
              <w:pStyle w:val="Tabletext"/>
              <w:jc w:val="both"/>
            </w:pPr>
            <w:r w:rsidRPr="00D424DA">
              <w:rPr>
                <w:b/>
              </w:rPr>
              <w:t>Evidence and finding</w:t>
            </w:r>
          </w:p>
        </w:tc>
        <w:tc>
          <w:tcPr>
            <w:tcW w:w="2664" w:type="dxa"/>
            <w:vAlign w:val="center"/>
          </w:tcPr>
          <w:p w14:paraId="693C826A" w14:textId="77777777" w:rsidR="00CF0836" w:rsidRPr="00D424DA" w:rsidRDefault="00000000" w:rsidP="00FA4D91">
            <w:pPr>
              <w:pStyle w:val="Tabletext"/>
              <w:jc w:val="both"/>
            </w:pPr>
            <w:r w:rsidRPr="00D424DA">
              <w:rPr>
                <w:b/>
              </w:rPr>
              <w:t>Defensible implication</w:t>
            </w:r>
          </w:p>
        </w:tc>
        <w:tc>
          <w:tcPr>
            <w:tcW w:w="2088" w:type="dxa"/>
            <w:vAlign w:val="center"/>
          </w:tcPr>
          <w:p w14:paraId="51641524" w14:textId="77777777" w:rsidR="00CF0836" w:rsidRPr="00D424DA" w:rsidRDefault="00000000" w:rsidP="00FA4D91">
            <w:pPr>
              <w:pStyle w:val="Tabletext"/>
              <w:jc w:val="both"/>
            </w:pPr>
            <w:r w:rsidRPr="00D424DA">
              <w:rPr>
                <w:b/>
              </w:rPr>
              <w:t>Supporting references</w:t>
            </w:r>
          </w:p>
        </w:tc>
      </w:tr>
      <w:tr w:rsidR="00D424DA" w:rsidRPr="00D424DA" w14:paraId="594BE66B" w14:textId="77777777" w:rsidTr="00690906">
        <w:trPr>
          <w:cantSplit/>
          <w:jc w:val="center"/>
        </w:trPr>
        <w:tc>
          <w:tcPr>
            <w:tcW w:w="1728" w:type="dxa"/>
            <w:vAlign w:val="center"/>
          </w:tcPr>
          <w:p w14:paraId="1EA3AED1" w14:textId="77777777" w:rsidR="00CF0836" w:rsidRPr="00D424DA" w:rsidRDefault="00000000" w:rsidP="00FA4D91">
            <w:pPr>
              <w:pStyle w:val="Tabletext"/>
              <w:jc w:val="both"/>
            </w:pPr>
            <w:r w:rsidRPr="00D424DA">
              <w:t>Nigerian social-media campaign</w:t>
            </w:r>
          </w:p>
        </w:tc>
        <w:tc>
          <w:tcPr>
            <w:tcW w:w="2880" w:type="dxa"/>
            <w:vAlign w:val="center"/>
          </w:tcPr>
          <w:p w14:paraId="087656AE" w14:textId="77777777" w:rsidR="00CF0836" w:rsidRPr="00D424DA" w:rsidRDefault="00000000" w:rsidP="00FA4D91">
            <w:pPr>
              <w:pStyle w:val="Tabletext"/>
              <w:jc w:val="both"/>
            </w:pPr>
            <w:r w:rsidRPr="00D424DA">
              <w:t>Non-randomised campaign evaluation found favourable vaccination-related associations.</w:t>
            </w:r>
          </w:p>
        </w:tc>
        <w:tc>
          <w:tcPr>
            <w:tcW w:w="2664" w:type="dxa"/>
            <w:vAlign w:val="center"/>
          </w:tcPr>
          <w:p w14:paraId="3EE80104" w14:textId="77777777" w:rsidR="00CF0836" w:rsidRPr="00D424DA" w:rsidRDefault="00000000" w:rsidP="00FA4D91">
            <w:pPr>
              <w:pStyle w:val="Tabletext"/>
              <w:jc w:val="both"/>
            </w:pPr>
            <w:r w:rsidRPr="00D424DA">
              <w:t>Supports feasibility and further testing; residual differences between campaign and comparison locations limit attribution.</w:t>
            </w:r>
          </w:p>
        </w:tc>
        <w:tc>
          <w:tcPr>
            <w:tcW w:w="2088" w:type="dxa"/>
            <w:vAlign w:val="center"/>
          </w:tcPr>
          <w:p w14:paraId="657BCBF2" w14:textId="77777777" w:rsidR="00CF0836" w:rsidRPr="00D424DA" w:rsidRDefault="00000000" w:rsidP="00FA4D91">
            <w:pPr>
              <w:pStyle w:val="Tabletext"/>
              <w:jc w:val="both"/>
            </w:pPr>
            <w:r w:rsidRPr="00D424DA">
              <w:t>(Evans et al., 2023)</w:t>
            </w:r>
          </w:p>
        </w:tc>
      </w:tr>
      <w:tr w:rsidR="00D424DA" w:rsidRPr="00D424DA" w14:paraId="466DA67C" w14:textId="77777777" w:rsidTr="00690906">
        <w:trPr>
          <w:cantSplit/>
          <w:jc w:val="center"/>
        </w:trPr>
        <w:tc>
          <w:tcPr>
            <w:tcW w:w="1728" w:type="dxa"/>
            <w:vAlign w:val="center"/>
          </w:tcPr>
          <w:p w14:paraId="4FD3791A" w14:textId="77777777" w:rsidR="00CF0836" w:rsidRPr="00D424DA" w:rsidRDefault="00000000" w:rsidP="00FA4D91">
            <w:pPr>
              <w:pStyle w:val="Tabletext"/>
              <w:jc w:val="both"/>
            </w:pPr>
            <w:proofErr w:type="spellStart"/>
            <w:r w:rsidRPr="00D424DA">
              <w:t>Randomised</w:t>
            </w:r>
            <w:proofErr w:type="spellEnd"/>
            <w:r w:rsidRPr="00D424DA">
              <w:t xml:space="preserve"> digital messages</w:t>
            </w:r>
          </w:p>
        </w:tc>
        <w:tc>
          <w:tcPr>
            <w:tcW w:w="2880" w:type="dxa"/>
            <w:vAlign w:val="center"/>
          </w:tcPr>
          <w:p w14:paraId="7ED9B94D" w14:textId="77777777" w:rsidR="00CF0836" w:rsidRPr="00D424DA" w:rsidRDefault="00000000" w:rsidP="00FA4D91">
            <w:pPr>
              <w:pStyle w:val="Tabletext"/>
              <w:jc w:val="both"/>
            </w:pPr>
            <w:r w:rsidRPr="00D424DA">
              <w:t xml:space="preserve">Two Nigerian experiments did not establish clear uptake effects. Experiment 2: adjusted +6.0 percentage points, </w:t>
            </w:r>
            <w:r w:rsidRPr="00D424DA">
              <w:rPr>
                <w:i/>
              </w:rPr>
              <w:t>p</w:t>
            </w:r>
            <w:r w:rsidRPr="00D424DA">
              <w:t xml:space="preserve"> = .085.</w:t>
            </w:r>
          </w:p>
        </w:tc>
        <w:tc>
          <w:tcPr>
            <w:tcW w:w="2664" w:type="dxa"/>
            <w:vAlign w:val="center"/>
          </w:tcPr>
          <w:p w14:paraId="01A6BD88" w14:textId="77777777" w:rsidR="00CF0836" w:rsidRPr="00D424DA" w:rsidRDefault="00000000" w:rsidP="00FA4D91">
            <w:pPr>
              <w:pStyle w:val="Tabletext"/>
              <w:jc w:val="both"/>
            </w:pPr>
            <w:r w:rsidRPr="00D424DA">
              <w:t>An uncertain estimate is neither proof of success nor proof of no effect. Attitude change is not receipt.</w:t>
            </w:r>
          </w:p>
        </w:tc>
        <w:tc>
          <w:tcPr>
            <w:tcW w:w="2088" w:type="dxa"/>
            <w:vAlign w:val="center"/>
          </w:tcPr>
          <w:p w14:paraId="74C1B5F0" w14:textId="77777777" w:rsidR="00CF0836" w:rsidRPr="00D424DA" w:rsidRDefault="00000000" w:rsidP="00FA4D91">
            <w:pPr>
              <w:pStyle w:val="Tabletext"/>
              <w:jc w:val="both"/>
            </w:pPr>
            <w:r w:rsidRPr="00D424DA">
              <w:t>(Evans et al., 2024)</w:t>
            </w:r>
          </w:p>
        </w:tc>
      </w:tr>
      <w:tr w:rsidR="00D424DA" w:rsidRPr="00D424DA" w14:paraId="419A31C5" w14:textId="77777777" w:rsidTr="00690906">
        <w:trPr>
          <w:cantSplit/>
          <w:jc w:val="center"/>
        </w:trPr>
        <w:tc>
          <w:tcPr>
            <w:tcW w:w="1728" w:type="dxa"/>
            <w:vAlign w:val="center"/>
          </w:tcPr>
          <w:p w14:paraId="7798B072" w14:textId="77777777" w:rsidR="00CF0836" w:rsidRPr="00D424DA" w:rsidRDefault="00000000" w:rsidP="00FA4D91">
            <w:pPr>
              <w:pStyle w:val="Tabletext"/>
              <w:jc w:val="both"/>
            </w:pPr>
            <w:r w:rsidRPr="00D424DA">
              <w:t xml:space="preserve">Mobile vaccination plus </w:t>
            </w:r>
            <w:proofErr w:type="spellStart"/>
            <w:r w:rsidRPr="00D424DA">
              <w:t>mobilisation</w:t>
            </w:r>
            <w:proofErr w:type="spellEnd"/>
          </w:p>
        </w:tc>
        <w:tc>
          <w:tcPr>
            <w:tcW w:w="2880" w:type="dxa"/>
            <w:vAlign w:val="center"/>
          </w:tcPr>
          <w:p w14:paraId="37B5F79B" w14:textId="77777777" w:rsidR="00CF0836" w:rsidRPr="00D424DA" w:rsidRDefault="00000000" w:rsidP="00FA4D91">
            <w:pPr>
              <w:pStyle w:val="Tabletext"/>
              <w:jc w:val="both"/>
            </w:pPr>
            <w:r w:rsidRPr="00D424DA">
              <w:t>Sierra Leone cluster trial in 150 communities: approximately +26 percentage points in uptake.</w:t>
            </w:r>
          </w:p>
        </w:tc>
        <w:tc>
          <w:tcPr>
            <w:tcW w:w="2664" w:type="dxa"/>
            <w:vAlign w:val="center"/>
          </w:tcPr>
          <w:p w14:paraId="5AE8C841" w14:textId="77777777" w:rsidR="00CF0836" w:rsidRPr="00D424DA" w:rsidRDefault="00000000" w:rsidP="00FA4D91">
            <w:pPr>
              <w:pStyle w:val="Tabletext"/>
              <w:jc w:val="both"/>
            </w:pPr>
            <w:r w:rsidRPr="00D424DA">
              <w:t>Strong causal evidence for the package in that setting; supports Nigerian adaptation trials, not automatic effect transfer.</w:t>
            </w:r>
          </w:p>
        </w:tc>
        <w:tc>
          <w:tcPr>
            <w:tcW w:w="2088" w:type="dxa"/>
            <w:vAlign w:val="center"/>
          </w:tcPr>
          <w:p w14:paraId="2F574260" w14:textId="77777777" w:rsidR="00CF0836" w:rsidRPr="00D424DA" w:rsidRDefault="00000000" w:rsidP="00FA4D91">
            <w:pPr>
              <w:pStyle w:val="Tabletext"/>
              <w:jc w:val="both"/>
            </w:pPr>
            <w:r w:rsidRPr="00D424DA">
              <w:t>(Meriggi et al., 2024)</w:t>
            </w:r>
          </w:p>
        </w:tc>
      </w:tr>
      <w:tr w:rsidR="00D424DA" w:rsidRPr="00D424DA" w14:paraId="5653C0AC" w14:textId="77777777" w:rsidTr="00690906">
        <w:trPr>
          <w:cantSplit/>
          <w:jc w:val="center"/>
        </w:trPr>
        <w:tc>
          <w:tcPr>
            <w:tcW w:w="1728" w:type="dxa"/>
            <w:vAlign w:val="center"/>
          </w:tcPr>
          <w:p w14:paraId="537424B0" w14:textId="77777777" w:rsidR="00CF0836" w:rsidRPr="00D424DA" w:rsidRDefault="00000000" w:rsidP="00FA4D91">
            <w:pPr>
              <w:pStyle w:val="Tabletext"/>
              <w:jc w:val="both"/>
            </w:pPr>
            <w:r w:rsidRPr="00D424DA">
              <w:t>Primary-care integration</w:t>
            </w:r>
          </w:p>
        </w:tc>
        <w:tc>
          <w:tcPr>
            <w:tcW w:w="2880" w:type="dxa"/>
            <w:vAlign w:val="center"/>
          </w:tcPr>
          <w:p w14:paraId="29B050C6" w14:textId="77777777" w:rsidR="00CF0836" w:rsidRPr="00D424DA" w:rsidRDefault="00000000" w:rsidP="00FA4D91">
            <w:pPr>
              <w:pStyle w:val="Tabletext"/>
              <w:jc w:val="both"/>
            </w:pPr>
            <w:r w:rsidRPr="00D424DA">
              <w:t>Nigerian institutional programme description; supporting observational evidence on service contact.</w:t>
            </w:r>
          </w:p>
        </w:tc>
        <w:tc>
          <w:tcPr>
            <w:tcW w:w="2664" w:type="dxa"/>
            <w:vAlign w:val="center"/>
          </w:tcPr>
          <w:p w14:paraId="6C1797CA" w14:textId="77777777" w:rsidR="00CF0836" w:rsidRPr="00D424DA" w:rsidRDefault="00000000" w:rsidP="00FA4D91">
            <w:pPr>
              <w:pStyle w:val="Tabletext"/>
              <w:jc w:val="both"/>
            </w:pPr>
            <w:r w:rsidRPr="00D424DA">
              <w:t>Test actual offers, available doses, completion and effects on routine care. Policy adoption is not an effectiveness estimate.</w:t>
            </w:r>
          </w:p>
        </w:tc>
        <w:tc>
          <w:tcPr>
            <w:tcW w:w="2088" w:type="dxa"/>
            <w:vAlign w:val="center"/>
          </w:tcPr>
          <w:p w14:paraId="602714BF" w14:textId="77777777" w:rsidR="00CF0836" w:rsidRPr="00D424DA" w:rsidRDefault="00000000" w:rsidP="00FA4D91">
            <w:pPr>
              <w:pStyle w:val="Tabletext"/>
              <w:jc w:val="both"/>
            </w:pPr>
            <w:r w:rsidRPr="00D424DA">
              <w:t>(Sogbesan et al., 2026; World Health Organization, 2023a)</w:t>
            </w:r>
          </w:p>
        </w:tc>
      </w:tr>
      <w:tr w:rsidR="00D424DA" w:rsidRPr="00D424DA" w14:paraId="21A4C166" w14:textId="77777777" w:rsidTr="00690906">
        <w:trPr>
          <w:cantSplit/>
          <w:jc w:val="center"/>
        </w:trPr>
        <w:tc>
          <w:tcPr>
            <w:tcW w:w="1728" w:type="dxa"/>
            <w:vAlign w:val="center"/>
          </w:tcPr>
          <w:p w14:paraId="661365CB" w14:textId="77777777" w:rsidR="00CF0836" w:rsidRPr="00D424DA" w:rsidRDefault="00000000" w:rsidP="00FA4D91">
            <w:pPr>
              <w:pStyle w:val="Tabletext"/>
              <w:jc w:val="both"/>
            </w:pPr>
            <w:r w:rsidRPr="00D424DA">
              <w:t>Trusted, tailored counselling</w:t>
            </w:r>
          </w:p>
        </w:tc>
        <w:tc>
          <w:tcPr>
            <w:tcW w:w="2880" w:type="dxa"/>
            <w:vAlign w:val="center"/>
          </w:tcPr>
          <w:p w14:paraId="1134F863" w14:textId="77777777" w:rsidR="00CF0836" w:rsidRPr="00D424DA" w:rsidRDefault="00000000" w:rsidP="00FA4D91">
            <w:pPr>
              <w:pStyle w:val="Tabletext"/>
              <w:jc w:val="both"/>
            </w:pPr>
            <w:r w:rsidRPr="00D424DA">
              <w:t>Nigerian qualitative and mixed-methods evidence links confidence, endorsement and practical experience.</w:t>
            </w:r>
          </w:p>
        </w:tc>
        <w:tc>
          <w:tcPr>
            <w:tcW w:w="2664" w:type="dxa"/>
            <w:vAlign w:val="center"/>
          </w:tcPr>
          <w:p w14:paraId="3829A710" w14:textId="77777777" w:rsidR="00CF0836" w:rsidRPr="00D424DA" w:rsidRDefault="00000000" w:rsidP="00FA4D91">
            <w:pPr>
              <w:pStyle w:val="Tabletext"/>
              <w:jc w:val="both"/>
            </w:pPr>
            <w:r w:rsidRPr="00D424DA">
              <w:t>Pair relevant answers with a feasible service opportunity; evaluate behaviour and equitable reach.</w:t>
            </w:r>
          </w:p>
        </w:tc>
        <w:tc>
          <w:tcPr>
            <w:tcW w:w="2088" w:type="dxa"/>
            <w:vAlign w:val="center"/>
          </w:tcPr>
          <w:p w14:paraId="30FAD406" w14:textId="77777777" w:rsidR="00CF0836" w:rsidRPr="00D424DA" w:rsidRDefault="00000000" w:rsidP="00FA4D91">
            <w:pPr>
              <w:pStyle w:val="Tabletext"/>
              <w:jc w:val="both"/>
            </w:pPr>
            <w:r w:rsidRPr="00D424DA">
              <w:t>(Omale et al., 2024; Wonodi et al., 2024; World Health Organization, 2022)</w:t>
            </w:r>
          </w:p>
        </w:tc>
      </w:tr>
      <w:tr w:rsidR="00D424DA" w:rsidRPr="007D29D1" w14:paraId="1D43F3E9" w14:textId="77777777" w:rsidTr="00690906">
        <w:trPr>
          <w:cantSplit/>
          <w:jc w:val="center"/>
        </w:trPr>
        <w:tc>
          <w:tcPr>
            <w:tcW w:w="1728" w:type="dxa"/>
            <w:vAlign w:val="center"/>
          </w:tcPr>
          <w:p w14:paraId="489C2A04" w14:textId="77777777" w:rsidR="00CF0836" w:rsidRPr="00D424DA" w:rsidRDefault="00000000" w:rsidP="00FA4D91">
            <w:pPr>
              <w:pStyle w:val="Tabletext"/>
              <w:keepNext/>
              <w:jc w:val="both"/>
            </w:pPr>
            <w:r w:rsidRPr="00D424DA">
              <w:t>Workplace requirements</w:t>
            </w:r>
          </w:p>
        </w:tc>
        <w:tc>
          <w:tcPr>
            <w:tcW w:w="2880" w:type="dxa"/>
            <w:vAlign w:val="center"/>
          </w:tcPr>
          <w:p w14:paraId="2A04ABA1" w14:textId="77777777" w:rsidR="00CF0836" w:rsidRPr="00D424DA" w:rsidRDefault="00000000" w:rsidP="00FA4D91">
            <w:pPr>
              <w:pStyle w:val="Tabletext"/>
              <w:keepNext/>
              <w:jc w:val="both"/>
            </w:pPr>
            <w:r w:rsidRPr="00D424DA">
              <w:t>Employment associations and qualitative accounts, without a controlled Nigerian mandate evaluation in this synthesis.</w:t>
            </w:r>
          </w:p>
        </w:tc>
        <w:tc>
          <w:tcPr>
            <w:tcW w:w="2664" w:type="dxa"/>
            <w:vAlign w:val="center"/>
          </w:tcPr>
          <w:p w14:paraId="1039009B" w14:textId="77777777" w:rsidR="00CF0836" w:rsidRPr="00D424DA" w:rsidRDefault="00000000" w:rsidP="00FA4D91">
            <w:pPr>
              <w:pStyle w:val="Tabletext"/>
              <w:keepNext/>
              <w:jc w:val="both"/>
            </w:pPr>
            <w:r w:rsidRPr="00D424DA">
              <w:t>Separate convenient workplace provision from compulsion; assess unintended exclusion and trust.</w:t>
            </w:r>
          </w:p>
        </w:tc>
        <w:tc>
          <w:tcPr>
            <w:tcW w:w="2088" w:type="dxa"/>
            <w:vAlign w:val="center"/>
          </w:tcPr>
          <w:p w14:paraId="75D8E7DD" w14:textId="77777777" w:rsidR="00CF0836" w:rsidRPr="007D29D1" w:rsidRDefault="00000000" w:rsidP="00FA4D91">
            <w:pPr>
              <w:pStyle w:val="Tabletext"/>
              <w:keepNext/>
              <w:jc w:val="both"/>
              <w:rPr>
                <w:lang w:val="nl-BE"/>
              </w:rPr>
            </w:pPr>
            <w:r w:rsidRPr="007D29D1">
              <w:rPr>
                <w:lang w:val="nl-BE"/>
              </w:rPr>
              <w:t>(Omale et al., 2024; Sogbesan et al., 2026)</w:t>
            </w:r>
          </w:p>
        </w:tc>
      </w:tr>
    </w:tbl>
    <w:p w14:paraId="52F0F767" w14:textId="77777777" w:rsidR="00CF0836" w:rsidRPr="00D424DA" w:rsidRDefault="00000000" w:rsidP="00FA4D91">
      <w:pPr>
        <w:pStyle w:val="Tablenote"/>
        <w:keepLines/>
        <w:jc w:val="both"/>
      </w:pPr>
      <w:r w:rsidRPr="00D424DA">
        <w:rPr>
          <w:i/>
        </w:rPr>
        <w:t xml:space="preserve">Note. </w:t>
      </w:r>
      <w:r w:rsidRPr="00D424DA">
        <w:t>The table distinguishes observed evidence from proposed implementation implications. Percentage-point differences are absolute differences, not relative percentage increases. The Sierra Leone intervention combined delivery with mobilisation.</w:t>
      </w:r>
    </w:p>
    <w:p w14:paraId="01500862" w14:textId="77777777" w:rsidR="00CF0836" w:rsidRPr="00D424DA" w:rsidRDefault="00000000" w:rsidP="00FA4D91">
      <w:pPr>
        <w:pStyle w:val="Heading1"/>
        <w:jc w:val="both"/>
        <w:rPr>
          <w:color w:val="auto"/>
        </w:rPr>
      </w:pPr>
      <w:r w:rsidRPr="00D424DA">
        <w:rPr>
          <w:color w:val="auto"/>
        </w:rPr>
        <w:lastRenderedPageBreak/>
        <w:t>9. Future Directions</w:t>
      </w:r>
    </w:p>
    <w:p w14:paraId="765E4288" w14:textId="77777777" w:rsidR="00CF0836" w:rsidRPr="00D424DA" w:rsidRDefault="00000000" w:rsidP="00FA4D91">
      <w:pPr>
        <w:pStyle w:val="Heading2"/>
        <w:jc w:val="both"/>
        <w:rPr>
          <w:color w:val="auto"/>
        </w:rPr>
      </w:pPr>
      <w:r w:rsidRPr="00D424DA">
        <w:rPr>
          <w:color w:val="auto"/>
        </w:rPr>
        <w:t>9.1 Establish Comparable Longitudinal Vaccination Surveillance</w:t>
      </w:r>
    </w:p>
    <w:p w14:paraId="192B5EAF" w14:textId="77777777" w:rsidR="00CF0836" w:rsidRPr="00D424DA" w:rsidRDefault="00000000" w:rsidP="00FA4D91">
      <w:pPr>
        <w:jc w:val="both"/>
      </w:pPr>
      <w:r w:rsidRPr="00D424DA">
        <w:t>The immediate research priority is a repeated, probability-based adult survey linked, where feasible and consented, to vaccination records. It should retain comparable measures of any-dose receipt, product-specific completion and currently recommended subsequent doses. Fieldwork dates, eligibility rules and denominator changes should be published with each release. Oversampling of clinically important and underserved groups would allow useful subgroup estimation, while transparent weighting would preserve population interpretation. Such surveillance would resolve a central weakness of the present literature: temporal conclusions drawn from unrelated samples with different endpoints (Bamgboye et al., 2024; Enyereibe et al., 2025; World Health Organization, 2023b).</w:t>
      </w:r>
    </w:p>
    <w:p w14:paraId="2FDC2795" w14:textId="77777777" w:rsidR="00CF0836" w:rsidRPr="00D424DA" w:rsidRDefault="00000000" w:rsidP="00FA4D91">
      <w:pPr>
        <w:jc w:val="both"/>
      </w:pPr>
      <w:r w:rsidRPr="00D424DA">
        <w:t>Follow-up should include people who initially express willingness but remain unvaccinated. Recording whether they received an offer, attempted attendance or encountered a failed visit would distinguish intention change from service failure. The same design could identify vaccinated people who retain concerns, a group lost when acceptance is inferred from receipt. Baseline attitudes should precede the behavioural outcome, and changes in eligibility or supply should be recorded. This would materially improve causal interpretation beyond adding further cross-sectional regressions to an already heterogeneous literature (Ibenye-Ugbala et al., 2026; Sato, 2023; World Health Organization, 2022).</w:t>
      </w:r>
    </w:p>
    <w:p w14:paraId="2BE747F6" w14:textId="77777777" w:rsidR="00CF0836" w:rsidRPr="00D424DA" w:rsidRDefault="00000000" w:rsidP="00FA4D91">
      <w:pPr>
        <w:pStyle w:val="Heading2"/>
        <w:jc w:val="both"/>
        <w:rPr>
          <w:color w:val="auto"/>
        </w:rPr>
      </w:pPr>
      <w:r w:rsidRPr="00D424DA">
        <w:rPr>
          <w:color w:val="auto"/>
        </w:rPr>
        <w:t>9.2 Test Integrated Delivery and Communication Under Routine Conditions</w:t>
      </w:r>
    </w:p>
    <w:p w14:paraId="62C0711F" w14:textId="77777777" w:rsidR="00CF0836" w:rsidRPr="00D424DA" w:rsidRDefault="00000000" w:rsidP="00FA4D91">
      <w:pPr>
        <w:jc w:val="both"/>
      </w:pPr>
      <w:r w:rsidRPr="00D424DA">
        <w:t>Pragmatic cluster trials should compare clearly specified service packages in settings with documented gaps. Where randomisation is feasible, delivery and communication components should be separated or combined in a design capable of estimating their contributions. Where programmes are already being introduced, phased implementation with credible comparison periods may support stronger quasi-experimental evaluation than simple before-and-after reporting. Analyses should prespecify receipt as a primary endpoint and include completion, reach, equity, costs and unintended effects on routine care (Evans et al., 2024; Meriggi et al., 2024).</w:t>
      </w:r>
    </w:p>
    <w:p w14:paraId="0BC09A6A" w14:textId="77777777" w:rsidR="00CF0836" w:rsidRPr="00D424DA" w:rsidRDefault="00000000" w:rsidP="00FA4D91">
      <w:pPr>
        <w:jc w:val="both"/>
      </w:pPr>
      <w:r w:rsidRPr="00D424DA">
        <w:t>Digital programmes need larger and more inclusive evaluations that make uncertainty explicit. Their designs should distinguish assignment to receive messages from actual exposure and should not select only respondents who complete every follow-up without assessing attrition. Independent replication is particularly valuable when several reports originate from one programme. Evaluations should also test whether adding an immediate service opportunity changes the effect of communication. The current Nigerian experiments support refinement and further testing, not a settled estimate of population-level effectiveness (Evans et al., 2023; Evans et al., 2024).</w:t>
      </w:r>
    </w:p>
    <w:p w14:paraId="76F09A6A" w14:textId="77777777" w:rsidR="00CF0836" w:rsidRPr="00D424DA" w:rsidRDefault="00000000" w:rsidP="00FA4D91">
      <w:pPr>
        <w:pStyle w:val="Heading2"/>
        <w:jc w:val="both"/>
        <w:rPr>
          <w:color w:val="auto"/>
        </w:rPr>
      </w:pPr>
      <w:r w:rsidRPr="00D424DA">
        <w:rPr>
          <w:color w:val="auto"/>
        </w:rPr>
        <w:lastRenderedPageBreak/>
        <w:t>9.3 Prioritise Clinical Risk, Equity and Measurement Validity</w:t>
      </w:r>
    </w:p>
    <w:p w14:paraId="0760C069" w14:textId="77777777" w:rsidR="00CF0836" w:rsidRPr="00D424DA" w:rsidRDefault="00000000" w:rsidP="00FA4D91">
      <w:pPr>
        <w:jc w:val="both"/>
      </w:pPr>
      <w:r w:rsidRPr="00D424DA">
        <w:t>Targeted cohort studies should examine vaccination pathways among pregnant women, older adults, people living with chronic conditions and those outside routine care. Recruitment must extend beyond the clinics where more accessible patients are already found. Outcomes should include appropriate recommendations, missed opportunities and verified subsequent receipt, with adequate sample sizes for clinically meaningful differences. These studies would connect public-health uptake research with the protection needs that motivate prioritisation, rather than relying on favourable attitudes as the final endpoint (Adebusoye et al., 2023; Ojewale et al., 2022; Omunakwe et al., 2024; World Health Organization, 2023b).</w:t>
      </w:r>
    </w:p>
    <w:p w14:paraId="25C21ED7" w14:textId="77777777" w:rsidR="00CF0836" w:rsidRPr="00D424DA" w:rsidRDefault="00000000" w:rsidP="00FA4D91">
      <w:pPr>
        <w:jc w:val="both"/>
      </w:pPr>
      <w:r w:rsidRPr="00D424DA">
        <w:t>Measurement research should compare short behavioural questions across languages and settings, assess whether scales function similarly across groups and distinguish confidence from access. Validation should not be limited to internal consistency: predictive performance for later receipt and agreement with records are also relevant. Community participation can improve wording and identify barriers omitted by externally designed instruments. It should be accompanied by transparent reporting of sampling and analysis rather than treated as evidence of representativeness by itself. Table 5 orders the research priorities by their likely contribution to decision-making (Betsch et al., 2018; Wonodi et al., 2024; World Health Organization, 2022).</w:t>
      </w:r>
    </w:p>
    <w:p w14:paraId="2325D568" w14:textId="77777777" w:rsidR="00CF0836" w:rsidRPr="00D424DA" w:rsidRDefault="00000000" w:rsidP="00FA4D91">
      <w:pPr>
        <w:pStyle w:val="Caption"/>
        <w:jc w:val="both"/>
        <w:rPr>
          <w:color w:val="auto"/>
        </w:rPr>
      </w:pPr>
      <w:r w:rsidRPr="00D424DA">
        <w:rPr>
          <w:b/>
          <w:color w:val="auto"/>
        </w:rPr>
        <w:t>Table 5</w:t>
      </w:r>
    </w:p>
    <w:p w14:paraId="7D78AC34" w14:textId="77777777" w:rsidR="00CF0836" w:rsidRPr="00D424DA" w:rsidRDefault="00000000" w:rsidP="00FA4D91">
      <w:pPr>
        <w:pStyle w:val="Caption"/>
        <w:jc w:val="both"/>
        <w:rPr>
          <w:color w:val="auto"/>
        </w:rPr>
      </w:pPr>
      <w:r w:rsidRPr="00D424DA">
        <w:rPr>
          <w:i/>
          <w:color w:val="auto"/>
        </w:rPr>
        <w:t>Prioritised research agenda for decision-relevant vaccination evidence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4A0" w:firstRow="1" w:lastRow="0" w:firstColumn="1" w:lastColumn="0" w:noHBand="0" w:noVBand="1"/>
      </w:tblPr>
      <w:tblGrid>
        <w:gridCol w:w="1728"/>
        <w:gridCol w:w="2736"/>
        <w:gridCol w:w="2808"/>
        <w:gridCol w:w="2088"/>
      </w:tblGrid>
      <w:tr w:rsidR="00D424DA" w:rsidRPr="00D424DA" w14:paraId="785E9769" w14:textId="77777777" w:rsidTr="00690906">
        <w:trPr>
          <w:tblHeader/>
          <w:jc w:val="center"/>
        </w:trPr>
        <w:tc>
          <w:tcPr>
            <w:tcW w:w="1728" w:type="dxa"/>
            <w:vAlign w:val="center"/>
          </w:tcPr>
          <w:p w14:paraId="1973344A" w14:textId="77777777" w:rsidR="00CF0836" w:rsidRPr="00D424DA" w:rsidRDefault="00000000" w:rsidP="00FA4D91">
            <w:pPr>
              <w:pStyle w:val="Tabletext"/>
              <w:jc w:val="both"/>
            </w:pPr>
            <w:r w:rsidRPr="00D424DA">
              <w:rPr>
                <w:b/>
              </w:rPr>
              <w:t>Priority</w:t>
            </w:r>
          </w:p>
        </w:tc>
        <w:tc>
          <w:tcPr>
            <w:tcW w:w="2736" w:type="dxa"/>
            <w:vAlign w:val="center"/>
          </w:tcPr>
          <w:p w14:paraId="73A9B5D9" w14:textId="77777777" w:rsidR="00CF0836" w:rsidRPr="00D424DA" w:rsidRDefault="00000000" w:rsidP="00FA4D91">
            <w:pPr>
              <w:pStyle w:val="Tabletext"/>
              <w:jc w:val="both"/>
            </w:pPr>
            <w:r w:rsidRPr="00D424DA">
              <w:rPr>
                <w:b/>
              </w:rPr>
              <w:t>Design and population</w:t>
            </w:r>
          </w:p>
        </w:tc>
        <w:tc>
          <w:tcPr>
            <w:tcW w:w="2808" w:type="dxa"/>
            <w:vAlign w:val="center"/>
          </w:tcPr>
          <w:p w14:paraId="50B24429" w14:textId="77777777" w:rsidR="00CF0836" w:rsidRPr="00D424DA" w:rsidRDefault="00000000" w:rsidP="00FA4D91">
            <w:pPr>
              <w:pStyle w:val="Tabletext"/>
              <w:jc w:val="both"/>
            </w:pPr>
            <w:r w:rsidRPr="00D424DA">
              <w:rPr>
                <w:b/>
              </w:rPr>
              <w:t>Essential outcomes or contribution</w:t>
            </w:r>
          </w:p>
        </w:tc>
        <w:tc>
          <w:tcPr>
            <w:tcW w:w="2088" w:type="dxa"/>
            <w:vAlign w:val="center"/>
          </w:tcPr>
          <w:p w14:paraId="61EDBC53" w14:textId="77777777" w:rsidR="00CF0836" w:rsidRPr="00D424DA" w:rsidRDefault="00000000" w:rsidP="00FA4D91">
            <w:pPr>
              <w:pStyle w:val="Tabletext"/>
              <w:jc w:val="both"/>
            </w:pPr>
            <w:r w:rsidRPr="00D424DA">
              <w:rPr>
                <w:b/>
              </w:rPr>
              <w:t>Supporting references</w:t>
            </w:r>
          </w:p>
        </w:tc>
      </w:tr>
      <w:tr w:rsidR="00D424DA" w:rsidRPr="00D424DA" w14:paraId="169AA095" w14:textId="77777777" w:rsidTr="00690906">
        <w:trPr>
          <w:cantSplit/>
          <w:jc w:val="center"/>
        </w:trPr>
        <w:tc>
          <w:tcPr>
            <w:tcW w:w="1728" w:type="dxa"/>
            <w:vAlign w:val="center"/>
          </w:tcPr>
          <w:p w14:paraId="5FE3A07D" w14:textId="77777777" w:rsidR="00CF0836" w:rsidRPr="00D424DA" w:rsidRDefault="00000000" w:rsidP="00FA4D91">
            <w:pPr>
              <w:pStyle w:val="Tabletext"/>
              <w:jc w:val="both"/>
            </w:pPr>
            <w:r w:rsidRPr="00D424DA">
              <w:t>Immediate: comparable coverage</w:t>
            </w:r>
          </w:p>
        </w:tc>
        <w:tc>
          <w:tcPr>
            <w:tcW w:w="2736" w:type="dxa"/>
            <w:vAlign w:val="center"/>
          </w:tcPr>
          <w:p w14:paraId="3A90B34D" w14:textId="77777777" w:rsidR="00CF0836" w:rsidRPr="00D424DA" w:rsidRDefault="00000000" w:rsidP="00FA4D91">
            <w:pPr>
              <w:pStyle w:val="Tabletext"/>
              <w:jc w:val="both"/>
            </w:pPr>
            <w:r w:rsidRPr="00D424DA">
              <w:t>Repeated probability-based adult surveys, with record linkage where feasible and consented.</w:t>
            </w:r>
          </w:p>
        </w:tc>
        <w:tc>
          <w:tcPr>
            <w:tcW w:w="2808" w:type="dxa"/>
            <w:vAlign w:val="center"/>
          </w:tcPr>
          <w:p w14:paraId="5C3B6D48" w14:textId="77777777" w:rsidR="00CF0836" w:rsidRPr="00D424DA" w:rsidRDefault="00000000" w:rsidP="00FA4D91">
            <w:pPr>
              <w:pStyle w:val="Tabletext"/>
              <w:jc w:val="both"/>
            </w:pPr>
            <w:r w:rsidRPr="00D424DA">
              <w:t>Time-specific initiation, product-specific completion and eligible subsequent doses; validated denominators.</w:t>
            </w:r>
          </w:p>
        </w:tc>
        <w:tc>
          <w:tcPr>
            <w:tcW w:w="2088" w:type="dxa"/>
            <w:vAlign w:val="center"/>
          </w:tcPr>
          <w:p w14:paraId="6EDC5AF7" w14:textId="77777777" w:rsidR="00CF0836" w:rsidRPr="00D424DA" w:rsidRDefault="00000000" w:rsidP="00FA4D91">
            <w:pPr>
              <w:pStyle w:val="Tabletext"/>
              <w:jc w:val="both"/>
            </w:pPr>
            <w:r w:rsidRPr="00D424DA">
              <w:t>(Bamgboye et al., 2024; Enyereibe et al., 2025; World Health Organization, 2023b)</w:t>
            </w:r>
          </w:p>
        </w:tc>
      </w:tr>
      <w:tr w:rsidR="00D424DA" w:rsidRPr="00D424DA" w14:paraId="330FF99E" w14:textId="77777777" w:rsidTr="00690906">
        <w:trPr>
          <w:cantSplit/>
          <w:jc w:val="center"/>
        </w:trPr>
        <w:tc>
          <w:tcPr>
            <w:tcW w:w="1728" w:type="dxa"/>
            <w:vAlign w:val="center"/>
          </w:tcPr>
          <w:p w14:paraId="450F2881" w14:textId="77777777" w:rsidR="00CF0836" w:rsidRPr="00D424DA" w:rsidRDefault="00000000" w:rsidP="00FA4D91">
            <w:pPr>
              <w:pStyle w:val="Tabletext"/>
              <w:jc w:val="both"/>
            </w:pPr>
            <w:r w:rsidRPr="00D424DA">
              <w:t>Immediate: intention-to-receipt pathway</w:t>
            </w:r>
          </w:p>
        </w:tc>
        <w:tc>
          <w:tcPr>
            <w:tcW w:w="2736" w:type="dxa"/>
            <w:vAlign w:val="center"/>
          </w:tcPr>
          <w:p w14:paraId="7191B56D" w14:textId="77777777" w:rsidR="00CF0836" w:rsidRPr="00D424DA" w:rsidRDefault="00000000" w:rsidP="00FA4D91">
            <w:pPr>
              <w:pStyle w:val="Tabletext"/>
              <w:jc w:val="both"/>
            </w:pPr>
            <w:r w:rsidRPr="00D424DA">
              <w:t>Longitudinal follow-up of willing, undecided and initially vaccinated adults.</w:t>
            </w:r>
          </w:p>
        </w:tc>
        <w:tc>
          <w:tcPr>
            <w:tcW w:w="2808" w:type="dxa"/>
            <w:vAlign w:val="center"/>
          </w:tcPr>
          <w:p w14:paraId="7DEA0B42" w14:textId="77777777" w:rsidR="00CF0836" w:rsidRPr="00D424DA" w:rsidRDefault="00000000" w:rsidP="00FA4D91">
            <w:pPr>
              <w:pStyle w:val="Tabletext"/>
              <w:jc w:val="both"/>
            </w:pPr>
            <w:r w:rsidRPr="00D424DA">
              <w:t>Offers, attempted visits, failed visits, attitude change and later receipt; establishes temporal order.</w:t>
            </w:r>
          </w:p>
        </w:tc>
        <w:tc>
          <w:tcPr>
            <w:tcW w:w="2088" w:type="dxa"/>
            <w:vAlign w:val="center"/>
          </w:tcPr>
          <w:p w14:paraId="16BEDC23" w14:textId="77777777" w:rsidR="00CF0836" w:rsidRPr="00D424DA" w:rsidRDefault="00000000" w:rsidP="00FA4D91">
            <w:pPr>
              <w:pStyle w:val="Tabletext"/>
              <w:jc w:val="both"/>
            </w:pPr>
            <w:r w:rsidRPr="00D424DA">
              <w:t>(Ibenye-Ugbala et al., 2026; Sato, 2023; World Health Organization, 2022)</w:t>
            </w:r>
          </w:p>
        </w:tc>
      </w:tr>
      <w:tr w:rsidR="00D424DA" w:rsidRPr="007D29D1" w14:paraId="42BA4C20" w14:textId="77777777" w:rsidTr="00690906">
        <w:trPr>
          <w:cantSplit/>
          <w:jc w:val="center"/>
        </w:trPr>
        <w:tc>
          <w:tcPr>
            <w:tcW w:w="1728" w:type="dxa"/>
            <w:vAlign w:val="center"/>
          </w:tcPr>
          <w:p w14:paraId="06E7E025" w14:textId="77777777" w:rsidR="00CF0836" w:rsidRPr="00D424DA" w:rsidRDefault="00000000" w:rsidP="00FA4D91">
            <w:pPr>
              <w:pStyle w:val="Tabletext"/>
              <w:jc w:val="both"/>
            </w:pPr>
            <w:r w:rsidRPr="00D424DA">
              <w:t>Immediate: underserved high-risk groups</w:t>
            </w:r>
          </w:p>
        </w:tc>
        <w:tc>
          <w:tcPr>
            <w:tcW w:w="2736" w:type="dxa"/>
            <w:vAlign w:val="center"/>
          </w:tcPr>
          <w:p w14:paraId="088E9255" w14:textId="77777777" w:rsidR="00CF0836" w:rsidRPr="00D424DA" w:rsidRDefault="00000000" w:rsidP="00FA4D91">
            <w:pPr>
              <w:pStyle w:val="Tabletext"/>
              <w:jc w:val="both"/>
            </w:pPr>
            <w:r w:rsidRPr="00D424DA">
              <w:t>Community and outreach cohorts extending beyond antenatal, geriatric and chronic-disease clinics.</w:t>
            </w:r>
          </w:p>
        </w:tc>
        <w:tc>
          <w:tcPr>
            <w:tcW w:w="2808" w:type="dxa"/>
            <w:vAlign w:val="center"/>
          </w:tcPr>
          <w:p w14:paraId="609084C5" w14:textId="77777777" w:rsidR="00CF0836" w:rsidRPr="00D424DA" w:rsidRDefault="00000000" w:rsidP="00FA4D91">
            <w:pPr>
              <w:pStyle w:val="Tabletext"/>
              <w:jc w:val="both"/>
            </w:pPr>
            <w:r w:rsidRPr="00D424DA">
              <w:t>Appropriate recommendation, missed opportunities and verified vaccination among people outside routine care.</w:t>
            </w:r>
          </w:p>
        </w:tc>
        <w:tc>
          <w:tcPr>
            <w:tcW w:w="2088" w:type="dxa"/>
            <w:vAlign w:val="center"/>
          </w:tcPr>
          <w:p w14:paraId="234254C2" w14:textId="77777777" w:rsidR="00CF0836" w:rsidRPr="007D29D1" w:rsidRDefault="00000000" w:rsidP="00FA4D91">
            <w:pPr>
              <w:pStyle w:val="Tabletext"/>
              <w:jc w:val="both"/>
              <w:rPr>
                <w:lang w:val="nl-BE"/>
              </w:rPr>
            </w:pPr>
            <w:r w:rsidRPr="007D29D1">
              <w:rPr>
                <w:lang w:val="nl-BE"/>
              </w:rPr>
              <w:t>(Adebusoye et al., 2023; Ojewale et al., 2022; Omunakwe et al., 2024)</w:t>
            </w:r>
          </w:p>
        </w:tc>
      </w:tr>
      <w:tr w:rsidR="00D424DA" w:rsidRPr="007D29D1" w14:paraId="5F9A58CB" w14:textId="77777777" w:rsidTr="00690906">
        <w:trPr>
          <w:cantSplit/>
          <w:jc w:val="center"/>
        </w:trPr>
        <w:tc>
          <w:tcPr>
            <w:tcW w:w="1728" w:type="dxa"/>
            <w:vAlign w:val="center"/>
          </w:tcPr>
          <w:p w14:paraId="00074391" w14:textId="77777777" w:rsidR="00CF0836" w:rsidRPr="00D424DA" w:rsidRDefault="00000000" w:rsidP="00FA4D91">
            <w:pPr>
              <w:pStyle w:val="Tabletext"/>
              <w:jc w:val="both"/>
            </w:pPr>
            <w:r w:rsidRPr="00D424DA">
              <w:t>Near term: integrated packages</w:t>
            </w:r>
          </w:p>
        </w:tc>
        <w:tc>
          <w:tcPr>
            <w:tcW w:w="2736" w:type="dxa"/>
            <w:vAlign w:val="center"/>
          </w:tcPr>
          <w:p w14:paraId="31B7C048" w14:textId="77777777" w:rsidR="00CF0836" w:rsidRPr="00D424DA" w:rsidRDefault="00000000" w:rsidP="00FA4D91">
            <w:pPr>
              <w:pStyle w:val="Tabletext"/>
              <w:jc w:val="both"/>
            </w:pPr>
            <w:r w:rsidRPr="00D424DA">
              <w:t>Pragmatic cluster trials comparing communication, convenient delivery and their combination.</w:t>
            </w:r>
          </w:p>
        </w:tc>
        <w:tc>
          <w:tcPr>
            <w:tcW w:w="2808" w:type="dxa"/>
            <w:vAlign w:val="center"/>
          </w:tcPr>
          <w:p w14:paraId="7158633F" w14:textId="77777777" w:rsidR="00CF0836" w:rsidRPr="00D424DA" w:rsidRDefault="00000000" w:rsidP="00FA4D91">
            <w:pPr>
              <w:pStyle w:val="Tabletext"/>
              <w:jc w:val="both"/>
            </w:pPr>
            <w:r w:rsidRPr="00D424DA">
              <w:t>Uptake, completion, equity, costs, service reliability and balancing outcomes for routine care.</w:t>
            </w:r>
          </w:p>
        </w:tc>
        <w:tc>
          <w:tcPr>
            <w:tcW w:w="2088" w:type="dxa"/>
            <w:vAlign w:val="center"/>
          </w:tcPr>
          <w:p w14:paraId="66E44E3D" w14:textId="77777777" w:rsidR="00CF0836" w:rsidRPr="007D29D1" w:rsidRDefault="00000000" w:rsidP="00FA4D91">
            <w:pPr>
              <w:pStyle w:val="Tabletext"/>
              <w:jc w:val="both"/>
              <w:rPr>
                <w:lang w:val="nl-BE"/>
              </w:rPr>
            </w:pPr>
            <w:r w:rsidRPr="007D29D1">
              <w:rPr>
                <w:lang w:val="nl-BE"/>
              </w:rPr>
              <w:t>(Brewer et al., 2017; Evans et al., 2024; Meriggi et al., 2024)</w:t>
            </w:r>
          </w:p>
        </w:tc>
      </w:tr>
      <w:tr w:rsidR="00D424DA" w:rsidRPr="00D424DA" w14:paraId="667C7304" w14:textId="77777777" w:rsidTr="00690906">
        <w:trPr>
          <w:cantSplit/>
          <w:jc w:val="center"/>
        </w:trPr>
        <w:tc>
          <w:tcPr>
            <w:tcW w:w="1728" w:type="dxa"/>
            <w:vAlign w:val="center"/>
          </w:tcPr>
          <w:p w14:paraId="3F4D4D65" w14:textId="77777777" w:rsidR="00CF0836" w:rsidRPr="00D424DA" w:rsidRDefault="00000000" w:rsidP="00FA4D91">
            <w:pPr>
              <w:pStyle w:val="Tabletext"/>
              <w:jc w:val="both"/>
            </w:pPr>
            <w:r w:rsidRPr="00D424DA">
              <w:t>Near term: measurement validity</w:t>
            </w:r>
          </w:p>
        </w:tc>
        <w:tc>
          <w:tcPr>
            <w:tcW w:w="2736" w:type="dxa"/>
            <w:vAlign w:val="center"/>
          </w:tcPr>
          <w:p w14:paraId="139EF9E1" w14:textId="77777777" w:rsidR="00CF0836" w:rsidRPr="00D424DA" w:rsidRDefault="00000000" w:rsidP="00FA4D91">
            <w:pPr>
              <w:pStyle w:val="Tabletext"/>
              <w:jc w:val="both"/>
            </w:pPr>
            <w:r w:rsidRPr="00D424DA">
              <w:t>Multilingual validation with repeated measurement and vaccination-record comparison.</w:t>
            </w:r>
          </w:p>
        </w:tc>
        <w:tc>
          <w:tcPr>
            <w:tcW w:w="2808" w:type="dxa"/>
            <w:vAlign w:val="center"/>
          </w:tcPr>
          <w:p w14:paraId="54E4EC94" w14:textId="77777777" w:rsidR="00CF0836" w:rsidRPr="00D424DA" w:rsidRDefault="00000000" w:rsidP="00FA4D91">
            <w:pPr>
              <w:pStyle w:val="Tabletext"/>
              <w:jc w:val="both"/>
            </w:pPr>
            <w:r w:rsidRPr="00D424DA">
              <w:t>Distinguishes confidence from access; tests predictive validity and comparability across groups.</w:t>
            </w:r>
          </w:p>
        </w:tc>
        <w:tc>
          <w:tcPr>
            <w:tcW w:w="2088" w:type="dxa"/>
            <w:vAlign w:val="center"/>
          </w:tcPr>
          <w:p w14:paraId="6D54BA50" w14:textId="77777777" w:rsidR="00CF0836" w:rsidRPr="00D424DA" w:rsidRDefault="00000000" w:rsidP="00FA4D91">
            <w:pPr>
              <w:pStyle w:val="Tabletext"/>
              <w:jc w:val="both"/>
            </w:pPr>
            <w:r w:rsidRPr="00D424DA">
              <w:t>(Betsch et al., 2018; Wonodi et al., 2024; World Health Organization, 2022)</w:t>
            </w:r>
          </w:p>
        </w:tc>
      </w:tr>
      <w:tr w:rsidR="00D424DA" w:rsidRPr="00D424DA" w14:paraId="4AC3ADF8" w14:textId="77777777" w:rsidTr="00690906">
        <w:trPr>
          <w:cantSplit/>
          <w:jc w:val="center"/>
        </w:trPr>
        <w:tc>
          <w:tcPr>
            <w:tcW w:w="1728" w:type="dxa"/>
            <w:vAlign w:val="center"/>
          </w:tcPr>
          <w:p w14:paraId="4F554648" w14:textId="77777777" w:rsidR="00CF0836" w:rsidRPr="00D424DA" w:rsidRDefault="00000000" w:rsidP="00FA4D91">
            <w:pPr>
              <w:pStyle w:val="Tabletext"/>
              <w:keepNext/>
              <w:jc w:val="both"/>
            </w:pPr>
            <w:r w:rsidRPr="00D424DA">
              <w:lastRenderedPageBreak/>
              <w:t>Longer term: durable adult delivery</w:t>
            </w:r>
          </w:p>
        </w:tc>
        <w:tc>
          <w:tcPr>
            <w:tcW w:w="2736" w:type="dxa"/>
            <w:vAlign w:val="center"/>
          </w:tcPr>
          <w:p w14:paraId="15760C3B" w14:textId="77777777" w:rsidR="00CF0836" w:rsidRPr="00D424DA" w:rsidRDefault="00000000" w:rsidP="00FA4D91">
            <w:pPr>
              <w:pStyle w:val="Tabletext"/>
              <w:keepNext/>
              <w:jc w:val="both"/>
            </w:pPr>
            <w:r w:rsidRPr="00D424DA">
              <w:t>Implementation cohorts across different primary-care and community settings.</w:t>
            </w:r>
          </w:p>
        </w:tc>
        <w:tc>
          <w:tcPr>
            <w:tcW w:w="2808" w:type="dxa"/>
            <w:vAlign w:val="center"/>
          </w:tcPr>
          <w:p w14:paraId="6CBFDF44" w14:textId="77777777" w:rsidR="00CF0836" w:rsidRPr="00D424DA" w:rsidRDefault="00000000" w:rsidP="00FA4D91">
            <w:pPr>
              <w:pStyle w:val="Tabletext"/>
              <w:keepNext/>
              <w:jc w:val="both"/>
            </w:pPr>
            <w:r w:rsidRPr="00D424DA">
              <w:t>Sustained reach, repeated-dose adherence, staffing needs and continued performance after campaign funding.</w:t>
            </w:r>
          </w:p>
        </w:tc>
        <w:tc>
          <w:tcPr>
            <w:tcW w:w="2088" w:type="dxa"/>
            <w:vAlign w:val="center"/>
          </w:tcPr>
          <w:p w14:paraId="17E51783" w14:textId="77777777" w:rsidR="00CF0836" w:rsidRPr="00D424DA" w:rsidRDefault="00000000" w:rsidP="00FA4D91">
            <w:pPr>
              <w:pStyle w:val="Tabletext"/>
              <w:keepNext/>
              <w:jc w:val="both"/>
            </w:pPr>
            <w:r w:rsidRPr="00D424DA">
              <w:t>(World Health Organization, 2023a, 2023b)</w:t>
            </w:r>
          </w:p>
        </w:tc>
      </w:tr>
    </w:tbl>
    <w:p w14:paraId="4FF5D178" w14:textId="77777777" w:rsidR="00CF0836" w:rsidRPr="00D424DA" w:rsidRDefault="00000000" w:rsidP="00FA4D91">
      <w:pPr>
        <w:pStyle w:val="Tablenote"/>
        <w:keepLines/>
        <w:jc w:val="both"/>
      </w:pPr>
      <w:r w:rsidRPr="00D424DA">
        <w:rPr>
          <w:i/>
        </w:rPr>
        <w:t xml:space="preserve">Note. </w:t>
      </w:r>
      <w:r w:rsidRPr="00D424DA">
        <w:t>Priorities are proposals derived from this synthesis, not evaluated interventions or formal consensus rankings. Their sequencing reflects the need to improve measurement before attributing programme effects.</w:t>
      </w:r>
    </w:p>
    <w:p w14:paraId="2471C249" w14:textId="77777777" w:rsidR="00CF0836" w:rsidRPr="00D424DA" w:rsidRDefault="00000000" w:rsidP="00FA4D91">
      <w:pPr>
        <w:pStyle w:val="Heading1"/>
        <w:jc w:val="both"/>
        <w:rPr>
          <w:color w:val="auto"/>
        </w:rPr>
      </w:pPr>
      <w:r w:rsidRPr="00D424DA">
        <w:rPr>
          <w:color w:val="auto"/>
        </w:rPr>
        <w:t>10. Conclusions</w:t>
      </w:r>
    </w:p>
    <w:p w14:paraId="3B372E41" w14:textId="77777777" w:rsidR="00CF0836" w:rsidRPr="00D424DA" w:rsidRDefault="00000000" w:rsidP="00FA4D91">
      <w:pPr>
        <w:jc w:val="both"/>
      </w:pPr>
      <w:r w:rsidRPr="00D424DA">
        <w:t>COVID‑19 vaccine uptake in Nigeria cannot be represented adequately by a single percentage assembled from studies of different populations, periods and outcomes. Early low receipt in documented communities coexisted with substantial willingness in some surveys, while later administrative reporting demonstrated considerable programme expansion. These findings are compatible once differences in opportunity, eligibility and measurement are recognised. They do not establish uniform coverage or current protection across all Nigerian adults.</w:t>
      </w:r>
    </w:p>
    <w:p w14:paraId="4EF6553F" w14:textId="77777777" w:rsidR="00CF0836" w:rsidRPr="00D424DA" w:rsidRDefault="00000000" w:rsidP="00FA4D91">
      <w:pPr>
        <w:jc w:val="both"/>
      </w:pPr>
      <w:r w:rsidRPr="00D424DA">
        <w:t>The most consistent interpretation is that motivation and practical opportunity must be considered together. Safety confidence, trusted recommendations, perceived need, social endorsement and access repeatedly appeared relevant. Age, sex, education, religion and residence showed more context-dependent associations and should not be treated as fixed causal explanations. Evidence concerning high-risk and underserved populations remains limited by clinic attendance, household-head selection and digital recruitment. Much of the literature identifies correlates of behaviour rather than effects of interventions.</w:t>
      </w:r>
    </w:p>
    <w:p w14:paraId="5B311F5C" w14:textId="77777777" w:rsidR="00CF0836" w:rsidRPr="00D424DA" w:rsidRDefault="00000000" w:rsidP="00FA4D91">
      <w:pPr>
        <w:jc w:val="both"/>
      </w:pPr>
      <w:r w:rsidRPr="00D424DA">
        <w:t>A credible response combines reliable vaccination services with respectful, locally appropriate communication and risk-based monitoring. Nigerian social-media experiments leave the size of uptake effects uncertain, whereas stronger regional evidence for accessible delivery supports local testing rather than unqualified extrapolation. The next advance should be better observation of the vaccination pathway and rigorous evaluation of integrated service packages. Programme success should be judged through appropriate receipt, completion, equitable reach and protection-oriented priorities, not solely through favourable attitudes or cumulative doses administered.</w:t>
      </w:r>
    </w:p>
    <w:p w14:paraId="068D0596" w14:textId="77777777" w:rsidR="00CF0836" w:rsidRPr="00D424DA" w:rsidRDefault="00000000" w:rsidP="00FA4D91">
      <w:pPr>
        <w:pStyle w:val="Heading1"/>
        <w:jc w:val="both"/>
        <w:rPr>
          <w:color w:val="auto"/>
        </w:rPr>
      </w:pPr>
      <w:r w:rsidRPr="00D424DA">
        <w:rPr>
          <w:color w:val="auto"/>
        </w:rPr>
        <w:t>11. Limitations</w:t>
      </w:r>
    </w:p>
    <w:p w14:paraId="6B1BF3F3" w14:textId="77777777" w:rsidR="00CF0836" w:rsidRPr="00D424DA" w:rsidRDefault="00000000" w:rsidP="00FA4D91">
      <w:pPr>
        <w:jc w:val="both"/>
      </w:pPr>
      <w:r w:rsidRPr="00D424DA">
        <w:t>This narrative review is intrinsically vulnerable to selection and interpretive bias despite explicit search boundaries and critical appraisal. It was not an exhaustive systematic review, and the purposive selection of influential and informative studies may have omitted relevant evidence. Searches relied on accessible scholarly records, web-indexed biomedical literature and institutional sources rather than direct access to all subscription databases. English-language eligibility and the requirement for verifiable, accessible information may have favoured more visible publications.</w:t>
      </w:r>
    </w:p>
    <w:p w14:paraId="2A6AB4C7" w14:textId="77777777" w:rsidR="00CF0836" w:rsidRPr="00D424DA" w:rsidRDefault="00000000" w:rsidP="00FA4D91">
      <w:pPr>
        <w:jc w:val="both"/>
      </w:pPr>
      <w:r w:rsidRPr="00D424DA">
        <w:lastRenderedPageBreak/>
        <w:t>The underlying literature was heterogeneous in observation dates, recruitment, outcome definitions and analytical methods. Much of it relied on cross-sectional self-report, and several publications used related survey infrastructures or intervention programmes. These features limited independent replication and prevented a defensible pooled estimate. Geographical and population coverage was uneven, particularly for people outside healthcare services or digital networks. Publication date often differed substantially from fieldwork date, limiting conclusions about contemporary uptake.</w:t>
      </w:r>
    </w:p>
    <w:p w14:paraId="5AA607BD" w14:textId="77777777" w:rsidR="00CF0836" w:rsidRDefault="00000000" w:rsidP="00FA4D91">
      <w:pPr>
        <w:jc w:val="both"/>
      </w:pPr>
      <w:r w:rsidRPr="00D424DA">
        <w:t>Administrative reports and survey estimates were not independently reconciled against a complete national person-level register. Narrative confidence assessments were not formal certainty grades, and no new causal estimates were calculated. Intervention evidence from Sierra Leone was included for contextual relevance but cannot determine effectiveness in Nigeria. Finally, evidence available through 22 July 2026 may not capture subsequent programme changes, revised recommendations or newly published studies. These constraints bound the conclusions to the verified evidence and the specific populations and periods it describes.</w:t>
      </w:r>
    </w:p>
    <w:p w14:paraId="2E83C882" w14:textId="77777777" w:rsidR="00207892" w:rsidRDefault="00207892" w:rsidP="00FA4D91">
      <w:pPr>
        <w:spacing w:after="0" w:line="240" w:lineRule="auto"/>
        <w:jc w:val="both"/>
        <w:rPr>
          <w:rFonts w:cs="Times New Roman"/>
          <w:b/>
        </w:rPr>
      </w:pPr>
      <w:r w:rsidRPr="000839CE">
        <w:rPr>
          <w:rFonts w:cs="Times New Roman"/>
          <w:b/>
        </w:rPr>
        <w:t>Declaration of AI Use</w:t>
      </w:r>
    </w:p>
    <w:p w14:paraId="10AFFDD1" w14:textId="77777777" w:rsidR="00207892" w:rsidRDefault="00207892" w:rsidP="00FA4D91">
      <w:pPr>
        <w:spacing w:after="0" w:line="240" w:lineRule="auto"/>
        <w:jc w:val="both"/>
        <w:rPr>
          <w:rFonts w:cs="Times New Roman"/>
          <w:b/>
        </w:rPr>
      </w:pPr>
    </w:p>
    <w:p w14:paraId="4AA9058E" w14:textId="77777777" w:rsidR="00207892" w:rsidRDefault="00207892" w:rsidP="00FA4D91">
      <w:pPr>
        <w:spacing w:after="0" w:line="240" w:lineRule="auto"/>
        <w:jc w:val="both"/>
        <w:rPr>
          <w:rFonts w:cs="Times New Roman"/>
          <w:b/>
        </w:rPr>
      </w:pPr>
    </w:p>
    <w:p w14:paraId="5146EF21" w14:textId="77777777" w:rsidR="00207892" w:rsidRDefault="00207892" w:rsidP="00FA4D91">
      <w:pPr>
        <w:spacing w:after="0" w:line="240" w:lineRule="auto"/>
        <w:jc w:val="both"/>
        <w:rPr>
          <w:rFonts w:cs="Times New Roman"/>
          <w:b/>
        </w:rPr>
      </w:pPr>
    </w:p>
    <w:p w14:paraId="295096F6" w14:textId="77777777" w:rsidR="00207892" w:rsidRPr="002D08AC" w:rsidRDefault="00207892" w:rsidP="00FA4D91">
      <w:pPr>
        <w:spacing w:after="0" w:line="240" w:lineRule="auto"/>
        <w:jc w:val="both"/>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3BC2A45" w14:textId="77777777" w:rsidR="00CF0836" w:rsidRPr="00D424DA" w:rsidRDefault="00000000" w:rsidP="00FA4D91">
      <w:pPr>
        <w:pStyle w:val="Heading1"/>
        <w:pageBreakBefore/>
        <w:jc w:val="both"/>
        <w:rPr>
          <w:color w:val="auto"/>
        </w:rPr>
      </w:pPr>
      <w:r w:rsidRPr="00D424DA">
        <w:rPr>
          <w:color w:val="auto"/>
        </w:rPr>
        <w:lastRenderedPageBreak/>
        <w:t>References</w:t>
      </w:r>
    </w:p>
    <w:p w14:paraId="0327CE77" w14:textId="2108A774" w:rsidR="007D29D1" w:rsidRPr="007D29D1" w:rsidRDefault="007D29D1" w:rsidP="007D29D1">
      <w:pPr>
        <w:spacing w:after="0" w:line="240" w:lineRule="auto"/>
        <w:ind w:left="540" w:hanging="540"/>
        <w:jc w:val="both"/>
        <w:rPr>
          <w:rFonts w:eastAsia="Times New Roman" w:cs="Times New Roman"/>
          <w:szCs w:val="24"/>
        </w:rPr>
      </w:pPr>
      <w:proofErr w:type="spellStart"/>
      <w:r w:rsidRPr="007D29D1">
        <w:rPr>
          <w:rFonts w:eastAsia="Times New Roman" w:cs="Times New Roman"/>
          <w:szCs w:val="24"/>
        </w:rPr>
        <w:t>Adebusoye</w:t>
      </w:r>
      <w:proofErr w:type="spellEnd"/>
      <w:r w:rsidRPr="007D29D1">
        <w:rPr>
          <w:rFonts w:eastAsia="Times New Roman" w:cs="Times New Roman"/>
          <w:szCs w:val="24"/>
        </w:rPr>
        <w:t xml:space="preserve">, L. A., Cadmus, E. O., Oyinlola, O., &amp; Abiola, O. (2023). COVID-19 vaccine hesitancy among older adults in a geriatric </w:t>
      </w:r>
      <w:proofErr w:type="spellStart"/>
      <w:r w:rsidRPr="007D29D1">
        <w:rPr>
          <w:rFonts w:eastAsia="Times New Roman" w:cs="Times New Roman"/>
          <w:szCs w:val="24"/>
        </w:rPr>
        <w:t>centre</w:t>
      </w:r>
      <w:proofErr w:type="spellEnd"/>
      <w:r w:rsidRPr="007D29D1">
        <w:rPr>
          <w:rFonts w:eastAsia="Times New Roman" w:cs="Times New Roman"/>
          <w:szCs w:val="24"/>
        </w:rPr>
        <w:t xml:space="preserve"> in Nigeria. </w:t>
      </w:r>
      <w:r w:rsidRPr="007D29D1">
        <w:rPr>
          <w:rFonts w:eastAsia="Times New Roman" w:cs="Times New Roman"/>
          <w:i/>
          <w:iCs/>
          <w:szCs w:val="24"/>
        </w:rPr>
        <w:t>Cureus, 15</w:t>
      </w:r>
      <w:r w:rsidRPr="007D29D1">
        <w:rPr>
          <w:rFonts w:eastAsia="Times New Roman" w:cs="Times New Roman"/>
          <w:szCs w:val="24"/>
        </w:rPr>
        <w:t xml:space="preserve">(12), Article e51102. </w:t>
      </w:r>
      <w:hyperlink r:id="rId8" w:history="1">
        <w:r w:rsidRPr="007D29D1">
          <w:rPr>
            <w:rFonts w:eastAsia="Times New Roman" w:cs="Times New Roman"/>
            <w:color w:val="0000FF"/>
            <w:szCs w:val="24"/>
            <w:u w:val="single"/>
          </w:rPr>
          <w:t>https://doi.org/10.7759/cureus.51102</w:t>
        </w:r>
      </w:hyperlink>
    </w:p>
    <w:p w14:paraId="29285FE8" w14:textId="397D4618" w:rsidR="007D29D1" w:rsidRPr="007D29D1" w:rsidRDefault="007D29D1" w:rsidP="007D29D1">
      <w:pPr>
        <w:spacing w:after="0" w:line="240" w:lineRule="auto"/>
        <w:ind w:left="540" w:hanging="540"/>
        <w:jc w:val="both"/>
        <w:rPr>
          <w:rFonts w:eastAsia="Times New Roman" w:cs="Times New Roman"/>
          <w:szCs w:val="24"/>
        </w:rPr>
      </w:pPr>
      <w:r w:rsidRPr="007D29D1">
        <w:rPr>
          <w:rFonts w:eastAsia="Times New Roman" w:cs="Times New Roman"/>
          <w:szCs w:val="24"/>
        </w:rPr>
        <w:t>Adedeji-</w:t>
      </w:r>
      <w:proofErr w:type="spellStart"/>
      <w:r w:rsidRPr="007D29D1">
        <w:rPr>
          <w:rFonts w:eastAsia="Times New Roman" w:cs="Times New Roman"/>
          <w:szCs w:val="24"/>
        </w:rPr>
        <w:t>Adenola</w:t>
      </w:r>
      <w:proofErr w:type="spellEnd"/>
      <w:r w:rsidRPr="007D29D1">
        <w:rPr>
          <w:rFonts w:eastAsia="Times New Roman" w:cs="Times New Roman"/>
          <w:szCs w:val="24"/>
        </w:rPr>
        <w:t xml:space="preserve">, H., </w:t>
      </w:r>
      <w:proofErr w:type="spellStart"/>
      <w:r w:rsidRPr="007D29D1">
        <w:rPr>
          <w:rFonts w:eastAsia="Times New Roman" w:cs="Times New Roman"/>
          <w:szCs w:val="24"/>
        </w:rPr>
        <w:t>Olugbake</w:t>
      </w:r>
      <w:proofErr w:type="spellEnd"/>
      <w:r w:rsidRPr="007D29D1">
        <w:rPr>
          <w:rFonts w:eastAsia="Times New Roman" w:cs="Times New Roman"/>
          <w:szCs w:val="24"/>
        </w:rPr>
        <w:t xml:space="preserve">, O. A., &amp; Adeosun, S. A. (2022). Factors influencing COVID-19 vaccine uptake among adults in Nigeria. </w:t>
      </w:r>
      <w:r w:rsidRPr="007D29D1">
        <w:rPr>
          <w:rFonts w:eastAsia="Times New Roman" w:cs="Times New Roman"/>
          <w:i/>
          <w:iCs/>
          <w:szCs w:val="24"/>
        </w:rPr>
        <w:t>PLOS ONE, 17</w:t>
      </w:r>
      <w:r w:rsidRPr="007D29D1">
        <w:rPr>
          <w:rFonts w:eastAsia="Times New Roman" w:cs="Times New Roman"/>
          <w:szCs w:val="24"/>
        </w:rPr>
        <w:t xml:space="preserve">(2), Article e0264371. </w:t>
      </w:r>
      <w:hyperlink r:id="rId9" w:history="1">
        <w:r w:rsidRPr="007D29D1">
          <w:rPr>
            <w:rFonts w:eastAsia="Times New Roman" w:cs="Times New Roman"/>
            <w:color w:val="0000FF"/>
            <w:szCs w:val="24"/>
            <w:u w:val="single"/>
          </w:rPr>
          <w:t>https://doi.org/10.1371/journal.pone.0264371</w:t>
        </w:r>
      </w:hyperlink>
    </w:p>
    <w:p w14:paraId="0CF4155D" w14:textId="1625B64A" w:rsidR="007D29D1" w:rsidRPr="007D29D1" w:rsidRDefault="007D29D1" w:rsidP="007D29D1">
      <w:pPr>
        <w:spacing w:after="0" w:line="240" w:lineRule="auto"/>
        <w:ind w:left="540" w:hanging="540"/>
        <w:jc w:val="both"/>
        <w:rPr>
          <w:rFonts w:eastAsia="Times New Roman" w:cs="Times New Roman"/>
          <w:szCs w:val="24"/>
        </w:rPr>
      </w:pPr>
      <w:r w:rsidRPr="007D29D1">
        <w:rPr>
          <w:rFonts w:eastAsia="Times New Roman" w:cs="Times New Roman"/>
          <w:szCs w:val="24"/>
        </w:rPr>
        <w:t xml:space="preserve">Agha, S., Nsofor, I., Bernard, D., Francis, S., &amp; Rao, N. (2024). Behavioral insights from vaccine adoption in Nigeria: Cross-sectional survey findings. </w:t>
      </w:r>
      <w:r w:rsidRPr="007D29D1">
        <w:rPr>
          <w:rFonts w:eastAsia="Times New Roman" w:cs="Times New Roman"/>
          <w:i/>
          <w:iCs/>
          <w:szCs w:val="24"/>
        </w:rPr>
        <w:t>Interactive Journal of Medical Research, 13</w:t>
      </w:r>
      <w:r w:rsidRPr="007D29D1">
        <w:rPr>
          <w:rFonts w:eastAsia="Times New Roman" w:cs="Times New Roman"/>
          <w:szCs w:val="24"/>
        </w:rPr>
        <w:t xml:space="preserve">, Article e47817. </w:t>
      </w:r>
      <w:hyperlink r:id="rId10" w:history="1">
        <w:r w:rsidRPr="007D29D1">
          <w:rPr>
            <w:rFonts w:eastAsia="Times New Roman" w:cs="Times New Roman"/>
            <w:color w:val="0000FF"/>
            <w:szCs w:val="24"/>
            <w:u w:val="single"/>
          </w:rPr>
          <w:t>https://doi.org/10.2196/47817</w:t>
        </w:r>
      </w:hyperlink>
    </w:p>
    <w:p w14:paraId="0AE43F3F" w14:textId="7C443CCB" w:rsidR="007D29D1" w:rsidRPr="007D29D1" w:rsidRDefault="007D29D1" w:rsidP="007D29D1">
      <w:pPr>
        <w:spacing w:after="0" w:line="240" w:lineRule="auto"/>
        <w:ind w:left="540" w:hanging="540"/>
        <w:jc w:val="both"/>
        <w:rPr>
          <w:rFonts w:eastAsia="Times New Roman" w:cs="Times New Roman"/>
          <w:szCs w:val="24"/>
        </w:rPr>
      </w:pPr>
      <w:r w:rsidRPr="007D29D1">
        <w:rPr>
          <w:rFonts w:eastAsia="Times New Roman" w:cs="Times New Roman"/>
          <w:szCs w:val="24"/>
        </w:rPr>
        <w:t xml:space="preserve">Ahmad, S. I., Aliyu, H., Usman, R., Abubakar, A., </w:t>
      </w:r>
      <w:proofErr w:type="spellStart"/>
      <w:r w:rsidRPr="007D29D1">
        <w:rPr>
          <w:rFonts w:eastAsia="Times New Roman" w:cs="Times New Roman"/>
          <w:szCs w:val="24"/>
        </w:rPr>
        <w:t>Maijawa</w:t>
      </w:r>
      <w:proofErr w:type="spellEnd"/>
      <w:r w:rsidRPr="007D29D1">
        <w:rPr>
          <w:rFonts w:eastAsia="Times New Roman" w:cs="Times New Roman"/>
          <w:szCs w:val="24"/>
        </w:rPr>
        <w:t xml:space="preserve">, M. A., Suleiman, B. A., Balogun, M. S., </w:t>
      </w:r>
      <w:proofErr w:type="spellStart"/>
      <w:r w:rsidRPr="007D29D1">
        <w:rPr>
          <w:rFonts w:eastAsia="Times New Roman" w:cs="Times New Roman"/>
          <w:szCs w:val="24"/>
        </w:rPr>
        <w:t>Olorukooba</w:t>
      </w:r>
      <w:proofErr w:type="spellEnd"/>
      <w:r w:rsidRPr="007D29D1">
        <w:rPr>
          <w:rFonts w:eastAsia="Times New Roman" w:cs="Times New Roman"/>
          <w:szCs w:val="24"/>
        </w:rPr>
        <w:t xml:space="preserve">, A., </w:t>
      </w:r>
      <w:proofErr w:type="spellStart"/>
      <w:r w:rsidRPr="007D29D1">
        <w:rPr>
          <w:rFonts w:eastAsia="Times New Roman" w:cs="Times New Roman"/>
          <w:szCs w:val="24"/>
        </w:rPr>
        <w:t>Umeokonkwo</w:t>
      </w:r>
      <w:proofErr w:type="spellEnd"/>
      <w:r w:rsidRPr="007D29D1">
        <w:rPr>
          <w:rFonts w:eastAsia="Times New Roman" w:cs="Times New Roman"/>
          <w:szCs w:val="24"/>
        </w:rPr>
        <w:t xml:space="preserve">, C. D., </w:t>
      </w:r>
      <w:proofErr w:type="spellStart"/>
      <w:r w:rsidRPr="007D29D1">
        <w:rPr>
          <w:rFonts w:eastAsia="Times New Roman" w:cs="Times New Roman"/>
          <w:szCs w:val="24"/>
        </w:rPr>
        <w:t>Maiyaki</w:t>
      </w:r>
      <w:proofErr w:type="spellEnd"/>
      <w:r w:rsidRPr="007D29D1">
        <w:rPr>
          <w:rFonts w:eastAsia="Times New Roman" w:cs="Times New Roman"/>
          <w:szCs w:val="24"/>
        </w:rPr>
        <w:t xml:space="preserve">, A., Abubakar, M. S., Abba, A. A., Yisa, M., Zubair, I., Onu, C. H., Jatau, T. D., Garba, F., &amp; Kabir, S. (2025). Factors influencing COVID-19 vaccine acceptability among household heads in northern Nigeria: A community-based cross-sectional study. </w:t>
      </w:r>
      <w:r w:rsidRPr="007D29D1">
        <w:rPr>
          <w:rFonts w:eastAsia="Times New Roman" w:cs="Times New Roman"/>
          <w:i/>
          <w:iCs/>
          <w:szCs w:val="24"/>
        </w:rPr>
        <w:t>BMJ Open, 15</w:t>
      </w:r>
      <w:r w:rsidRPr="007D29D1">
        <w:rPr>
          <w:rFonts w:eastAsia="Times New Roman" w:cs="Times New Roman"/>
          <w:szCs w:val="24"/>
        </w:rPr>
        <w:t xml:space="preserve">(1), Article e083470. </w:t>
      </w:r>
      <w:hyperlink r:id="rId11" w:history="1">
        <w:r w:rsidRPr="007D29D1">
          <w:rPr>
            <w:rFonts w:eastAsia="Times New Roman" w:cs="Times New Roman"/>
            <w:color w:val="0000FF"/>
            <w:szCs w:val="24"/>
            <w:u w:val="single"/>
          </w:rPr>
          <w:t>https://doi.org/10.1136/bmjopen-2023-083470</w:t>
        </w:r>
      </w:hyperlink>
    </w:p>
    <w:p w14:paraId="715AF8AD" w14:textId="6CE7A721" w:rsidR="007D29D1" w:rsidRPr="007D29D1" w:rsidRDefault="007D29D1" w:rsidP="007D29D1">
      <w:pPr>
        <w:spacing w:after="0" w:line="240" w:lineRule="auto"/>
        <w:ind w:left="540" w:hanging="540"/>
        <w:jc w:val="both"/>
        <w:rPr>
          <w:rFonts w:eastAsia="Times New Roman" w:cs="Times New Roman"/>
          <w:szCs w:val="24"/>
        </w:rPr>
      </w:pPr>
      <w:r w:rsidRPr="007D29D1">
        <w:rPr>
          <w:rFonts w:eastAsia="Times New Roman" w:cs="Times New Roman"/>
          <w:szCs w:val="24"/>
        </w:rPr>
        <w:t xml:space="preserve">Babatope, T., </w:t>
      </w:r>
      <w:proofErr w:type="spellStart"/>
      <w:r w:rsidRPr="007D29D1">
        <w:rPr>
          <w:rFonts w:eastAsia="Times New Roman" w:cs="Times New Roman"/>
          <w:szCs w:val="24"/>
        </w:rPr>
        <w:t>Ilyenkova</w:t>
      </w:r>
      <w:proofErr w:type="spellEnd"/>
      <w:r w:rsidRPr="007D29D1">
        <w:rPr>
          <w:rFonts w:eastAsia="Times New Roman" w:cs="Times New Roman"/>
          <w:szCs w:val="24"/>
        </w:rPr>
        <w:t xml:space="preserve">, V., &amp; Marais, D. (2023). COVID-19 vaccine hesitancy: A systematic review of barriers to the uptake of COVID-19 vaccine among adults in Nigeria. </w:t>
      </w:r>
      <w:r w:rsidRPr="007D29D1">
        <w:rPr>
          <w:rFonts w:eastAsia="Times New Roman" w:cs="Times New Roman"/>
          <w:i/>
          <w:iCs/>
          <w:szCs w:val="24"/>
        </w:rPr>
        <w:t>Bulletin of the National Research Centre, 47</w:t>
      </w:r>
      <w:r w:rsidRPr="007D29D1">
        <w:rPr>
          <w:rFonts w:eastAsia="Times New Roman" w:cs="Times New Roman"/>
          <w:szCs w:val="24"/>
        </w:rPr>
        <w:t xml:space="preserve">(1), Article 45. </w:t>
      </w:r>
      <w:hyperlink r:id="rId12" w:history="1">
        <w:r w:rsidRPr="007D29D1">
          <w:rPr>
            <w:rFonts w:eastAsia="Times New Roman" w:cs="Times New Roman"/>
            <w:color w:val="0000FF"/>
            <w:szCs w:val="24"/>
            <w:u w:val="single"/>
          </w:rPr>
          <w:t>https://doi.org/10.1186/s42269-023-01017-w</w:t>
        </w:r>
      </w:hyperlink>
    </w:p>
    <w:p w14:paraId="4A02E5CE" w14:textId="0CB63228" w:rsidR="007D29D1" w:rsidRPr="007D29D1" w:rsidRDefault="007D29D1" w:rsidP="007D29D1">
      <w:pPr>
        <w:spacing w:after="0" w:line="240" w:lineRule="auto"/>
        <w:ind w:left="540" w:hanging="540"/>
        <w:jc w:val="both"/>
        <w:rPr>
          <w:rFonts w:eastAsia="Times New Roman" w:cs="Times New Roman"/>
          <w:szCs w:val="24"/>
        </w:rPr>
      </w:pPr>
      <w:proofErr w:type="spellStart"/>
      <w:r w:rsidRPr="007D29D1">
        <w:rPr>
          <w:rFonts w:eastAsia="Times New Roman" w:cs="Times New Roman"/>
          <w:szCs w:val="24"/>
        </w:rPr>
        <w:t>Baethge</w:t>
      </w:r>
      <w:proofErr w:type="spellEnd"/>
      <w:r w:rsidRPr="007D29D1">
        <w:rPr>
          <w:rFonts w:eastAsia="Times New Roman" w:cs="Times New Roman"/>
          <w:szCs w:val="24"/>
        </w:rPr>
        <w:t xml:space="preserve">, C., Goldbeck-Wood, S., &amp; Mertens, S. (2019). SANRA—a scale for the quality assessment of narrative review articles. </w:t>
      </w:r>
      <w:r w:rsidRPr="007D29D1">
        <w:rPr>
          <w:rFonts w:eastAsia="Times New Roman" w:cs="Times New Roman"/>
          <w:i/>
          <w:iCs/>
          <w:szCs w:val="24"/>
        </w:rPr>
        <w:t>Research Integrity and Peer Review, 4</w:t>
      </w:r>
      <w:r w:rsidRPr="007D29D1">
        <w:rPr>
          <w:rFonts w:eastAsia="Times New Roman" w:cs="Times New Roman"/>
          <w:szCs w:val="24"/>
        </w:rPr>
        <w:t xml:space="preserve">, Article 5. </w:t>
      </w:r>
      <w:hyperlink r:id="rId13" w:history="1">
        <w:r w:rsidRPr="007D29D1">
          <w:rPr>
            <w:rFonts w:eastAsia="Times New Roman" w:cs="Times New Roman"/>
            <w:color w:val="0000FF"/>
            <w:szCs w:val="24"/>
            <w:u w:val="single"/>
          </w:rPr>
          <w:t>https://doi.org/10.1186/s41073-019-0064-8</w:t>
        </w:r>
      </w:hyperlink>
    </w:p>
    <w:p w14:paraId="6C36EB79" w14:textId="7FAB6645" w:rsidR="007D29D1" w:rsidRPr="007D29D1" w:rsidRDefault="007D29D1" w:rsidP="007D29D1">
      <w:pPr>
        <w:spacing w:after="0" w:line="240" w:lineRule="auto"/>
        <w:ind w:left="540" w:hanging="540"/>
        <w:jc w:val="both"/>
        <w:rPr>
          <w:rFonts w:eastAsia="Times New Roman" w:cs="Times New Roman"/>
          <w:szCs w:val="24"/>
        </w:rPr>
      </w:pPr>
      <w:proofErr w:type="spellStart"/>
      <w:r w:rsidRPr="007D29D1">
        <w:rPr>
          <w:rFonts w:eastAsia="Times New Roman" w:cs="Times New Roman"/>
          <w:szCs w:val="24"/>
        </w:rPr>
        <w:t>Bamgboye</w:t>
      </w:r>
      <w:proofErr w:type="spellEnd"/>
      <w:r w:rsidRPr="007D29D1">
        <w:rPr>
          <w:rFonts w:eastAsia="Times New Roman" w:cs="Times New Roman"/>
          <w:szCs w:val="24"/>
        </w:rPr>
        <w:t xml:space="preserve">, E. A., </w:t>
      </w:r>
      <w:proofErr w:type="spellStart"/>
      <w:r w:rsidRPr="007D29D1">
        <w:rPr>
          <w:rFonts w:eastAsia="Times New Roman" w:cs="Times New Roman"/>
          <w:szCs w:val="24"/>
        </w:rPr>
        <w:t>Ndejjo</w:t>
      </w:r>
      <w:proofErr w:type="spellEnd"/>
      <w:r w:rsidRPr="007D29D1">
        <w:rPr>
          <w:rFonts w:eastAsia="Times New Roman" w:cs="Times New Roman"/>
          <w:szCs w:val="24"/>
        </w:rPr>
        <w:t xml:space="preserve">, R., Chen, N., Afolabi, R. F., </w:t>
      </w:r>
      <w:proofErr w:type="spellStart"/>
      <w:r w:rsidRPr="007D29D1">
        <w:rPr>
          <w:rFonts w:eastAsia="Times New Roman" w:cs="Times New Roman"/>
          <w:szCs w:val="24"/>
        </w:rPr>
        <w:t>Kabwama</w:t>
      </w:r>
      <w:proofErr w:type="spellEnd"/>
      <w:r w:rsidRPr="007D29D1">
        <w:rPr>
          <w:rFonts w:eastAsia="Times New Roman" w:cs="Times New Roman"/>
          <w:szCs w:val="24"/>
        </w:rPr>
        <w:t xml:space="preserve">, S. N., Salawu, M. M., Bello, S., Adebowale, A. S., Dairo, M. D., Tsai, L. L., Wanyenze, R. K., &amp; Fawole, O. I. (2024). Regional variation in COVID-19 vaccine uptake and intention in Nigeria: A computer assisted telephone survey. </w:t>
      </w:r>
      <w:r w:rsidRPr="007D29D1">
        <w:rPr>
          <w:rFonts w:eastAsia="Times New Roman" w:cs="Times New Roman"/>
          <w:i/>
          <w:iCs/>
          <w:szCs w:val="24"/>
        </w:rPr>
        <w:t>PLOS Global Public Health, 4</w:t>
      </w:r>
      <w:r w:rsidRPr="007D29D1">
        <w:rPr>
          <w:rFonts w:eastAsia="Times New Roman" w:cs="Times New Roman"/>
          <w:szCs w:val="24"/>
        </w:rPr>
        <w:t xml:space="preserve">(11), Article e0002895. </w:t>
      </w:r>
      <w:hyperlink r:id="rId14" w:history="1">
        <w:r w:rsidRPr="007D29D1">
          <w:rPr>
            <w:rFonts w:eastAsia="Times New Roman" w:cs="Times New Roman"/>
            <w:color w:val="0000FF"/>
            <w:szCs w:val="24"/>
            <w:u w:val="single"/>
          </w:rPr>
          <w:t>https://doi.org/10.1371/journal.pgph.0002895</w:t>
        </w:r>
      </w:hyperlink>
    </w:p>
    <w:p w14:paraId="11F4606B" w14:textId="52E640B0" w:rsidR="007D29D1" w:rsidRPr="007D29D1" w:rsidRDefault="007D29D1" w:rsidP="007D29D1">
      <w:pPr>
        <w:spacing w:after="0" w:line="240" w:lineRule="auto"/>
        <w:ind w:left="540" w:hanging="540"/>
        <w:jc w:val="both"/>
        <w:rPr>
          <w:rFonts w:eastAsia="Times New Roman" w:cs="Times New Roman"/>
          <w:szCs w:val="24"/>
        </w:rPr>
      </w:pPr>
      <w:r w:rsidRPr="007D29D1">
        <w:rPr>
          <w:rFonts w:eastAsia="Times New Roman" w:cs="Times New Roman"/>
          <w:szCs w:val="24"/>
          <w:lang w:val="nl-BE"/>
        </w:rPr>
        <w:t xml:space="preserve">Betsch, C., Schmid, P., Heinemeier, D., Korn, L., Holtmann, C., &amp; Böhm, R. (2018). </w:t>
      </w:r>
      <w:r w:rsidRPr="007D29D1">
        <w:rPr>
          <w:rFonts w:eastAsia="Times New Roman" w:cs="Times New Roman"/>
          <w:szCs w:val="24"/>
        </w:rPr>
        <w:t xml:space="preserve">Beyond confidence: Development of a measure assessing the 5C psychological antecedents of vaccination. </w:t>
      </w:r>
      <w:r w:rsidRPr="007D29D1">
        <w:rPr>
          <w:rFonts w:eastAsia="Times New Roman" w:cs="Times New Roman"/>
          <w:i/>
          <w:iCs/>
          <w:szCs w:val="24"/>
        </w:rPr>
        <w:t>PLOS ONE, 13</w:t>
      </w:r>
      <w:r w:rsidRPr="007D29D1">
        <w:rPr>
          <w:rFonts w:eastAsia="Times New Roman" w:cs="Times New Roman"/>
          <w:szCs w:val="24"/>
        </w:rPr>
        <w:t xml:space="preserve">(12), Article e0208601. </w:t>
      </w:r>
      <w:hyperlink r:id="rId15" w:history="1">
        <w:r w:rsidRPr="007D29D1">
          <w:rPr>
            <w:rFonts w:eastAsia="Times New Roman" w:cs="Times New Roman"/>
            <w:color w:val="0000FF"/>
            <w:szCs w:val="24"/>
            <w:u w:val="single"/>
          </w:rPr>
          <w:t>https://doi.org/10.1371/journal.pone.0208601</w:t>
        </w:r>
      </w:hyperlink>
    </w:p>
    <w:p w14:paraId="6723AC3B" w14:textId="6E9D48AF" w:rsidR="007D29D1" w:rsidRPr="007D29D1" w:rsidRDefault="007D29D1" w:rsidP="007D29D1">
      <w:pPr>
        <w:spacing w:after="0" w:line="240" w:lineRule="auto"/>
        <w:ind w:left="540" w:hanging="540"/>
        <w:jc w:val="both"/>
        <w:rPr>
          <w:rFonts w:eastAsia="Times New Roman" w:cs="Times New Roman"/>
          <w:szCs w:val="24"/>
        </w:rPr>
      </w:pPr>
      <w:r w:rsidRPr="007D29D1">
        <w:rPr>
          <w:rFonts w:eastAsia="Times New Roman" w:cs="Times New Roman"/>
          <w:szCs w:val="24"/>
        </w:rPr>
        <w:t xml:space="preserve">Brewer, N. T., Chapman, G. B., Rothman, A. J., Leask, J., &amp; Kempe, A. (2017). Increasing vaccination: Putting psychological science into action. </w:t>
      </w:r>
      <w:r w:rsidRPr="007D29D1">
        <w:rPr>
          <w:rFonts w:eastAsia="Times New Roman" w:cs="Times New Roman"/>
          <w:i/>
          <w:iCs/>
          <w:szCs w:val="24"/>
        </w:rPr>
        <w:t>Psychological Science in the Public Interest, 18</w:t>
      </w:r>
      <w:r w:rsidRPr="007D29D1">
        <w:rPr>
          <w:rFonts w:eastAsia="Times New Roman" w:cs="Times New Roman"/>
          <w:szCs w:val="24"/>
        </w:rPr>
        <w:t xml:space="preserve">(3), 149–207. </w:t>
      </w:r>
      <w:hyperlink r:id="rId16" w:history="1">
        <w:r w:rsidRPr="007D29D1">
          <w:rPr>
            <w:rFonts w:eastAsia="Times New Roman" w:cs="Times New Roman"/>
            <w:color w:val="0000FF"/>
            <w:szCs w:val="24"/>
            <w:u w:val="single"/>
          </w:rPr>
          <w:t>https://doi.org/10.1177/1529100618760521</w:t>
        </w:r>
      </w:hyperlink>
    </w:p>
    <w:p w14:paraId="5E933896" w14:textId="5ADB0F0B" w:rsidR="007D29D1" w:rsidRPr="007D29D1" w:rsidRDefault="007D29D1" w:rsidP="007D29D1">
      <w:pPr>
        <w:spacing w:after="0" w:line="240" w:lineRule="auto"/>
        <w:ind w:left="540" w:hanging="540"/>
        <w:jc w:val="both"/>
        <w:rPr>
          <w:rFonts w:eastAsia="Times New Roman" w:cs="Times New Roman"/>
          <w:szCs w:val="24"/>
        </w:rPr>
      </w:pPr>
      <w:proofErr w:type="spellStart"/>
      <w:r w:rsidRPr="007D29D1">
        <w:rPr>
          <w:rFonts w:eastAsia="Times New Roman" w:cs="Times New Roman"/>
          <w:szCs w:val="24"/>
        </w:rPr>
        <w:t>Enyereibe</w:t>
      </w:r>
      <w:proofErr w:type="spellEnd"/>
      <w:r w:rsidRPr="007D29D1">
        <w:rPr>
          <w:rFonts w:eastAsia="Times New Roman" w:cs="Times New Roman"/>
          <w:szCs w:val="24"/>
        </w:rPr>
        <w:t xml:space="preserve">, N. W., Ilori, E., Steinhardt, L., Stafford, K., Dan-Nwafor, C., Ochu, C. L., Ibrahim, D., Alagi, M., Ibrahim, B. S., </w:t>
      </w:r>
      <w:proofErr w:type="spellStart"/>
      <w:r w:rsidRPr="007D29D1">
        <w:rPr>
          <w:rFonts w:eastAsia="Times New Roman" w:cs="Times New Roman"/>
          <w:szCs w:val="24"/>
        </w:rPr>
        <w:t>Iwara</w:t>
      </w:r>
      <w:proofErr w:type="spellEnd"/>
      <w:r w:rsidRPr="007D29D1">
        <w:rPr>
          <w:rFonts w:eastAsia="Times New Roman" w:cs="Times New Roman"/>
          <w:szCs w:val="24"/>
        </w:rPr>
        <w:t xml:space="preserve">, I. E., Mba, N., Ibrahim, Z., Ahmed, R. A., Botson, I., Ogbonna, S. U., </w:t>
      </w:r>
      <w:proofErr w:type="spellStart"/>
      <w:r w:rsidRPr="007D29D1">
        <w:rPr>
          <w:rFonts w:eastAsia="Times New Roman" w:cs="Times New Roman"/>
          <w:szCs w:val="24"/>
        </w:rPr>
        <w:t>Igumbor</w:t>
      </w:r>
      <w:proofErr w:type="spellEnd"/>
      <w:r w:rsidRPr="007D29D1">
        <w:rPr>
          <w:rFonts w:eastAsia="Times New Roman" w:cs="Times New Roman"/>
          <w:szCs w:val="24"/>
        </w:rPr>
        <w:t xml:space="preserve">, E., Abubakar, J., Ahmed, N., </w:t>
      </w:r>
      <w:proofErr w:type="spellStart"/>
      <w:r w:rsidRPr="007D29D1">
        <w:rPr>
          <w:rFonts w:eastAsia="Times New Roman" w:cs="Times New Roman"/>
          <w:szCs w:val="24"/>
        </w:rPr>
        <w:t>Nwiyi</w:t>
      </w:r>
      <w:proofErr w:type="spellEnd"/>
      <w:r w:rsidRPr="007D29D1">
        <w:rPr>
          <w:rFonts w:eastAsia="Times New Roman" w:cs="Times New Roman"/>
          <w:szCs w:val="24"/>
        </w:rPr>
        <w:t xml:space="preserve">, G. O., . . . Ihekweazu, C. (2025). SARS-CoV-2 seroprevalence and COVID-19 vaccination coverage in two states of Nigeria from a </w:t>
      </w:r>
      <w:proofErr w:type="gramStart"/>
      <w:r w:rsidRPr="007D29D1">
        <w:rPr>
          <w:rFonts w:eastAsia="Times New Roman" w:cs="Times New Roman"/>
          <w:szCs w:val="24"/>
        </w:rPr>
        <w:t>population based</w:t>
      </w:r>
      <w:proofErr w:type="gramEnd"/>
      <w:r w:rsidRPr="007D29D1">
        <w:rPr>
          <w:rFonts w:eastAsia="Times New Roman" w:cs="Times New Roman"/>
          <w:szCs w:val="24"/>
        </w:rPr>
        <w:t xml:space="preserve"> household survey. </w:t>
      </w:r>
      <w:r w:rsidRPr="007D29D1">
        <w:rPr>
          <w:rFonts w:eastAsia="Times New Roman" w:cs="Times New Roman"/>
          <w:i/>
          <w:iCs/>
          <w:szCs w:val="24"/>
        </w:rPr>
        <w:t>Scientific Reports, 15</w:t>
      </w:r>
      <w:r w:rsidRPr="007D29D1">
        <w:rPr>
          <w:rFonts w:eastAsia="Times New Roman" w:cs="Times New Roman"/>
          <w:szCs w:val="24"/>
        </w:rPr>
        <w:t xml:space="preserve">, Article 29272. </w:t>
      </w:r>
      <w:hyperlink r:id="rId17" w:history="1">
        <w:r w:rsidRPr="007D29D1">
          <w:rPr>
            <w:rFonts w:eastAsia="Times New Roman" w:cs="Times New Roman"/>
            <w:color w:val="0000FF"/>
            <w:szCs w:val="24"/>
            <w:u w:val="single"/>
          </w:rPr>
          <w:t>https://doi.org/10.1038/s41598-025-14253-z</w:t>
        </w:r>
      </w:hyperlink>
    </w:p>
    <w:p w14:paraId="50EEB493" w14:textId="23240AAD" w:rsidR="007D29D1" w:rsidRPr="007D29D1" w:rsidRDefault="007D29D1" w:rsidP="007D29D1">
      <w:pPr>
        <w:spacing w:after="0" w:line="240" w:lineRule="auto"/>
        <w:ind w:left="540" w:hanging="540"/>
        <w:jc w:val="both"/>
        <w:rPr>
          <w:rFonts w:eastAsia="Times New Roman" w:cs="Times New Roman"/>
          <w:szCs w:val="24"/>
        </w:rPr>
      </w:pPr>
      <w:r w:rsidRPr="007D29D1">
        <w:rPr>
          <w:rFonts w:eastAsia="Times New Roman" w:cs="Times New Roman"/>
          <w:szCs w:val="24"/>
        </w:rPr>
        <w:t xml:space="preserve">Evans, W. D., Bingenheimer, J. B., Long, M., Ndiaye, K., Donati, D., Rao, N. M., Akaba, S., Nsofor, I., &amp; Agha, S. (2023). Outcomes of a social media campaign to promote COVID-19 vaccination in Nigeria. </w:t>
      </w:r>
      <w:r w:rsidRPr="007D29D1">
        <w:rPr>
          <w:rFonts w:eastAsia="Times New Roman" w:cs="Times New Roman"/>
          <w:i/>
          <w:iCs/>
          <w:szCs w:val="24"/>
        </w:rPr>
        <w:t>PLOS ONE, 18</w:t>
      </w:r>
      <w:r w:rsidRPr="007D29D1">
        <w:rPr>
          <w:rFonts w:eastAsia="Times New Roman" w:cs="Times New Roman"/>
          <w:szCs w:val="24"/>
        </w:rPr>
        <w:t xml:space="preserve">(9), Article e0290757. </w:t>
      </w:r>
      <w:hyperlink r:id="rId18" w:history="1">
        <w:r w:rsidRPr="007D29D1">
          <w:rPr>
            <w:rFonts w:eastAsia="Times New Roman" w:cs="Times New Roman"/>
            <w:color w:val="0000FF"/>
            <w:szCs w:val="24"/>
            <w:u w:val="single"/>
          </w:rPr>
          <w:t>https://doi.org/10.1371/journal.pone.0290757</w:t>
        </w:r>
      </w:hyperlink>
    </w:p>
    <w:p w14:paraId="70923C52" w14:textId="0F57FCA8" w:rsidR="007D29D1" w:rsidRPr="007D29D1" w:rsidRDefault="007D29D1" w:rsidP="007D29D1">
      <w:pPr>
        <w:spacing w:after="0" w:line="240" w:lineRule="auto"/>
        <w:ind w:left="540" w:hanging="540"/>
        <w:jc w:val="both"/>
        <w:rPr>
          <w:rFonts w:eastAsia="Times New Roman" w:cs="Times New Roman"/>
          <w:szCs w:val="24"/>
        </w:rPr>
      </w:pPr>
      <w:r w:rsidRPr="007D29D1">
        <w:rPr>
          <w:rFonts w:eastAsia="Times New Roman" w:cs="Times New Roman"/>
          <w:szCs w:val="24"/>
        </w:rPr>
        <w:lastRenderedPageBreak/>
        <w:t xml:space="preserve">Evans, W. D., Bingenheimer, J. B., Long, M. W., Ndiaye, K., Donati, D., Rao, N. M., Akaba, S., &amp; Agha, S. (2024). </w:t>
      </w:r>
      <w:proofErr w:type="spellStart"/>
      <w:r w:rsidRPr="007D29D1">
        <w:rPr>
          <w:rFonts w:eastAsia="Times New Roman" w:cs="Times New Roman"/>
          <w:szCs w:val="24"/>
        </w:rPr>
        <w:t>Randomised</w:t>
      </w:r>
      <w:proofErr w:type="spellEnd"/>
      <w:r w:rsidRPr="007D29D1">
        <w:rPr>
          <w:rFonts w:eastAsia="Times New Roman" w:cs="Times New Roman"/>
          <w:szCs w:val="24"/>
        </w:rPr>
        <w:t xml:space="preserve"> experimental evaluation of a social media campaign to promote COVID-19 vaccination in Nigeria. </w:t>
      </w:r>
      <w:r w:rsidRPr="007D29D1">
        <w:rPr>
          <w:rFonts w:eastAsia="Times New Roman" w:cs="Times New Roman"/>
          <w:i/>
          <w:iCs/>
          <w:szCs w:val="24"/>
        </w:rPr>
        <w:t>Journal of Global Health, 14</w:t>
      </w:r>
      <w:r w:rsidRPr="007D29D1">
        <w:rPr>
          <w:rFonts w:eastAsia="Times New Roman" w:cs="Times New Roman"/>
          <w:szCs w:val="24"/>
        </w:rPr>
        <w:t xml:space="preserve">, Article 05018. </w:t>
      </w:r>
      <w:hyperlink r:id="rId19" w:history="1">
        <w:r w:rsidRPr="007D29D1">
          <w:rPr>
            <w:rFonts w:eastAsia="Times New Roman" w:cs="Times New Roman"/>
            <w:color w:val="0000FF"/>
            <w:szCs w:val="24"/>
            <w:u w:val="single"/>
          </w:rPr>
          <w:t>https://doi.org/10.7189/jogh.14.05018</w:t>
        </w:r>
      </w:hyperlink>
    </w:p>
    <w:p w14:paraId="35211C96" w14:textId="3EA11BFA" w:rsidR="007D29D1" w:rsidRPr="007D29D1" w:rsidRDefault="007D29D1" w:rsidP="007D29D1">
      <w:pPr>
        <w:spacing w:after="0" w:line="240" w:lineRule="auto"/>
        <w:ind w:left="540" w:hanging="540"/>
        <w:jc w:val="both"/>
        <w:rPr>
          <w:rFonts w:eastAsia="Times New Roman" w:cs="Times New Roman"/>
          <w:szCs w:val="24"/>
        </w:rPr>
      </w:pPr>
      <w:proofErr w:type="spellStart"/>
      <w:r w:rsidRPr="007D29D1">
        <w:rPr>
          <w:rFonts w:eastAsia="Times New Roman" w:cs="Times New Roman"/>
          <w:szCs w:val="24"/>
        </w:rPr>
        <w:t>Ibenye-Ugbala</w:t>
      </w:r>
      <w:proofErr w:type="spellEnd"/>
      <w:r w:rsidRPr="007D29D1">
        <w:rPr>
          <w:rFonts w:eastAsia="Times New Roman" w:cs="Times New Roman"/>
          <w:szCs w:val="24"/>
        </w:rPr>
        <w:t xml:space="preserve">, C., Okafor, I. P., </w:t>
      </w:r>
      <w:proofErr w:type="spellStart"/>
      <w:r w:rsidRPr="007D29D1">
        <w:rPr>
          <w:rFonts w:eastAsia="Times New Roman" w:cs="Times New Roman"/>
          <w:szCs w:val="24"/>
        </w:rPr>
        <w:t>Maduafokwa</w:t>
      </w:r>
      <w:proofErr w:type="spellEnd"/>
      <w:r w:rsidRPr="007D29D1">
        <w:rPr>
          <w:rFonts w:eastAsia="Times New Roman" w:cs="Times New Roman"/>
          <w:szCs w:val="24"/>
        </w:rPr>
        <w:t xml:space="preserve">, B. A., Adepoju, O. H., Wika-Kobani, B. N., Ezekiel, E., Giwa, O., Matti, O., &amp; Abdulkareem, A. (2026). COVID-19 vaccine acceptability and determinants of hesitancy among adults in Lagos, Nigeria. </w:t>
      </w:r>
      <w:r w:rsidRPr="007D29D1">
        <w:rPr>
          <w:rFonts w:eastAsia="Times New Roman" w:cs="Times New Roman"/>
          <w:i/>
          <w:iCs/>
          <w:szCs w:val="24"/>
        </w:rPr>
        <w:t>BMC Public Health, 26</w:t>
      </w:r>
      <w:r w:rsidRPr="007D29D1">
        <w:rPr>
          <w:rFonts w:eastAsia="Times New Roman" w:cs="Times New Roman"/>
          <w:szCs w:val="24"/>
        </w:rPr>
        <w:t xml:space="preserve">, Article 845. </w:t>
      </w:r>
      <w:hyperlink r:id="rId20" w:history="1">
        <w:r w:rsidRPr="007D29D1">
          <w:rPr>
            <w:rFonts w:eastAsia="Times New Roman" w:cs="Times New Roman"/>
            <w:color w:val="0000FF"/>
            <w:szCs w:val="24"/>
            <w:u w:val="single"/>
          </w:rPr>
          <w:t>https://doi.org/10.1186/s12889-026-26481-7</w:t>
        </w:r>
      </w:hyperlink>
    </w:p>
    <w:p w14:paraId="525277A4" w14:textId="68F2B984" w:rsidR="007D29D1" w:rsidRPr="007D29D1" w:rsidRDefault="007D29D1" w:rsidP="007D29D1">
      <w:pPr>
        <w:spacing w:after="0" w:line="240" w:lineRule="auto"/>
        <w:ind w:left="540" w:hanging="540"/>
        <w:jc w:val="both"/>
        <w:rPr>
          <w:rFonts w:eastAsia="Times New Roman" w:cs="Times New Roman"/>
          <w:szCs w:val="24"/>
        </w:rPr>
      </w:pPr>
      <w:r w:rsidRPr="007D29D1">
        <w:rPr>
          <w:rFonts w:eastAsia="Times New Roman" w:cs="Times New Roman"/>
          <w:szCs w:val="24"/>
        </w:rPr>
        <w:t xml:space="preserve">Ifeanyi, C., Okechukwu, E., Tosin, O., Hyacinth, I., </w:t>
      </w:r>
      <w:proofErr w:type="spellStart"/>
      <w:r w:rsidRPr="007D29D1">
        <w:rPr>
          <w:rFonts w:eastAsia="Times New Roman" w:cs="Times New Roman"/>
          <w:szCs w:val="24"/>
        </w:rPr>
        <w:t>Ataguba</w:t>
      </w:r>
      <w:proofErr w:type="spellEnd"/>
      <w:r w:rsidRPr="007D29D1">
        <w:rPr>
          <w:rFonts w:eastAsia="Times New Roman" w:cs="Times New Roman"/>
          <w:szCs w:val="24"/>
        </w:rPr>
        <w:t xml:space="preserve">, J. E.-O., Muriithi, G. N., Achala, D. M., </w:t>
      </w:r>
      <w:proofErr w:type="spellStart"/>
      <w:r w:rsidRPr="007D29D1">
        <w:rPr>
          <w:rFonts w:eastAsia="Times New Roman" w:cs="Times New Roman"/>
          <w:szCs w:val="24"/>
        </w:rPr>
        <w:t>Adote</w:t>
      </w:r>
      <w:proofErr w:type="spellEnd"/>
      <w:r w:rsidRPr="007D29D1">
        <w:rPr>
          <w:rFonts w:eastAsia="Times New Roman" w:cs="Times New Roman"/>
          <w:szCs w:val="24"/>
        </w:rPr>
        <w:t xml:space="preserve">, E. N. A., </w:t>
      </w:r>
      <w:proofErr w:type="spellStart"/>
      <w:r w:rsidRPr="007D29D1">
        <w:rPr>
          <w:rFonts w:eastAsia="Times New Roman" w:cs="Times New Roman"/>
          <w:szCs w:val="24"/>
        </w:rPr>
        <w:t>Mbachu</w:t>
      </w:r>
      <w:proofErr w:type="spellEnd"/>
      <w:r w:rsidRPr="007D29D1">
        <w:rPr>
          <w:rFonts w:eastAsia="Times New Roman" w:cs="Times New Roman"/>
          <w:szCs w:val="24"/>
        </w:rPr>
        <w:t xml:space="preserve">, C. O., Beshah, S. A., Nwosu, C. O., </w:t>
      </w:r>
      <w:proofErr w:type="spellStart"/>
      <w:r w:rsidRPr="007D29D1">
        <w:rPr>
          <w:rFonts w:eastAsia="Times New Roman" w:cs="Times New Roman"/>
          <w:szCs w:val="24"/>
        </w:rPr>
        <w:t>Tlhakanelo</w:t>
      </w:r>
      <w:proofErr w:type="spellEnd"/>
      <w:r w:rsidRPr="007D29D1">
        <w:rPr>
          <w:rFonts w:eastAsia="Times New Roman" w:cs="Times New Roman"/>
          <w:szCs w:val="24"/>
        </w:rPr>
        <w:t xml:space="preserve">, J. T., </w:t>
      </w:r>
      <w:proofErr w:type="spellStart"/>
      <w:r w:rsidRPr="007D29D1">
        <w:rPr>
          <w:rFonts w:eastAsia="Times New Roman" w:cs="Times New Roman"/>
          <w:szCs w:val="24"/>
        </w:rPr>
        <w:t>Akazili</w:t>
      </w:r>
      <w:proofErr w:type="spellEnd"/>
      <w:r w:rsidRPr="007D29D1">
        <w:rPr>
          <w:rFonts w:eastAsia="Times New Roman" w:cs="Times New Roman"/>
          <w:szCs w:val="24"/>
        </w:rPr>
        <w:t xml:space="preserve">, J., &amp; Masuka, N. (2025). Assessing the determinants of uptake and hesitancy in accessing COVID 19 vaccines in Nigeria: A scoping review. </w:t>
      </w:r>
      <w:r w:rsidRPr="007D29D1">
        <w:rPr>
          <w:rFonts w:eastAsia="Times New Roman" w:cs="Times New Roman"/>
          <w:i/>
          <w:iCs/>
          <w:szCs w:val="24"/>
        </w:rPr>
        <w:t>Frontiers in Health Services, 5</w:t>
      </w:r>
      <w:r w:rsidRPr="007D29D1">
        <w:rPr>
          <w:rFonts w:eastAsia="Times New Roman" w:cs="Times New Roman"/>
          <w:szCs w:val="24"/>
        </w:rPr>
        <w:t xml:space="preserve">, Article 1609418. </w:t>
      </w:r>
      <w:hyperlink r:id="rId21" w:history="1">
        <w:r w:rsidRPr="007D29D1">
          <w:rPr>
            <w:rFonts w:eastAsia="Times New Roman" w:cs="Times New Roman"/>
            <w:color w:val="0000FF"/>
            <w:szCs w:val="24"/>
            <w:u w:val="single"/>
          </w:rPr>
          <w:t>https://doi.org/10.3389/frhs.2025.1609418</w:t>
        </w:r>
      </w:hyperlink>
    </w:p>
    <w:p w14:paraId="40C49D8E" w14:textId="6CDC3256" w:rsidR="007D29D1" w:rsidRPr="007D29D1" w:rsidRDefault="007D29D1" w:rsidP="007D29D1">
      <w:pPr>
        <w:spacing w:after="0" w:line="240" w:lineRule="auto"/>
        <w:ind w:left="540" w:hanging="540"/>
        <w:jc w:val="both"/>
        <w:rPr>
          <w:rFonts w:eastAsia="Times New Roman" w:cs="Times New Roman"/>
          <w:szCs w:val="24"/>
        </w:rPr>
      </w:pPr>
      <w:proofErr w:type="spellStart"/>
      <w:r w:rsidRPr="007D29D1">
        <w:rPr>
          <w:rFonts w:eastAsia="Times New Roman" w:cs="Times New Roman"/>
          <w:szCs w:val="24"/>
        </w:rPr>
        <w:t>Kanyanda</w:t>
      </w:r>
      <w:proofErr w:type="spellEnd"/>
      <w:r w:rsidRPr="007D29D1">
        <w:rPr>
          <w:rFonts w:eastAsia="Times New Roman" w:cs="Times New Roman"/>
          <w:szCs w:val="24"/>
        </w:rPr>
        <w:t xml:space="preserve">, S., Markhof, Y., </w:t>
      </w:r>
      <w:proofErr w:type="spellStart"/>
      <w:r w:rsidRPr="007D29D1">
        <w:rPr>
          <w:rFonts w:eastAsia="Times New Roman" w:cs="Times New Roman"/>
          <w:szCs w:val="24"/>
        </w:rPr>
        <w:t>Wollburg</w:t>
      </w:r>
      <w:proofErr w:type="spellEnd"/>
      <w:r w:rsidRPr="007D29D1">
        <w:rPr>
          <w:rFonts w:eastAsia="Times New Roman" w:cs="Times New Roman"/>
          <w:szCs w:val="24"/>
        </w:rPr>
        <w:t xml:space="preserve">, P., &amp; Zezza, A. (2021). Acceptance of COVID-19 vaccines in sub-Saharan Africa: Evidence from six national phone surveys. </w:t>
      </w:r>
      <w:r w:rsidRPr="007D29D1">
        <w:rPr>
          <w:rFonts w:eastAsia="Times New Roman" w:cs="Times New Roman"/>
          <w:i/>
          <w:iCs/>
          <w:szCs w:val="24"/>
        </w:rPr>
        <w:t>BMJ Open, 11</w:t>
      </w:r>
      <w:r w:rsidRPr="007D29D1">
        <w:rPr>
          <w:rFonts w:eastAsia="Times New Roman" w:cs="Times New Roman"/>
          <w:szCs w:val="24"/>
        </w:rPr>
        <w:t xml:space="preserve">(12), Article e055159. </w:t>
      </w:r>
      <w:hyperlink r:id="rId22" w:history="1">
        <w:r w:rsidRPr="007D29D1">
          <w:rPr>
            <w:rFonts w:eastAsia="Times New Roman" w:cs="Times New Roman"/>
            <w:color w:val="0000FF"/>
            <w:szCs w:val="24"/>
            <w:u w:val="single"/>
          </w:rPr>
          <w:t>https://doi.org/10.1136/bmjopen-2021-055159</w:t>
        </w:r>
      </w:hyperlink>
    </w:p>
    <w:p w14:paraId="51DD154B" w14:textId="7FD4047D" w:rsidR="007D29D1" w:rsidRPr="007D29D1" w:rsidRDefault="007D29D1" w:rsidP="007D29D1">
      <w:pPr>
        <w:spacing w:after="0" w:line="240" w:lineRule="auto"/>
        <w:ind w:left="540" w:hanging="540"/>
        <w:jc w:val="both"/>
        <w:rPr>
          <w:rFonts w:eastAsia="Times New Roman" w:cs="Times New Roman"/>
          <w:szCs w:val="24"/>
          <w:lang w:val="nl-BE"/>
        </w:rPr>
      </w:pPr>
      <w:r w:rsidRPr="007D29D1">
        <w:rPr>
          <w:rFonts w:eastAsia="Times New Roman" w:cs="Times New Roman"/>
          <w:szCs w:val="24"/>
        </w:rPr>
        <w:t xml:space="preserve">MacDonald, N. E., &amp; SAGE Working Group on Vaccine Hesitancy. (2015). Vaccine hesitancy: Definition, scope and determinants. </w:t>
      </w:r>
      <w:r w:rsidRPr="007D29D1">
        <w:rPr>
          <w:rFonts w:eastAsia="Times New Roman" w:cs="Times New Roman"/>
          <w:i/>
          <w:iCs/>
          <w:szCs w:val="24"/>
          <w:lang w:val="nl-BE"/>
        </w:rPr>
        <w:t>Vaccine, 33</w:t>
      </w:r>
      <w:r w:rsidRPr="007D29D1">
        <w:rPr>
          <w:rFonts w:eastAsia="Times New Roman" w:cs="Times New Roman"/>
          <w:szCs w:val="24"/>
          <w:lang w:val="nl-BE"/>
        </w:rPr>
        <w:t xml:space="preserve">(34), 4161–4164. </w:t>
      </w:r>
      <w:r w:rsidRPr="007D29D1">
        <w:rPr>
          <w:rFonts w:eastAsia="Times New Roman" w:cs="Times New Roman"/>
          <w:szCs w:val="24"/>
        </w:rPr>
        <w:fldChar w:fldCharType="begin"/>
      </w:r>
      <w:r w:rsidRPr="007D29D1">
        <w:rPr>
          <w:rFonts w:eastAsia="Times New Roman" w:cs="Times New Roman"/>
          <w:szCs w:val="24"/>
          <w:lang w:val="nl-BE"/>
        </w:rPr>
        <w:instrText>HYPERLINK "https://doi.org/10.1016/j.vaccine.2015.04.036"</w:instrText>
      </w:r>
      <w:r w:rsidRPr="007D29D1">
        <w:rPr>
          <w:rFonts w:eastAsia="Times New Roman" w:cs="Times New Roman"/>
          <w:szCs w:val="24"/>
        </w:rPr>
        <w:fldChar w:fldCharType="separate"/>
      </w:r>
      <w:r w:rsidRPr="007D29D1">
        <w:rPr>
          <w:rFonts w:eastAsia="Times New Roman" w:cs="Times New Roman"/>
          <w:color w:val="0000FF"/>
          <w:szCs w:val="24"/>
          <w:u w:val="single"/>
          <w:lang w:val="nl-BE"/>
        </w:rPr>
        <w:t>https://doi.org/10.1016/j.vaccine.2015.04.036</w:t>
      </w:r>
      <w:r w:rsidRPr="007D29D1">
        <w:rPr>
          <w:rFonts w:eastAsia="Times New Roman" w:cs="Times New Roman"/>
          <w:szCs w:val="24"/>
        </w:rPr>
        <w:fldChar w:fldCharType="end"/>
      </w:r>
    </w:p>
    <w:p w14:paraId="2986CDBE" w14:textId="25EE34F8" w:rsidR="007D29D1" w:rsidRPr="007D29D1" w:rsidRDefault="007D29D1" w:rsidP="007D29D1">
      <w:pPr>
        <w:spacing w:after="0" w:line="240" w:lineRule="auto"/>
        <w:ind w:left="540" w:hanging="540"/>
        <w:jc w:val="both"/>
        <w:rPr>
          <w:rFonts w:eastAsia="Times New Roman" w:cs="Times New Roman"/>
          <w:szCs w:val="24"/>
        </w:rPr>
      </w:pPr>
      <w:r w:rsidRPr="007D29D1">
        <w:rPr>
          <w:rFonts w:eastAsia="Times New Roman" w:cs="Times New Roman"/>
          <w:szCs w:val="24"/>
          <w:lang w:val="nl-BE"/>
        </w:rPr>
        <w:t xml:space="preserve">Meriggi, N. F., Voors, M., Levine, M., Ramakrishna, V., Kangbai, D. M., Rozelle, M., Tyler, E., Kallon, S., Nabieu, J., Cundy, S., &amp; Mobarak, A. M. (2024). </w:t>
      </w:r>
      <w:r w:rsidRPr="007D29D1">
        <w:rPr>
          <w:rFonts w:eastAsia="Times New Roman" w:cs="Times New Roman"/>
          <w:szCs w:val="24"/>
        </w:rPr>
        <w:t xml:space="preserve">Last-mile delivery increases vaccine uptake in Sierra Leone. </w:t>
      </w:r>
      <w:r w:rsidRPr="007D29D1">
        <w:rPr>
          <w:rFonts w:eastAsia="Times New Roman" w:cs="Times New Roman"/>
          <w:i/>
          <w:iCs/>
          <w:szCs w:val="24"/>
        </w:rPr>
        <w:t>Nature, 627</w:t>
      </w:r>
      <w:r w:rsidRPr="007D29D1">
        <w:rPr>
          <w:rFonts w:eastAsia="Times New Roman" w:cs="Times New Roman"/>
          <w:szCs w:val="24"/>
        </w:rPr>
        <w:t xml:space="preserve">(8004), 612–619. </w:t>
      </w:r>
      <w:hyperlink r:id="rId23" w:history="1">
        <w:r w:rsidRPr="007D29D1">
          <w:rPr>
            <w:rFonts w:eastAsia="Times New Roman" w:cs="Times New Roman"/>
            <w:color w:val="0000FF"/>
            <w:szCs w:val="24"/>
            <w:u w:val="single"/>
          </w:rPr>
          <w:t>https://doi.org/10.1038/s41586-024-07158-w</w:t>
        </w:r>
      </w:hyperlink>
    </w:p>
    <w:p w14:paraId="338FB04A" w14:textId="69442AC8" w:rsidR="007D29D1" w:rsidRPr="007D29D1" w:rsidRDefault="007D29D1" w:rsidP="007D29D1">
      <w:pPr>
        <w:spacing w:after="0" w:line="240" w:lineRule="auto"/>
        <w:ind w:left="540" w:hanging="540"/>
        <w:jc w:val="both"/>
        <w:rPr>
          <w:rFonts w:eastAsia="Times New Roman" w:cs="Times New Roman"/>
          <w:szCs w:val="24"/>
        </w:rPr>
      </w:pPr>
      <w:r w:rsidRPr="007D29D1">
        <w:rPr>
          <w:rFonts w:eastAsia="Times New Roman" w:cs="Times New Roman"/>
          <w:szCs w:val="24"/>
        </w:rPr>
        <w:t xml:space="preserve">Njoku, C. C., Ani, J. I., &amp; </w:t>
      </w:r>
      <w:proofErr w:type="spellStart"/>
      <w:r w:rsidRPr="007D29D1">
        <w:rPr>
          <w:rFonts w:eastAsia="Times New Roman" w:cs="Times New Roman"/>
          <w:szCs w:val="24"/>
        </w:rPr>
        <w:t>Batisai</w:t>
      </w:r>
      <w:proofErr w:type="spellEnd"/>
      <w:r w:rsidRPr="007D29D1">
        <w:rPr>
          <w:rFonts w:eastAsia="Times New Roman" w:cs="Times New Roman"/>
          <w:szCs w:val="24"/>
        </w:rPr>
        <w:t xml:space="preserve">, K. (2025). Perception of COVID-19 vaccination and uptake willingness in Northern Nigeria: Understanding strategies to optimize coverage. </w:t>
      </w:r>
      <w:r w:rsidRPr="007D29D1">
        <w:rPr>
          <w:rFonts w:eastAsia="Times New Roman" w:cs="Times New Roman"/>
          <w:i/>
          <w:iCs/>
          <w:szCs w:val="24"/>
        </w:rPr>
        <w:t>International Journal of Environmental Research and Public Health, 22</w:t>
      </w:r>
      <w:r w:rsidRPr="007D29D1">
        <w:rPr>
          <w:rFonts w:eastAsia="Times New Roman" w:cs="Times New Roman"/>
          <w:szCs w:val="24"/>
        </w:rPr>
        <w:t xml:space="preserve">(2), Article 153. </w:t>
      </w:r>
      <w:hyperlink r:id="rId24" w:history="1">
        <w:r w:rsidRPr="007D29D1">
          <w:rPr>
            <w:rFonts w:eastAsia="Times New Roman" w:cs="Times New Roman"/>
            <w:color w:val="0000FF"/>
            <w:szCs w:val="24"/>
            <w:u w:val="single"/>
          </w:rPr>
          <w:t>https://doi.org/10.3390/ijerph22020153</w:t>
        </w:r>
      </w:hyperlink>
    </w:p>
    <w:p w14:paraId="2A6ADE8D" w14:textId="1E90C162" w:rsidR="007D29D1" w:rsidRPr="007D29D1" w:rsidRDefault="007D29D1" w:rsidP="007D29D1">
      <w:pPr>
        <w:spacing w:after="0" w:line="240" w:lineRule="auto"/>
        <w:ind w:left="540" w:hanging="540"/>
        <w:jc w:val="both"/>
        <w:rPr>
          <w:rFonts w:eastAsia="Times New Roman" w:cs="Times New Roman"/>
          <w:szCs w:val="24"/>
        </w:rPr>
      </w:pPr>
      <w:proofErr w:type="spellStart"/>
      <w:r w:rsidRPr="007D29D1">
        <w:rPr>
          <w:rFonts w:eastAsia="Times New Roman" w:cs="Times New Roman"/>
          <w:szCs w:val="24"/>
        </w:rPr>
        <w:t>Nomhwange</w:t>
      </w:r>
      <w:proofErr w:type="spellEnd"/>
      <w:r w:rsidRPr="007D29D1">
        <w:rPr>
          <w:rFonts w:eastAsia="Times New Roman" w:cs="Times New Roman"/>
          <w:szCs w:val="24"/>
        </w:rPr>
        <w:t xml:space="preserve">, T., </w:t>
      </w:r>
      <w:proofErr w:type="spellStart"/>
      <w:r w:rsidRPr="007D29D1">
        <w:rPr>
          <w:rFonts w:eastAsia="Times New Roman" w:cs="Times New Roman"/>
          <w:szCs w:val="24"/>
        </w:rPr>
        <w:t>Wariri</w:t>
      </w:r>
      <w:proofErr w:type="spellEnd"/>
      <w:r w:rsidRPr="007D29D1">
        <w:rPr>
          <w:rFonts w:eastAsia="Times New Roman" w:cs="Times New Roman"/>
          <w:szCs w:val="24"/>
        </w:rPr>
        <w:t xml:space="preserve">, O., </w:t>
      </w:r>
      <w:proofErr w:type="spellStart"/>
      <w:r w:rsidRPr="007D29D1">
        <w:rPr>
          <w:rFonts w:eastAsia="Times New Roman" w:cs="Times New Roman"/>
          <w:szCs w:val="24"/>
        </w:rPr>
        <w:t>Nkereuwem</w:t>
      </w:r>
      <w:proofErr w:type="spellEnd"/>
      <w:r w:rsidRPr="007D29D1">
        <w:rPr>
          <w:rFonts w:eastAsia="Times New Roman" w:cs="Times New Roman"/>
          <w:szCs w:val="24"/>
        </w:rPr>
        <w:t xml:space="preserve">, E., Olanrewaju, S., Nwosu, N., Adamu, U., Danjuma, E., </w:t>
      </w:r>
      <w:proofErr w:type="spellStart"/>
      <w:r w:rsidRPr="007D29D1">
        <w:rPr>
          <w:rFonts w:eastAsia="Times New Roman" w:cs="Times New Roman"/>
          <w:szCs w:val="24"/>
        </w:rPr>
        <w:t>Onuaguluchi</w:t>
      </w:r>
      <w:proofErr w:type="spellEnd"/>
      <w:r w:rsidRPr="007D29D1">
        <w:rPr>
          <w:rFonts w:eastAsia="Times New Roman" w:cs="Times New Roman"/>
          <w:szCs w:val="24"/>
        </w:rPr>
        <w:t xml:space="preserve">, N., </w:t>
      </w:r>
      <w:proofErr w:type="spellStart"/>
      <w:r w:rsidRPr="007D29D1">
        <w:rPr>
          <w:rFonts w:eastAsia="Times New Roman" w:cs="Times New Roman"/>
          <w:szCs w:val="24"/>
        </w:rPr>
        <w:t>Enegela</w:t>
      </w:r>
      <w:proofErr w:type="spellEnd"/>
      <w:r w:rsidRPr="007D29D1">
        <w:rPr>
          <w:rFonts w:eastAsia="Times New Roman" w:cs="Times New Roman"/>
          <w:szCs w:val="24"/>
        </w:rPr>
        <w:t xml:space="preserve">, J., </w:t>
      </w:r>
      <w:proofErr w:type="spellStart"/>
      <w:r w:rsidRPr="007D29D1">
        <w:rPr>
          <w:rFonts w:eastAsia="Times New Roman" w:cs="Times New Roman"/>
          <w:szCs w:val="24"/>
        </w:rPr>
        <w:t>Nomhwange</w:t>
      </w:r>
      <w:proofErr w:type="spellEnd"/>
      <w:r w:rsidRPr="007D29D1">
        <w:rPr>
          <w:rFonts w:eastAsia="Times New Roman" w:cs="Times New Roman"/>
          <w:szCs w:val="24"/>
        </w:rPr>
        <w:t xml:space="preserve">, E., Jean Baptiste, A. E., &amp; </w:t>
      </w:r>
      <w:proofErr w:type="spellStart"/>
      <w:r w:rsidRPr="007D29D1">
        <w:rPr>
          <w:rFonts w:eastAsia="Times New Roman" w:cs="Times New Roman"/>
          <w:szCs w:val="24"/>
        </w:rPr>
        <w:t>Mulombo</w:t>
      </w:r>
      <w:proofErr w:type="spellEnd"/>
      <w:r w:rsidRPr="007D29D1">
        <w:rPr>
          <w:rFonts w:eastAsia="Times New Roman" w:cs="Times New Roman"/>
          <w:szCs w:val="24"/>
        </w:rPr>
        <w:t xml:space="preserve">, W. K. (2022). COVID-19 vaccine hesitancy amongst healthcare workers: An assessment of its magnitude and determinants during the initial phase of national vaccine deployment in Nigeria. </w:t>
      </w:r>
      <w:proofErr w:type="spellStart"/>
      <w:r w:rsidRPr="007D29D1">
        <w:rPr>
          <w:rFonts w:eastAsia="Times New Roman" w:cs="Times New Roman"/>
          <w:i/>
          <w:iCs/>
          <w:szCs w:val="24"/>
        </w:rPr>
        <w:t>eClinicalMedicine</w:t>
      </w:r>
      <w:proofErr w:type="spellEnd"/>
      <w:r w:rsidRPr="007D29D1">
        <w:rPr>
          <w:rFonts w:eastAsia="Times New Roman" w:cs="Times New Roman"/>
          <w:i/>
          <w:iCs/>
          <w:szCs w:val="24"/>
        </w:rPr>
        <w:t>, 50</w:t>
      </w:r>
      <w:r w:rsidRPr="007D29D1">
        <w:rPr>
          <w:rFonts w:eastAsia="Times New Roman" w:cs="Times New Roman"/>
          <w:szCs w:val="24"/>
        </w:rPr>
        <w:t xml:space="preserve">, Article 101499. </w:t>
      </w:r>
      <w:hyperlink r:id="rId25" w:history="1">
        <w:r w:rsidRPr="007D29D1">
          <w:rPr>
            <w:rFonts w:eastAsia="Times New Roman" w:cs="Times New Roman"/>
            <w:color w:val="0000FF"/>
            <w:szCs w:val="24"/>
            <w:u w:val="single"/>
          </w:rPr>
          <w:t>https://doi.org/10.1016/j.eclinm.2022.101499</w:t>
        </w:r>
      </w:hyperlink>
    </w:p>
    <w:p w14:paraId="60E88EA1" w14:textId="541A5AAC" w:rsidR="007D29D1" w:rsidRPr="007D29D1" w:rsidRDefault="007D29D1" w:rsidP="007D29D1">
      <w:pPr>
        <w:spacing w:after="0" w:line="240" w:lineRule="auto"/>
        <w:ind w:left="540" w:hanging="540"/>
        <w:jc w:val="both"/>
        <w:rPr>
          <w:rFonts w:eastAsia="Times New Roman" w:cs="Times New Roman"/>
          <w:szCs w:val="24"/>
        </w:rPr>
      </w:pPr>
      <w:proofErr w:type="spellStart"/>
      <w:r w:rsidRPr="007D29D1">
        <w:rPr>
          <w:rFonts w:eastAsia="Times New Roman" w:cs="Times New Roman"/>
          <w:szCs w:val="24"/>
        </w:rPr>
        <w:t>Ojewale</w:t>
      </w:r>
      <w:proofErr w:type="spellEnd"/>
      <w:r w:rsidRPr="007D29D1">
        <w:rPr>
          <w:rFonts w:eastAsia="Times New Roman" w:cs="Times New Roman"/>
          <w:szCs w:val="24"/>
        </w:rPr>
        <w:t xml:space="preserve">, L. Y., Afolabi, R. F., &amp; Ogunniyi, A. (2022). COVID-19 vaccine attitude and its predictors among people living with chronic health conditions in Ibadan, Nigeria. </w:t>
      </w:r>
      <w:r w:rsidRPr="007D29D1">
        <w:rPr>
          <w:rFonts w:eastAsia="Times New Roman" w:cs="Times New Roman"/>
          <w:i/>
          <w:iCs/>
          <w:szCs w:val="24"/>
        </w:rPr>
        <w:t>International Journal of Public Health, 67</w:t>
      </w:r>
      <w:r w:rsidRPr="007D29D1">
        <w:rPr>
          <w:rFonts w:eastAsia="Times New Roman" w:cs="Times New Roman"/>
          <w:szCs w:val="24"/>
        </w:rPr>
        <w:t xml:space="preserve">, Article 1604811. </w:t>
      </w:r>
      <w:hyperlink r:id="rId26" w:history="1">
        <w:r w:rsidRPr="007D29D1">
          <w:rPr>
            <w:rFonts w:eastAsia="Times New Roman" w:cs="Times New Roman"/>
            <w:color w:val="0000FF"/>
            <w:szCs w:val="24"/>
            <w:u w:val="single"/>
          </w:rPr>
          <w:t>https://doi.org/10.3389/ijph.2022.1604811</w:t>
        </w:r>
      </w:hyperlink>
    </w:p>
    <w:p w14:paraId="54B4944C" w14:textId="6A24F728" w:rsidR="007D29D1" w:rsidRPr="007D29D1" w:rsidRDefault="007D29D1" w:rsidP="007D29D1">
      <w:pPr>
        <w:spacing w:after="0" w:line="240" w:lineRule="auto"/>
        <w:ind w:left="540" w:hanging="540"/>
        <w:jc w:val="both"/>
        <w:rPr>
          <w:rFonts w:eastAsia="Times New Roman" w:cs="Times New Roman"/>
          <w:szCs w:val="24"/>
        </w:rPr>
      </w:pPr>
      <w:r w:rsidRPr="007D29D1">
        <w:rPr>
          <w:rFonts w:eastAsia="Times New Roman" w:cs="Times New Roman"/>
          <w:szCs w:val="24"/>
        </w:rPr>
        <w:t xml:space="preserve">Ojo, T. O., Ojo, A. O., Ojo, O. E., </w:t>
      </w:r>
      <w:proofErr w:type="spellStart"/>
      <w:r w:rsidRPr="007D29D1">
        <w:rPr>
          <w:rFonts w:eastAsia="Times New Roman" w:cs="Times New Roman"/>
          <w:szCs w:val="24"/>
        </w:rPr>
        <w:t>Akinwalere</w:t>
      </w:r>
      <w:proofErr w:type="spellEnd"/>
      <w:r w:rsidRPr="007D29D1">
        <w:rPr>
          <w:rFonts w:eastAsia="Times New Roman" w:cs="Times New Roman"/>
          <w:szCs w:val="24"/>
        </w:rPr>
        <w:t xml:space="preserve">, B. O., &amp; </w:t>
      </w:r>
      <w:proofErr w:type="spellStart"/>
      <w:r w:rsidRPr="007D29D1">
        <w:rPr>
          <w:rFonts w:eastAsia="Times New Roman" w:cs="Times New Roman"/>
          <w:szCs w:val="24"/>
        </w:rPr>
        <w:t>Akinwumi</w:t>
      </w:r>
      <w:proofErr w:type="spellEnd"/>
      <w:r w:rsidRPr="007D29D1">
        <w:rPr>
          <w:rFonts w:eastAsia="Times New Roman" w:cs="Times New Roman"/>
          <w:szCs w:val="24"/>
        </w:rPr>
        <w:t xml:space="preserve">, A. F. (2023). Determinants of COVID-19 vaccine uptake among Nigerians: Evidence from a cross-sectional national survey. </w:t>
      </w:r>
      <w:r w:rsidRPr="007D29D1">
        <w:rPr>
          <w:rFonts w:eastAsia="Times New Roman" w:cs="Times New Roman"/>
          <w:i/>
          <w:iCs/>
          <w:szCs w:val="24"/>
        </w:rPr>
        <w:t>Archives of Public Health, 81</w:t>
      </w:r>
      <w:r w:rsidRPr="007D29D1">
        <w:rPr>
          <w:rFonts w:eastAsia="Times New Roman" w:cs="Times New Roman"/>
          <w:szCs w:val="24"/>
        </w:rPr>
        <w:t xml:space="preserve">(1), Article 95. </w:t>
      </w:r>
      <w:hyperlink r:id="rId27" w:history="1">
        <w:r w:rsidRPr="007D29D1">
          <w:rPr>
            <w:rFonts w:eastAsia="Times New Roman" w:cs="Times New Roman"/>
            <w:color w:val="0000FF"/>
            <w:szCs w:val="24"/>
            <w:u w:val="single"/>
          </w:rPr>
          <w:t>https://doi.org/10.1186/s13690-023-01107-1</w:t>
        </w:r>
      </w:hyperlink>
    </w:p>
    <w:p w14:paraId="2EAA1156" w14:textId="464A2384" w:rsidR="007D29D1" w:rsidRPr="007D29D1" w:rsidRDefault="007D29D1" w:rsidP="007D29D1">
      <w:pPr>
        <w:spacing w:after="0" w:line="240" w:lineRule="auto"/>
        <w:ind w:left="540" w:hanging="540"/>
        <w:jc w:val="both"/>
        <w:rPr>
          <w:rFonts w:eastAsia="Times New Roman" w:cs="Times New Roman"/>
          <w:szCs w:val="24"/>
        </w:rPr>
      </w:pPr>
      <w:proofErr w:type="spellStart"/>
      <w:r w:rsidRPr="007D29D1">
        <w:rPr>
          <w:rFonts w:eastAsia="Times New Roman" w:cs="Times New Roman"/>
          <w:szCs w:val="24"/>
        </w:rPr>
        <w:t>Okagbue</w:t>
      </w:r>
      <w:proofErr w:type="spellEnd"/>
      <w:r w:rsidRPr="007D29D1">
        <w:rPr>
          <w:rFonts w:eastAsia="Times New Roman" w:cs="Times New Roman"/>
          <w:szCs w:val="24"/>
        </w:rPr>
        <w:t xml:space="preserve">, H. I., Jimoh, A., Samuel, O., </w:t>
      </w:r>
      <w:proofErr w:type="spellStart"/>
      <w:r w:rsidRPr="007D29D1">
        <w:rPr>
          <w:rFonts w:eastAsia="Times New Roman" w:cs="Times New Roman"/>
          <w:szCs w:val="24"/>
        </w:rPr>
        <w:t>Ikwe</w:t>
      </w:r>
      <w:proofErr w:type="spellEnd"/>
      <w:r w:rsidRPr="007D29D1">
        <w:rPr>
          <w:rFonts w:eastAsia="Times New Roman" w:cs="Times New Roman"/>
          <w:szCs w:val="24"/>
        </w:rPr>
        <w:t xml:space="preserve">, H., Isiaka, S., Okoye, I., David, J., &amp; Adegoke, Z. (2025). Integrating routine immunization into COVID-19 vaccination improve coverage but could create equity issues: Evidence from Niger State, Nigeria. </w:t>
      </w:r>
      <w:r w:rsidRPr="007D29D1">
        <w:rPr>
          <w:rFonts w:eastAsia="Times New Roman" w:cs="Times New Roman"/>
          <w:i/>
          <w:iCs/>
          <w:szCs w:val="24"/>
        </w:rPr>
        <w:t>BMC Public Health, 25</w:t>
      </w:r>
      <w:r w:rsidRPr="007D29D1">
        <w:rPr>
          <w:rFonts w:eastAsia="Times New Roman" w:cs="Times New Roman"/>
          <w:szCs w:val="24"/>
        </w:rPr>
        <w:t xml:space="preserve">, Article 1490. </w:t>
      </w:r>
      <w:hyperlink r:id="rId28" w:history="1">
        <w:r w:rsidRPr="007D29D1">
          <w:rPr>
            <w:rFonts w:eastAsia="Times New Roman" w:cs="Times New Roman"/>
            <w:color w:val="0000FF"/>
            <w:szCs w:val="24"/>
            <w:u w:val="single"/>
          </w:rPr>
          <w:t>https://doi.org/10.1186/s12889-025-22796-z</w:t>
        </w:r>
      </w:hyperlink>
    </w:p>
    <w:p w14:paraId="4D67CF08" w14:textId="341A0ED8" w:rsidR="007D29D1" w:rsidRPr="007D29D1" w:rsidRDefault="007D29D1" w:rsidP="007D29D1">
      <w:pPr>
        <w:spacing w:after="0" w:line="240" w:lineRule="auto"/>
        <w:ind w:left="540" w:hanging="540"/>
        <w:jc w:val="both"/>
        <w:rPr>
          <w:rFonts w:eastAsia="Times New Roman" w:cs="Times New Roman"/>
          <w:szCs w:val="24"/>
        </w:rPr>
      </w:pPr>
      <w:r w:rsidRPr="007D29D1">
        <w:rPr>
          <w:rFonts w:eastAsia="Times New Roman" w:cs="Times New Roman"/>
          <w:szCs w:val="24"/>
        </w:rPr>
        <w:t xml:space="preserve">Olu-Abiodun, O., Abiodun, O., &amp; Okafor, N. (2022). COVID-19 vaccination in Nigeria: A rapid review of vaccine acceptance rate and the associated factors. </w:t>
      </w:r>
      <w:r w:rsidRPr="007D29D1">
        <w:rPr>
          <w:rFonts w:eastAsia="Times New Roman" w:cs="Times New Roman"/>
          <w:i/>
          <w:iCs/>
          <w:szCs w:val="24"/>
        </w:rPr>
        <w:t>PLOS ONE, 17</w:t>
      </w:r>
      <w:r w:rsidRPr="007D29D1">
        <w:rPr>
          <w:rFonts w:eastAsia="Times New Roman" w:cs="Times New Roman"/>
          <w:szCs w:val="24"/>
        </w:rPr>
        <w:t xml:space="preserve">(5), Article e0267691. </w:t>
      </w:r>
      <w:hyperlink r:id="rId29" w:history="1">
        <w:r w:rsidRPr="007D29D1">
          <w:rPr>
            <w:rFonts w:eastAsia="Times New Roman" w:cs="Times New Roman"/>
            <w:color w:val="0000FF"/>
            <w:szCs w:val="24"/>
            <w:u w:val="single"/>
          </w:rPr>
          <w:t>https://doi.org/10.1371/journal.pone.0267691</w:t>
        </w:r>
      </w:hyperlink>
    </w:p>
    <w:p w14:paraId="227E47FD" w14:textId="2DBA45BF" w:rsidR="007D29D1" w:rsidRPr="007D29D1" w:rsidRDefault="007D29D1" w:rsidP="007D29D1">
      <w:pPr>
        <w:spacing w:after="0" w:line="240" w:lineRule="auto"/>
        <w:ind w:left="540" w:hanging="540"/>
        <w:jc w:val="both"/>
        <w:rPr>
          <w:rFonts w:eastAsia="Times New Roman" w:cs="Times New Roman"/>
          <w:szCs w:val="24"/>
        </w:rPr>
      </w:pPr>
      <w:r w:rsidRPr="007D29D1">
        <w:rPr>
          <w:rFonts w:eastAsia="Times New Roman" w:cs="Times New Roman"/>
          <w:szCs w:val="24"/>
        </w:rPr>
        <w:lastRenderedPageBreak/>
        <w:t xml:space="preserve">Omale, U. I., Adeke, A. S., Oka, O. U., </w:t>
      </w:r>
      <w:proofErr w:type="spellStart"/>
      <w:r w:rsidRPr="007D29D1">
        <w:rPr>
          <w:rFonts w:eastAsia="Times New Roman" w:cs="Times New Roman"/>
          <w:szCs w:val="24"/>
        </w:rPr>
        <w:t>Ikegwuonu</w:t>
      </w:r>
      <w:proofErr w:type="spellEnd"/>
      <w:r w:rsidRPr="007D29D1">
        <w:rPr>
          <w:rFonts w:eastAsia="Times New Roman" w:cs="Times New Roman"/>
          <w:szCs w:val="24"/>
        </w:rPr>
        <w:t xml:space="preserve">, C. O., </w:t>
      </w:r>
      <w:proofErr w:type="spellStart"/>
      <w:r w:rsidRPr="007D29D1">
        <w:rPr>
          <w:rFonts w:eastAsia="Times New Roman" w:cs="Times New Roman"/>
          <w:szCs w:val="24"/>
        </w:rPr>
        <w:t>Iyare</w:t>
      </w:r>
      <w:proofErr w:type="spellEnd"/>
      <w:r w:rsidRPr="007D29D1">
        <w:rPr>
          <w:rFonts w:eastAsia="Times New Roman" w:cs="Times New Roman"/>
          <w:szCs w:val="24"/>
        </w:rPr>
        <w:t xml:space="preserve">, O., </w:t>
      </w:r>
      <w:proofErr w:type="spellStart"/>
      <w:r w:rsidRPr="007D29D1">
        <w:rPr>
          <w:rFonts w:eastAsia="Times New Roman" w:cs="Times New Roman"/>
          <w:szCs w:val="24"/>
        </w:rPr>
        <w:t>Nnachi</w:t>
      </w:r>
      <w:proofErr w:type="spellEnd"/>
      <w:r w:rsidRPr="007D29D1">
        <w:rPr>
          <w:rFonts w:eastAsia="Times New Roman" w:cs="Times New Roman"/>
          <w:szCs w:val="24"/>
        </w:rPr>
        <w:t xml:space="preserve">, O. O., Uduma, V. U., </w:t>
      </w:r>
      <w:proofErr w:type="spellStart"/>
      <w:r w:rsidRPr="007D29D1">
        <w:rPr>
          <w:rFonts w:eastAsia="Times New Roman" w:cs="Times New Roman"/>
          <w:szCs w:val="24"/>
        </w:rPr>
        <w:t>Amuzie</w:t>
      </w:r>
      <w:proofErr w:type="spellEnd"/>
      <w:r w:rsidRPr="007D29D1">
        <w:rPr>
          <w:rFonts w:eastAsia="Times New Roman" w:cs="Times New Roman"/>
          <w:szCs w:val="24"/>
        </w:rPr>
        <w:t xml:space="preserve">, C. I., </w:t>
      </w:r>
      <w:proofErr w:type="spellStart"/>
      <w:r w:rsidRPr="007D29D1">
        <w:rPr>
          <w:rFonts w:eastAsia="Times New Roman" w:cs="Times New Roman"/>
          <w:szCs w:val="24"/>
        </w:rPr>
        <w:t>Nkwo</w:t>
      </w:r>
      <w:proofErr w:type="spellEnd"/>
      <w:r w:rsidRPr="007D29D1">
        <w:rPr>
          <w:rFonts w:eastAsia="Times New Roman" w:cs="Times New Roman"/>
          <w:szCs w:val="24"/>
        </w:rPr>
        <w:t xml:space="preserve">, G. E., Nwali, U. I. A., </w:t>
      </w:r>
      <w:proofErr w:type="spellStart"/>
      <w:r w:rsidRPr="007D29D1">
        <w:rPr>
          <w:rFonts w:eastAsia="Times New Roman" w:cs="Times New Roman"/>
          <w:szCs w:val="24"/>
        </w:rPr>
        <w:t>Ukpabi</w:t>
      </w:r>
      <w:proofErr w:type="spellEnd"/>
      <w:r w:rsidRPr="007D29D1">
        <w:rPr>
          <w:rFonts w:eastAsia="Times New Roman" w:cs="Times New Roman"/>
          <w:szCs w:val="24"/>
        </w:rPr>
        <w:t xml:space="preserve">, O. O., Okeke, I. M., &amp; </w:t>
      </w:r>
      <w:proofErr w:type="spellStart"/>
      <w:r w:rsidRPr="007D29D1">
        <w:rPr>
          <w:rFonts w:eastAsia="Times New Roman" w:cs="Times New Roman"/>
          <w:szCs w:val="24"/>
        </w:rPr>
        <w:t>Ewah</w:t>
      </w:r>
      <w:proofErr w:type="spellEnd"/>
      <w:r w:rsidRPr="007D29D1">
        <w:rPr>
          <w:rFonts w:eastAsia="Times New Roman" w:cs="Times New Roman"/>
          <w:szCs w:val="24"/>
        </w:rPr>
        <w:t xml:space="preserve">, R. L. (2024). Determinants of COVID-19 vaccination acceptance based on the novel Omale INDEPT FORCIS Framework and recommendations for subsequent pandemics: A qualitative study among community members in Ebonyi state, Nigeria. </w:t>
      </w:r>
      <w:r w:rsidRPr="007D29D1">
        <w:rPr>
          <w:rFonts w:eastAsia="Times New Roman" w:cs="Times New Roman"/>
          <w:i/>
          <w:iCs/>
          <w:szCs w:val="24"/>
        </w:rPr>
        <w:t>International Journal for Equity in Health, 23</w:t>
      </w:r>
      <w:r w:rsidRPr="007D29D1">
        <w:rPr>
          <w:rFonts w:eastAsia="Times New Roman" w:cs="Times New Roman"/>
          <w:szCs w:val="24"/>
        </w:rPr>
        <w:t xml:space="preserve">(1), Article 223. </w:t>
      </w:r>
      <w:hyperlink r:id="rId30" w:history="1">
        <w:r w:rsidRPr="007D29D1">
          <w:rPr>
            <w:rFonts w:eastAsia="Times New Roman" w:cs="Times New Roman"/>
            <w:color w:val="0000FF"/>
            <w:szCs w:val="24"/>
            <w:u w:val="single"/>
          </w:rPr>
          <w:t>https://doi.org/10.1186/s12939-024-02284-3</w:t>
        </w:r>
      </w:hyperlink>
    </w:p>
    <w:p w14:paraId="619C85D5" w14:textId="0A6A3391" w:rsidR="007D29D1" w:rsidRPr="007D29D1" w:rsidRDefault="007D29D1" w:rsidP="007D29D1">
      <w:pPr>
        <w:spacing w:after="0" w:line="240" w:lineRule="auto"/>
        <w:ind w:left="540" w:hanging="540"/>
        <w:jc w:val="both"/>
        <w:rPr>
          <w:rFonts w:eastAsia="Times New Roman" w:cs="Times New Roman"/>
          <w:szCs w:val="24"/>
        </w:rPr>
      </w:pPr>
      <w:r w:rsidRPr="007D29D1">
        <w:rPr>
          <w:rFonts w:eastAsia="Times New Roman" w:cs="Times New Roman"/>
          <w:szCs w:val="24"/>
          <w:lang w:val="nl-BE"/>
        </w:rPr>
        <w:t xml:space="preserve">Omunakwe, H. E., Okuku, M., Amadi, S. C., &amp; Dan-Jumbo, A. (2024). </w:t>
      </w:r>
      <w:r w:rsidRPr="007D29D1">
        <w:rPr>
          <w:rFonts w:eastAsia="Times New Roman" w:cs="Times New Roman"/>
          <w:szCs w:val="24"/>
        </w:rPr>
        <w:t xml:space="preserve">COVID-19 vaccine acceptance among pregnant women: A </w:t>
      </w:r>
      <w:proofErr w:type="spellStart"/>
      <w:r w:rsidRPr="007D29D1">
        <w:rPr>
          <w:rFonts w:eastAsia="Times New Roman" w:cs="Times New Roman"/>
          <w:szCs w:val="24"/>
        </w:rPr>
        <w:t>multicentre</w:t>
      </w:r>
      <w:proofErr w:type="spellEnd"/>
      <w:r w:rsidRPr="007D29D1">
        <w:rPr>
          <w:rFonts w:eastAsia="Times New Roman" w:cs="Times New Roman"/>
          <w:szCs w:val="24"/>
        </w:rPr>
        <w:t xml:space="preserve"> cross-sectional survey in Port Harcourt, Nigeria. </w:t>
      </w:r>
      <w:r w:rsidRPr="007D29D1">
        <w:rPr>
          <w:rFonts w:eastAsia="Times New Roman" w:cs="Times New Roman"/>
          <w:i/>
          <w:iCs/>
          <w:szCs w:val="24"/>
        </w:rPr>
        <w:t>Pan African Medical Journal, 47</w:t>
      </w:r>
      <w:r w:rsidRPr="007D29D1">
        <w:rPr>
          <w:rFonts w:eastAsia="Times New Roman" w:cs="Times New Roman"/>
          <w:szCs w:val="24"/>
        </w:rPr>
        <w:t xml:space="preserve">, Article 72. </w:t>
      </w:r>
      <w:hyperlink r:id="rId31" w:history="1">
        <w:r w:rsidRPr="007D29D1">
          <w:rPr>
            <w:rFonts w:eastAsia="Times New Roman" w:cs="Times New Roman"/>
            <w:color w:val="0000FF"/>
            <w:szCs w:val="24"/>
            <w:u w:val="single"/>
          </w:rPr>
          <w:t>https://doi.org/10.11604/pamj.2024.47.72.37446</w:t>
        </w:r>
      </w:hyperlink>
    </w:p>
    <w:p w14:paraId="4CC71CD0" w14:textId="1253690B" w:rsidR="007D29D1" w:rsidRPr="007D29D1" w:rsidRDefault="007D29D1" w:rsidP="007D29D1">
      <w:pPr>
        <w:spacing w:after="0" w:line="240" w:lineRule="auto"/>
        <w:ind w:left="540" w:hanging="540"/>
        <w:jc w:val="both"/>
        <w:rPr>
          <w:rFonts w:eastAsia="Times New Roman" w:cs="Times New Roman"/>
          <w:szCs w:val="24"/>
        </w:rPr>
      </w:pPr>
      <w:proofErr w:type="spellStart"/>
      <w:r w:rsidRPr="007D29D1">
        <w:rPr>
          <w:rFonts w:eastAsia="Times New Roman" w:cs="Times New Roman"/>
          <w:szCs w:val="24"/>
        </w:rPr>
        <w:t>Oyekale</w:t>
      </w:r>
      <w:proofErr w:type="spellEnd"/>
      <w:r w:rsidRPr="007D29D1">
        <w:rPr>
          <w:rFonts w:eastAsia="Times New Roman" w:cs="Times New Roman"/>
          <w:szCs w:val="24"/>
        </w:rPr>
        <w:t xml:space="preserve">, A. S. (2022). Factors influencing willingness to be vaccinated against COVID-19 in Nigeria. </w:t>
      </w:r>
      <w:r w:rsidRPr="007D29D1">
        <w:rPr>
          <w:rFonts w:eastAsia="Times New Roman" w:cs="Times New Roman"/>
          <w:i/>
          <w:iCs/>
          <w:szCs w:val="24"/>
        </w:rPr>
        <w:t>International Journal of Environmental Research and Public Health, 19</w:t>
      </w:r>
      <w:r w:rsidRPr="007D29D1">
        <w:rPr>
          <w:rFonts w:eastAsia="Times New Roman" w:cs="Times New Roman"/>
          <w:szCs w:val="24"/>
        </w:rPr>
        <w:t xml:space="preserve">(11), Article 6816. </w:t>
      </w:r>
      <w:hyperlink r:id="rId32" w:history="1">
        <w:r w:rsidRPr="007D29D1">
          <w:rPr>
            <w:rFonts w:eastAsia="Times New Roman" w:cs="Times New Roman"/>
            <w:color w:val="0000FF"/>
            <w:szCs w:val="24"/>
            <w:u w:val="single"/>
          </w:rPr>
          <w:t>https://doi.org/10.3390/ijerph19116816</w:t>
        </w:r>
      </w:hyperlink>
    </w:p>
    <w:p w14:paraId="0DA928A3" w14:textId="3EF0E775" w:rsidR="007D29D1" w:rsidRPr="007D29D1" w:rsidRDefault="007D29D1" w:rsidP="007D29D1">
      <w:pPr>
        <w:spacing w:after="0" w:line="240" w:lineRule="auto"/>
        <w:ind w:left="540" w:hanging="540"/>
        <w:jc w:val="both"/>
        <w:rPr>
          <w:rFonts w:eastAsia="Times New Roman" w:cs="Times New Roman"/>
          <w:szCs w:val="24"/>
        </w:rPr>
      </w:pPr>
      <w:r w:rsidRPr="007D29D1">
        <w:rPr>
          <w:rFonts w:eastAsia="Times New Roman" w:cs="Times New Roman"/>
          <w:szCs w:val="24"/>
        </w:rPr>
        <w:t xml:space="preserve">Oyeyemi, S. O., Fagbemi, S., Busari, I. I., &amp; Wynn, R. (2023). Belief in COVID-19 conspiracy theories, level of trust in government information, and willingness to take COVID-19 vaccines among health care workers in Nigeria: Survey study. </w:t>
      </w:r>
      <w:r w:rsidRPr="007D29D1">
        <w:rPr>
          <w:rFonts w:eastAsia="Times New Roman" w:cs="Times New Roman"/>
          <w:i/>
          <w:iCs/>
          <w:szCs w:val="24"/>
        </w:rPr>
        <w:t>JMIR Formative Research, 7</w:t>
      </w:r>
      <w:r w:rsidRPr="007D29D1">
        <w:rPr>
          <w:rFonts w:eastAsia="Times New Roman" w:cs="Times New Roman"/>
          <w:szCs w:val="24"/>
        </w:rPr>
        <w:t xml:space="preserve">, Article e41925. </w:t>
      </w:r>
      <w:hyperlink r:id="rId33" w:history="1">
        <w:r w:rsidRPr="007D29D1">
          <w:rPr>
            <w:rFonts w:eastAsia="Times New Roman" w:cs="Times New Roman"/>
            <w:color w:val="0000FF"/>
            <w:szCs w:val="24"/>
            <w:u w:val="single"/>
          </w:rPr>
          <w:t>https://doi.org/10.2196/41925</w:t>
        </w:r>
      </w:hyperlink>
    </w:p>
    <w:p w14:paraId="2D88BD39" w14:textId="3CA9C52D" w:rsidR="007D29D1" w:rsidRPr="007D29D1" w:rsidRDefault="007D29D1" w:rsidP="007D29D1">
      <w:pPr>
        <w:spacing w:after="0" w:line="240" w:lineRule="auto"/>
        <w:ind w:left="540" w:hanging="540"/>
        <w:jc w:val="both"/>
        <w:rPr>
          <w:rFonts w:eastAsia="Times New Roman" w:cs="Times New Roman"/>
          <w:szCs w:val="24"/>
        </w:rPr>
      </w:pPr>
      <w:r w:rsidRPr="007D29D1">
        <w:rPr>
          <w:rFonts w:eastAsia="Times New Roman" w:cs="Times New Roman"/>
          <w:szCs w:val="24"/>
        </w:rPr>
        <w:t xml:space="preserve">Ozoh, O. B., </w:t>
      </w:r>
      <w:proofErr w:type="spellStart"/>
      <w:r w:rsidRPr="007D29D1">
        <w:rPr>
          <w:rFonts w:eastAsia="Times New Roman" w:cs="Times New Roman"/>
          <w:szCs w:val="24"/>
        </w:rPr>
        <w:t>Akinkugbe</w:t>
      </w:r>
      <w:proofErr w:type="spellEnd"/>
      <w:r w:rsidRPr="007D29D1">
        <w:rPr>
          <w:rFonts w:eastAsia="Times New Roman" w:cs="Times New Roman"/>
          <w:szCs w:val="24"/>
        </w:rPr>
        <w:t xml:space="preserve">, A. O., Olukoya, M. A., &amp; </w:t>
      </w:r>
      <w:proofErr w:type="spellStart"/>
      <w:r w:rsidRPr="007D29D1">
        <w:rPr>
          <w:rFonts w:eastAsia="Times New Roman" w:cs="Times New Roman"/>
          <w:szCs w:val="24"/>
        </w:rPr>
        <w:t>Adetifa</w:t>
      </w:r>
      <w:proofErr w:type="spellEnd"/>
      <w:r w:rsidRPr="007D29D1">
        <w:rPr>
          <w:rFonts w:eastAsia="Times New Roman" w:cs="Times New Roman"/>
          <w:szCs w:val="24"/>
        </w:rPr>
        <w:t xml:space="preserve">, I. M. O. (2023). Enablers and barriers to COVID-19 vaccine uptake in an urban slum in Lagos, Nigeria: Informing vaccine engagement strategies for the marginalized. </w:t>
      </w:r>
      <w:r w:rsidRPr="007D29D1">
        <w:rPr>
          <w:rFonts w:eastAsia="Times New Roman" w:cs="Times New Roman"/>
          <w:i/>
          <w:iCs/>
          <w:szCs w:val="24"/>
        </w:rPr>
        <w:t>International Health, 15</w:t>
      </w:r>
      <w:r w:rsidRPr="007D29D1">
        <w:rPr>
          <w:rFonts w:eastAsia="Times New Roman" w:cs="Times New Roman"/>
          <w:szCs w:val="24"/>
        </w:rPr>
        <w:t xml:space="preserve">(5), 557–565. </w:t>
      </w:r>
      <w:hyperlink r:id="rId34" w:history="1">
        <w:r w:rsidRPr="007D29D1">
          <w:rPr>
            <w:rFonts w:eastAsia="Times New Roman" w:cs="Times New Roman"/>
            <w:color w:val="0000FF"/>
            <w:szCs w:val="24"/>
            <w:u w:val="single"/>
          </w:rPr>
          <w:t>https://doi.org/10.1093/inthealth/ihad009</w:t>
        </w:r>
      </w:hyperlink>
    </w:p>
    <w:p w14:paraId="71CFFC89" w14:textId="612A9003" w:rsidR="007D29D1" w:rsidRPr="007D29D1" w:rsidRDefault="007D29D1" w:rsidP="007D29D1">
      <w:pPr>
        <w:spacing w:after="0" w:line="240" w:lineRule="auto"/>
        <w:ind w:left="540" w:hanging="540"/>
        <w:jc w:val="both"/>
        <w:rPr>
          <w:rFonts w:eastAsia="Times New Roman" w:cs="Times New Roman"/>
          <w:szCs w:val="24"/>
        </w:rPr>
      </w:pPr>
      <w:r w:rsidRPr="007D29D1">
        <w:rPr>
          <w:rFonts w:eastAsia="Times New Roman" w:cs="Times New Roman"/>
          <w:szCs w:val="24"/>
        </w:rPr>
        <w:t xml:space="preserve">Sadiq, M., Croucher, S., &amp; Dutta, D. (2023). COVID-19 vaccine hesitancy: A content analysis of Nigerian YouTube videos. </w:t>
      </w:r>
      <w:r w:rsidRPr="007D29D1">
        <w:rPr>
          <w:rFonts w:eastAsia="Times New Roman" w:cs="Times New Roman"/>
          <w:i/>
          <w:iCs/>
          <w:szCs w:val="24"/>
        </w:rPr>
        <w:t>Vaccines, 11</w:t>
      </w:r>
      <w:r w:rsidRPr="007D29D1">
        <w:rPr>
          <w:rFonts w:eastAsia="Times New Roman" w:cs="Times New Roman"/>
          <w:szCs w:val="24"/>
        </w:rPr>
        <w:t xml:space="preserve">(6), Article 1057. </w:t>
      </w:r>
      <w:hyperlink r:id="rId35" w:history="1">
        <w:r w:rsidRPr="007D29D1">
          <w:rPr>
            <w:rFonts w:eastAsia="Times New Roman" w:cs="Times New Roman"/>
            <w:color w:val="0000FF"/>
            <w:szCs w:val="24"/>
            <w:u w:val="single"/>
          </w:rPr>
          <w:t>https://doi.org/10.3390/vaccines11061057</w:t>
        </w:r>
      </w:hyperlink>
    </w:p>
    <w:p w14:paraId="531802E3" w14:textId="75DCD63C" w:rsidR="007D29D1" w:rsidRPr="007D29D1" w:rsidRDefault="007D29D1" w:rsidP="007D29D1">
      <w:pPr>
        <w:spacing w:after="0" w:line="240" w:lineRule="auto"/>
        <w:ind w:left="540" w:hanging="540"/>
        <w:jc w:val="both"/>
        <w:rPr>
          <w:rFonts w:eastAsia="Times New Roman" w:cs="Times New Roman"/>
          <w:szCs w:val="24"/>
        </w:rPr>
      </w:pPr>
      <w:r w:rsidRPr="007D29D1">
        <w:rPr>
          <w:rFonts w:eastAsia="Times New Roman" w:cs="Times New Roman"/>
          <w:szCs w:val="24"/>
        </w:rPr>
        <w:t xml:space="preserve">Sato, R. (2022). COVID-19 vaccine hesitancy and trust in government in Nigeria. </w:t>
      </w:r>
      <w:r w:rsidRPr="007D29D1">
        <w:rPr>
          <w:rFonts w:eastAsia="Times New Roman" w:cs="Times New Roman"/>
          <w:i/>
          <w:iCs/>
          <w:szCs w:val="24"/>
        </w:rPr>
        <w:t>Vaccines, 10</w:t>
      </w:r>
      <w:r w:rsidRPr="007D29D1">
        <w:rPr>
          <w:rFonts w:eastAsia="Times New Roman" w:cs="Times New Roman"/>
          <w:szCs w:val="24"/>
        </w:rPr>
        <w:t xml:space="preserve">(7), Article 1008. </w:t>
      </w:r>
      <w:hyperlink r:id="rId36" w:history="1">
        <w:r w:rsidRPr="007D29D1">
          <w:rPr>
            <w:rFonts w:eastAsia="Times New Roman" w:cs="Times New Roman"/>
            <w:color w:val="0000FF"/>
            <w:szCs w:val="24"/>
            <w:u w:val="single"/>
          </w:rPr>
          <w:t>https://doi.org/10.3390/vaccines10071008</w:t>
        </w:r>
      </w:hyperlink>
    </w:p>
    <w:p w14:paraId="5B33A6B0" w14:textId="38356F2A" w:rsidR="007D29D1" w:rsidRPr="007D29D1" w:rsidRDefault="007D29D1" w:rsidP="007D29D1">
      <w:pPr>
        <w:spacing w:after="0" w:line="240" w:lineRule="auto"/>
        <w:ind w:left="540" w:hanging="540"/>
        <w:jc w:val="both"/>
        <w:rPr>
          <w:rFonts w:eastAsia="Times New Roman" w:cs="Times New Roman"/>
          <w:szCs w:val="24"/>
        </w:rPr>
      </w:pPr>
      <w:r w:rsidRPr="007D29D1">
        <w:rPr>
          <w:rFonts w:eastAsia="Times New Roman" w:cs="Times New Roman"/>
          <w:szCs w:val="24"/>
        </w:rPr>
        <w:t xml:space="preserve">Sato, R. (2023). Vaccine hesitancy against COVID-19 vaccine over time in Nigeria. </w:t>
      </w:r>
      <w:r w:rsidRPr="007D29D1">
        <w:rPr>
          <w:rFonts w:eastAsia="Times New Roman" w:cs="Times New Roman"/>
          <w:i/>
          <w:iCs/>
          <w:szCs w:val="24"/>
        </w:rPr>
        <w:t>Vaccine, 41</w:t>
      </w:r>
      <w:r w:rsidRPr="007D29D1">
        <w:rPr>
          <w:rFonts w:eastAsia="Times New Roman" w:cs="Times New Roman"/>
          <w:szCs w:val="24"/>
        </w:rPr>
        <w:t xml:space="preserve">(17), 2749–2753. </w:t>
      </w:r>
      <w:hyperlink r:id="rId37" w:history="1">
        <w:r w:rsidRPr="007D29D1">
          <w:rPr>
            <w:rFonts w:eastAsia="Times New Roman" w:cs="Times New Roman"/>
            <w:color w:val="0000FF"/>
            <w:szCs w:val="24"/>
            <w:u w:val="single"/>
          </w:rPr>
          <w:t>https://doi.org/10.1016/j.vaccine.2023.03.029</w:t>
        </w:r>
      </w:hyperlink>
    </w:p>
    <w:p w14:paraId="678EA12D" w14:textId="4C9BB638" w:rsidR="007D29D1" w:rsidRPr="007D29D1" w:rsidRDefault="007D29D1" w:rsidP="007D29D1">
      <w:pPr>
        <w:spacing w:after="0" w:line="240" w:lineRule="auto"/>
        <w:ind w:left="540" w:hanging="540"/>
        <w:jc w:val="both"/>
        <w:rPr>
          <w:rFonts w:eastAsia="Times New Roman" w:cs="Times New Roman"/>
          <w:szCs w:val="24"/>
          <w:lang w:val="nl-BE"/>
        </w:rPr>
      </w:pPr>
      <w:r w:rsidRPr="007D29D1">
        <w:rPr>
          <w:rFonts w:eastAsia="Times New Roman" w:cs="Times New Roman"/>
          <w:szCs w:val="24"/>
          <w:lang w:val="nl-BE"/>
        </w:rPr>
        <w:t xml:space="preserve">Sogbesan, A., Bakare, A. A., Herzig van Wees, S., Salako, J., Bakare, D., Olojede, O. E., Akinsola, K., Bakare, O. R., Falade, A. G., &amp; King, C. (2026). </w:t>
      </w:r>
      <w:r w:rsidRPr="007D29D1">
        <w:rPr>
          <w:rFonts w:eastAsia="Times New Roman" w:cs="Times New Roman"/>
          <w:szCs w:val="24"/>
        </w:rPr>
        <w:t xml:space="preserve">Exploring COVID-19 pandemic perceptions and vaccine uptake among community members and primary healthcare workers in Nigeria: A mixed methods study. </w:t>
      </w:r>
      <w:r w:rsidRPr="007D29D1">
        <w:rPr>
          <w:rFonts w:eastAsia="Times New Roman" w:cs="Times New Roman"/>
          <w:i/>
          <w:iCs/>
          <w:szCs w:val="24"/>
          <w:lang w:val="nl-BE"/>
        </w:rPr>
        <w:t>PLOS ONE, 21</w:t>
      </w:r>
      <w:r w:rsidRPr="007D29D1">
        <w:rPr>
          <w:rFonts w:eastAsia="Times New Roman" w:cs="Times New Roman"/>
          <w:szCs w:val="24"/>
          <w:lang w:val="nl-BE"/>
        </w:rPr>
        <w:t xml:space="preserve">(3), Article e0310437. </w:t>
      </w:r>
      <w:r w:rsidRPr="007D29D1">
        <w:rPr>
          <w:rFonts w:eastAsia="Times New Roman" w:cs="Times New Roman"/>
          <w:szCs w:val="24"/>
        </w:rPr>
        <w:fldChar w:fldCharType="begin"/>
      </w:r>
      <w:r w:rsidRPr="007D29D1">
        <w:rPr>
          <w:rFonts w:eastAsia="Times New Roman" w:cs="Times New Roman"/>
          <w:szCs w:val="24"/>
          <w:lang w:val="nl-BE"/>
        </w:rPr>
        <w:instrText>HYPERLINK "https://doi.org/10.1371/journal.pone.0310437"</w:instrText>
      </w:r>
      <w:r w:rsidRPr="007D29D1">
        <w:rPr>
          <w:rFonts w:eastAsia="Times New Roman" w:cs="Times New Roman"/>
          <w:szCs w:val="24"/>
        </w:rPr>
        <w:fldChar w:fldCharType="separate"/>
      </w:r>
      <w:r w:rsidRPr="007D29D1">
        <w:rPr>
          <w:rFonts w:eastAsia="Times New Roman" w:cs="Times New Roman"/>
          <w:color w:val="0000FF"/>
          <w:szCs w:val="24"/>
          <w:u w:val="single"/>
          <w:lang w:val="nl-BE"/>
        </w:rPr>
        <w:t>https://doi.org/10.1371/journal.pone.0310437</w:t>
      </w:r>
      <w:r w:rsidRPr="007D29D1">
        <w:rPr>
          <w:rFonts w:eastAsia="Times New Roman" w:cs="Times New Roman"/>
          <w:szCs w:val="24"/>
        </w:rPr>
        <w:fldChar w:fldCharType="end"/>
      </w:r>
    </w:p>
    <w:p w14:paraId="65CA231F" w14:textId="3F1AEB36" w:rsidR="007D29D1" w:rsidRPr="007D29D1" w:rsidRDefault="007D29D1" w:rsidP="007D29D1">
      <w:pPr>
        <w:spacing w:after="0" w:line="240" w:lineRule="auto"/>
        <w:ind w:left="540" w:hanging="540"/>
        <w:jc w:val="both"/>
        <w:rPr>
          <w:rFonts w:eastAsia="Times New Roman" w:cs="Times New Roman"/>
          <w:szCs w:val="24"/>
        </w:rPr>
      </w:pPr>
      <w:r w:rsidRPr="007D29D1">
        <w:rPr>
          <w:rFonts w:eastAsia="Times New Roman" w:cs="Times New Roman"/>
          <w:szCs w:val="24"/>
          <w:lang w:val="nl-BE"/>
        </w:rPr>
        <w:t xml:space="preserve">Ugwu, C. A., Odebode, O., Ajayi, I. O., Olubunmi, J., Ifeoluwa, B., Adole, J. A., Akano, K., Okolie, J., Eromon, P., &amp; Kio, I. K. (2026). </w:t>
      </w:r>
      <w:r w:rsidRPr="007D29D1">
        <w:rPr>
          <w:rFonts w:eastAsia="Times New Roman" w:cs="Times New Roman"/>
          <w:szCs w:val="24"/>
        </w:rPr>
        <w:t xml:space="preserve">COVID19 </w:t>
      </w:r>
      <w:proofErr w:type="spellStart"/>
      <w:r w:rsidRPr="007D29D1">
        <w:rPr>
          <w:rFonts w:eastAsia="Times New Roman" w:cs="Times New Roman"/>
          <w:szCs w:val="24"/>
        </w:rPr>
        <w:t>sero</w:t>
      </w:r>
      <w:proofErr w:type="spellEnd"/>
      <w:r w:rsidRPr="007D29D1">
        <w:rPr>
          <w:rFonts w:eastAsia="Times New Roman" w:cs="Times New Roman"/>
          <w:szCs w:val="24"/>
        </w:rPr>
        <w:t xml:space="preserve">-epidemiology and vaccine uptake in two Southern Nigerian clinics. </w:t>
      </w:r>
      <w:r w:rsidRPr="007D29D1">
        <w:rPr>
          <w:rFonts w:eastAsia="Times New Roman" w:cs="Times New Roman"/>
          <w:i/>
          <w:iCs/>
          <w:szCs w:val="24"/>
        </w:rPr>
        <w:t>PLOS Global Public Health, 6</w:t>
      </w:r>
      <w:r w:rsidRPr="007D29D1">
        <w:rPr>
          <w:rFonts w:eastAsia="Times New Roman" w:cs="Times New Roman"/>
          <w:szCs w:val="24"/>
        </w:rPr>
        <w:t xml:space="preserve">(3), Article e0006126. </w:t>
      </w:r>
      <w:hyperlink r:id="rId38" w:history="1">
        <w:r w:rsidRPr="007D29D1">
          <w:rPr>
            <w:rFonts w:eastAsia="Times New Roman" w:cs="Times New Roman"/>
            <w:color w:val="0000FF"/>
            <w:szCs w:val="24"/>
            <w:u w:val="single"/>
          </w:rPr>
          <w:t>https://doi.org/10.1371/journal.pgph.0006126</w:t>
        </w:r>
      </w:hyperlink>
    </w:p>
    <w:p w14:paraId="16B24C0F" w14:textId="23E94758" w:rsidR="007D29D1" w:rsidRPr="007D29D1" w:rsidRDefault="007D29D1" w:rsidP="007D29D1">
      <w:pPr>
        <w:spacing w:after="0" w:line="240" w:lineRule="auto"/>
        <w:ind w:left="540" w:hanging="540"/>
        <w:jc w:val="both"/>
        <w:rPr>
          <w:rFonts w:eastAsia="Times New Roman" w:cs="Times New Roman"/>
          <w:szCs w:val="24"/>
        </w:rPr>
      </w:pPr>
      <w:proofErr w:type="spellStart"/>
      <w:r w:rsidRPr="007D29D1">
        <w:rPr>
          <w:rFonts w:eastAsia="Times New Roman" w:cs="Times New Roman"/>
          <w:szCs w:val="24"/>
        </w:rPr>
        <w:t>Wonodi</w:t>
      </w:r>
      <w:proofErr w:type="spellEnd"/>
      <w:r w:rsidRPr="007D29D1">
        <w:rPr>
          <w:rFonts w:eastAsia="Times New Roman" w:cs="Times New Roman"/>
          <w:szCs w:val="24"/>
        </w:rPr>
        <w:t xml:space="preserve">, C., Obi-Jeff, C., Adewumi, F., </w:t>
      </w:r>
      <w:proofErr w:type="spellStart"/>
      <w:r w:rsidRPr="007D29D1">
        <w:rPr>
          <w:rFonts w:eastAsia="Times New Roman" w:cs="Times New Roman"/>
          <w:szCs w:val="24"/>
        </w:rPr>
        <w:t>Keluo</w:t>
      </w:r>
      <w:proofErr w:type="spellEnd"/>
      <w:r w:rsidRPr="007D29D1">
        <w:rPr>
          <w:rFonts w:eastAsia="Times New Roman" w:cs="Times New Roman"/>
          <w:szCs w:val="24"/>
        </w:rPr>
        <w:t xml:space="preserve">-Udeke, S. C., Gur-Arie, R., </w:t>
      </w:r>
      <w:proofErr w:type="spellStart"/>
      <w:r w:rsidRPr="007D29D1">
        <w:rPr>
          <w:rFonts w:eastAsia="Times New Roman" w:cs="Times New Roman"/>
          <w:szCs w:val="24"/>
        </w:rPr>
        <w:t>Krubiner</w:t>
      </w:r>
      <w:proofErr w:type="spellEnd"/>
      <w:r w:rsidRPr="007D29D1">
        <w:rPr>
          <w:rFonts w:eastAsia="Times New Roman" w:cs="Times New Roman"/>
          <w:szCs w:val="24"/>
        </w:rPr>
        <w:t xml:space="preserve">, C., Jaffe, E. F., </w:t>
      </w:r>
      <w:proofErr w:type="spellStart"/>
      <w:r w:rsidRPr="007D29D1">
        <w:rPr>
          <w:rFonts w:eastAsia="Times New Roman" w:cs="Times New Roman"/>
          <w:szCs w:val="24"/>
        </w:rPr>
        <w:t>Bamiduro</w:t>
      </w:r>
      <w:proofErr w:type="spellEnd"/>
      <w:r w:rsidRPr="007D29D1">
        <w:rPr>
          <w:rFonts w:eastAsia="Times New Roman" w:cs="Times New Roman"/>
          <w:szCs w:val="24"/>
        </w:rPr>
        <w:t xml:space="preserve">, T., Karron, R., &amp; Faden, R. (2022). Conspiracy theories and misinformation about COVID-19 in Nigeria: Implications for vaccine demand generation communications. </w:t>
      </w:r>
      <w:r w:rsidRPr="007D29D1">
        <w:rPr>
          <w:rFonts w:eastAsia="Times New Roman" w:cs="Times New Roman"/>
          <w:i/>
          <w:iCs/>
          <w:szCs w:val="24"/>
        </w:rPr>
        <w:t>Vaccine, 40</w:t>
      </w:r>
      <w:r w:rsidRPr="007D29D1">
        <w:rPr>
          <w:rFonts w:eastAsia="Times New Roman" w:cs="Times New Roman"/>
          <w:szCs w:val="24"/>
        </w:rPr>
        <w:t xml:space="preserve">(13), 2114–2121. </w:t>
      </w:r>
      <w:hyperlink r:id="rId39" w:history="1">
        <w:r w:rsidRPr="007D29D1">
          <w:rPr>
            <w:rFonts w:eastAsia="Times New Roman" w:cs="Times New Roman"/>
            <w:color w:val="0000FF"/>
            <w:szCs w:val="24"/>
            <w:u w:val="single"/>
          </w:rPr>
          <w:t>https://doi.org/10.1016/j.vaccine.2022.02.005</w:t>
        </w:r>
      </w:hyperlink>
    </w:p>
    <w:p w14:paraId="511C8F39" w14:textId="0D8ED058" w:rsidR="007D29D1" w:rsidRPr="007D29D1" w:rsidRDefault="007D29D1" w:rsidP="007D29D1">
      <w:pPr>
        <w:spacing w:after="0" w:line="240" w:lineRule="auto"/>
        <w:ind w:left="540" w:hanging="540"/>
        <w:jc w:val="both"/>
        <w:rPr>
          <w:rFonts w:eastAsia="Times New Roman" w:cs="Times New Roman"/>
          <w:szCs w:val="24"/>
        </w:rPr>
      </w:pPr>
      <w:proofErr w:type="spellStart"/>
      <w:r w:rsidRPr="007D29D1">
        <w:rPr>
          <w:rFonts w:eastAsia="Times New Roman" w:cs="Times New Roman"/>
          <w:szCs w:val="24"/>
        </w:rPr>
        <w:t>Wonodi</w:t>
      </w:r>
      <w:proofErr w:type="spellEnd"/>
      <w:r w:rsidRPr="007D29D1">
        <w:rPr>
          <w:rFonts w:eastAsia="Times New Roman" w:cs="Times New Roman"/>
          <w:szCs w:val="24"/>
        </w:rPr>
        <w:t xml:space="preserve">, C. B., Okpe, I. A., </w:t>
      </w:r>
      <w:proofErr w:type="spellStart"/>
      <w:r w:rsidRPr="007D29D1">
        <w:rPr>
          <w:rFonts w:eastAsia="Times New Roman" w:cs="Times New Roman"/>
          <w:szCs w:val="24"/>
        </w:rPr>
        <w:t>Angioha</w:t>
      </w:r>
      <w:proofErr w:type="spellEnd"/>
      <w:r w:rsidRPr="007D29D1">
        <w:rPr>
          <w:rFonts w:eastAsia="Times New Roman" w:cs="Times New Roman"/>
          <w:szCs w:val="24"/>
        </w:rPr>
        <w:t xml:space="preserve">, P. U., Ebong, A. S., Adegbola, J. B., Abdulraheem, A. A., </w:t>
      </w:r>
      <w:proofErr w:type="spellStart"/>
      <w:r w:rsidRPr="007D29D1">
        <w:rPr>
          <w:rFonts w:eastAsia="Times New Roman" w:cs="Times New Roman"/>
          <w:szCs w:val="24"/>
        </w:rPr>
        <w:t>Ezeanya</w:t>
      </w:r>
      <w:proofErr w:type="spellEnd"/>
      <w:r w:rsidRPr="007D29D1">
        <w:rPr>
          <w:rFonts w:eastAsia="Times New Roman" w:cs="Times New Roman"/>
          <w:szCs w:val="24"/>
        </w:rPr>
        <w:t xml:space="preserve">, N., Adetola, A. A., </w:t>
      </w:r>
      <w:proofErr w:type="spellStart"/>
      <w:r w:rsidRPr="007D29D1">
        <w:rPr>
          <w:rFonts w:eastAsia="Times New Roman" w:cs="Times New Roman"/>
          <w:szCs w:val="24"/>
        </w:rPr>
        <w:t>Arogundade</w:t>
      </w:r>
      <w:proofErr w:type="spellEnd"/>
      <w:r w:rsidRPr="007D29D1">
        <w:rPr>
          <w:rFonts w:eastAsia="Times New Roman" w:cs="Times New Roman"/>
          <w:szCs w:val="24"/>
        </w:rPr>
        <w:t xml:space="preserve">, O. I., Hadley, G. I., &amp; Olisa, J. A. (2024). Drivers of COVID-19 vaccination among eligible adults in Abuja, Nigeria: A mixed-methods study using the WHO behavioral and social drivers of vaccination framework. </w:t>
      </w:r>
      <w:r w:rsidRPr="007D29D1">
        <w:rPr>
          <w:rFonts w:eastAsia="Times New Roman" w:cs="Times New Roman"/>
          <w:i/>
          <w:iCs/>
          <w:szCs w:val="24"/>
        </w:rPr>
        <w:t>Vaccines, 12</w:t>
      </w:r>
      <w:r w:rsidRPr="007D29D1">
        <w:rPr>
          <w:rFonts w:eastAsia="Times New Roman" w:cs="Times New Roman"/>
          <w:szCs w:val="24"/>
        </w:rPr>
        <w:t xml:space="preserve">(10), Article 1128. </w:t>
      </w:r>
      <w:hyperlink r:id="rId40" w:history="1">
        <w:r w:rsidRPr="007D29D1">
          <w:rPr>
            <w:rFonts w:eastAsia="Times New Roman" w:cs="Times New Roman"/>
            <w:color w:val="0000FF"/>
            <w:szCs w:val="24"/>
            <w:u w:val="single"/>
          </w:rPr>
          <w:t>https://doi.org/10.3390/vaccines12101128</w:t>
        </w:r>
      </w:hyperlink>
    </w:p>
    <w:p w14:paraId="4FAF6B40" w14:textId="6DF6A3A7" w:rsidR="007D29D1" w:rsidRPr="007D29D1" w:rsidRDefault="007D29D1" w:rsidP="007D29D1">
      <w:pPr>
        <w:spacing w:after="0" w:line="240" w:lineRule="auto"/>
        <w:ind w:left="540" w:hanging="540"/>
        <w:jc w:val="both"/>
        <w:rPr>
          <w:rFonts w:eastAsia="Times New Roman" w:cs="Times New Roman"/>
          <w:szCs w:val="24"/>
        </w:rPr>
      </w:pPr>
      <w:r w:rsidRPr="007D29D1">
        <w:rPr>
          <w:rFonts w:eastAsia="Times New Roman" w:cs="Times New Roman"/>
          <w:szCs w:val="24"/>
        </w:rPr>
        <w:lastRenderedPageBreak/>
        <w:t xml:space="preserve">World Health Organization. (2022). </w:t>
      </w:r>
      <w:proofErr w:type="spellStart"/>
      <w:r w:rsidRPr="007D29D1">
        <w:rPr>
          <w:rFonts w:eastAsia="Times New Roman" w:cs="Times New Roman"/>
          <w:i/>
          <w:iCs/>
          <w:szCs w:val="24"/>
        </w:rPr>
        <w:t>Behavioural</w:t>
      </w:r>
      <w:proofErr w:type="spellEnd"/>
      <w:r w:rsidRPr="007D29D1">
        <w:rPr>
          <w:rFonts w:eastAsia="Times New Roman" w:cs="Times New Roman"/>
          <w:i/>
          <w:iCs/>
          <w:szCs w:val="24"/>
        </w:rPr>
        <w:t xml:space="preserve"> and social drivers of vaccination: Tools and practical guidance for achieving high uptake.</w:t>
      </w:r>
      <w:r w:rsidRPr="007D29D1">
        <w:rPr>
          <w:rFonts w:eastAsia="Times New Roman" w:cs="Times New Roman"/>
          <w:szCs w:val="24"/>
        </w:rPr>
        <w:t xml:space="preserve"> </w:t>
      </w:r>
      <w:hyperlink r:id="rId41" w:history="1">
        <w:r w:rsidRPr="007D29D1">
          <w:rPr>
            <w:rFonts w:eastAsia="Times New Roman" w:cs="Times New Roman"/>
            <w:color w:val="0000FF"/>
            <w:szCs w:val="24"/>
            <w:u w:val="single"/>
          </w:rPr>
          <w:t>https://www.who.int/publications/i/item/9789240049680</w:t>
        </w:r>
      </w:hyperlink>
    </w:p>
    <w:p w14:paraId="17B26585" w14:textId="2CA852F3" w:rsidR="007D29D1" w:rsidRPr="007D29D1" w:rsidRDefault="007D29D1" w:rsidP="007D29D1">
      <w:pPr>
        <w:spacing w:after="0" w:line="240" w:lineRule="auto"/>
        <w:ind w:left="540" w:hanging="540"/>
        <w:jc w:val="both"/>
        <w:rPr>
          <w:rFonts w:eastAsia="Times New Roman" w:cs="Times New Roman"/>
          <w:szCs w:val="24"/>
        </w:rPr>
      </w:pPr>
      <w:r w:rsidRPr="007D29D1">
        <w:rPr>
          <w:rFonts w:eastAsia="Times New Roman" w:cs="Times New Roman"/>
          <w:szCs w:val="24"/>
        </w:rPr>
        <w:t xml:space="preserve">World Health Organization. (2023a, July 20). </w:t>
      </w:r>
      <w:r w:rsidRPr="007D29D1">
        <w:rPr>
          <w:rFonts w:eastAsia="Times New Roman" w:cs="Times New Roman"/>
          <w:i/>
          <w:iCs/>
          <w:szCs w:val="24"/>
        </w:rPr>
        <w:t>Nigerians in situation of vulnerability to benefit from COVID-19 vaccination scale-up and integration through Canadian grant.</w:t>
      </w:r>
      <w:r w:rsidRPr="007D29D1">
        <w:rPr>
          <w:rFonts w:eastAsia="Times New Roman" w:cs="Times New Roman"/>
          <w:szCs w:val="24"/>
        </w:rPr>
        <w:t xml:space="preserve"> </w:t>
      </w:r>
      <w:hyperlink r:id="rId42" w:history="1">
        <w:r w:rsidRPr="007D29D1">
          <w:rPr>
            <w:rFonts w:eastAsia="Times New Roman" w:cs="Times New Roman"/>
            <w:color w:val="0000FF"/>
            <w:szCs w:val="24"/>
            <w:u w:val="single"/>
          </w:rPr>
          <w:t>https://www.afro.who.int/countries/nigeria/news/nigerians-situation-vulnerability-benefit-covid-19-vaccination-scale-and-integration-through</w:t>
        </w:r>
      </w:hyperlink>
    </w:p>
    <w:p w14:paraId="31ED6F0B" w14:textId="61D57471" w:rsidR="007D29D1" w:rsidRPr="007D29D1" w:rsidRDefault="007D29D1" w:rsidP="007D29D1">
      <w:pPr>
        <w:spacing w:after="0" w:line="240" w:lineRule="auto"/>
        <w:ind w:left="540" w:hanging="540"/>
        <w:jc w:val="both"/>
        <w:rPr>
          <w:rFonts w:eastAsia="Times New Roman" w:cs="Times New Roman"/>
          <w:szCs w:val="24"/>
        </w:rPr>
      </w:pPr>
      <w:r w:rsidRPr="007D29D1">
        <w:rPr>
          <w:rFonts w:eastAsia="Times New Roman" w:cs="Times New Roman"/>
          <w:szCs w:val="24"/>
        </w:rPr>
        <w:t xml:space="preserve">World Health Organization. (2023b). </w:t>
      </w:r>
      <w:r w:rsidRPr="007D29D1">
        <w:rPr>
          <w:rFonts w:eastAsia="Times New Roman" w:cs="Times New Roman"/>
          <w:i/>
          <w:iCs/>
          <w:szCs w:val="24"/>
        </w:rPr>
        <w:t>WHO SAGE roadmap for prioritizing uses of COVID-19 vaccines: An approach to optimize the global impact of COVID-19 vaccines, based on public health goals, global and national equity, and vaccine access and coverage scenarios.</w:t>
      </w:r>
      <w:r w:rsidRPr="007D29D1">
        <w:rPr>
          <w:rFonts w:eastAsia="Times New Roman" w:cs="Times New Roman"/>
          <w:szCs w:val="24"/>
        </w:rPr>
        <w:t xml:space="preserve"> </w:t>
      </w:r>
      <w:hyperlink r:id="rId43" w:history="1">
        <w:r w:rsidRPr="007D29D1">
          <w:rPr>
            <w:rFonts w:eastAsia="Times New Roman" w:cs="Times New Roman"/>
            <w:color w:val="0000FF"/>
            <w:szCs w:val="24"/>
            <w:u w:val="single"/>
          </w:rPr>
          <w:t>https://www.who.int/publications/i/item/WHO-2019-nCoV-Vaccines-SAGE-Prioritization-2023.1</w:t>
        </w:r>
      </w:hyperlink>
    </w:p>
    <w:p w14:paraId="548FD2F9" w14:textId="7CC44788" w:rsidR="00690906" w:rsidRPr="00D424DA" w:rsidRDefault="007D29D1" w:rsidP="007D29D1">
      <w:pPr>
        <w:ind w:left="540" w:hanging="540"/>
        <w:jc w:val="both"/>
      </w:pPr>
      <w:r w:rsidRPr="007D29D1">
        <w:rPr>
          <w:rFonts w:eastAsia="Times New Roman" w:cs="Times New Roman"/>
          <w:szCs w:val="24"/>
        </w:rPr>
        <w:t xml:space="preserve">Zou, G. (2004). A modified Poisson regression approach to prospective studies with binary data. </w:t>
      </w:r>
      <w:r w:rsidRPr="007D29D1">
        <w:rPr>
          <w:rFonts w:eastAsia="Times New Roman" w:cs="Times New Roman"/>
          <w:i/>
          <w:iCs/>
          <w:szCs w:val="24"/>
        </w:rPr>
        <w:t>American Journal of Epidemiology, 159</w:t>
      </w:r>
      <w:r w:rsidRPr="007D29D1">
        <w:rPr>
          <w:rFonts w:eastAsia="Times New Roman" w:cs="Times New Roman"/>
          <w:szCs w:val="24"/>
        </w:rPr>
        <w:t xml:space="preserve">(7), 702–706. </w:t>
      </w:r>
      <w:hyperlink r:id="rId44" w:history="1">
        <w:r w:rsidRPr="007D29D1">
          <w:rPr>
            <w:rFonts w:eastAsia="Times New Roman" w:cs="Times New Roman"/>
            <w:color w:val="0000FF"/>
            <w:szCs w:val="24"/>
            <w:u w:val="single"/>
          </w:rPr>
          <w:t>https://doi.org/10.1093/aje/kwh090</w:t>
        </w:r>
      </w:hyperlink>
    </w:p>
    <w:sectPr w:rsidR="00690906" w:rsidRPr="00D424DA" w:rsidSect="00034616">
      <w:headerReference w:type="even" r:id="rId45"/>
      <w:headerReference w:type="default" r:id="rId46"/>
      <w:footerReference w:type="even" r:id="rId47"/>
      <w:footerReference w:type="default" r:id="rId48"/>
      <w:headerReference w:type="first" r:id="rId49"/>
      <w:footerReference w:type="first" r:id="rId50"/>
      <w:pgSz w:w="12240" w:h="15840"/>
      <w:pgMar w:top="1152" w:right="1440" w:bottom="1152"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62CA8" w14:textId="77777777" w:rsidR="009F2393" w:rsidRDefault="009F2393">
      <w:pPr>
        <w:spacing w:after="0" w:line="240" w:lineRule="auto"/>
      </w:pPr>
      <w:r>
        <w:separator/>
      </w:r>
    </w:p>
  </w:endnote>
  <w:endnote w:type="continuationSeparator" w:id="0">
    <w:p w14:paraId="6361DED4" w14:textId="77777777" w:rsidR="009F2393" w:rsidRDefault="009F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54690" w14:textId="77777777" w:rsidR="000E3EA1" w:rsidRDefault="000E3E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25367" w14:textId="77777777" w:rsidR="00CF0836" w:rsidRDefault="00000000">
    <w:pPr>
      <w:pStyle w:val="Footer"/>
      <w:jc w:val="center"/>
    </w:pPr>
    <w:r>
      <w:fldChar w:fldCharType="begin"/>
    </w:r>
    <w:r>
      <w:instrText>PAGE</w:instrText>
    </w:r>
    <w:r>
      <w:fldChar w:fldCharType="separate"/>
    </w:r>
    <w:r w:rsidR="00690906">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218A6" w14:textId="77777777" w:rsidR="000E3EA1" w:rsidRDefault="000E3E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EE95F" w14:textId="77777777" w:rsidR="009F2393" w:rsidRDefault="009F2393">
      <w:pPr>
        <w:spacing w:after="0" w:line="240" w:lineRule="auto"/>
      </w:pPr>
      <w:r>
        <w:separator/>
      </w:r>
    </w:p>
  </w:footnote>
  <w:footnote w:type="continuationSeparator" w:id="0">
    <w:p w14:paraId="60B7BC05" w14:textId="77777777" w:rsidR="009F2393" w:rsidRDefault="009F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FFBA8" w14:textId="77777777" w:rsidR="000E3EA1" w:rsidRDefault="00000000">
    <w:pPr>
      <w:pStyle w:val="Header"/>
    </w:pPr>
    <w:r>
      <w:rPr>
        <w:noProof/>
      </w:rPr>
      <w:pict w14:anchorId="69F7F0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0348172"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1A2EF" w14:textId="77777777" w:rsidR="000E3EA1" w:rsidRDefault="00000000">
    <w:pPr>
      <w:pStyle w:val="Header"/>
    </w:pPr>
    <w:r>
      <w:rPr>
        <w:noProof/>
      </w:rPr>
      <w:pict w14:anchorId="021E44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0348173"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FDFD8" w14:textId="77777777" w:rsidR="000E3EA1" w:rsidRDefault="00000000">
    <w:pPr>
      <w:pStyle w:val="Header"/>
    </w:pPr>
    <w:r>
      <w:rPr>
        <w:noProof/>
      </w:rPr>
      <w:pict w14:anchorId="14DE60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0348171"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E8B1E42"/>
    <w:multiLevelType w:val="hybridMultilevel"/>
    <w:tmpl w:val="FD8807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9A005C"/>
    <w:multiLevelType w:val="hybridMultilevel"/>
    <w:tmpl w:val="17BA945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3444899">
    <w:abstractNumId w:val="8"/>
  </w:num>
  <w:num w:numId="2" w16cid:durableId="106585203">
    <w:abstractNumId w:val="6"/>
  </w:num>
  <w:num w:numId="3" w16cid:durableId="1142115912">
    <w:abstractNumId w:val="5"/>
  </w:num>
  <w:num w:numId="4" w16cid:durableId="999775993">
    <w:abstractNumId w:val="4"/>
  </w:num>
  <w:num w:numId="5" w16cid:durableId="689339226">
    <w:abstractNumId w:val="7"/>
  </w:num>
  <w:num w:numId="6" w16cid:durableId="850414697">
    <w:abstractNumId w:val="3"/>
  </w:num>
  <w:num w:numId="7" w16cid:durableId="94593895">
    <w:abstractNumId w:val="2"/>
  </w:num>
  <w:num w:numId="8" w16cid:durableId="334305574">
    <w:abstractNumId w:val="1"/>
  </w:num>
  <w:num w:numId="9" w16cid:durableId="1730035864">
    <w:abstractNumId w:val="0"/>
  </w:num>
  <w:num w:numId="10" w16cid:durableId="732702893">
    <w:abstractNumId w:val="9"/>
  </w:num>
  <w:num w:numId="11" w16cid:durableId="7462232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E1sTAxNjM0sTAwNTdU0lEKTi0uzszPAykwrAUA+0z9hSwAAAA="/>
  </w:docVars>
  <w:rsids>
    <w:rsidRoot w:val="00B47730"/>
    <w:rsid w:val="00034616"/>
    <w:rsid w:val="0006063C"/>
    <w:rsid w:val="000E3EA1"/>
    <w:rsid w:val="0015074B"/>
    <w:rsid w:val="00161436"/>
    <w:rsid w:val="00207892"/>
    <w:rsid w:val="0029639D"/>
    <w:rsid w:val="00326F90"/>
    <w:rsid w:val="00472C1A"/>
    <w:rsid w:val="00640AE8"/>
    <w:rsid w:val="00690906"/>
    <w:rsid w:val="007B5BB6"/>
    <w:rsid w:val="007D29D1"/>
    <w:rsid w:val="00881E0A"/>
    <w:rsid w:val="008B2BD3"/>
    <w:rsid w:val="009249B0"/>
    <w:rsid w:val="009F2393"/>
    <w:rsid w:val="00AA1D8D"/>
    <w:rsid w:val="00B47730"/>
    <w:rsid w:val="00CB0664"/>
    <w:rsid w:val="00CF0836"/>
    <w:rsid w:val="00D424DA"/>
    <w:rsid w:val="00D70C1B"/>
    <w:rsid w:val="00E150B7"/>
    <w:rsid w:val="00E25FA8"/>
    <w:rsid w:val="00FA4D91"/>
    <w:rsid w:val="00FC693F"/>
    <w:rsid w:val="00FE02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2655663"/>
  <w14:defaultImageDpi w14:val="300"/>
  <w15:docId w15:val="{7CC5F020-1134-4265-BBA9-87765A8EF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320" w:after="160"/>
      <w:outlineLvl w:val="0"/>
    </w:pPr>
    <w:rPr>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b/>
      <w:bCs/>
      <w:color w:val="00000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300" w:line="240" w:lineRule="auto"/>
      <w:contextualSpacing/>
      <w:jc w:val="center"/>
    </w:pPr>
    <w:rPr>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spacing w:line="240" w:lineRule="auto"/>
    </w:pPr>
    <w:rPr>
      <w:bCs/>
      <w:color w:val="000000"/>
      <w:sz w:val="22"/>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 text"/>
    <w:pPr>
      <w:spacing w:before="50" w:after="50" w:line="240" w:lineRule="auto"/>
    </w:pPr>
    <w:rPr>
      <w:rFonts w:ascii="Times New Roman" w:hAnsi="Times New Roman"/>
      <w:sz w:val="21"/>
    </w:rPr>
  </w:style>
  <w:style w:type="paragraph" w:customStyle="1" w:styleId="Tablenote">
    <w:name w:val="Table note"/>
    <w:pPr>
      <w:spacing w:before="80" w:line="252" w:lineRule="auto"/>
    </w:pPr>
    <w:rPr>
      <w:rFonts w:ascii="Times New Roman" w:hAnsi="Times New Roman"/>
      <w:sz w:val="20"/>
    </w:rPr>
  </w:style>
  <w:style w:type="paragraph" w:customStyle="1" w:styleId="Reference">
    <w:name w:val="Reference"/>
    <w:pPr>
      <w:keepLines/>
      <w:spacing w:after="160" w:line="252" w:lineRule="auto"/>
      <w:ind w:left="720" w:hanging="720"/>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86/s41073-019-0064-8" TargetMode="External"/><Relationship Id="rId18" Type="http://schemas.openxmlformats.org/officeDocument/2006/relationships/hyperlink" Target="https://doi.org/10.1371/journal.pone.0290757" TargetMode="External"/><Relationship Id="rId26" Type="http://schemas.openxmlformats.org/officeDocument/2006/relationships/hyperlink" Target="https://doi.org/10.3389/ijph.2022.1604811" TargetMode="External"/><Relationship Id="rId39" Type="http://schemas.openxmlformats.org/officeDocument/2006/relationships/hyperlink" Target="https://doi.org/10.1016/j.vaccine.2022.02.005" TargetMode="External"/><Relationship Id="rId21" Type="http://schemas.openxmlformats.org/officeDocument/2006/relationships/hyperlink" Target="https://doi.org/10.3389/frhs.2025.1609418" TargetMode="External"/><Relationship Id="rId34" Type="http://schemas.openxmlformats.org/officeDocument/2006/relationships/hyperlink" Target="https://doi.org/10.1093/inthealth/ihad009" TargetMode="External"/><Relationship Id="rId42" Type="http://schemas.openxmlformats.org/officeDocument/2006/relationships/hyperlink" Target="https://www.afro.who.int/countries/nigeria/news/nigerians-situation-vulnerability-benefit-covid-19-vaccination-scale-and-integration-through" TargetMode="External"/><Relationship Id="rId47" Type="http://schemas.openxmlformats.org/officeDocument/2006/relationships/footer" Target="footer1.xml"/><Relationship Id="rId50"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177/1529100618760521" TargetMode="External"/><Relationship Id="rId29" Type="http://schemas.openxmlformats.org/officeDocument/2006/relationships/hyperlink" Target="https://doi.org/10.1371/journal.pone.0267691" TargetMode="External"/><Relationship Id="rId11" Type="http://schemas.openxmlformats.org/officeDocument/2006/relationships/hyperlink" Target="https://doi.org/10.1136/bmjopen-2023-083470" TargetMode="External"/><Relationship Id="rId24" Type="http://schemas.openxmlformats.org/officeDocument/2006/relationships/hyperlink" Target="https://doi.org/10.3390/ijerph22020153" TargetMode="External"/><Relationship Id="rId32" Type="http://schemas.openxmlformats.org/officeDocument/2006/relationships/hyperlink" Target="https://doi.org/10.3390/ijerph19116816" TargetMode="External"/><Relationship Id="rId37" Type="http://schemas.openxmlformats.org/officeDocument/2006/relationships/hyperlink" Target="https://doi.org/10.1016/j.vaccine.2023.03.029" TargetMode="External"/><Relationship Id="rId40" Type="http://schemas.openxmlformats.org/officeDocument/2006/relationships/hyperlink" Target="https://doi.org/10.3390/vaccines12101128"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doi.org/10.1371/journal.pone.0208601" TargetMode="External"/><Relationship Id="rId23" Type="http://schemas.openxmlformats.org/officeDocument/2006/relationships/hyperlink" Target="https://doi.org/10.1038/s41586-024-07158-w" TargetMode="External"/><Relationship Id="rId28" Type="http://schemas.openxmlformats.org/officeDocument/2006/relationships/hyperlink" Target="https://doi.org/10.1186/s12889-025-22796-z" TargetMode="External"/><Relationship Id="rId36" Type="http://schemas.openxmlformats.org/officeDocument/2006/relationships/hyperlink" Target="https://doi.org/10.3390/vaccines10071008" TargetMode="External"/><Relationship Id="rId49" Type="http://schemas.openxmlformats.org/officeDocument/2006/relationships/header" Target="header3.xml"/><Relationship Id="rId10" Type="http://schemas.openxmlformats.org/officeDocument/2006/relationships/hyperlink" Target="https://doi.org/10.2196/47817" TargetMode="External"/><Relationship Id="rId19" Type="http://schemas.openxmlformats.org/officeDocument/2006/relationships/hyperlink" Target="https://doi.org/10.7189/jogh.14.05018" TargetMode="External"/><Relationship Id="rId31" Type="http://schemas.openxmlformats.org/officeDocument/2006/relationships/hyperlink" Target="https://doi.org/10.11604/pamj.2024.47.72.37446" TargetMode="External"/><Relationship Id="rId44" Type="http://schemas.openxmlformats.org/officeDocument/2006/relationships/hyperlink" Target="https://doi.org/10.1093/aje/kwh090"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1371/journal.pone.0264371" TargetMode="External"/><Relationship Id="rId14" Type="http://schemas.openxmlformats.org/officeDocument/2006/relationships/hyperlink" Target="https://doi.org/10.1371/journal.pgph.0002895" TargetMode="External"/><Relationship Id="rId22" Type="http://schemas.openxmlformats.org/officeDocument/2006/relationships/hyperlink" Target="https://doi.org/10.1136/bmjopen-2021-055159" TargetMode="External"/><Relationship Id="rId27" Type="http://schemas.openxmlformats.org/officeDocument/2006/relationships/hyperlink" Target="https://doi.org/10.1186/s13690-023-01107-1" TargetMode="External"/><Relationship Id="rId30" Type="http://schemas.openxmlformats.org/officeDocument/2006/relationships/hyperlink" Target="https://doi.org/10.1186/s12939-024-02284-3" TargetMode="External"/><Relationship Id="rId35" Type="http://schemas.openxmlformats.org/officeDocument/2006/relationships/hyperlink" Target="https://doi.org/10.3390/vaccines11061057" TargetMode="External"/><Relationship Id="rId43" Type="http://schemas.openxmlformats.org/officeDocument/2006/relationships/hyperlink" Target="https://www.who.int/publications/i/item/WHO-2019-nCoV-Vaccines-SAGE-Prioritization-2023.1" TargetMode="External"/><Relationship Id="rId48" Type="http://schemas.openxmlformats.org/officeDocument/2006/relationships/footer" Target="footer2.xml"/><Relationship Id="rId8" Type="http://schemas.openxmlformats.org/officeDocument/2006/relationships/hyperlink" Target="https://doi.org/10.7759/cureus.51102" TargetMode="Externa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doi.org/10.1186/s42269-023-01017-w" TargetMode="External"/><Relationship Id="rId17" Type="http://schemas.openxmlformats.org/officeDocument/2006/relationships/hyperlink" Target="https://doi.org/10.1038/s41598-025-14253-z" TargetMode="External"/><Relationship Id="rId25" Type="http://schemas.openxmlformats.org/officeDocument/2006/relationships/hyperlink" Target="https://doi.org/10.1016/j.eclinm.2022.101499" TargetMode="External"/><Relationship Id="rId33" Type="http://schemas.openxmlformats.org/officeDocument/2006/relationships/hyperlink" Target="https://doi.org/10.2196/41925" TargetMode="External"/><Relationship Id="rId38" Type="http://schemas.openxmlformats.org/officeDocument/2006/relationships/hyperlink" Target="https://doi.org/10.1371/journal.pgph.0006126" TargetMode="External"/><Relationship Id="rId46" Type="http://schemas.openxmlformats.org/officeDocument/2006/relationships/header" Target="header2.xml"/><Relationship Id="rId20" Type="http://schemas.openxmlformats.org/officeDocument/2006/relationships/hyperlink" Target="https://doi.org/10.1186/s12889-026-26481-7" TargetMode="External"/><Relationship Id="rId41" Type="http://schemas.openxmlformats.org/officeDocument/2006/relationships/hyperlink" Target="https://www.who.int/publications/i/item/9789240049680"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34</Pages>
  <Words>15756</Words>
  <Characters>89813</Characters>
  <Application>Microsoft Office Word</Application>
  <DocSecurity>0</DocSecurity>
  <Lines>748</Lines>
  <Paragraphs>210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105359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COVID-19 Vaccine Uptake and Associated Factors in Nigeria: A Critical Epidemiological Review</dc:title>
  <dc:subject>Critical narrative epidemiological review</dc:subject>
  <dc:creator/>
  <cp:keywords>Nigeria, COVID-19, vaccination, uptake, epidemiology, health equity</cp:keywords>
  <dc:description/>
  <cp:lastModifiedBy>Editor-90</cp:lastModifiedBy>
  <cp:revision>8</cp:revision>
  <dcterms:created xsi:type="dcterms:W3CDTF">2013-12-23T23:15:00Z</dcterms:created>
  <dcterms:modified xsi:type="dcterms:W3CDTF">2026-09-23T07:12:00Z</dcterms:modified>
  <cp:category/>
</cp:coreProperties>
</file>