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F41CD" w14:textId="77777777" w:rsidR="00D065D9" w:rsidRPr="00B85224" w:rsidRDefault="00000000" w:rsidP="00E06CD8">
      <w:pPr>
        <w:jc w:val="right"/>
        <w:rPr>
          <w:rFonts w:ascii="Arial" w:hAnsi="Arial" w:cs="Arial"/>
          <w:sz w:val="36"/>
          <w:szCs w:val="36"/>
        </w:rPr>
      </w:pPr>
      <w:r w:rsidRPr="00B85224">
        <w:rPr>
          <w:rFonts w:ascii="Arial" w:hAnsi="Arial" w:cs="Arial"/>
          <w:b/>
          <w:sz w:val="36"/>
          <w:szCs w:val="36"/>
        </w:rPr>
        <w:t>Dietary Patterns and Clustered Cardiometabolic Abnormalities Among Adults in Ikwerre Local Government Area, Rivers State, Nigeria</w:t>
      </w:r>
    </w:p>
    <w:p w14:paraId="565C038D" w14:textId="77777777" w:rsidR="00730272" w:rsidRDefault="00730272" w:rsidP="00E06CD8">
      <w:pPr>
        <w:spacing w:after="40"/>
        <w:jc w:val="right"/>
        <w:rPr>
          <w:rFonts w:ascii="Arial" w:hAnsi="Arial" w:cs="Arial"/>
          <w:sz w:val="20"/>
          <w:szCs w:val="20"/>
          <w:lang w:val="en-IN"/>
        </w:rPr>
      </w:pPr>
    </w:p>
    <w:p w14:paraId="23012D43" w14:textId="77777777" w:rsidR="00981EE7" w:rsidRPr="00875EA0" w:rsidRDefault="00981EE7" w:rsidP="00E06CD8">
      <w:pPr>
        <w:spacing w:after="40"/>
        <w:jc w:val="right"/>
        <w:rPr>
          <w:rFonts w:ascii="Arial" w:hAnsi="Arial" w:cs="Arial"/>
          <w:sz w:val="20"/>
          <w:szCs w:val="20"/>
          <w:lang w:val="en-IN"/>
        </w:rPr>
      </w:pPr>
    </w:p>
    <w:p w14:paraId="7F323289" w14:textId="77777777" w:rsidR="00D065D9" w:rsidRPr="00B85224" w:rsidRDefault="00000000">
      <w:pPr>
        <w:spacing w:before="160" w:after="100"/>
        <w:rPr>
          <w:rFonts w:ascii="Arial" w:hAnsi="Arial" w:cs="Arial"/>
        </w:rPr>
      </w:pPr>
      <w:r w:rsidRPr="00B85224">
        <w:rPr>
          <w:rFonts w:ascii="Arial" w:hAnsi="Arial" w:cs="Arial"/>
          <w:b/>
          <w:sz w:val="22"/>
        </w:rPr>
        <w:t>ABSTRACT</w:t>
      </w:r>
    </w:p>
    <w:tbl>
      <w:tblPr>
        <w:tblStyle w:val="TableGrid"/>
        <w:tblW w:w="0" w:type="auto"/>
        <w:tblLook w:val="04A0" w:firstRow="1" w:lastRow="0" w:firstColumn="1" w:lastColumn="0" w:noHBand="0" w:noVBand="1"/>
      </w:tblPr>
      <w:tblGrid>
        <w:gridCol w:w="10070"/>
      </w:tblGrid>
      <w:tr w:rsidR="004C1DC9" w:rsidRPr="00B85224" w14:paraId="1C3E791A" w14:textId="77777777" w:rsidTr="004C1DC9">
        <w:tc>
          <w:tcPr>
            <w:tcW w:w="10296" w:type="dxa"/>
          </w:tcPr>
          <w:p w14:paraId="43C9B1BF" w14:textId="77777777" w:rsidR="004C1DC9" w:rsidRPr="00B85224" w:rsidRDefault="004C1DC9" w:rsidP="004C1DC9">
            <w:pPr>
              <w:spacing w:after="40"/>
              <w:jc w:val="both"/>
              <w:rPr>
                <w:rFonts w:ascii="Arial" w:hAnsi="Arial" w:cs="Arial"/>
              </w:rPr>
            </w:pPr>
            <w:r w:rsidRPr="00B85224">
              <w:rPr>
                <w:rFonts w:ascii="Arial" w:hAnsi="Arial" w:cs="Arial"/>
                <w:b/>
                <w:sz w:val="20"/>
              </w:rPr>
              <w:t>Aims:</w:t>
            </w:r>
            <w:r w:rsidRPr="00B85224">
              <w:rPr>
                <w:rFonts w:ascii="Arial" w:hAnsi="Arial" w:cs="Arial"/>
                <w:sz w:val="20"/>
              </w:rPr>
              <w:t xml:space="preserve"> To identify empirically derived dietary patterns among adults in Ikwerre Local Government Area, Rivers State, Nigeria, and determine their associations with clustered cardiometabolic abnormalities (CCA).</w:t>
            </w:r>
          </w:p>
          <w:p w14:paraId="2BB4CF85" w14:textId="77777777" w:rsidR="004C1DC9" w:rsidRPr="00B85224" w:rsidRDefault="004C1DC9" w:rsidP="004C1DC9">
            <w:pPr>
              <w:spacing w:after="40"/>
              <w:jc w:val="both"/>
              <w:rPr>
                <w:rFonts w:ascii="Arial" w:hAnsi="Arial" w:cs="Arial"/>
              </w:rPr>
            </w:pPr>
            <w:r w:rsidRPr="00B85224">
              <w:rPr>
                <w:rFonts w:ascii="Arial" w:hAnsi="Arial" w:cs="Arial"/>
                <w:b/>
                <w:sz w:val="20"/>
              </w:rPr>
              <w:t>Study design:</w:t>
            </w:r>
            <w:r w:rsidRPr="00B85224">
              <w:rPr>
                <w:rFonts w:ascii="Arial" w:hAnsi="Arial" w:cs="Arial"/>
                <w:sz w:val="20"/>
              </w:rPr>
              <w:t xml:space="preserve"> Community-based cross-sectional study.</w:t>
            </w:r>
          </w:p>
          <w:p w14:paraId="5289E0B4" w14:textId="77777777" w:rsidR="004C1DC9" w:rsidRPr="00B85224" w:rsidRDefault="004C1DC9" w:rsidP="004C1DC9">
            <w:pPr>
              <w:spacing w:after="40"/>
              <w:jc w:val="both"/>
              <w:rPr>
                <w:rFonts w:ascii="Arial" w:hAnsi="Arial" w:cs="Arial"/>
              </w:rPr>
            </w:pPr>
            <w:r w:rsidRPr="00B85224">
              <w:rPr>
                <w:rFonts w:ascii="Arial" w:hAnsi="Arial" w:cs="Arial"/>
                <w:b/>
                <w:sz w:val="20"/>
              </w:rPr>
              <w:t>Place and Duration of Study:</w:t>
            </w:r>
            <w:r w:rsidRPr="00B85224">
              <w:rPr>
                <w:rFonts w:ascii="Arial" w:hAnsi="Arial" w:cs="Arial"/>
                <w:sz w:val="20"/>
              </w:rPr>
              <w:t xml:space="preserve"> Six selected communities in Ikwerre Local Government Area, Rivers State, Nigeria. Exact data-collection dates should be inserted from the field records before submission.</w:t>
            </w:r>
          </w:p>
          <w:p w14:paraId="0E7E4CDC" w14:textId="77777777" w:rsidR="004C1DC9" w:rsidRPr="00B85224" w:rsidRDefault="004C1DC9" w:rsidP="004C1DC9">
            <w:pPr>
              <w:spacing w:after="40"/>
              <w:jc w:val="both"/>
              <w:rPr>
                <w:rFonts w:ascii="Arial" w:hAnsi="Arial" w:cs="Arial"/>
              </w:rPr>
            </w:pPr>
            <w:r w:rsidRPr="00B85224">
              <w:rPr>
                <w:rFonts w:ascii="Arial" w:hAnsi="Arial" w:cs="Arial"/>
                <w:b/>
                <w:sz w:val="20"/>
              </w:rPr>
              <w:t>Methodology:</w:t>
            </w:r>
            <w:r w:rsidRPr="00B85224">
              <w:rPr>
                <w:rFonts w:ascii="Arial" w:hAnsi="Arial" w:cs="Arial"/>
                <w:sz w:val="20"/>
              </w:rPr>
              <w:t xml:space="preserve"> The analysis included </w:t>
            </w:r>
            <w:r w:rsidR="00F26BB4">
              <w:rPr>
                <w:rFonts w:ascii="Arial" w:hAnsi="Arial" w:cs="Arial"/>
                <w:sz w:val="20"/>
              </w:rPr>
              <w:t>477</w:t>
            </w:r>
            <w:r w:rsidRPr="00B85224">
              <w:rPr>
                <w:rFonts w:ascii="Arial" w:hAnsi="Arial" w:cs="Arial"/>
                <w:sz w:val="20"/>
              </w:rPr>
              <w:t xml:space="preserve"> adults with complete dietary, anthropometric, blood pressure and biochemical data. NiDST food-frequency responses were converted to servings/day and 24 food groups were </w:t>
            </w:r>
            <w:proofErr w:type="spellStart"/>
            <w:r w:rsidRPr="00B85224">
              <w:rPr>
                <w:rFonts w:ascii="Arial" w:hAnsi="Arial" w:cs="Arial"/>
                <w:sz w:val="20"/>
              </w:rPr>
              <w:t>analysed</w:t>
            </w:r>
            <w:proofErr w:type="spellEnd"/>
            <w:r w:rsidRPr="00B85224">
              <w:rPr>
                <w:rFonts w:ascii="Arial" w:hAnsi="Arial" w:cs="Arial"/>
                <w:sz w:val="20"/>
              </w:rPr>
              <w:t xml:space="preserve"> using principal component analysis with varimax rotation. </w:t>
            </w:r>
            <w:r w:rsidRPr="00B85224">
              <w:rPr>
                <w:rFonts w:ascii="Arial" w:hAnsi="Arial" w:cs="Arial"/>
                <w:sz w:val="20"/>
                <w:highlight w:val="yellow"/>
              </w:rPr>
              <w:t>Lower CCA burden was defined as 0–1 abnormality, whereas higher burden was defined as ≥2 abnormalities among obesity, elevated blood pressure, dysglycaemia, hypertriglyceridaemia and reduced HDL-C.</w:t>
            </w:r>
            <w:r w:rsidRPr="00B85224">
              <w:rPr>
                <w:rFonts w:ascii="Arial" w:hAnsi="Arial" w:cs="Arial"/>
                <w:sz w:val="20"/>
              </w:rPr>
              <w:t xml:space="preserve"> Robust Poisson regression estimated adjusted prevalence ratios (</w:t>
            </w:r>
            <w:proofErr w:type="spellStart"/>
            <w:r w:rsidRPr="00B85224">
              <w:rPr>
                <w:rFonts w:ascii="Arial" w:hAnsi="Arial" w:cs="Arial"/>
                <w:sz w:val="20"/>
              </w:rPr>
              <w:t>aPRs</w:t>
            </w:r>
            <w:proofErr w:type="spellEnd"/>
            <w:r w:rsidRPr="00B85224">
              <w:rPr>
                <w:rFonts w:ascii="Arial" w:hAnsi="Arial" w:cs="Arial"/>
                <w:sz w:val="20"/>
              </w:rPr>
              <w:t>).</w:t>
            </w:r>
          </w:p>
          <w:p w14:paraId="1E5743E1" w14:textId="77777777" w:rsidR="004C1DC9" w:rsidRPr="00B85224" w:rsidRDefault="004C1DC9" w:rsidP="004C1DC9">
            <w:pPr>
              <w:spacing w:after="40"/>
              <w:jc w:val="both"/>
              <w:rPr>
                <w:rFonts w:ascii="Arial" w:hAnsi="Arial" w:cs="Arial"/>
              </w:rPr>
            </w:pPr>
            <w:r w:rsidRPr="00B85224">
              <w:rPr>
                <w:rFonts w:ascii="Arial" w:hAnsi="Arial" w:cs="Arial"/>
                <w:b/>
                <w:sz w:val="20"/>
              </w:rPr>
              <w:t>Results:</w:t>
            </w:r>
            <w:r w:rsidRPr="00B85224">
              <w:rPr>
                <w:rFonts w:ascii="Arial" w:hAnsi="Arial" w:cs="Arial"/>
                <w:sz w:val="20"/>
              </w:rPr>
              <w:t xml:space="preserve"> Higher CCA burden occurred in </w:t>
            </w:r>
            <w:r w:rsidR="00D157A9">
              <w:rPr>
                <w:rFonts w:ascii="Arial" w:hAnsi="Arial" w:cs="Arial"/>
                <w:sz w:val="20"/>
              </w:rPr>
              <w:t>297</w:t>
            </w:r>
            <w:r w:rsidRPr="00B85224">
              <w:rPr>
                <w:rFonts w:ascii="Arial" w:hAnsi="Arial" w:cs="Arial"/>
                <w:sz w:val="20"/>
              </w:rPr>
              <w:t>/</w:t>
            </w:r>
            <w:r w:rsidR="00D157A9">
              <w:rPr>
                <w:rFonts w:ascii="Arial" w:hAnsi="Arial" w:cs="Arial"/>
                <w:sz w:val="20"/>
              </w:rPr>
              <w:t>477</w:t>
            </w:r>
            <w:r w:rsidRPr="00B85224">
              <w:rPr>
                <w:rFonts w:ascii="Arial" w:hAnsi="Arial" w:cs="Arial"/>
                <w:sz w:val="20"/>
              </w:rPr>
              <w:t xml:space="preserve"> (62.3%). Three dietary patterns explained 50.8% of dietary variance. Pattern 1 (fried/fast food–fats/oils–dessert/soft drink–alcohol) was associated with higher CCA burden (</w:t>
            </w:r>
            <w:proofErr w:type="spellStart"/>
            <w:r w:rsidRPr="00B85224">
              <w:rPr>
                <w:rFonts w:ascii="Arial" w:hAnsi="Arial" w:cs="Arial"/>
                <w:sz w:val="20"/>
              </w:rPr>
              <w:t>aPR</w:t>
            </w:r>
            <w:proofErr w:type="spellEnd"/>
            <w:r w:rsidRPr="00B85224">
              <w:rPr>
                <w:rFonts w:ascii="Arial" w:hAnsi="Arial" w:cs="Arial"/>
                <w:sz w:val="20"/>
              </w:rPr>
              <w:t xml:space="preserve"> 1.15, 95% CI 1.05–1.26; P = .004). Pattern 2 (grain–legume–white meat) was inversely associated (</w:t>
            </w:r>
            <w:proofErr w:type="spellStart"/>
            <w:r w:rsidRPr="00B85224">
              <w:rPr>
                <w:rFonts w:ascii="Arial" w:hAnsi="Arial" w:cs="Arial"/>
                <w:sz w:val="20"/>
              </w:rPr>
              <w:t>aPR</w:t>
            </w:r>
            <w:proofErr w:type="spellEnd"/>
            <w:r w:rsidRPr="00B85224">
              <w:rPr>
                <w:rFonts w:ascii="Arial" w:hAnsi="Arial" w:cs="Arial"/>
                <w:sz w:val="20"/>
              </w:rPr>
              <w:t xml:space="preserve"> 0.81, 95% CI 0.71–0.92; P &lt; .001), whereas Pattern 3 (dairy–tea/coffee–fish–nuts–fruit/vegetable) was positively associated (</w:t>
            </w:r>
            <w:proofErr w:type="spellStart"/>
            <w:r w:rsidRPr="00B85224">
              <w:rPr>
                <w:rFonts w:ascii="Arial" w:hAnsi="Arial" w:cs="Arial"/>
                <w:sz w:val="20"/>
              </w:rPr>
              <w:t>aPR</w:t>
            </w:r>
            <w:proofErr w:type="spellEnd"/>
            <w:r w:rsidRPr="00B85224">
              <w:rPr>
                <w:rFonts w:ascii="Arial" w:hAnsi="Arial" w:cs="Arial"/>
                <w:sz w:val="20"/>
              </w:rPr>
              <w:t xml:space="preserve"> 1.22, 95% CI 1.09–1.36; P &lt; .001). Restricted loading-weighted sensitivity scores reproduced all three associations.</w:t>
            </w:r>
          </w:p>
          <w:p w14:paraId="14D3CBCF" w14:textId="77777777" w:rsidR="004C1DC9" w:rsidRPr="00B85224" w:rsidRDefault="004C1DC9">
            <w:pPr>
              <w:spacing w:after="40"/>
              <w:jc w:val="both"/>
              <w:rPr>
                <w:rFonts w:ascii="Arial" w:hAnsi="Arial" w:cs="Arial"/>
              </w:rPr>
            </w:pPr>
            <w:r w:rsidRPr="00B85224">
              <w:rPr>
                <w:rFonts w:ascii="Arial" w:hAnsi="Arial" w:cs="Arial"/>
                <w:b/>
                <w:sz w:val="20"/>
              </w:rPr>
              <w:t>Conclusion:</w:t>
            </w:r>
            <w:r w:rsidRPr="00B85224">
              <w:rPr>
                <w:rFonts w:ascii="Arial" w:hAnsi="Arial" w:cs="Arial"/>
                <w:sz w:val="20"/>
              </w:rPr>
              <w:t xml:space="preserve"> Whole dietary </w:t>
            </w:r>
            <w:proofErr w:type="spellStart"/>
            <w:r w:rsidRPr="00B85224">
              <w:rPr>
                <w:rFonts w:ascii="Arial" w:hAnsi="Arial" w:cs="Arial"/>
                <w:sz w:val="20"/>
              </w:rPr>
              <w:t>behaviours</w:t>
            </w:r>
            <w:proofErr w:type="spellEnd"/>
            <w:r w:rsidRPr="00B85224">
              <w:rPr>
                <w:rFonts w:ascii="Arial" w:hAnsi="Arial" w:cs="Arial"/>
                <w:sz w:val="20"/>
              </w:rPr>
              <w:t xml:space="preserve"> were differentially associated with cardiometabolic burden. The energy-dense fried/fast-food pattern was adverse, whereas the grain–legume–white-meat pattern was associated with lower burden. The positive Pattern 3 association requires longitudinal confirmation because reverse causation and mixed food composition are plausible.</w:t>
            </w:r>
          </w:p>
        </w:tc>
      </w:tr>
    </w:tbl>
    <w:p w14:paraId="23B89710" w14:textId="77777777" w:rsidR="00E06CD8" w:rsidRPr="0081538D" w:rsidRDefault="00E06CD8">
      <w:pPr>
        <w:spacing w:after="40"/>
        <w:jc w:val="both"/>
        <w:rPr>
          <w:rFonts w:ascii="Arial" w:hAnsi="Arial" w:cs="Arial"/>
          <w:b/>
          <w:sz w:val="20"/>
          <w:szCs w:val="20"/>
        </w:rPr>
      </w:pPr>
    </w:p>
    <w:p w14:paraId="2F25ADD5" w14:textId="5832DC93" w:rsidR="0081538D" w:rsidRPr="00B85224" w:rsidRDefault="00000000">
      <w:pPr>
        <w:jc w:val="both"/>
        <w:rPr>
          <w:rFonts w:ascii="Arial" w:hAnsi="Arial" w:cs="Arial"/>
          <w:i/>
        </w:rPr>
      </w:pPr>
      <w:r w:rsidRPr="00B85224">
        <w:rPr>
          <w:rFonts w:ascii="Arial" w:hAnsi="Arial" w:cs="Arial"/>
          <w:i/>
          <w:sz w:val="20"/>
        </w:rPr>
        <w:t xml:space="preserve">Keywords: </w:t>
      </w:r>
      <w:r w:rsidR="0031504F" w:rsidRPr="0031504F">
        <w:rPr>
          <w:rFonts w:ascii="Arial" w:hAnsi="Arial" w:cs="Arial"/>
          <w:i/>
          <w:sz w:val="20"/>
        </w:rPr>
        <w:t xml:space="preserve">Clustered cardiometabolic abnormalities; dietary patterns; Nigerian Dietary Screening Tool; principal component analysis; cardiometabolic risk; nutrition transition; obesity; hypertension; </w:t>
      </w:r>
      <w:proofErr w:type="spellStart"/>
      <w:r w:rsidR="0031504F" w:rsidRPr="0031504F">
        <w:rPr>
          <w:rFonts w:ascii="Arial" w:hAnsi="Arial" w:cs="Arial"/>
          <w:i/>
          <w:sz w:val="20"/>
        </w:rPr>
        <w:t>dysglycaemia</w:t>
      </w:r>
      <w:proofErr w:type="spellEnd"/>
      <w:r w:rsidR="0031504F" w:rsidRPr="0031504F">
        <w:rPr>
          <w:rFonts w:ascii="Arial" w:hAnsi="Arial" w:cs="Arial"/>
          <w:i/>
          <w:sz w:val="20"/>
        </w:rPr>
        <w:t>;</w:t>
      </w:r>
    </w:p>
    <w:p w14:paraId="538A9A05" w14:textId="77777777" w:rsidR="00F3269A" w:rsidRPr="00B85224" w:rsidRDefault="00F3269A">
      <w:pPr>
        <w:jc w:val="both"/>
        <w:rPr>
          <w:rFonts w:ascii="Arial" w:hAnsi="Arial" w:cs="Arial"/>
        </w:rPr>
      </w:pPr>
    </w:p>
    <w:p w14:paraId="0743A343" w14:textId="77777777" w:rsidR="00D065D9" w:rsidRPr="00B85224" w:rsidRDefault="00000000">
      <w:pPr>
        <w:spacing w:before="160" w:after="100"/>
        <w:rPr>
          <w:rFonts w:ascii="Arial" w:hAnsi="Arial" w:cs="Arial"/>
        </w:rPr>
      </w:pPr>
      <w:r w:rsidRPr="00B85224">
        <w:rPr>
          <w:rFonts w:ascii="Arial" w:hAnsi="Arial" w:cs="Arial"/>
          <w:b/>
          <w:sz w:val="22"/>
        </w:rPr>
        <w:t>1. INTRODUCTION</w:t>
      </w:r>
    </w:p>
    <w:p w14:paraId="48DAF4F7" w14:textId="14A028B1" w:rsidR="00D065D9" w:rsidRPr="00B85224" w:rsidRDefault="00000000" w:rsidP="00BB1837">
      <w:pPr>
        <w:spacing w:after="120"/>
        <w:jc w:val="both"/>
        <w:rPr>
          <w:rFonts w:ascii="Arial" w:hAnsi="Arial" w:cs="Arial"/>
        </w:rPr>
      </w:pPr>
      <w:r w:rsidRPr="00B85224">
        <w:rPr>
          <w:rFonts w:ascii="Arial" w:hAnsi="Arial" w:cs="Arial"/>
          <w:sz w:val="20"/>
        </w:rPr>
        <w:t>Cardiometabolic abnormalities are among the most important modifiable contributors to premature morbidity and mortality worldwide. The Global Burden of Disease 2021 analysis identified elevated blood pressure, high fasting plasma glucose and high body mass index among the leading metabolic risks for death and disability (GBD 2021 Risk Factors Collaborators, 2024). Nigeria carries a substantial share of this burden. Systematic analyses have documented high and increasing hypertension prevalence and persistent gaps in awareness, treatment and control (</w:t>
      </w:r>
      <w:proofErr w:type="spellStart"/>
      <w:r w:rsidRPr="00B85224">
        <w:rPr>
          <w:rFonts w:ascii="Arial" w:hAnsi="Arial" w:cs="Arial"/>
          <w:sz w:val="20"/>
        </w:rPr>
        <w:t>Adeloye</w:t>
      </w:r>
      <w:proofErr w:type="spellEnd"/>
      <w:r w:rsidRPr="00B85224">
        <w:rPr>
          <w:rFonts w:ascii="Arial" w:hAnsi="Arial" w:cs="Arial"/>
          <w:sz w:val="20"/>
        </w:rPr>
        <w:t xml:space="preserve"> et al., 2021; </w:t>
      </w:r>
      <w:proofErr w:type="spellStart"/>
      <w:r w:rsidRPr="00B85224">
        <w:rPr>
          <w:rFonts w:ascii="Arial" w:hAnsi="Arial" w:cs="Arial"/>
          <w:sz w:val="20"/>
        </w:rPr>
        <w:t>Obagha</w:t>
      </w:r>
      <w:proofErr w:type="spellEnd"/>
      <w:r w:rsidRPr="00B85224">
        <w:rPr>
          <w:rFonts w:ascii="Arial" w:hAnsi="Arial" w:cs="Arial"/>
          <w:sz w:val="20"/>
        </w:rPr>
        <w:t xml:space="preserve"> et al., 2022), while overweight and obesity are now common among adults (</w:t>
      </w:r>
      <w:proofErr w:type="spellStart"/>
      <w:r w:rsidRPr="00B85224">
        <w:rPr>
          <w:rFonts w:ascii="Arial" w:hAnsi="Arial" w:cs="Arial"/>
          <w:sz w:val="20"/>
        </w:rPr>
        <w:t>Adeloye</w:t>
      </w:r>
      <w:proofErr w:type="spellEnd"/>
      <w:r w:rsidRPr="00B85224">
        <w:rPr>
          <w:rFonts w:ascii="Arial" w:hAnsi="Arial" w:cs="Arial"/>
          <w:sz w:val="20"/>
        </w:rPr>
        <w:t xml:space="preserve"> et al., 2021). Dyslipidaemia is also widespread; the REMAH study reported </w:t>
      </w:r>
      <w:r w:rsidR="00A96D6C">
        <w:rPr>
          <w:rFonts w:ascii="Arial" w:hAnsi="Arial" w:cs="Arial"/>
          <w:sz w:val="20"/>
        </w:rPr>
        <w:t xml:space="preserve">a </w:t>
      </w:r>
      <w:r w:rsidRPr="00B85224">
        <w:rPr>
          <w:rFonts w:ascii="Arial" w:hAnsi="Arial" w:cs="Arial"/>
          <w:sz w:val="20"/>
        </w:rPr>
        <w:t xml:space="preserve">particularly high prevalence of reduced HDL-C and showed that several lipid abnormalities clustered with obesity and hypertension (Chori et al., 2022). These findings support a shift from considering single risk factors </w:t>
      </w:r>
      <w:r w:rsidRPr="00B85224">
        <w:rPr>
          <w:rFonts w:ascii="Arial" w:hAnsi="Arial" w:cs="Arial"/>
          <w:sz w:val="20"/>
          <w:highlight w:val="yellow"/>
        </w:rPr>
        <w:t>in isolation towards recognising</w:t>
      </w:r>
      <w:r w:rsidRPr="00B85224">
        <w:rPr>
          <w:rFonts w:ascii="Arial" w:hAnsi="Arial" w:cs="Arial"/>
          <w:sz w:val="20"/>
        </w:rPr>
        <w:t xml:space="preserve"> the cumulative cardiometabolic burden carried by individuals.</w:t>
      </w:r>
    </w:p>
    <w:p w14:paraId="12F48758" w14:textId="77777777" w:rsidR="00A96D6C" w:rsidRPr="00C82272" w:rsidRDefault="00000000" w:rsidP="00BB1837">
      <w:pPr>
        <w:spacing w:after="120"/>
        <w:jc w:val="both"/>
        <w:rPr>
          <w:rFonts w:ascii="Arial" w:hAnsi="Arial" w:cs="Arial"/>
          <w:bCs/>
          <w:sz w:val="20"/>
        </w:rPr>
      </w:pPr>
      <w:r w:rsidRPr="00B85224">
        <w:rPr>
          <w:rFonts w:ascii="Arial" w:hAnsi="Arial" w:cs="Arial"/>
          <w:sz w:val="20"/>
        </w:rPr>
        <w:t xml:space="preserve">Clustering is clinically relevant because obesity, elevated blood pressure, </w:t>
      </w:r>
      <w:proofErr w:type="spellStart"/>
      <w:r w:rsidRPr="00B85224">
        <w:rPr>
          <w:rFonts w:ascii="Arial" w:hAnsi="Arial" w:cs="Arial"/>
          <w:sz w:val="20"/>
        </w:rPr>
        <w:t>dysglycaemia</w:t>
      </w:r>
      <w:proofErr w:type="spellEnd"/>
      <w:r w:rsidRPr="00B85224">
        <w:rPr>
          <w:rFonts w:ascii="Arial" w:hAnsi="Arial" w:cs="Arial"/>
          <w:sz w:val="20"/>
        </w:rPr>
        <w:t xml:space="preserve"> and lipid abnormalities often coexist and share </w:t>
      </w:r>
      <w:proofErr w:type="spellStart"/>
      <w:r w:rsidRPr="00B85224">
        <w:rPr>
          <w:rFonts w:ascii="Arial" w:hAnsi="Arial" w:cs="Arial"/>
          <w:sz w:val="20"/>
        </w:rPr>
        <w:t>behavioural</w:t>
      </w:r>
      <w:proofErr w:type="spellEnd"/>
      <w:r w:rsidRPr="00B85224">
        <w:rPr>
          <w:rFonts w:ascii="Arial" w:hAnsi="Arial" w:cs="Arial"/>
          <w:sz w:val="20"/>
        </w:rPr>
        <w:t xml:space="preserve">, physiological and social determinants. In a </w:t>
      </w:r>
      <w:proofErr w:type="spellStart"/>
      <w:r w:rsidRPr="00B85224">
        <w:rPr>
          <w:rFonts w:ascii="Arial" w:hAnsi="Arial" w:cs="Arial"/>
          <w:sz w:val="20"/>
        </w:rPr>
        <w:t>multicountry</w:t>
      </w:r>
      <w:proofErr w:type="spellEnd"/>
      <w:r w:rsidRPr="00B85224">
        <w:rPr>
          <w:rFonts w:ascii="Arial" w:hAnsi="Arial" w:cs="Arial"/>
          <w:sz w:val="20"/>
        </w:rPr>
        <w:t xml:space="preserve"> analysis of 39,658 participants from nine sub-Saharan African countries, cardiometabolic diseases and lifestyle risk factors formed distinct multimorbidity clusters with characteristic sociodemographic profiles (Otieno et al., 2023). Such co-occurrence may identify individuals whose risk is not fully represented by a single diagnosis. However, established metabolic-syndrome definitions require specific combinations of measurements. </w:t>
      </w:r>
      <w:r>
        <w:rPr>
          <w:b/>
          <w:highlight w:val="yellow"/>
        </w:rPr>
        <w:t xml:space="preserve"> </w:t>
      </w:r>
      <w:r w:rsidRPr="00C82272">
        <w:rPr>
          <w:bCs/>
          <w:highlight w:val="yellow"/>
        </w:rPr>
        <w:t>Recent adult population evidence has also linked distinct dietary-pattern profiles with different forms of cardiovascular-metabolic comorbidity, supporting assessment of diet in relation to co-occurring metabolic conditions rather than isolated outcomes alone (Mao et al., 2025).</w:t>
      </w:r>
    </w:p>
    <w:p w14:paraId="49F8E5C1" w14:textId="77777777" w:rsidR="00D065D9" w:rsidRPr="00C82272" w:rsidRDefault="00000000" w:rsidP="00BB1837">
      <w:pPr>
        <w:spacing w:after="120"/>
        <w:jc w:val="both"/>
        <w:rPr>
          <w:rFonts w:ascii="Arial" w:hAnsi="Arial" w:cs="Arial"/>
          <w:bCs/>
        </w:rPr>
      </w:pPr>
      <w:r w:rsidRPr="00B85224">
        <w:rPr>
          <w:rFonts w:ascii="Arial" w:hAnsi="Arial" w:cs="Arial"/>
          <w:sz w:val="20"/>
        </w:rPr>
        <w:lastRenderedPageBreak/>
        <w:t xml:space="preserve">Diet is central to this problem because habitual eating patterns influence adiposity, vascular regulation, glycaemic control and lipid metabolism simultaneously. Contemporary cardiometabolic nutrition guidance </w:t>
      </w:r>
      <w:proofErr w:type="spellStart"/>
      <w:r w:rsidRPr="00B85224">
        <w:rPr>
          <w:rFonts w:ascii="Arial" w:hAnsi="Arial" w:cs="Arial"/>
          <w:sz w:val="20"/>
        </w:rPr>
        <w:t>emphasises</w:t>
      </w:r>
      <w:proofErr w:type="spellEnd"/>
      <w:r w:rsidRPr="00B85224">
        <w:rPr>
          <w:rFonts w:ascii="Arial" w:hAnsi="Arial" w:cs="Arial"/>
          <w:sz w:val="20"/>
        </w:rPr>
        <w:t xml:space="preserve"> vegetables, fruits, legumes, nuts, whole grains and minimally processed protein sources while limiting sodium, refined starches, added sugars and highly processed foods (</w:t>
      </w:r>
      <w:proofErr w:type="spellStart"/>
      <w:r w:rsidRPr="00B85224">
        <w:rPr>
          <w:rFonts w:ascii="Arial" w:hAnsi="Arial" w:cs="Arial"/>
          <w:sz w:val="20"/>
        </w:rPr>
        <w:t>Pagidipati</w:t>
      </w:r>
      <w:proofErr w:type="spellEnd"/>
      <w:r w:rsidRPr="00B85224">
        <w:rPr>
          <w:rFonts w:ascii="Arial" w:hAnsi="Arial" w:cs="Arial"/>
          <w:sz w:val="20"/>
        </w:rPr>
        <w:t xml:space="preserve"> et al., 2025). Evidence from prospective studies and meta-analyses also links ultra-processed</w:t>
      </w:r>
      <w:r w:rsidR="00A96D6C">
        <w:rPr>
          <w:rFonts w:ascii="Arial" w:hAnsi="Arial" w:cs="Arial"/>
          <w:sz w:val="20"/>
        </w:rPr>
        <w:t xml:space="preserve"> </w:t>
      </w:r>
      <w:r w:rsidRPr="00B85224">
        <w:rPr>
          <w:rFonts w:ascii="Arial" w:hAnsi="Arial" w:cs="Arial"/>
          <w:sz w:val="20"/>
        </w:rPr>
        <w:t xml:space="preserve">food consumption with obesity, hypertension, diabetes, dyslipidaemia and metabolic syndrome (Harb et al., 2023; </w:t>
      </w:r>
      <w:proofErr w:type="spellStart"/>
      <w:r w:rsidRPr="00B85224">
        <w:rPr>
          <w:rFonts w:ascii="Arial" w:hAnsi="Arial" w:cs="Arial"/>
          <w:sz w:val="20"/>
        </w:rPr>
        <w:t>Mambrini</w:t>
      </w:r>
      <w:proofErr w:type="spellEnd"/>
      <w:r w:rsidRPr="00B85224">
        <w:rPr>
          <w:rFonts w:ascii="Arial" w:hAnsi="Arial" w:cs="Arial"/>
          <w:sz w:val="20"/>
        </w:rPr>
        <w:t xml:space="preserve"> et al., 2023; Shu et al., 2023). Nevertheless, foods are not consumed independently. Analyses of single foods can therefore obscure substitution, co-consumption and cultural combinations that define real-world diets.</w:t>
      </w:r>
      <w:r>
        <w:rPr>
          <w:b/>
          <w:highlight w:val="yellow"/>
        </w:rPr>
        <w:t xml:space="preserve"> </w:t>
      </w:r>
      <w:r w:rsidRPr="00C82272">
        <w:rPr>
          <w:bCs/>
          <w:highlight w:val="yellow"/>
        </w:rPr>
        <w:t>Recent review literature has also considered functional foods and nutraceuticals in the context of metabolic syndrome, further reflecting the broad range of dietary exposures examined in relation to</w:t>
      </w:r>
      <w:r>
        <w:rPr>
          <w:b/>
          <w:highlight w:val="yellow"/>
        </w:rPr>
        <w:t xml:space="preserve"> </w:t>
      </w:r>
      <w:r w:rsidRPr="00C82272">
        <w:rPr>
          <w:bCs/>
          <w:highlight w:val="yellow"/>
        </w:rPr>
        <w:t>metabolic risk (Mittal et al., 2026).</w:t>
      </w:r>
    </w:p>
    <w:p w14:paraId="6C92EC16" w14:textId="77777777" w:rsidR="00D065D9" w:rsidRPr="00C82272" w:rsidRDefault="00000000" w:rsidP="00BB1837">
      <w:pPr>
        <w:spacing w:after="120"/>
        <w:jc w:val="both"/>
        <w:rPr>
          <w:rFonts w:ascii="Arial" w:hAnsi="Arial" w:cs="Arial"/>
          <w:bCs/>
        </w:rPr>
      </w:pPr>
      <w:r w:rsidRPr="00B85224">
        <w:rPr>
          <w:rFonts w:ascii="Arial" w:hAnsi="Arial" w:cs="Arial"/>
          <w:sz w:val="20"/>
        </w:rPr>
        <w:t>Data-driven dietary-pattern analysis addresses this limitation by identifying combinations of foods that tend to be consumed together. Across sub-Saharan Africa, empirical studies demonstrate marked heterogeneity in these combinations. In low-income communities in Accra, rice-based, snack-based and staple/soup patterns coexisted within the same population (</w:t>
      </w:r>
      <w:proofErr w:type="spellStart"/>
      <w:r w:rsidRPr="00B85224">
        <w:rPr>
          <w:rFonts w:ascii="Arial" w:hAnsi="Arial" w:cs="Arial"/>
          <w:sz w:val="20"/>
        </w:rPr>
        <w:t>Kushitor</w:t>
      </w:r>
      <w:proofErr w:type="spellEnd"/>
      <w:r w:rsidRPr="00B85224">
        <w:rPr>
          <w:rFonts w:ascii="Arial" w:hAnsi="Arial" w:cs="Arial"/>
          <w:sz w:val="20"/>
        </w:rPr>
        <w:t xml:space="preserve"> et al., 2023). Adults in urban Burkina Faso likewise displayed distinct patterns involving meat and eggs, fish, and starchy foods (Weil et al., 2023). A recent systematic review concluded that adult dietary patterns in sub-Saharan Africa commonly include fruit/vegetable, carbohydrate, protein, snack/beverage, traditional, transitional and Western-type configurations and that their associations with health outcomes vary by context (</w:t>
      </w:r>
      <w:proofErr w:type="spellStart"/>
      <w:r w:rsidRPr="00B85224">
        <w:rPr>
          <w:rFonts w:ascii="Arial" w:hAnsi="Arial" w:cs="Arial"/>
          <w:sz w:val="20"/>
        </w:rPr>
        <w:t>Ekerette</w:t>
      </w:r>
      <w:proofErr w:type="spellEnd"/>
      <w:r w:rsidRPr="00B85224">
        <w:rPr>
          <w:rFonts w:ascii="Arial" w:hAnsi="Arial" w:cs="Arial"/>
          <w:sz w:val="20"/>
        </w:rPr>
        <w:t xml:space="preserve"> et al., 2026). These findings caution against assuming that a label such as 'traditional' or 'healthy' is inherently protective; the actual factor loadings and local food combinations are more informative.</w:t>
      </w:r>
      <w:r>
        <w:rPr>
          <w:b/>
          <w:highlight w:val="yellow"/>
        </w:rPr>
        <w:t xml:space="preserve"> </w:t>
      </w:r>
      <w:r w:rsidRPr="00C82272">
        <w:rPr>
          <w:bCs/>
          <w:highlight w:val="yellow"/>
        </w:rPr>
        <w:t>Likewise, a recent Tanzanian study using principal component analysis and dietary clustering found that empirically derived patterns differed in their associations with metabolic syndrome and selected components across transitioning urban and rural settings (Paulo et al., 2026). Recent work in Ghana has also examined dietary-pattern variation alongside measured cardiometabolic risk factors, illustrating the value of context-specific assessment in African adult populations (Essiam et al., 2025).</w:t>
      </w:r>
    </w:p>
    <w:p w14:paraId="5B77F310" w14:textId="77777777" w:rsidR="00D065D9" w:rsidRPr="00C82272" w:rsidRDefault="00000000" w:rsidP="00BB1837">
      <w:pPr>
        <w:spacing w:after="120"/>
        <w:jc w:val="both"/>
        <w:rPr>
          <w:rFonts w:ascii="Arial" w:hAnsi="Arial" w:cs="Arial"/>
          <w:bCs/>
          <w:sz w:val="20"/>
        </w:rPr>
      </w:pPr>
      <w:r w:rsidRPr="00B85224">
        <w:rPr>
          <w:rFonts w:ascii="Arial" w:hAnsi="Arial" w:cs="Arial"/>
          <w:sz w:val="20"/>
        </w:rPr>
        <w:t>Nigerian evidence reinforces this need for context-specific interpretation. Segun et al. (2024) identified four dietary patterns among Nigerian adults and found that different traditional pattern configurations had opposing associations with obesity. In the SIREN study, dietary patterns among stroke-free Indigenous Africans were differentially associated with hypertension (</w:t>
      </w:r>
      <w:proofErr w:type="spellStart"/>
      <w:r w:rsidRPr="00B85224">
        <w:rPr>
          <w:rFonts w:ascii="Arial" w:hAnsi="Arial" w:cs="Arial"/>
          <w:sz w:val="20"/>
        </w:rPr>
        <w:t>Okekunle</w:t>
      </w:r>
      <w:proofErr w:type="spellEnd"/>
      <w:r w:rsidRPr="00B85224">
        <w:rPr>
          <w:rFonts w:ascii="Arial" w:hAnsi="Arial" w:cs="Arial"/>
          <w:sz w:val="20"/>
        </w:rPr>
        <w:t xml:space="preserve"> et al., 2024). These observations are especially relevant to the Niger Delta, where traditional staples, soups and animal-source foods now coexist with fried foods, processed products, soft drinks and commercially prepared meals. Ikwerre Local Government Area </w:t>
      </w:r>
      <w:r w:rsidR="00A96D6C">
        <w:rPr>
          <w:rFonts w:ascii="Arial" w:hAnsi="Arial" w:cs="Arial"/>
          <w:sz w:val="20"/>
        </w:rPr>
        <w:t>i</w:t>
      </w:r>
      <w:r w:rsidRPr="00B85224">
        <w:rPr>
          <w:rFonts w:ascii="Arial" w:hAnsi="Arial" w:cs="Arial"/>
          <w:sz w:val="20"/>
        </w:rPr>
        <w:t>s a setting undergoing rapid socioeconomic and dietary transition, with traditional markets and local staples coexisting with supermarkets, street vendors, fast foods, soft drinks and packaged snacks. This mixed food environment provides an appropriate setting for examining derived dietary patterns and cardiometabolic burden.</w:t>
      </w:r>
      <w:r>
        <w:rPr>
          <w:b/>
          <w:highlight w:val="yellow"/>
        </w:rPr>
        <w:t xml:space="preserve"> </w:t>
      </w:r>
      <w:r w:rsidRPr="00C82272">
        <w:rPr>
          <w:bCs/>
          <w:highlight w:val="yellow"/>
        </w:rPr>
        <w:t>Earlier research among adult traders in Port Harcourt, Rivers State, examined dietary patterns together with blood pressure and body mass index, providing geographically relevant context for studying diet-related cardiometabolic abnormalities in this region (Wordu &amp; Akusu, 2018).</w:t>
      </w:r>
    </w:p>
    <w:p w14:paraId="23B49C62" w14:textId="73AC2575" w:rsidR="00D065D9" w:rsidRPr="00B85224" w:rsidRDefault="00A96D6C" w:rsidP="000C3B3F">
      <w:pPr>
        <w:spacing w:after="120"/>
        <w:jc w:val="both"/>
        <w:rPr>
          <w:rFonts w:ascii="Arial" w:hAnsi="Arial" w:cs="Arial"/>
        </w:rPr>
      </w:pPr>
      <w:r>
        <w:rPr>
          <w:rFonts w:ascii="Arial" w:hAnsi="Arial" w:cs="Arial"/>
          <w:sz w:val="20"/>
        </w:rPr>
        <w:t xml:space="preserve">A recent study by </w:t>
      </w:r>
      <w:r>
        <w:rPr>
          <w:rFonts w:ascii="Arial" w:hAnsi="Arial" w:cs="Arial"/>
          <w:sz w:val="20"/>
          <w:highlight w:val="yellow"/>
        </w:rPr>
        <w:t>Batubo et al. (2024)</w:t>
      </w:r>
      <w:r>
        <w:rPr>
          <w:rFonts w:ascii="Arial" w:hAnsi="Arial" w:cs="Arial"/>
          <w:sz w:val="20"/>
        </w:rPr>
        <w:t xml:space="preserve"> </w:t>
      </w:r>
      <w:r w:rsidRPr="00B85224">
        <w:rPr>
          <w:rFonts w:ascii="Arial" w:hAnsi="Arial" w:cs="Arial"/>
          <w:sz w:val="20"/>
        </w:rPr>
        <w:t xml:space="preserve">developed </w:t>
      </w:r>
      <w:r>
        <w:rPr>
          <w:rFonts w:ascii="Arial" w:hAnsi="Arial" w:cs="Arial"/>
          <w:sz w:val="20"/>
        </w:rPr>
        <w:t xml:space="preserve">a tool </w:t>
      </w:r>
      <w:r w:rsidRPr="00B85224">
        <w:rPr>
          <w:rFonts w:ascii="Arial" w:hAnsi="Arial" w:cs="Arial"/>
          <w:sz w:val="20"/>
        </w:rPr>
        <w:t>for rapid assessment of habitual food-group intake in Nigerian adults (Batubo</w:t>
      </w:r>
      <w:r>
        <w:rPr>
          <w:rFonts w:ascii="Arial" w:hAnsi="Arial" w:cs="Arial"/>
          <w:sz w:val="20"/>
        </w:rPr>
        <w:t xml:space="preserve"> et al.</w:t>
      </w:r>
      <w:r w:rsidRPr="00B85224">
        <w:rPr>
          <w:rFonts w:ascii="Arial" w:hAnsi="Arial" w:cs="Arial"/>
          <w:sz w:val="20"/>
        </w:rPr>
        <w:t>, 2024). Validation work demonstrated acceptable relative validity and reproducibility for ranking food-group intake (Batubo et al., 2024a), while implementation and feasibility studies showed that the tool can be incorporated into Nigerian clinical encounters and support patient–clinician communication (Batubo et al., 2024b, 2024). The related Nigerian Diet Risk Score further demonstrated that locally captured dietary information can discriminate hypertension risk and relate to cardiovascular biomarkers (Batubo et al., 2025). These studies provide a strong methodological foundation for using NiDST frequency data to derive empirical dietary patterns.</w:t>
      </w:r>
      <w:r w:rsidR="000C3B3F">
        <w:rPr>
          <w:rFonts w:ascii="Arial" w:hAnsi="Arial" w:cs="Arial"/>
        </w:rPr>
        <w:t xml:space="preserve"> </w:t>
      </w:r>
      <w:r>
        <w:rPr>
          <w:b/>
          <w:highlight w:val="yellow"/>
        </w:rPr>
        <w:t xml:space="preserve"> However, context-specific evidence linking empirically derived dietary patterns with a composite burden of co-occurring cardiometabolic abnormalities among community-dwelling adults in Ikwerre Local Government Area remains limited. </w:t>
      </w:r>
      <w:r w:rsidR="000C3B3F">
        <w:rPr>
          <w:rFonts w:ascii="Arial" w:hAnsi="Arial" w:cs="Arial"/>
          <w:sz w:val="20"/>
        </w:rPr>
        <w:t>Therefore,</w:t>
      </w:r>
      <w:r w:rsidRPr="00B85224">
        <w:rPr>
          <w:rFonts w:ascii="Arial" w:hAnsi="Arial" w:cs="Arial"/>
          <w:sz w:val="20"/>
        </w:rPr>
        <w:t xml:space="preserve"> the present study aimed to identify the major dietary patterns among community-dwelling adults in Ikwerre Local Government Area, Rivers State, and determine how these patterns relate to clustered cardiometabolic burden. </w:t>
      </w:r>
    </w:p>
    <w:p w14:paraId="62E020D5" w14:textId="77777777" w:rsidR="00D065D9" w:rsidRPr="00B85224" w:rsidRDefault="00000000">
      <w:pPr>
        <w:spacing w:before="160" w:after="100"/>
        <w:rPr>
          <w:rFonts w:ascii="Arial" w:hAnsi="Arial" w:cs="Arial"/>
        </w:rPr>
      </w:pPr>
      <w:r w:rsidRPr="00B85224">
        <w:rPr>
          <w:rFonts w:ascii="Arial" w:hAnsi="Arial" w:cs="Arial"/>
          <w:b/>
          <w:sz w:val="22"/>
        </w:rPr>
        <w:t>2. M</w:t>
      </w:r>
      <w:r w:rsidR="00C545FE">
        <w:rPr>
          <w:rFonts w:ascii="Arial" w:hAnsi="Arial" w:cs="Arial"/>
          <w:b/>
          <w:sz w:val="22"/>
        </w:rPr>
        <w:t>ATERIAL</w:t>
      </w:r>
      <w:r w:rsidR="00E7501E">
        <w:rPr>
          <w:rFonts w:ascii="Arial" w:hAnsi="Arial" w:cs="Arial"/>
          <w:b/>
          <w:sz w:val="22"/>
        </w:rPr>
        <w:t>S</w:t>
      </w:r>
      <w:r w:rsidR="00C545FE">
        <w:rPr>
          <w:rFonts w:ascii="Arial" w:hAnsi="Arial" w:cs="Arial"/>
          <w:b/>
          <w:sz w:val="22"/>
        </w:rPr>
        <w:t xml:space="preserve"> AND METHODS</w:t>
      </w:r>
    </w:p>
    <w:p w14:paraId="4B588549" w14:textId="77777777" w:rsidR="00D065D9" w:rsidRPr="00B85224" w:rsidRDefault="00000000">
      <w:pPr>
        <w:spacing w:before="160" w:after="100"/>
        <w:rPr>
          <w:rFonts w:ascii="Arial" w:hAnsi="Arial" w:cs="Arial"/>
        </w:rPr>
      </w:pPr>
      <w:r w:rsidRPr="00B85224">
        <w:rPr>
          <w:rFonts w:ascii="Arial" w:hAnsi="Arial" w:cs="Arial"/>
          <w:b/>
          <w:sz w:val="22"/>
        </w:rPr>
        <w:t>2.1 Study Design and Setting</w:t>
      </w:r>
    </w:p>
    <w:p w14:paraId="1DFE2FAB" w14:textId="77777777" w:rsidR="00D065D9" w:rsidRPr="00E90868" w:rsidRDefault="00E90868" w:rsidP="00BB1837">
      <w:pPr>
        <w:spacing w:after="120"/>
        <w:jc w:val="both"/>
        <w:rPr>
          <w:rFonts w:ascii="Arial" w:hAnsi="Arial" w:cs="Arial"/>
          <w:sz w:val="20"/>
          <w:szCs w:val="20"/>
        </w:rPr>
      </w:pPr>
      <w:r w:rsidRPr="00E90868">
        <w:rPr>
          <w:rFonts w:ascii="Arial" w:hAnsi="Arial" w:cs="Arial"/>
          <w:sz w:val="20"/>
          <w:szCs w:val="20"/>
        </w:rPr>
        <w:t xml:space="preserve">This community-based cross-sectional study was conducted among adults residing in selected communities within Ikwerre Local Government Area (LGA), Rivers State, Nigeria. Ikwerre LGA is situated in the Niger Delta region of southern Nigeria, approximately 20 km north-west of Port Harcourt, and encompasses both </w:t>
      </w:r>
      <w:proofErr w:type="spellStart"/>
      <w:r w:rsidRPr="00E90868">
        <w:rPr>
          <w:rFonts w:ascii="Arial" w:hAnsi="Arial" w:cs="Arial"/>
          <w:sz w:val="20"/>
          <w:szCs w:val="20"/>
        </w:rPr>
        <w:t>urbanising</w:t>
      </w:r>
      <w:proofErr w:type="spellEnd"/>
      <w:r w:rsidRPr="00E90868">
        <w:rPr>
          <w:rFonts w:ascii="Arial" w:hAnsi="Arial" w:cs="Arial"/>
          <w:sz w:val="20"/>
          <w:szCs w:val="20"/>
        </w:rPr>
        <w:t xml:space="preserve"> settlements </w:t>
      </w:r>
      <w:r w:rsidRPr="00E90868">
        <w:rPr>
          <w:rFonts w:ascii="Arial" w:hAnsi="Arial" w:cs="Arial"/>
          <w:sz w:val="20"/>
          <w:szCs w:val="20"/>
        </w:rPr>
        <w:lastRenderedPageBreak/>
        <w:t xml:space="preserve">and rural agricultural villages. The administrative </w:t>
      </w:r>
      <w:proofErr w:type="spellStart"/>
      <w:r w:rsidRPr="00E90868">
        <w:rPr>
          <w:rFonts w:ascii="Arial" w:hAnsi="Arial" w:cs="Arial"/>
          <w:sz w:val="20"/>
          <w:szCs w:val="20"/>
        </w:rPr>
        <w:t>centre</w:t>
      </w:r>
      <w:proofErr w:type="spellEnd"/>
      <w:r w:rsidRPr="00E90868">
        <w:rPr>
          <w:rFonts w:ascii="Arial" w:hAnsi="Arial" w:cs="Arial"/>
          <w:sz w:val="20"/>
          <w:szCs w:val="20"/>
        </w:rPr>
        <w:t xml:space="preserve"> is located at </w:t>
      </w:r>
      <w:proofErr w:type="spellStart"/>
      <w:r w:rsidRPr="00E90868">
        <w:rPr>
          <w:rFonts w:ascii="Arial" w:hAnsi="Arial" w:cs="Arial"/>
          <w:sz w:val="20"/>
          <w:szCs w:val="20"/>
        </w:rPr>
        <w:t>Isiokpo</w:t>
      </w:r>
      <w:proofErr w:type="spellEnd"/>
      <w:r w:rsidRPr="00E90868">
        <w:rPr>
          <w:rFonts w:ascii="Arial" w:hAnsi="Arial" w:cs="Arial"/>
          <w:sz w:val="20"/>
          <w:szCs w:val="20"/>
        </w:rPr>
        <w:t xml:space="preserve">. The region is characterised by tropical rainforest vegetation and agricultural output, including cassava, yams, plantains and vegetables. Its proximity to Port Harcourt and oil-industry infrastructure has accelerated socioeconomic development and </w:t>
      </w:r>
      <w:proofErr w:type="spellStart"/>
      <w:r w:rsidRPr="00E90868">
        <w:rPr>
          <w:rFonts w:ascii="Arial" w:hAnsi="Arial" w:cs="Arial"/>
          <w:sz w:val="20"/>
          <w:szCs w:val="20"/>
        </w:rPr>
        <w:t>urbanisation</w:t>
      </w:r>
      <w:proofErr w:type="spellEnd"/>
      <w:r w:rsidRPr="00E90868">
        <w:rPr>
          <w:rFonts w:ascii="Arial" w:hAnsi="Arial" w:cs="Arial"/>
          <w:sz w:val="20"/>
          <w:szCs w:val="20"/>
        </w:rPr>
        <w:t xml:space="preserve">. </w:t>
      </w:r>
    </w:p>
    <w:p w14:paraId="3B77670C" w14:textId="77777777" w:rsidR="00D065D9" w:rsidRPr="00B85224" w:rsidRDefault="00000000">
      <w:pPr>
        <w:spacing w:before="160" w:after="100"/>
        <w:rPr>
          <w:rFonts w:ascii="Arial" w:hAnsi="Arial" w:cs="Arial"/>
        </w:rPr>
      </w:pPr>
      <w:r w:rsidRPr="00B85224">
        <w:rPr>
          <w:rFonts w:ascii="Arial" w:hAnsi="Arial" w:cs="Arial"/>
          <w:b/>
          <w:sz w:val="22"/>
        </w:rPr>
        <w:t>2.2 Participants and Eligibility</w:t>
      </w:r>
    </w:p>
    <w:p w14:paraId="6EB90C7A" w14:textId="77777777" w:rsidR="00D065D9" w:rsidRPr="00B85224" w:rsidRDefault="00000000" w:rsidP="00BB1837">
      <w:pPr>
        <w:spacing w:after="120"/>
        <w:jc w:val="both"/>
        <w:rPr>
          <w:rFonts w:ascii="Arial" w:hAnsi="Arial" w:cs="Arial"/>
        </w:rPr>
      </w:pPr>
      <w:r w:rsidRPr="00B85224">
        <w:rPr>
          <w:rFonts w:ascii="Arial" w:hAnsi="Arial" w:cs="Arial"/>
          <w:sz w:val="20"/>
        </w:rPr>
        <w:t xml:space="preserve">Adults aged 18 years or older, with or without hypertension, type 2 diabetes or obesity, who were residents of the selected Ikwerre communities </w:t>
      </w:r>
      <w:r w:rsidR="00C40275" w:rsidRPr="00B85224">
        <w:rPr>
          <w:rFonts w:ascii="Arial" w:hAnsi="Arial" w:cs="Arial"/>
          <w:sz w:val="20"/>
        </w:rPr>
        <w:t xml:space="preserve">for over two years </w:t>
      </w:r>
      <w:r w:rsidRPr="00B85224">
        <w:rPr>
          <w:rFonts w:ascii="Arial" w:hAnsi="Arial" w:cs="Arial"/>
          <w:sz w:val="20"/>
        </w:rPr>
        <w:t xml:space="preserve">and provided informed consent were eligible. Pregnant or lactating women, individuals with severe comorbid conditions such as cancer or chronic kidney disease, those with illness or cognitive impairment likely to compromise dietary recall, individuals with recent major dietary changes, those participating in structured dietary intervention </w:t>
      </w:r>
      <w:proofErr w:type="spellStart"/>
      <w:r w:rsidRPr="00B85224">
        <w:rPr>
          <w:rFonts w:ascii="Arial" w:hAnsi="Arial" w:cs="Arial"/>
          <w:sz w:val="20"/>
        </w:rPr>
        <w:t>programmes</w:t>
      </w:r>
      <w:proofErr w:type="spellEnd"/>
      <w:r w:rsidRPr="00B85224">
        <w:rPr>
          <w:rFonts w:ascii="Arial" w:hAnsi="Arial" w:cs="Arial"/>
          <w:sz w:val="20"/>
        </w:rPr>
        <w:t xml:space="preserve">, and persons who declined participation were excluded. </w:t>
      </w:r>
    </w:p>
    <w:p w14:paraId="4C208B59" w14:textId="77777777" w:rsidR="00D065D9" w:rsidRPr="00B85224" w:rsidRDefault="00000000">
      <w:pPr>
        <w:spacing w:before="160" w:after="100"/>
        <w:rPr>
          <w:rFonts w:ascii="Arial" w:hAnsi="Arial" w:cs="Arial"/>
        </w:rPr>
      </w:pPr>
      <w:r w:rsidRPr="00B85224">
        <w:rPr>
          <w:rFonts w:ascii="Arial" w:hAnsi="Arial" w:cs="Arial"/>
          <w:b/>
          <w:sz w:val="22"/>
        </w:rPr>
        <w:t>2.3 Sample Size and Sampling Procedure</w:t>
      </w:r>
    </w:p>
    <w:p w14:paraId="178EA5E2" w14:textId="77777777" w:rsidR="00D065D9" w:rsidRPr="00B85224" w:rsidRDefault="00000000" w:rsidP="00BB1837">
      <w:pPr>
        <w:spacing w:after="120"/>
        <w:jc w:val="both"/>
        <w:rPr>
          <w:rFonts w:ascii="Arial" w:hAnsi="Arial" w:cs="Arial"/>
        </w:rPr>
      </w:pPr>
      <w:r w:rsidRPr="00B85224">
        <w:rPr>
          <w:rFonts w:ascii="Arial" w:hAnsi="Arial" w:cs="Arial"/>
          <w:sz w:val="20"/>
        </w:rPr>
        <w:t xml:space="preserve">The </w:t>
      </w:r>
      <w:r w:rsidR="00594DE4">
        <w:rPr>
          <w:rFonts w:ascii="Arial" w:hAnsi="Arial" w:cs="Arial"/>
          <w:sz w:val="20"/>
        </w:rPr>
        <w:t xml:space="preserve">minimum required </w:t>
      </w:r>
      <w:r w:rsidRPr="00B85224">
        <w:rPr>
          <w:rFonts w:ascii="Arial" w:hAnsi="Arial" w:cs="Arial"/>
          <w:sz w:val="20"/>
        </w:rPr>
        <w:t xml:space="preserve">sample size </w:t>
      </w:r>
      <w:r w:rsidR="00594DE4">
        <w:rPr>
          <w:rFonts w:ascii="Arial" w:hAnsi="Arial" w:cs="Arial"/>
          <w:sz w:val="20"/>
          <w:highlight w:val="yellow"/>
        </w:rPr>
        <w:t>for the present study</w:t>
      </w:r>
      <w:r w:rsidR="00594DE4">
        <w:rPr>
          <w:rFonts w:ascii="Arial" w:hAnsi="Arial" w:cs="Arial"/>
          <w:sz w:val="20"/>
        </w:rPr>
        <w:t xml:space="preserve"> </w:t>
      </w:r>
      <w:r w:rsidRPr="00B85224">
        <w:rPr>
          <w:rFonts w:ascii="Arial" w:hAnsi="Arial" w:cs="Arial"/>
          <w:sz w:val="20"/>
        </w:rPr>
        <w:t>was estimated using a single-proportion formula with Z=1.96 for 95% confidence, an assumed hypertension prevalence of 38%, and an absolute precision of 5%. A</w:t>
      </w:r>
      <w:r w:rsidR="00594DE4">
        <w:rPr>
          <w:rFonts w:ascii="Arial" w:hAnsi="Arial" w:cs="Arial"/>
          <w:sz w:val="20"/>
        </w:rPr>
        <w:t>llowing for approximately</w:t>
      </w:r>
      <w:r w:rsidRPr="00B85224">
        <w:rPr>
          <w:rFonts w:ascii="Arial" w:hAnsi="Arial" w:cs="Arial"/>
          <w:sz w:val="20"/>
        </w:rPr>
        <w:t xml:space="preserve"> 10% non-response or incomplete data </w:t>
      </w:r>
      <w:r w:rsidR="00594DE4">
        <w:rPr>
          <w:rFonts w:ascii="Arial" w:hAnsi="Arial" w:cs="Arial"/>
          <w:sz w:val="20"/>
        </w:rPr>
        <w:t xml:space="preserve">yielded </w:t>
      </w:r>
      <w:r w:rsidRPr="00B85224">
        <w:rPr>
          <w:rFonts w:ascii="Arial" w:hAnsi="Arial" w:cs="Arial"/>
          <w:sz w:val="20"/>
        </w:rPr>
        <w:t xml:space="preserve">a </w:t>
      </w:r>
      <w:r w:rsidR="00594DE4">
        <w:rPr>
          <w:rFonts w:ascii="Arial" w:hAnsi="Arial" w:cs="Arial"/>
          <w:sz w:val="20"/>
        </w:rPr>
        <w:t>minimum of</w:t>
      </w:r>
      <w:r w:rsidRPr="00B85224">
        <w:rPr>
          <w:rFonts w:ascii="Arial" w:hAnsi="Arial" w:cs="Arial"/>
          <w:sz w:val="20"/>
        </w:rPr>
        <w:t xml:space="preserve"> 404 participants. Multistage cluster sampling was used. First, six communities—</w:t>
      </w:r>
      <w:proofErr w:type="spellStart"/>
      <w:r w:rsidRPr="00B85224">
        <w:rPr>
          <w:rFonts w:ascii="Arial" w:hAnsi="Arial" w:cs="Arial"/>
          <w:sz w:val="20"/>
        </w:rPr>
        <w:t>Aluu</w:t>
      </w:r>
      <w:proofErr w:type="spellEnd"/>
      <w:r w:rsidRPr="00B85224">
        <w:rPr>
          <w:rFonts w:ascii="Arial" w:hAnsi="Arial" w:cs="Arial"/>
          <w:sz w:val="20"/>
        </w:rPr>
        <w:t xml:space="preserve">, </w:t>
      </w:r>
      <w:proofErr w:type="spellStart"/>
      <w:r w:rsidRPr="00B85224">
        <w:rPr>
          <w:rFonts w:ascii="Arial" w:hAnsi="Arial" w:cs="Arial"/>
          <w:sz w:val="20"/>
        </w:rPr>
        <w:t>Isiokpo</w:t>
      </w:r>
      <w:proofErr w:type="spellEnd"/>
      <w:r w:rsidRPr="00B85224">
        <w:rPr>
          <w:rFonts w:ascii="Arial" w:hAnsi="Arial" w:cs="Arial"/>
          <w:sz w:val="20"/>
        </w:rPr>
        <w:t xml:space="preserve">, Elele, </w:t>
      </w:r>
      <w:proofErr w:type="spellStart"/>
      <w:r w:rsidRPr="00B85224">
        <w:rPr>
          <w:rFonts w:ascii="Arial" w:hAnsi="Arial" w:cs="Arial"/>
          <w:sz w:val="20"/>
        </w:rPr>
        <w:t>Omuanwa</w:t>
      </w:r>
      <w:proofErr w:type="spellEnd"/>
      <w:r w:rsidRPr="00B85224">
        <w:rPr>
          <w:rFonts w:ascii="Arial" w:hAnsi="Arial" w:cs="Arial"/>
          <w:sz w:val="20"/>
        </w:rPr>
        <w:t xml:space="preserve">, </w:t>
      </w:r>
      <w:proofErr w:type="spellStart"/>
      <w:r w:rsidRPr="00B85224">
        <w:rPr>
          <w:rFonts w:ascii="Arial" w:hAnsi="Arial" w:cs="Arial"/>
          <w:sz w:val="20"/>
        </w:rPr>
        <w:t>Ozuaha</w:t>
      </w:r>
      <w:proofErr w:type="spellEnd"/>
      <w:r w:rsidRPr="00B85224">
        <w:rPr>
          <w:rFonts w:ascii="Arial" w:hAnsi="Arial" w:cs="Arial"/>
          <w:sz w:val="20"/>
        </w:rPr>
        <w:t xml:space="preserve"> and </w:t>
      </w:r>
      <w:proofErr w:type="spellStart"/>
      <w:r w:rsidRPr="00B85224">
        <w:rPr>
          <w:rFonts w:ascii="Arial" w:hAnsi="Arial" w:cs="Arial"/>
          <w:sz w:val="20"/>
        </w:rPr>
        <w:t>Ubima</w:t>
      </w:r>
      <w:proofErr w:type="spellEnd"/>
      <w:r w:rsidRPr="00B85224">
        <w:rPr>
          <w:rFonts w:ascii="Arial" w:hAnsi="Arial" w:cs="Arial"/>
          <w:sz w:val="20"/>
        </w:rPr>
        <w:t xml:space="preserve">—were selected by simple random sampling to represent varying levels of </w:t>
      </w:r>
      <w:proofErr w:type="spellStart"/>
      <w:r w:rsidRPr="00B85224">
        <w:rPr>
          <w:rFonts w:ascii="Arial" w:hAnsi="Arial" w:cs="Arial"/>
          <w:sz w:val="20"/>
        </w:rPr>
        <w:t>urbanisation</w:t>
      </w:r>
      <w:proofErr w:type="spellEnd"/>
      <w:r w:rsidRPr="00B85224">
        <w:rPr>
          <w:rFonts w:ascii="Arial" w:hAnsi="Arial" w:cs="Arial"/>
          <w:sz w:val="20"/>
        </w:rPr>
        <w:t xml:space="preserve"> and socioeconomic development. Second, two enumeration areas were randomly selected in each community, giving 12 enumeration areas. Third, households were enumerated and selected systematically, with approximately 3</w:t>
      </w:r>
      <w:r w:rsidR="00F50D19">
        <w:rPr>
          <w:rFonts w:ascii="Arial" w:hAnsi="Arial" w:cs="Arial"/>
          <w:sz w:val="20"/>
        </w:rPr>
        <w:t>9</w:t>
      </w:r>
      <w:r w:rsidRPr="00B85224">
        <w:rPr>
          <w:rFonts w:ascii="Arial" w:hAnsi="Arial" w:cs="Arial"/>
          <w:sz w:val="20"/>
        </w:rPr>
        <w:t xml:space="preserve"> households targeted per enumeration area. </w:t>
      </w:r>
      <w:r w:rsidR="00F50D19">
        <w:rPr>
          <w:rFonts w:ascii="Arial" w:hAnsi="Arial" w:cs="Arial"/>
          <w:sz w:val="20"/>
        </w:rPr>
        <w:t>W</w:t>
      </w:r>
      <w:r w:rsidRPr="00B85224">
        <w:rPr>
          <w:rFonts w:ascii="Arial" w:hAnsi="Arial" w:cs="Arial"/>
          <w:sz w:val="20"/>
        </w:rPr>
        <w:t>here more than one eligible adult was present</w:t>
      </w:r>
      <w:r w:rsidR="00F50D19">
        <w:rPr>
          <w:rFonts w:ascii="Arial" w:hAnsi="Arial" w:cs="Arial"/>
          <w:sz w:val="20"/>
        </w:rPr>
        <w:t xml:space="preserve"> in the selected household</w:t>
      </w:r>
      <w:r w:rsidRPr="00B85224">
        <w:rPr>
          <w:rFonts w:ascii="Arial" w:hAnsi="Arial" w:cs="Arial"/>
          <w:sz w:val="20"/>
        </w:rPr>
        <w:t xml:space="preserve">, one participant was selected using a Kish grid. If the selected participant </w:t>
      </w:r>
      <w:r w:rsidR="00F50D19">
        <w:rPr>
          <w:rFonts w:ascii="Arial" w:hAnsi="Arial" w:cs="Arial"/>
          <w:sz w:val="20"/>
        </w:rPr>
        <w:t>declined participation</w:t>
      </w:r>
      <w:r w:rsidRPr="00B85224">
        <w:rPr>
          <w:rFonts w:ascii="Arial" w:hAnsi="Arial" w:cs="Arial"/>
          <w:sz w:val="20"/>
        </w:rPr>
        <w:t xml:space="preserve"> or remained unavailable after three contact attempts, the next adjacent household was</w:t>
      </w:r>
      <w:r w:rsidR="00F50D19">
        <w:rPr>
          <w:rFonts w:ascii="Arial" w:hAnsi="Arial" w:cs="Arial"/>
          <w:sz w:val="20"/>
        </w:rPr>
        <w:t xml:space="preserve"> approached</w:t>
      </w:r>
      <w:r w:rsidRPr="00B85224">
        <w:rPr>
          <w:rFonts w:ascii="Arial" w:hAnsi="Arial" w:cs="Arial"/>
          <w:sz w:val="20"/>
        </w:rPr>
        <w:t xml:space="preserve">. </w:t>
      </w:r>
      <w:r w:rsidR="00F50D19" w:rsidRPr="00F50D19">
        <w:rPr>
          <w:rFonts w:ascii="Arial" w:hAnsi="Arial" w:cs="Arial"/>
          <w:sz w:val="20"/>
        </w:rPr>
        <w:t>Field recruitment exceeded the minimum required sample size, and 477 participants with complete dietary, anthropometric, blood pressure and biochemical data constituted the final analytical sample.</w:t>
      </w:r>
    </w:p>
    <w:p w14:paraId="567E8CB1" w14:textId="77777777" w:rsidR="00D065D9" w:rsidRPr="00B85224" w:rsidRDefault="00000000">
      <w:pPr>
        <w:spacing w:before="160" w:after="100"/>
        <w:rPr>
          <w:rFonts w:ascii="Arial" w:hAnsi="Arial" w:cs="Arial"/>
        </w:rPr>
      </w:pPr>
      <w:r w:rsidRPr="00B85224">
        <w:rPr>
          <w:rFonts w:ascii="Arial" w:hAnsi="Arial" w:cs="Arial"/>
          <w:b/>
          <w:sz w:val="22"/>
        </w:rPr>
        <w:t>2.4 Data Collection</w:t>
      </w:r>
    </w:p>
    <w:p w14:paraId="4FE847FA" w14:textId="77777777" w:rsidR="00D065D9" w:rsidRPr="00C40275" w:rsidRDefault="00000000">
      <w:pPr>
        <w:spacing w:before="160" w:after="100"/>
        <w:rPr>
          <w:rFonts w:ascii="Arial" w:hAnsi="Arial" w:cs="Arial"/>
        </w:rPr>
      </w:pPr>
      <w:r w:rsidRPr="00C40275">
        <w:rPr>
          <w:rFonts w:ascii="Arial" w:hAnsi="Arial" w:cs="Arial"/>
          <w:b/>
          <w:sz w:val="20"/>
        </w:rPr>
        <w:t>2.4.1 Sociodemographic and Health Information</w:t>
      </w:r>
    </w:p>
    <w:p w14:paraId="1D1E2E52" w14:textId="77777777" w:rsidR="00D065D9" w:rsidRPr="00B85224" w:rsidRDefault="00000000" w:rsidP="00BB1837">
      <w:pPr>
        <w:spacing w:after="120"/>
        <w:jc w:val="both"/>
        <w:rPr>
          <w:rFonts w:ascii="Arial" w:hAnsi="Arial" w:cs="Arial"/>
        </w:rPr>
      </w:pPr>
      <w:r w:rsidRPr="00B85224">
        <w:rPr>
          <w:rFonts w:ascii="Arial" w:hAnsi="Arial" w:cs="Arial"/>
          <w:sz w:val="20"/>
        </w:rPr>
        <w:t xml:space="preserve">Before data collection, permission was sought from community leaders and </w:t>
      </w:r>
      <w:r w:rsidRPr="00B85224">
        <w:rPr>
          <w:rFonts w:ascii="Arial" w:hAnsi="Arial" w:cs="Arial"/>
          <w:sz w:val="20"/>
          <w:highlight w:val="yellow"/>
        </w:rPr>
        <w:t>local health authorities, and community sensitisation</w:t>
      </w:r>
      <w:r w:rsidRPr="00B85224">
        <w:rPr>
          <w:rFonts w:ascii="Arial" w:hAnsi="Arial" w:cs="Arial"/>
          <w:sz w:val="20"/>
        </w:rPr>
        <w:t xml:space="preserve"> was conducted through meetings and announcements. </w:t>
      </w:r>
      <w:r w:rsidR="00E90868">
        <w:rPr>
          <w:rFonts w:ascii="Arial" w:hAnsi="Arial" w:cs="Arial"/>
          <w:sz w:val="20"/>
        </w:rPr>
        <w:t>T</w:t>
      </w:r>
      <w:r w:rsidRPr="00B85224">
        <w:rPr>
          <w:rFonts w:ascii="Arial" w:hAnsi="Arial" w:cs="Arial"/>
          <w:sz w:val="20"/>
        </w:rPr>
        <w:t xml:space="preserve">he WHO </w:t>
      </w:r>
      <w:proofErr w:type="spellStart"/>
      <w:r w:rsidRPr="00B85224">
        <w:rPr>
          <w:rFonts w:ascii="Arial" w:hAnsi="Arial" w:cs="Arial"/>
          <w:sz w:val="20"/>
        </w:rPr>
        <w:t>STEPwise</w:t>
      </w:r>
      <w:proofErr w:type="spellEnd"/>
      <w:r w:rsidRPr="00B85224">
        <w:rPr>
          <w:rFonts w:ascii="Arial" w:hAnsi="Arial" w:cs="Arial"/>
          <w:sz w:val="20"/>
        </w:rPr>
        <w:t xml:space="preserve"> questionnaire</w:t>
      </w:r>
      <w:r w:rsidR="00E90868">
        <w:rPr>
          <w:rFonts w:ascii="Arial" w:hAnsi="Arial" w:cs="Arial"/>
          <w:sz w:val="20"/>
        </w:rPr>
        <w:t xml:space="preserve"> was used to collect information</w:t>
      </w:r>
      <w:r w:rsidRPr="00B85224">
        <w:rPr>
          <w:rFonts w:ascii="Arial" w:hAnsi="Arial" w:cs="Arial"/>
          <w:sz w:val="20"/>
        </w:rPr>
        <w:t xml:space="preserve"> in face-to-face interviews. Information collected included age, sex, education, occupation, marital status, </w:t>
      </w:r>
      <w:proofErr w:type="spellStart"/>
      <w:r w:rsidRPr="00B85224">
        <w:rPr>
          <w:rFonts w:ascii="Arial" w:hAnsi="Arial" w:cs="Arial"/>
          <w:sz w:val="20"/>
        </w:rPr>
        <w:t>behavioural</w:t>
      </w:r>
      <w:proofErr w:type="spellEnd"/>
      <w:r w:rsidRPr="00B85224">
        <w:rPr>
          <w:rFonts w:ascii="Arial" w:hAnsi="Arial" w:cs="Arial"/>
          <w:sz w:val="20"/>
        </w:rPr>
        <w:t xml:space="preserve"> risk factors, and personal and family history of hypertension and diabetes. Interviews were conducted in English or translated into the Ikwerre language as required.</w:t>
      </w:r>
    </w:p>
    <w:p w14:paraId="29E3B3DE" w14:textId="77777777" w:rsidR="00D065D9" w:rsidRPr="00C40275" w:rsidRDefault="00000000">
      <w:pPr>
        <w:spacing w:before="160" w:after="100"/>
        <w:rPr>
          <w:rFonts w:ascii="Arial" w:hAnsi="Arial" w:cs="Arial"/>
        </w:rPr>
      </w:pPr>
      <w:r w:rsidRPr="00C40275">
        <w:rPr>
          <w:rFonts w:ascii="Arial" w:hAnsi="Arial" w:cs="Arial"/>
          <w:b/>
          <w:sz w:val="20"/>
        </w:rPr>
        <w:t>2.4.2 Dietary Assessment</w:t>
      </w:r>
    </w:p>
    <w:p w14:paraId="1F780858" w14:textId="77777777" w:rsidR="00D065D9" w:rsidRPr="00B85224" w:rsidRDefault="00000000" w:rsidP="00BB1837">
      <w:pPr>
        <w:spacing w:after="120"/>
        <w:jc w:val="both"/>
        <w:rPr>
          <w:rFonts w:ascii="Arial" w:hAnsi="Arial" w:cs="Arial"/>
        </w:rPr>
      </w:pPr>
      <w:r w:rsidRPr="00B85224">
        <w:rPr>
          <w:rFonts w:ascii="Arial" w:hAnsi="Arial" w:cs="Arial"/>
          <w:sz w:val="20"/>
        </w:rPr>
        <w:t>Dietary intake was assessed using the Nigerian Dietary Screening Tool (NiDST), an interviewer-administered, culturally developed food-frequency screening instrument for Nigerian adults (Batubo</w:t>
      </w:r>
      <w:r w:rsidR="002833A2">
        <w:rPr>
          <w:rFonts w:ascii="Arial" w:hAnsi="Arial" w:cs="Arial"/>
          <w:sz w:val="20"/>
        </w:rPr>
        <w:t xml:space="preserve"> et al.,</w:t>
      </w:r>
      <w:r w:rsidRPr="00B85224">
        <w:rPr>
          <w:rFonts w:ascii="Arial" w:hAnsi="Arial" w:cs="Arial"/>
          <w:sz w:val="20"/>
        </w:rPr>
        <w:t xml:space="preserve"> 2024; Batubo et al., 2024a). Participants reported habitual consumption of predefined food groups over the preceding month. The final dataset contained 24 food-group frequency variables: fruit, vegetables, rice, wheat, cereals, beans, nuts, red meat, white meat, processed foods/meat, eggs, fish, fried foods, fast foods, starchy foods, soup, fats/oils, desserts, soft drinks, alcohol, tea/coffee, milk/dairy, seasoning and salt. Consistent with the published NiDST validation procedure, reported weekly frequencies were converted to estimated </w:t>
      </w:r>
      <w:r w:rsidR="002833A2">
        <w:rPr>
          <w:rFonts w:ascii="Arial" w:hAnsi="Arial" w:cs="Arial"/>
          <w:sz w:val="20"/>
        </w:rPr>
        <w:t>intake</w:t>
      </w:r>
      <w:r w:rsidRPr="00B85224">
        <w:rPr>
          <w:rFonts w:ascii="Arial" w:hAnsi="Arial" w:cs="Arial"/>
          <w:sz w:val="20"/>
        </w:rPr>
        <w:t xml:space="preserve">/day by taking the midpoint of the reported weekly frequency category and dividing by seven days (Batubo et al., 2024a). Thus, ‘rarely or never’ was coded as 0 servings/day; ‘1–2 times/week’ as (1+2)/2 ÷ 7 = 0.21 servings/day; ‘3–5 times/week’ as (3+5)/2 ÷ 7 = 0.57 servings/day; and ‘daily’ as 1.00 serving/day. These four converted values (0, 0.21, 0.57 and 1.00 </w:t>
      </w:r>
      <w:r w:rsidR="002833A2">
        <w:rPr>
          <w:rFonts w:ascii="Arial" w:hAnsi="Arial" w:cs="Arial"/>
          <w:sz w:val="20"/>
        </w:rPr>
        <w:t>intakes</w:t>
      </w:r>
      <w:r w:rsidRPr="00B85224">
        <w:rPr>
          <w:rFonts w:ascii="Arial" w:hAnsi="Arial" w:cs="Arial"/>
          <w:sz w:val="20"/>
        </w:rPr>
        <w:t xml:space="preserve">/day) were the only NiDST frequency values </w:t>
      </w:r>
      <w:r w:rsidR="002833A2">
        <w:rPr>
          <w:rFonts w:ascii="Arial" w:hAnsi="Arial" w:cs="Arial"/>
          <w:sz w:val="20"/>
        </w:rPr>
        <w:t>used for the analysis</w:t>
      </w:r>
      <w:r w:rsidRPr="00B85224">
        <w:rPr>
          <w:rFonts w:ascii="Arial" w:hAnsi="Arial" w:cs="Arial"/>
          <w:sz w:val="20"/>
        </w:rPr>
        <w:t xml:space="preserve">. </w:t>
      </w:r>
    </w:p>
    <w:p w14:paraId="5AE4D063" w14:textId="77777777" w:rsidR="00D065D9" w:rsidRPr="00C40275" w:rsidRDefault="00000000">
      <w:pPr>
        <w:spacing w:before="160" w:after="100"/>
        <w:rPr>
          <w:rFonts w:ascii="Arial" w:hAnsi="Arial" w:cs="Arial"/>
        </w:rPr>
      </w:pPr>
      <w:r w:rsidRPr="00C40275">
        <w:rPr>
          <w:rFonts w:ascii="Arial" w:hAnsi="Arial" w:cs="Arial"/>
          <w:b/>
          <w:sz w:val="20"/>
        </w:rPr>
        <w:t>2.4.3 Anthropometric and Blood Pressure Measurements</w:t>
      </w:r>
    </w:p>
    <w:p w14:paraId="171B5D8E" w14:textId="77777777" w:rsidR="00D065D9" w:rsidRPr="00B85224" w:rsidRDefault="00000000" w:rsidP="00BB1837">
      <w:pPr>
        <w:spacing w:after="120"/>
        <w:jc w:val="both"/>
        <w:rPr>
          <w:rFonts w:ascii="Arial" w:hAnsi="Arial" w:cs="Arial"/>
        </w:rPr>
      </w:pPr>
      <w:r w:rsidRPr="00B85224">
        <w:rPr>
          <w:rFonts w:ascii="Arial" w:hAnsi="Arial" w:cs="Arial"/>
          <w:sz w:val="20"/>
        </w:rPr>
        <w:t xml:space="preserve">Anthropometric measurements followed standard WHO procedures. Weight was measured with calibrated digital scales, height with </w:t>
      </w:r>
      <w:r w:rsidR="00BE4813">
        <w:rPr>
          <w:rFonts w:ascii="Arial" w:hAnsi="Arial" w:cs="Arial"/>
          <w:sz w:val="20"/>
        </w:rPr>
        <w:t xml:space="preserve">standard </w:t>
      </w:r>
      <w:r w:rsidRPr="00B85224">
        <w:rPr>
          <w:rFonts w:ascii="Arial" w:hAnsi="Arial" w:cs="Arial"/>
          <w:sz w:val="20"/>
        </w:rPr>
        <w:t>stadiometers</w:t>
      </w:r>
      <w:r w:rsidR="00BE4813">
        <w:rPr>
          <w:rFonts w:ascii="Arial" w:hAnsi="Arial" w:cs="Arial"/>
          <w:sz w:val="20"/>
        </w:rPr>
        <w:t xml:space="preserve"> </w:t>
      </w:r>
      <w:r w:rsidR="00BE4813" w:rsidRPr="00BE4813">
        <w:rPr>
          <w:rFonts w:ascii="Arial" w:hAnsi="Arial" w:cs="Arial"/>
          <w:sz w:val="20"/>
        </w:rPr>
        <w:t>(model number: DG2301, China)</w:t>
      </w:r>
      <w:r w:rsidR="00BE4813">
        <w:rPr>
          <w:rFonts w:ascii="Arial" w:hAnsi="Arial" w:cs="Arial"/>
          <w:sz w:val="20"/>
        </w:rPr>
        <w:t xml:space="preserve"> </w:t>
      </w:r>
      <w:r w:rsidRPr="00B85224">
        <w:rPr>
          <w:rFonts w:ascii="Arial" w:hAnsi="Arial" w:cs="Arial"/>
          <w:sz w:val="20"/>
        </w:rPr>
        <w:t xml:space="preserve">and waist circumference with non-elastic tapes. BMI was calculated as weight in kilograms divided by height in </w:t>
      </w:r>
      <w:proofErr w:type="spellStart"/>
      <w:r w:rsidRPr="00B85224">
        <w:rPr>
          <w:rFonts w:ascii="Arial" w:hAnsi="Arial" w:cs="Arial"/>
          <w:sz w:val="20"/>
        </w:rPr>
        <w:t>metres</w:t>
      </w:r>
      <w:proofErr w:type="spellEnd"/>
      <w:r w:rsidRPr="00B85224">
        <w:rPr>
          <w:rFonts w:ascii="Arial" w:hAnsi="Arial" w:cs="Arial"/>
          <w:sz w:val="20"/>
        </w:rPr>
        <w:t xml:space="preserve"> squared. </w:t>
      </w:r>
      <w:r w:rsidR="002013CC">
        <w:rPr>
          <w:rFonts w:ascii="Arial" w:hAnsi="Arial" w:cs="Arial"/>
          <w:sz w:val="20"/>
        </w:rPr>
        <w:t>Participants’ b</w:t>
      </w:r>
      <w:r w:rsidRPr="00B85224">
        <w:rPr>
          <w:rFonts w:ascii="Arial" w:hAnsi="Arial" w:cs="Arial"/>
          <w:sz w:val="20"/>
        </w:rPr>
        <w:t>lood pressure was measured using</w:t>
      </w:r>
      <w:r w:rsidR="002013CC">
        <w:rPr>
          <w:rFonts w:ascii="Arial" w:hAnsi="Arial" w:cs="Arial"/>
          <w:sz w:val="20"/>
        </w:rPr>
        <w:t xml:space="preserve"> an automated sphygmomanometer </w:t>
      </w:r>
      <w:r w:rsidR="002013CC" w:rsidRPr="002013CC">
        <w:rPr>
          <w:rFonts w:ascii="Arial" w:hAnsi="Arial" w:cs="Arial"/>
          <w:sz w:val="20"/>
        </w:rPr>
        <w:t>(model number: ZK-BB68, Shenzhen, China)</w:t>
      </w:r>
      <w:r w:rsidR="002013CC">
        <w:rPr>
          <w:rFonts w:ascii="Arial" w:hAnsi="Arial" w:cs="Arial"/>
          <w:sz w:val="20"/>
        </w:rPr>
        <w:t>,</w:t>
      </w:r>
      <w:r w:rsidRPr="00B85224">
        <w:rPr>
          <w:rFonts w:ascii="Arial" w:hAnsi="Arial" w:cs="Arial"/>
          <w:sz w:val="20"/>
        </w:rPr>
        <w:t xml:space="preserve"> after five minutes of rest. Three readings were obtained</w:t>
      </w:r>
      <w:r w:rsidR="00BA71E6">
        <w:rPr>
          <w:rFonts w:ascii="Arial" w:hAnsi="Arial" w:cs="Arial"/>
          <w:sz w:val="20"/>
        </w:rPr>
        <w:t>,</w:t>
      </w:r>
      <w:r w:rsidRPr="00B85224">
        <w:rPr>
          <w:rFonts w:ascii="Arial" w:hAnsi="Arial" w:cs="Arial"/>
          <w:sz w:val="20"/>
        </w:rPr>
        <w:t xml:space="preserve"> and the mean value was recorded. </w:t>
      </w:r>
    </w:p>
    <w:p w14:paraId="0FE0C02B" w14:textId="77777777" w:rsidR="00D065D9" w:rsidRPr="00C40275" w:rsidRDefault="00000000">
      <w:pPr>
        <w:spacing w:before="160" w:after="100"/>
        <w:rPr>
          <w:rFonts w:ascii="Arial" w:hAnsi="Arial" w:cs="Arial"/>
          <w:sz w:val="20"/>
          <w:szCs w:val="20"/>
        </w:rPr>
      </w:pPr>
      <w:r w:rsidRPr="00C40275">
        <w:rPr>
          <w:rFonts w:ascii="Arial" w:hAnsi="Arial" w:cs="Arial"/>
          <w:b/>
          <w:sz w:val="20"/>
          <w:szCs w:val="20"/>
        </w:rPr>
        <w:t>2.4.4 Biochemical Measurements</w:t>
      </w:r>
    </w:p>
    <w:p w14:paraId="3C38F236" w14:textId="77777777" w:rsidR="00D671EE" w:rsidRDefault="00D671EE" w:rsidP="00BB1837">
      <w:pPr>
        <w:spacing w:after="120"/>
        <w:jc w:val="both"/>
        <w:rPr>
          <w:rFonts w:ascii="Arial" w:hAnsi="Arial" w:cs="Arial"/>
          <w:sz w:val="20"/>
        </w:rPr>
      </w:pPr>
      <w:r w:rsidRPr="00D671EE">
        <w:rPr>
          <w:rFonts w:ascii="Arial" w:hAnsi="Arial" w:cs="Arial"/>
          <w:sz w:val="20"/>
        </w:rPr>
        <w:t xml:space="preserve">Fasting venous blood samples (5 mL) were collected from participants by trained phlebotomists after an overnight fast and </w:t>
      </w:r>
      <w:proofErr w:type="spellStart"/>
      <w:r w:rsidRPr="00D671EE">
        <w:rPr>
          <w:rFonts w:ascii="Arial" w:hAnsi="Arial" w:cs="Arial"/>
          <w:sz w:val="20"/>
        </w:rPr>
        <w:t>analysed</w:t>
      </w:r>
      <w:proofErr w:type="spellEnd"/>
      <w:r w:rsidRPr="00D671EE">
        <w:rPr>
          <w:rFonts w:ascii="Arial" w:hAnsi="Arial" w:cs="Arial"/>
          <w:sz w:val="20"/>
        </w:rPr>
        <w:t xml:space="preserve"> in an accredited laboratory. Fasting blood glucose and lipid-profile parameters were determined using standard enzymatic </w:t>
      </w:r>
      <w:proofErr w:type="spellStart"/>
      <w:r w:rsidRPr="00D671EE">
        <w:rPr>
          <w:rFonts w:ascii="Arial" w:hAnsi="Arial" w:cs="Arial"/>
          <w:sz w:val="20"/>
        </w:rPr>
        <w:t>colourimetric</w:t>
      </w:r>
      <w:proofErr w:type="spellEnd"/>
      <w:r w:rsidRPr="00D671EE">
        <w:rPr>
          <w:rFonts w:ascii="Arial" w:hAnsi="Arial" w:cs="Arial"/>
          <w:sz w:val="20"/>
        </w:rPr>
        <w:t xml:space="preserve"> methods </w:t>
      </w:r>
      <w:r>
        <w:rPr>
          <w:rFonts w:ascii="Arial" w:hAnsi="Arial" w:cs="Arial"/>
          <w:sz w:val="20"/>
        </w:rPr>
        <w:t>with</w:t>
      </w:r>
      <w:r w:rsidRPr="00D671EE">
        <w:rPr>
          <w:rFonts w:ascii="Arial" w:hAnsi="Arial" w:cs="Arial"/>
          <w:sz w:val="20"/>
        </w:rPr>
        <w:t xml:space="preserve"> a Mindray BS-200 automated chemistry </w:t>
      </w:r>
      <w:proofErr w:type="spellStart"/>
      <w:r w:rsidRPr="00D671EE">
        <w:rPr>
          <w:rFonts w:ascii="Arial" w:hAnsi="Arial" w:cs="Arial"/>
          <w:sz w:val="20"/>
        </w:rPr>
        <w:t>analyser</w:t>
      </w:r>
      <w:proofErr w:type="spellEnd"/>
      <w:r w:rsidRPr="00D671EE">
        <w:rPr>
          <w:rFonts w:ascii="Arial" w:hAnsi="Arial" w:cs="Arial"/>
          <w:sz w:val="20"/>
        </w:rPr>
        <w:t xml:space="preserve"> (Mindray Bio-Medical Electronics Co., Ltd., Shenzhen, China). Serum total cholesterol and triglycerides were measured </w:t>
      </w:r>
      <w:r w:rsidRPr="00D671EE">
        <w:rPr>
          <w:rFonts w:ascii="Arial" w:hAnsi="Arial" w:cs="Arial"/>
          <w:sz w:val="20"/>
        </w:rPr>
        <w:lastRenderedPageBreak/>
        <w:t>enzymatically, while HDL-C was determined using a direct enzymatic method. LDL-C and VLDL-C were obtained according to the analytical procedure adopted by the laboratory. The biochemical variables available for analysis comprised fasting blood glucose, total cholesterol, triglycerides, HDL-C, LDL-C and VLDL-C.</w:t>
      </w:r>
    </w:p>
    <w:p w14:paraId="6FB0CB1F" w14:textId="77777777" w:rsidR="008E76A1" w:rsidRPr="008E76A1" w:rsidRDefault="008E76A1" w:rsidP="00C40275">
      <w:pPr>
        <w:spacing w:after="120"/>
        <w:outlineLvl w:val="2"/>
        <w:rPr>
          <w:rFonts w:ascii="Arial" w:hAnsi="Arial" w:cs="Arial"/>
          <w:b/>
          <w:bCs/>
          <w:sz w:val="22"/>
          <w:szCs w:val="22"/>
        </w:rPr>
      </w:pPr>
      <w:r w:rsidRPr="008E76A1">
        <w:rPr>
          <w:rFonts w:ascii="Arial" w:hAnsi="Arial" w:cs="Arial"/>
          <w:b/>
          <w:bCs/>
          <w:sz w:val="22"/>
          <w:szCs w:val="22"/>
        </w:rPr>
        <w:t>2.5 Definition of Clustered Cardiometabolic Abnormalities</w:t>
      </w:r>
    </w:p>
    <w:p w14:paraId="6C6D455E" w14:textId="77777777" w:rsidR="008E76A1" w:rsidRPr="008E76A1" w:rsidRDefault="008E76A1" w:rsidP="00C40275">
      <w:pPr>
        <w:spacing w:after="120"/>
        <w:jc w:val="both"/>
        <w:rPr>
          <w:rFonts w:ascii="Arial" w:hAnsi="Arial" w:cs="Arial"/>
          <w:sz w:val="20"/>
          <w:szCs w:val="20"/>
        </w:rPr>
      </w:pPr>
      <w:r w:rsidRPr="008E76A1">
        <w:rPr>
          <w:rFonts w:ascii="Arial" w:hAnsi="Arial" w:cs="Arial"/>
          <w:sz w:val="20"/>
          <w:szCs w:val="20"/>
        </w:rPr>
        <w:t xml:space="preserve">Clustered cardiometabolic abnormalities (CCA) were operationally defined as the co-occurrence of established cardiometabolic risk abnormalities within the same participant. The construct was intended to quantify the cumulative burden of measurable cardiometabolic abnormalities in the study population rather than to diagnose metabolic syndrome. This distinction was necessary because conventional metabolic syndrome definitions incorporate central obesity based on waist circumference together with elevated blood pressure, </w:t>
      </w:r>
      <w:proofErr w:type="spellStart"/>
      <w:r w:rsidRPr="008E76A1">
        <w:rPr>
          <w:rFonts w:ascii="Arial" w:hAnsi="Arial" w:cs="Arial"/>
          <w:sz w:val="20"/>
          <w:szCs w:val="20"/>
        </w:rPr>
        <w:t>dysglycaemia</w:t>
      </w:r>
      <w:proofErr w:type="spellEnd"/>
      <w:r w:rsidRPr="008E76A1">
        <w:rPr>
          <w:rFonts w:ascii="Arial" w:hAnsi="Arial" w:cs="Arial"/>
          <w:sz w:val="20"/>
          <w:szCs w:val="20"/>
        </w:rPr>
        <w:t xml:space="preserve">, </w:t>
      </w:r>
      <w:proofErr w:type="spellStart"/>
      <w:r w:rsidRPr="008E76A1">
        <w:rPr>
          <w:rFonts w:ascii="Arial" w:hAnsi="Arial" w:cs="Arial"/>
          <w:sz w:val="20"/>
          <w:szCs w:val="20"/>
        </w:rPr>
        <w:t>hypertriglyceridaemia</w:t>
      </w:r>
      <w:proofErr w:type="spellEnd"/>
      <w:r w:rsidRPr="008E76A1">
        <w:rPr>
          <w:rFonts w:ascii="Arial" w:hAnsi="Arial" w:cs="Arial"/>
          <w:sz w:val="20"/>
          <w:szCs w:val="20"/>
        </w:rPr>
        <w:t xml:space="preserve"> and reduced high-density lipoprotein cholesterol (HDL-C), with the diagnosis generally requiring the presence of at least three components </w:t>
      </w:r>
      <w:r w:rsidRPr="008E76A1">
        <w:rPr>
          <w:rFonts w:ascii="Arial" w:hAnsi="Arial" w:cs="Arial"/>
          <w:sz w:val="20"/>
          <w:szCs w:val="20"/>
          <w:highlight w:val="yellow"/>
        </w:rPr>
        <w:t>(Alberti et al., 2009; American Heart Association, 2023)</w:t>
      </w:r>
      <w:r w:rsidRPr="008E76A1">
        <w:rPr>
          <w:rFonts w:ascii="Arial" w:hAnsi="Arial" w:cs="Arial"/>
          <w:sz w:val="20"/>
          <w:szCs w:val="20"/>
        </w:rPr>
        <w:t>.</w:t>
      </w:r>
      <w:r w:rsidRPr="00C40275">
        <w:rPr>
          <w:rFonts w:ascii="Arial" w:hAnsi="Arial" w:cs="Arial"/>
          <w:sz w:val="20"/>
          <w:szCs w:val="20"/>
        </w:rPr>
        <w:t xml:space="preserve"> </w:t>
      </w:r>
      <w:r w:rsidRPr="008E76A1">
        <w:rPr>
          <w:rFonts w:ascii="Arial" w:hAnsi="Arial" w:cs="Arial"/>
          <w:sz w:val="20"/>
          <w:szCs w:val="20"/>
        </w:rPr>
        <w:t>In the present study, however, general obesity assessed using body mass index (BMI) was used in place of waist circumference; consequently, the term CCA was considered more appropriate and less likely to imply a formal metabolic syndrome diagnosis.</w:t>
      </w:r>
    </w:p>
    <w:p w14:paraId="370B1093" w14:textId="77777777" w:rsidR="008E76A1" w:rsidRPr="008E76A1" w:rsidRDefault="008E76A1" w:rsidP="00BB1837">
      <w:pPr>
        <w:spacing w:after="120"/>
        <w:jc w:val="both"/>
        <w:rPr>
          <w:rFonts w:ascii="Arial" w:hAnsi="Arial" w:cs="Arial"/>
          <w:sz w:val="20"/>
          <w:szCs w:val="20"/>
        </w:rPr>
      </w:pPr>
      <w:r w:rsidRPr="008E76A1">
        <w:rPr>
          <w:rFonts w:ascii="Arial" w:hAnsi="Arial" w:cs="Arial"/>
          <w:sz w:val="20"/>
          <w:szCs w:val="20"/>
        </w:rPr>
        <w:t>Five cardiometabolic abnormalities were included in the CCA construct. General obesity was defined as BMI ≥30 kg/m², consistent with the World Health Organization classification of obesity in adults (</w:t>
      </w:r>
      <w:r w:rsidRPr="008E76A1">
        <w:rPr>
          <w:rFonts w:ascii="Arial" w:hAnsi="Arial" w:cs="Arial"/>
          <w:sz w:val="20"/>
          <w:szCs w:val="20"/>
          <w:highlight w:val="yellow"/>
        </w:rPr>
        <w:t>World Health Organization, 2025</w:t>
      </w:r>
      <w:r w:rsidRPr="008E76A1">
        <w:rPr>
          <w:rFonts w:ascii="Arial" w:hAnsi="Arial" w:cs="Arial"/>
          <w:sz w:val="20"/>
          <w:szCs w:val="20"/>
        </w:rPr>
        <w:t>).</w:t>
      </w:r>
      <w:r w:rsidRPr="00C40275">
        <w:rPr>
          <w:rFonts w:ascii="Arial" w:hAnsi="Arial" w:cs="Arial"/>
          <w:sz w:val="20"/>
          <w:szCs w:val="20"/>
        </w:rPr>
        <w:t xml:space="preserve"> </w:t>
      </w:r>
      <w:r w:rsidRPr="008E76A1">
        <w:rPr>
          <w:rFonts w:ascii="Arial" w:hAnsi="Arial" w:cs="Arial"/>
          <w:sz w:val="20"/>
          <w:szCs w:val="20"/>
        </w:rPr>
        <w:t xml:space="preserve">Elevated blood pressure was defined as systolic blood pressure (SBP) ≥130 mmHg and/or diastolic blood pressure (DBP) </w:t>
      </w:r>
      <w:r w:rsidRPr="00CD7E3B">
        <w:rPr>
          <w:rFonts w:ascii="Arial" w:hAnsi="Arial" w:cs="Arial"/>
          <w:sz w:val="20"/>
          <w:szCs w:val="20"/>
          <w:highlight w:val="yellow"/>
        </w:rPr>
        <w:t>≥8</w:t>
      </w:r>
      <w:r w:rsidR="00FC71E7" w:rsidRPr="00CD7E3B">
        <w:rPr>
          <w:rFonts w:ascii="Arial" w:hAnsi="Arial" w:cs="Arial"/>
          <w:sz w:val="20"/>
          <w:szCs w:val="20"/>
          <w:highlight w:val="yellow"/>
        </w:rPr>
        <w:t>0</w:t>
      </w:r>
      <w:r w:rsidRPr="00CD7E3B">
        <w:rPr>
          <w:rFonts w:ascii="Arial" w:hAnsi="Arial" w:cs="Arial"/>
          <w:sz w:val="20"/>
          <w:szCs w:val="20"/>
          <w:highlight w:val="yellow"/>
        </w:rPr>
        <w:t xml:space="preserve"> mmHg.</w:t>
      </w:r>
      <w:r w:rsidRPr="008E76A1">
        <w:rPr>
          <w:rFonts w:ascii="Arial" w:hAnsi="Arial" w:cs="Arial"/>
          <w:sz w:val="20"/>
          <w:szCs w:val="20"/>
        </w:rPr>
        <w:t xml:space="preserve"> Participants with a previous diagnosis of hypertension or those currently receiving antihypertensive medication were also classified as having the blood-pressure abnormality irrespective of their measured blood pressure at the study visit. The </w:t>
      </w:r>
      <w:r w:rsidRPr="00CD7E3B">
        <w:rPr>
          <w:rFonts w:ascii="Arial" w:hAnsi="Arial" w:cs="Arial"/>
          <w:sz w:val="20"/>
          <w:szCs w:val="20"/>
          <w:highlight w:val="yellow"/>
        </w:rPr>
        <w:t>130/8</w:t>
      </w:r>
      <w:r w:rsidR="00FC71E7" w:rsidRPr="00CD7E3B">
        <w:rPr>
          <w:rFonts w:ascii="Arial" w:hAnsi="Arial" w:cs="Arial"/>
          <w:sz w:val="20"/>
          <w:szCs w:val="20"/>
          <w:highlight w:val="yellow"/>
        </w:rPr>
        <w:t>0</w:t>
      </w:r>
      <w:r w:rsidRPr="00CD7E3B">
        <w:rPr>
          <w:rFonts w:ascii="Arial" w:hAnsi="Arial" w:cs="Arial"/>
          <w:sz w:val="20"/>
          <w:szCs w:val="20"/>
          <w:highlight w:val="yellow"/>
        </w:rPr>
        <w:t xml:space="preserve"> mmHg</w:t>
      </w:r>
      <w:r w:rsidRPr="008E76A1">
        <w:rPr>
          <w:rFonts w:ascii="Arial" w:hAnsi="Arial" w:cs="Arial"/>
          <w:sz w:val="20"/>
          <w:szCs w:val="20"/>
        </w:rPr>
        <w:t xml:space="preserve"> threshold corresponds to the internationally </w:t>
      </w:r>
      <w:proofErr w:type="spellStart"/>
      <w:r w:rsidRPr="008E76A1">
        <w:rPr>
          <w:rFonts w:ascii="Arial" w:hAnsi="Arial" w:cs="Arial"/>
          <w:sz w:val="20"/>
          <w:szCs w:val="20"/>
        </w:rPr>
        <w:t>recognised</w:t>
      </w:r>
      <w:proofErr w:type="spellEnd"/>
      <w:r w:rsidRPr="008E76A1">
        <w:rPr>
          <w:rFonts w:ascii="Arial" w:hAnsi="Arial" w:cs="Arial"/>
          <w:sz w:val="20"/>
          <w:szCs w:val="20"/>
        </w:rPr>
        <w:t xml:space="preserve"> blood-pressure component used in cardiometabolic clustering and metabolic syndrome assessment (American Heart Association, 2023).</w:t>
      </w:r>
    </w:p>
    <w:p w14:paraId="3E87A0C2" w14:textId="77777777" w:rsidR="008E76A1" w:rsidRPr="008E76A1" w:rsidRDefault="008E76A1" w:rsidP="00BB1837">
      <w:pPr>
        <w:spacing w:after="120"/>
        <w:jc w:val="both"/>
        <w:rPr>
          <w:rFonts w:ascii="Arial" w:hAnsi="Arial" w:cs="Arial"/>
          <w:sz w:val="20"/>
          <w:szCs w:val="20"/>
        </w:rPr>
      </w:pPr>
      <w:proofErr w:type="spellStart"/>
      <w:r w:rsidRPr="008E76A1">
        <w:rPr>
          <w:rFonts w:ascii="Arial" w:hAnsi="Arial" w:cs="Arial"/>
          <w:sz w:val="20"/>
          <w:szCs w:val="20"/>
        </w:rPr>
        <w:t>Dysglycaemia</w:t>
      </w:r>
      <w:proofErr w:type="spellEnd"/>
      <w:r w:rsidRPr="008E76A1">
        <w:rPr>
          <w:rFonts w:ascii="Arial" w:hAnsi="Arial" w:cs="Arial"/>
          <w:sz w:val="20"/>
          <w:szCs w:val="20"/>
        </w:rPr>
        <w:t xml:space="preserve"> was defined as fasting blood glucose ≥5.6 mmol/L (100 mg/dL), a previous diagnosis of diabetes mellitus or current use of glucose-lowering medication. The fasting glucose threshold of 5.6 mmol/L corresponds to the </w:t>
      </w:r>
      <w:proofErr w:type="spellStart"/>
      <w:r w:rsidRPr="008E76A1">
        <w:rPr>
          <w:rFonts w:ascii="Arial" w:hAnsi="Arial" w:cs="Arial"/>
          <w:sz w:val="20"/>
          <w:szCs w:val="20"/>
        </w:rPr>
        <w:t>recognised</w:t>
      </w:r>
      <w:proofErr w:type="spellEnd"/>
      <w:r w:rsidRPr="008E76A1">
        <w:rPr>
          <w:rFonts w:ascii="Arial" w:hAnsi="Arial" w:cs="Arial"/>
          <w:sz w:val="20"/>
          <w:szCs w:val="20"/>
        </w:rPr>
        <w:t xml:space="preserve"> abnormal </w:t>
      </w:r>
      <w:proofErr w:type="spellStart"/>
      <w:r w:rsidRPr="008E76A1">
        <w:rPr>
          <w:rFonts w:ascii="Arial" w:hAnsi="Arial" w:cs="Arial"/>
          <w:sz w:val="20"/>
          <w:szCs w:val="20"/>
        </w:rPr>
        <w:t>glycaemic</w:t>
      </w:r>
      <w:proofErr w:type="spellEnd"/>
      <w:r w:rsidRPr="008E76A1">
        <w:rPr>
          <w:rFonts w:ascii="Arial" w:hAnsi="Arial" w:cs="Arial"/>
          <w:sz w:val="20"/>
          <w:szCs w:val="20"/>
        </w:rPr>
        <w:t xml:space="preserve"> threshold incorporated into established metabolic syndrome criteria (American Heart Association, 2023). </w:t>
      </w:r>
      <w:proofErr w:type="spellStart"/>
      <w:r w:rsidRPr="008E76A1">
        <w:rPr>
          <w:rFonts w:ascii="Arial" w:hAnsi="Arial" w:cs="Arial"/>
          <w:sz w:val="20"/>
          <w:szCs w:val="20"/>
        </w:rPr>
        <w:t>Hypertriglyceridaemia</w:t>
      </w:r>
      <w:proofErr w:type="spellEnd"/>
      <w:r w:rsidRPr="008E76A1">
        <w:rPr>
          <w:rFonts w:ascii="Arial" w:hAnsi="Arial" w:cs="Arial"/>
          <w:sz w:val="20"/>
          <w:szCs w:val="20"/>
        </w:rPr>
        <w:t xml:space="preserve"> was defined as fasting triglycerides ≥1.7 mmol/L (150 mg/dL), while reduced HDL-C was defined using sex-specific cut-offs of &lt;1.03 mmol/L (40 mg/dL) in men and &lt;1.29 mmol/L (50 mg/dL) in women. These thresholds are consistent with internationally </w:t>
      </w:r>
      <w:proofErr w:type="spellStart"/>
      <w:r w:rsidRPr="008E76A1">
        <w:rPr>
          <w:rFonts w:ascii="Arial" w:hAnsi="Arial" w:cs="Arial"/>
          <w:sz w:val="20"/>
          <w:szCs w:val="20"/>
        </w:rPr>
        <w:t>recognised</w:t>
      </w:r>
      <w:proofErr w:type="spellEnd"/>
      <w:r w:rsidRPr="008E76A1">
        <w:rPr>
          <w:rFonts w:ascii="Arial" w:hAnsi="Arial" w:cs="Arial"/>
          <w:sz w:val="20"/>
          <w:szCs w:val="20"/>
        </w:rPr>
        <w:t xml:space="preserve"> lipid criteria used to identify cardiometabolic abnormalities (American Heart Association, 2023). </w:t>
      </w:r>
    </w:p>
    <w:p w14:paraId="742F05A5" w14:textId="77777777" w:rsidR="008E76A1" w:rsidRPr="00C40275" w:rsidRDefault="008E76A1" w:rsidP="00BB1837">
      <w:pPr>
        <w:spacing w:after="120"/>
        <w:jc w:val="both"/>
        <w:rPr>
          <w:rFonts w:ascii="Arial" w:hAnsi="Arial" w:cs="Arial"/>
          <w:sz w:val="20"/>
          <w:szCs w:val="20"/>
        </w:rPr>
      </w:pPr>
      <w:r w:rsidRPr="008E76A1">
        <w:rPr>
          <w:rFonts w:ascii="Arial" w:hAnsi="Arial" w:cs="Arial"/>
          <w:sz w:val="20"/>
          <w:szCs w:val="20"/>
        </w:rPr>
        <w:t>Each of the five abnormalities</w:t>
      </w:r>
      <w:r w:rsidR="0079615F">
        <w:rPr>
          <w:rFonts w:ascii="Arial" w:hAnsi="Arial" w:cs="Arial"/>
          <w:sz w:val="20"/>
          <w:szCs w:val="20"/>
        </w:rPr>
        <w:t xml:space="preserve">, </w:t>
      </w:r>
      <w:r w:rsidRPr="008E76A1">
        <w:rPr>
          <w:rFonts w:ascii="Arial" w:hAnsi="Arial" w:cs="Arial"/>
          <w:sz w:val="20"/>
          <w:szCs w:val="20"/>
        </w:rPr>
        <w:t xml:space="preserve">general obesity, elevated blood pressure, </w:t>
      </w:r>
      <w:proofErr w:type="spellStart"/>
      <w:r w:rsidRPr="008E76A1">
        <w:rPr>
          <w:rFonts w:ascii="Arial" w:hAnsi="Arial" w:cs="Arial"/>
          <w:sz w:val="20"/>
          <w:szCs w:val="20"/>
        </w:rPr>
        <w:t>dysglycaemia</w:t>
      </w:r>
      <w:proofErr w:type="spellEnd"/>
      <w:r w:rsidRPr="008E76A1">
        <w:rPr>
          <w:rFonts w:ascii="Arial" w:hAnsi="Arial" w:cs="Arial"/>
          <w:sz w:val="20"/>
          <w:szCs w:val="20"/>
        </w:rPr>
        <w:t xml:space="preserve">, </w:t>
      </w:r>
      <w:proofErr w:type="spellStart"/>
      <w:r w:rsidRPr="008E76A1">
        <w:rPr>
          <w:rFonts w:ascii="Arial" w:hAnsi="Arial" w:cs="Arial"/>
          <w:sz w:val="20"/>
          <w:szCs w:val="20"/>
        </w:rPr>
        <w:t>hypertriglyceridaemia</w:t>
      </w:r>
      <w:proofErr w:type="spellEnd"/>
      <w:r w:rsidRPr="008E76A1">
        <w:rPr>
          <w:rFonts w:ascii="Arial" w:hAnsi="Arial" w:cs="Arial"/>
          <w:sz w:val="20"/>
          <w:szCs w:val="20"/>
        </w:rPr>
        <w:t xml:space="preserve"> and reduced HDL-C</w:t>
      </w:r>
      <w:r w:rsidR="0079615F">
        <w:rPr>
          <w:rFonts w:ascii="Arial" w:hAnsi="Arial" w:cs="Arial"/>
          <w:sz w:val="20"/>
          <w:szCs w:val="20"/>
        </w:rPr>
        <w:t xml:space="preserve">, </w:t>
      </w:r>
      <w:r w:rsidRPr="008E76A1">
        <w:rPr>
          <w:rFonts w:ascii="Arial" w:hAnsi="Arial" w:cs="Arial"/>
          <w:sz w:val="20"/>
          <w:szCs w:val="20"/>
        </w:rPr>
        <w:t>was coded dichotomously as absent (0) or present (1). The values were subsequently summed for each participant to generate an individual CCA burden score ranging from 0 to 5. This approach allowed cardiometabolic burden to be evaluated as the number of co-occurring abnormalities rather than as isolated risk factors.</w:t>
      </w:r>
      <w:r w:rsidR="00DB3746">
        <w:rPr>
          <w:rFonts w:ascii="Arial" w:hAnsi="Arial" w:cs="Arial"/>
          <w:sz w:val="20"/>
          <w:szCs w:val="20"/>
        </w:rPr>
        <w:t xml:space="preserve"> P</w:t>
      </w:r>
      <w:r w:rsidRPr="008E76A1">
        <w:rPr>
          <w:rFonts w:ascii="Arial" w:hAnsi="Arial" w:cs="Arial"/>
          <w:sz w:val="20"/>
          <w:szCs w:val="20"/>
        </w:rPr>
        <w:t>articipants with zero or one abnormality were classified as having lower CCA burden, whereas participants with two or more abnormalities were classified as having higher CCA burden. The ≥2 threshold was selected to represent the presence of true clustering, that is, the coexistence of at least two distinct cardiometabolic abnormalities, rather than an isolated abnormality. It was therefore used as an epidemiological burden threshold and not as a diagnostic cut-off for metabolic syndrome. In addition, the presence of three or more abnormalities (CCA ≥3) was examined as a secondary higher-burden phenotype to determine whether the observed dietary-pattern associations persisted when a more stringent level of cardiometabolic clustering was considered.</w:t>
      </w:r>
    </w:p>
    <w:p w14:paraId="4AF87C9B" w14:textId="77777777" w:rsidR="00D065D9" w:rsidRPr="00B85224" w:rsidRDefault="00000000">
      <w:pPr>
        <w:spacing w:before="160" w:after="100"/>
        <w:rPr>
          <w:rFonts w:ascii="Arial" w:hAnsi="Arial" w:cs="Arial"/>
        </w:rPr>
      </w:pPr>
      <w:r w:rsidRPr="00B85224">
        <w:rPr>
          <w:rFonts w:ascii="Arial" w:hAnsi="Arial" w:cs="Arial"/>
          <w:b/>
          <w:sz w:val="22"/>
        </w:rPr>
        <w:t>2.6 Derivation and Retention of Dietary Patterns</w:t>
      </w:r>
    </w:p>
    <w:p w14:paraId="39D13547" w14:textId="77777777" w:rsidR="00DB3746" w:rsidRDefault="00000000" w:rsidP="00BB1837">
      <w:pPr>
        <w:spacing w:after="120"/>
        <w:jc w:val="both"/>
        <w:rPr>
          <w:rFonts w:ascii="Arial" w:hAnsi="Arial" w:cs="Arial"/>
          <w:sz w:val="20"/>
        </w:rPr>
      </w:pPr>
      <w:r w:rsidRPr="00B85224">
        <w:rPr>
          <w:rFonts w:ascii="Arial" w:hAnsi="Arial" w:cs="Arial"/>
          <w:sz w:val="20"/>
        </w:rPr>
        <w:t>Dietary-pattern analysis was performed on the 24 converted NiDST food-group intake variables. Each food-group variable was standardised to a z-score (mean 0, SD 1) before principal component analysis (PCA) so that variables measured on the same frequency scale contributed according to their correlation structure rather than absolute variance. Sampling adequacy was assessed using the Kaiser–Meyer–Olkin statistic and Bartlett’s test of sphericity. Components were extracted from the correlation matrix and orthogonally rotated using varimax rotation. Component retention was evaluated using five prespecified criteria: eigenvalues &gt;1.0 (Kaiser criterion), visual inspection of the scree plot, parallel analysis, cumulative variance explained, and nutritional interpretability/stability of the rotated solution. Parallel analysis was performed using 1,000 randomly generated normally distributed datasets with the same sample size (n=</w:t>
      </w:r>
      <w:r w:rsidR="00DB3746">
        <w:rPr>
          <w:rFonts w:ascii="Arial" w:hAnsi="Arial" w:cs="Arial"/>
          <w:sz w:val="20"/>
        </w:rPr>
        <w:t>477</w:t>
      </w:r>
      <w:r w:rsidRPr="00B85224">
        <w:rPr>
          <w:rFonts w:ascii="Arial" w:hAnsi="Arial" w:cs="Arial"/>
          <w:sz w:val="20"/>
        </w:rPr>
        <w:t xml:space="preserve">) and number of dietary variables (24); an observed component was considered supported when its eigenvalue exceeded the corresponding 95th percentile eigenvalue from the simulated datasets. </w:t>
      </w:r>
    </w:p>
    <w:p w14:paraId="29F5BF02" w14:textId="77777777" w:rsidR="00D065D9" w:rsidRPr="00B85224" w:rsidRDefault="00000000">
      <w:pPr>
        <w:spacing w:before="160" w:after="100"/>
        <w:rPr>
          <w:rFonts w:ascii="Arial" w:hAnsi="Arial" w:cs="Arial"/>
        </w:rPr>
      </w:pPr>
      <w:r w:rsidRPr="00B85224">
        <w:rPr>
          <w:rFonts w:ascii="Arial" w:hAnsi="Arial" w:cs="Arial"/>
          <w:b/>
          <w:sz w:val="22"/>
        </w:rPr>
        <w:t>2.7 Statistical Analysis</w:t>
      </w:r>
    </w:p>
    <w:p w14:paraId="53AD7DE0" w14:textId="77777777" w:rsidR="00D065D9" w:rsidRPr="00B85224" w:rsidRDefault="00000000" w:rsidP="00BB1837">
      <w:pPr>
        <w:spacing w:after="120"/>
        <w:jc w:val="both"/>
        <w:rPr>
          <w:rFonts w:ascii="Arial" w:hAnsi="Arial" w:cs="Arial"/>
        </w:rPr>
      </w:pPr>
      <w:r w:rsidRPr="00B85224">
        <w:rPr>
          <w:rFonts w:ascii="Arial" w:hAnsi="Arial" w:cs="Arial"/>
          <w:sz w:val="20"/>
        </w:rPr>
        <w:t xml:space="preserve">All statistical analyses were performed in R version 4.4.2 within the RStudio integrated development environment. The final locked complete-case </w:t>
      </w:r>
      <w:r w:rsidRPr="00594DE4">
        <w:rPr>
          <w:rFonts w:ascii="Arial" w:hAnsi="Arial" w:cs="Arial"/>
          <w:sz w:val="20"/>
          <w:szCs w:val="20"/>
        </w:rPr>
        <w:t>dataset (n=</w:t>
      </w:r>
      <w:r w:rsidR="006E144F" w:rsidRPr="00594DE4">
        <w:rPr>
          <w:rFonts w:ascii="Arial" w:hAnsi="Arial" w:cs="Arial"/>
          <w:sz w:val="20"/>
          <w:szCs w:val="20"/>
        </w:rPr>
        <w:t>477</w:t>
      </w:r>
      <w:r w:rsidRPr="00594DE4">
        <w:rPr>
          <w:rFonts w:ascii="Arial" w:hAnsi="Arial" w:cs="Arial"/>
          <w:sz w:val="20"/>
          <w:szCs w:val="20"/>
        </w:rPr>
        <w:t>) was</w:t>
      </w:r>
      <w:r w:rsidRPr="00B85224">
        <w:rPr>
          <w:rFonts w:ascii="Arial" w:hAnsi="Arial" w:cs="Arial"/>
          <w:sz w:val="20"/>
        </w:rPr>
        <w:t xml:space="preserve"> </w:t>
      </w:r>
      <w:proofErr w:type="spellStart"/>
      <w:r w:rsidRPr="00B85224">
        <w:rPr>
          <w:rFonts w:ascii="Arial" w:hAnsi="Arial" w:cs="Arial"/>
          <w:sz w:val="20"/>
        </w:rPr>
        <w:t>analysed</w:t>
      </w:r>
      <w:proofErr w:type="spellEnd"/>
      <w:r w:rsidRPr="00B85224">
        <w:rPr>
          <w:rFonts w:ascii="Arial" w:hAnsi="Arial" w:cs="Arial"/>
          <w:sz w:val="20"/>
        </w:rPr>
        <w:t xml:space="preserve"> without statistical imputation. Age, BMI, SBP and </w:t>
      </w:r>
      <w:r w:rsidRPr="00B85224">
        <w:rPr>
          <w:rFonts w:ascii="Arial" w:hAnsi="Arial" w:cs="Arial"/>
          <w:sz w:val="20"/>
        </w:rPr>
        <w:lastRenderedPageBreak/>
        <w:t xml:space="preserve">DBP were </w:t>
      </w:r>
      <w:proofErr w:type="spellStart"/>
      <w:r w:rsidRPr="00B85224">
        <w:rPr>
          <w:rFonts w:ascii="Arial" w:hAnsi="Arial" w:cs="Arial"/>
          <w:sz w:val="20"/>
        </w:rPr>
        <w:t>summarised</w:t>
      </w:r>
      <w:proofErr w:type="spellEnd"/>
      <w:r w:rsidRPr="00B85224">
        <w:rPr>
          <w:rFonts w:ascii="Arial" w:hAnsi="Arial" w:cs="Arial"/>
          <w:sz w:val="20"/>
        </w:rPr>
        <w:t xml:space="preserve"> as mean ± SD and compared between lower and higher CCA burden using Welch’s two-sample t-test. Biochemical variables and converted NiDST food-group frequencies were compared using two-sided Mann–Whitney U tests; food-frequency variables were reported as mean ± SD and median (IQR). Categorical variables were reported as n (%) and compared using Pearson’s chi-square test, with Fisher’s exact test for sparse 2×2 comparisons.</w:t>
      </w:r>
    </w:p>
    <w:p w14:paraId="41C2E586" w14:textId="77777777" w:rsidR="00D065D9" w:rsidRPr="00B85224" w:rsidRDefault="00000000" w:rsidP="00BB1837">
      <w:pPr>
        <w:spacing w:after="120"/>
        <w:jc w:val="both"/>
        <w:rPr>
          <w:rFonts w:ascii="Arial" w:hAnsi="Arial" w:cs="Arial"/>
        </w:rPr>
      </w:pPr>
      <w:r w:rsidRPr="00B85224">
        <w:rPr>
          <w:rFonts w:ascii="Arial" w:hAnsi="Arial" w:cs="Arial"/>
          <w:sz w:val="20"/>
        </w:rPr>
        <w:t xml:space="preserve">NiDST weekly frequency categories were converted to estimated servings/day using the midpoint of each category divided by seven, consistent with the published validation procedure (Batubo et al., 2024a). Thus, rarely/never=0, 1–2 times/week=0.21, 3–5 times/week=0.57 and daily=1.00 servings/day. The 24 converted food-group variables were z-standardised before PCA. Sampling adequacy was assessed using the Kaiser–Meyer–Olkin statistic and Bartlett’s test of sphericity. PCA was performed on the correlation matrix followed by orthogonal varimax rotation. Component retention considered the Kaiser criterion, scree plot, cumulative variance, parallel analysis, interpretability and bootstrap stability. Parallel analysis used 1,000 random datasets of </w:t>
      </w:r>
      <w:r w:rsidR="00DB3746">
        <w:rPr>
          <w:rFonts w:ascii="Arial" w:hAnsi="Arial" w:cs="Arial"/>
          <w:sz w:val="20"/>
        </w:rPr>
        <w:t>477</w:t>
      </w:r>
      <w:r w:rsidRPr="00B85224">
        <w:rPr>
          <w:rFonts w:ascii="Arial" w:hAnsi="Arial" w:cs="Arial"/>
          <w:sz w:val="20"/>
        </w:rPr>
        <w:t>×24 variables and retained components whose observed eigenvalues exceeded the corresponding 95th percentile simulated eigenvalues. Three-, four-, five- and six-component solutions were compared. Bootstrap stability used 300 resamples with replacement, with components matched by maximum absolute correlation between loading vectors. Foods with |loading|≥0.40 defined pattern labels; complete standardised rotated factor scores were the primary exposures.</w:t>
      </w:r>
    </w:p>
    <w:p w14:paraId="6CEC15C7" w14:textId="77777777" w:rsidR="00D065D9" w:rsidRPr="00B85224" w:rsidRDefault="00000000" w:rsidP="00BB1837">
      <w:pPr>
        <w:spacing w:after="120"/>
        <w:jc w:val="both"/>
        <w:rPr>
          <w:rFonts w:ascii="Arial" w:hAnsi="Arial" w:cs="Arial"/>
        </w:rPr>
      </w:pPr>
      <w:r w:rsidRPr="00B85224">
        <w:rPr>
          <w:rFonts w:ascii="Arial" w:hAnsi="Arial" w:cs="Arial"/>
          <w:sz w:val="20"/>
        </w:rPr>
        <w:t xml:space="preserve">Robust Poisson </w:t>
      </w:r>
      <w:proofErr w:type="spellStart"/>
      <w:r w:rsidRPr="00B85224">
        <w:rPr>
          <w:rFonts w:ascii="Arial" w:hAnsi="Arial" w:cs="Arial"/>
          <w:sz w:val="20"/>
        </w:rPr>
        <w:t>generalised</w:t>
      </w:r>
      <w:proofErr w:type="spellEnd"/>
      <w:r w:rsidRPr="00B85224">
        <w:rPr>
          <w:rFonts w:ascii="Arial" w:hAnsi="Arial" w:cs="Arial"/>
          <w:sz w:val="20"/>
        </w:rPr>
        <w:t xml:space="preserve"> linear models with a log link and heteroskedasticity-robust sandwich standard errors estimated prevalence ratios because higher CCA burden was common. Pattern scores were entered per 1-SD increase. The primary model mutually included all three pattern scores and adjusted a priori for age (per 10-year increase), sex, educational attainment and ethnicity. The extended model additionally adjusted for marital status and economically active employment. The same primary adjustment structure was used for CCA ≥3 and each individual CCA component. High adherence was defined as the highest tertile of a pattern score, </w:t>
      </w:r>
      <w:r w:rsidRPr="00B85224">
        <w:rPr>
          <w:rFonts w:ascii="Arial" w:hAnsi="Arial" w:cs="Arial"/>
          <w:sz w:val="20"/>
          <w:highlight w:val="yellow"/>
        </w:rPr>
        <w:t>and the predominant pattern was defined as the participant’s highest standardised PCA factor score</w:t>
      </w:r>
      <w:r w:rsidRPr="00B85224">
        <w:rPr>
          <w:rFonts w:ascii="Arial" w:hAnsi="Arial" w:cs="Arial"/>
          <w:sz w:val="20"/>
        </w:rPr>
        <w:t xml:space="preserve">. Restricted loading-weighted scores using only |loading|≥0.40 foods were </w:t>
      </w:r>
      <w:proofErr w:type="spellStart"/>
      <w:r w:rsidRPr="00B85224">
        <w:rPr>
          <w:rFonts w:ascii="Arial" w:hAnsi="Arial" w:cs="Arial"/>
          <w:sz w:val="20"/>
        </w:rPr>
        <w:t>analysed</w:t>
      </w:r>
      <w:proofErr w:type="spellEnd"/>
      <w:r w:rsidRPr="00B85224">
        <w:rPr>
          <w:rFonts w:ascii="Arial" w:hAnsi="Arial" w:cs="Arial"/>
          <w:sz w:val="20"/>
        </w:rPr>
        <w:t xml:space="preserve"> as a sensitivity analysis. Statistical significance was set at P&lt;.05; exact P values were reported except P&lt;.001, and effect estimates with 95% CIs were </w:t>
      </w:r>
      <w:proofErr w:type="spellStart"/>
      <w:r w:rsidRPr="00B85224">
        <w:rPr>
          <w:rFonts w:ascii="Arial" w:hAnsi="Arial" w:cs="Arial"/>
          <w:sz w:val="20"/>
        </w:rPr>
        <w:t>prioritised</w:t>
      </w:r>
      <w:proofErr w:type="spellEnd"/>
      <w:r w:rsidRPr="00B85224">
        <w:rPr>
          <w:rFonts w:ascii="Arial" w:hAnsi="Arial" w:cs="Arial"/>
          <w:sz w:val="20"/>
        </w:rPr>
        <w:t>.</w:t>
      </w:r>
    </w:p>
    <w:p w14:paraId="380C53CD" w14:textId="77777777" w:rsidR="00D065D9" w:rsidRPr="00B85224" w:rsidRDefault="00000000">
      <w:pPr>
        <w:spacing w:before="160" w:after="100"/>
        <w:rPr>
          <w:rFonts w:ascii="Arial" w:hAnsi="Arial" w:cs="Arial"/>
        </w:rPr>
      </w:pPr>
      <w:r w:rsidRPr="00B85224">
        <w:rPr>
          <w:rFonts w:ascii="Arial" w:hAnsi="Arial" w:cs="Arial"/>
          <w:b/>
          <w:sz w:val="22"/>
        </w:rPr>
        <w:t>2.9 Patient and Public Involvement</w:t>
      </w:r>
    </w:p>
    <w:p w14:paraId="4BF7B783" w14:textId="77777777" w:rsidR="00D065D9" w:rsidRPr="00B85224" w:rsidRDefault="00000000" w:rsidP="00BB1837">
      <w:pPr>
        <w:spacing w:after="120"/>
        <w:jc w:val="both"/>
        <w:rPr>
          <w:rFonts w:ascii="Arial" w:hAnsi="Arial" w:cs="Arial"/>
        </w:rPr>
      </w:pPr>
      <w:r w:rsidRPr="00B85224">
        <w:rPr>
          <w:rFonts w:ascii="Arial" w:hAnsi="Arial" w:cs="Arial"/>
          <w:sz w:val="20"/>
        </w:rPr>
        <w:t xml:space="preserve">Community leaders and local health authorities were engaged before recruitment, and </w:t>
      </w:r>
      <w:proofErr w:type="spellStart"/>
      <w:r w:rsidRPr="00B85224">
        <w:rPr>
          <w:rFonts w:ascii="Arial" w:hAnsi="Arial" w:cs="Arial"/>
          <w:sz w:val="20"/>
        </w:rPr>
        <w:t>sensitisation</w:t>
      </w:r>
      <w:proofErr w:type="spellEnd"/>
      <w:r w:rsidRPr="00B85224">
        <w:rPr>
          <w:rFonts w:ascii="Arial" w:hAnsi="Arial" w:cs="Arial"/>
          <w:sz w:val="20"/>
        </w:rPr>
        <w:t xml:space="preserve"> meetings and announcements were used to explain study objectives, procedures and anticipated benefits. </w:t>
      </w:r>
    </w:p>
    <w:p w14:paraId="794806D6" w14:textId="77777777" w:rsidR="00D065D9" w:rsidRPr="00B85224" w:rsidRDefault="00000000">
      <w:pPr>
        <w:spacing w:before="160" w:after="100"/>
        <w:rPr>
          <w:rFonts w:ascii="Arial" w:hAnsi="Arial" w:cs="Arial"/>
        </w:rPr>
      </w:pPr>
      <w:r w:rsidRPr="00B85224">
        <w:rPr>
          <w:rFonts w:ascii="Arial" w:hAnsi="Arial" w:cs="Arial"/>
          <w:b/>
          <w:sz w:val="22"/>
        </w:rPr>
        <w:t>3. RESULTS AND DISCUSSION</w:t>
      </w:r>
    </w:p>
    <w:p w14:paraId="5B3B2F4F" w14:textId="77777777" w:rsidR="00D065D9" w:rsidRPr="00B85224" w:rsidRDefault="00000000">
      <w:pPr>
        <w:spacing w:before="160" w:after="100"/>
        <w:rPr>
          <w:rFonts w:ascii="Arial" w:hAnsi="Arial" w:cs="Arial"/>
        </w:rPr>
      </w:pPr>
      <w:r w:rsidRPr="00B85224">
        <w:rPr>
          <w:rFonts w:ascii="Arial" w:hAnsi="Arial" w:cs="Arial"/>
          <w:b/>
          <w:sz w:val="22"/>
        </w:rPr>
        <w:t>3.1 Results</w:t>
      </w:r>
    </w:p>
    <w:p w14:paraId="0892D560" w14:textId="77777777" w:rsidR="00D065D9" w:rsidRPr="00B85224" w:rsidRDefault="00000000">
      <w:pPr>
        <w:spacing w:before="160" w:after="100"/>
        <w:rPr>
          <w:rFonts w:ascii="Arial" w:hAnsi="Arial" w:cs="Arial"/>
        </w:rPr>
      </w:pPr>
      <w:r w:rsidRPr="00B85224">
        <w:rPr>
          <w:rFonts w:ascii="Arial" w:hAnsi="Arial" w:cs="Arial"/>
          <w:b/>
          <w:sz w:val="20"/>
        </w:rPr>
        <w:t>3.1.1 Participant Characteristics and CCA Burden</w:t>
      </w:r>
    </w:p>
    <w:p w14:paraId="04107807" w14:textId="77777777" w:rsidR="00A23F4D" w:rsidRPr="00B85224" w:rsidRDefault="00A23F4D" w:rsidP="00A23F4D">
      <w:pPr>
        <w:spacing w:after="120"/>
        <w:jc w:val="both"/>
        <w:rPr>
          <w:rFonts w:ascii="Arial" w:hAnsi="Arial" w:cs="Arial"/>
          <w:sz w:val="20"/>
        </w:rPr>
      </w:pPr>
      <w:r w:rsidRPr="00B85224">
        <w:rPr>
          <w:rFonts w:ascii="Arial" w:hAnsi="Arial" w:cs="Arial"/>
          <w:sz w:val="20"/>
        </w:rPr>
        <w:t xml:space="preserve">Table 1 presents the sociodemographic characteristics of the 477 adults according to clustered cardiometabolic abnormality (CCA) burden in Ikwerre Local Government Area, Rivers State, Nigeria. Overall, 180 (37.7%) participants had a lower CCA burden, whereas 297 (62.3%) had a higher CCA burden. Participants with a higher CCA burden were older than those with a lower burden, with mean ages of 58.42 ± 13.44 years and 53.51 ± 16.84 years, respectively (p=.001). Females constituted the majority of the study population, accounting for 279 (58.5%) participants overall, including 180 (60.6%) of those with higher CCA burden and 99 (55.0%) of those with lower CCA burden. However, the distribution of CCA burden did not differ significantly by sex (p=.268). Educational level differed significantly between the two CCA groups (p&lt;.001). Participants with no formal schooling were more frequently represented in the higher CCA burden group than in the lower burden group (15.2% vs 5.0%), whereas secondary education was more common among those with lower CCA burden (50.0% vs 30.3%). Marital status also showed a significant association with CCA burden (p&lt;.001). In particular, widowed participants constituted 45.5% of the higher CCA burden group compared with 25.0% of the lower burden group, whereas all never-married participants were </w:t>
      </w:r>
      <w:r w:rsidRPr="00B85224">
        <w:rPr>
          <w:rFonts w:ascii="Arial" w:hAnsi="Arial" w:cs="Arial"/>
          <w:sz w:val="20"/>
          <w:highlight w:val="yellow"/>
        </w:rPr>
        <w:t>classified in the lower CCA burden group</w:t>
      </w:r>
      <w:r w:rsidRPr="00B85224">
        <w:rPr>
          <w:rFonts w:ascii="Arial" w:hAnsi="Arial" w:cs="Arial"/>
          <w:sz w:val="20"/>
        </w:rPr>
        <w:t>.</w:t>
      </w:r>
    </w:p>
    <w:p w14:paraId="06D96835" w14:textId="77777777" w:rsidR="00A23F4D" w:rsidRPr="00B85224" w:rsidRDefault="00A23F4D" w:rsidP="00A23F4D">
      <w:pPr>
        <w:spacing w:after="120"/>
        <w:jc w:val="both"/>
        <w:rPr>
          <w:rFonts w:ascii="Arial" w:hAnsi="Arial" w:cs="Arial"/>
          <w:sz w:val="20"/>
        </w:rPr>
      </w:pPr>
      <w:r w:rsidRPr="00B85224">
        <w:rPr>
          <w:rFonts w:ascii="Arial" w:hAnsi="Arial" w:cs="Arial"/>
          <w:sz w:val="20"/>
        </w:rPr>
        <w:t xml:space="preserve">Ethnicity was significantly associated with CCA burden (p=.005). Ikwerre participants remained the predominant ethnic group in both categories, although they accounted for a larger proportion of the lower burden group than the higher burden group (85.0% vs 72.7%). Employment status also differed significantly between groups (p&lt;.001). Unemployment was more common among participants with higher CCA burden than among those with lower burden (30.3% vs 15.0%), while self-employment was relatively more frequent among those with lower CCA burden (35.0% vs 27.3%). Household size was significantly associated with CCA burden (p&lt;.001). Participants living in households with more than five persons constituted 51.5% of the higher CCA burden group compared with 40.0% of the lower burden group. Conversely, living alone was observed only among participants with lower CCA burden. Overall, higher CCA burden was more frequently observed among older adults and varied significantly according </w:t>
      </w:r>
      <w:r w:rsidRPr="00B85224">
        <w:rPr>
          <w:rFonts w:ascii="Arial" w:hAnsi="Arial" w:cs="Arial"/>
          <w:sz w:val="20"/>
        </w:rPr>
        <w:lastRenderedPageBreak/>
        <w:t>to educational level, marital status, ethnicity, employment status, and household size, while no significant difference was observed by sex.</w:t>
      </w:r>
    </w:p>
    <w:p w14:paraId="5D7F6D8D" w14:textId="77777777" w:rsidR="00D065D9" w:rsidRPr="00B85224" w:rsidRDefault="00000000">
      <w:pPr>
        <w:spacing w:before="120" w:after="80"/>
        <w:rPr>
          <w:rFonts w:ascii="Arial" w:hAnsi="Arial" w:cs="Arial"/>
          <w:b/>
          <w:sz w:val="20"/>
          <w:szCs w:val="20"/>
        </w:rPr>
      </w:pPr>
      <w:r w:rsidRPr="00B85224">
        <w:rPr>
          <w:rFonts w:ascii="Arial" w:hAnsi="Arial" w:cs="Arial"/>
          <w:b/>
          <w:sz w:val="20"/>
          <w:szCs w:val="20"/>
        </w:rPr>
        <w:t>Table 1. Sociodemographic characteristics of participants according to CCA burden</w:t>
      </w:r>
      <w:r w:rsidR="00B137FA" w:rsidRPr="00B85224">
        <w:rPr>
          <w:rFonts w:ascii="Arial" w:hAnsi="Arial" w:cs="Arial"/>
          <w:b/>
          <w:sz w:val="20"/>
          <w:szCs w:val="20"/>
        </w:rPr>
        <w:t xml:space="preserve"> Among Adults in Ikwerre Local Government Area, Rivers State, Nigeria</w:t>
      </w:r>
    </w:p>
    <w:tbl>
      <w:tblPr>
        <w:tblStyle w:val="TableGrid"/>
        <w:tblW w:w="0" w:type="auto"/>
        <w:tblInd w:w="53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1"/>
        <w:gridCol w:w="1530"/>
        <w:gridCol w:w="1801"/>
        <w:gridCol w:w="2071"/>
        <w:gridCol w:w="963"/>
      </w:tblGrid>
      <w:tr w:rsidR="00DE2CEE" w:rsidRPr="00B85224" w14:paraId="62211BD8" w14:textId="77777777" w:rsidTr="00A23F4D">
        <w:tc>
          <w:tcPr>
            <w:tcW w:w="3260" w:type="dxa"/>
            <w:tcBorders>
              <w:top w:val="single" w:sz="4" w:space="0" w:color="auto"/>
              <w:bottom w:val="single" w:sz="4" w:space="0" w:color="auto"/>
            </w:tcBorders>
            <w:vAlign w:val="center"/>
          </w:tcPr>
          <w:p w14:paraId="7C9AB22E" w14:textId="77777777" w:rsidR="00DE2CEE" w:rsidRPr="00B85224" w:rsidRDefault="00DE2CEE" w:rsidP="00DE2CEE">
            <w:pPr>
              <w:pStyle w:val="p1"/>
              <w:spacing w:before="0" w:beforeAutospacing="0" w:after="0" w:afterAutospacing="0"/>
              <w:jc w:val="center"/>
              <w:rPr>
                <w:rFonts w:ascii="Arial" w:hAnsi="Arial" w:cs="Arial"/>
                <w:b/>
                <w:bCs/>
                <w:sz w:val="20"/>
                <w:szCs w:val="20"/>
              </w:rPr>
            </w:pPr>
            <w:r w:rsidRPr="00B85224">
              <w:rPr>
                <w:rFonts w:ascii="Arial" w:hAnsi="Arial" w:cs="Arial"/>
                <w:b/>
                <w:bCs/>
                <w:sz w:val="20"/>
                <w:szCs w:val="20"/>
              </w:rPr>
              <w:t>Characteristic</w:t>
            </w:r>
          </w:p>
        </w:tc>
        <w:tc>
          <w:tcPr>
            <w:tcW w:w="1559" w:type="dxa"/>
            <w:tcBorders>
              <w:top w:val="single" w:sz="4" w:space="0" w:color="auto"/>
              <w:bottom w:val="single" w:sz="4" w:space="0" w:color="auto"/>
            </w:tcBorders>
            <w:vAlign w:val="center"/>
          </w:tcPr>
          <w:p w14:paraId="55B2877F" w14:textId="77777777" w:rsidR="00A23F4D" w:rsidRPr="00B85224" w:rsidRDefault="00DE2CEE" w:rsidP="00DE2CEE">
            <w:pPr>
              <w:pStyle w:val="p1"/>
              <w:spacing w:before="0" w:beforeAutospacing="0" w:after="0" w:afterAutospacing="0"/>
              <w:jc w:val="center"/>
              <w:rPr>
                <w:rFonts w:ascii="Arial" w:hAnsi="Arial" w:cs="Arial"/>
                <w:b/>
                <w:bCs/>
                <w:sz w:val="20"/>
                <w:szCs w:val="20"/>
              </w:rPr>
            </w:pPr>
            <w:r w:rsidRPr="00B85224">
              <w:rPr>
                <w:rFonts w:ascii="Arial" w:hAnsi="Arial" w:cs="Arial"/>
                <w:b/>
                <w:bCs/>
                <w:sz w:val="20"/>
                <w:szCs w:val="20"/>
              </w:rPr>
              <w:t xml:space="preserve">Overall </w:t>
            </w:r>
          </w:p>
          <w:p w14:paraId="3D04E57C" w14:textId="77777777" w:rsidR="00DE2CEE" w:rsidRPr="00B85224" w:rsidRDefault="00DE2CEE" w:rsidP="00DE2CEE">
            <w:pPr>
              <w:pStyle w:val="p1"/>
              <w:spacing w:before="0" w:beforeAutospacing="0" w:after="0" w:afterAutospacing="0"/>
              <w:jc w:val="center"/>
              <w:rPr>
                <w:rFonts w:ascii="Arial" w:hAnsi="Arial" w:cs="Arial"/>
                <w:b/>
                <w:bCs/>
                <w:sz w:val="20"/>
                <w:szCs w:val="20"/>
              </w:rPr>
            </w:pPr>
            <w:r w:rsidRPr="00B85224">
              <w:rPr>
                <w:rFonts w:ascii="Arial" w:hAnsi="Arial" w:cs="Arial"/>
                <w:b/>
                <w:bCs/>
                <w:sz w:val="20"/>
                <w:szCs w:val="20"/>
              </w:rPr>
              <w:t>(n=477)</w:t>
            </w:r>
          </w:p>
        </w:tc>
        <w:tc>
          <w:tcPr>
            <w:tcW w:w="1843" w:type="dxa"/>
            <w:tcBorders>
              <w:top w:val="single" w:sz="4" w:space="0" w:color="auto"/>
              <w:bottom w:val="single" w:sz="4" w:space="0" w:color="auto"/>
            </w:tcBorders>
            <w:vAlign w:val="center"/>
          </w:tcPr>
          <w:p w14:paraId="7FE4916C" w14:textId="77777777" w:rsidR="00DE2CEE" w:rsidRPr="00B85224" w:rsidRDefault="00DE2CEE" w:rsidP="00DE2CEE">
            <w:pPr>
              <w:pStyle w:val="p1"/>
              <w:spacing w:before="0" w:beforeAutospacing="0" w:after="0" w:afterAutospacing="0"/>
              <w:jc w:val="center"/>
              <w:rPr>
                <w:rFonts w:ascii="Arial" w:hAnsi="Arial" w:cs="Arial"/>
                <w:b/>
                <w:bCs/>
                <w:sz w:val="20"/>
                <w:szCs w:val="20"/>
              </w:rPr>
            </w:pPr>
            <w:r w:rsidRPr="00B85224">
              <w:rPr>
                <w:rFonts w:ascii="Arial" w:hAnsi="Arial" w:cs="Arial"/>
                <w:b/>
                <w:bCs/>
                <w:sz w:val="20"/>
                <w:szCs w:val="20"/>
              </w:rPr>
              <w:t>Lower CCA burden (n=180)</w:t>
            </w:r>
          </w:p>
        </w:tc>
        <w:tc>
          <w:tcPr>
            <w:tcW w:w="2126" w:type="dxa"/>
            <w:tcBorders>
              <w:top w:val="single" w:sz="4" w:space="0" w:color="auto"/>
              <w:bottom w:val="single" w:sz="4" w:space="0" w:color="auto"/>
            </w:tcBorders>
            <w:vAlign w:val="center"/>
          </w:tcPr>
          <w:p w14:paraId="7EABD218" w14:textId="77777777" w:rsidR="00DE2CEE" w:rsidRPr="00B85224" w:rsidRDefault="00DE2CEE" w:rsidP="00DE2CEE">
            <w:pPr>
              <w:pStyle w:val="p1"/>
              <w:spacing w:before="0" w:beforeAutospacing="0" w:after="0" w:afterAutospacing="0"/>
              <w:jc w:val="center"/>
              <w:rPr>
                <w:rFonts w:ascii="Arial" w:hAnsi="Arial" w:cs="Arial"/>
                <w:b/>
                <w:bCs/>
                <w:sz w:val="20"/>
                <w:szCs w:val="20"/>
              </w:rPr>
            </w:pPr>
            <w:r w:rsidRPr="00B85224">
              <w:rPr>
                <w:rFonts w:ascii="Arial" w:hAnsi="Arial" w:cs="Arial"/>
                <w:b/>
                <w:bCs/>
                <w:sz w:val="20"/>
                <w:szCs w:val="20"/>
              </w:rPr>
              <w:t>Higher CCA burden (n=297)</w:t>
            </w:r>
          </w:p>
        </w:tc>
        <w:tc>
          <w:tcPr>
            <w:tcW w:w="974" w:type="dxa"/>
            <w:tcBorders>
              <w:top w:val="single" w:sz="4" w:space="0" w:color="auto"/>
              <w:bottom w:val="single" w:sz="4" w:space="0" w:color="auto"/>
            </w:tcBorders>
            <w:vAlign w:val="center"/>
          </w:tcPr>
          <w:p w14:paraId="20A7D849" w14:textId="77777777" w:rsidR="00DE2CEE" w:rsidRPr="00B85224" w:rsidRDefault="00DE2CEE" w:rsidP="00DE2CEE">
            <w:pPr>
              <w:pStyle w:val="p1"/>
              <w:spacing w:before="0" w:beforeAutospacing="0" w:after="0" w:afterAutospacing="0"/>
              <w:jc w:val="center"/>
              <w:rPr>
                <w:rFonts w:ascii="Arial" w:hAnsi="Arial" w:cs="Arial"/>
                <w:b/>
                <w:bCs/>
                <w:sz w:val="20"/>
                <w:szCs w:val="20"/>
              </w:rPr>
            </w:pPr>
            <w:r w:rsidRPr="00B85224">
              <w:rPr>
                <w:rFonts w:ascii="Arial" w:hAnsi="Arial" w:cs="Arial"/>
                <w:b/>
                <w:bCs/>
                <w:sz w:val="20"/>
                <w:szCs w:val="20"/>
              </w:rPr>
              <w:t>P-value</w:t>
            </w:r>
          </w:p>
        </w:tc>
      </w:tr>
      <w:tr w:rsidR="00DE2CEE" w:rsidRPr="00B85224" w14:paraId="711F73D6" w14:textId="77777777" w:rsidTr="00A23F4D">
        <w:tc>
          <w:tcPr>
            <w:tcW w:w="3260" w:type="dxa"/>
            <w:tcBorders>
              <w:top w:val="single" w:sz="4" w:space="0" w:color="auto"/>
            </w:tcBorders>
            <w:vAlign w:val="center"/>
          </w:tcPr>
          <w:p w14:paraId="2B361792"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b/>
                <w:bCs/>
                <w:sz w:val="20"/>
                <w:szCs w:val="20"/>
              </w:rPr>
              <w:t>Age, years, mean ± SD</w:t>
            </w:r>
          </w:p>
        </w:tc>
        <w:tc>
          <w:tcPr>
            <w:tcW w:w="1559" w:type="dxa"/>
            <w:tcBorders>
              <w:top w:val="single" w:sz="4" w:space="0" w:color="auto"/>
            </w:tcBorders>
            <w:vAlign w:val="center"/>
          </w:tcPr>
          <w:p w14:paraId="5532F74E"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56.57 ± 14.97</w:t>
            </w:r>
          </w:p>
        </w:tc>
        <w:tc>
          <w:tcPr>
            <w:tcW w:w="1843" w:type="dxa"/>
            <w:tcBorders>
              <w:top w:val="single" w:sz="4" w:space="0" w:color="auto"/>
            </w:tcBorders>
            <w:vAlign w:val="center"/>
          </w:tcPr>
          <w:p w14:paraId="1F465F2D"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53.51 ± 16.84</w:t>
            </w:r>
          </w:p>
        </w:tc>
        <w:tc>
          <w:tcPr>
            <w:tcW w:w="2126" w:type="dxa"/>
            <w:tcBorders>
              <w:top w:val="single" w:sz="4" w:space="0" w:color="auto"/>
            </w:tcBorders>
            <w:vAlign w:val="center"/>
          </w:tcPr>
          <w:p w14:paraId="69BE1424"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58.42 ± 13.44</w:t>
            </w:r>
          </w:p>
        </w:tc>
        <w:tc>
          <w:tcPr>
            <w:tcW w:w="974" w:type="dxa"/>
            <w:tcBorders>
              <w:top w:val="single" w:sz="4" w:space="0" w:color="auto"/>
            </w:tcBorders>
            <w:vAlign w:val="center"/>
          </w:tcPr>
          <w:p w14:paraId="3C179E44"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b/>
                <w:bCs/>
                <w:sz w:val="20"/>
                <w:szCs w:val="20"/>
              </w:rPr>
              <w:t>.001</w:t>
            </w:r>
          </w:p>
        </w:tc>
      </w:tr>
      <w:tr w:rsidR="00DE2CEE" w:rsidRPr="00B85224" w14:paraId="368A7265" w14:textId="77777777" w:rsidTr="00A23F4D">
        <w:tc>
          <w:tcPr>
            <w:tcW w:w="3260" w:type="dxa"/>
            <w:vAlign w:val="center"/>
          </w:tcPr>
          <w:p w14:paraId="5EABD07A"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b/>
                <w:bCs/>
                <w:sz w:val="20"/>
                <w:szCs w:val="20"/>
              </w:rPr>
              <w:t>Sex, n (%)</w:t>
            </w:r>
          </w:p>
        </w:tc>
        <w:tc>
          <w:tcPr>
            <w:tcW w:w="1559" w:type="dxa"/>
            <w:vAlign w:val="center"/>
          </w:tcPr>
          <w:p w14:paraId="0069BC5B"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.268</w:t>
            </w:r>
          </w:p>
        </w:tc>
        <w:tc>
          <w:tcPr>
            <w:tcW w:w="1843" w:type="dxa"/>
            <w:vAlign w:val="center"/>
          </w:tcPr>
          <w:p w14:paraId="736B8EFA" w14:textId="77777777" w:rsidR="00DE2CEE" w:rsidRPr="00B85224" w:rsidRDefault="00DE2CEE" w:rsidP="00DE2CEE">
            <w:pPr>
              <w:rPr>
                <w:rFonts w:ascii="Arial" w:hAnsi="Arial" w:cs="Arial"/>
                <w:sz w:val="20"/>
                <w:szCs w:val="20"/>
              </w:rPr>
            </w:pPr>
          </w:p>
        </w:tc>
        <w:tc>
          <w:tcPr>
            <w:tcW w:w="2126" w:type="dxa"/>
            <w:vAlign w:val="center"/>
          </w:tcPr>
          <w:p w14:paraId="0058F533" w14:textId="77777777" w:rsidR="00DE2CEE" w:rsidRPr="00B85224" w:rsidRDefault="00DE2CEE" w:rsidP="00DE2CEE">
            <w:pPr>
              <w:rPr>
                <w:rFonts w:ascii="Arial" w:hAnsi="Arial" w:cs="Arial"/>
                <w:sz w:val="20"/>
                <w:szCs w:val="20"/>
              </w:rPr>
            </w:pPr>
          </w:p>
        </w:tc>
        <w:tc>
          <w:tcPr>
            <w:tcW w:w="974" w:type="dxa"/>
            <w:vAlign w:val="center"/>
          </w:tcPr>
          <w:p w14:paraId="6FC36870" w14:textId="77777777" w:rsidR="00DE2CEE" w:rsidRPr="00B85224" w:rsidRDefault="00DE2CEE" w:rsidP="00DE2CEE">
            <w:pPr>
              <w:rPr>
                <w:rFonts w:ascii="Arial" w:hAnsi="Arial" w:cs="Arial"/>
                <w:sz w:val="20"/>
                <w:szCs w:val="20"/>
              </w:rPr>
            </w:pPr>
          </w:p>
        </w:tc>
      </w:tr>
      <w:tr w:rsidR="00DE2CEE" w:rsidRPr="00B85224" w14:paraId="30D5BE17" w14:textId="77777777" w:rsidTr="00A23F4D">
        <w:tc>
          <w:tcPr>
            <w:tcW w:w="3260" w:type="dxa"/>
            <w:vAlign w:val="center"/>
          </w:tcPr>
          <w:p w14:paraId="78536F85"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Male</w:t>
            </w:r>
          </w:p>
        </w:tc>
        <w:tc>
          <w:tcPr>
            <w:tcW w:w="1559" w:type="dxa"/>
            <w:vAlign w:val="center"/>
          </w:tcPr>
          <w:p w14:paraId="33EA318F"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198 (41.5)</w:t>
            </w:r>
          </w:p>
        </w:tc>
        <w:tc>
          <w:tcPr>
            <w:tcW w:w="1843" w:type="dxa"/>
            <w:vAlign w:val="center"/>
          </w:tcPr>
          <w:p w14:paraId="3A7C18AF"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81 (45.0)</w:t>
            </w:r>
          </w:p>
        </w:tc>
        <w:tc>
          <w:tcPr>
            <w:tcW w:w="2126" w:type="dxa"/>
            <w:vAlign w:val="center"/>
          </w:tcPr>
          <w:p w14:paraId="45CBD454"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117 (39.4)</w:t>
            </w:r>
          </w:p>
        </w:tc>
        <w:tc>
          <w:tcPr>
            <w:tcW w:w="974" w:type="dxa"/>
            <w:vAlign w:val="center"/>
          </w:tcPr>
          <w:p w14:paraId="379D83CA" w14:textId="77777777" w:rsidR="00DE2CEE" w:rsidRPr="00B85224" w:rsidRDefault="00DE2CEE" w:rsidP="00DE2CEE">
            <w:pPr>
              <w:rPr>
                <w:rFonts w:ascii="Arial" w:hAnsi="Arial" w:cs="Arial"/>
                <w:sz w:val="20"/>
                <w:szCs w:val="20"/>
              </w:rPr>
            </w:pPr>
          </w:p>
        </w:tc>
      </w:tr>
      <w:tr w:rsidR="00DE2CEE" w:rsidRPr="00B85224" w14:paraId="27DFF41B" w14:textId="77777777" w:rsidTr="00A23F4D">
        <w:tc>
          <w:tcPr>
            <w:tcW w:w="3260" w:type="dxa"/>
            <w:vAlign w:val="center"/>
          </w:tcPr>
          <w:p w14:paraId="12EA4CCD"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Female</w:t>
            </w:r>
          </w:p>
        </w:tc>
        <w:tc>
          <w:tcPr>
            <w:tcW w:w="1559" w:type="dxa"/>
            <w:vAlign w:val="center"/>
          </w:tcPr>
          <w:p w14:paraId="41912326"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279 (58.5)</w:t>
            </w:r>
          </w:p>
        </w:tc>
        <w:tc>
          <w:tcPr>
            <w:tcW w:w="1843" w:type="dxa"/>
            <w:vAlign w:val="center"/>
          </w:tcPr>
          <w:p w14:paraId="77FE3800"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99 (55.0)</w:t>
            </w:r>
          </w:p>
        </w:tc>
        <w:tc>
          <w:tcPr>
            <w:tcW w:w="2126" w:type="dxa"/>
            <w:vAlign w:val="center"/>
          </w:tcPr>
          <w:p w14:paraId="6EB757FA"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180 (60.6)</w:t>
            </w:r>
          </w:p>
        </w:tc>
        <w:tc>
          <w:tcPr>
            <w:tcW w:w="974" w:type="dxa"/>
            <w:vAlign w:val="center"/>
          </w:tcPr>
          <w:p w14:paraId="0AB6F4F4" w14:textId="77777777" w:rsidR="00DE2CEE" w:rsidRPr="00B85224" w:rsidRDefault="00DE2CEE" w:rsidP="00DE2CEE">
            <w:pPr>
              <w:rPr>
                <w:rFonts w:ascii="Arial" w:hAnsi="Arial" w:cs="Arial"/>
                <w:sz w:val="20"/>
                <w:szCs w:val="20"/>
              </w:rPr>
            </w:pPr>
          </w:p>
        </w:tc>
      </w:tr>
      <w:tr w:rsidR="00DE2CEE" w:rsidRPr="00B85224" w14:paraId="69D72BE3" w14:textId="77777777" w:rsidTr="00A23F4D">
        <w:tc>
          <w:tcPr>
            <w:tcW w:w="3260" w:type="dxa"/>
            <w:vAlign w:val="center"/>
          </w:tcPr>
          <w:p w14:paraId="55A483E1"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b/>
                <w:bCs/>
                <w:sz w:val="20"/>
                <w:szCs w:val="20"/>
              </w:rPr>
              <w:t>Educational level, n (%)</w:t>
            </w:r>
          </w:p>
        </w:tc>
        <w:tc>
          <w:tcPr>
            <w:tcW w:w="1559" w:type="dxa"/>
            <w:vAlign w:val="center"/>
          </w:tcPr>
          <w:p w14:paraId="236420F0" w14:textId="77777777" w:rsidR="00DE2CEE" w:rsidRPr="00B85224" w:rsidRDefault="00DE2CEE" w:rsidP="00DE2CEE">
            <w:pPr>
              <w:pStyle w:val="p1"/>
              <w:spacing w:before="0" w:beforeAutospacing="0" w:after="0" w:afterAutospacing="0"/>
              <w:rPr>
                <w:rFonts w:ascii="Arial" w:hAnsi="Arial" w:cs="Arial"/>
                <w:sz w:val="20"/>
                <w:szCs w:val="20"/>
              </w:rPr>
            </w:pPr>
          </w:p>
        </w:tc>
        <w:tc>
          <w:tcPr>
            <w:tcW w:w="1843" w:type="dxa"/>
            <w:vAlign w:val="center"/>
          </w:tcPr>
          <w:p w14:paraId="535054A1" w14:textId="77777777" w:rsidR="00DE2CEE" w:rsidRPr="00B85224" w:rsidRDefault="00DE2CEE" w:rsidP="00DE2CEE">
            <w:pPr>
              <w:rPr>
                <w:rFonts w:ascii="Arial" w:hAnsi="Arial" w:cs="Arial"/>
                <w:sz w:val="20"/>
                <w:szCs w:val="20"/>
              </w:rPr>
            </w:pPr>
          </w:p>
        </w:tc>
        <w:tc>
          <w:tcPr>
            <w:tcW w:w="2126" w:type="dxa"/>
            <w:vAlign w:val="center"/>
          </w:tcPr>
          <w:p w14:paraId="4BCB7C3B" w14:textId="77777777" w:rsidR="00DE2CEE" w:rsidRPr="00B85224" w:rsidRDefault="00DE2CEE" w:rsidP="00DE2CEE">
            <w:pPr>
              <w:rPr>
                <w:rFonts w:ascii="Arial" w:hAnsi="Arial" w:cs="Arial"/>
                <w:sz w:val="20"/>
                <w:szCs w:val="20"/>
              </w:rPr>
            </w:pPr>
          </w:p>
        </w:tc>
        <w:tc>
          <w:tcPr>
            <w:tcW w:w="974" w:type="dxa"/>
            <w:vAlign w:val="center"/>
          </w:tcPr>
          <w:p w14:paraId="5869B1CF" w14:textId="77777777" w:rsidR="00DE2CEE" w:rsidRPr="00B85224" w:rsidRDefault="00DE2CEE" w:rsidP="00DE2CEE">
            <w:pPr>
              <w:rPr>
                <w:rFonts w:ascii="Arial" w:hAnsi="Arial" w:cs="Arial"/>
                <w:sz w:val="20"/>
                <w:szCs w:val="20"/>
              </w:rPr>
            </w:pPr>
            <w:r w:rsidRPr="00B85224">
              <w:rPr>
                <w:rFonts w:ascii="Arial" w:hAnsi="Arial" w:cs="Arial"/>
                <w:b/>
                <w:bCs/>
                <w:sz w:val="20"/>
                <w:szCs w:val="20"/>
              </w:rPr>
              <w:t>&lt;.001</w:t>
            </w:r>
          </w:p>
        </w:tc>
      </w:tr>
      <w:tr w:rsidR="00DE2CEE" w:rsidRPr="00B85224" w14:paraId="2A39AF02" w14:textId="77777777" w:rsidTr="00A23F4D">
        <w:tc>
          <w:tcPr>
            <w:tcW w:w="3260" w:type="dxa"/>
            <w:vAlign w:val="center"/>
          </w:tcPr>
          <w:p w14:paraId="7EBB8D8F"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No formal schooling</w:t>
            </w:r>
          </w:p>
        </w:tc>
        <w:tc>
          <w:tcPr>
            <w:tcW w:w="1559" w:type="dxa"/>
            <w:vAlign w:val="center"/>
          </w:tcPr>
          <w:p w14:paraId="7C32AEF1"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54 (11.3)</w:t>
            </w:r>
          </w:p>
        </w:tc>
        <w:tc>
          <w:tcPr>
            <w:tcW w:w="1843" w:type="dxa"/>
            <w:vAlign w:val="center"/>
          </w:tcPr>
          <w:p w14:paraId="3F6E4777"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9 (5.0)</w:t>
            </w:r>
          </w:p>
        </w:tc>
        <w:tc>
          <w:tcPr>
            <w:tcW w:w="2126" w:type="dxa"/>
            <w:vAlign w:val="center"/>
          </w:tcPr>
          <w:p w14:paraId="04B87A13"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45 (15.2)</w:t>
            </w:r>
          </w:p>
        </w:tc>
        <w:tc>
          <w:tcPr>
            <w:tcW w:w="974" w:type="dxa"/>
            <w:vAlign w:val="center"/>
          </w:tcPr>
          <w:p w14:paraId="342FD636" w14:textId="77777777" w:rsidR="00DE2CEE" w:rsidRPr="00B85224" w:rsidRDefault="00DE2CEE" w:rsidP="00DE2CEE">
            <w:pPr>
              <w:rPr>
                <w:rFonts w:ascii="Arial" w:hAnsi="Arial" w:cs="Arial"/>
                <w:sz w:val="20"/>
                <w:szCs w:val="20"/>
              </w:rPr>
            </w:pPr>
          </w:p>
        </w:tc>
      </w:tr>
      <w:tr w:rsidR="00DE2CEE" w:rsidRPr="00B85224" w14:paraId="69C1B62D" w14:textId="77777777" w:rsidTr="00A23F4D">
        <w:tc>
          <w:tcPr>
            <w:tcW w:w="3260" w:type="dxa"/>
            <w:vAlign w:val="center"/>
          </w:tcPr>
          <w:p w14:paraId="01FBADF5"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Primary school</w:t>
            </w:r>
          </w:p>
        </w:tc>
        <w:tc>
          <w:tcPr>
            <w:tcW w:w="1559" w:type="dxa"/>
            <w:vAlign w:val="center"/>
          </w:tcPr>
          <w:p w14:paraId="2F4D3565"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81 (17.0)</w:t>
            </w:r>
          </w:p>
        </w:tc>
        <w:tc>
          <w:tcPr>
            <w:tcW w:w="1843" w:type="dxa"/>
            <w:vAlign w:val="center"/>
          </w:tcPr>
          <w:p w14:paraId="40062FAC"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27 (15.0)</w:t>
            </w:r>
          </w:p>
        </w:tc>
        <w:tc>
          <w:tcPr>
            <w:tcW w:w="2126" w:type="dxa"/>
            <w:vAlign w:val="center"/>
          </w:tcPr>
          <w:p w14:paraId="485FAB02"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54 (18.2)</w:t>
            </w:r>
          </w:p>
        </w:tc>
        <w:tc>
          <w:tcPr>
            <w:tcW w:w="974" w:type="dxa"/>
            <w:vAlign w:val="center"/>
          </w:tcPr>
          <w:p w14:paraId="1930372F" w14:textId="77777777" w:rsidR="00DE2CEE" w:rsidRPr="00B85224" w:rsidRDefault="00DE2CEE" w:rsidP="00DE2CEE">
            <w:pPr>
              <w:rPr>
                <w:rFonts w:ascii="Arial" w:hAnsi="Arial" w:cs="Arial"/>
                <w:sz w:val="20"/>
                <w:szCs w:val="20"/>
              </w:rPr>
            </w:pPr>
          </w:p>
        </w:tc>
      </w:tr>
      <w:tr w:rsidR="00DE2CEE" w:rsidRPr="00B85224" w14:paraId="061BF025" w14:textId="77777777" w:rsidTr="00A23F4D">
        <w:tc>
          <w:tcPr>
            <w:tcW w:w="3260" w:type="dxa"/>
            <w:vAlign w:val="center"/>
          </w:tcPr>
          <w:p w14:paraId="4776CDB7"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Secondary school</w:t>
            </w:r>
          </w:p>
        </w:tc>
        <w:tc>
          <w:tcPr>
            <w:tcW w:w="1559" w:type="dxa"/>
            <w:vAlign w:val="center"/>
          </w:tcPr>
          <w:p w14:paraId="33BEB881"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180 (37.7)</w:t>
            </w:r>
          </w:p>
        </w:tc>
        <w:tc>
          <w:tcPr>
            <w:tcW w:w="1843" w:type="dxa"/>
            <w:vAlign w:val="center"/>
          </w:tcPr>
          <w:p w14:paraId="36B8EA3B"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90 (50.0)</w:t>
            </w:r>
          </w:p>
        </w:tc>
        <w:tc>
          <w:tcPr>
            <w:tcW w:w="2126" w:type="dxa"/>
            <w:vAlign w:val="center"/>
          </w:tcPr>
          <w:p w14:paraId="6EFEAA34"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90 (30.3)</w:t>
            </w:r>
          </w:p>
        </w:tc>
        <w:tc>
          <w:tcPr>
            <w:tcW w:w="974" w:type="dxa"/>
            <w:vAlign w:val="center"/>
          </w:tcPr>
          <w:p w14:paraId="3AD485C0" w14:textId="77777777" w:rsidR="00DE2CEE" w:rsidRPr="00B85224" w:rsidRDefault="00DE2CEE" w:rsidP="00DE2CEE">
            <w:pPr>
              <w:rPr>
                <w:rFonts w:ascii="Arial" w:hAnsi="Arial" w:cs="Arial"/>
                <w:sz w:val="20"/>
                <w:szCs w:val="20"/>
              </w:rPr>
            </w:pPr>
          </w:p>
        </w:tc>
      </w:tr>
      <w:tr w:rsidR="00DE2CEE" w:rsidRPr="00B85224" w14:paraId="6B4B0644" w14:textId="77777777" w:rsidTr="00A23F4D">
        <w:tc>
          <w:tcPr>
            <w:tcW w:w="3260" w:type="dxa"/>
            <w:vAlign w:val="center"/>
          </w:tcPr>
          <w:p w14:paraId="78D8634D"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Post-secondary education</w:t>
            </w:r>
          </w:p>
        </w:tc>
        <w:tc>
          <w:tcPr>
            <w:tcW w:w="1559" w:type="dxa"/>
            <w:vAlign w:val="center"/>
          </w:tcPr>
          <w:p w14:paraId="20667317"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162 (34.0)</w:t>
            </w:r>
          </w:p>
        </w:tc>
        <w:tc>
          <w:tcPr>
            <w:tcW w:w="1843" w:type="dxa"/>
            <w:vAlign w:val="center"/>
          </w:tcPr>
          <w:p w14:paraId="155A0569"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54 (30.0)</w:t>
            </w:r>
          </w:p>
        </w:tc>
        <w:tc>
          <w:tcPr>
            <w:tcW w:w="2126" w:type="dxa"/>
            <w:vAlign w:val="center"/>
          </w:tcPr>
          <w:p w14:paraId="398E4EA2"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108 (36.4)</w:t>
            </w:r>
          </w:p>
        </w:tc>
        <w:tc>
          <w:tcPr>
            <w:tcW w:w="974" w:type="dxa"/>
            <w:vAlign w:val="center"/>
          </w:tcPr>
          <w:p w14:paraId="236B6D40" w14:textId="77777777" w:rsidR="00DE2CEE" w:rsidRPr="00B85224" w:rsidRDefault="00DE2CEE" w:rsidP="00DE2CEE">
            <w:pPr>
              <w:rPr>
                <w:rFonts w:ascii="Arial" w:hAnsi="Arial" w:cs="Arial"/>
                <w:sz w:val="20"/>
                <w:szCs w:val="20"/>
              </w:rPr>
            </w:pPr>
          </w:p>
        </w:tc>
      </w:tr>
      <w:tr w:rsidR="00DE2CEE" w:rsidRPr="00B85224" w14:paraId="0E5817EB" w14:textId="77777777" w:rsidTr="00A23F4D">
        <w:tc>
          <w:tcPr>
            <w:tcW w:w="3260" w:type="dxa"/>
            <w:vAlign w:val="center"/>
          </w:tcPr>
          <w:p w14:paraId="383C4CA0"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b/>
                <w:bCs/>
                <w:sz w:val="20"/>
                <w:szCs w:val="20"/>
              </w:rPr>
              <w:t>Marital status, n (%)</w:t>
            </w:r>
          </w:p>
        </w:tc>
        <w:tc>
          <w:tcPr>
            <w:tcW w:w="1559" w:type="dxa"/>
            <w:vAlign w:val="center"/>
          </w:tcPr>
          <w:p w14:paraId="7C545B95" w14:textId="77777777" w:rsidR="00DE2CEE" w:rsidRPr="00B85224" w:rsidRDefault="00DE2CEE" w:rsidP="00DE2CEE">
            <w:pPr>
              <w:pStyle w:val="p1"/>
              <w:spacing w:before="0" w:beforeAutospacing="0" w:after="0" w:afterAutospacing="0"/>
              <w:rPr>
                <w:rFonts w:ascii="Arial" w:hAnsi="Arial" w:cs="Arial"/>
                <w:sz w:val="20"/>
                <w:szCs w:val="20"/>
              </w:rPr>
            </w:pPr>
          </w:p>
        </w:tc>
        <w:tc>
          <w:tcPr>
            <w:tcW w:w="1843" w:type="dxa"/>
            <w:vAlign w:val="center"/>
          </w:tcPr>
          <w:p w14:paraId="4B4A4B94" w14:textId="77777777" w:rsidR="00DE2CEE" w:rsidRPr="00B85224" w:rsidRDefault="00DE2CEE" w:rsidP="00DE2CEE">
            <w:pPr>
              <w:rPr>
                <w:rFonts w:ascii="Arial" w:hAnsi="Arial" w:cs="Arial"/>
                <w:sz w:val="20"/>
                <w:szCs w:val="20"/>
              </w:rPr>
            </w:pPr>
          </w:p>
        </w:tc>
        <w:tc>
          <w:tcPr>
            <w:tcW w:w="2126" w:type="dxa"/>
            <w:vAlign w:val="center"/>
          </w:tcPr>
          <w:p w14:paraId="7C424EB2" w14:textId="77777777" w:rsidR="00DE2CEE" w:rsidRPr="00B85224" w:rsidRDefault="00DE2CEE" w:rsidP="00DE2CEE">
            <w:pPr>
              <w:rPr>
                <w:rFonts w:ascii="Arial" w:hAnsi="Arial" w:cs="Arial"/>
                <w:sz w:val="20"/>
                <w:szCs w:val="20"/>
              </w:rPr>
            </w:pPr>
          </w:p>
        </w:tc>
        <w:tc>
          <w:tcPr>
            <w:tcW w:w="974" w:type="dxa"/>
            <w:vAlign w:val="center"/>
          </w:tcPr>
          <w:p w14:paraId="16D1EC04" w14:textId="77777777" w:rsidR="00DE2CEE" w:rsidRPr="00B85224" w:rsidRDefault="00DE2CEE" w:rsidP="00DE2CEE">
            <w:pPr>
              <w:rPr>
                <w:rFonts w:ascii="Arial" w:hAnsi="Arial" w:cs="Arial"/>
                <w:sz w:val="20"/>
                <w:szCs w:val="20"/>
              </w:rPr>
            </w:pPr>
            <w:r w:rsidRPr="00B85224">
              <w:rPr>
                <w:rFonts w:ascii="Arial" w:hAnsi="Arial" w:cs="Arial"/>
                <w:b/>
                <w:bCs/>
                <w:sz w:val="20"/>
                <w:szCs w:val="20"/>
              </w:rPr>
              <w:t>&lt;.001</w:t>
            </w:r>
          </w:p>
        </w:tc>
      </w:tr>
      <w:tr w:rsidR="00DE2CEE" w:rsidRPr="00B85224" w14:paraId="0D8C4641" w14:textId="77777777" w:rsidTr="00A23F4D">
        <w:tc>
          <w:tcPr>
            <w:tcW w:w="3260" w:type="dxa"/>
            <w:vAlign w:val="center"/>
          </w:tcPr>
          <w:p w14:paraId="649A4A44"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Never married</w:t>
            </w:r>
          </w:p>
        </w:tc>
        <w:tc>
          <w:tcPr>
            <w:tcW w:w="1559" w:type="dxa"/>
            <w:vAlign w:val="center"/>
          </w:tcPr>
          <w:p w14:paraId="0E1FFFE1"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45 (9.4)</w:t>
            </w:r>
          </w:p>
        </w:tc>
        <w:tc>
          <w:tcPr>
            <w:tcW w:w="1843" w:type="dxa"/>
            <w:vAlign w:val="center"/>
          </w:tcPr>
          <w:p w14:paraId="7CA800CC"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45 (25.0)</w:t>
            </w:r>
          </w:p>
        </w:tc>
        <w:tc>
          <w:tcPr>
            <w:tcW w:w="2126" w:type="dxa"/>
            <w:vAlign w:val="center"/>
          </w:tcPr>
          <w:p w14:paraId="54339CCD"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0 (0.0)</w:t>
            </w:r>
          </w:p>
        </w:tc>
        <w:tc>
          <w:tcPr>
            <w:tcW w:w="974" w:type="dxa"/>
            <w:vAlign w:val="center"/>
          </w:tcPr>
          <w:p w14:paraId="5B1346B4" w14:textId="77777777" w:rsidR="00DE2CEE" w:rsidRPr="00B85224" w:rsidRDefault="00DE2CEE" w:rsidP="00DE2CEE">
            <w:pPr>
              <w:rPr>
                <w:rFonts w:ascii="Arial" w:hAnsi="Arial" w:cs="Arial"/>
                <w:sz w:val="20"/>
                <w:szCs w:val="20"/>
              </w:rPr>
            </w:pPr>
          </w:p>
        </w:tc>
      </w:tr>
      <w:tr w:rsidR="00DE2CEE" w:rsidRPr="00B85224" w14:paraId="119AA15C" w14:textId="77777777" w:rsidTr="00A23F4D">
        <w:tc>
          <w:tcPr>
            <w:tcW w:w="3260" w:type="dxa"/>
            <w:vAlign w:val="center"/>
          </w:tcPr>
          <w:p w14:paraId="596FDD70"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Currently married</w:t>
            </w:r>
          </w:p>
        </w:tc>
        <w:tc>
          <w:tcPr>
            <w:tcW w:w="1559" w:type="dxa"/>
            <w:vAlign w:val="center"/>
          </w:tcPr>
          <w:p w14:paraId="338F09E0"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243 (50.9)</w:t>
            </w:r>
          </w:p>
        </w:tc>
        <w:tc>
          <w:tcPr>
            <w:tcW w:w="1843" w:type="dxa"/>
            <w:vAlign w:val="center"/>
          </w:tcPr>
          <w:p w14:paraId="117A9757"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90 (50.0)</w:t>
            </w:r>
          </w:p>
        </w:tc>
        <w:tc>
          <w:tcPr>
            <w:tcW w:w="2126" w:type="dxa"/>
            <w:vAlign w:val="center"/>
          </w:tcPr>
          <w:p w14:paraId="270CAA97"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153 (51.5)</w:t>
            </w:r>
          </w:p>
        </w:tc>
        <w:tc>
          <w:tcPr>
            <w:tcW w:w="974" w:type="dxa"/>
            <w:vAlign w:val="center"/>
          </w:tcPr>
          <w:p w14:paraId="2BF92F5C" w14:textId="77777777" w:rsidR="00DE2CEE" w:rsidRPr="00B85224" w:rsidRDefault="00DE2CEE" w:rsidP="00DE2CEE">
            <w:pPr>
              <w:rPr>
                <w:rFonts w:ascii="Arial" w:hAnsi="Arial" w:cs="Arial"/>
                <w:sz w:val="20"/>
                <w:szCs w:val="20"/>
              </w:rPr>
            </w:pPr>
          </w:p>
        </w:tc>
      </w:tr>
      <w:tr w:rsidR="00DE2CEE" w:rsidRPr="00B85224" w14:paraId="7E15E3FD" w14:textId="77777777" w:rsidTr="00A23F4D">
        <w:tc>
          <w:tcPr>
            <w:tcW w:w="3260" w:type="dxa"/>
            <w:vAlign w:val="center"/>
          </w:tcPr>
          <w:p w14:paraId="742CFE17"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Cohabiting</w:t>
            </w:r>
          </w:p>
        </w:tc>
        <w:tc>
          <w:tcPr>
            <w:tcW w:w="1559" w:type="dxa"/>
            <w:vAlign w:val="center"/>
          </w:tcPr>
          <w:p w14:paraId="7D1CB6FB"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9 (1.9)</w:t>
            </w:r>
          </w:p>
        </w:tc>
        <w:tc>
          <w:tcPr>
            <w:tcW w:w="1843" w:type="dxa"/>
            <w:vAlign w:val="center"/>
          </w:tcPr>
          <w:p w14:paraId="51A4BA7C"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0 (0.0)</w:t>
            </w:r>
          </w:p>
        </w:tc>
        <w:tc>
          <w:tcPr>
            <w:tcW w:w="2126" w:type="dxa"/>
            <w:vAlign w:val="center"/>
          </w:tcPr>
          <w:p w14:paraId="37931844"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9 (3.0)</w:t>
            </w:r>
          </w:p>
        </w:tc>
        <w:tc>
          <w:tcPr>
            <w:tcW w:w="974" w:type="dxa"/>
            <w:vAlign w:val="center"/>
          </w:tcPr>
          <w:p w14:paraId="2116ADCA" w14:textId="77777777" w:rsidR="00DE2CEE" w:rsidRPr="00B85224" w:rsidRDefault="00DE2CEE" w:rsidP="00DE2CEE">
            <w:pPr>
              <w:rPr>
                <w:rFonts w:ascii="Arial" w:hAnsi="Arial" w:cs="Arial"/>
                <w:sz w:val="20"/>
                <w:szCs w:val="20"/>
              </w:rPr>
            </w:pPr>
          </w:p>
        </w:tc>
      </w:tr>
      <w:tr w:rsidR="00DE2CEE" w:rsidRPr="00B85224" w14:paraId="6760EC1B" w14:textId="77777777" w:rsidTr="00A23F4D">
        <w:tc>
          <w:tcPr>
            <w:tcW w:w="3260" w:type="dxa"/>
            <w:vAlign w:val="center"/>
          </w:tcPr>
          <w:p w14:paraId="28D8574C"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Widowed</w:t>
            </w:r>
          </w:p>
        </w:tc>
        <w:tc>
          <w:tcPr>
            <w:tcW w:w="1559" w:type="dxa"/>
            <w:vAlign w:val="center"/>
          </w:tcPr>
          <w:p w14:paraId="0E99D827"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180 (37.7)</w:t>
            </w:r>
          </w:p>
        </w:tc>
        <w:tc>
          <w:tcPr>
            <w:tcW w:w="1843" w:type="dxa"/>
            <w:vAlign w:val="center"/>
          </w:tcPr>
          <w:p w14:paraId="3F0605F8"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45 (25.0)</w:t>
            </w:r>
          </w:p>
        </w:tc>
        <w:tc>
          <w:tcPr>
            <w:tcW w:w="2126" w:type="dxa"/>
            <w:vAlign w:val="center"/>
          </w:tcPr>
          <w:p w14:paraId="651FBE9A"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135 (45.5)</w:t>
            </w:r>
          </w:p>
        </w:tc>
        <w:tc>
          <w:tcPr>
            <w:tcW w:w="974" w:type="dxa"/>
            <w:vAlign w:val="center"/>
          </w:tcPr>
          <w:p w14:paraId="0DE00D0A" w14:textId="77777777" w:rsidR="00DE2CEE" w:rsidRPr="00B85224" w:rsidRDefault="00DE2CEE" w:rsidP="00DE2CEE">
            <w:pPr>
              <w:rPr>
                <w:rFonts w:ascii="Arial" w:hAnsi="Arial" w:cs="Arial"/>
                <w:sz w:val="20"/>
                <w:szCs w:val="20"/>
              </w:rPr>
            </w:pPr>
          </w:p>
        </w:tc>
      </w:tr>
      <w:tr w:rsidR="00DE2CEE" w:rsidRPr="00B85224" w14:paraId="7EAFB6D9" w14:textId="77777777" w:rsidTr="00A23F4D">
        <w:tc>
          <w:tcPr>
            <w:tcW w:w="3260" w:type="dxa"/>
            <w:vAlign w:val="center"/>
          </w:tcPr>
          <w:p w14:paraId="0C4EBFD9"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b/>
                <w:bCs/>
                <w:sz w:val="20"/>
                <w:szCs w:val="20"/>
              </w:rPr>
              <w:t>Ethnicity, n (%)</w:t>
            </w:r>
          </w:p>
        </w:tc>
        <w:tc>
          <w:tcPr>
            <w:tcW w:w="1559" w:type="dxa"/>
            <w:vAlign w:val="center"/>
          </w:tcPr>
          <w:p w14:paraId="44229ADC" w14:textId="77777777" w:rsidR="00DE2CEE" w:rsidRPr="00B85224" w:rsidRDefault="00DE2CEE" w:rsidP="00DE2CEE">
            <w:pPr>
              <w:pStyle w:val="p1"/>
              <w:spacing w:before="0" w:beforeAutospacing="0" w:after="0" w:afterAutospacing="0"/>
              <w:rPr>
                <w:rFonts w:ascii="Arial" w:hAnsi="Arial" w:cs="Arial"/>
                <w:sz w:val="20"/>
                <w:szCs w:val="20"/>
              </w:rPr>
            </w:pPr>
          </w:p>
        </w:tc>
        <w:tc>
          <w:tcPr>
            <w:tcW w:w="1843" w:type="dxa"/>
            <w:vAlign w:val="center"/>
          </w:tcPr>
          <w:p w14:paraId="7E9BB825" w14:textId="77777777" w:rsidR="00DE2CEE" w:rsidRPr="00B85224" w:rsidRDefault="00DE2CEE" w:rsidP="00DE2CEE">
            <w:pPr>
              <w:rPr>
                <w:rFonts w:ascii="Arial" w:hAnsi="Arial" w:cs="Arial"/>
                <w:sz w:val="20"/>
                <w:szCs w:val="20"/>
              </w:rPr>
            </w:pPr>
          </w:p>
        </w:tc>
        <w:tc>
          <w:tcPr>
            <w:tcW w:w="2126" w:type="dxa"/>
            <w:vAlign w:val="center"/>
          </w:tcPr>
          <w:p w14:paraId="36F4558F" w14:textId="77777777" w:rsidR="00DE2CEE" w:rsidRPr="00B85224" w:rsidRDefault="00DE2CEE" w:rsidP="00DE2CEE">
            <w:pPr>
              <w:rPr>
                <w:rFonts w:ascii="Arial" w:hAnsi="Arial" w:cs="Arial"/>
                <w:sz w:val="20"/>
                <w:szCs w:val="20"/>
              </w:rPr>
            </w:pPr>
          </w:p>
        </w:tc>
        <w:tc>
          <w:tcPr>
            <w:tcW w:w="974" w:type="dxa"/>
            <w:vAlign w:val="center"/>
          </w:tcPr>
          <w:p w14:paraId="56831B00" w14:textId="77777777" w:rsidR="00DE2CEE" w:rsidRPr="00B85224" w:rsidRDefault="00DE2CEE" w:rsidP="00DE2CEE">
            <w:pPr>
              <w:rPr>
                <w:rFonts w:ascii="Arial" w:hAnsi="Arial" w:cs="Arial"/>
                <w:sz w:val="20"/>
                <w:szCs w:val="20"/>
              </w:rPr>
            </w:pPr>
            <w:r w:rsidRPr="00B85224">
              <w:rPr>
                <w:rFonts w:ascii="Arial" w:hAnsi="Arial" w:cs="Arial"/>
                <w:b/>
                <w:bCs/>
                <w:sz w:val="20"/>
                <w:szCs w:val="20"/>
              </w:rPr>
              <w:t>.005</w:t>
            </w:r>
          </w:p>
        </w:tc>
      </w:tr>
      <w:tr w:rsidR="00DE2CEE" w:rsidRPr="00B85224" w14:paraId="3EA5697F" w14:textId="77777777" w:rsidTr="00A23F4D">
        <w:tc>
          <w:tcPr>
            <w:tcW w:w="3260" w:type="dxa"/>
            <w:vAlign w:val="center"/>
          </w:tcPr>
          <w:p w14:paraId="36069998"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Ikwerre</w:t>
            </w:r>
          </w:p>
        </w:tc>
        <w:tc>
          <w:tcPr>
            <w:tcW w:w="1559" w:type="dxa"/>
            <w:vAlign w:val="center"/>
          </w:tcPr>
          <w:p w14:paraId="363F3250"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369 (77.4)</w:t>
            </w:r>
          </w:p>
        </w:tc>
        <w:tc>
          <w:tcPr>
            <w:tcW w:w="1843" w:type="dxa"/>
            <w:vAlign w:val="center"/>
          </w:tcPr>
          <w:p w14:paraId="3179F597"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153 (85.0)</w:t>
            </w:r>
          </w:p>
        </w:tc>
        <w:tc>
          <w:tcPr>
            <w:tcW w:w="2126" w:type="dxa"/>
            <w:vAlign w:val="center"/>
          </w:tcPr>
          <w:p w14:paraId="2ECF631F"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216 (72.7)</w:t>
            </w:r>
          </w:p>
        </w:tc>
        <w:tc>
          <w:tcPr>
            <w:tcW w:w="974" w:type="dxa"/>
            <w:vAlign w:val="center"/>
          </w:tcPr>
          <w:p w14:paraId="651A57C1" w14:textId="77777777" w:rsidR="00DE2CEE" w:rsidRPr="00B85224" w:rsidRDefault="00DE2CEE" w:rsidP="00DE2CEE">
            <w:pPr>
              <w:rPr>
                <w:rFonts w:ascii="Arial" w:hAnsi="Arial" w:cs="Arial"/>
                <w:sz w:val="20"/>
                <w:szCs w:val="20"/>
              </w:rPr>
            </w:pPr>
          </w:p>
        </w:tc>
      </w:tr>
      <w:tr w:rsidR="00DE2CEE" w:rsidRPr="00B85224" w14:paraId="4A0DA1E2" w14:textId="77777777" w:rsidTr="00A23F4D">
        <w:tc>
          <w:tcPr>
            <w:tcW w:w="3260" w:type="dxa"/>
            <w:vAlign w:val="center"/>
          </w:tcPr>
          <w:p w14:paraId="6ACCF391"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Igbo</w:t>
            </w:r>
          </w:p>
        </w:tc>
        <w:tc>
          <w:tcPr>
            <w:tcW w:w="1559" w:type="dxa"/>
            <w:vAlign w:val="center"/>
          </w:tcPr>
          <w:p w14:paraId="53A8F7FD"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45 (9.4)</w:t>
            </w:r>
          </w:p>
        </w:tc>
        <w:tc>
          <w:tcPr>
            <w:tcW w:w="1843" w:type="dxa"/>
            <w:vAlign w:val="center"/>
          </w:tcPr>
          <w:p w14:paraId="143E778F"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9 (5.0)</w:t>
            </w:r>
          </w:p>
        </w:tc>
        <w:tc>
          <w:tcPr>
            <w:tcW w:w="2126" w:type="dxa"/>
            <w:vAlign w:val="center"/>
          </w:tcPr>
          <w:p w14:paraId="3B7D69D6"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36 (12.1)</w:t>
            </w:r>
          </w:p>
        </w:tc>
        <w:tc>
          <w:tcPr>
            <w:tcW w:w="974" w:type="dxa"/>
            <w:vAlign w:val="center"/>
          </w:tcPr>
          <w:p w14:paraId="55521C1F" w14:textId="77777777" w:rsidR="00DE2CEE" w:rsidRPr="00B85224" w:rsidRDefault="00DE2CEE" w:rsidP="00DE2CEE">
            <w:pPr>
              <w:rPr>
                <w:rFonts w:ascii="Arial" w:hAnsi="Arial" w:cs="Arial"/>
                <w:sz w:val="20"/>
                <w:szCs w:val="20"/>
              </w:rPr>
            </w:pPr>
          </w:p>
        </w:tc>
      </w:tr>
      <w:tr w:rsidR="00DE2CEE" w:rsidRPr="00B85224" w14:paraId="7BB78AC8" w14:textId="77777777" w:rsidTr="00A23F4D">
        <w:tc>
          <w:tcPr>
            <w:tcW w:w="3260" w:type="dxa"/>
            <w:vAlign w:val="center"/>
          </w:tcPr>
          <w:p w14:paraId="08084607"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Other ethnic groups</w:t>
            </w:r>
          </w:p>
        </w:tc>
        <w:tc>
          <w:tcPr>
            <w:tcW w:w="1559" w:type="dxa"/>
            <w:vAlign w:val="center"/>
          </w:tcPr>
          <w:p w14:paraId="407335BD"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63 (13.2)</w:t>
            </w:r>
          </w:p>
        </w:tc>
        <w:tc>
          <w:tcPr>
            <w:tcW w:w="1843" w:type="dxa"/>
            <w:vAlign w:val="center"/>
          </w:tcPr>
          <w:p w14:paraId="1EE15A2C"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18 (10.0)</w:t>
            </w:r>
          </w:p>
        </w:tc>
        <w:tc>
          <w:tcPr>
            <w:tcW w:w="2126" w:type="dxa"/>
            <w:vAlign w:val="center"/>
          </w:tcPr>
          <w:p w14:paraId="464CFA8A"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45 (15.2)</w:t>
            </w:r>
          </w:p>
        </w:tc>
        <w:tc>
          <w:tcPr>
            <w:tcW w:w="974" w:type="dxa"/>
            <w:vAlign w:val="center"/>
          </w:tcPr>
          <w:p w14:paraId="12344E96" w14:textId="77777777" w:rsidR="00DE2CEE" w:rsidRPr="00B85224" w:rsidRDefault="00DE2CEE" w:rsidP="00DE2CEE">
            <w:pPr>
              <w:rPr>
                <w:rFonts w:ascii="Arial" w:hAnsi="Arial" w:cs="Arial"/>
                <w:sz w:val="20"/>
                <w:szCs w:val="20"/>
              </w:rPr>
            </w:pPr>
          </w:p>
        </w:tc>
      </w:tr>
      <w:tr w:rsidR="00DE2CEE" w:rsidRPr="00B85224" w14:paraId="52D1910A" w14:textId="77777777" w:rsidTr="00A23F4D">
        <w:tc>
          <w:tcPr>
            <w:tcW w:w="3260" w:type="dxa"/>
            <w:vAlign w:val="center"/>
          </w:tcPr>
          <w:p w14:paraId="4B5426FF"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b/>
                <w:bCs/>
                <w:sz w:val="20"/>
                <w:szCs w:val="20"/>
              </w:rPr>
              <w:t>Employment status, n (%)</w:t>
            </w:r>
          </w:p>
        </w:tc>
        <w:tc>
          <w:tcPr>
            <w:tcW w:w="1559" w:type="dxa"/>
            <w:vAlign w:val="center"/>
          </w:tcPr>
          <w:p w14:paraId="7668E6B7" w14:textId="77777777" w:rsidR="00DE2CEE" w:rsidRPr="00B85224" w:rsidRDefault="00DE2CEE" w:rsidP="00DE2CEE">
            <w:pPr>
              <w:pStyle w:val="p1"/>
              <w:spacing w:before="0" w:beforeAutospacing="0" w:after="0" w:afterAutospacing="0"/>
              <w:rPr>
                <w:rFonts w:ascii="Arial" w:hAnsi="Arial" w:cs="Arial"/>
                <w:sz w:val="20"/>
                <w:szCs w:val="20"/>
              </w:rPr>
            </w:pPr>
          </w:p>
        </w:tc>
        <w:tc>
          <w:tcPr>
            <w:tcW w:w="1843" w:type="dxa"/>
            <w:vAlign w:val="center"/>
          </w:tcPr>
          <w:p w14:paraId="3167F1C4" w14:textId="77777777" w:rsidR="00DE2CEE" w:rsidRPr="00B85224" w:rsidRDefault="00DE2CEE" w:rsidP="00DE2CEE">
            <w:pPr>
              <w:rPr>
                <w:rFonts w:ascii="Arial" w:hAnsi="Arial" w:cs="Arial"/>
                <w:sz w:val="20"/>
                <w:szCs w:val="20"/>
              </w:rPr>
            </w:pPr>
          </w:p>
        </w:tc>
        <w:tc>
          <w:tcPr>
            <w:tcW w:w="2126" w:type="dxa"/>
            <w:vAlign w:val="center"/>
          </w:tcPr>
          <w:p w14:paraId="7BB2CCA2" w14:textId="77777777" w:rsidR="00DE2CEE" w:rsidRPr="00B85224" w:rsidRDefault="00DE2CEE" w:rsidP="00DE2CEE">
            <w:pPr>
              <w:rPr>
                <w:rFonts w:ascii="Arial" w:hAnsi="Arial" w:cs="Arial"/>
                <w:sz w:val="20"/>
                <w:szCs w:val="20"/>
              </w:rPr>
            </w:pPr>
          </w:p>
        </w:tc>
        <w:tc>
          <w:tcPr>
            <w:tcW w:w="974" w:type="dxa"/>
            <w:vAlign w:val="center"/>
          </w:tcPr>
          <w:p w14:paraId="15615A4A" w14:textId="77777777" w:rsidR="00DE2CEE" w:rsidRPr="00B85224" w:rsidRDefault="00DE2CEE" w:rsidP="00DE2CEE">
            <w:pPr>
              <w:rPr>
                <w:rFonts w:ascii="Arial" w:hAnsi="Arial" w:cs="Arial"/>
                <w:sz w:val="20"/>
                <w:szCs w:val="20"/>
              </w:rPr>
            </w:pPr>
            <w:r w:rsidRPr="00B85224">
              <w:rPr>
                <w:rFonts w:ascii="Arial" w:hAnsi="Arial" w:cs="Arial"/>
                <w:b/>
                <w:bCs/>
                <w:sz w:val="20"/>
                <w:szCs w:val="20"/>
              </w:rPr>
              <w:t>&lt;.001</w:t>
            </w:r>
          </w:p>
        </w:tc>
      </w:tr>
      <w:tr w:rsidR="00DE2CEE" w:rsidRPr="00B85224" w14:paraId="1580F7BC" w14:textId="77777777" w:rsidTr="00A23F4D">
        <w:tc>
          <w:tcPr>
            <w:tcW w:w="3260" w:type="dxa"/>
            <w:vAlign w:val="center"/>
          </w:tcPr>
          <w:p w14:paraId="4CB60366"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Government employee</w:t>
            </w:r>
          </w:p>
        </w:tc>
        <w:tc>
          <w:tcPr>
            <w:tcW w:w="1559" w:type="dxa"/>
            <w:vAlign w:val="center"/>
          </w:tcPr>
          <w:p w14:paraId="7DAD46EE"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9 (1.9)</w:t>
            </w:r>
          </w:p>
        </w:tc>
        <w:tc>
          <w:tcPr>
            <w:tcW w:w="1843" w:type="dxa"/>
            <w:vAlign w:val="center"/>
          </w:tcPr>
          <w:p w14:paraId="7B87015B"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9 (5.0)</w:t>
            </w:r>
          </w:p>
        </w:tc>
        <w:tc>
          <w:tcPr>
            <w:tcW w:w="2126" w:type="dxa"/>
            <w:vAlign w:val="center"/>
          </w:tcPr>
          <w:p w14:paraId="054C0BA7"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0 (0.0)</w:t>
            </w:r>
          </w:p>
        </w:tc>
        <w:tc>
          <w:tcPr>
            <w:tcW w:w="974" w:type="dxa"/>
            <w:vAlign w:val="center"/>
          </w:tcPr>
          <w:p w14:paraId="5167C86E" w14:textId="77777777" w:rsidR="00DE2CEE" w:rsidRPr="00B85224" w:rsidRDefault="00DE2CEE" w:rsidP="00DE2CEE">
            <w:pPr>
              <w:rPr>
                <w:rFonts w:ascii="Arial" w:hAnsi="Arial" w:cs="Arial"/>
                <w:sz w:val="20"/>
                <w:szCs w:val="20"/>
              </w:rPr>
            </w:pPr>
          </w:p>
        </w:tc>
      </w:tr>
      <w:tr w:rsidR="00DE2CEE" w:rsidRPr="00B85224" w14:paraId="47D8FEA5" w14:textId="77777777" w:rsidTr="00A23F4D">
        <w:tc>
          <w:tcPr>
            <w:tcW w:w="3260" w:type="dxa"/>
            <w:vAlign w:val="center"/>
          </w:tcPr>
          <w:p w14:paraId="0FAC9DA0"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Non-government employee</w:t>
            </w:r>
          </w:p>
        </w:tc>
        <w:tc>
          <w:tcPr>
            <w:tcW w:w="1559" w:type="dxa"/>
            <w:vAlign w:val="center"/>
          </w:tcPr>
          <w:p w14:paraId="6C27AAAF"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45 (9.4)</w:t>
            </w:r>
          </w:p>
        </w:tc>
        <w:tc>
          <w:tcPr>
            <w:tcW w:w="1843" w:type="dxa"/>
            <w:vAlign w:val="center"/>
          </w:tcPr>
          <w:p w14:paraId="48CBF82E"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9 (5.0)</w:t>
            </w:r>
          </w:p>
        </w:tc>
        <w:tc>
          <w:tcPr>
            <w:tcW w:w="2126" w:type="dxa"/>
            <w:vAlign w:val="center"/>
          </w:tcPr>
          <w:p w14:paraId="53FCD93F"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36 (12.1)</w:t>
            </w:r>
          </w:p>
        </w:tc>
        <w:tc>
          <w:tcPr>
            <w:tcW w:w="974" w:type="dxa"/>
            <w:vAlign w:val="center"/>
          </w:tcPr>
          <w:p w14:paraId="26272C3E" w14:textId="77777777" w:rsidR="00DE2CEE" w:rsidRPr="00B85224" w:rsidRDefault="00DE2CEE" w:rsidP="00DE2CEE">
            <w:pPr>
              <w:rPr>
                <w:rFonts w:ascii="Arial" w:hAnsi="Arial" w:cs="Arial"/>
                <w:sz w:val="20"/>
                <w:szCs w:val="20"/>
              </w:rPr>
            </w:pPr>
          </w:p>
        </w:tc>
      </w:tr>
      <w:tr w:rsidR="00DE2CEE" w:rsidRPr="00B85224" w14:paraId="2C29FBD3" w14:textId="77777777" w:rsidTr="00A23F4D">
        <w:tc>
          <w:tcPr>
            <w:tcW w:w="3260" w:type="dxa"/>
            <w:vAlign w:val="center"/>
          </w:tcPr>
          <w:p w14:paraId="6AADDBA7"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Self-employed</w:t>
            </w:r>
          </w:p>
        </w:tc>
        <w:tc>
          <w:tcPr>
            <w:tcW w:w="1559" w:type="dxa"/>
            <w:vAlign w:val="center"/>
          </w:tcPr>
          <w:p w14:paraId="2AD07C19"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144 (30.2)</w:t>
            </w:r>
          </w:p>
        </w:tc>
        <w:tc>
          <w:tcPr>
            <w:tcW w:w="1843" w:type="dxa"/>
            <w:vAlign w:val="center"/>
          </w:tcPr>
          <w:p w14:paraId="1B358A2D"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63 (35.0)</w:t>
            </w:r>
          </w:p>
        </w:tc>
        <w:tc>
          <w:tcPr>
            <w:tcW w:w="2126" w:type="dxa"/>
            <w:vAlign w:val="center"/>
          </w:tcPr>
          <w:p w14:paraId="70029193"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81 (27.3)</w:t>
            </w:r>
          </w:p>
        </w:tc>
        <w:tc>
          <w:tcPr>
            <w:tcW w:w="974" w:type="dxa"/>
            <w:vAlign w:val="center"/>
          </w:tcPr>
          <w:p w14:paraId="2D979B35" w14:textId="77777777" w:rsidR="00DE2CEE" w:rsidRPr="00B85224" w:rsidRDefault="00DE2CEE" w:rsidP="00DE2CEE">
            <w:pPr>
              <w:rPr>
                <w:rFonts w:ascii="Arial" w:hAnsi="Arial" w:cs="Arial"/>
                <w:sz w:val="20"/>
                <w:szCs w:val="20"/>
              </w:rPr>
            </w:pPr>
          </w:p>
        </w:tc>
      </w:tr>
      <w:tr w:rsidR="00DE2CEE" w:rsidRPr="00B85224" w14:paraId="2494E45F" w14:textId="77777777" w:rsidTr="00A23F4D">
        <w:tc>
          <w:tcPr>
            <w:tcW w:w="3260" w:type="dxa"/>
            <w:vAlign w:val="center"/>
          </w:tcPr>
          <w:p w14:paraId="61AE90A3"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Homemaker</w:t>
            </w:r>
          </w:p>
        </w:tc>
        <w:tc>
          <w:tcPr>
            <w:tcW w:w="1559" w:type="dxa"/>
            <w:vAlign w:val="center"/>
          </w:tcPr>
          <w:p w14:paraId="00EFA5E5"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18 (3.8)</w:t>
            </w:r>
          </w:p>
        </w:tc>
        <w:tc>
          <w:tcPr>
            <w:tcW w:w="1843" w:type="dxa"/>
            <w:vAlign w:val="center"/>
          </w:tcPr>
          <w:p w14:paraId="04BBEC28"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0 (0.0)</w:t>
            </w:r>
          </w:p>
        </w:tc>
        <w:tc>
          <w:tcPr>
            <w:tcW w:w="2126" w:type="dxa"/>
            <w:vAlign w:val="center"/>
          </w:tcPr>
          <w:p w14:paraId="385F6338"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18 (6.1)</w:t>
            </w:r>
          </w:p>
        </w:tc>
        <w:tc>
          <w:tcPr>
            <w:tcW w:w="974" w:type="dxa"/>
            <w:vAlign w:val="center"/>
          </w:tcPr>
          <w:p w14:paraId="3E6E3285" w14:textId="77777777" w:rsidR="00DE2CEE" w:rsidRPr="00B85224" w:rsidRDefault="00DE2CEE" w:rsidP="00DE2CEE">
            <w:pPr>
              <w:rPr>
                <w:rFonts w:ascii="Arial" w:hAnsi="Arial" w:cs="Arial"/>
                <w:sz w:val="20"/>
                <w:szCs w:val="20"/>
              </w:rPr>
            </w:pPr>
          </w:p>
        </w:tc>
      </w:tr>
      <w:tr w:rsidR="00DE2CEE" w:rsidRPr="00B85224" w14:paraId="7E4978EF" w14:textId="77777777" w:rsidTr="00A23F4D">
        <w:tc>
          <w:tcPr>
            <w:tcW w:w="3260" w:type="dxa"/>
            <w:vAlign w:val="center"/>
          </w:tcPr>
          <w:p w14:paraId="7F09D1FF"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Student</w:t>
            </w:r>
          </w:p>
        </w:tc>
        <w:tc>
          <w:tcPr>
            <w:tcW w:w="1559" w:type="dxa"/>
            <w:vAlign w:val="center"/>
          </w:tcPr>
          <w:p w14:paraId="36CA1A66"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18 (3.8)</w:t>
            </w:r>
          </w:p>
        </w:tc>
        <w:tc>
          <w:tcPr>
            <w:tcW w:w="1843" w:type="dxa"/>
            <w:vAlign w:val="center"/>
          </w:tcPr>
          <w:p w14:paraId="02639127"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18 (10.0)</w:t>
            </w:r>
          </w:p>
        </w:tc>
        <w:tc>
          <w:tcPr>
            <w:tcW w:w="2126" w:type="dxa"/>
            <w:vAlign w:val="center"/>
          </w:tcPr>
          <w:p w14:paraId="40C42D54"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0 (0.0)</w:t>
            </w:r>
          </w:p>
        </w:tc>
        <w:tc>
          <w:tcPr>
            <w:tcW w:w="974" w:type="dxa"/>
            <w:vAlign w:val="center"/>
          </w:tcPr>
          <w:p w14:paraId="410BD725" w14:textId="77777777" w:rsidR="00DE2CEE" w:rsidRPr="00B85224" w:rsidRDefault="00DE2CEE" w:rsidP="00DE2CEE">
            <w:pPr>
              <w:rPr>
                <w:rFonts w:ascii="Arial" w:hAnsi="Arial" w:cs="Arial"/>
                <w:sz w:val="20"/>
                <w:szCs w:val="20"/>
              </w:rPr>
            </w:pPr>
          </w:p>
        </w:tc>
      </w:tr>
      <w:tr w:rsidR="00DE2CEE" w:rsidRPr="00B85224" w14:paraId="20B18024" w14:textId="77777777" w:rsidTr="00A23F4D">
        <w:tc>
          <w:tcPr>
            <w:tcW w:w="3260" w:type="dxa"/>
            <w:vAlign w:val="center"/>
          </w:tcPr>
          <w:p w14:paraId="63B16880"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Retired</w:t>
            </w:r>
          </w:p>
        </w:tc>
        <w:tc>
          <w:tcPr>
            <w:tcW w:w="1559" w:type="dxa"/>
            <w:vAlign w:val="center"/>
          </w:tcPr>
          <w:p w14:paraId="2802E41F"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108 (22.6)</w:t>
            </w:r>
          </w:p>
        </w:tc>
        <w:tc>
          <w:tcPr>
            <w:tcW w:w="1843" w:type="dxa"/>
            <w:vAlign w:val="center"/>
          </w:tcPr>
          <w:p w14:paraId="11F64923"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45 (25.0)</w:t>
            </w:r>
          </w:p>
        </w:tc>
        <w:tc>
          <w:tcPr>
            <w:tcW w:w="2126" w:type="dxa"/>
            <w:vAlign w:val="center"/>
          </w:tcPr>
          <w:p w14:paraId="30608F52"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63 (21.2)</w:t>
            </w:r>
          </w:p>
        </w:tc>
        <w:tc>
          <w:tcPr>
            <w:tcW w:w="974" w:type="dxa"/>
            <w:vAlign w:val="center"/>
          </w:tcPr>
          <w:p w14:paraId="0366FAD5" w14:textId="77777777" w:rsidR="00DE2CEE" w:rsidRPr="00B85224" w:rsidRDefault="00DE2CEE" w:rsidP="00DE2CEE">
            <w:pPr>
              <w:rPr>
                <w:rFonts w:ascii="Arial" w:hAnsi="Arial" w:cs="Arial"/>
                <w:sz w:val="20"/>
                <w:szCs w:val="20"/>
              </w:rPr>
            </w:pPr>
          </w:p>
        </w:tc>
      </w:tr>
      <w:tr w:rsidR="00DE2CEE" w:rsidRPr="00B85224" w14:paraId="43293425" w14:textId="77777777" w:rsidTr="00A23F4D">
        <w:tc>
          <w:tcPr>
            <w:tcW w:w="3260" w:type="dxa"/>
            <w:vAlign w:val="center"/>
          </w:tcPr>
          <w:p w14:paraId="548DB8D9"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Unemployed</w:t>
            </w:r>
          </w:p>
        </w:tc>
        <w:tc>
          <w:tcPr>
            <w:tcW w:w="1559" w:type="dxa"/>
            <w:vAlign w:val="center"/>
          </w:tcPr>
          <w:p w14:paraId="5BF93984"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117 (24.5)</w:t>
            </w:r>
          </w:p>
        </w:tc>
        <w:tc>
          <w:tcPr>
            <w:tcW w:w="1843" w:type="dxa"/>
            <w:vAlign w:val="center"/>
          </w:tcPr>
          <w:p w14:paraId="0320713F"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27 (15.0)</w:t>
            </w:r>
          </w:p>
        </w:tc>
        <w:tc>
          <w:tcPr>
            <w:tcW w:w="2126" w:type="dxa"/>
            <w:vAlign w:val="center"/>
          </w:tcPr>
          <w:p w14:paraId="0EA52DC5"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90 (30.3)</w:t>
            </w:r>
          </w:p>
        </w:tc>
        <w:tc>
          <w:tcPr>
            <w:tcW w:w="974" w:type="dxa"/>
            <w:vAlign w:val="center"/>
          </w:tcPr>
          <w:p w14:paraId="71D994AA" w14:textId="77777777" w:rsidR="00DE2CEE" w:rsidRPr="00B85224" w:rsidRDefault="00DE2CEE" w:rsidP="00DE2CEE">
            <w:pPr>
              <w:rPr>
                <w:rFonts w:ascii="Arial" w:hAnsi="Arial" w:cs="Arial"/>
                <w:sz w:val="20"/>
                <w:szCs w:val="20"/>
              </w:rPr>
            </w:pPr>
          </w:p>
        </w:tc>
      </w:tr>
      <w:tr w:rsidR="00DE2CEE" w:rsidRPr="00B85224" w14:paraId="7A61A11B" w14:textId="77777777" w:rsidTr="00A23F4D">
        <w:tc>
          <w:tcPr>
            <w:tcW w:w="3260" w:type="dxa"/>
            <w:vAlign w:val="center"/>
          </w:tcPr>
          <w:p w14:paraId="1EC248FC"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b/>
                <w:bCs/>
                <w:sz w:val="20"/>
                <w:szCs w:val="20"/>
              </w:rPr>
              <w:t>Household size, n (%)</w:t>
            </w:r>
          </w:p>
        </w:tc>
        <w:tc>
          <w:tcPr>
            <w:tcW w:w="1559" w:type="dxa"/>
            <w:vAlign w:val="center"/>
          </w:tcPr>
          <w:p w14:paraId="1E76A159" w14:textId="77777777" w:rsidR="00DE2CEE" w:rsidRPr="00B85224" w:rsidRDefault="00DE2CEE" w:rsidP="00DE2CEE">
            <w:pPr>
              <w:pStyle w:val="p1"/>
              <w:spacing w:before="0" w:beforeAutospacing="0" w:after="0" w:afterAutospacing="0"/>
              <w:rPr>
                <w:rFonts w:ascii="Arial" w:hAnsi="Arial" w:cs="Arial"/>
                <w:sz w:val="20"/>
                <w:szCs w:val="20"/>
              </w:rPr>
            </w:pPr>
          </w:p>
        </w:tc>
        <w:tc>
          <w:tcPr>
            <w:tcW w:w="1843" w:type="dxa"/>
            <w:vAlign w:val="center"/>
          </w:tcPr>
          <w:p w14:paraId="481896D8" w14:textId="77777777" w:rsidR="00DE2CEE" w:rsidRPr="00B85224" w:rsidRDefault="00DE2CEE" w:rsidP="00DE2CEE">
            <w:pPr>
              <w:rPr>
                <w:rFonts w:ascii="Arial" w:hAnsi="Arial" w:cs="Arial"/>
                <w:sz w:val="20"/>
                <w:szCs w:val="20"/>
              </w:rPr>
            </w:pPr>
          </w:p>
        </w:tc>
        <w:tc>
          <w:tcPr>
            <w:tcW w:w="2126" w:type="dxa"/>
            <w:vAlign w:val="center"/>
          </w:tcPr>
          <w:p w14:paraId="725FA931" w14:textId="77777777" w:rsidR="00DE2CEE" w:rsidRPr="00B85224" w:rsidRDefault="00DE2CEE" w:rsidP="00DE2CEE">
            <w:pPr>
              <w:rPr>
                <w:rFonts w:ascii="Arial" w:hAnsi="Arial" w:cs="Arial"/>
                <w:sz w:val="20"/>
                <w:szCs w:val="20"/>
              </w:rPr>
            </w:pPr>
          </w:p>
        </w:tc>
        <w:tc>
          <w:tcPr>
            <w:tcW w:w="974" w:type="dxa"/>
            <w:vAlign w:val="center"/>
          </w:tcPr>
          <w:p w14:paraId="5AEABD00"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b/>
                <w:bCs/>
                <w:sz w:val="20"/>
                <w:szCs w:val="20"/>
              </w:rPr>
              <w:t>&lt;.001</w:t>
            </w:r>
          </w:p>
        </w:tc>
      </w:tr>
      <w:tr w:rsidR="00DE2CEE" w:rsidRPr="00B85224" w14:paraId="715B6C61" w14:textId="77777777" w:rsidTr="00A23F4D">
        <w:tc>
          <w:tcPr>
            <w:tcW w:w="3260" w:type="dxa"/>
            <w:vAlign w:val="center"/>
          </w:tcPr>
          <w:p w14:paraId="0E6E8F88"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Living alone</w:t>
            </w:r>
          </w:p>
        </w:tc>
        <w:tc>
          <w:tcPr>
            <w:tcW w:w="1559" w:type="dxa"/>
            <w:vAlign w:val="center"/>
          </w:tcPr>
          <w:p w14:paraId="42851EA9"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18 (3.8)</w:t>
            </w:r>
          </w:p>
        </w:tc>
        <w:tc>
          <w:tcPr>
            <w:tcW w:w="1843" w:type="dxa"/>
            <w:vAlign w:val="center"/>
          </w:tcPr>
          <w:p w14:paraId="07F61376"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18 (10.0)</w:t>
            </w:r>
          </w:p>
        </w:tc>
        <w:tc>
          <w:tcPr>
            <w:tcW w:w="2126" w:type="dxa"/>
            <w:vAlign w:val="center"/>
          </w:tcPr>
          <w:p w14:paraId="06555616"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0 (0.0)</w:t>
            </w:r>
          </w:p>
        </w:tc>
        <w:tc>
          <w:tcPr>
            <w:tcW w:w="974" w:type="dxa"/>
            <w:vAlign w:val="center"/>
          </w:tcPr>
          <w:p w14:paraId="12D430A9" w14:textId="77777777" w:rsidR="00DE2CEE" w:rsidRPr="00B85224" w:rsidRDefault="00DE2CEE" w:rsidP="00DE2CEE">
            <w:pPr>
              <w:pStyle w:val="p1"/>
              <w:spacing w:before="0" w:beforeAutospacing="0" w:after="0" w:afterAutospacing="0"/>
              <w:rPr>
                <w:rFonts w:ascii="Arial" w:hAnsi="Arial" w:cs="Arial"/>
                <w:sz w:val="20"/>
                <w:szCs w:val="20"/>
              </w:rPr>
            </w:pPr>
          </w:p>
        </w:tc>
      </w:tr>
      <w:tr w:rsidR="00DE2CEE" w:rsidRPr="00B85224" w14:paraId="421A6D23" w14:textId="77777777" w:rsidTr="00A23F4D">
        <w:tc>
          <w:tcPr>
            <w:tcW w:w="3260" w:type="dxa"/>
            <w:vAlign w:val="center"/>
          </w:tcPr>
          <w:p w14:paraId="5B59ACCA"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2–3 persons</w:t>
            </w:r>
          </w:p>
        </w:tc>
        <w:tc>
          <w:tcPr>
            <w:tcW w:w="1559" w:type="dxa"/>
            <w:vAlign w:val="center"/>
          </w:tcPr>
          <w:p w14:paraId="1A469C6C"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54 (11.3)</w:t>
            </w:r>
          </w:p>
        </w:tc>
        <w:tc>
          <w:tcPr>
            <w:tcW w:w="1843" w:type="dxa"/>
            <w:vAlign w:val="center"/>
          </w:tcPr>
          <w:p w14:paraId="21EBA950"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27 (15.0)</w:t>
            </w:r>
          </w:p>
        </w:tc>
        <w:tc>
          <w:tcPr>
            <w:tcW w:w="2126" w:type="dxa"/>
            <w:vAlign w:val="center"/>
          </w:tcPr>
          <w:p w14:paraId="68CB1FE0"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27 (9.1)</w:t>
            </w:r>
          </w:p>
        </w:tc>
        <w:tc>
          <w:tcPr>
            <w:tcW w:w="974" w:type="dxa"/>
            <w:vAlign w:val="center"/>
          </w:tcPr>
          <w:p w14:paraId="5392CEF5" w14:textId="77777777" w:rsidR="00DE2CEE" w:rsidRPr="00B85224" w:rsidRDefault="00DE2CEE" w:rsidP="00DE2CEE">
            <w:pPr>
              <w:pStyle w:val="p1"/>
              <w:spacing w:before="0" w:beforeAutospacing="0" w:after="0" w:afterAutospacing="0"/>
              <w:rPr>
                <w:rFonts w:ascii="Arial" w:hAnsi="Arial" w:cs="Arial"/>
                <w:sz w:val="20"/>
                <w:szCs w:val="20"/>
              </w:rPr>
            </w:pPr>
          </w:p>
        </w:tc>
      </w:tr>
      <w:tr w:rsidR="00DE2CEE" w:rsidRPr="00B85224" w14:paraId="04FDA078" w14:textId="77777777" w:rsidTr="00A23F4D">
        <w:tc>
          <w:tcPr>
            <w:tcW w:w="3260" w:type="dxa"/>
            <w:vAlign w:val="center"/>
          </w:tcPr>
          <w:p w14:paraId="0AD9B348"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4–5 persons</w:t>
            </w:r>
          </w:p>
        </w:tc>
        <w:tc>
          <w:tcPr>
            <w:tcW w:w="1559" w:type="dxa"/>
            <w:vAlign w:val="center"/>
          </w:tcPr>
          <w:p w14:paraId="5CBF8348"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180 (37.7)</w:t>
            </w:r>
          </w:p>
        </w:tc>
        <w:tc>
          <w:tcPr>
            <w:tcW w:w="1843" w:type="dxa"/>
            <w:vAlign w:val="center"/>
          </w:tcPr>
          <w:p w14:paraId="3A1C4EDA"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63 (35.0)</w:t>
            </w:r>
          </w:p>
        </w:tc>
        <w:tc>
          <w:tcPr>
            <w:tcW w:w="2126" w:type="dxa"/>
            <w:vAlign w:val="center"/>
          </w:tcPr>
          <w:p w14:paraId="6B09D809"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117 (39.4)</w:t>
            </w:r>
          </w:p>
        </w:tc>
        <w:tc>
          <w:tcPr>
            <w:tcW w:w="974" w:type="dxa"/>
            <w:vAlign w:val="center"/>
          </w:tcPr>
          <w:p w14:paraId="73B1BF1D" w14:textId="77777777" w:rsidR="00DE2CEE" w:rsidRPr="00B85224" w:rsidRDefault="00DE2CEE" w:rsidP="00DE2CEE">
            <w:pPr>
              <w:pStyle w:val="p1"/>
              <w:spacing w:before="0" w:beforeAutospacing="0" w:after="0" w:afterAutospacing="0"/>
              <w:rPr>
                <w:rFonts w:ascii="Arial" w:hAnsi="Arial" w:cs="Arial"/>
                <w:sz w:val="20"/>
                <w:szCs w:val="20"/>
              </w:rPr>
            </w:pPr>
          </w:p>
        </w:tc>
      </w:tr>
      <w:tr w:rsidR="00DE2CEE" w:rsidRPr="00B85224" w14:paraId="3D3A06D9" w14:textId="77777777" w:rsidTr="00A23F4D">
        <w:tc>
          <w:tcPr>
            <w:tcW w:w="3260" w:type="dxa"/>
            <w:vAlign w:val="center"/>
          </w:tcPr>
          <w:p w14:paraId="1101C27C"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&gt;5 persons</w:t>
            </w:r>
          </w:p>
        </w:tc>
        <w:tc>
          <w:tcPr>
            <w:tcW w:w="1559" w:type="dxa"/>
            <w:vAlign w:val="center"/>
          </w:tcPr>
          <w:p w14:paraId="0B8ECCF1"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225 (47.2)</w:t>
            </w:r>
          </w:p>
        </w:tc>
        <w:tc>
          <w:tcPr>
            <w:tcW w:w="1843" w:type="dxa"/>
            <w:vAlign w:val="center"/>
          </w:tcPr>
          <w:p w14:paraId="0058EE61"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72 (40.0)</w:t>
            </w:r>
          </w:p>
        </w:tc>
        <w:tc>
          <w:tcPr>
            <w:tcW w:w="2126" w:type="dxa"/>
            <w:vAlign w:val="center"/>
          </w:tcPr>
          <w:p w14:paraId="6EBDB4E2"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153 (51.5)</w:t>
            </w:r>
          </w:p>
        </w:tc>
        <w:tc>
          <w:tcPr>
            <w:tcW w:w="974" w:type="dxa"/>
            <w:vAlign w:val="center"/>
          </w:tcPr>
          <w:p w14:paraId="7ED14466" w14:textId="77777777" w:rsidR="00DE2CEE" w:rsidRPr="00B85224" w:rsidRDefault="00DE2CEE" w:rsidP="00DE2CEE">
            <w:pPr>
              <w:pStyle w:val="p1"/>
              <w:spacing w:before="0" w:beforeAutospacing="0" w:after="0" w:afterAutospacing="0"/>
              <w:rPr>
                <w:rFonts w:ascii="Arial" w:hAnsi="Arial" w:cs="Arial"/>
                <w:sz w:val="20"/>
                <w:szCs w:val="20"/>
              </w:rPr>
            </w:pPr>
          </w:p>
        </w:tc>
      </w:tr>
    </w:tbl>
    <w:p w14:paraId="76258E2B" w14:textId="77777777" w:rsidR="00DE2CEE" w:rsidRPr="00B85224" w:rsidRDefault="00000000" w:rsidP="00A23F4D">
      <w:pPr>
        <w:jc w:val="both"/>
        <w:rPr>
          <w:rFonts w:ascii="Arial" w:hAnsi="Arial" w:cs="Arial"/>
          <w:i/>
          <w:sz w:val="18"/>
          <w:szCs w:val="18"/>
        </w:rPr>
      </w:pPr>
      <w:r w:rsidRPr="00B85224">
        <w:rPr>
          <w:rFonts w:ascii="Arial" w:hAnsi="Arial" w:cs="Arial"/>
          <w:i/>
          <w:sz w:val="18"/>
          <w:szCs w:val="18"/>
        </w:rPr>
        <w:t>Values are mean ± SD or n (%) as appropriate. Exact P values are reported except P &lt; .001.</w:t>
      </w:r>
      <w:r w:rsidR="00597FB9" w:rsidRPr="00B85224">
        <w:rPr>
          <w:rFonts w:ascii="Arial" w:hAnsi="Arial" w:cs="Arial"/>
          <w:i/>
          <w:sz w:val="18"/>
          <w:szCs w:val="18"/>
        </w:rPr>
        <w:t xml:space="preserve"> </w:t>
      </w:r>
      <w:r w:rsidR="00DE2CEE" w:rsidRPr="00B85224">
        <w:rPr>
          <w:rFonts w:ascii="Arial" w:hAnsi="Arial" w:cs="Arial"/>
          <w:i/>
          <w:sz w:val="18"/>
          <w:szCs w:val="18"/>
        </w:rPr>
        <w:t>Values are presented as mean ± standard deviation (SD) or frequency (%), as appropriate. P-values compare participants with lower and higher clustered cardiometabolic abnormality (CCA) burden. Statistical significance was defined as p&lt;0.05.</w:t>
      </w:r>
    </w:p>
    <w:p w14:paraId="19CBF193" w14:textId="77777777" w:rsidR="00D065D9" w:rsidRPr="00B85224" w:rsidRDefault="00000000">
      <w:pPr>
        <w:spacing w:before="160" w:after="100"/>
        <w:rPr>
          <w:rFonts w:ascii="Arial" w:hAnsi="Arial" w:cs="Arial"/>
          <w:sz w:val="22"/>
          <w:szCs w:val="22"/>
        </w:rPr>
      </w:pPr>
      <w:r w:rsidRPr="00B85224">
        <w:rPr>
          <w:rFonts w:ascii="Arial" w:hAnsi="Arial" w:cs="Arial"/>
          <w:b/>
          <w:sz w:val="22"/>
          <w:szCs w:val="22"/>
        </w:rPr>
        <w:t>3.1.2 Clinical and Cardiometabolic Characteristics</w:t>
      </w:r>
    </w:p>
    <w:p w14:paraId="3FFF41E2" w14:textId="77777777" w:rsidR="007D3D1C" w:rsidRPr="00B85224" w:rsidRDefault="007D3D1C" w:rsidP="007D3D1C">
      <w:pPr>
        <w:spacing w:after="120"/>
        <w:jc w:val="both"/>
        <w:rPr>
          <w:rFonts w:ascii="Arial" w:hAnsi="Arial" w:cs="Arial"/>
          <w:sz w:val="20"/>
          <w:szCs w:val="20"/>
        </w:rPr>
      </w:pPr>
      <w:r w:rsidRPr="00B85224">
        <w:rPr>
          <w:rFonts w:ascii="Arial" w:hAnsi="Arial" w:cs="Arial"/>
          <w:sz w:val="20"/>
          <w:szCs w:val="20"/>
        </w:rPr>
        <w:t xml:space="preserve">Table 2 </w:t>
      </w:r>
      <w:proofErr w:type="spellStart"/>
      <w:r w:rsidRPr="00B85224">
        <w:rPr>
          <w:rFonts w:ascii="Arial" w:hAnsi="Arial" w:cs="Arial"/>
          <w:sz w:val="20"/>
          <w:szCs w:val="20"/>
        </w:rPr>
        <w:t>summarises</w:t>
      </w:r>
      <w:proofErr w:type="spellEnd"/>
      <w:r w:rsidRPr="00B85224">
        <w:rPr>
          <w:rFonts w:ascii="Arial" w:hAnsi="Arial" w:cs="Arial"/>
          <w:sz w:val="20"/>
          <w:szCs w:val="20"/>
        </w:rPr>
        <w:t xml:space="preserve"> the clinical and cardiometabolic characteristics of participants according to clustered cardiometabolic abnormality (CCA) burden. Participants with a higher CCA burden consistently demonstrated less </w:t>
      </w:r>
      <w:proofErr w:type="spellStart"/>
      <w:r w:rsidRPr="00B85224">
        <w:rPr>
          <w:rFonts w:ascii="Arial" w:hAnsi="Arial" w:cs="Arial"/>
          <w:sz w:val="20"/>
          <w:szCs w:val="20"/>
        </w:rPr>
        <w:t>favourable</w:t>
      </w:r>
      <w:proofErr w:type="spellEnd"/>
      <w:r w:rsidRPr="00B85224">
        <w:rPr>
          <w:rFonts w:ascii="Arial" w:hAnsi="Arial" w:cs="Arial"/>
          <w:sz w:val="20"/>
          <w:szCs w:val="20"/>
        </w:rPr>
        <w:t xml:space="preserve"> cardiometabolic profiles than those with a lower burden. The mean body mass index was higher among participants with higher CCA burden than among those with lower burden (33.99 ± 8.01 vs 26.15 ± 5.38 kg/m²; p&lt;.001). Similarly, both systolic and diastolic blood pressures were markedly higher in the higher CCA burden group. Mean systolic blood pressure was 141.55 ± 21.90 mmHg compared with 111.80 ± 12.59 mmHg in the lower burden group, while mean diastolic blood pressure was 95.97 ± 18.02 mmHg compared with 73.60 ± 10.19 mmHg, respectively (both p&lt;.001).</w:t>
      </w:r>
    </w:p>
    <w:p w14:paraId="3E8F5EC2" w14:textId="77777777" w:rsidR="007D3D1C" w:rsidRPr="00B85224" w:rsidRDefault="007D3D1C" w:rsidP="007D3D1C">
      <w:pPr>
        <w:spacing w:after="120"/>
        <w:jc w:val="both"/>
        <w:rPr>
          <w:rFonts w:ascii="Arial" w:hAnsi="Arial" w:cs="Arial"/>
          <w:sz w:val="20"/>
          <w:szCs w:val="20"/>
        </w:rPr>
      </w:pPr>
      <w:r w:rsidRPr="00B85224">
        <w:rPr>
          <w:rFonts w:ascii="Arial" w:hAnsi="Arial" w:cs="Arial"/>
          <w:sz w:val="20"/>
          <w:szCs w:val="20"/>
          <w:highlight w:val="yellow"/>
        </w:rPr>
        <w:t>Furthermore, fasting blood glucose differed significantly</w:t>
      </w:r>
      <w:r w:rsidRPr="00B85224">
        <w:rPr>
          <w:rFonts w:ascii="Arial" w:hAnsi="Arial" w:cs="Arial"/>
          <w:sz w:val="20"/>
          <w:szCs w:val="20"/>
        </w:rPr>
        <w:t xml:space="preserve"> between the two groups, with participants in the higher CCA burden group recording a mean value of 7.50 ± 2.32 mmol/L compared with 4.16 ± 0.44 mmol/L among those with lower burden (p&lt;.001). In addition, total cholesterol, triglycerides, LDL-C and VLDL-C were all significantly higher among participants with higher CCA burden. Mean total cholesterol was 3.66 ± 0.77 mmol/L in the higher burden group compared with 3.04 ± 0.47 mmol/L in the lower burden group, while triglyceride concentrations were 1.45 ± 0.25 mmol/L and 1.18 ± 0.16 mmol/L, respectively (both p&lt;.001). Mean LDL-C was likewise higher among participants with higher burden (1.61 ± 0.72 vs 1.08 ± 0.46 mmol/L; p&lt;.001), as was VLDL-C (0.66 ± 0.11 vs 0.54 ± 0.07 mmol/L; p&lt;.001).</w:t>
      </w:r>
    </w:p>
    <w:p w14:paraId="1D330249" w14:textId="77777777" w:rsidR="007D3D1C" w:rsidRPr="00B85224" w:rsidRDefault="007D3D1C" w:rsidP="007D3D1C">
      <w:pPr>
        <w:spacing w:after="120"/>
        <w:jc w:val="both"/>
        <w:rPr>
          <w:rFonts w:ascii="Arial" w:hAnsi="Arial" w:cs="Arial"/>
          <w:sz w:val="20"/>
          <w:szCs w:val="20"/>
        </w:rPr>
      </w:pPr>
      <w:r w:rsidRPr="00B85224">
        <w:rPr>
          <w:rFonts w:ascii="Arial" w:hAnsi="Arial" w:cs="Arial"/>
          <w:sz w:val="20"/>
          <w:szCs w:val="20"/>
        </w:rPr>
        <w:lastRenderedPageBreak/>
        <w:t xml:space="preserve">In contrast, HDL-C concentrations were similar between participants with higher and lower CCA burden (1.40 ± 0.22 vs 1.42 ± 0.23 mmol/L), and the difference was not statistically significant (p=.460). Overall, higher CCA burden was characterised by significantly greater adiposity, higher blood pressure, elevated fasting glucose and a less </w:t>
      </w:r>
      <w:proofErr w:type="spellStart"/>
      <w:r w:rsidRPr="00B85224">
        <w:rPr>
          <w:rFonts w:ascii="Arial" w:hAnsi="Arial" w:cs="Arial"/>
          <w:sz w:val="20"/>
          <w:szCs w:val="20"/>
        </w:rPr>
        <w:t>favourable</w:t>
      </w:r>
      <w:proofErr w:type="spellEnd"/>
      <w:r w:rsidRPr="00B85224">
        <w:rPr>
          <w:rFonts w:ascii="Arial" w:hAnsi="Arial" w:cs="Arial"/>
          <w:sz w:val="20"/>
          <w:szCs w:val="20"/>
        </w:rPr>
        <w:t xml:space="preserve"> lipid profile, with the exception of HDL-C.</w:t>
      </w:r>
    </w:p>
    <w:p w14:paraId="48EB5AC6" w14:textId="77777777" w:rsidR="00D065D9" w:rsidRPr="00305CEB" w:rsidRDefault="00000000">
      <w:pPr>
        <w:spacing w:before="120" w:after="80"/>
        <w:rPr>
          <w:rFonts w:ascii="Arial" w:hAnsi="Arial" w:cs="Arial"/>
          <w:b/>
          <w:sz w:val="20"/>
          <w:szCs w:val="20"/>
        </w:rPr>
      </w:pPr>
      <w:r w:rsidRPr="00B85224">
        <w:rPr>
          <w:rFonts w:ascii="Arial" w:hAnsi="Arial" w:cs="Arial"/>
          <w:b/>
          <w:sz w:val="20"/>
        </w:rPr>
        <w:t>Table 2. Clinical and cardiometabolic characteristics of participants according to CCA burden</w:t>
      </w:r>
      <w:r w:rsidR="00305CEB">
        <w:rPr>
          <w:rFonts w:ascii="Arial" w:hAnsi="Arial" w:cs="Arial"/>
          <w:b/>
          <w:sz w:val="20"/>
        </w:rPr>
        <w:t xml:space="preserve"> </w:t>
      </w:r>
      <w:r w:rsidR="00305CEB" w:rsidRPr="00B85224">
        <w:rPr>
          <w:rFonts w:ascii="Arial" w:hAnsi="Arial" w:cs="Arial"/>
          <w:b/>
          <w:sz w:val="20"/>
          <w:szCs w:val="20"/>
        </w:rPr>
        <w:t>Among Adults in Ikwerre Local Government Area, Rivers State, Nigeria</w:t>
      </w:r>
    </w:p>
    <w:tbl>
      <w:tblPr>
        <w:tblStyle w:val="TableGrid"/>
        <w:tblW w:w="0" w:type="auto"/>
        <w:tblInd w:w="53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10"/>
        <w:gridCol w:w="1531"/>
        <w:gridCol w:w="2071"/>
        <w:gridCol w:w="1935"/>
        <w:gridCol w:w="136"/>
        <w:gridCol w:w="963"/>
      </w:tblGrid>
      <w:tr w:rsidR="00B85224" w:rsidRPr="00C40275" w14:paraId="356AD8D6" w14:textId="77777777" w:rsidTr="00B85224">
        <w:tc>
          <w:tcPr>
            <w:tcW w:w="2976" w:type="dxa"/>
            <w:tcBorders>
              <w:top w:val="single" w:sz="4" w:space="0" w:color="auto"/>
              <w:bottom w:val="single" w:sz="4" w:space="0" w:color="auto"/>
            </w:tcBorders>
            <w:vAlign w:val="center"/>
          </w:tcPr>
          <w:p w14:paraId="080636E0" w14:textId="77777777" w:rsidR="00F9259A" w:rsidRPr="00C40275" w:rsidRDefault="00F9259A" w:rsidP="00F9259A">
            <w:pPr>
              <w:pStyle w:val="p1"/>
              <w:spacing w:before="0" w:beforeAutospacing="0" w:after="0" w:afterAutospacing="0"/>
              <w:jc w:val="center"/>
              <w:rPr>
                <w:rFonts w:ascii="Arial" w:hAnsi="Arial" w:cs="Arial"/>
                <w:b/>
                <w:bCs/>
                <w:sz w:val="20"/>
                <w:szCs w:val="20"/>
              </w:rPr>
            </w:pPr>
            <w:r w:rsidRPr="00C40275">
              <w:rPr>
                <w:rFonts w:ascii="Arial" w:hAnsi="Arial" w:cs="Arial"/>
                <w:b/>
                <w:bCs/>
                <w:sz w:val="20"/>
                <w:szCs w:val="20"/>
              </w:rPr>
              <w:t>Characteristic</w:t>
            </w:r>
          </w:p>
        </w:tc>
        <w:tc>
          <w:tcPr>
            <w:tcW w:w="1560" w:type="dxa"/>
            <w:tcBorders>
              <w:top w:val="single" w:sz="4" w:space="0" w:color="auto"/>
              <w:bottom w:val="single" w:sz="4" w:space="0" w:color="auto"/>
            </w:tcBorders>
            <w:vAlign w:val="center"/>
          </w:tcPr>
          <w:p w14:paraId="7173D3CA" w14:textId="77777777" w:rsidR="00F9259A" w:rsidRPr="00C40275" w:rsidRDefault="00F9259A" w:rsidP="00F9259A">
            <w:pPr>
              <w:pStyle w:val="p1"/>
              <w:spacing w:before="0" w:beforeAutospacing="0" w:after="0" w:afterAutospacing="0"/>
              <w:jc w:val="center"/>
              <w:rPr>
                <w:rFonts w:ascii="Arial" w:hAnsi="Arial" w:cs="Arial"/>
                <w:b/>
                <w:bCs/>
                <w:sz w:val="20"/>
                <w:szCs w:val="20"/>
              </w:rPr>
            </w:pPr>
            <w:r w:rsidRPr="00C40275">
              <w:rPr>
                <w:rFonts w:ascii="Arial" w:hAnsi="Arial" w:cs="Arial"/>
                <w:b/>
                <w:bCs/>
                <w:sz w:val="20"/>
                <w:szCs w:val="20"/>
              </w:rPr>
              <w:t xml:space="preserve">Overall </w:t>
            </w:r>
          </w:p>
          <w:p w14:paraId="0390D0DE" w14:textId="77777777" w:rsidR="00F9259A" w:rsidRPr="00C40275" w:rsidRDefault="00F9259A" w:rsidP="00F9259A">
            <w:pPr>
              <w:pStyle w:val="p1"/>
              <w:spacing w:before="0" w:beforeAutospacing="0" w:after="0" w:afterAutospacing="0"/>
              <w:jc w:val="center"/>
              <w:rPr>
                <w:rFonts w:ascii="Arial" w:hAnsi="Arial" w:cs="Arial"/>
                <w:b/>
                <w:bCs/>
                <w:sz w:val="20"/>
                <w:szCs w:val="20"/>
              </w:rPr>
            </w:pPr>
            <w:r w:rsidRPr="00C40275">
              <w:rPr>
                <w:rFonts w:ascii="Arial" w:hAnsi="Arial" w:cs="Arial"/>
                <w:b/>
                <w:bCs/>
                <w:sz w:val="20"/>
                <w:szCs w:val="20"/>
              </w:rPr>
              <w:t>(n=477)</w:t>
            </w:r>
          </w:p>
        </w:tc>
        <w:tc>
          <w:tcPr>
            <w:tcW w:w="2126" w:type="dxa"/>
            <w:tcBorders>
              <w:top w:val="single" w:sz="4" w:space="0" w:color="auto"/>
              <w:bottom w:val="single" w:sz="4" w:space="0" w:color="auto"/>
            </w:tcBorders>
            <w:vAlign w:val="center"/>
          </w:tcPr>
          <w:p w14:paraId="65A97816" w14:textId="77777777" w:rsidR="00F9259A" w:rsidRPr="00C40275" w:rsidRDefault="00F9259A" w:rsidP="00F9259A">
            <w:pPr>
              <w:pStyle w:val="p1"/>
              <w:spacing w:before="0" w:beforeAutospacing="0" w:after="0" w:afterAutospacing="0"/>
              <w:jc w:val="center"/>
              <w:rPr>
                <w:rFonts w:ascii="Arial" w:hAnsi="Arial" w:cs="Arial"/>
                <w:b/>
                <w:bCs/>
                <w:sz w:val="20"/>
                <w:szCs w:val="20"/>
              </w:rPr>
            </w:pPr>
            <w:r w:rsidRPr="00C40275">
              <w:rPr>
                <w:rFonts w:ascii="Arial" w:hAnsi="Arial" w:cs="Arial"/>
                <w:b/>
                <w:bCs/>
                <w:sz w:val="20"/>
                <w:szCs w:val="20"/>
              </w:rPr>
              <w:t>Lower CCA burden (n=180)</w:t>
            </w:r>
          </w:p>
        </w:tc>
        <w:tc>
          <w:tcPr>
            <w:tcW w:w="1984" w:type="dxa"/>
            <w:tcBorders>
              <w:top w:val="single" w:sz="4" w:space="0" w:color="auto"/>
              <w:bottom w:val="single" w:sz="4" w:space="0" w:color="auto"/>
            </w:tcBorders>
            <w:vAlign w:val="center"/>
          </w:tcPr>
          <w:p w14:paraId="3170E0F9" w14:textId="77777777" w:rsidR="00F9259A" w:rsidRPr="00C40275" w:rsidRDefault="00F9259A" w:rsidP="00F9259A">
            <w:pPr>
              <w:pStyle w:val="p1"/>
              <w:spacing w:before="0" w:beforeAutospacing="0" w:after="0" w:afterAutospacing="0"/>
              <w:jc w:val="center"/>
              <w:rPr>
                <w:rFonts w:ascii="Arial" w:hAnsi="Arial" w:cs="Arial"/>
                <w:b/>
                <w:bCs/>
                <w:sz w:val="20"/>
                <w:szCs w:val="20"/>
              </w:rPr>
            </w:pPr>
            <w:r w:rsidRPr="00C40275">
              <w:rPr>
                <w:rFonts w:ascii="Arial" w:hAnsi="Arial" w:cs="Arial"/>
                <w:b/>
                <w:bCs/>
                <w:sz w:val="20"/>
                <w:szCs w:val="20"/>
              </w:rPr>
              <w:t>Higher CCA burden (n=297)</w:t>
            </w:r>
          </w:p>
        </w:tc>
        <w:tc>
          <w:tcPr>
            <w:tcW w:w="1116" w:type="dxa"/>
            <w:gridSpan w:val="2"/>
            <w:tcBorders>
              <w:top w:val="single" w:sz="4" w:space="0" w:color="auto"/>
              <w:bottom w:val="single" w:sz="4" w:space="0" w:color="auto"/>
            </w:tcBorders>
            <w:vAlign w:val="center"/>
          </w:tcPr>
          <w:p w14:paraId="52738965" w14:textId="77777777" w:rsidR="00F9259A" w:rsidRPr="00C40275" w:rsidRDefault="00F9259A" w:rsidP="00F9259A">
            <w:pPr>
              <w:pStyle w:val="p1"/>
              <w:spacing w:before="0" w:beforeAutospacing="0" w:after="0" w:afterAutospacing="0"/>
              <w:jc w:val="center"/>
              <w:rPr>
                <w:rFonts w:ascii="Arial" w:hAnsi="Arial" w:cs="Arial"/>
                <w:b/>
                <w:bCs/>
                <w:sz w:val="20"/>
                <w:szCs w:val="20"/>
              </w:rPr>
            </w:pPr>
            <w:r w:rsidRPr="00C40275">
              <w:rPr>
                <w:rFonts w:ascii="Arial" w:hAnsi="Arial" w:cs="Arial"/>
                <w:b/>
                <w:bCs/>
                <w:sz w:val="20"/>
                <w:szCs w:val="20"/>
              </w:rPr>
              <w:t>P-value</w:t>
            </w:r>
          </w:p>
        </w:tc>
      </w:tr>
      <w:tr w:rsidR="00B137FA" w:rsidRPr="00C40275" w14:paraId="125BDEA4" w14:textId="77777777" w:rsidTr="00C14824">
        <w:tc>
          <w:tcPr>
            <w:tcW w:w="2976" w:type="dxa"/>
          </w:tcPr>
          <w:p w14:paraId="5F0D47DB" w14:textId="77777777" w:rsidR="00B137FA" w:rsidRPr="00C40275" w:rsidRDefault="00B137FA" w:rsidP="00B137FA">
            <w:pPr>
              <w:rPr>
                <w:rFonts w:ascii="Arial" w:hAnsi="Arial" w:cs="Arial"/>
                <w:sz w:val="20"/>
                <w:szCs w:val="20"/>
              </w:rPr>
            </w:pPr>
            <w:r w:rsidRPr="00C40275">
              <w:rPr>
                <w:rFonts w:ascii="Arial" w:hAnsi="Arial" w:cs="Arial"/>
                <w:sz w:val="20"/>
                <w:szCs w:val="20"/>
              </w:rPr>
              <w:t>BMI, kg/m²</w:t>
            </w:r>
          </w:p>
        </w:tc>
        <w:tc>
          <w:tcPr>
            <w:tcW w:w="1560" w:type="dxa"/>
          </w:tcPr>
          <w:p w14:paraId="1B8A8CA7" w14:textId="77777777" w:rsidR="00B137FA" w:rsidRPr="00C40275" w:rsidRDefault="00B137FA" w:rsidP="00B137FA">
            <w:pPr>
              <w:rPr>
                <w:rFonts w:ascii="Arial" w:hAnsi="Arial" w:cs="Arial"/>
                <w:sz w:val="20"/>
                <w:szCs w:val="20"/>
              </w:rPr>
            </w:pPr>
            <w:r w:rsidRPr="00C40275">
              <w:rPr>
                <w:rFonts w:ascii="Arial" w:hAnsi="Arial" w:cs="Arial"/>
                <w:sz w:val="20"/>
                <w:szCs w:val="20"/>
              </w:rPr>
              <w:t>31.03 ± 8.08</w:t>
            </w:r>
          </w:p>
        </w:tc>
        <w:tc>
          <w:tcPr>
            <w:tcW w:w="2126" w:type="dxa"/>
          </w:tcPr>
          <w:p w14:paraId="2D42B251" w14:textId="77777777" w:rsidR="00B137FA" w:rsidRPr="00C40275" w:rsidRDefault="00B137FA" w:rsidP="00B137FA">
            <w:pPr>
              <w:rPr>
                <w:rFonts w:ascii="Arial" w:hAnsi="Arial" w:cs="Arial"/>
                <w:sz w:val="20"/>
                <w:szCs w:val="20"/>
              </w:rPr>
            </w:pPr>
            <w:r w:rsidRPr="00C40275">
              <w:rPr>
                <w:rFonts w:ascii="Arial" w:hAnsi="Arial" w:cs="Arial"/>
                <w:sz w:val="20"/>
                <w:szCs w:val="20"/>
              </w:rPr>
              <w:t>26.15 ± 5.38</w:t>
            </w:r>
          </w:p>
        </w:tc>
        <w:tc>
          <w:tcPr>
            <w:tcW w:w="2126" w:type="dxa"/>
            <w:gridSpan w:val="2"/>
          </w:tcPr>
          <w:p w14:paraId="72BFAA7C" w14:textId="77777777" w:rsidR="00B137FA" w:rsidRPr="00C40275" w:rsidRDefault="00B137FA" w:rsidP="00B137FA">
            <w:pPr>
              <w:rPr>
                <w:rFonts w:ascii="Arial" w:hAnsi="Arial" w:cs="Arial"/>
                <w:sz w:val="20"/>
                <w:szCs w:val="20"/>
              </w:rPr>
            </w:pPr>
            <w:r w:rsidRPr="00C40275">
              <w:rPr>
                <w:rFonts w:ascii="Arial" w:hAnsi="Arial" w:cs="Arial"/>
                <w:sz w:val="20"/>
                <w:szCs w:val="20"/>
              </w:rPr>
              <w:t>33.99 ± 8.01</w:t>
            </w:r>
          </w:p>
        </w:tc>
        <w:tc>
          <w:tcPr>
            <w:tcW w:w="974" w:type="dxa"/>
          </w:tcPr>
          <w:p w14:paraId="3DFC47D0" w14:textId="77777777" w:rsidR="00B137FA" w:rsidRPr="00C40275" w:rsidRDefault="00B137FA" w:rsidP="00B137FA">
            <w:pPr>
              <w:rPr>
                <w:rFonts w:ascii="Arial" w:hAnsi="Arial" w:cs="Arial"/>
                <w:sz w:val="20"/>
                <w:szCs w:val="20"/>
              </w:rPr>
            </w:pPr>
            <w:r w:rsidRPr="00C40275">
              <w:rPr>
                <w:rFonts w:ascii="Arial" w:hAnsi="Arial" w:cs="Arial"/>
                <w:sz w:val="20"/>
                <w:szCs w:val="20"/>
              </w:rPr>
              <w:t>&lt;.001</w:t>
            </w:r>
          </w:p>
        </w:tc>
      </w:tr>
      <w:tr w:rsidR="00B137FA" w:rsidRPr="00C40275" w14:paraId="430A8F86" w14:textId="77777777" w:rsidTr="00C14824">
        <w:tc>
          <w:tcPr>
            <w:tcW w:w="2976" w:type="dxa"/>
          </w:tcPr>
          <w:p w14:paraId="6978F884" w14:textId="77777777" w:rsidR="00B137FA" w:rsidRPr="00C40275" w:rsidRDefault="00B137FA" w:rsidP="00B137FA">
            <w:pPr>
              <w:rPr>
                <w:rFonts w:ascii="Arial" w:hAnsi="Arial" w:cs="Arial"/>
                <w:sz w:val="20"/>
                <w:szCs w:val="20"/>
              </w:rPr>
            </w:pPr>
            <w:r w:rsidRPr="00C40275">
              <w:rPr>
                <w:rFonts w:ascii="Arial" w:hAnsi="Arial" w:cs="Arial"/>
                <w:sz w:val="20"/>
                <w:szCs w:val="20"/>
              </w:rPr>
              <w:t>SBP, mmHg</w:t>
            </w:r>
          </w:p>
        </w:tc>
        <w:tc>
          <w:tcPr>
            <w:tcW w:w="1560" w:type="dxa"/>
          </w:tcPr>
          <w:p w14:paraId="60E2CFF8" w14:textId="77777777" w:rsidR="00B137FA" w:rsidRPr="00C40275" w:rsidRDefault="00B137FA" w:rsidP="00B137FA">
            <w:pPr>
              <w:rPr>
                <w:rFonts w:ascii="Arial" w:hAnsi="Arial" w:cs="Arial"/>
                <w:sz w:val="20"/>
                <w:szCs w:val="20"/>
              </w:rPr>
            </w:pPr>
            <w:r w:rsidRPr="00C40275">
              <w:rPr>
                <w:rFonts w:ascii="Arial" w:hAnsi="Arial" w:cs="Arial"/>
                <w:sz w:val="20"/>
                <w:szCs w:val="20"/>
              </w:rPr>
              <w:t>130.32 ± 23.79</w:t>
            </w:r>
          </w:p>
        </w:tc>
        <w:tc>
          <w:tcPr>
            <w:tcW w:w="2126" w:type="dxa"/>
          </w:tcPr>
          <w:p w14:paraId="78514C22" w14:textId="77777777" w:rsidR="00B137FA" w:rsidRPr="00C40275" w:rsidRDefault="00B137FA" w:rsidP="00B137FA">
            <w:pPr>
              <w:rPr>
                <w:rFonts w:ascii="Arial" w:hAnsi="Arial" w:cs="Arial"/>
                <w:sz w:val="20"/>
                <w:szCs w:val="20"/>
              </w:rPr>
            </w:pPr>
            <w:r w:rsidRPr="00C40275">
              <w:rPr>
                <w:rFonts w:ascii="Arial" w:hAnsi="Arial" w:cs="Arial"/>
                <w:sz w:val="20"/>
                <w:szCs w:val="20"/>
              </w:rPr>
              <w:t>111.80 ± 12.59</w:t>
            </w:r>
          </w:p>
        </w:tc>
        <w:tc>
          <w:tcPr>
            <w:tcW w:w="2126" w:type="dxa"/>
            <w:gridSpan w:val="2"/>
          </w:tcPr>
          <w:p w14:paraId="61E2BBE5" w14:textId="77777777" w:rsidR="00B137FA" w:rsidRPr="00C40275" w:rsidRDefault="00B137FA" w:rsidP="00B137FA">
            <w:pPr>
              <w:rPr>
                <w:rFonts w:ascii="Arial" w:hAnsi="Arial" w:cs="Arial"/>
                <w:sz w:val="20"/>
                <w:szCs w:val="20"/>
              </w:rPr>
            </w:pPr>
            <w:r w:rsidRPr="00C40275">
              <w:rPr>
                <w:rFonts w:ascii="Arial" w:hAnsi="Arial" w:cs="Arial"/>
                <w:sz w:val="20"/>
                <w:szCs w:val="20"/>
              </w:rPr>
              <w:t>141.55 ± 21.90</w:t>
            </w:r>
          </w:p>
        </w:tc>
        <w:tc>
          <w:tcPr>
            <w:tcW w:w="974" w:type="dxa"/>
          </w:tcPr>
          <w:p w14:paraId="524F30A8" w14:textId="77777777" w:rsidR="00B137FA" w:rsidRPr="00C40275" w:rsidRDefault="00B137FA" w:rsidP="00B137FA">
            <w:pPr>
              <w:rPr>
                <w:rFonts w:ascii="Arial" w:hAnsi="Arial" w:cs="Arial"/>
                <w:sz w:val="20"/>
                <w:szCs w:val="20"/>
              </w:rPr>
            </w:pPr>
            <w:r w:rsidRPr="00C40275">
              <w:rPr>
                <w:rFonts w:ascii="Arial" w:hAnsi="Arial" w:cs="Arial"/>
                <w:sz w:val="20"/>
                <w:szCs w:val="20"/>
              </w:rPr>
              <w:t>&lt;.001</w:t>
            </w:r>
          </w:p>
        </w:tc>
      </w:tr>
      <w:tr w:rsidR="00B137FA" w:rsidRPr="00C40275" w14:paraId="4A3D109A" w14:textId="77777777" w:rsidTr="00C14824">
        <w:tc>
          <w:tcPr>
            <w:tcW w:w="2976" w:type="dxa"/>
          </w:tcPr>
          <w:p w14:paraId="0730D024" w14:textId="77777777" w:rsidR="00B137FA" w:rsidRPr="00C40275" w:rsidRDefault="00B137FA" w:rsidP="00B137FA">
            <w:pPr>
              <w:rPr>
                <w:rFonts w:ascii="Arial" w:hAnsi="Arial" w:cs="Arial"/>
                <w:sz w:val="20"/>
                <w:szCs w:val="20"/>
              </w:rPr>
            </w:pPr>
            <w:r w:rsidRPr="00C40275">
              <w:rPr>
                <w:rFonts w:ascii="Arial" w:hAnsi="Arial" w:cs="Arial"/>
                <w:sz w:val="20"/>
                <w:szCs w:val="20"/>
              </w:rPr>
              <w:t>DBP, mmHg</w:t>
            </w:r>
          </w:p>
        </w:tc>
        <w:tc>
          <w:tcPr>
            <w:tcW w:w="1560" w:type="dxa"/>
          </w:tcPr>
          <w:p w14:paraId="76AD9AFD" w14:textId="77777777" w:rsidR="00B137FA" w:rsidRPr="00C40275" w:rsidRDefault="00B137FA" w:rsidP="00B137FA">
            <w:pPr>
              <w:rPr>
                <w:rFonts w:ascii="Arial" w:hAnsi="Arial" w:cs="Arial"/>
                <w:sz w:val="20"/>
                <w:szCs w:val="20"/>
              </w:rPr>
            </w:pPr>
            <w:r w:rsidRPr="00C40275">
              <w:rPr>
                <w:rFonts w:ascii="Arial" w:hAnsi="Arial" w:cs="Arial"/>
                <w:sz w:val="20"/>
                <w:szCs w:val="20"/>
              </w:rPr>
              <w:t>87.53 ± 18.94</w:t>
            </w:r>
          </w:p>
        </w:tc>
        <w:tc>
          <w:tcPr>
            <w:tcW w:w="2126" w:type="dxa"/>
          </w:tcPr>
          <w:p w14:paraId="7D1FD8AA" w14:textId="77777777" w:rsidR="00B137FA" w:rsidRPr="00C40275" w:rsidRDefault="00B137FA" w:rsidP="00B137FA">
            <w:pPr>
              <w:rPr>
                <w:rFonts w:ascii="Arial" w:hAnsi="Arial" w:cs="Arial"/>
                <w:sz w:val="20"/>
                <w:szCs w:val="20"/>
              </w:rPr>
            </w:pPr>
            <w:r w:rsidRPr="00C40275">
              <w:rPr>
                <w:rFonts w:ascii="Arial" w:hAnsi="Arial" w:cs="Arial"/>
                <w:sz w:val="20"/>
                <w:szCs w:val="20"/>
              </w:rPr>
              <w:t>73.60 ± 10.19</w:t>
            </w:r>
          </w:p>
        </w:tc>
        <w:tc>
          <w:tcPr>
            <w:tcW w:w="2126" w:type="dxa"/>
            <w:gridSpan w:val="2"/>
          </w:tcPr>
          <w:p w14:paraId="49C7DC3B" w14:textId="77777777" w:rsidR="00B137FA" w:rsidRPr="00C40275" w:rsidRDefault="00B137FA" w:rsidP="00B137FA">
            <w:pPr>
              <w:rPr>
                <w:rFonts w:ascii="Arial" w:hAnsi="Arial" w:cs="Arial"/>
                <w:sz w:val="20"/>
                <w:szCs w:val="20"/>
              </w:rPr>
            </w:pPr>
            <w:r w:rsidRPr="00C40275">
              <w:rPr>
                <w:rFonts w:ascii="Arial" w:hAnsi="Arial" w:cs="Arial"/>
                <w:sz w:val="20"/>
                <w:szCs w:val="20"/>
              </w:rPr>
              <w:t>95.97 ± 18.02</w:t>
            </w:r>
          </w:p>
        </w:tc>
        <w:tc>
          <w:tcPr>
            <w:tcW w:w="974" w:type="dxa"/>
          </w:tcPr>
          <w:p w14:paraId="1358A19F" w14:textId="77777777" w:rsidR="00B137FA" w:rsidRPr="00C40275" w:rsidRDefault="00B137FA" w:rsidP="00B137FA">
            <w:pPr>
              <w:rPr>
                <w:rFonts w:ascii="Arial" w:hAnsi="Arial" w:cs="Arial"/>
                <w:sz w:val="20"/>
                <w:szCs w:val="20"/>
              </w:rPr>
            </w:pPr>
            <w:r w:rsidRPr="00C40275">
              <w:rPr>
                <w:rFonts w:ascii="Arial" w:hAnsi="Arial" w:cs="Arial"/>
                <w:sz w:val="20"/>
                <w:szCs w:val="20"/>
              </w:rPr>
              <w:t>&lt;.001</w:t>
            </w:r>
          </w:p>
        </w:tc>
      </w:tr>
      <w:tr w:rsidR="00B137FA" w:rsidRPr="00C40275" w14:paraId="234ADBC4" w14:textId="77777777" w:rsidTr="00C14824">
        <w:tc>
          <w:tcPr>
            <w:tcW w:w="2976" w:type="dxa"/>
          </w:tcPr>
          <w:p w14:paraId="23B2B47F" w14:textId="77777777" w:rsidR="00B137FA" w:rsidRPr="00C40275" w:rsidRDefault="00B137FA" w:rsidP="00B137FA">
            <w:pPr>
              <w:rPr>
                <w:rFonts w:ascii="Arial" w:hAnsi="Arial" w:cs="Arial"/>
                <w:sz w:val="20"/>
                <w:szCs w:val="20"/>
              </w:rPr>
            </w:pPr>
            <w:r w:rsidRPr="00C40275">
              <w:rPr>
                <w:rFonts w:ascii="Arial" w:hAnsi="Arial" w:cs="Arial"/>
                <w:sz w:val="20"/>
                <w:szCs w:val="20"/>
              </w:rPr>
              <w:t>Fasting blood glucose, mmol/L</w:t>
            </w:r>
          </w:p>
        </w:tc>
        <w:tc>
          <w:tcPr>
            <w:tcW w:w="1560" w:type="dxa"/>
          </w:tcPr>
          <w:p w14:paraId="19C329BB" w14:textId="77777777" w:rsidR="00B137FA" w:rsidRPr="00C40275" w:rsidRDefault="00B137FA" w:rsidP="00B137FA">
            <w:pPr>
              <w:rPr>
                <w:rFonts w:ascii="Arial" w:hAnsi="Arial" w:cs="Arial"/>
                <w:sz w:val="20"/>
                <w:szCs w:val="20"/>
              </w:rPr>
            </w:pPr>
            <w:r w:rsidRPr="00C40275">
              <w:rPr>
                <w:rFonts w:ascii="Arial" w:hAnsi="Arial" w:cs="Arial"/>
                <w:sz w:val="20"/>
                <w:szCs w:val="20"/>
              </w:rPr>
              <w:t>6.24 ± 2.46</w:t>
            </w:r>
          </w:p>
        </w:tc>
        <w:tc>
          <w:tcPr>
            <w:tcW w:w="2126" w:type="dxa"/>
          </w:tcPr>
          <w:p w14:paraId="6F24AA3F" w14:textId="77777777" w:rsidR="00B137FA" w:rsidRPr="00C40275" w:rsidRDefault="00B137FA" w:rsidP="00B137FA">
            <w:pPr>
              <w:rPr>
                <w:rFonts w:ascii="Arial" w:hAnsi="Arial" w:cs="Arial"/>
                <w:sz w:val="20"/>
                <w:szCs w:val="20"/>
              </w:rPr>
            </w:pPr>
            <w:r w:rsidRPr="00C40275">
              <w:rPr>
                <w:rFonts w:ascii="Arial" w:hAnsi="Arial" w:cs="Arial"/>
                <w:sz w:val="20"/>
                <w:szCs w:val="20"/>
              </w:rPr>
              <w:t>4.16 ± 0.44</w:t>
            </w:r>
          </w:p>
        </w:tc>
        <w:tc>
          <w:tcPr>
            <w:tcW w:w="2126" w:type="dxa"/>
            <w:gridSpan w:val="2"/>
          </w:tcPr>
          <w:p w14:paraId="6CA41F61" w14:textId="77777777" w:rsidR="00B137FA" w:rsidRPr="00C40275" w:rsidRDefault="00B137FA" w:rsidP="00B137FA">
            <w:pPr>
              <w:rPr>
                <w:rFonts w:ascii="Arial" w:hAnsi="Arial" w:cs="Arial"/>
                <w:sz w:val="20"/>
                <w:szCs w:val="20"/>
              </w:rPr>
            </w:pPr>
            <w:r w:rsidRPr="00C40275">
              <w:rPr>
                <w:rFonts w:ascii="Arial" w:hAnsi="Arial" w:cs="Arial"/>
                <w:sz w:val="20"/>
                <w:szCs w:val="20"/>
              </w:rPr>
              <w:t>7.50 ± 2.32</w:t>
            </w:r>
          </w:p>
        </w:tc>
        <w:tc>
          <w:tcPr>
            <w:tcW w:w="974" w:type="dxa"/>
          </w:tcPr>
          <w:p w14:paraId="6F54CD0A" w14:textId="77777777" w:rsidR="00B137FA" w:rsidRPr="00C40275" w:rsidRDefault="00B137FA" w:rsidP="00B137FA">
            <w:pPr>
              <w:rPr>
                <w:rFonts w:ascii="Arial" w:hAnsi="Arial" w:cs="Arial"/>
                <w:sz w:val="20"/>
                <w:szCs w:val="20"/>
              </w:rPr>
            </w:pPr>
            <w:r w:rsidRPr="00C40275">
              <w:rPr>
                <w:rFonts w:ascii="Arial" w:hAnsi="Arial" w:cs="Arial"/>
                <w:sz w:val="20"/>
                <w:szCs w:val="20"/>
              </w:rPr>
              <w:t>&lt;.001</w:t>
            </w:r>
          </w:p>
        </w:tc>
      </w:tr>
      <w:tr w:rsidR="00B137FA" w:rsidRPr="00C40275" w14:paraId="14743C20" w14:textId="77777777" w:rsidTr="00C14824">
        <w:tc>
          <w:tcPr>
            <w:tcW w:w="2976" w:type="dxa"/>
          </w:tcPr>
          <w:p w14:paraId="09DDADAC" w14:textId="77777777" w:rsidR="00B137FA" w:rsidRPr="00C40275" w:rsidRDefault="00B137FA" w:rsidP="00B137FA">
            <w:pPr>
              <w:rPr>
                <w:rFonts w:ascii="Arial" w:hAnsi="Arial" w:cs="Arial"/>
                <w:sz w:val="20"/>
                <w:szCs w:val="20"/>
              </w:rPr>
            </w:pPr>
            <w:r w:rsidRPr="00C40275">
              <w:rPr>
                <w:rFonts w:ascii="Arial" w:hAnsi="Arial" w:cs="Arial"/>
                <w:sz w:val="20"/>
                <w:szCs w:val="20"/>
              </w:rPr>
              <w:t>Total cholesterol, mmol/L</w:t>
            </w:r>
          </w:p>
        </w:tc>
        <w:tc>
          <w:tcPr>
            <w:tcW w:w="1560" w:type="dxa"/>
          </w:tcPr>
          <w:p w14:paraId="185C4D32" w14:textId="77777777" w:rsidR="00B137FA" w:rsidRPr="00C40275" w:rsidRDefault="00B137FA" w:rsidP="00B137FA">
            <w:pPr>
              <w:rPr>
                <w:rFonts w:ascii="Arial" w:hAnsi="Arial" w:cs="Arial"/>
                <w:sz w:val="20"/>
                <w:szCs w:val="20"/>
              </w:rPr>
            </w:pPr>
            <w:r w:rsidRPr="00C40275">
              <w:rPr>
                <w:rFonts w:ascii="Arial" w:hAnsi="Arial" w:cs="Arial"/>
                <w:sz w:val="20"/>
                <w:szCs w:val="20"/>
              </w:rPr>
              <w:t>3.43 ± 0.74</w:t>
            </w:r>
          </w:p>
        </w:tc>
        <w:tc>
          <w:tcPr>
            <w:tcW w:w="2126" w:type="dxa"/>
          </w:tcPr>
          <w:p w14:paraId="280A2300" w14:textId="77777777" w:rsidR="00B137FA" w:rsidRPr="00C40275" w:rsidRDefault="00B137FA" w:rsidP="00B137FA">
            <w:pPr>
              <w:rPr>
                <w:rFonts w:ascii="Arial" w:hAnsi="Arial" w:cs="Arial"/>
                <w:sz w:val="20"/>
                <w:szCs w:val="20"/>
              </w:rPr>
            </w:pPr>
            <w:r w:rsidRPr="00C40275">
              <w:rPr>
                <w:rFonts w:ascii="Arial" w:hAnsi="Arial" w:cs="Arial"/>
                <w:sz w:val="20"/>
                <w:szCs w:val="20"/>
              </w:rPr>
              <w:t>3.04 ± 0.47</w:t>
            </w:r>
          </w:p>
        </w:tc>
        <w:tc>
          <w:tcPr>
            <w:tcW w:w="2126" w:type="dxa"/>
            <w:gridSpan w:val="2"/>
          </w:tcPr>
          <w:p w14:paraId="27ED7471" w14:textId="77777777" w:rsidR="00B137FA" w:rsidRPr="00C40275" w:rsidRDefault="00B137FA" w:rsidP="00B137FA">
            <w:pPr>
              <w:rPr>
                <w:rFonts w:ascii="Arial" w:hAnsi="Arial" w:cs="Arial"/>
                <w:sz w:val="20"/>
                <w:szCs w:val="20"/>
              </w:rPr>
            </w:pPr>
            <w:r w:rsidRPr="00C40275">
              <w:rPr>
                <w:rFonts w:ascii="Arial" w:hAnsi="Arial" w:cs="Arial"/>
                <w:sz w:val="20"/>
                <w:szCs w:val="20"/>
              </w:rPr>
              <w:t>3.66 ± 0.77</w:t>
            </w:r>
          </w:p>
        </w:tc>
        <w:tc>
          <w:tcPr>
            <w:tcW w:w="974" w:type="dxa"/>
          </w:tcPr>
          <w:p w14:paraId="5B98EACA" w14:textId="77777777" w:rsidR="00B137FA" w:rsidRPr="00C40275" w:rsidRDefault="00B137FA" w:rsidP="00B137FA">
            <w:pPr>
              <w:rPr>
                <w:rFonts w:ascii="Arial" w:hAnsi="Arial" w:cs="Arial"/>
                <w:sz w:val="20"/>
                <w:szCs w:val="20"/>
              </w:rPr>
            </w:pPr>
            <w:r w:rsidRPr="00C40275">
              <w:rPr>
                <w:rFonts w:ascii="Arial" w:hAnsi="Arial" w:cs="Arial"/>
                <w:sz w:val="20"/>
                <w:szCs w:val="20"/>
              </w:rPr>
              <w:t>&lt;.001</w:t>
            </w:r>
          </w:p>
        </w:tc>
      </w:tr>
      <w:tr w:rsidR="00B137FA" w:rsidRPr="00C40275" w14:paraId="4EDF0E56" w14:textId="77777777" w:rsidTr="00C14824">
        <w:tc>
          <w:tcPr>
            <w:tcW w:w="2976" w:type="dxa"/>
          </w:tcPr>
          <w:p w14:paraId="4A334AF3" w14:textId="77777777" w:rsidR="00B137FA" w:rsidRPr="00C40275" w:rsidRDefault="00B137FA" w:rsidP="00B137FA">
            <w:pPr>
              <w:rPr>
                <w:rFonts w:ascii="Arial" w:hAnsi="Arial" w:cs="Arial"/>
                <w:sz w:val="20"/>
                <w:szCs w:val="20"/>
              </w:rPr>
            </w:pPr>
            <w:r w:rsidRPr="00C40275">
              <w:rPr>
                <w:rFonts w:ascii="Arial" w:hAnsi="Arial" w:cs="Arial"/>
                <w:sz w:val="20"/>
                <w:szCs w:val="20"/>
              </w:rPr>
              <w:t>Triglycerides, mmol/L</w:t>
            </w:r>
          </w:p>
        </w:tc>
        <w:tc>
          <w:tcPr>
            <w:tcW w:w="1560" w:type="dxa"/>
          </w:tcPr>
          <w:p w14:paraId="2CCF3661" w14:textId="77777777" w:rsidR="00B137FA" w:rsidRPr="00C40275" w:rsidRDefault="00B137FA" w:rsidP="00B137FA">
            <w:pPr>
              <w:rPr>
                <w:rFonts w:ascii="Arial" w:hAnsi="Arial" w:cs="Arial"/>
                <w:sz w:val="20"/>
                <w:szCs w:val="20"/>
              </w:rPr>
            </w:pPr>
            <w:r w:rsidRPr="00C40275">
              <w:rPr>
                <w:rFonts w:ascii="Arial" w:hAnsi="Arial" w:cs="Arial"/>
                <w:sz w:val="20"/>
                <w:szCs w:val="20"/>
              </w:rPr>
              <w:t>1.35 ± 0.26</w:t>
            </w:r>
          </w:p>
        </w:tc>
        <w:tc>
          <w:tcPr>
            <w:tcW w:w="2126" w:type="dxa"/>
          </w:tcPr>
          <w:p w14:paraId="2465E282" w14:textId="77777777" w:rsidR="00B137FA" w:rsidRPr="00C40275" w:rsidRDefault="00B137FA" w:rsidP="00B137FA">
            <w:pPr>
              <w:rPr>
                <w:rFonts w:ascii="Arial" w:hAnsi="Arial" w:cs="Arial"/>
                <w:sz w:val="20"/>
                <w:szCs w:val="20"/>
              </w:rPr>
            </w:pPr>
            <w:r w:rsidRPr="00C40275">
              <w:rPr>
                <w:rFonts w:ascii="Arial" w:hAnsi="Arial" w:cs="Arial"/>
                <w:sz w:val="20"/>
                <w:szCs w:val="20"/>
              </w:rPr>
              <w:t>1.18 ± 0.16</w:t>
            </w:r>
          </w:p>
        </w:tc>
        <w:tc>
          <w:tcPr>
            <w:tcW w:w="2126" w:type="dxa"/>
            <w:gridSpan w:val="2"/>
          </w:tcPr>
          <w:p w14:paraId="73AF62B3" w14:textId="77777777" w:rsidR="00B137FA" w:rsidRPr="00C40275" w:rsidRDefault="00B137FA" w:rsidP="00B137FA">
            <w:pPr>
              <w:rPr>
                <w:rFonts w:ascii="Arial" w:hAnsi="Arial" w:cs="Arial"/>
                <w:sz w:val="20"/>
                <w:szCs w:val="20"/>
              </w:rPr>
            </w:pPr>
            <w:r w:rsidRPr="00C40275">
              <w:rPr>
                <w:rFonts w:ascii="Arial" w:hAnsi="Arial" w:cs="Arial"/>
                <w:sz w:val="20"/>
                <w:szCs w:val="20"/>
              </w:rPr>
              <w:t>1.45 ± 0.25</w:t>
            </w:r>
          </w:p>
        </w:tc>
        <w:tc>
          <w:tcPr>
            <w:tcW w:w="974" w:type="dxa"/>
          </w:tcPr>
          <w:p w14:paraId="2A6A6630" w14:textId="77777777" w:rsidR="00B137FA" w:rsidRPr="00C40275" w:rsidRDefault="00B137FA" w:rsidP="00B137FA">
            <w:pPr>
              <w:rPr>
                <w:rFonts w:ascii="Arial" w:hAnsi="Arial" w:cs="Arial"/>
                <w:sz w:val="20"/>
                <w:szCs w:val="20"/>
              </w:rPr>
            </w:pPr>
            <w:r w:rsidRPr="00C40275">
              <w:rPr>
                <w:rFonts w:ascii="Arial" w:hAnsi="Arial" w:cs="Arial"/>
                <w:sz w:val="20"/>
                <w:szCs w:val="20"/>
              </w:rPr>
              <w:t>&lt;.001</w:t>
            </w:r>
          </w:p>
        </w:tc>
      </w:tr>
      <w:tr w:rsidR="00B137FA" w:rsidRPr="00C40275" w14:paraId="28367993" w14:textId="77777777" w:rsidTr="00C14824">
        <w:tc>
          <w:tcPr>
            <w:tcW w:w="2976" w:type="dxa"/>
          </w:tcPr>
          <w:p w14:paraId="5E35DD58" w14:textId="77777777" w:rsidR="00B137FA" w:rsidRPr="00C40275" w:rsidRDefault="00B137FA" w:rsidP="00B137FA">
            <w:pPr>
              <w:rPr>
                <w:rFonts w:ascii="Arial" w:hAnsi="Arial" w:cs="Arial"/>
                <w:sz w:val="20"/>
                <w:szCs w:val="20"/>
              </w:rPr>
            </w:pPr>
            <w:r w:rsidRPr="00C40275">
              <w:rPr>
                <w:rFonts w:ascii="Arial" w:hAnsi="Arial" w:cs="Arial"/>
                <w:sz w:val="20"/>
                <w:szCs w:val="20"/>
              </w:rPr>
              <w:t>HDL-C, mmol/L</w:t>
            </w:r>
          </w:p>
        </w:tc>
        <w:tc>
          <w:tcPr>
            <w:tcW w:w="1560" w:type="dxa"/>
          </w:tcPr>
          <w:p w14:paraId="53796C95" w14:textId="77777777" w:rsidR="00B137FA" w:rsidRPr="00C40275" w:rsidRDefault="00B137FA" w:rsidP="00B137FA">
            <w:pPr>
              <w:rPr>
                <w:rFonts w:ascii="Arial" w:hAnsi="Arial" w:cs="Arial"/>
                <w:sz w:val="20"/>
                <w:szCs w:val="20"/>
              </w:rPr>
            </w:pPr>
            <w:r w:rsidRPr="00C40275">
              <w:rPr>
                <w:rFonts w:ascii="Arial" w:hAnsi="Arial" w:cs="Arial"/>
                <w:sz w:val="20"/>
                <w:szCs w:val="20"/>
              </w:rPr>
              <w:t>1.41 ± 0.23</w:t>
            </w:r>
          </w:p>
        </w:tc>
        <w:tc>
          <w:tcPr>
            <w:tcW w:w="2126" w:type="dxa"/>
          </w:tcPr>
          <w:p w14:paraId="74477461" w14:textId="77777777" w:rsidR="00B137FA" w:rsidRPr="00C40275" w:rsidRDefault="00B137FA" w:rsidP="00B137FA">
            <w:pPr>
              <w:rPr>
                <w:rFonts w:ascii="Arial" w:hAnsi="Arial" w:cs="Arial"/>
                <w:sz w:val="20"/>
                <w:szCs w:val="20"/>
              </w:rPr>
            </w:pPr>
            <w:r w:rsidRPr="00C40275">
              <w:rPr>
                <w:rFonts w:ascii="Arial" w:hAnsi="Arial" w:cs="Arial"/>
                <w:sz w:val="20"/>
                <w:szCs w:val="20"/>
              </w:rPr>
              <w:t>1.42 ± 0.23</w:t>
            </w:r>
          </w:p>
        </w:tc>
        <w:tc>
          <w:tcPr>
            <w:tcW w:w="2126" w:type="dxa"/>
            <w:gridSpan w:val="2"/>
          </w:tcPr>
          <w:p w14:paraId="7448AEC9" w14:textId="77777777" w:rsidR="00B137FA" w:rsidRPr="00C40275" w:rsidRDefault="00B137FA" w:rsidP="00B137FA">
            <w:pPr>
              <w:rPr>
                <w:rFonts w:ascii="Arial" w:hAnsi="Arial" w:cs="Arial"/>
                <w:sz w:val="20"/>
                <w:szCs w:val="20"/>
              </w:rPr>
            </w:pPr>
            <w:r w:rsidRPr="00C40275">
              <w:rPr>
                <w:rFonts w:ascii="Arial" w:hAnsi="Arial" w:cs="Arial"/>
                <w:sz w:val="20"/>
                <w:szCs w:val="20"/>
              </w:rPr>
              <w:t>1.40 ± 0.22</w:t>
            </w:r>
          </w:p>
        </w:tc>
        <w:tc>
          <w:tcPr>
            <w:tcW w:w="974" w:type="dxa"/>
          </w:tcPr>
          <w:p w14:paraId="23665779" w14:textId="77777777" w:rsidR="00B137FA" w:rsidRPr="00C40275" w:rsidRDefault="00B137FA" w:rsidP="00B137FA">
            <w:pPr>
              <w:rPr>
                <w:rFonts w:ascii="Arial" w:hAnsi="Arial" w:cs="Arial"/>
                <w:sz w:val="20"/>
                <w:szCs w:val="20"/>
              </w:rPr>
            </w:pPr>
            <w:r w:rsidRPr="00C40275">
              <w:rPr>
                <w:rFonts w:ascii="Arial" w:hAnsi="Arial" w:cs="Arial"/>
                <w:sz w:val="20"/>
                <w:szCs w:val="20"/>
              </w:rPr>
              <w:t>.460</w:t>
            </w:r>
          </w:p>
        </w:tc>
      </w:tr>
      <w:tr w:rsidR="00B137FA" w:rsidRPr="00C40275" w14:paraId="5A0CC5EE" w14:textId="77777777" w:rsidTr="00C14824">
        <w:tc>
          <w:tcPr>
            <w:tcW w:w="2976" w:type="dxa"/>
          </w:tcPr>
          <w:p w14:paraId="4CE2D438" w14:textId="77777777" w:rsidR="00B137FA" w:rsidRPr="00C40275" w:rsidRDefault="00B137FA" w:rsidP="00B137FA">
            <w:pPr>
              <w:rPr>
                <w:rFonts w:ascii="Arial" w:hAnsi="Arial" w:cs="Arial"/>
                <w:sz w:val="20"/>
                <w:szCs w:val="20"/>
              </w:rPr>
            </w:pPr>
            <w:r w:rsidRPr="00C40275">
              <w:rPr>
                <w:rFonts w:ascii="Arial" w:hAnsi="Arial" w:cs="Arial"/>
                <w:sz w:val="20"/>
                <w:szCs w:val="20"/>
              </w:rPr>
              <w:t>LDL-C, mmol/L</w:t>
            </w:r>
          </w:p>
        </w:tc>
        <w:tc>
          <w:tcPr>
            <w:tcW w:w="1560" w:type="dxa"/>
          </w:tcPr>
          <w:p w14:paraId="34F43DB0" w14:textId="77777777" w:rsidR="00B137FA" w:rsidRPr="00C40275" w:rsidRDefault="00B137FA" w:rsidP="00B137FA">
            <w:pPr>
              <w:rPr>
                <w:rFonts w:ascii="Arial" w:hAnsi="Arial" w:cs="Arial"/>
                <w:sz w:val="20"/>
                <w:szCs w:val="20"/>
              </w:rPr>
            </w:pPr>
            <w:r w:rsidRPr="00C40275">
              <w:rPr>
                <w:rFonts w:ascii="Arial" w:hAnsi="Arial" w:cs="Arial"/>
                <w:sz w:val="20"/>
                <w:szCs w:val="20"/>
              </w:rPr>
              <w:t>1.41 ± 0.68</w:t>
            </w:r>
          </w:p>
        </w:tc>
        <w:tc>
          <w:tcPr>
            <w:tcW w:w="2126" w:type="dxa"/>
          </w:tcPr>
          <w:p w14:paraId="18EF5E82" w14:textId="77777777" w:rsidR="00B137FA" w:rsidRPr="00C40275" w:rsidRDefault="00B137FA" w:rsidP="00B137FA">
            <w:pPr>
              <w:rPr>
                <w:rFonts w:ascii="Arial" w:hAnsi="Arial" w:cs="Arial"/>
                <w:sz w:val="20"/>
                <w:szCs w:val="20"/>
              </w:rPr>
            </w:pPr>
            <w:r w:rsidRPr="00C40275">
              <w:rPr>
                <w:rFonts w:ascii="Arial" w:hAnsi="Arial" w:cs="Arial"/>
                <w:sz w:val="20"/>
                <w:szCs w:val="20"/>
              </w:rPr>
              <w:t>1.08 ± 0.46</w:t>
            </w:r>
          </w:p>
        </w:tc>
        <w:tc>
          <w:tcPr>
            <w:tcW w:w="2126" w:type="dxa"/>
            <w:gridSpan w:val="2"/>
          </w:tcPr>
          <w:p w14:paraId="32096556" w14:textId="77777777" w:rsidR="00B137FA" w:rsidRPr="00C40275" w:rsidRDefault="00B137FA" w:rsidP="00B137FA">
            <w:pPr>
              <w:rPr>
                <w:rFonts w:ascii="Arial" w:hAnsi="Arial" w:cs="Arial"/>
                <w:sz w:val="20"/>
                <w:szCs w:val="20"/>
              </w:rPr>
            </w:pPr>
            <w:r w:rsidRPr="00C40275">
              <w:rPr>
                <w:rFonts w:ascii="Arial" w:hAnsi="Arial" w:cs="Arial"/>
                <w:sz w:val="20"/>
                <w:szCs w:val="20"/>
              </w:rPr>
              <w:t>1.61 ± 0.72</w:t>
            </w:r>
          </w:p>
        </w:tc>
        <w:tc>
          <w:tcPr>
            <w:tcW w:w="974" w:type="dxa"/>
          </w:tcPr>
          <w:p w14:paraId="2D81725B" w14:textId="77777777" w:rsidR="00B137FA" w:rsidRPr="00C40275" w:rsidRDefault="00B137FA" w:rsidP="00B137FA">
            <w:pPr>
              <w:rPr>
                <w:rFonts w:ascii="Arial" w:hAnsi="Arial" w:cs="Arial"/>
                <w:sz w:val="20"/>
                <w:szCs w:val="20"/>
              </w:rPr>
            </w:pPr>
            <w:r w:rsidRPr="00C40275">
              <w:rPr>
                <w:rFonts w:ascii="Arial" w:hAnsi="Arial" w:cs="Arial"/>
                <w:sz w:val="20"/>
                <w:szCs w:val="20"/>
              </w:rPr>
              <w:t>&lt;.001</w:t>
            </w:r>
          </w:p>
        </w:tc>
      </w:tr>
      <w:tr w:rsidR="00B137FA" w:rsidRPr="00C40275" w14:paraId="248430BF" w14:textId="77777777" w:rsidTr="00C14824">
        <w:tc>
          <w:tcPr>
            <w:tcW w:w="2976" w:type="dxa"/>
          </w:tcPr>
          <w:p w14:paraId="37121021" w14:textId="77777777" w:rsidR="00B137FA" w:rsidRPr="00C40275" w:rsidRDefault="00B137FA" w:rsidP="00B137FA">
            <w:pPr>
              <w:rPr>
                <w:rFonts w:ascii="Arial" w:hAnsi="Arial" w:cs="Arial"/>
                <w:sz w:val="20"/>
                <w:szCs w:val="20"/>
              </w:rPr>
            </w:pPr>
            <w:r w:rsidRPr="00C40275">
              <w:rPr>
                <w:rFonts w:ascii="Arial" w:hAnsi="Arial" w:cs="Arial"/>
                <w:sz w:val="20"/>
                <w:szCs w:val="20"/>
              </w:rPr>
              <w:t>VLDL-C, mmol/L</w:t>
            </w:r>
          </w:p>
        </w:tc>
        <w:tc>
          <w:tcPr>
            <w:tcW w:w="1560" w:type="dxa"/>
          </w:tcPr>
          <w:p w14:paraId="4B01A591" w14:textId="77777777" w:rsidR="00B137FA" w:rsidRPr="00C40275" w:rsidRDefault="00B137FA" w:rsidP="00B137FA">
            <w:pPr>
              <w:rPr>
                <w:rFonts w:ascii="Arial" w:hAnsi="Arial" w:cs="Arial"/>
                <w:sz w:val="20"/>
                <w:szCs w:val="20"/>
              </w:rPr>
            </w:pPr>
            <w:r w:rsidRPr="00C40275">
              <w:rPr>
                <w:rFonts w:ascii="Arial" w:hAnsi="Arial" w:cs="Arial"/>
                <w:sz w:val="20"/>
                <w:szCs w:val="20"/>
              </w:rPr>
              <w:t>0.61 ± 0.12</w:t>
            </w:r>
          </w:p>
        </w:tc>
        <w:tc>
          <w:tcPr>
            <w:tcW w:w="2126" w:type="dxa"/>
          </w:tcPr>
          <w:p w14:paraId="193994E1" w14:textId="77777777" w:rsidR="00B137FA" w:rsidRPr="00C40275" w:rsidRDefault="00B137FA" w:rsidP="00B137FA">
            <w:pPr>
              <w:rPr>
                <w:rFonts w:ascii="Arial" w:hAnsi="Arial" w:cs="Arial"/>
                <w:sz w:val="20"/>
                <w:szCs w:val="20"/>
              </w:rPr>
            </w:pPr>
            <w:r w:rsidRPr="00C40275">
              <w:rPr>
                <w:rFonts w:ascii="Arial" w:hAnsi="Arial" w:cs="Arial"/>
                <w:sz w:val="20"/>
                <w:szCs w:val="20"/>
              </w:rPr>
              <w:t>0.54 ± 0.07</w:t>
            </w:r>
          </w:p>
        </w:tc>
        <w:tc>
          <w:tcPr>
            <w:tcW w:w="2126" w:type="dxa"/>
            <w:gridSpan w:val="2"/>
          </w:tcPr>
          <w:p w14:paraId="5111301D" w14:textId="77777777" w:rsidR="00B137FA" w:rsidRPr="00C40275" w:rsidRDefault="00B137FA" w:rsidP="00B137FA">
            <w:pPr>
              <w:rPr>
                <w:rFonts w:ascii="Arial" w:hAnsi="Arial" w:cs="Arial"/>
                <w:sz w:val="20"/>
                <w:szCs w:val="20"/>
              </w:rPr>
            </w:pPr>
            <w:r w:rsidRPr="00C40275">
              <w:rPr>
                <w:rFonts w:ascii="Arial" w:hAnsi="Arial" w:cs="Arial"/>
                <w:sz w:val="20"/>
                <w:szCs w:val="20"/>
              </w:rPr>
              <w:t>0.66 ± 0.11</w:t>
            </w:r>
          </w:p>
        </w:tc>
        <w:tc>
          <w:tcPr>
            <w:tcW w:w="974" w:type="dxa"/>
          </w:tcPr>
          <w:p w14:paraId="1B6FA11A" w14:textId="77777777" w:rsidR="00B137FA" w:rsidRPr="00C40275" w:rsidRDefault="00B137FA" w:rsidP="00B137FA">
            <w:pPr>
              <w:rPr>
                <w:rFonts w:ascii="Arial" w:hAnsi="Arial" w:cs="Arial"/>
                <w:sz w:val="20"/>
                <w:szCs w:val="20"/>
              </w:rPr>
            </w:pPr>
            <w:r w:rsidRPr="00C40275">
              <w:rPr>
                <w:rFonts w:ascii="Arial" w:hAnsi="Arial" w:cs="Arial"/>
                <w:sz w:val="20"/>
                <w:szCs w:val="20"/>
              </w:rPr>
              <w:t>&lt;.001</w:t>
            </w:r>
          </w:p>
        </w:tc>
      </w:tr>
    </w:tbl>
    <w:p w14:paraId="7E4EE21B" w14:textId="77777777" w:rsidR="00B85224" w:rsidRPr="00B85224" w:rsidRDefault="00000000" w:rsidP="00B85224">
      <w:pPr>
        <w:spacing w:after="120"/>
        <w:jc w:val="both"/>
        <w:rPr>
          <w:rFonts w:ascii="Arial" w:hAnsi="Arial" w:cs="Arial"/>
          <w:i/>
          <w:sz w:val="18"/>
          <w:szCs w:val="18"/>
        </w:rPr>
      </w:pPr>
      <w:r w:rsidRPr="00B85224">
        <w:rPr>
          <w:rFonts w:ascii="Arial" w:hAnsi="Arial" w:cs="Arial"/>
          <w:i/>
          <w:sz w:val="18"/>
          <w:szCs w:val="18"/>
        </w:rPr>
        <w:t xml:space="preserve">Values are mean ± SD or n (%) as appropriate. </w:t>
      </w:r>
      <w:r w:rsidR="00B85224" w:rsidRPr="00B85224">
        <w:rPr>
          <w:rFonts w:ascii="Arial" w:hAnsi="Arial" w:cs="Arial"/>
          <w:i/>
          <w:iCs/>
          <w:sz w:val="18"/>
          <w:szCs w:val="18"/>
        </w:rPr>
        <w:t>Values are presented as mean ± standard deviation (SD). Lower clustered cardiometabolic abnormality (CCA) burden was defined as 0–1 cardiometabolic abnormalities, while higher CCA burden was defined as ≥2 abnormalities. BMI, body mass index; SBP, systolic blood pressure; DBP, diastolic blood pressure; HDL-C, high-density lipoprotein cholesterol; LDL-C, low-density lipoprotein cholesterol; VLDL-C, very-low-density lipoprotein cholesterol. P-values compare participants with lower and higher CCA burden; statistical significance was set at p&lt;0.05. Exact p-values are reported except where p&lt;0.001.</w:t>
      </w:r>
    </w:p>
    <w:p w14:paraId="33451407" w14:textId="77777777" w:rsidR="00D065D9" w:rsidRPr="00B85224" w:rsidRDefault="00000000">
      <w:pPr>
        <w:spacing w:before="160" w:after="100"/>
        <w:rPr>
          <w:rFonts w:ascii="Arial" w:hAnsi="Arial" w:cs="Arial"/>
          <w:sz w:val="22"/>
          <w:szCs w:val="22"/>
        </w:rPr>
      </w:pPr>
      <w:r w:rsidRPr="00B85224">
        <w:rPr>
          <w:rFonts w:ascii="Arial" w:hAnsi="Arial" w:cs="Arial"/>
          <w:b/>
          <w:sz w:val="22"/>
          <w:szCs w:val="22"/>
        </w:rPr>
        <w:t>3.1.3 Components and Distribution of CCA</w:t>
      </w:r>
    </w:p>
    <w:p w14:paraId="7C1E31DF" w14:textId="77777777" w:rsidR="00090D32" w:rsidRPr="00090D32" w:rsidRDefault="00090D32" w:rsidP="00090D32">
      <w:pPr>
        <w:spacing w:after="120"/>
        <w:jc w:val="both"/>
        <w:rPr>
          <w:rFonts w:ascii="Arial" w:hAnsi="Arial" w:cs="Arial"/>
          <w:sz w:val="20"/>
        </w:rPr>
      </w:pPr>
      <w:r w:rsidRPr="00090D32">
        <w:rPr>
          <w:rFonts w:ascii="Arial" w:hAnsi="Arial" w:cs="Arial"/>
          <w:sz w:val="20"/>
        </w:rPr>
        <w:t xml:space="preserve">Table 3 presents the continuous cardiometabolic measures and prevalence of the individual abnormalities contributing to the CCA construct. Participants with higher CCA burden demonstrated substantially less </w:t>
      </w:r>
      <w:proofErr w:type="spellStart"/>
      <w:r w:rsidRPr="00090D32">
        <w:rPr>
          <w:rFonts w:ascii="Arial" w:hAnsi="Arial" w:cs="Arial"/>
          <w:sz w:val="20"/>
        </w:rPr>
        <w:t>favourable</w:t>
      </w:r>
      <w:proofErr w:type="spellEnd"/>
      <w:r w:rsidRPr="00090D32">
        <w:rPr>
          <w:rFonts w:ascii="Arial" w:hAnsi="Arial" w:cs="Arial"/>
          <w:sz w:val="20"/>
        </w:rPr>
        <w:t xml:space="preserve"> cardiometabolic profiles than those with lower burden. Mean BMI was higher among participants with higher CCA burden than among those with lower burden (33.99 ± 8.01 vs 26.15 ± 5.38 kg/m²; p&lt;.001). Similarly, mean systolic blood pressure (141.55 ± 21.90 vs 111.80 ± 12.59 mmHg), diastolic blood pressure (95.97 ± 18.02 vs 73.60 ± 10.19 mmHg), fasting blood glucose (7.50 ± 2.32 vs 4.16 ± 0.44 mmol/L), and triglycerides (1.45 ± 0.25 vs 1.18 ± 0.16 mmol/L) were significantly higher among participants with higher CCA burden (all p&lt;.001). In contrast, HDL-C concentrations were comparable between the higher and lower CCA burden groups (1.40 ± 0.22 vs 1.42 ± 0.23 mmol/L; p=.460).</w:t>
      </w:r>
    </w:p>
    <w:p w14:paraId="2D6C3658" w14:textId="77777777" w:rsidR="00090D32" w:rsidRDefault="00090D32" w:rsidP="00090D32">
      <w:pPr>
        <w:spacing w:after="120"/>
        <w:jc w:val="both"/>
        <w:rPr>
          <w:rFonts w:ascii="Arial" w:hAnsi="Arial" w:cs="Arial"/>
          <w:sz w:val="20"/>
        </w:rPr>
      </w:pPr>
      <w:r w:rsidRPr="00090D32">
        <w:rPr>
          <w:rFonts w:ascii="Arial" w:hAnsi="Arial" w:cs="Arial"/>
          <w:sz w:val="20"/>
        </w:rPr>
        <w:t xml:space="preserve">Elevated blood pressure was the most prevalent individual cardiometabolic abnormality, affecting 315 (66.0%) participants overall, followed by </w:t>
      </w:r>
      <w:proofErr w:type="spellStart"/>
      <w:r w:rsidRPr="00090D32">
        <w:rPr>
          <w:rFonts w:ascii="Arial" w:hAnsi="Arial" w:cs="Arial"/>
          <w:sz w:val="20"/>
        </w:rPr>
        <w:t>dysglycaemia</w:t>
      </w:r>
      <w:proofErr w:type="spellEnd"/>
      <w:r w:rsidRPr="00090D32">
        <w:rPr>
          <w:rFonts w:ascii="Arial" w:hAnsi="Arial" w:cs="Arial"/>
          <w:sz w:val="20"/>
        </w:rPr>
        <w:t xml:space="preserve"> in 227 (47.6%) and general obesity in 223 (46.8%). Reduced HDL-C and </w:t>
      </w:r>
      <w:proofErr w:type="spellStart"/>
      <w:r w:rsidRPr="00090D32">
        <w:rPr>
          <w:rFonts w:ascii="Arial" w:hAnsi="Arial" w:cs="Arial"/>
          <w:sz w:val="20"/>
        </w:rPr>
        <w:t>hypertriglyceridaemia</w:t>
      </w:r>
      <w:proofErr w:type="spellEnd"/>
      <w:r w:rsidRPr="00090D32">
        <w:rPr>
          <w:rFonts w:ascii="Arial" w:hAnsi="Arial" w:cs="Arial"/>
          <w:sz w:val="20"/>
        </w:rPr>
        <w:t xml:space="preserve"> were present in 99 (20.8%) and 86 (18.0%) participants, respectively. Each individual abnormality was significantly more prevalent among participants with higher CCA burden (all p&lt;.001). Notably, elevated blood pressure was present in 90.9% of participants with higher CCA burden compared with 25.0% of those with lower burden, while general obesity occurred in 63.6% and 18.9%, respectively. </w:t>
      </w:r>
      <w:proofErr w:type="spellStart"/>
      <w:r w:rsidRPr="00090D32">
        <w:rPr>
          <w:rFonts w:ascii="Arial" w:hAnsi="Arial" w:cs="Arial"/>
          <w:sz w:val="20"/>
        </w:rPr>
        <w:t>Dysglycaemia</w:t>
      </w:r>
      <w:proofErr w:type="spellEnd"/>
      <w:r w:rsidRPr="00090D32">
        <w:rPr>
          <w:rFonts w:ascii="Arial" w:hAnsi="Arial" w:cs="Arial"/>
          <w:sz w:val="20"/>
        </w:rPr>
        <w:t xml:space="preserve"> and </w:t>
      </w:r>
      <w:proofErr w:type="spellStart"/>
      <w:r w:rsidRPr="00090D32">
        <w:rPr>
          <w:rFonts w:ascii="Arial" w:hAnsi="Arial" w:cs="Arial"/>
          <w:sz w:val="20"/>
        </w:rPr>
        <w:t>hypertriglyceridaemia</w:t>
      </w:r>
      <w:proofErr w:type="spellEnd"/>
      <w:r w:rsidRPr="00090D32">
        <w:rPr>
          <w:rFonts w:ascii="Arial" w:hAnsi="Arial" w:cs="Arial"/>
          <w:sz w:val="20"/>
        </w:rPr>
        <w:t xml:space="preserve"> were observed exclusively within the higher CCA burden group, affecting 76.4% and 29.0% of participants, respectively.</w:t>
      </w:r>
      <w:r>
        <w:rPr>
          <w:rFonts w:ascii="Arial" w:hAnsi="Arial" w:cs="Arial"/>
          <w:sz w:val="20"/>
        </w:rPr>
        <w:t xml:space="preserve"> </w:t>
      </w:r>
      <w:r w:rsidRPr="00090D32">
        <w:rPr>
          <w:rFonts w:ascii="Arial" w:hAnsi="Arial" w:cs="Arial"/>
          <w:sz w:val="20"/>
        </w:rPr>
        <w:t xml:space="preserve">As shown in Table </w:t>
      </w:r>
      <w:r>
        <w:rPr>
          <w:rFonts w:ascii="Arial" w:hAnsi="Arial" w:cs="Arial"/>
          <w:sz w:val="20"/>
        </w:rPr>
        <w:t>4</w:t>
      </w:r>
      <w:r w:rsidRPr="00090D32">
        <w:rPr>
          <w:rFonts w:ascii="Arial" w:hAnsi="Arial" w:cs="Arial"/>
          <w:sz w:val="20"/>
        </w:rPr>
        <w:t>, 92 (19.3%) participants had no cardiometabolic abnormality and 88 (18.4%) had one abnormality. In contrast, 117 (24.5%) had two abnormalities, 115 (24.1%) had three, 43 (9.0%) had four, and 22 (4.6%) had all five abnormalities. Consequently, 297 (62.3%) participants had at least two co-occurring cardiometabolic abnormalities and were classified as having higher CCA burden. Furthermore, 180 (37.7%) participants had three or more abnormalities, representing the secondary higher-burden phenotype.</w:t>
      </w:r>
    </w:p>
    <w:p w14:paraId="2B6D8B09" w14:textId="77777777" w:rsidR="00D065D9" w:rsidRPr="00090D32" w:rsidRDefault="00000000">
      <w:pPr>
        <w:spacing w:before="120" w:after="80"/>
        <w:rPr>
          <w:rFonts w:ascii="Arial" w:hAnsi="Arial" w:cs="Arial"/>
          <w:b/>
          <w:sz w:val="20"/>
        </w:rPr>
      </w:pPr>
      <w:r w:rsidRPr="00090D32">
        <w:rPr>
          <w:rFonts w:ascii="Arial" w:hAnsi="Arial" w:cs="Arial"/>
          <w:b/>
          <w:sz w:val="20"/>
        </w:rPr>
        <w:t>Table 3. Continuous CCA measures and prevalence of individual cardiometabolic abnormalities</w:t>
      </w:r>
      <w:r w:rsidR="00090D32">
        <w:rPr>
          <w:rFonts w:ascii="Arial" w:hAnsi="Arial" w:cs="Arial"/>
          <w:b/>
          <w:sz w:val="20"/>
        </w:rPr>
        <w:t xml:space="preserve"> </w:t>
      </w:r>
      <w:r w:rsidR="00090D32" w:rsidRPr="00B85224">
        <w:rPr>
          <w:rFonts w:ascii="Arial" w:hAnsi="Arial" w:cs="Arial"/>
          <w:b/>
          <w:sz w:val="20"/>
          <w:szCs w:val="20"/>
        </w:rPr>
        <w:t>Among Adults in Ikwerre Local Government Area, Rivers State, Nigeria</w:t>
      </w:r>
    </w:p>
    <w:tbl>
      <w:tblPr>
        <w:tblStyle w:val="TableGrid"/>
        <w:tblW w:w="0" w:type="auto"/>
        <w:tblInd w:w="53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4"/>
        <w:gridCol w:w="1792"/>
        <w:gridCol w:w="1793"/>
        <w:gridCol w:w="1792"/>
        <w:gridCol w:w="1095"/>
      </w:tblGrid>
      <w:tr w:rsidR="00090D32" w:rsidRPr="00090D32" w14:paraId="635F4D8F" w14:textId="77777777" w:rsidTr="00090D32">
        <w:tc>
          <w:tcPr>
            <w:tcW w:w="3118" w:type="dxa"/>
            <w:tcBorders>
              <w:top w:val="single" w:sz="4" w:space="0" w:color="auto"/>
              <w:bottom w:val="single" w:sz="4" w:space="0" w:color="auto"/>
            </w:tcBorders>
            <w:vAlign w:val="center"/>
          </w:tcPr>
          <w:p w14:paraId="247BB389" w14:textId="77777777" w:rsidR="00305CEB" w:rsidRPr="00090D32" w:rsidRDefault="00305CEB" w:rsidP="00305CEB">
            <w:pPr>
              <w:pStyle w:val="p1"/>
              <w:spacing w:before="0" w:beforeAutospacing="0" w:after="0" w:afterAutospacing="0"/>
              <w:contextualSpacing/>
              <w:jc w:val="center"/>
              <w:rPr>
                <w:rFonts w:ascii="Arial" w:hAnsi="Arial" w:cs="Arial"/>
                <w:b/>
                <w:bCs/>
                <w:sz w:val="20"/>
                <w:szCs w:val="20"/>
              </w:rPr>
            </w:pPr>
            <w:r w:rsidRPr="00090D32">
              <w:rPr>
                <w:rFonts w:ascii="Arial" w:hAnsi="Arial" w:cs="Arial"/>
                <w:b/>
                <w:bCs/>
                <w:sz w:val="20"/>
                <w:szCs w:val="20"/>
              </w:rPr>
              <w:t>Component/measure</w:t>
            </w:r>
          </w:p>
        </w:tc>
        <w:tc>
          <w:tcPr>
            <w:tcW w:w="1843" w:type="dxa"/>
            <w:tcBorders>
              <w:top w:val="single" w:sz="4" w:space="0" w:color="auto"/>
              <w:bottom w:val="single" w:sz="4" w:space="0" w:color="auto"/>
            </w:tcBorders>
            <w:vAlign w:val="center"/>
          </w:tcPr>
          <w:p w14:paraId="38A34B63" w14:textId="77777777" w:rsidR="00DA0E4C" w:rsidRPr="00090D32" w:rsidRDefault="00305CEB" w:rsidP="00305CEB">
            <w:pPr>
              <w:pStyle w:val="p1"/>
              <w:spacing w:before="0" w:beforeAutospacing="0" w:after="0" w:afterAutospacing="0"/>
              <w:contextualSpacing/>
              <w:jc w:val="center"/>
              <w:rPr>
                <w:rFonts w:ascii="Arial" w:hAnsi="Arial" w:cs="Arial"/>
                <w:b/>
                <w:bCs/>
                <w:sz w:val="20"/>
                <w:szCs w:val="20"/>
              </w:rPr>
            </w:pPr>
            <w:r w:rsidRPr="00090D32">
              <w:rPr>
                <w:rFonts w:ascii="Arial" w:hAnsi="Arial" w:cs="Arial"/>
                <w:b/>
                <w:bCs/>
                <w:sz w:val="20"/>
                <w:szCs w:val="20"/>
              </w:rPr>
              <w:t xml:space="preserve">Overall </w:t>
            </w:r>
          </w:p>
          <w:p w14:paraId="6B8FECC7" w14:textId="77777777" w:rsidR="00305CEB" w:rsidRPr="00090D32" w:rsidRDefault="00305CEB" w:rsidP="00305CEB">
            <w:pPr>
              <w:pStyle w:val="p1"/>
              <w:spacing w:before="0" w:beforeAutospacing="0" w:after="0" w:afterAutospacing="0"/>
              <w:contextualSpacing/>
              <w:jc w:val="center"/>
              <w:rPr>
                <w:rFonts w:ascii="Arial" w:hAnsi="Arial" w:cs="Arial"/>
                <w:b/>
                <w:bCs/>
                <w:sz w:val="20"/>
                <w:szCs w:val="20"/>
              </w:rPr>
            </w:pPr>
            <w:r w:rsidRPr="00090D32">
              <w:rPr>
                <w:rFonts w:ascii="Arial" w:hAnsi="Arial" w:cs="Arial"/>
                <w:b/>
                <w:bCs/>
                <w:sz w:val="20"/>
                <w:szCs w:val="20"/>
              </w:rPr>
              <w:t>(n=477)</w:t>
            </w:r>
          </w:p>
        </w:tc>
        <w:tc>
          <w:tcPr>
            <w:tcW w:w="1843" w:type="dxa"/>
            <w:tcBorders>
              <w:top w:val="single" w:sz="4" w:space="0" w:color="auto"/>
              <w:bottom w:val="single" w:sz="4" w:space="0" w:color="auto"/>
            </w:tcBorders>
            <w:vAlign w:val="center"/>
          </w:tcPr>
          <w:p w14:paraId="0B7B8A01" w14:textId="77777777" w:rsidR="00090D32" w:rsidRDefault="00305CEB" w:rsidP="00305CEB">
            <w:pPr>
              <w:pStyle w:val="p1"/>
              <w:spacing w:before="0" w:beforeAutospacing="0" w:after="0" w:afterAutospacing="0"/>
              <w:contextualSpacing/>
              <w:jc w:val="center"/>
              <w:rPr>
                <w:rFonts w:ascii="Arial" w:hAnsi="Arial" w:cs="Arial"/>
                <w:b/>
                <w:bCs/>
                <w:sz w:val="20"/>
                <w:szCs w:val="20"/>
              </w:rPr>
            </w:pPr>
            <w:r w:rsidRPr="00090D32">
              <w:rPr>
                <w:rFonts w:ascii="Arial" w:hAnsi="Arial" w:cs="Arial"/>
                <w:b/>
                <w:bCs/>
                <w:sz w:val="20"/>
                <w:szCs w:val="20"/>
              </w:rPr>
              <w:t xml:space="preserve">Lower CCA </w:t>
            </w:r>
          </w:p>
          <w:p w14:paraId="1D69F7A5" w14:textId="77777777" w:rsidR="00305CEB" w:rsidRPr="00090D32" w:rsidRDefault="00305CEB" w:rsidP="00305CEB">
            <w:pPr>
              <w:pStyle w:val="p1"/>
              <w:spacing w:before="0" w:beforeAutospacing="0" w:after="0" w:afterAutospacing="0"/>
              <w:contextualSpacing/>
              <w:jc w:val="center"/>
              <w:rPr>
                <w:rFonts w:ascii="Arial" w:hAnsi="Arial" w:cs="Arial"/>
                <w:b/>
                <w:bCs/>
                <w:sz w:val="20"/>
                <w:szCs w:val="20"/>
              </w:rPr>
            </w:pPr>
            <w:r w:rsidRPr="00090D32">
              <w:rPr>
                <w:rFonts w:ascii="Arial" w:hAnsi="Arial" w:cs="Arial"/>
                <w:b/>
                <w:bCs/>
                <w:sz w:val="20"/>
                <w:szCs w:val="20"/>
              </w:rPr>
              <w:t>burden (n=180)</w:t>
            </w:r>
          </w:p>
        </w:tc>
        <w:tc>
          <w:tcPr>
            <w:tcW w:w="1842" w:type="dxa"/>
            <w:tcBorders>
              <w:top w:val="single" w:sz="4" w:space="0" w:color="auto"/>
              <w:bottom w:val="single" w:sz="4" w:space="0" w:color="auto"/>
            </w:tcBorders>
            <w:vAlign w:val="center"/>
          </w:tcPr>
          <w:p w14:paraId="054E4006" w14:textId="77777777" w:rsidR="00DA0E4C" w:rsidRPr="00090D32" w:rsidRDefault="00305CEB" w:rsidP="00305CEB">
            <w:pPr>
              <w:pStyle w:val="p1"/>
              <w:spacing w:before="0" w:beforeAutospacing="0" w:after="0" w:afterAutospacing="0"/>
              <w:contextualSpacing/>
              <w:jc w:val="center"/>
              <w:rPr>
                <w:rFonts w:ascii="Arial" w:hAnsi="Arial" w:cs="Arial"/>
                <w:b/>
                <w:bCs/>
                <w:sz w:val="20"/>
                <w:szCs w:val="20"/>
              </w:rPr>
            </w:pPr>
            <w:r w:rsidRPr="00090D32">
              <w:rPr>
                <w:rFonts w:ascii="Arial" w:hAnsi="Arial" w:cs="Arial"/>
                <w:b/>
                <w:bCs/>
                <w:sz w:val="20"/>
                <w:szCs w:val="20"/>
              </w:rPr>
              <w:t xml:space="preserve">Higher CCA </w:t>
            </w:r>
          </w:p>
          <w:p w14:paraId="25FAD9CF" w14:textId="77777777" w:rsidR="00305CEB" w:rsidRPr="00090D32" w:rsidRDefault="00305CEB" w:rsidP="00305CEB">
            <w:pPr>
              <w:pStyle w:val="p1"/>
              <w:spacing w:before="0" w:beforeAutospacing="0" w:after="0" w:afterAutospacing="0"/>
              <w:contextualSpacing/>
              <w:jc w:val="center"/>
              <w:rPr>
                <w:rFonts w:ascii="Arial" w:hAnsi="Arial" w:cs="Arial"/>
                <w:b/>
                <w:bCs/>
                <w:sz w:val="20"/>
                <w:szCs w:val="20"/>
              </w:rPr>
            </w:pPr>
            <w:r w:rsidRPr="00090D32">
              <w:rPr>
                <w:rFonts w:ascii="Arial" w:hAnsi="Arial" w:cs="Arial"/>
                <w:b/>
                <w:bCs/>
                <w:sz w:val="20"/>
                <w:szCs w:val="20"/>
              </w:rPr>
              <w:t>burden (n=297)</w:t>
            </w:r>
          </w:p>
        </w:tc>
        <w:tc>
          <w:tcPr>
            <w:tcW w:w="1116" w:type="dxa"/>
            <w:tcBorders>
              <w:top w:val="single" w:sz="4" w:space="0" w:color="auto"/>
              <w:bottom w:val="single" w:sz="4" w:space="0" w:color="auto"/>
            </w:tcBorders>
            <w:vAlign w:val="center"/>
          </w:tcPr>
          <w:p w14:paraId="23829372" w14:textId="77777777" w:rsidR="00305CEB" w:rsidRPr="00090D32" w:rsidRDefault="00305CEB" w:rsidP="00305CEB">
            <w:pPr>
              <w:pStyle w:val="p1"/>
              <w:spacing w:before="0" w:beforeAutospacing="0" w:after="0" w:afterAutospacing="0"/>
              <w:contextualSpacing/>
              <w:jc w:val="center"/>
              <w:rPr>
                <w:rFonts w:ascii="Arial" w:hAnsi="Arial" w:cs="Arial"/>
                <w:b/>
                <w:bCs/>
                <w:sz w:val="20"/>
                <w:szCs w:val="20"/>
              </w:rPr>
            </w:pPr>
            <w:r w:rsidRPr="00090D32">
              <w:rPr>
                <w:rFonts w:ascii="Arial" w:hAnsi="Arial" w:cs="Arial"/>
                <w:b/>
                <w:bCs/>
                <w:sz w:val="20"/>
                <w:szCs w:val="20"/>
              </w:rPr>
              <w:t>P-value</w:t>
            </w:r>
          </w:p>
        </w:tc>
      </w:tr>
      <w:tr w:rsidR="00DA0E4C" w:rsidRPr="00090D32" w14:paraId="65F44797" w14:textId="77777777" w:rsidTr="00090D32">
        <w:tc>
          <w:tcPr>
            <w:tcW w:w="9762" w:type="dxa"/>
            <w:gridSpan w:val="5"/>
            <w:tcBorders>
              <w:top w:val="single" w:sz="4" w:space="0" w:color="auto"/>
            </w:tcBorders>
            <w:vAlign w:val="center"/>
          </w:tcPr>
          <w:p w14:paraId="5A2F5C49" w14:textId="77777777" w:rsidR="00DA0E4C" w:rsidRPr="00090D32" w:rsidRDefault="00DA0E4C" w:rsidP="00305CEB">
            <w:pPr>
              <w:contextualSpacing/>
              <w:rPr>
                <w:rFonts w:ascii="Arial" w:hAnsi="Arial" w:cs="Arial"/>
                <w:sz w:val="20"/>
                <w:szCs w:val="20"/>
              </w:rPr>
            </w:pPr>
            <w:r w:rsidRPr="00090D32">
              <w:rPr>
                <w:rFonts w:ascii="Arial" w:hAnsi="Arial" w:cs="Arial"/>
                <w:b/>
                <w:bCs/>
                <w:sz w:val="20"/>
                <w:szCs w:val="20"/>
              </w:rPr>
              <w:t>Continuous measures, mean ± SD</w:t>
            </w:r>
          </w:p>
        </w:tc>
      </w:tr>
      <w:tr w:rsidR="00412BF4" w:rsidRPr="00090D32" w14:paraId="2F47BAC2" w14:textId="77777777" w:rsidTr="00090D32">
        <w:tc>
          <w:tcPr>
            <w:tcW w:w="3118" w:type="dxa"/>
            <w:vAlign w:val="center"/>
          </w:tcPr>
          <w:p w14:paraId="676B5B59" w14:textId="77777777" w:rsidR="00305CEB" w:rsidRPr="00090D32" w:rsidRDefault="00305CEB" w:rsidP="00090D32">
            <w:pPr>
              <w:pStyle w:val="p1"/>
              <w:spacing w:before="0" w:beforeAutospacing="0" w:after="0" w:afterAutospacing="0"/>
              <w:ind w:firstLine="174"/>
              <w:contextualSpacing/>
              <w:rPr>
                <w:rFonts w:ascii="Arial" w:hAnsi="Arial" w:cs="Arial"/>
                <w:sz w:val="20"/>
                <w:szCs w:val="20"/>
              </w:rPr>
            </w:pPr>
            <w:r w:rsidRPr="00090D32">
              <w:rPr>
                <w:rFonts w:ascii="Arial" w:hAnsi="Arial" w:cs="Arial"/>
                <w:sz w:val="20"/>
                <w:szCs w:val="20"/>
              </w:rPr>
              <w:t>BMI, kg/m²</w:t>
            </w:r>
          </w:p>
        </w:tc>
        <w:tc>
          <w:tcPr>
            <w:tcW w:w="1843" w:type="dxa"/>
            <w:vAlign w:val="center"/>
          </w:tcPr>
          <w:p w14:paraId="1C9C49F7"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31.03 ± 8.08</w:t>
            </w:r>
          </w:p>
        </w:tc>
        <w:tc>
          <w:tcPr>
            <w:tcW w:w="1843" w:type="dxa"/>
            <w:vAlign w:val="center"/>
          </w:tcPr>
          <w:p w14:paraId="32CE3A09"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26.15 ± 5.38</w:t>
            </w:r>
          </w:p>
        </w:tc>
        <w:tc>
          <w:tcPr>
            <w:tcW w:w="1842" w:type="dxa"/>
            <w:vAlign w:val="center"/>
          </w:tcPr>
          <w:p w14:paraId="2C9532AD"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33.99 ± 8.01</w:t>
            </w:r>
          </w:p>
        </w:tc>
        <w:tc>
          <w:tcPr>
            <w:tcW w:w="1116" w:type="dxa"/>
            <w:vAlign w:val="center"/>
          </w:tcPr>
          <w:p w14:paraId="72C5F4A8"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&lt;.001</w:t>
            </w:r>
          </w:p>
        </w:tc>
      </w:tr>
      <w:tr w:rsidR="00412BF4" w:rsidRPr="00090D32" w14:paraId="3AB0EC15" w14:textId="77777777" w:rsidTr="00090D32">
        <w:tc>
          <w:tcPr>
            <w:tcW w:w="3118" w:type="dxa"/>
            <w:vAlign w:val="center"/>
          </w:tcPr>
          <w:p w14:paraId="6DD46357" w14:textId="77777777" w:rsidR="00305CEB" w:rsidRPr="00090D32" w:rsidRDefault="00305CEB" w:rsidP="00090D32">
            <w:pPr>
              <w:pStyle w:val="p1"/>
              <w:spacing w:before="0" w:beforeAutospacing="0" w:after="0" w:afterAutospacing="0"/>
              <w:ind w:firstLine="174"/>
              <w:contextualSpacing/>
              <w:rPr>
                <w:rFonts w:ascii="Arial" w:hAnsi="Arial" w:cs="Arial"/>
                <w:sz w:val="20"/>
                <w:szCs w:val="20"/>
              </w:rPr>
            </w:pPr>
            <w:r w:rsidRPr="00090D32">
              <w:rPr>
                <w:rFonts w:ascii="Arial" w:hAnsi="Arial" w:cs="Arial"/>
                <w:sz w:val="20"/>
                <w:szCs w:val="20"/>
              </w:rPr>
              <w:t>SBP, mmHg</w:t>
            </w:r>
          </w:p>
        </w:tc>
        <w:tc>
          <w:tcPr>
            <w:tcW w:w="1843" w:type="dxa"/>
            <w:vAlign w:val="center"/>
          </w:tcPr>
          <w:p w14:paraId="07F3E9A9"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130.32 ± 23.79</w:t>
            </w:r>
          </w:p>
        </w:tc>
        <w:tc>
          <w:tcPr>
            <w:tcW w:w="1843" w:type="dxa"/>
            <w:vAlign w:val="center"/>
          </w:tcPr>
          <w:p w14:paraId="33579EFC"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111.80 ± 12.59</w:t>
            </w:r>
          </w:p>
        </w:tc>
        <w:tc>
          <w:tcPr>
            <w:tcW w:w="1842" w:type="dxa"/>
            <w:vAlign w:val="center"/>
          </w:tcPr>
          <w:p w14:paraId="437AF1ED"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141.55 ± 21.90</w:t>
            </w:r>
          </w:p>
        </w:tc>
        <w:tc>
          <w:tcPr>
            <w:tcW w:w="1116" w:type="dxa"/>
            <w:vAlign w:val="center"/>
          </w:tcPr>
          <w:p w14:paraId="5E9FFCC5"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&lt;.001</w:t>
            </w:r>
          </w:p>
        </w:tc>
      </w:tr>
      <w:tr w:rsidR="00412BF4" w:rsidRPr="00090D32" w14:paraId="272146CB" w14:textId="77777777" w:rsidTr="00090D32">
        <w:tc>
          <w:tcPr>
            <w:tcW w:w="3118" w:type="dxa"/>
            <w:vAlign w:val="center"/>
          </w:tcPr>
          <w:p w14:paraId="305DA54A" w14:textId="77777777" w:rsidR="00305CEB" w:rsidRPr="00090D32" w:rsidRDefault="00305CEB" w:rsidP="00090D32">
            <w:pPr>
              <w:pStyle w:val="p1"/>
              <w:spacing w:before="0" w:beforeAutospacing="0" w:after="0" w:afterAutospacing="0"/>
              <w:ind w:firstLine="174"/>
              <w:contextualSpacing/>
              <w:rPr>
                <w:rFonts w:ascii="Arial" w:hAnsi="Arial" w:cs="Arial"/>
                <w:sz w:val="20"/>
                <w:szCs w:val="20"/>
              </w:rPr>
            </w:pPr>
            <w:r w:rsidRPr="00090D32">
              <w:rPr>
                <w:rFonts w:ascii="Arial" w:hAnsi="Arial" w:cs="Arial"/>
                <w:sz w:val="20"/>
                <w:szCs w:val="20"/>
              </w:rPr>
              <w:t>DBP, mmHg</w:t>
            </w:r>
          </w:p>
        </w:tc>
        <w:tc>
          <w:tcPr>
            <w:tcW w:w="1843" w:type="dxa"/>
            <w:vAlign w:val="center"/>
          </w:tcPr>
          <w:p w14:paraId="139AE28D"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87.53 ± 18.94</w:t>
            </w:r>
          </w:p>
        </w:tc>
        <w:tc>
          <w:tcPr>
            <w:tcW w:w="1843" w:type="dxa"/>
            <w:vAlign w:val="center"/>
          </w:tcPr>
          <w:p w14:paraId="37F1E675"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73.60 ± 10.19</w:t>
            </w:r>
          </w:p>
        </w:tc>
        <w:tc>
          <w:tcPr>
            <w:tcW w:w="1842" w:type="dxa"/>
            <w:vAlign w:val="center"/>
          </w:tcPr>
          <w:p w14:paraId="5622E8ED"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95.97 ± 18.02</w:t>
            </w:r>
          </w:p>
        </w:tc>
        <w:tc>
          <w:tcPr>
            <w:tcW w:w="1116" w:type="dxa"/>
            <w:vAlign w:val="center"/>
          </w:tcPr>
          <w:p w14:paraId="144E9E72"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&lt;.001</w:t>
            </w:r>
          </w:p>
        </w:tc>
      </w:tr>
      <w:tr w:rsidR="00412BF4" w:rsidRPr="00090D32" w14:paraId="5F7F0D86" w14:textId="77777777" w:rsidTr="00090D32">
        <w:tc>
          <w:tcPr>
            <w:tcW w:w="3118" w:type="dxa"/>
            <w:vAlign w:val="center"/>
          </w:tcPr>
          <w:p w14:paraId="42A5A93F" w14:textId="77777777" w:rsidR="00305CEB" w:rsidRPr="00090D32" w:rsidRDefault="00305CEB" w:rsidP="00090D32">
            <w:pPr>
              <w:pStyle w:val="p1"/>
              <w:spacing w:before="0" w:beforeAutospacing="0" w:after="0" w:afterAutospacing="0"/>
              <w:ind w:firstLine="174"/>
              <w:contextualSpacing/>
              <w:rPr>
                <w:rFonts w:ascii="Arial" w:hAnsi="Arial" w:cs="Arial"/>
                <w:sz w:val="20"/>
                <w:szCs w:val="20"/>
              </w:rPr>
            </w:pPr>
            <w:r w:rsidRPr="00090D32">
              <w:rPr>
                <w:rFonts w:ascii="Arial" w:hAnsi="Arial" w:cs="Arial"/>
                <w:sz w:val="20"/>
                <w:szCs w:val="20"/>
              </w:rPr>
              <w:lastRenderedPageBreak/>
              <w:t>Fasting blood glucose, mmol/L</w:t>
            </w:r>
          </w:p>
        </w:tc>
        <w:tc>
          <w:tcPr>
            <w:tcW w:w="1843" w:type="dxa"/>
            <w:vAlign w:val="center"/>
          </w:tcPr>
          <w:p w14:paraId="685AA502"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6.24 ± 2.46</w:t>
            </w:r>
          </w:p>
        </w:tc>
        <w:tc>
          <w:tcPr>
            <w:tcW w:w="1843" w:type="dxa"/>
            <w:vAlign w:val="center"/>
          </w:tcPr>
          <w:p w14:paraId="787936BC"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4.16 ± 0.44</w:t>
            </w:r>
          </w:p>
        </w:tc>
        <w:tc>
          <w:tcPr>
            <w:tcW w:w="1842" w:type="dxa"/>
            <w:vAlign w:val="center"/>
          </w:tcPr>
          <w:p w14:paraId="5D35B18C"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7.50 ± 2.32</w:t>
            </w:r>
          </w:p>
        </w:tc>
        <w:tc>
          <w:tcPr>
            <w:tcW w:w="1116" w:type="dxa"/>
            <w:vAlign w:val="center"/>
          </w:tcPr>
          <w:p w14:paraId="6FE92D62"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&lt;.001</w:t>
            </w:r>
          </w:p>
        </w:tc>
      </w:tr>
      <w:tr w:rsidR="00412BF4" w:rsidRPr="00090D32" w14:paraId="4C5013E8" w14:textId="77777777" w:rsidTr="00090D32">
        <w:tc>
          <w:tcPr>
            <w:tcW w:w="3118" w:type="dxa"/>
            <w:vAlign w:val="center"/>
          </w:tcPr>
          <w:p w14:paraId="2836B083" w14:textId="77777777" w:rsidR="00305CEB" w:rsidRPr="00090D32" w:rsidRDefault="00305CEB" w:rsidP="00090D32">
            <w:pPr>
              <w:pStyle w:val="p1"/>
              <w:spacing w:before="0" w:beforeAutospacing="0" w:after="0" w:afterAutospacing="0"/>
              <w:ind w:firstLine="174"/>
              <w:contextualSpacing/>
              <w:rPr>
                <w:rFonts w:ascii="Arial" w:hAnsi="Arial" w:cs="Arial"/>
                <w:sz w:val="20"/>
                <w:szCs w:val="20"/>
              </w:rPr>
            </w:pPr>
            <w:r w:rsidRPr="00090D32">
              <w:rPr>
                <w:rFonts w:ascii="Arial" w:hAnsi="Arial" w:cs="Arial"/>
                <w:sz w:val="20"/>
                <w:szCs w:val="20"/>
              </w:rPr>
              <w:t>Triglycerides, mmol/L</w:t>
            </w:r>
          </w:p>
        </w:tc>
        <w:tc>
          <w:tcPr>
            <w:tcW w:w="1843" w:type="dxa"/>
            <w:vAlign w:val="center"/>
          </w:tcPr>
          <w:p w14:paraId="551E5B78"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1.35 ± 0.26</w:t>
            </w:r>
          </w:p>
        </w:tc>
        <w:tc>
          <w:tcPr>
            <w:tcW w:w="1843" w:type="dxa"/>
            <w:vAlign w:val="center"/>
          </w:tcPr>
          <w:p w14:paraId="08A7E82F"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1.18 ± 0.16</w:t>
            </w:r>
          </w:p>
        </w:tc>
        <w:tc>
          <w:tcPr>
            <w:tcW w:w="1842" w:type="dxa"/>
            <w:vAlign w:val="center"/>
          </w:tcPr>
          <w:p w14:paraId="2C830188"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1.45 ± 0.25</w:t>
            </w:r>
          </w:p>
        </w:tc>
        <w:tc>
          <w:tcPr>
            <w:tcW w:w="1116" w:type="dxa"/>
            <w:vAlign w:val="center"/>
          </w:tcPr>
          <w:p w14:paraId="38DE898F"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&lt;.001</w:t>
            </w:r>
          </w:p>
        </w:tc>
      </w:tr>
      <w:tr w:rsidR="00412BF4" w:rsidRPr="00090D32" w14:paraId="73ADB6A5" w14:textId="77777777" w:rsidTr="00090D32">
        <w:tc>
          <w:tcPr>
            <w:tcW w:w="3118" w:type="dxa"/>
            <w:vAlign w:val="center"/>
          </w:tcPr>
          <w:p w14:paraId="371886C5" w14:textId="77777777" w:rsidR="00305CEB" w:rsidRPr="00090D32" w:rsidRDefault="00305CEB" w:rsidP="00090D32">
            <w:pPr>
              <w:pStyle w:val="p1"/>
              <w:spacing w:before="0" w:beforeAutospacing="0" w:after="0" w:afterAutospacing="0"/>
              <w:ind w:firstLine="174"/>
              <w:contextualSpacing/>
              <w:rPr>
                <w:rFonts w:ascii="Arial" w:hAnsi="Arial" w:cs="Arial"/>
                <w:sz w:val="20"/>
                <w:szCs w:val="20"/>
              </w:rPr>
            </w:pPr>
            <w:r w:rsidRPr="00090D32">
              <w:rPr>
                <w:rFonts w:ascii="Arial" w:hAnsi="Arial" w:cs="Arial"/>
                <w:sz w:val="20"/>
                <w:szCs w:val="20"/>
              </w:rPr>
              <w:t>HDL-C, mmol/L</w:t>
            </w:r>
          </w:p>
        </w:tc>
        <w:tc>
          <w:tcPr>
            <w:tcW w:w="1843" w:type="dxa"/>
            <w:vAlign w:val="center"/>
          </w:tcPr>
          <w:p w14:paraId="42F70517"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1.41 ± 0.23</w:t>
            </w:r>
          </w:p>
        </w:tc>
        <w:tc>
          <w:tcPr>
            <w:tcW w:w="1843" w:type="dxa"/>
            <w:vAlign w:val="center"/>
          </w:tcPr>
          <w:p w14:paraId="198B0ED0"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1.42 ± 0.23</w:t>
            </w:r>
          </w:p>
        </w:tc>
        <w:tc>
          <w:tcPr>
            <w:tcW w:w="1842" w:type="dxa"/>
            <w:vAlign w:val="center"/>
          </w:tcPr>
          <w:p w14:paraId="06C3F1AC"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1.40 ± 0.22</w:t>
            </w:r>
          </w:p>
        </w:tc>
        <w:tc>
          <w:tcPr>
            <w:tcW w:w="1116" w:type="dxa"/>
            <w:vAlign w:val="center"/>
          </w:tcPr>
          <w:p w14:paraId="261AF820"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.460</w:t>
            </w:r>
          </w:p>
        </w:tc>
      </w:tr>
      <w:tr w:rsidR="00DA0E4C" w:rsidRPr="00090D32" w14:paraId="69E08654" w14:textId="77777777" w:rsidTr="00090D32">
        <w:tc>
          <w:tcPr>
            <w:tcW w:w="9762" w:type="dxa"/>
            <w:gridSpan w:val="5"/>
            <w:vAlign w:val="center"/>
          </w:tcPr>
          <w:p w14:paraId="6A44BBAB" w14:textId="77777777" w:rsidR="00DA0E4C" w:rsidRPr="00090D32" w:rsidRDefault="00DA0E4C" w:rsidP="00305CEB">
            <w:pPr>
              <w:contextualSpacing/>
              <w:rPr>
                <w:rFonts w:ascii="Arial" w:hAnsi="Arial" w:cs="Arial"/>
                <w:sz w:val="20"/>
                <w:szCs w:val="20"/>
              </w:rPr>
            </w:pPr>
            <w:r w:rsidRPr="00090D32">
              <w:rPr>
                <w:rFonts w:ascii="Arial" w:hAnsi="Arial" w:cs="Arial"/>
                <w:b/>
                <w:bCs/>
                <w:sz w:val="20"/>
                <w:szCs w:val="20"/>
              </w:rPr>
              <w:t>Individual cardiometabolic abnormalities, n (%)</w:t>
            </w:r>
          </w:p>
        </w:tc>
      </w:tr>
      <w:tr w:rsidR="00412BF4" w:rsidRPr="00090D32" w14:paraId="5F9964D1" w14:textId="77777777" w:rsidTr="00090D32">
        <w:tc>
          <w:tcPr>
            <w:tcW w:w="3118" w:type="dxa"/>
            <w:vAlign w:val="center"/>
          </w:tcPr>
          <w:p w14:paraId="658E4457" w14:textId="77777777" w:rsidR="00305CEB" w:rsidRPr="00090D32" w:rsidRDefault="00305CEB" w:rsidP="00090D32">
            <w:pPr>
              <w:pStyle w:val="p1"/>
              <w:spacing w:before="0" w:beforeAutospacing="0" w:after="0" w:afterAutospacing="0"/>
              <w:ind w:firstLine="174"/>
              <w:contextualSpacing/>
              <w:rPr>
                <w:rFonts w:ascii="Arial" w:hAnsi="Arial" w:cs="Arial"/>
                <w:sz w:val="20"/>
                <w:szCs w:val="20"/>
              </w:rPr>
            </w:pPr>
            <w:r w:rsidRPr="00090D32">
              <w:rPr>
                <w:rFonts w:ascii="Arial" w:hAnsi="Arial" w:cs="Arial"/>
                <w:sz w:val="20"/>
                <w:szCs w:val="20"/>
              </w:rPr>
              <w:t>General obesity</w:t>
            </w:r>
          </w:p>
        </w:tc>
        <w:tc>
          <w:tcPr>
            <w:tcW w:w="1843" w:type="dxa"/>
            <w:vAlign w:val="center"/>
          </w:tcPr>
          <w:p w14:paraId="1DE0B92A"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223 (46.8)</w:t>
            </w:r>
          </w:p>
        </w:tc>
        <w:tc>
          <w:tcPr>
            <w:tcW w:w="1843" w:type="dxa"/>
            <w:vAlign w:val="center"/>
          </w:tcPr>
          <w:p w14:paraId="512C47E3"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34 (18.9)</w:t>
            </w:r>
          </w:p>
        </w:tc>
        <w:tc>
          <w:tcPr>
            <w:tcW w:w="1842" w:type="dxa"/>
            <w:vAlign w:val="center"/>
          </w:tcPr>
          <w:p w14:paraId="2ACEC22F"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189 (63.6)</w:t>
            </w:r>
          </w:p>
        </w:tc>
        <w:tc>
          <w:tcPr>
            <w:tcW w:w="1116" w:type="dxa"/>
            <w:vAlign w:val="center"/>
          </w:tcPr>
          <w:p w14:paraId="58FC3C12"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&lt;.001</w:t>
            </w:r>
          </w:p>
        </w:tc>
      </w:tr>
      <w:tr w:rsidR="00412BF4" w:rsidRPr="00090D32" w14:paraId="7C01E723" w14:textId="77777777" w:rsidTr="00090D32">
        <w:tc>
          <w:tcPr>
            <w:tcW w:w="3118" w:type="dxa"/>
            <w:vAlign w:val="center"/>
          </w:tcPr>
          <w:p w14:paraId="1ABD7D72" w14:textId="77777777" w:rsidR="00305CEB" w:rsidRPr="00090D32" w:rsidRDefault="00305CEB" w:rsidP="00090D32">
            <w:pPr>
              <w:pStyle w:val="p1"/>
              <w:spacing w:before="0" w:beforeAutospacing="0" w:after="0" w:afterAutospacing="0"/>
              <w:ind w:firstLine="174"/>
              <w:contextualSpacing/>
              <w:rPr>
                <w:rFonts w:ascii="Arial" w:hAnsi="Arial" w:cs="Arial"/>
                <w:sz w:val="20"/>
                <w:szCs w:val="20"/>
              </w:rPr>
            </w:pPr>
            <w:r w:rsidRPr="00090D32">
              <w:rPr>
                <w:rFonts w:ascii="Arial" w:hAnsi="Arial" w:cs="Arial"/>
                <w:sz w:val="20"/>
                <w:szCs w:val="20"/>
              </w:rPr>
              <w:t>Elevated blood pressure</w:t>
            </w:r>
          </w:p>
        </w:tc>
        <w:tc>
          <w:tcPr>
            <w:tcW w:w="1843" w:type="dxa"/>
            <w:vAlign w:val="center"/>
          </w:tcPr>
          <w:p w14:paraId="728237E2"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315 (66.0)</w:t>
            </w:r>
          </w:p>
        </w:tc>
        <w:tc>
          <w:tcPr>
            <w:tcW w:w="1843" w:type="dxa"/>
            <w:vAlign w:val="center"/>
          </w:tcPr>
          <w:p w14:paraId="08A6BF28"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45 (25.0)</w:t>
            </w:r>
          </w:p>
        </w:tc>
        <w:tc>
          <w:tcPr>
            <w:tcW w:w="1842" w:type="dxa"/>
            <w:vAlign w:val="center"/>
          </w:tcPr>
          <w:p w14:paraId="0000244C"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270 (90.9)</w:t>
            </w:r>
          </w:p>
        </w:tc>
        <w:tc>
          <w:tcPr>
            <w:tcW w:w="1116" w:type="dxa"/>
            <w:vAlign w:val="center"/>
          </w:tcPr>
          <w:p w14:paraId="207D2505"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&lt;.001</w:t>
            </w:r>
          </w:p>
        </w:tc>
      </w:tr>
      <w:tr w:rsidR="00412BF4" w:rsidRPr="00090D32" w14:paraId="0257306E" w14:textId="77777777" w:rsidTr="00090D32">
        <w:tc>
          <w:tcPr>
            <w:tcW w:w="3118" w:type="dxa"/>
            <w:vAlign w:val="center"/>
          </w:tcPr>
          <w:p w14:paraId="700D2BCA" w14:textId="77777777" w:rsidR="00305CEB" w:rsidRPr="00090D32" w:rsidRDefault="00305CEB" w:rsidP="00090D32">
            <w:pPr>
              <w:pStyle w:val="p1"/>
              <w:spacing w:before="0" w:beforeAutospacing="0" w:after="0" w:afterAutospacing="0"/>
              <w:ind w:firstLine="174"/>
              <w:contextualSpacing/>
              <w:rPr>
                <w:rFonts w:ascii="Arial" w:hAnsi="Arial" w:cs="Arial"/>
                <w:sz w:val="20"/>
                <w:szCs w:val="20"/>
              </w:rPr>
            </w:pPr>
            <w:proofErr w:type="spellStart"/>
            <w:r w:rsidRPr="00090D32">
              <w:rPr>
                <w:rFonts w:ascii="Arial" w:hAnsi="Arial" w:cs="Arial"/>
                <w:sz w:val="20"/>
                <w:szCs w:val="20"/>
              </w:rPr>
              <w:t>Dysglycaemia</w:t>
            </w:r>
            <w:proofErr w:type="spellEnd"/>
          </w:p>
        </w:tc>
        <w:tc>
          <w:tcPr>
            <w:tcW w:w="1843" w:type="dxa"/>
            <w:vAlign w:val="center"/>
          </w:tcPr>
          <w:p w14:paraId="4455CACF"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227 (47.6)</w:t>
            </w:r>
          </w:p>
        </w:tc>
        <w:tc>
          <w:tcPr>
            <w:tcW w:w="1843" w:type="dxa"/>
            <w:vAlign w:val="center"/>
          </w:tcPr>
          <w:p w14:paraId="2A524CBB"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0 (0.0)</w:t>
            </w:r>
          </w:p>
        </w:tc>
        <w:tc>
          <w:tcPr>
            <w:tcW w:w="1842" w:type="dxa"/>
            <w:vAlign w:val="center"/>
          </w:tcPr>
          <w:p w14:paraId="32565A22"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227 (76.4)</w:t>
            </w:r>
          </w:p>
        </w:tc>
        <w:tc>
          <w:tcPr>
            <w:tcW w:w="1116" w:type="dxa"/>
            <w:vAlign w:val="center"/>
          </w:tcPr>
          <w:p w14:paraId="35CC86AB"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&lt;.001</w:t>
            </w:r>
          </w:p>
        </w:tc>
      </w:tr>
      <w:tr w:rsidR="00412BF4" w:rsidRPr="00090D32" w14:paraId="4A48CEF9" w14:textId="77777777" w:rsidTr="00090D32">
        <w:tc>
          <w:tcPr>
            <w:tcW w:w="3118" w:type="dxa"/>
            <w:vAlign w:val="center"/>
          </w:tcPr>
          <w:p w14:paraId="65E9AB6C" w14:textId="77777777" w:rsidR="00305CEB" w:rsidRPr="00090D32" w:rsidRDefault="00305CEB" w:rsidP="00090D32">
            <w:pPr>
              <w:pStyle w:val="p1"/>
              <w:spacing w:before="0" w:beforeAutospacing="0" w:after="0" w:afterAutospacing="0"/>
              <w:ind w:firstLine="174"/>
              <w:contextualSpacing/>
              <w:rPr>
                <w:rFonts w:ascii="Arial" w:hAnsi="Arial" w:cs="Arial"/>
                <w:sz w:val="20"/>
                <w:szCs w:val="20"/>
              </w:rPr>
            </w:pPr>
            <w:proofErr w:type="spellStart"/>
            <w:r w:rsidRPr="00090D32">
              <w:rPr>
                <w:rFonts w:ascii="Arial" w:hAnsi="Arial" w:cs="Arial"/>
                <w:sz w:val="20"/>
                <w:szCs w:val="20"/>
              </w:rPr>
              <w:t>Hypertriglyceridaemia</w:t>
            </w:r>
            <w:proofErr w:type="spellEnd"/>
          </w:p>
        </w:tc>
        <w:tc>
          <w:tcPr>
            <w:tcW w:w="1843" w:type="dxa"/>
            <w:vAlign w:val="center"/>
          </w:tcPr>
          <w:p w14:paraId="506248AB"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86 (18.0)</w:t>
            </w:r>
          </w:p>
        </w:tc>
        <w:tc>
          <w:tcPr>
            <w:tcW w:w="1843" w:type="dxa"/>
            <w:vAlign w:val="center"/>
          </w:tcPr>
          <w:p w14:paraId="658AB152"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0 (0.0)</w:t>
            </w:r>
          </w:p>
        </w:tc>
        <w:tc>
          <w:tcPr>
            <w:tcW w:w="1842" w:type="dxa"/>
            <w:vAlign w:val="center"/>
          </w:tcPr>
          <w:p w14:paraId="14C17188"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86 (29.0)</w:t>
            </w:r>
          </w:p>
        </w:tc>
        <w:tc>
          <w:tcPr>
            <w:tcW w:w="1116" w:type="dxa"/>
            <w:vAlign w:val="center"/>
          </w:tcPr>
          <w:p w14:paraId="5C2D209B"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&lt;.001</w:t>
            </w:r>
          </w:p>
        </w:tc>
      </w:tr>
      <w:tr w:rsidR="00412BF4" w:rsidRPr="00090D32" w14:paraId="7E111732" w14:textId="77777777" w:rsidTr="00090D32">
        <w:tc>
          <w:tcPr>
            <w:tcW w:w="3118" w:type="dxa"/>
            <w:vAlign w:val="center"/>
          </w:tcPr>
          <w:p w14:paraId="6638F92D" w14:textId="77777777" w:rsidR="00305CEB" w:rsidRPr="00090D32" w:rsidRDefault="00305CEB" w:rsidP="00090D32">
            <w:pPr>
              <w:pStyle w:val="p1"/>
              <w:spacing w:before="0" w:beforeAutospacing="0" w:after="0" w:afterAutospacing="0"/>
              <w:ind w:firstLine="174"/>
              <w:contextualSpacing/>
              <w:rPr>
                <w:rFonts w:ascii="Arial" w:hAnsi="Arial" w:cs="Arial"/>
                <w:sz w:val="20"/>
                <w:szCs w:val="20"/>
              </w:rPr>
            </w:pPr>
            <w:r w:rsidRPr="00090D32">
              <w:rPr>
                <w:rFonts w:ascii="Arial" w:hAnsi="Arial" w:cs="Arial"/>
                <w:sz w:val="20"/>
                <w:szCs w:val="20"/>
              </w:rPr>
              <w:t>Reduced HDL-C</w:t>
            </w:r>
          </w:p>
        </w:tc>
        <w:tc>
          <w:tcPr>
            <w:tcW w:w="1843" w:type="dxa"/>
            <w:vAlign w:val="center"/>
          </w:tcPr>
          <w:p w14:paraId="32BC2191"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99 (20.8)</w:t>
            </w:r>
          </w:p>
        </w:tc>
        <w:tc>
          <w:tcPr>
            <w:tcW w:w="1843" w:type="dxa"/>
            <w:vAlign w:val="center"/>
          </w:tcPr>
          <w:p w14:paraId="766098EE"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9 (5.0)</w:t>
            </w:r>
          </w:p>
        </w:tc>
        <w:tc>
          <w:tcPr>
            <w:tcW w:w="1842" w:type="dxa"/>
            <w:vAlign w:val="center"/>
          </w:tcPr>
          <w:p w14:paraId="72D7D9D2"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90 (30.3)</w:t>
            </w:r>
          </w:p>
        </w:tc>
        <w:tc>
          <w:tcPr>
            <w:tcW w:w="1116" w:type="dxa"/>
            <w:vAlign w:val="center"/>
          </w:tcPr>
          <w:p w14:paraId="5DCC34C3"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&lt;.001</w:t>
            </w:r>
          </w:p>
        </w:tc>
      </w:tr>
    </w:tbl>
    <w:p w14:paraId="70B3CAC1" w14:textId="77777777" w:rsidR="00305CEB" w:rsidRPr="00090D32" w:rsidRDefault="00DA0E4C" w:rsidP="00EE7CCF">
      <w:pPr>
        <w:contextualSpacing/>
        <w:jc w:val="both"/>
        <w:rPr>
          <w:rFonts w:ascii="Arial" w:hAnsi="Arial" w:cs="Arial"/>
          <w:i/>
          <w:iCs/>
          <w:sz w:val="18"/>
          <w:szCs w:val="18"/>
        </w:rPr>
      </w:pPr>
      <w:r w:rsidRPr="00090D32">
        <w:rPr>
          <w:rFonts w:ascii="Arial" w:hAnsi="Arial" w:cs="Arial"/>
          <w:i/>
          <w:iCs/>
          <w:sz w:val="18"/>
          <w:szCs w:val="18"/>
        </w:rPr>
        <w:t>Values are presented as mean ± standard deviation (SD) for continuous variables and frequency (%) for categorical variables. Lower clustered cardiometabolic abnormality (CCA) burden was defined as 0–1 cardiometabolic abnormalities, while higher CCA burden was defined as ≥2 abnormalities. BMI, body mass index; SBP, systolic blood pressure; DBP, diastolic blood pressure; HDL-C, high-density lipoprotein cholesterol. P-values compare participants with lower and higher CCA burden. Statistical significance was set at p&lt;0.05; exact p-values are reported except where p&lt;0.001.</w:t>
      </w:r>
    </w:p>
    <w:p w14:paraId="3C76360A" w14:textId="77777777" w:rsidR="00305CEB" w:rsidRPr="00090D32" w:rsidRDefault="00DA0E4C">
      <w:pPr>
        <w:spacing w:before="120" w:after="80"/>
        <w:rPr>
          <w:rFonts w:ascii="Arial" w:hAnsi="Arial" w:cs="Arial"/>
          <w:b/>
          <w:bCs/>
          <w:sz w:val="20"/>
          <w:szCs w:val="20"/>
        </w:rPr>
      </w:pPr>
      <w:r w:rsidRPr="00090D32">
        <w:rPr>
          <w:rFonts w:ascii="Arial" w:hAnsi="Arial" w:cs="Arial"/>
          <w:b/>
          <w:bCs/>
          <w:sz w:val="20"/>
          <w:szCs w:val="20"/>
        </w:rPr>
        <w:t xml:space="preserve">Table 4. Distribution of the number of cardiometabolic abnormalities </w:t>
      </w:r>
      <w:r w:rsidR="002470CB">
        <w:rPr>
          <w:rFonts w:ascii="Arial" w:hAnsi="Arial" w:cs="Arial"/>
          <w:b/>
          <w:sz w:val="20"/>
          <w:szCs w:val="20"/>
        </w:rPr>
        <w:t>a</w:t>
      </w:r>
      <w:r w:rsidR="00090D32" w:rsidRPr="00B85224">
        <w:rPr>
          <w:rFonts w:ascii="Arial" w:hAnsi="Arial" w:cs="Arial"/>
          <w:b/>
          <w:sz w:val="20"/>
          <w:szCs w:val="20"/>
        </w:rPr>
        <w:t>mong Adults in Ikwerre Local Government Area, Rivers State, Nigeria</w:t>
      </w:r>
    </w:p>
    <w:tbl>
      <w:tblPr>
        <w:tblStyle w:val="TableGrid"/>
        <w:tblW w:w="0" w:type="auto"/>
        <w:tblInd w:w="53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3"/>
        <w:gridCol w:w="2764"/>
        <w:gridCol w:w="2339"/>
      </w:tblGrid>
      <w:tr w:rsidR="00090D32" w:rsidRPr="00C40275" w14:paraId="40C8927A" w14:textId="77777777" w:rsidTr="00090D32">
        <w:tc>
          <w:tcPr>
            <w:tcW w:w="4536" w:type="dxa"/>
            <w:tcBorders>
              <w:top w:val="single" w:sz="4" w:space="0" w:color="auto"/>
              <w:bottom w:val="single" w:sz="4" w:space="0" w:color="auto"/>
            </w:tcBorders>
            <w:vAlign w:val="center"/>
          </w:tcPr>
          <w:p w14:paraId="1E03F514" w14:textId="77777777" w:rsidR="00090D32" w:rsidRPr="00C40275" w:rsidRDefault="00090D32" w:rsidP="00090D32">
            <w:pPr>
              <w:pStyle w:val="p1"/>
              <w:spacing w:before="0" w:beforeAutospacing="0" w:after="0" w:afterAutospacing="0"/>
              <w:contextualSpacing/>
              <w:jc w:val="center"/>
              <w:rPr>
                <w:rFonts w:ascii="Arial" w:hAnsi="Arial" w:cs="Arial"/>
                <w:b/>
                <w:bCs/>
                <w:sz w:val="20"/>
                <w:szCs w:val="20"/>
              </w:rPr>
            </w:pPr>
            <w:r w:rsidRPr="00C40275">
              <w:rPr>
                <w:rFonts w:ascii="Arial" w:hAnsi="Arial" w:cs="Arial"/>
                <w:b/>
                <w:bCs/>
                <w:sz w:val="20"/>
                <w:szCs w:val="20"/>
              </w:rPr>
              <w:t>Number of abnormalities</w:t>
            </w:r>
          </w:p>
        </w:tc>
        <w:tc>
          <w:tcPr>
            <w:tcW w:w="2835" w:type="dxa"/>
            <w:tcBorders>
              <w:top w:val="single" w:sz="4" w:space="0" w:color="auto"/>
              <w:bottom w:val="single" w:sz="4" w:space="0" w:color="auto"/>
            </w:tcBorders>
            <w:vAlign w:val="center"/>
          </w:tcPr>
          <w:p w14:paraId="18DDB2C5" w14:textId="77777777" w:rsidR="00090D32" w:rsidRPr="00C40275" w:rsidRDefault="00090D32" w:rsidP="00090D32">
            <w:pPr>
              <w:pStyle w:val="p1"/>
              <w:spacing w:before="0" w:beforeAutospacing="0" w:after="0" w:afterAutospacing="0"/>
              <w:contextualSpacing/>
              <w:jc w:val="center"/>
              <w:rPr>
                <w:rFonts w:ascii="Arial" w:hAnsi="Arial" w:cs="Arial"/>
                <w:b/>
                <w:bCs/>
                <w:sz w:val="20"/>
                <w:szCs w:val="20"/>
              </w:rPr>
            </w:pPr>
            <w:r w:rsidRPr="00C40275">
              <w:rPr>
                <w:rFonts w:ascii="Arial" w:hAnsi="Arial" w:cs="Arial"/>
                <w:b/>
                <w:bCs/>
                <w:sz w:val="20"/>
                <w:szCs w:val="20"/>
              </w:rPr>
              <w:t>n</w:t>
            </w:r>
          </w:p>
        </w:tc>
        <w:tc>
          <w:tcPr>
            <w:tcW w:w="2391" w:type="dxa"/>
            <w:tcBorders>
              <w:top w:val="single" w:sz="4" w:space="0" w:color="auto"/>
              <w:bottom w:val="single" w:sz="4" w:space="0" w:color="auto"/>
            </w:tcBorders>
            <w:vAlign w:val="center"/>
          </w:tcPr>
          <w:p w14:paraId="0C1FF361" w14:textId="77777777" w:rsidR="00090D32" w:rsidRPr="00C40275" w:rsidRDefault="00090D32" w:rsidP="00090D32">
            <w:pPr>
              <w:pStyle w:val="p1"/>
              <w:spacing w:before="0" w:beforeAutospacing="0" w:after="0" w:afterAutospacing="0"/>
              <w:contextualSpacing/>
              <w:jc w:val="center"/>
              <w:rPr>
                <w:rFonts w:ascii="Arial" w:hAnsi="Arial" w:cs="Arial"/>
                <w:b/>
                <w:bCs/>
                <w:sz w:val="20"/>
                <w:szCs w:val="20"/>
              </w:rPr>
            </w:pPr>
            <w:r w:rsidRPr="00C40275">
              <w:rPr>
                <w:rFonts w:ascii="Arial" w:hAnsi="Arial" w:cs="Arial"/>
                <w:b/>
                <w:bCs/>
                <w:sz w:val="20"/>
                <w:szCs w:val="20"/>
              </w:rPr>
              <w:t>%</w:t>
            </w:r>
          </w:p>
        </w:tc>
      </w:tr>
      <w:tr w:rsidR="00090D32" w:rsidRPr="00C40275" w14:paraId="452C33DE" w14:textId="77777777" w:rsidTr="00090D32">
        <w:tc>
          <w:tcPr>
            <w:tcW w:w="4536" w:type="dxa"/>
            <w:tcBorders>
              <w:top w:val="single" w:sz="4" w:space="0" w:color="auto"/>
            </w:tcBorders>
            <w:vAlign w:val="center"/>
          </w:tcPr>
          <w:p w14:paraId="69A81BAC"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0</w:t>
            </w:r>
          </w:p>
        </w:tc>
        <w:tc>
          <w:tcPr>
            <w:tcW w:w="2835" w:type="dxa"/>
            <w:tcBorders>
              <w:top w:val="single" w:sz="4" w:space="0" w:color="auto"/>
            </w:tcBorders>
            <w:vAlign w:val="center"/>
          </w:tcPr>
          <w:p w14:paraId="713A8F04"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92</w:t>
            </w:r>
          </w:p>
        </w:tc>
        <w:tc>
          <w:tcPr>
            <w:tcW w:w="2391" w:type="dxa"/>
            <w:tcBorders>
              <w:top w:val="single" w:sz="4" w:space="0" w:color="auto"/>
            </w:tcBorders>
            <w:vAlign w:val="center"/>
          </w:tcPr>
          <w:p w14:paraId="6E8D7E1E"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19.3</w:t>
            </w:r>
          </w:p>
        </w:tc>
      </w:tr>
      <w:tr w:rsidR="00090D32" w:rsidRPr="00C40275" w14:paraId="18510043" w14:textId="77777777" w:rsidTr="00090D32">
        <w:tc>
          <w:tcPr>
            <w:tcW w:w="4536" w:type="dxa"/>
            <w:vAlign w:val="center"/>
          </w:tcPr>
          <w:p w14:paraId="4BCEA5F0"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1</w:t>
            </w:r>
          </w:p>
        </w:tc>
        <w:tc>
          <w:tcPr>
            <w:tcW w:w="2835" w:type="dxa"/>
            <w:vAlign w:val="center"/>
          </w:tcPr>
          <w:p w14:paraId="51C0BD4E"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88</w:t>
            </w:r>
          </w:p>
        </w:tc>
        <w:tc>
          <w:tcPr>
            <w:tcW w:w="2391" w:type="dxa"/>
            <w:vAlign w:val="center"/>
          </w:tcPr>
          <w:p w14:paraId="6A2B405C"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18.4</w:t>
            </w:r>
          </w:p>
        </w:tc>
      </w:tr>
      <w:tr w:rsidR="00090D32" w:rsidRPr="00C40275" w14:paraId="5CD36132" w14:textId="77777777" w:rsidTr="00090D32">
        <w:tc>
          <w:tcPr>
            <w:tcW w:w="4536" w:type="dxa"/>
            <w:vAlign w:val="center"/>
          </w:tcPr>
          <w:p w14:paraId="7683C0F6"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2</w:t>
            </w:r>
          </w:p>
        </w:tc>
        <w:tc>
          <w:tcPr>
            <w:tcW w:w="2835" w:type="dxa"/>
            <w:vAlign w:val="center"/>
          </w:tcPr>
          <w:p w14:paraId="378E872B"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117</w:t>
            </w:r>
          </w:p>
        </w:tc>
        <w:tc>
          <w:tcPr>
            <w:tcW w:w="2391" w:type="dxa"/>
            <w:vAlign w:val="center"/>
          </w:tcPr>
          <w:p w14:paraId="71E44260"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24.5</w:t>
            </w:r>
          </w:p>
        </w:tc>
      </w:tr>
      <w:tr w:rsidR="00090D32" w:rsidRPr="00C40275" w14:paraId="72FD3DB9" w14:textId="77777777" w:rsidTr="00090D32">
        <w:tc>
          <w:tcPr>
            <w:tcW w:w="4536" w:type="dxa"/>
            <w:vAlign w:val="center"/>
          </w:tcPr>
          <w:p w14:paraId="3444B2FA"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3</w:t>
            </w:r>
          </w:p>
        </w:tc>
        <w:tc>
          <w:tcPr>
            <w:tcW w:w="2835" w:type="dxa"/>
            <w:vAlign w:val="center"/>
          </w:tcPr>
          <w:p w14:paraId="4A92E54E"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115</w:t>
            </w:r>
          </w:p>
        </w:tc>
        <w:tc>
          <w:tcPr>
            <w:tcW w:w="2391" w:type="dxa"/>
            <w:vAlign w:val="center"/>
          </w:tcPr>
          <w:p w14:paraId="0073BBEE"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24.1</w:t>
            </w:r>
          </w:p>
        </w:tc>
      </w:tr>
      <w:tr w:rsidR="00090D32" w:rsidRPr="00C40275" w14:paraId="042EE3A8" w14:textId="77777777" w:rsidTr="00090D32">
        <w:tc>
          <w:tcPr>
            <w:tcW w:w="4536" w:type="dxa"/>
            <w:vAlign w:val="center"/>
          </w:tcPr>
          <w:p w14:paraId="7835DF1C"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4</w:t>
            </w:r>
          </w:p>
        </w:tc>
        <w:tc>
          <w:tcPr>
            <w:tcW w:w="2835" w:type="dxa"/>
            <w:vAlign w:val="center"/>
          </w:tcPr>
          <w:p w14:paraId="45BD391F"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43</w:t>
            </w:r>
          </w:p>
        </w:tc>
        <w:tc>
          <w:tcPr>
            <w:tcW w:w="2391" w:type="dxa"/>
            <w:vAlign w:val="center"/>
          </w:tcPr>
          <w:p w14:paraId="07452F29"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9.0</w:t>
            </w:r>
          </w:p>
        </w:tc>
      </w:tr>
      <w:tr w:rsidR="00090D32" w:rsidRPr="00C40275" w14:paraId="43FF0940" w14:textId="77777777" w:rsidTr="00090D32">
        <w:tc>
          <w:tcPr>
            <w:tcW w:w="4536" w:type="dxa"/>
            <w:vAlign w:val="center"/>
          </w:tcPr>
          <w:p w14:paraId="15E05A82"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5</w:t>
            </w:r>
          </w:p>
        </w:tc>
        <w:tc>
          <w:tcPr>
            <w:tcW w:w="2835" w:type="dxa"/>
            <w:vAlign w:val="center"/>
          </w:tcPr>
          <w:p w14:paraId="5AFCE2B9"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22</w:t>
            </w:r>
          </w:p>
        </w:tc>
        <w:tc>
          <w:tcPr>
            <w:tcW w:w="2391" w:type="dxa"/>
            <w:vAlign w:val="center"/>
          </w:tcPr>
          <w:p w14:paraId="3292C792"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4.6</w:t>
            </w:r>
          </w:p>
        </w:tc>
      </w:tr>
      <w:tr w:rsidR="00090D32" w:rsidRPr="00C40275" w14:paraId="2DCB7DFF" w14:textId="77777777" w:rsidTr="00090D32">
        <w:tc>
          <w:tcPr>
            <w:tcW w:w="4536" w:type="dxa"/>
            <w:vAlign w:val="center"/>
          </w:tcPr>
          <w:p w14:paraId="2A12B498"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Total</w:t>
            </w:r>
          </w:p>
        </w:tc>
        <w:tc>
          <w:tcPr>
            <w:tcW w:w="2835" w:type="dxa"/>
            <w:vAlign w:val="center"/>
          </w:tcPr>
          <w:p w14:paraId="2AA6E49E"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477</w:t>
            </w:r>
          </w:p>
        </w:tc>
        <w:tc>
          <w:tcPr>
            <w:tcW w:w="2391" w:type="dxa"/>
            <w:vAlign w:val="center"/>
          </w:tcPr>
          <w:p w14:paraId="5F9D3A1E"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100.0</w:t>
            </w:r>
          </w:p>
        </w:tc>
      </w:tr>
    </w:tbl>
    <w:p w14:paraId="72AD6518" w14:textId="77777777" w:rsidR="00DA0E4C" w:rsidRPr="00DA0E4C" w:rsidRDefault="00DA0E4C" w:rsidP="00DA0E4C">
      <w:pPr>
        <w:pStyle w:val="p1"/>
        <w:spacing w:before="0" w:beforeAutospacing="0" w:after="0" w:afterAutospacing="0"/>
        <w:contextualSpacing/>
        <w:jc w:val="both"/>
        <w:rPr>
          <w:rFonts w:ascii="Arial" w:hAnsi="Arial" w:cs="Arial"/>
          <w:i/>
          <w:iCs/>
          <w:sz w:val="18"/>
          <w:szCs w:val="18"/>
        </w:rPr>
      </w:pPr>
      <w:r w:rsidRPr="00DA0E4C">
        <w:rPr>
          <w:rFonts w:ascii="Arial" w:hAnsi="Arial" w:cs="Arial"/>
          <w:i/>
          <w:iCs/>
          <w:sz w:val="18"/>
          <w:szCs w:val="18"/>
        </w:rPr>
        <w:t>The CCA count ranged from 0 to 5 abnormalities. Participants with 0–1 abnormalities were classified as having lower CCA burden, whereas those with ≥2 abnormalities were classified as having higher CCA burden. A threshold of ≥3 abnormalities was additionally considered the secondary higher-burden phenotype.</w:t>
      </w:r>
    </w:p>
    <w:p w14:paraId="010C322C" w14:textId="77777777" w:rsidR="00D065D9" w:rsidRPr="002470CB" w:rsidRDefault="00000000">
      <w:pPr>
        <w:spacing w:before="160" w:after="100"/>
        <w:rPr>
          <w:rFonts w:ascii="Arial" w:hAnsi="Arial" w:cs="Arial"/>
          <w:sz w:val="22"/>
          <w:szCs w:val="22"/>
        </w:rPr>
      </w:pPr>
      <w:r w:rsidRPr="002470CB">
        <w:rPr>
          <w:rFonts w:ascii="Arial" w:hAnsi="Arial" w:cs="Arial"/>
          <w:b/>
          <w:sz w:val="22"/>
          <w:szCs w:val="22"/>
        </w:rPr>
        <w:t>3.1.4 Food-group Intake According to CCA Burden</w:t>
      </w:r>
    </w:p>
    <w:p w14:paraId="4BED7D8D" w14:textId="77777777" w:rsidR="003E48C9" w:rsidRPr="003E48C9" w:rsidRDefault="003E48C9" w:rsidP="003E48C9">
      <w:pPr>
        <w:spacing w:after="120"/>
        <w:jc w:val="both"/>
        <w:rPr>
          <w:rFonts w:ascii="Arial" w:hAnsi="Arial" w:cs="Arial"/>
          <w:sz w:val="20"/>
        </w:rPr>
      </w:pPr>
      <w:r w:rsidRPr="003E48C9">
        <w:rPr>
          <w:rFonts w:ascii="Arial" w:hAnsi="Arial" w:cs="Arial"/>
          <w:sz w:val="20"/>
        </w:rPr>
        <w:t xml:space="preserve">Table </w:t>
      </w:r>
      <w:r w:rsidR="008221AB">
        <w:rPr>
          <w:rFonts w:ascii="Arial" w:hAnsi="Arial" w:cs="Arial"/>
          <w:sz w:val="20"/>
        </w:rPr>
        <w:t>5</w:t>
      </w:r>
      <w:r w:rsidRPr="003E48C9">
        <w:rPr>
          <w:rFonts w:ascii="Arial" w:hAnsi="Arial" w:cs="Arial"/>
          <w:sz w:val="20"/>
        </w:rPr>
        <w:t xml:space="preserve"> presents the frequency of NiDST food-group intake according to clustered cardiometabolic abnormality (CCA) burden among adults in Ikwerre Local Government Area, Rivers State, Nigeria. Statistically significant differences between participants with lower and higher CCA burden were observed for white lean meat, fried foods, soups and stews, fats and oils, desserts and sweets, alcoholic drinks, seasoning, and salty foods.</w:t>
      </w:r>
      <w:r w:rsidR="008221AB">
        <w:rPr>
          <w:rFonts w:ascii="Arial" w:hAnsi="Arial" w:cs="Arial"/>
          <w:sz w:val="20"/>
        </w:rPr>
        <w:t xml:space="preserve"> </w:t>
      </w:r>
      <w:r w:rsidRPr="003E48C9">
        <w:rPr>
          <w:rFonts w:ascii="Arial" w:hAnsi="Arial" w:cs="Arial"/>
          <w:sz w:val="20"/>
        </w:rPr>
        <w:t>White lean meat intake was significantly higher among participants with lower CCA burden, with a median intake score of 0.57 (IQR 0.21–0.57), compared with 0.21 (IQR 0.21–0.57) among those with higher CCA burden (p=.033). In contrast, fried-food intake was significantly higher among participants with higher CCA burden, with a median score of 0.57 (IQR 0.00–0.57) compared with 0.21 (IQR 0.21–0.57) in the lower-burden group (p=.049).</w:t>
      </w:r>
    </w:p>
    <w:p w14:paraId="70F67392" w14:textId="77777777" w:rsidR="003E48C9" w:rsidRPr="003E48C9" w:rsidRDefault="003E48C9" w:rsidP="003E48C9">
      <w:pPr>
        <w:spacing w:after="120"/>
        <w:jc w:val="both"/>
        <w:rPr>
          <w:rFonts w:ascii="Arial" w:hAnsi="Arial" w:cs="Arial"/>
          <w:sz w:val="20"/>
        </w:rPr>
      </w:pPr>
      <w:r w:rsidRPr="003E48C9">
        <w:rPr>
          <w:rFonts w:ascii="Arial" w:hAnsi="Arial" w:cs="Arial"/>
          <w:sz w:val="20"/>
        </w:rPr>
        <w:t>Participants with higher CCA burden also reported significantly greater intake of soups and stews [0.57 (IQR 0.21–1.00) vs 0.21 (IQR 0.21–0.57); p=.031], fats and oils [0.57 (IQR 0.21–1.00) vs 0.21 (IQR 0.21–0.57); p=.005], and desserts and sweets [0.57 (IQR 0.21–0.57) vs 0.21 (IQR 0.21–0.57); p=.010]. Although the median intake score for alcoholic drinks was 0.21 in both groups, the overall distribution differed significantly between lower and higher CCA-burden participants (p=.009), indicating a greater frequency of alcohol intake within the higher-burden group.</w:t>
      </w:r>
      <w:r w:rsidR="008221AB">
        <w:rPr>
          <w:rFonts w:ascii="Arial" w:hAnsi="Arial" w:cs="Arial"/>
          <w:sz w:val="20"/>
        </w:rPr>
        <w:t xml:space="preserve"> </w:t>
      </w:r>
      <w:r w:rsidRPr="003E48C9">
        <w:rPr>
          <w:rFonts w:ascii="Arial" w:hAnsi="Arial" w:cs="Arial"/>
          <w:sz w:val="20"/>
        </w:rPr>
        <w:t>The most marked between-group differences were observed for seasoning and salty foods. Median seasoning intake was 1.00 (IQR 0.57–1.00) among participants with higher CCA burden compared with 0.57 (IQR 0.21–0.57) among those with lower burden (p&lt;.001). Similarly, median salty-food intake was 1.00 (IQR 0.57–1.00) in the higher CCA-burden group and 0.57 (IQR 0.21–0.68) in the lower-burden group (p&lt;.001).</w:t>
      </w:r>
    </w:p>
    <w:p w14:paraId="39BC9C2E" w14:textId="77777777" w:rsidR="003E48C9" w:rsidRDefault="003E48C9" w:rsidP="003E48C9">
      <w:pPr>
        <w:spacing w:after="120"/>
        <w:jc w:val="both"/>
        <w:rPr>
          <w:rFonts w:ascii="Arial" w:hAnsi="Arial" w:cs="Arial"/>
          <w:sz w:val="20"/>
        </w:rPr>
      </w:pPr>
      <w:r w:rsidRPr="003E48C9">
        <w:rPr>
          <w:rFonts w:ascii="Arial" w:hAnsi="Arial" w:cs="Arial"/>
          <w:sz w:val="20"/>
        </w:rPr>
        <w:t>No statistically significant differences were observed between the CCA-burden groups for fruit, vegetables, rice, wheat, breakfast cereals, legumes, nuts and seeds, red meat, processed foods, eggs and egg products, fish and seafood, fast foods, tuber foods, soft drinks, tea and coffee, or dairy products (all p&gt;0.05). Overall, higher CCA burden was associated with more frequent intake of several energy-dense and sodium-related food groups, while white lean meat intake was more frequent among participants with lower CCA burden.</w:t>
      </w:r>
    </w:p>
    <w:p w14:paraId="13C0592B" w14:textId="77777777" w:rsidR="002470CB" w:rsidRPr="00090D32" w:rsidRDefault="00000000" w:rsidP="002470CB">
      <w:pPr>
        <w:spacing w:before="120" w:after="80"/>
        <w:rPr>
          <w:rFonts w:ascii="Arial" w:hAnsi="Arial" w:cs="Arial"/>
          <w:b/>
          <w:bCs/>
          <w:sz w:val="20"/>
          <w:szCs w:val="20"/>
        </w:rPr>
      </w:pPr>
      <w:r w:rsidRPr="00B85224">
        <w:rPr>
          <w:rFonts w:ascii="Arial" w:hAnsi="Arial" w:cs="Arial"/>
          <w:b/>
          <w:sz w:val="20"/>
        </w:rPr>
        <w:t xml:space="preserve">Table </w:t>
      </w:r>
      <w:r w:rsidR="003E48C9">
        <w:rPr>
          <w:rFonts w:ascii="Arial" w:hAnsi="Arial" w:cs="Arial"/>
          <w:b/>
          <w:sz w:val="20"/>
        </w:rPr>
        <w:t>5</w:t>
      </w:r>
      <w:r w:rsidRPr="00B85224">
        <w:rPr>
          <w:rFonts w:ascii="Arial" w:hAnsi="Arial" w:cs="Arial"/>
          <w:b/>
          <w:sz w:val="20"/>
        </w:rPr>
        <w:t>. Frequency of NiDST food-group intake according to CCA burden</w:t>
      </w:r>
      <w:r w:rsidR="002470CB">
        <w:rPr>
          <w:rFonts w:ascii="Arial" w:hAnsi="Arial" w:cs="Arial"/>
          <w:b/>
          <w:sz w:val="20"/>
        </w:rPr>
        <w:t xml:space="preserve"> </w:t>
      </w:r>
      <w:r w:rsidR="002470CB">
        <w:rPr>
          <w:rFonts w:ascii="Arial" w:hAnsi="Arial" w:cs="Arial"/>
          <w:b/>
          <w:sz w:val="20"/>
          <w:szCs w:val="20"/>
        </w:rPr>
        <w:t>a</w:t>
      </w:r>
      <w:r w:rsidR="002470CB" w:rsidRPr="00B85224">
        <w:rPr>
          <w:rFonts w:ascii="Arial" w:hAnsi="Arial" w:cs="Arial"/>
          <w:b/>
          <w:sz w:val="20"/>
          <w:szCs w:val="20"/>
        </w:rPr>
        <w:t>mong Adults in Ikwerre Local Government Area, Rivers State, Nigeria</w:t>
      </w:r>
    </w:p>
    <w:tbl>
      <w:tblPr>
        <w:tblStyle w:val="TableGrid"/>
        <w:tblW w:w="0" w:type="auto"/>
        <w:tblInd w:w="39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3"/>
        <w:gridCol w:w="2076"/>
        <w:gridCol w:w="1940"/>
        <w:gridCol w:w="1805"/>
        <w:gridCol w:w="964"/>
      </w:tblGrid>
      <w:tr w:rsidR="004537E7" w:rsidRPr="00DA117A" w14:paraId="1D2F0193" w14:textId="77777777" w:rsidTr="00DA117A">
        <w:tc>
          <w:tcPr>
            <w:tcW w:w="2977" w:type="dxa"/>
            <w:tcBorders>
              <w:top w:val="single" w:sz="4" w:space="0" w:color="auto"/>
              <w:bottom w:val="single" w:sz="4" w:space="0" w:color="auto"/>
            </w:tcBorders>
            <w:vAlign w:val="center"/>
          </w:tcPr>
          <w:p w14:paraId="552992E6" w14:textId="77777777" w:rsidR="004537E7" w:rsidRPr="00DA117A" w:rsidRDefault="00DA117A" w:rsidP="00DA117A">
            <w:pPr>
              <w:pStyle w:val="p1"/>
              <w:spacing w:before="0" w:beforeAutospacing="0" w:after="0" w:afterAutospacing="0"/>
              <w:contextualSpacing/>
              <w:jc w:val="center"/>
              <w:rPr>
                <w:rFonts w:ascii="Arial" w:hAnsi="Arial" w:cs="Arial"/>
                <w:b/>
                <w:bCs/>
                <w:sz w:val="20"/>
                <w:szCs w:val="20"/>
              </w:rPr>
            </w:pPr>
            <w:r w:rsidRPr="00DA117A">
              <w:rPr>
                <w:rFonts w:ascii="Arial" w:hAnsi="Arial" w:cs="Arial"/>
                <w:b/>
                <w:bCs/>
                <w:sz w:val="20"/>
                <w:szCs w:val="20"/>
              </w:rPr>
              <w:t>F</w:t>
            </w:r>
            <w:r w:rsidR="004537E7" w:rsidRPr="00DA117A">
              <w:rPr>
                <w:rFonts w:ascii="Arial" w:hAnsi="Arial" w:cs="Arial"/>
                <w:b/>
                <w:bCs/>
                <w:sz w:val="20"/>
                <w:szCs w:val="20"/>
              </w:rPr>
              <w:t>ood group</w:t>
            </w:r>
            <w:r w:rsidRPr="00DA117A">
              <w:rPr>
                <w:rFonts w:ascii="Arial" w:hAnsi="Arial" w:cs="Arial"/>
                <w:b/>
                <w:bCs/>
                <w:sz w:val="20"/>
                <w:szCs w:val="20"/>
              </w:rPr>
              <w:t xml:space="preserve"> Intake</w:t>
            </w:r>
          </w:p>
        </w:tc>
        <w:tc>
          <w:tcPr>
            <w:tcW w:w="2126" w:type="dxa"/>
            <w:tcBorders>
              <w:top w:val="single" w:sz="4" w:space="0" w:color="auto"/>
              <w:bottom w:val="single" w:sz="4" w:space="0" w:color="auto"/>
            </w:tcBorders>
            <w:vAlign w:val="center"/>
          </w:tcPr>
          <w:p w14:paraId="36F557F3" w14:textId="77777777" w:rsidR="004537E7" w:rsidRPr="00DA117A" w:rsidRDefault="004537E7" w:rsidP="00DA117A">
            <w:pPr>
              <w:pStyle w:val="p1"/>
              <w:spacing w:before="0" w:beforeAutospacing="0" w:after="0" w:afterAutospacing="0"/>
              <w:contextualSpacing/>
              <w:jc w:val="center"/>
              <w:rPr>
                <w:rFonts w:ascii="Arial" w:hAnsi="Arial" w:cs="Arial"/>
                <w:b/>
                <w:bCs/>
                <w:sz w:val="20"/>
                <w:szCs w:val="20"/>
              </w:rPr>
            </w:pPr>
            <w:r w:rsidRPr="00DA117A">
              <w:rPr>
                <w:rFonts w:ascii="Arial" w:hAnsi="Arial" w:cs="Arial"/>
                <w:b/>
                <w:bCs/>
                <w:sz w:val="20"/>
                <w:szCs w:val="20"/>
              </w:rPr>
              <w:t xml:space="preserve">Overall </w:t>
            </w:r>
          </w:p>
          <w:p w14:paraId="7D3BC94F" w14:textId="77777777" w:rsidR="004537E7" w:rsidRPr="00DA117A" w:rsidRDefault="004537E7" w:rsidP="00DA117A">
            <w:pPr>
              <w:pStyle w:val="p1"/>
              <w:spacing w:before="0" w:beforeAutospacing="0" w:after="0" w:afterAutospacing="0"/>
              <w:contextualSpacing/>
              <w:jc w:val="center"/>
              <w:rPr>
                <w:rFonts w:ascii="Arial" w:hAnsi="Arial" w:cs="Arial"/>
                <w:b/>
                <w:bCs/>
                <w:sz w:val="20"/>
                <w:szCs w:val="20"/>
              </w:rPr>
            </w:pPr>
            <w:r w:rsidRPr="00DA117A">
              <w:rPr>
                <w:rFonts w:ascii="Arial" w:hAnsi="Arial" w:cs="Arial"/>
                <w:b/>
                <w:bCs/>
                <w:sz w:val="20"/>
                <w:szCs w:val="20"/>
              </w:rPr>
              <w:t>(n=477)</w:t>
            </w:r>
          </w:p>
        </w:tc>
        <w:tc>
          <w:tcPr>
            <w:tcW w:w="1984" w:type="dxa"/>
            <w:tcBorders>
              <w:top w:val="single" w:sz="4" w:space="0" w:color="auto"/>
              <w:bottom w:val="single" w:sz="4" w:space="0" w:color="auto"/>
            </w:tcBorders>
            <w:vAlign w:val="center"/>
          </w:tcPr>
          <w:p w14:paraId="79A6D933" w14:textId="77777777" w:rsidR="004537E7" w:rsidRPr="00DA117A" w:rsidRDefault="004537E7" w:rsidP="00DA117A">
            <w:pPr>
              <w:pStyle w:val="p1"/>
              <w:spacing w:before="0" w:beforeAutospacing="0" w:after="0" w:afterAutospacing="0"/>
              <w:contextualSpacing/>
              <w:jc w:val="center"/>
              <w:rPr>
                <w:rFonts w:ascii="Arial" w:hAnsi="Arial" w:cs="Arial"/>
                <w:b/>
                <w:bCs/>
                <w:sz w:val="20"/>
                <w:szCs w:val="20"/>
              </w:rPr>
            </w:pPr>
            <w:r w:rsidRPr="00DA117A">
              <w:rPr>
                <w:rFonts w:ascii="Arial" w:hAnsi="Arial" w:cs="Arial"/>
                <w:b/>
                <w:bCs/>
                <w:sz w:val="20"/>
                <w:szCs w:val="20"/>
              </w:rPr>
              <w:t>Lower CCA burden (n=180)</w:t>
            </w:r>
          </w:p>
        </w:tc>
        <w:tc>
          <w:tcPr>
            <w:tcW w:w="1843" w:type="dxa"/>
            <w:tcBorders>
              <w:top w:val="single" w:sz="4" w:space="0" w:color="auto"/>
              <w:bottom w:val="single" w:sz="4" w:space="0" w:color="auto"/>
            </w:tcBorders>
            <w:vAlign w:val="center"/>
          </w:tcPr>
          <w:p w14:paraId="10E78353" w14:textId="77777777" w:rsidR="004537E7" w:rsidRPr="00DA117A" w:rsidRDefault="004537E7" w:rsidP="00DA117A">
            <w:pPr>
              <w:pStyle w:val="p1"/>
              <w:spacing w:before="0" w:beforeAutospacing="0" w:after="0" w:afterAutospacing="0"/>
              <w:contextualSpacing/>
              <w:jc w:val="center"/>
              <w:rPr>
                <w:rFonts w:ascii="Arial" w:hAnsi="Arial" w:cs="Arial"/>
                <w:b/>
                <w:bCs/>
                <w:sz w:val="20"/>
                <w:szCs w:val="20"/>
              </w:rPr>
            </w:pPr>
            <w:r w:rsidRPr="00DA117A">
              <w:rPr>
                <w:rFonts w:ascii="Arial" w:hAnsi="Arial" w:cs="Arial"/>
                <w:b/>
                <w:bCs/>
                <w:sz w:val="20"/>
                <w:szCs w:val="20"/>
              </w:rPr>
              <w:t>Higher CCA burden (n=297)</w:t>
            </w:r>
          </w:p>
        </w:tc>
        <w:tc>
          <w:tcPr>
            <w:tcW w:w="974" w:type="dxa"/>
            <w:tcBorders>
              <w:top w:val="single" w:sz="4" w:space="0" w:color="auto"/>
              <w:bottom w:val="single" w:sz="4" w:space="0" w:color="auto"/>
            </w:tcBorders>
            <w:vAlign w:val="center"/>
          </w:tcPr>
          <w:p w14:paraId="1CA5BC21" w14:textId="77777777" w:rsidR="004537E7" w:rsidRPr="00DA117A" w:rsidRDefault="004537E7" w:rsidP="00DA117A">
            <w:pPr>
              <w:pStyle w:val="p1"/>
              <w:spacing w:before="0" w:beforeAutospacing="0" w:after="0" w:afterAutospacing="0"/>
              <w:contextualSpacing/>
              <w:jc w:val="center"/>
              <w:rPr>
                <w:rFonts w:ascii="Arial" w:hAnsi="Arial" w:cs="Arial"/>
                <w:b/>
                <w:bCs/>
                <w:sz w:val="20"/>
                <w:szCs w:val="20"/>
              </w:rPr>
            </w:pPr>
            <w:r w:rsidRPr="00DA117A">
              <w:rPr>
                <w:rFonts w:ascii="Arial" w:hAnsi="Arial" w:cs="Arial"/>
                <w:b/>
                <w:bCs/>
                <w:i/>
                <w:iCs/>
                <w:sz w:val="20"/>
                <w:szCs w:val="20"/>
              </w:rPr>
              <w:t>P</w:t>
            </w:r>
            <w:r w:rsidRPr="00DA117A">
              <w:rPr>
                <w:rFonts w:ascii="Arial" w:hAnsi="Arial" w:cs="Arial"/>
                <w:b/>
                <w:bCs/>
                <w:sz w:val="20"/>
                <w:szCs w:val="20"/>
              </w:rPr>
              <w:t>-value</w:t>
            </w:r>
          </w:p>
        </w:tc>
      </w:tr>
      <w:tr w:rsidR="004537E7" w:rsidRPr="00DA117A" w14:paraId="3D22F7E9" w14:textId="77777777" w:rsidTr="00DA117A">
        <w:tc>
          <w:tcPr>
            <w:tcW w:w="2977" w:type="dxa"/>
            <w:tcBorders>
              <w:top w:val="single" w:sz="4" w:space="0" w:color="auto"/>
            </w:tcBorders>
            <w:vAlign w:val="center"/>
          </w:tcPr>
          <w:p w14:paraId="2F5C3819"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Fruit</w:t>
            </w:r>
          </w:p>
        </w:tc>
        <w:tc>
          <w:tcPr>
            <w:tcW w:w="2126" w:type="dxa"/>
            <w:tcBorders>
              <w:top w:val="single" w:sz="4" w:space="0" w:color="auto"/>
            </w:tcBorders>
            <w:vAlign w:val="center"/>
          </w:tcPr>
          <w:p w14:paraId="7FE0ECCC"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1984" w:type="dxa"/>
            <w:tcBorders>
              <w:top w:val="single" w:sz="4" w:space="0" w:color="auto"/>
            </w:tcBorders>
            <w:vAlign w:val="center"/>
          </w:tcPr>
          <w:p w14:paraId="72E94684"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1843" w:type="dxa"/>
            <w:tcBorders>
              <w:top w:val="single" w:sz="4" w:space="0" w:color="auto"/>
            </w:tcBorders>
            <w:vAlign w:val="center"/>
          </w:tcPr>
          <w:p w14:paraId="7A433242"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(0.00–0.21)</w:t>
            </w:r>
          </w:p>
        </w:tc>
        <w:tc>
          <w:tcPr>
            <w:tcW w:w="974" w:type="dxa"/>
            <w:tcBorders>
              <w:top w:val="single" w:sz="4" w:space="0" w:color="auto"/>
            </w:tcBorders>
            <w:vAlign w:val="center"/>
          </w:tcPr>
          <w:p w14:paraId="7EEBF500"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.123</w:t>
            </w:r>
          </w:p>
        </w:tc>
      </w:tr>
      <w:tr w:rsidR="004537E7" w:rsidRPr="00DA117A" w14:paraId="6ECE144B" w14:textId="77777777" w:rsidTr="00DA117A">
        <w:tc>
          <w:tcPr>
            <w:tcW w:w="2977" w:type="dxa"/>
            <w:vAlign w:val="center"/>
          </w:tcPr>
          <w:p w14:paraId="018D89AE"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lastRenderedPageBreak/>
              <w:t>Vegetables</w:t>
            </w:r>
          </w:p>
        </w:tc>
        <w:tc>
          <w:tcPr>
            <w:tcW w:w="2126" w:type="dxa"/>
            <w:vAlign w:val="center"/>
          </w:tcPr>
          <w:p w14:paraId="2DE77822"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1984" w:type="dxa"/>
            <w:vAlign w:val="center"/>
          </w:tcPr>
          <w:p w14:paraId="23F8725E"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(0.16–0.30)</w:t>
            </w:r>
          </w:p>
        </w:tc>
        <w:tc>
          <w:tcPr>
            <w:tcW w:w="1843" w:type="dxa"/>
            <w:vAlign w:val="center"/>
          </w:tcPr>
          <w:p w14:paraId="0D48401A"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974" w:type="dxa"/>
            <w:vAlign w:val="center"/>
          </w:tcPr>
          <w:p w14:paraId="27CFED44"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.648</w:t>
            </w:r>
          </w:p>
        </w:tc>
      </w:tr>
      <w:tr w:rsidR="004537E7" w:rsidRPr="00DA117A" w14:paraId="6C510462" w14:textId="77777777" w:rsidTr="00DA117A">
        <w:tc>
          <w:tcPr>
            <w:tcW w:w="2977" w:type="dxa"/>
            <w:vAlign w:val="center"/>
          </w:tcPr>
          <w:p w14:paraId="72ED677C"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Rice</w:t>
            </w:r>
          </w:p>
        </w:tc>
        <w:tc>
          <w:tcPr>
            <w:tcW w:w="2126" w:type="dxa"/>
            <w:vAlign w:val="center"/>
          </w:tcPr>
          <w:p w14:paraId="18A7E760"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1984" w:type="dxa"/>
            <w:vAlign w:val="center"/>
          </w:tcPr>
          <w:p w14:paraId="7C6413EE"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(0.16–0.57)</w:t>
            </w:r>
          </w:p>
        </w:tc>
        <w:tc>
          <w:tcPr>
            <w:tcW w:w="1843" w:type="dxa"/>
            <w:vAlign w:val="center"/>
          </w:tcPr>
          <w:p w14:paraId="265D8B4C"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974" w:type="dxa"/>
            <w:vAlign w:val="center"/>
          </w:tcPr>
          <w:p w14:paraId="6DB5A392"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.083</w:t>
            </w:r>
          </w:p>
        </w:tc>
      </w:tr>
      <w:tr w:rsidR="004537E7" w:rsidRPr="00DA117A" w14:paraId="55E58AC1" w14:textId="77777777" w:rsidTr="00DA117A">
        <w:tc>
          <w:tcPr>
            <w:tcW w:w="2977" w:type="dxa"/>
            <w:vAlign w:val="center"/>
          </w:tcPr>
          <w:p w14:paraId="7B22169D"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Wheat</w:t>
            </w:r>
          </w:p>
        </w:tc>
        <w:tc>
          <w:tcPr>
            <w:tcW w:w="2126" w:type="dxa"/>
            <w:vAlign w:val="center"/>
          </w:tcPr>
          <w:p w14:paraId="65CA7E58"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1984" w:type="dxa"/>
            <w:vAlign w:val="center"/>
          </w:tcPr>
          <w:p w14:paraId="245DD2CF"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1843" w:type="dxa"/>
            <w:vAlign w:val="center"/>
          </w:tcPr>
          <w:p w14:paraId="3E6D04B3"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974" w:type="dxa"/>
            <w:vAlign w:val="center"/>
          </w:tcPr>
          <w:p w14:paraId="775A1506"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.995</w:t>
            </w:r>
          </w:p>
        </w:tc>
      </w:tr>
      <w:tr w:rsidR="004537E7" w:rsidRPr="00DA117A" w14:paraId="1DCCA7C5" w14:textId="77777777" w:rsidTr="00DA117A">
        <w:tc>
          <w:tcPr>
            <w:tcW w:w="2977" w:type="dxa"/>
            <w:vAlign w:val="center"/>
          </w:tcPr>
          <w:p w14:paraId="6208E674" w14:textId="77777777" w:rsidR="004537E7" w:rsidRPr="00DA117A" w:rsidRDefault="003E48C9" w:rsidP="00DA117A">
            <w:pPr>
              <w:pStyle w:val="p1"/>
              <w:spacing w:before="0" w:beforeAutospacing="0" w:after="0" w:afterAutospacing="0"/>
              <w:contextualSpacing/>
              <w:rPr>
                <w:rFonts w:ascii="Arial" w:hAnsi="Arial" w:cs="Arial"/>
                <w:sz w:val="20"/>
                <w:szCs w:val="20"/>
              </w:rPr>
            </w:pPr>
            <w:r>
              <w:rPr>
                <w:rFonts w:ascii="Arial" w:hAnsi="Arial" w:cs="Arial"/>
                <w:sz w:val="20"/>
                <w:szCs w:val="20"/>
              </w:rPr>
              <w:t xml:space="preserve">Breakfast </w:t>
            </w:r>
            <w:r w:rsidR="004537E7" w:rsidRPr="00DA117A">
              <w:rPr>
                <w:rFonts w:ascii="Arial" w:hAnsi="Arial" w:cs="Arial"/>
                <w:sz w:val="20"/>
                <w:szCs w:val="20"/>
              </w:rPr>
              <w:t>Cereals</w:t>
            </w:r>
          </w:p>
        </w:tc>
        <w:tc>
          <w:tcPr>
            <w:tcW w:w="2126" w:type="dxa"/>
            <w:vAlign w:val="center"/>
          </w:tcPr>
          <w:p w14:paraId="0A7DCFE7"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(0.00–0.21)</w:t>
            </w:r>
          </w:p>
        </w:tc>
        <w:tc>
          <w:tcPr>
            <w:tcW w:w="1984" w:type="dxa"/>
            <w:vAlign w:val="center"/>
          </w:tcPr>
          <w:p w14:paraId="179D89A4"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(0.00–0.21)</w:t>
            </w:r>
          </w:p>
        </w:tc>
        <w:tc>
          <w:tcPr>
            <w:tcW w:w="1843" w:type="dxa"/>
            <w:vAlign w:val="center"/>
          </w:tcPr>
          <w:p w14:paraId="11B61F50"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0.00 (0.00–0.21)</w:t>
            </w:r>
          </w:p>
        </w:tc>
        <w:tc>
          <w:tcPr>
            <w:tcW w:w="974" w:type="dxa"/>
            <w:vAlign w:val="center"/>
          </w:tcPr>
          <w:p w14:paraId="12DC0586"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.056</w:t>
            </w:r>
          </w:p>
        </w:tc>
      </w:tr>
      <w:tr w:rsidR="004537E7" w:rsidRPr="00DA117A" w14:paraId="03D4DB46" w14:textId="77777777" w:rsidTr="00DA117A">
        <w:tc>
          <w:tcPr>
            <w:tcW w:w="2977" w:type="dxa"/>
            <w:vAlign w:val="center"/>
          </w:tcPr>
          <w:p w14:paraId="4F4CEBFC" w14:textId="77777777" w:rsidR="004537E7" w:rsidRPr="00DA117A" w:rsidRDefault="003E48C9" w:rsidP="00DA117A">
            <w:pPr>
              <w:pStyle w:val="p1"/>
              <w:spacing w:before="0" w:beforeAutospacing="0" w:after="0" w:afterAutospacing="0"/>
              <w:contextualSpacing/>
              <w:rPr>
                <w:rFonts w:ascii="Arial" w:hAnsi="Arial" w:cs="Arial"/>
                <w:sz w:val="20"/>
                <w:szCs w:val="20"/>
              </w:rPr>
            </w:pPr>
            <w:r>
              <w:rPr>
                <w:rFonts w:ascii="Arial" w:hAnsi="Arial" w:cs="Arial"/>
                <w:sz w:val="20"/>
                <w:szCs w:val="20"/>
              </w:rPr>
              <w:t>Legumes (</w:t>
            </w:r>
            <w:r w:rsidR="004537E7" w:rsidRPr="00DA117A">
              <w:rPr>
                <w:rFonts w:ascii="Arial" w:hAnsi="Arial" w:cs="Arial"/>
                <w:sz w:val="20"/>
                <w:szCs w:val="20"/>
              </w:rPr>
              <w:t>Beans</w:t>
            </w:r>
            <w:r>
              <w:rPr>
                <w:rFonts w:ascii="Arial" w:hAnsi="Arial" w:cs="Arial"/>
                <w:sz w:val="20"/>
                <w:szCs w:val="20"/>
              </w:rPr>
              <w:t>)</w:t>
            </w:r>
          </w:p>
        </w:tc>
        <w:tc>
          <w:tcPr>
            <w:tcW w:w="2126" w:type="dxa"/>
            <w:vAlign w:val="center"/>
          </w:tcPr>
          <w:p w14:paraId="5505FDF5"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1984" w:type="dxa"/>
            <w:vAlign w:val="center"/>
          </w:tcPr>
          <w:p w14:paraId="61EC90EB"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1843" w:type="dxa"/>
            <w:vAlign w:val="center"/>
          </w:tcPr>
          <w:p w14:paraId="4B807D4F"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974" w:type="dxa"/>
            <w:vAlign w:val="center"/>
          </w:tcPr>
          <w:p w14:paraId="1B5415CB"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.720</w:t>
            </w:r>
          </w:p>
        </w:tc>
      </w:tr>
      <w:tr w:rsidR="004537E7" w:rsidRPr="00DA117A" w14:paraId="2FEE7F77" w14:textId="77777777" w:rsidTr="00DA117A">
        <w:tc>
          <w:tcPr>
            <w:tcW w:w="2977" w:type="dxa"/>
            <w:vAlign w:val="center"/>
          </w:tcPr>
          <w:p w14:paraId="17ECCDB2"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Nuts</w:t>
            </w:r>
            <w:r w:rsidR="003E48C9">
              <w:rPr>
                <w:rFonts w:ascii="Arial" w:hAnsi="Arial" w:cs="Arial"/>
                <w:sz w:val="20"/>
                <w:szCs w:val="20"/>
              </w:rPr>
              <w:t xml:space="preserve"> and Seeds</w:t>
            </w:r>
          </w:p>
        </w:tc>
        <w:tc>
          <w:tcPr>
            <w:tcW w:w="2126" w:type="dxa"/>
            <w:vAlign w:val="center"/>
          </w:tcPr>
          <w:p w14:paraId="729BE128"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(0.16–0.57)</w:t>
            </w:r>
          </w:p>
        </w:tc>
        <w:tc>
          <w:tcPr>
            <w:tcW w:w="1984" w:type="dxa"/>
            <w:vAlign w:val="center"/>
          </w:tcPr>
          <w:p w14:paraId="61199DE9"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(0.21–0.57)</w:t>
            </w:r>
          </w:p>
        </w:tc>
        <w:tc>
          <w:tcPr>
            <w:tcW w:w="1843" w:type="dxa"/>
            <w:vAlign w:val="center"/>
          </w:tcPr>
          <w:p w14:paraId="2ECBE084"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974" w:type="dxa"/>
            <w:vAlign w:val="center"/>
          </w:tcPr>
          <w:p w14:paraId="5E70FEDE"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.076</w:t>
            </w:r>
          </w:p>
        </w:tc>
      </w:tr>
      <w:tr w:rsidR="004537E7" w:rsidRPr="00DA117A" w14:paraId="63725A26" w14:textId="77777777" w:rsidTr="00DA117A">
        <w:tc>
          <w:tcPr>
            <w:tcW w:w="2977" w:type="dxa"/>
            <w:vAlign w:val="center"/>
          </w:tcPr>
          <w:p w14:paraId="6B9CB286"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Red meat</w:t>
            </w:r>
          </w:p>
        </w:tc>
        <w:tc>
          <w:tcPr>
            <w:tcW w:w="2126" w:type="dxa"/>
            <w:vAlign w:val="center"/>
          </w:tcPr>
          <w:p w14:paraId="7579A4A7"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(0.21–1.00)</w:t>
            </w:r>
          </w:p>
        </w:tc>
        <w:tc>
          <w:tcPr>
            <w:tcW w:w="1984" w:type="dxa"/>
            <w:vAlign w:val="center"/>
          </w:tcPr>
          <w:p w14:paraId="56AEA31D"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(0.21–1.00)</w:t>
            </w:r>
          </w:p>
        </w:tc>
        <w:tc>
          <w:tcPr>
            <w:tcW w:w="1843" w:type="dxa"/>
            <w:vAlign w:val="center"/>
          </w:tcPr>
          <w:p w14:paraId="04B46089"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(0.21–1.00)</w:t>
            </w:r>
          </w:p>
        </w:tc>
        <w:tc>
          <w:tcPr>
            <w:tcW w:w="974" w:type="dxa"/>
            <w:vAlign w:val="center"/>
          </w:tcPr>
          <w:p w14:paraId="16E828CF"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.547</w:t>
            </w:r>
          </w:p>
        </w:tc>
      </w:tr>
      <w:tr w:rsidR="004537E7" w:rsidRPr="00DA117A" w14:paraId="23F81DA8" w14:textId="77777777" w:rsidTr="00DA117A">
        <w:tc>
          <w:tcPr>
            <w:tcW w:w="2977" w:type="dxa"/>
            <w:vAlign w:val="center"/>
          </w:tcPr>
          <w:p w14:paraId="34F9528D"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White</w:t>
            </w:r>
            <w:r w:rsidR="003E48C9">
              <w:rPr>
                <w:rFonts w:ascii="Arial" w:hAnsi="Arial" w:cs="Arial"/>
                <w:sz w:val="20"/>
                <w:szCs w:val="20"/>
              </w:rPr>
              <w:t xml:space="preserve"> (lean)</w:t>
            </w:r>
            <w:r w:rsidRPr="00DA117A">
              <w:rPr>
                <w:rFonts w:ascii="Arial" w:hAnsi="Arial" w:cs="Arial"/>
                <w:sz w:val="20"/>
                <w:szCs w:val="20"/>
              </w:rPr>
              <w:t xml:space="preserve"> meat</w:t>
            </w:r>
          </w:p>
        </w:tc>
        <w:tc>
          <w:tcPr>
            <w:tcW w:w="2126" w:type="dxa"/>
            <w:vAlign w:val="center"/>
          </w:tcPr>
          <w:p w14:paraId="5BE0B088"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1984" w:type="dxa"/>
            <w:vAlign w:val="center"/>
          </w:tcPr>
          <w:p w14:paraId="55E12BEB"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(0.21–0.57)</w:t>
            </w:r>
          </w:p>
        </w:tc>
        <w:tc>
          <w:tcPr>
            <w:tcW w:w="1843" w:type="dxa"/>
            <w:vAlign w:val="center"/>
          </w:tcPr>
          <w:p w14:paraId="3A5EC065"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974" w:type="dxa"/>
            <w:vAlign w:val="center"/>
          </w:tcPr>
          <w:p w14:paraId="6007BD5A"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b/>
                <w:bCs/>
                <w:sz w:val="20"/>
                <w:szCs w:val="20"/>
              </w:rPr>
              <w:t>.033</w:t>
            </w:r>
          </w:p>
        </w:tc>
      </w:tr>
      <w:tr w:rsidR="004537E7" w:rsidRPr="00DA117A" w14:paraId="02A59470" w14:textId="77777777" w:rsidTr="00DA117A">
        <w:tc>
          <w:tcPr>
            <w:tcW w:w="2977" w:type="dxa"/>
            <w:vAlign w:val="center"/>
          </w:tcPr>
          <w:p w14:paraId="00968875"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Processed foods</w:t>
            </w:r>
          </w:p>
        </w:tc>
        <w:tc>
          <w:tcPr>
            <w:tcW w:w="2126" w:type="dxa"/>
            <w:vAlign w:val="center"/>
          </w:tcPr>
          <w:p w14:paraId="29FD9C7D"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(0.21–1.00)</w:t>
            </w:r>
          </w:p>
        </w:tc>
        <w:tc>
          <w:tcPr>
            <w:tcW w:w="1984" w:type="dxa"/>
            <w:vAlign w:val="center"/>
          </w:tcPr>
          <w:p w14:paraId="016932CB"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(0.21–1.00)</w:t>
            </w:r>
          </w:p>
        </w:tc>
        <w:tc>
          <w:tcPr>
            <w:tcW w:w="1843" w:type="dxa"/>
            <w:vAlign w:val="center"/>
          </w:tcPr>
          <w:p w14:paraId="3BCE4A62"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(0.21–1.00)</w:t>
            </w:r>
          </w:p>
        </w:tc>
        <w:tc>
          <w:tcPr>
            <w:tcW w:w="974" w:type="dxa"/>
            <w:vAlign w:val="center"/>
          </w:tcPr>
          <w:p w14:paraId="74086F5F"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.237</w:t>
            </w:r>
          </w:p>
        </w:tc>
      </w:tr>
      <w:tr w:rsidR="004537E7" w:rsidRPr="00DA117A" w14:paraId="40449EC8" w14:textId="77777777" w:rsidTr="00DA117A">
        <w:tc>
          <w:tcPr>
            <w:tcW w:w="2977" w:type="dxa"/>
            <w:vAlign w:val="center"/>
          </w:tcPr>
          <w:p w14:paraId="253C4928"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Eggs</w:t>
            </w:r>
            <w:r w:rsidR="003E48C9">
              <w:rPr>
                <w:rFonts w:ascii="Arial" w:hAnsi="Arial" w:cs="Arial"/>
                <w:sz w:val="20"/>
                <w:szCs w:val="20"/>
              </w:rPr>
              <w:t xml:space="preserve"> and Eggs products</w:t>
            </w:r>
          </w:p>
        </w:tc>
        <w:tc>
          <w:tcPr>
            <w:tcW w:w="2126" w:type="dxa"/>
            <w:vAlign w:val="center"/>
          </w:tcPr>
          <w:p w14:paraId="14CF4D6A"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1984" w:type="dxa"/>
            <w:vAlign w:val="center"/>
          </w:tcPr>
          <w:p w14:paraId="6FD9A9BB"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1843" w:type="dxa"/>
            <w:vAlign w:val="center"/>
          </w:tcPr>
          <w:p w14:paraId="0C515D0E"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974" w:type="dxa"/>
            <w:vAlign w:val="center"/>
          </w:tcPr>
          <w:p w14:paraId="286B87C7"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.533</w:t>
            </w:r>
          </w:p>
        </w:tc>
      </w:tr>
      <w:tr w:rsidR="004537E7" w:rsidRPr="00DA117A" w14:paraId="42A69871" w14:textId="77777777" w:rsidTr="00DA117A">
        <w:tc>
          <w:tcPr>
            <w:tcW w:w="2977" w:type="dxa"/>
            <w:vAlign w:val="center"/>
          </w:tcPr>
          <w:p w14:paraId="238C2F0E"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Fish</w:t>
            </w:r>
            <w:r w:rsidR="003E48C9">
              <w:rPr>
                <w:rFonts w:ascii="Arial" w:hAnsi="Arial" w:cs="Arial"/>
                <w:sz w:val="20"/>
                <w:szCs w:val="20"/>
              </w:rPr>
              <w:t xml:space="preserve"> and </w:t>
            </w:r>
            <w:proofErr w:type="spellStart"/>
            <w:r w:rsidR="003E48C9">
              <w:rPr>
                <w:rFonts w:ascii="Arial" w:hAnsi="Arial" w:cs="Arial"/>
                <w:sz w:val="20"/>
                <w:szCs w:val="20"/>
              </w:rPr>
              <w:t>Seefods</w:t>
            </w:r>
            <w:proofErr w:type="spellEnd"/>
          </w:p>
        </w:tc>
        <w:tc>
          <w:tcPr>
            <w:tcW w:w="2126" w:type="dxa"/>
            <w:vAlign w:val="center"/>
          </w:tcPr>
          <w:p w14:paraId="53F6021A"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1984" w:type="dxa"/>
            <w:vAlign w:val="center"/>
          </w:tcPr>
          <w:p w14:paraId="1FBB8D5E"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1843" w:type="dxa"/>
            <w:vAlign w:val="center"/>
          </w:tcPr>
          <w:p w14:paraId="792B1487"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0.39 (0.21–0.57)</w:t>
            </w:r>
          </w:p>
        </w:tc>
        <w:tc>
          <w:tcPr>
            <w:tcW w:w="974" w:type="dxa"/>
            <w:vAlign w:val="center"/>
          </w:tcPr>
          <w:p w14:paraId="04BF86E4"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.593</w:t>
            </w:r>
          </w:p>
        </w:tc>
      </w:tr>
      <w:tr w:rsidR="004537E7" w:rsidRPr="00DA117A" w14:paraId="6FBDB4E2" w14:textId="77777777" w:rsidTr="00DA117A">
        <w:tc>
          <w:tcPr>
            <w:tcW w:w="2977" w:type="dxa"/>
            <w:vAlign w:val="center"/>
          </w:tcPr>
          <w:p w14:paraId="0C33090F"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Fried foods</w:t>
            </w:r>
          </w:p>
        </w:tc>
        <w:tc>
          <w:tcPr>
            <w:tcW w:w="2126" w:type="dxa"/>
            <w:vAlign w:val="center"/>
          </w:tcPr>
          <w:p w14:paraId="1CEF4E68"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(0.21–0.57)</w:t>
            </w:r>
          </w:p>
        </w:tc>
        <w:tc>
          <w:tcPr>
            <w:tcW w:w="1984" w:type="dxa"/>
            <w:vAlign w:val="center"/>
          </w:tcPr>
          <w:p w14:paraId="239FA9F9"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1843" w:type="dxa"/>
            <w:vAlign w:val="center"/>
          </w:tcPr>
          <w:p w14:paraId="3F488628"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(0.00–0.57)</w:t>
            </w:r>
          </w:p>
        </w:tc>
        <w:tc>
          <w:tcPr>
            <w:tcW w:w="974" w:type="dxa"/>
            <w:vAlign w:val="center"/>
          </w:tcPr>
          <w:p w14:paraId="5C4F780F"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b/>
                <w:bCs/>
                <w:sz w:val="20"/>
                <w:szCs w:val="20"/>
              </w:rPr>
              <w:t>.049</w:t>
            </w:r>
          </w:p>
        </w:tc>
      </w:tr>
      <w:tr w:rsidR="004537E7" w:rsidRPr="00DA117A" w14:paraId="6D6FA6EB" w14:textId="77777777" w:rsidTr="00DA117A">
        <w:tc>
          <w:tcPr>
            <w:tcW w:w="2977" w:type="dxa"/>
            <w:vAlign w:val="center"/>
          </w:tcPr>
          <w:p w14:paraId="5BD12F58"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Fast foods</w:t>
            </w:r>
          </w:p>
        </w:tc>
        <w:tc>
          <w:tcPr>
            <w:tcW w:w="2126" w:type="dxa"/>
            <w:vAlign w:val="center"/>
          </w:tcPr>
          <w:p w14:paraId="03123CE2"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1984" w:type="dxa"/>
            <w:vAlign w:val="center"/>
          </w:tcPr>
          <w:p w14:paraId="6DB64B84"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(0.16–0.57)</w:t>
            </w:r>
          </w:p>
        </w:tc>
        <w:tc>
          <w:tcPr>
            <w:tcW w:w="1843" w:type="dxa"/>
            <w:vAlign w:val="center"/>
          </w:tcPr>
          <w:p w14:paraId="057C079C"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(0.00–0.68)</w:t>
            </w:r>
          </w:p>
        </w:tc>
        <w:tc>
          <w:tcPr>
            <w:tcW w:w="974" w:type="dxa"/>
            <w:vAlign w:val="center"/>
          </w:tcPr>
          <w:p w14:paraId="023CB16F"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.544</w:t>
            </w:r>
          </w:p>
        </w:tc>
      </w:tr>
      <w:tr w:rsidR="004537E7" w:rsidRPr="00DA117A" w14:paraId="68255D3E" w14:textId="77777777" w:rsidTr="00DA117A">
        <w:tc>
          <w:tcPr>
            <w:tcW w:w="2977" w:type="dxa"/>
            <w:vAlign w:val="center"/>
          </w:tcPr>
          <w:p w14:paraId="6F637D08" w14:textId="77777777" w:rsidR="004537E7" w:rsidRPr="00DA117A" w:rsidRDefault="003E48C9" w:rsidP="00DA117A">
            <w:pPr>
              <w:pStyle w:val="p1"/>
              <w:spacing w:before="0" w:beforeAutospacing="0" w:after="0" w:afterAutospacing="0"/>
              <w:contextualSpacing/>
              <w:rPr>
                <w:rFonts w:ascii="Arial" w:hAnsi="Arial" w:cs="Arial"/>
                <w:sz w:val="20"/>
                <w:szCs w:val="20"/>
              </w:rPr>
            </w:pPr>
            <w:r>
              <w:rPr>
                <w:rFonts w:ascii="Arial" w:hAnsi="Arial" w:cs="Arial"/>
                <w:sz w:val="20"/>
                <w:szCs w:val="20"/>
              </w:rPr>
              <w:t>Tuber</w:t>
            </w:r>
            <w:r w:rsidR="004537E7" w:rsidRPr="00DA117A">
              <w:rPr>
                <w:rFonts w:ascii="Arial" w:hAnsi="Arial" w:cs="Arial"/>
                <w:sz w:val="20"/>
                <w:szCs w:val="20"/>
              </w:rPr>
              <w:t xml:space="preserve"> foods</w:t>
            </w:r>
          </w:p>
        </w:tc>
        <w:tc>
          <w:tcPr>
            <w:tcW w:w="2126" w:type="dxa"/>
            <w:vAlign w:val="center"/>
          </w:tcPr>
          <w:p w14:paraId="56C08FD2"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1984" w:type="dxa"/>
            <w:vAlign w:val="center"/>
          </w:tcPr>
          <w:p w14:paraId="345A4521"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1843" w:type="dxa"/>
            <w:vAlign w:val="center"/>
          </w:tcPr>
          <w:p w14:paraId="061AD4AA"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974" w:type="dxa"/>
            <w:vAlign w:val="center"/>
          </w:tcPr>
          <w:p w14:paraId="4E5D30C9"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.991</w:t>
            </w:r>
          </w:p>
        </w:tc>
      </w:tr>
      <w:tr w:rsidR="004537E7" w:rsidRPr="00DA117A" w14:paraId="7647B815" w14:textId="77777777" w:rsidTr="00DA117A">
        <w:tc>
          <w:tcPr>
            <w:tcW w:w="2977" w:type="dxa"/>
            <w:vAlign w:val="center"/>
          </w:tcPr>
          <w:p w14:paraId="7C7705A3"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Soup</w:t>
            </w:r>
            <w:r w:rsidR="003E48C9">
              <w:rPr>
                <w:rFonts w:ascii="Arial" w:hAnsi="Arial" w:cs="Arial"/>
                <w:sz w:val="20"/>
                <w:szCs w:val="20"/>
              </w:rPr>
              <w:t>s and Stews</w:t>
            </w:r>
          </w:p>
        </w:tc>
        <w:tc>
          <w:tcPr>
            <w:tcW w:w="2126" w:type="dxa"/>
            <w:vAlign w:val="center"/>
          </w:tcPr>
          <w:p w14:paraId="7D20308D"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(0.21–1.00)</w:t>
            </w:r>
          </w:p>
        </w:tc>
        <w:tc>
          <w:tcPr>
            <w:tcW w:w="1984" w:type="dxa"/>
            <w:vAlign w:val="center"/>
          </w:tcPr>
          <w:p w14:paraId="56F3989E"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1843" w:type="dxa"/>
            <w:vAlign w:val="center"/>
          </w:tcPr>
          <w:p w14:paraId="5A32C7EE"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(0.21–1.00)</w:t>
            </w:r>
          </w:p>
        </w:tc>
        <w:tc>
          <w:tcPr>
            <w:tcW w:w="974" w:type="dxa"/>
            <w:vAlign w:val="center"/>
          </w:tcPr>
          <w:p w14:paraId="692CC9D4"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b/>
                <w:bCs/>
                <w:sz w:val="20"/>
                <w:szCs w:val="20"/>
              </w:rPr>
              <w:t>.031</w:t>
            </w:r>
          </w:p>
        </w:tc>
      </w:tr>
      <w:tr w:rsidR="004537E7" w:rsidRPr="00DA117A" w14:paraId="3F2A7644" w14:textId="77777777" w:rsidTr="00DA117A">
        <w:tc>
          <w:tcPr>
            <w:tcW w:w="2977" w:type="dxa"/>
            <w:vAlign w:val="center"/>
          </w:tcPr>
          <w:p w14:paraId="386DF750"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Fats</w:t>
            </w:r>
            <w:r w:rsidR="003E48C9">
              <w:rPr>
                <w:rFonts w:ascii="Arial" w:hAnsi="Arial" w:cs="Arial"/>
                <w:sz w:val="20"/>
                <w:szCs w:val="20"/>
              </w:rPr>
              <w:t xml:space="preserve"> and </w:t>
            </w:r>
            <w:r w:rsidRPr="00DA117A">
              <w:rPr>
                <w:rFonts w:ascii="Arial" w:hAnsi="Arial" w:cs="Arial"/>
                <w:sz w:val="20"/>
                <w:szCs w:val="20"/>
              </w:rPr>
              <w:t>oils</w:t>
            </w:r>
          </w:p>
        </w:tc>
        <w:tc>
          <w:tcPr>
            <w:tcW w:w="2126" w:type="dxa"/>
            <w:vAlign w:val="center"/>
          </w:tcPr>
          <w:p w14:paraId="6DB5914D"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(0.21–0.57)</w:t>
            </w:r>
          </w:p>
        </w:tc>
        <w:tc>
          <w:tcPr>
            <w:tcW w:w="1984" w:type="dxa"/>
            <w:vAlign w:val="center"/>
          </w:tcPr>
          <w:p w14:paraId="69941D9F"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1843" w:type="dxa"/>
            <w:vAlign w:val="center"/>
          </w:tcPr>
          <w:p w14:paraId="72415744"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(0.21–1.00)</w:t>
            </w:r>
          </w:p>
        </w:tc>
        <w:tc>
          <w:tcPr>
            <w:tcW w:w="974" w:type="dxa"/>
            <w:vAlign w:val="center"/>
          </w:tcPr>
          <w:p w14:paraId="4FBDCB3B"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b/>
                <w:bCs/>
                <w:sz w:val="20"/>
                <w:szCs w:val="20"/>
              </w:rPr>
              <w:t>.005</w:t>
            </w:r>
          </w:p>
        </w:tc>
      </w:tr>
      <w:tr w:rsidR="004537E7" w:rsidRPr="00DA117A" w14:paraId="650AEB70" w14:textId="77777777" w:rsidTr="00DA117A">
        <w:tc>
          <w:tcPr>
            <w:tcW w:w="2977" w:type="dxa"/>
            <w:vAlign w:val="center"/>
          </w:tcPr>
          <w:p w14:paraId="5B07F4C1"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Desserts</w:t>
            </w:r>
            <w:r w:rsidR="003E48C9">
              <w:rPr>
                <w:rFonts w:ascii="Arial" w:hAnsi="Arial" w:cs="Arial"/>
                <w:sz w:val="20"/>
                <w:szCs w:val="20"/>
              </w:rPr>
              <w:t xml:space="preserve"> and sweats</w:t>
            </w:r>
          </w:p>
        </w:tc>
        <w:tc>
          <w:tcPr>
            <w:tcW w:w="2126" w:type="dxa"/>
            <w:vAlign w:val="center"/>
          </w:tcPr>
          <w:p w14:paraId="5B457916"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1984" w:type="dxa"/>
            <w:vAlign w:val="center"/>
          </w:tcPr>
          <w:p w14:paraId="13432D31"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1843" w:type="dxa"/>
            <w:vAlign w:val="center"/>
          </w:tcPr>
          <w:p w14:paraId="13296F5E"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(0.21–0.57)</w:t>
            </w:r>
          </w:p>
        </w:tc>
        <w:tc>
          <w:tcPr>
            <w:tcW w:w="974" w:type="dxa"/>
            <w:vAlign w:val="center"/>
          </w:tcPr>
          <w:p w14:paraId="37A23653"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b/>
                <w:bCs/>
                <w:sz w:val="20"/>
                <w:szCs w:val="20"/>
              </w:rPr>
              <w:t>.010</w:t>
            </w:r>
          </w:p>
        </w:tc>
      </w:tr>
      <w:tr w:rsidR="004537E7" w:rsidRPr="00DA117A" w14:paraId="765EE75B" w14:textId="77777777" w:rsidTr="00DA117A">
        <w:tc>
          <w:tcPr>
            <w:tcW w:w="2977" w:type="dxa"/>
            <w:vAlign w:val="center"/>
          </w:tcPr>
          <w:p w14:paraId="6EF706FE"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Soft drinks</w:t>
            </w:r>
          </w:p>
        </w:tc>
        <w:tc>
          <w:tcPr>
            <w:tcW w:w="2126" w:type="dxa"/>
            <w:vAlign w:val="center"/>
          </w:tcPr>
          <w:p w14:paraId="15D44047"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(0.16–0.57)</w:t>
            </w:r>
          </w:p>
        </w:tc>
        <w:tc>
          <w:tcPr>
            <w:tcW w:w="1984" w:type="dxa"/>
            <w:vAlign w:val="center"/>
          </w:tcPr>
          <w:p w14:paraId="0AB29CF8"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1843" w:type="dxa"/>
            <w:vAlign w:val="center"/>
          </w:tcPr>
          <w:p w14:paraId="013C79EA"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974" w:type="dxa"/>
            <w:vAlign w:val="center"/>
          </w:tcPr>
          <w:p w14:paraId="081DB2BE"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.375</w:t>
            </w:r>
          </w:p>
        </w:tc>
      </w:tr>
      <w:tr w:rsidR="004537E7" w:rsidRPr="00DA117A" w14:paraId="5A5D3EB0" w14:textId="77777777" w:rsidTr="00DA117A">
        <w:tc>
          <w:tcPr>
            <w:tcW w:w="2977" w:type="dxa"/>
            <w:vAlign w:val="center"/>
          </w:tcPr>
          <w:p w14:paraId="31DE8C94"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Alcohol</w:t>
            </w:r>
            <w:r w:rsidR="003E48C9">
              <w:rPr>
                <w:rFonts w:ascii="Arial" w:hAnsi="Arial" w:cs="Arial"/>
                <w:sz w:val="20"/>
                <w:szCs w:val="20"/>
              </w:rPr>
              <w:t>ic drinks</w:t>
            </w:r>
          </w:p>
        </w:tc>
        <w:tc>
          <w:tcPr>
            <w:tcW w:w="2126" w:type="dxa"/>
            <w:vAlign w:val="center"/>
          </w:tcPr>
          <w:p w14:paraId="41C3C509"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1984" w:type="dxa"/>
            <w:vAlign w:val="center"/>
          </w:tcPr>
          <w:p w14:paraId="0E6AB7C0"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(0.00–0.21)</w:t>
            </w:r>
          </w:p>
        </w:tc>
        <w:tc>
          <w:tcPr>
            <w:tcW w:w="1843" w:type="dxa"/>
            <w:vAlign w:val="center"/>
          </w:tcPr>
          <w:p w14:paraId="2F17ED2F"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974" w:type="dxa"/>
            <w:vAlign w:val="center"/>
          </w:tcPr>
          <w:p w14:paraId="43F2F2E6"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b/>
                <w:bCs/>
                <w:sz w:val="20"/>
                <w:szCs w:val="20"/>
              </w:rPr>
              <w:t>.009</w:t>
            </w:r>
          </w:p>
        </w:tc>
      </w:tr>
      <w:tr w:rsidR="004537E7" w:rsidRPr="00DA117A" w14:paraId="3E39EBE8" w14:textId="77777777" w:rsidTr="00DA117A">
        <w:tc>
          <w:tcPr>
            <w:tcW w:w="2977" w:type="dxa"/>
            <w:vAlign w:val="center"/>
          </w:tcPr>
          <w:p w14:paraId="463ADDAC"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Tea</w:t>
            </w:r>
            <w:r w:rsidR="003E48C9">
              <w:rPr>
                <w:rFonts w:ascii="Arial" w:hAnsi="Arial" w:cs="Arial"/>
                <w:sz w:val="20"/>
                <w:szCs w:val="20"/>
              </w:rPr>
              <w:t xml:space="preserve"> and </w:t>
            </w:r>
            <w:r w:rsidRPr="00DA117A">
              <w:rPr>
                <w:rFonts w:ascii="Arial" w:hAnsi="Arial" w:cs="Arial"/>
                <w:sz w:val="20"/>
                <w:szCs w:val="20"/>
              </w:rPr>
              <w:t>coffee</w:t>
            </w:r>
          </w:p>
        </w:tc>
        <w:tc>
          <w:tcPr>
            <w:tcW w:w="2126" w:type="dxa"/>
            <w:vAlign w:val="center"/>
          </w:tcPr>
          <w:p w14:paraId="5B56F35D"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1984" w:type="dxa"/>
            <w:vAlign w:val="center"/>
          </w:tcPr>
          <w:p w14:paraId="31C3157F"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1843" w:type="dxa"/>
            <w:vAlign w:val="center"/>
          </w:tcPr>
          <w:p w14:paraId="241C7365"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974" w:type="dxa"/>
            <w:vAlign w:val="center"/>
          </w:tcPr>
          <w:p w14:paraId="72839D64"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.097</w:t>
            </w:r>
          </w:p>
        </w:tc>
      </w:tr>
      <w:tr w:rsidR="004537E7" w:rsidRPr="00DA117A" w14:paraId="6C980A7F" w14:textId="77777777" w:rsidTr="00DA117A">
        <w:tc>
          <w:tcPr>
            <w:tcW w:w="2977" w:type="dxa"/>
            <w:vAlign w:val="center"/>
          </w:tcPr>
          <w:p w14:paraId="4F1BF062" w14:textId="77777777" w:rsidR="004537E7" w:rsidRPr="00DA117A" w:rsidRDefault="003E48C9" w:rsidP="00DA117A">
            <w:pPr>
              <w:pStyle w:val="p1"/>
              <w:spacing w:before="0" w:beforeAutospacing="0" w:after="0" w:afterAutospacing="0"/>
              <w:contextualSpacing/>
              <w:rPr>
                <w:rFonts w:ascii="Arial" w:hAnsi="Arial" w:cs="Arial"/>
                <w:sz w:val="20"/>
                <w:szCs w:val="20"/>
              </w:rPr>
            </w:pPr>
            <w:r>
              <w:rPr>
                <w:rFonts w:ascii="Arial" w:hAnsi="Arial" w:cs="Arial"/>
                <w:sz w:val="20"/>
                <w:szCs w:val="20"/>
              </w:rPr>
              <w:t>D</w:t>
            </w:r>
            <w:r w:rsidR="004537E7" w:rsidRPr="00DA117A">
              <w:rPr>
                <w:rFonts w:ascii="Arial" w:hAnsi="Arial" w:cs="Arial"/>
                <w:sz w:val="20"/>
                <w:szCs w:val="20"/>
              </w:rPr>
              <w:t>airy</w:t>
            </w:r>
            <w:r>
              <w:rPr>
                <w:rFonts w:ascii="Arial" w:hAnsi="Arial" w:cs="Arial"/>
                <w:sz w:val="20"/>
                <w:szCs w:val="20"/>
              </w:rPr>
              <w:t xml:space="preserve"> products</w:t>
            </w:r>
          </w:p>
        </w:tc>
        <w:tc>
          <w:tcPr>
            <w:tcW w:w="2126" w:type="dxa"/>
            <w:vAlign w:val="center"/>
          </w:tcPr>
          <w:p w14:paraId="7DE1B5EA"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(0.21–0.57)</w:t>
            </w:r>
          </w:p>
        </w:tc>
        <w:tc>
          <w:tcPr>
            <w:tcW w:w="1984" w:type="dxa"/>
            <w:vAlign w:val="center"/>
          </w:tcPr>
          <w:p w14:paraId="570CDBCD"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0.39 (0.21–0.57)</w:t>
            </w:r>
          </w:p>
        </w:tc>
        <w:tc>
          <w:tcPr>
            <w:tcW w:w="1843" w:type="dxa"/>
            <w:vAlign w:val="center"/>
          </w:tcPr>
          <w:p w14:paraId="235922D0"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(0.21–0.57)</w:t>
            </w:r>
          </w:p>
        </w:tc>
        <w:tc>
          <w:tcPr>
            <w:tcW w:w="974" w:type="dxa"/>
            <w:vAlign w:val="center"/>
          </w:tcPr>
          <w:p w14:paraId="2D994926"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.749</w:t>
            </w:r>
          </w:p>
        </w:tc>
      </w:tr>
      <w:tr w:rsidR="004537E7" w:rsidRPr="00DA117A" w14:paraId="09462BB2" w14:textId="77777777" w:rsidTr="00DA117A">
        <w:tc>
          <w:tcPr>
            <w:tcW w:w="2977" w:type="dxa"/>
            <w:vAlign w:val="center"/>
          </w:tcPr>
          <w:p w14:paraId="1FD7A638"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Seasoning</w:t>
            </w:r>
          </w:p>
        </w:tc>
        <w:tc>
          <w:tcPr>
            <w:tcW w:w="2126" w:type="dxa"/>
            <w:vAlign w:val="center"/>
          </w:tcPr>
          <w:p w14:paraId="2F108464"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0.78 (0.21–1.00)</w:t>
            </w:r>
          </w:p>
        </w:tc>
        <w:tc>
          <w:tcPr>
            <w:tcW w:w="1984" w:type="dxa"/>
            <w:vAlign w:val="center"/>
          </w:tcPr>
          <w:p w14:paraId="27B3C633"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(0.21–0.57)</w:t>
            </w:r>
          </w:p>
        </w:tc>
        <w:tc>
          <w:tcPr>
            <w:tcW w:w="1843" w:type="dxa"/>
            <w:vAlign w:val="center"/>
          </w:tcPr>
          <w:p w14:paraId="36C74C26"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1.00 (0.57–1.00)</w:t>
            </w:r>
          </w:p>
        </w:tc>
        <w:tc>
          <w:tcPr>
            <w:tcW w:w="974" w:type="dxa"/>
            <w:vAlign w:val="center"/>
          </w:tcPr>
          <w:p w14:paraId="16C11B6F"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b/>
                <w:bCs/>
                <w:sz w:val="20"/>
                <w:szCs w:val="20"/>
              </w:rPr>
              <w:t>&lt;.001</w:t>
            </w:r>
          </w:p>
        </w:tc>
      </w:tr>
      <w:tr w:rsidR="004537E7" w:rsidRPr="00DA117A" w14:paraId="478C1E58" w14:textId="77777777" w:rsidTr="00DA117A">
        <w:tc>
          <w:tcPr>
            <w:tcW w:w="2977" w:type="dxa"/>
            <w:vAlign w:val="center"/>
          </w:tcPr>
          <w:p w14:paraId="6407123F"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Salt</w:t>
            </w:r>
            <w:r w:rsidR="003E48C9">
              <w:rPr>
                <w:rFonts w:ascii="Arial" w:hAnsi="Arial" w:cs="Arial"/>
                <w:sz w:val="20"/>
                <w:szCs w:val="20"/>
              </w:rPr>
              <w:t>y Foods</w:t>
            </w:r>
          </w:p>
        </w:tc>
        <w:tc>
          <w:tcPr>
            <w:tcW w:w="2126" w:type="dxa"/>
            <w:vAlign w:val="center"/>
          </w:tcPr>
          <w:p w14:paraId="7E53D8C5"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(0.57–1.00)</w:t>
            </w:r>
          </w:p>
        </w:tc>
        <w:tc>
          <w:tcPr>
            <w:tcW w:w="1984" w:type="dxa"/>
            <w:vAlign w:val="center"/>
          </w:tcPr>
          <w:p w14:paraId="71AFEE41"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(0.21–0.68)</w:t>
            </w:r>
          </w:p>
        </w:tc>
        <w:tc>
          <w:tcPr>
            <w:tcW w:w="1843" w:type="dxa"/>
            <w:vAlign w:val="center"/>
          </w:tcPr>
          <w:p w14:paraId="05543B03"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1.00 (0.57–1.00)</w:t>
            </w:r>
          </w:p>
        </w:tc>
        <w:tc>
          <w:tcPr>
            <w:tcW w:w="974" w:type="dxa"/>
            <w:vAlign w:val="center"/>
          </w:tcPr>
          <w:p w14:paraId="0B689E43"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b/>
                <w:bCs/>
                <w:sz w:val="20"/>
                <w:szCs w:val="20"/>
              </w:rPr>
              <w:t>&lt;.001</w:t>
            </w:r>
          </w:p>
        </w:tc>
      </w:tr>
    </w:tbl>
    <w:p w14:paraId="65750409" w14:textId="77777777" w:rsidR="002470CB" w:rsidRPr="00DA117A" w:rsidRDefault="00DA117A" w:rsidP="00DA117A">
      <w:pPr>
        <w:jc w:val="both"/>
        <w:rPr>
          <w:rFonts w:ascii="Arial" w:hAnsi="Arial" w:cs="Arial"/>
          <w:i/>
          <w:iCs/>
          <w:sz w:val="18"/>
          <w:szCs w:val="18"/>
        </w:rPr>
      </w:pPr>
      <w:r w:rsidRPr="00DA117A">
        <w:rPr>
          <w:rFonts w:ascii="Arial" w:hAnsi="Arial" w:cs="Arial"/>
          <w:i/>
          <w:iCs/>
          <w:sz w:val="18"/>
          <w:szCs w:val="18"/>
        </w:rPr>
        <w:t>Values are presented as median (interquartile range [IQR]). Lower clustered cardiometabolic abnormality (CCA) burden was defined as 0–1 abnormalities and higher CCA burden as ≥2 abnormalities. Between-group differences were assessed using the Mann–Whitney U test. Statistical significance was defined as p&lt;0.05. NiDST, Nigerian Diet Screening Tool.</w:t>
      </w:r>
    </w:p>
    <w:p w14:paraId="5528C6F4" w14:textId="77777777" w:rsidR="00D065D9" w:rsidRPr="00B4381E" w:rsidRDefault="00000000">
      <w:pPr>
        <w:spacing w:before="160" w:after="100"/>
        <w:rPr>
          <w:rFonts w:ascii="Arial" w:hAnsi="Arial" w:cs="Arial"/>
        </w:rPr>
      </w:pPr>
      <w:r w:rsidRPr="00B4381E">
        <w:rPr>
          <w:rFonts w:ascii="Arial" w:hAnsi="Arial" w:cs="Arial"/>
          <w:b/>
          <w:sz w:val="20"/>
        </w:rPr>
        <w:t xml:space="preserve">3.1.5 </w:t>
      </w:r>
      <w:r w:rsidR="00B4381E" w:rsidRPr="00B4381E">
        <w:rPr>
          <w:rFonts w:ascii="Arial" w:hAnsi="Arial" w:cs="Arial"/>
          <w:b/>
          <w:sz w:val="20"/>
        </w:rPr>
        <w:t xml:space="preserve">Derivation and </w:t>
      </w:r>
      <w:proofErr w:type="spellStart"/>
      <w:r w:rsidR="00B4381E" w:rsidRPr="00B4381E">
        <w:rPr>
          <w:rFonts w:ascii="Arial" w:hAnsi="Arial" w:cs="Arial"/>
          <w:b/>
          <w:sz w:val="20"/>
        </w:rPr>
        <w:t>Characterisation</w:t>
      </w:r>
      <w:proofErr w:type="spellEnd"/>
      <w:r w:rsidR="00B4381E" w:rsidRPr="00B4381E">
        <w:rPr>
          <w:rFonts w:ascii="Arial" w:hAnsi="Arial" w:cs="Arial"/>
          <w:b/>
          <w:sz w:val="20"/>
        </w:rPr>
        <w:t xml:space="preserve"> of Dietary Patterns</w:t>
      </w:r>
    </w:p>
    <w:p w14:paraId="186557E2" w14:textId="77777777" w:rsidR="0034647F" w:rsidRDefault="0034647F" w:rsidP="0034647F">
      <w:pPr>
        <w:spacing w:after="120"/>
        <w:jc w:val="both"/>
        <w:rPr>
          <w:rFonts w:ascii="Arial" w:hAnsi="Arial" w:cs="Arial"/>
          <w:sz w:val="20"/>
        </w:rPr>
      </w:pPr>
      <w:r w:rsidRPr="0034647F">
        <w:rPr>
          <w:rFonts w:ascii="Arial" w:hAnsi="Arial" w:cs="Arial"/>
          <w:sz w:val="20"/>
        </w:rPr>
        <w:t>The dietary data were suitable for principal component analysis, with a Kaiser–Meyer–Olkin measure of sampling adequacy of 0.817 and a significant Bartlett’s test of sphericity (p&lt;0.001). Although six observed eigenvalues exceeded 1.0, parallel analysis and comparison of candidate solutions supported retention of three components. The three-component solution showed no weakly defined components and demonstrated greater stability and interpretability than higher-dimensional alternatives. Collectively, the retained components explained 50.8% of the total variance in dietary intake.</w:t>
      </w:r>
      <w:r>
        <w:rPr>
          <w:rFonts w:ascii="Arial" w:hAnsi="Arial" w:cs="Arial"/>
          <w:sz w:val="20"/>
        </w:rPr>
        <w:t xml:space="preserve"> </w:t>
      </w:r>
      <w:r w:rsidRPr="0034647F">
        <w:rPr>
          <w:rFonts w:ascii="Arial" w:hAnsi="Arial" w:cs="Arial"/>
          <w:sz w:val="20"/>
          <w:highlight w:val="yellow"/>
        </w:rPr>
        <w:t>As shown in Table 6 and Figure 1</w:t>
      </w:r>
      <w:r w:rsidRPr="0034647F">
        <w:rPr>
          <w:rFonts w:ascii="Arial" w:hAnsi="Arial" w:cs="Arial"/>
          <w:sz w:val="20"/>
        </w:rPr>
        <w:t>, Pattern 1 was defined predominantly by positive loadings for fried foods, fast foods, fats and oils, desserts and sweets, soft drinks, alcoholic drinks, soups and stews, starchy foods, red meat, and eggs, and was labelled the fried/fast food–fats/oils–dessert/soft drink–alcohol dietary pattern. Pattern 2 was characterised by positive loadings for wheat, breakfast cereals, legumes, and white lean meat, together with inverse loadings for processed foods/meat, seasoning, and salty foods, and was labelled the grain–legume–white meat dietary pattern. Pattern 3 was characterised by fruit, vegetables, rice, nuts and seeds, fish and seafood, tea and coffee, and dairy products, and was labelled the dairy–tea/coffee–fish–nuts–fruit/vegetable dietary pattern.</w:t>
      </w:r>
    </w:p>
    <w:p w14:paraId="02E93965" w14:textId="77777777" w:rsidR="008221AB" w:rsidRDefault="00000000" w:rsidP="003A1B77">
      <w:pPr>
        <w:spacing w:before="120" w:after="80"/>
        <w:jc w:val="both"/>
        <w:rPr>
          <w:rFonts w:ascii="Arial" w:hAnsi="Arial" w:cs="Arial"/>
          <w:b/>
          <w:sz w:val="20"/>
        </w:rPr>
      </w:pPr>
      <w:r w:rsidRPr="00B85224">
        <w:rPr>
          <w:rFonts w:ascii="Arial" w:hAnsi="Arial" w:cs="Arial"/>
          <w:b/>
          <w:sz w:val="20"/>
        </w:rPr>
        <w:t xml:space="preserve">Table </w:t>
      </w:r>
      <w:r w:rsidR="00BE25F5">
        <w:rPr>
          <w:rFonts w:ascii="Arial" w:hAnsi="Arial" w:cs="Arial"/>
          <w:b/>
          <w:sz w:val="20"/>
        </w:rPr>
        <w:t>6</w:t>
      </w:r>
      <w:r w:rsidRPr="00B85224">
        <w:rPr>
          <w:rFonts w:ascii="Arial" w:hAnsi="Arial" w:cs="Arial"/>
          <w:b/>
          <w:sz w:val="20"/>
        </w:rPr>
        <w:t xml:space="preserve">. </w:t>
      </w:r>
      <w:r w:rsidR="0034647F" w:rsidRPr="0034647F">
        <w:rPr>
          <w:rFonts w:ascii="Arial" w:hAnsi="Arial" w:cs="Arial"/>
          <w:b/>
          <w:sz w:val="20"/>
        </w:rPr>
        <w:t>Food-group loadings defining the three retained dietary patterns among adults in Ikwerre Local Government Area, Rivers State, Nigeria</w:t>
      </w:r>
    </w:p>
    <w:tbl>
      <w:tblPr>
        <w:tblStyle w:val="TableGrid"/>
        <w:tblW w:w="0" w:type="auto"/>
        <w:tblInd w:w="53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6"/>
        <w:gridCol w:w="2367"/>
        <w:gridCol w:w="1793"/>
      </w:tblGrid>
      <w:tr w:rsidR="008221AB" w:rsidRPr="0034647F" w14:paraId="7F0393EB" w14:textId="77777777" w:rsidTr="0034647F">
        <w:tc>
          <w:tcPr>
            <w:tcW w:w="5528" w:type="dxa"/>
            <w:tcBorders>
              <w:top w:val="single" w:sz="4" w:space="0" w:color="auto"/>
              <w:bottom w:val="single" w:sz="4" w:space="0" w:color="auto"/>
            </w:tcBorders>
            <w:vAlign w:val="center"/>
          </w:tcPr>
          <w:p w14:paraId="484B8553" w14:textId="77777777" w:rsidR="008221AB" w:rsidRPr="0034647F" w:rsidRDefault="008221AB" w:rsidP="008221AB">
            <w:pPr>
              <w:pStyle w:val="p1"/>
              <w:spacing w:before="0" w:beforeAutospacing="0" w:after="0" w:afterAutospacing="0"/>
              <w:jc w:val="center"/>
              <w:rPr>
                <w:rFonts w:ascii="Arial" w:hAnsi="Arial" w:cs="Arial"/>
                <w:b/>
                <w:bCs/>
                <w:sz w:val="20"/>
                <w:szCs w:val="20"/>
              </w:rPr>
            </w:pPr>
            <w:r w:rsidRPr="0034647F">
              <w:rPr>
                <w:rFonts w:ascii="Arial" w:hAnsi="Arial" w:cs="Arial"/>
                <w:b/>
                <w:bCs/>
                <w:sz w:val="20"/>
                <w:szCs w:val="20"/>
              </w:rPr>
              <w:t>Dietary pattern</w:t>
            </w:r>
          </w:p>
        </w:tc>
        <w:tc>
          <w:tcPr>
            <w:tcW w:w="2410" w:type="dxa"/>
            <w:tcBorders>
              <w:top w:val="single" w:sz="4" w:space="0" w:color="auto"/>
              <w:bottom w:val="single" w:sz="4" w:space="0" w:color="auto"/>
            </w:tcBorders>
            <w:vAlign w:val="center"/>
          </w:tcPr>
          <w:p w14:paraId="14468C63" w14:textId="77777777" w:rsidR="008221AB" w:rsidRPr="0034647F" w:rsidRDefault="008221AB" w:rsidP="008221AB">
            <w:pPr>
              <w:pStyle w:val="p1"/>
              <w:spacing w:before="0" w:beforeAutospacing="0" w:after="0" w:afterAutospacing="0"/>
              <w:jc w:val="center"/>
              <w:rPr>
                <w:rFonts w:ascii="Arial" w:hAnsi="Arial" w:cs="Arial"/>
                <w:b/>
                <w:bCs/>
                <w:sz w:val="20"/>
                <w:szCs w:val="20"/>
              </w:rPr>
            </w:pPr>
            <w:r w:rsidRPr="0034647F">
              <w:rPr>
                <w:rFonts w:ascii="Arial" w:hAnsi="Arial" w:cs="Arial"/>
                <w:b/>
                <w:bCs/>
                <w:sz w:val="20"/>
                <w:szCs w:val="20"/>
              </w:rPr>
              <w:t>Defining food group</w:t>
            </w:r>
          </w:p>
        </w:tc>
        <w:tc>
          <w:tcPr>
            <w:tcW w:w="1824" w:type="dxa"/>
            <w:tcBorders>
              <w:top w:val="single" w:sz="4" w:space="0" w:color="auto"/>
              <w:bottom w:val="single" w:sz="4" w:space="0" w:color="auto"/>
            </w:tcBorders>
            <w:vAlign w:val="center"/>
          </w:tcPr>
          <w:p w14:paraId="7184642A" w14:textId="77777777" w:rsidR="008221AB" w:rsidRPr="0034647F" w:rsidRDefault="008221AB" w:rsidP="008221AB">
            <w:pPr>
              <w:pStyle w:val="p1"/>
              <w:spacing w:before="0" w:beforeAutospacing="0" w:after="0" w:afterAutospacing="0"/>
              <w:jc w:val="center"/>
              <w:rPr>
                <w:rFonts w:ascii="Arial" w:hAnsi="Arial" w:cs="Arial"/>
                <w:b/>
                <w:bCs/>
                <w:sz w:val="20"/>
                <w:szCs w:val="20"/>
              </w:rPr>
            </w:pPr>
            <w:r w:rsidRPr="0034647F">
              <w:rPr>
                <w:rFonts w:ascii="Arial" w:hAnsi="Arial" w:cs="Arial"/>
                <w:b/>
                <w:bCs/>
                <w:sz w:val="20"/>
                <w:szCs w:val="20"/>
              </w:rPr>
              <w:t>Rotated loading</w:t>
            </w:r>
          </w:p>
        </w:tc>
      </w:tr>
      <w:tr w:rsidR="008221AB" w:rsidRPr="0034647F" w14:paraId="7603234D" w14:textId="77777777" w:rsidTr="0034647F">
        <w:tc>
          <w:tcPr>
            <w:tcW w:w="5528" w:type="dxa"/>
            <w:tcBorders>
              <w:top w:val="single" w:sz="4" w:space="0" w:color="auto"/>
            </w:tcBorders>
            <w:vAlign w:val="center"/>
          </w:tcPr>
          <w:p w14:paraId="474E9788"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b/>
                <w:bCs/>
                <w:sz w:val="20"/>
                <w:szCs w:val="20"/>
              </w:rPr>
              <w:t>Pattern 1: Fried/fast food–fats/oils–dessert/soft drink–alcohol</w:t>
            </w:r>
          </w:p>
        </w:tc>
        <w:tc>
          <w:tcPr>
            <w:tcW w:w="2410" w:type="dxa"/>
            <w:tcBorders>
              <w:top w:val="single" w:sz="4" w:space="0" w:color="auto"/>
            </w:tcBorders>
            <w:vAlign w:val="center"/>
          </w:tcPr>
          <w:p w14:paraId="2D180B4F"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Red meat</w:t>
            </w:r>
          </w:p>
        </w:tc>
        <w:tc>
          <w:tcPr>
            <w:tcW w:w="1824" w:type="dxa"/>
            <w:tcBorders>
              <w:top w:val="single" w:sz="4" w:space="0" w:color="auto"/>
            </w:tcBorders>
            <w:vAlign w:val="center"/>
          </w:tcPr>
          <w:p w14:paraId="0E769372"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0.42</w:t>
            </w:r>
          </w:p>
        </w:tc>
      </w:tr>
      <w:tr w:rsidR="008221AB" w:rsidRPr="0034647F" w14:paraId="12B58181" w14:textId="77777777" w:rsidTr="0034647F">
        <w:tc>
          <w:tcPr>
            <w:tcW w:w="5528" w:type="dxa"/>
            <w:vAlign w:val="center"/>
          </w:tcPr>
          <w:p w14:paraId="716E2539"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2996FD69"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Eggs</w:t>
            </w:r>
          </w:p>
        </w:tc>
        <w:tc>
          <w:tcPr>
            <w:tcW w:w="1824" w:type="dxa"/>
            <w:vAlign w:val="center"/>
          </w:tcPr>
          <w:p w14:paraId="208468CF"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0.43</w:t>
            </w:r>
          </w:p>
        </w:tc>
      </w:tr>
      <w:tr w:rsidR="008221AB" w:rsidRPr="0034647F" w14:paraId="5A5137FE" w14:textId="77777777" w:rsidTr="0034647F">
        <w:tc>
          <w:tcPr>
            <w:tcW w:w="5528" w:type="dxa"/>
            <w:vAlign w:val="center"/>
          </w:tcPr>
          <w:p w14:paraId="5835DD19"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256FDA81"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Fried foods</w:t>
            </w:r>
          </w:p>
        </w:tc>
        <w:tc>
          <w:tcPr>
            <w:tcW w:w="1824" w:type="dxa"/>
            <w:vAlign w:val="center"/>
          </w:tcPr>
          <w:p w14:paraId="4F1E5935"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0.74</w:t>
            </w:r>
          </w:p>
        </w:tc>
      </w:tr>
      <w:tr w:rsidR="008221AB" w:rsidRPr="0034647F" w14:paraId="11E58914" w14:textId="77777777" w:rsidTr="0034647F">
        <w:tc>
          <w:tcPr>
            <w:tcW w:w="5528" w:type="dxa"/>
            <w:vAlign w:val="center"/>
          </w:tcPr>
          <w:p w14:paraId="78DE0122"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77DE6AD6"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Fast foods</w:t>
            </w:r>
          </w:p>
        </w:tc>
        <w:tc>
          <w:tcPr>
            <w:tcW w:w="1824" w:type="dxa"/>
            <w:vAlign w:val="center"/>
          </w:tcPr>
          <w:p w14:paraId="2AB58CC1"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0.69</w:t>
            </w:r>
          </w:p>
        </w:tc>
      </w:tr>
      <w:tr w:rsidR="008221AB" w:rsidRPr="0034647F" w14:paraId="20DF6466" w14:textId="77777777" w:rsidTr="0034647F">
        <w:tc>
          <w:tcPr>
            <w:tcW w:w="5528" w:type="dxa"/>
            <w:vAlign w:val="center"/>
          </w:tcPr>
          <w:p w14:paraId="2DC88A40"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016C85C2"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Starchy foods</w:t>
            </w:r>
          </w:p>
        </w:tc>
        <w:tc>
          <w:tcPr>
            <w:tcW w:w="1824" w:type="dxa"/>
            <w:vAlign w:val="center"/>
          </w:tcPr>
          <w:p w14:paraId="3B54020C"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0.59</w:t>
            </w:r>
          </w:p>
        </w:tc>
      </w:tr>
      <w:tr w:rsidR="008221AB" w:rsidRPr="0034647F" w14:paraId="2A116919" w14:textId="77777777" w:rsidTr="0034647F">
        <w:tc>
          <w:tcPr>
            <w:tcW w:w="5528" w:type="dxa"/>
            <w:vAlign w:val="center"/>
          </w:tcPr>
          <w:p w14:paraId="351B5A6C"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7568B201"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Soups and stews</w:t>
            </w:r>
          </w:p>
        </w:tc>
        <w:tc>
          <w:tcPr>
            <w:tcW w:w="1824" w:type="dxa"/>
            <w:vAlign w:val="center"/>
          </w:tcPr>
          <w:p w14:paraId="4C81C939"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0.76</w:t>
            </w:r>
          </w:p>
        </w:tc>
      </w:tr>
      <w:tr w:rsidR="008221AB" w:rsidRPr="0034647F" w14:paraId="69C0A1A6" w14:textId="77777777" w:rsidTr="0034647F">
        <w:tc>
          <w:tcPr>
            <w:tcW w:w="5528" w:type="dxa"/>
            <w:vAlign w:val="center"/>
          </w:tcPr>
          <w:p w14:paraId="78F9B24E"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1E3A4C74"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Fats and oils</w:t>
            </w:r>
          </w:p>
        </w:tc>
        <w:tc>
          <w:tcPr>
            <w:tcW w:w="1824" w:type="dxa"/>
            <w:vAlign w:val="center"/>
          </w:tcPr>
          <w:p w14:paraId="3D93CA31"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0.75</w:t>
            </w:r>
          </w:p>
        </w:tc>
      </w:tr>
      <w:tr w:rsidR="008221AB" w:rsidRPr="0034647F" w14:paraId="6FF125AA" w14:textId="77777777" w:rsidTr="0034647F">
        <w:tc>
          <w:tcPr>
            <w:tcW w:w="5528" w:type="dxa"/>
            <w:vAlign w:val="center"/>
          </w:tcPr>
          <w:p w14:paraId="1E065412"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73D3E631"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Desserts and sweets</w:t>
            </w:r>
          </w:p>
        </w:tc>
        <w:tc>
          <w:tcPr>
            <w:tcW w:w="1824" w:type="dxa"/>
            <w:vAlign w:val="center"/>
          </w:tcPr>
          <w:p w14:paraId="2332D3B9"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0.77</w:t>
            </w:r>
          </w:p>
        </w:tc>
      </w:tr>
      <w:tr w:rsidR="008221AB" w:rsidRPr="0034647F" w14:paraId="4BC785E9" w14:textId="77777777" w:rsidTr="0034647F">
        <w:tc>
          <w:tcPr>
            <w:tcW w:w="5528" w:type="dxa"/>
            <w:vAlign w:val="center"/>
          </w:tcPr>
          <w:p w14:paraId="113ED336"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32397A30"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Soft drinks</w:t>
            </w:r>
          </w:p>
        </w:tc>
        <w:tc>
          <w:tcPr>
            <w:tcW w:w="1824" w:type="dxa"/>
            <w:vAlign w:val="center"/>
          </w:tcPr>
          <w:p w14:paraId="6211466C"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0.74</w:t>
            </w:r>
          </w:p>
        </w:tc>
      </w:tr>
      <w:tr w:rsidR="008221AB" w:rsidRPr="0034647F" w14:paraId="135BBD46" w14:textId="77777777" w:rsidTr="0034647F">
        <w:tc>
          <w:tcPr>
            <w:tcW w:w="5528" w:type="dxa"/>
            <w:vAlign w:val="center"/>
          </w:tcPr>
          <w:p w14:paraId="40690BF8"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18FCF825"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Alcoholic drinks</w:t>
            </w:r>
          </w:p>
        </w:tc>
        <w:tc>
          <w:tcPr>
            <w:tcW w:w="1824" w:type="dxa"/>
            <w:vAlign w:val="center"/>
          </w:tcPr>
          <w:p w14:paraId="3BC86F1F"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0.73</w:t>
            </w:r>
          </w:p>
        </w:tc>
      </w:tr>
      <w:tr w:rsidR="008221AB" w:rsidRPr="0034647F" w14:paraId="6D696B57" w14:textId="77777777" w:rsidTr="0034647F">
        <w:tc>
          <w:tcPr>
            <w:tcW w:w="5528" w:type="dxa"/>
            <w:vAlign w:val="center"/>
          </w:tcPr>
          <w:p w14:paraId="4178E512"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b/>
                <w:bCs/>
                <w:sz w:val="20"/>
                <w:szCs w:val="20"/>
              </w:rPr>
              <w:t>Pattern 2: Grain–legume–white meat</w:t>
            </w:r>
          </w:p>
        </w:tc>
        <w:tc>
          <w:tcPr>
            <w:tcW w:w="2410" w:type="dxa"/>
            <w:vAlign w:val="center"/>
          </w:tcPr>
          <w:p w14:paraId="55F8B7AF"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Wheat</w:t>
            </w:r>
          </w:p>
        </w:tc>
        <w:tc>
          <w:tcPr>
            <w:tcW w:w="1824" w:type="dxa"/>
            <w:vAlign w:val="center"/>
          </w:tcPr>
          <w:p w14:paraId="41AB8DBD"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0.65</w:t>
            </w:r>
          </w:p>
        </w:tc>
      </w:tr>
      <w:tr w:rsidR="008221AB" w:rsidRPr="0034647F" w14:paraId="5038595D" w14:textId="77777777" w:rsidTr="0034647F">
        <w:tc>
          <w:tcPr>
            <w:tcW w:w="5528" w:type="dxa"/>
            <w:vAlign w:val="center"/>
          </w:tcPr>
          <w:p w14:paraId="0047E717"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617901D8"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Breakfast cereals</w:t>
            </w:r>
          </w:p>
        </w:tc>
        <w:tc>
          <w:tcPr>
            <w:tcW w:w="1824" w:type="dxa"/>
            <w:vAlign w:val="center"/>
          </w:tcPr>
          <w:p w14:paraId="7A48A6EA"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0.60</w:t>
            </w:r>
          </w:p>
        </w:tc>
      </w:tr>
      <w:tr w:rsidR="008221AB" w:rsidRPr="0034647F" w14:paraId="5CB37547" w14:textId="77777777" w:rsidTr="0034647F">
        <w:tc>
          <w:tcPr>
            <w:tcW w:w="5528" w:type="dxa"/>
            <w:vAlign w:val="center"/>
          </w:tcPr>
          <w:p w14:paraId="1CC93674"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6E3AC8AB"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Legumes (beans)</w:t>
            </w:r>
          </w:p>
        </w:tc>
        <w:tc>
          <w:tcPr>
            <w:tcW w:w="1824" w:type="dxa"/>
            <w:vAlign w:val="center"/>
          </w:tcPr>
          <w:p w14:paraId="603141BA"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0.67</w:t>
            </w:r>
          </w:p>
        </w:tc>
      </w:tr>
      <w:tr w:rsidR="008221AB" w:rsidRPr="0034647F" w14:paraId="7AFF9550" w14:textId="77777777" w:rsidTr="0034647F">
        <w:tc>
          <w:tcPr>
            <w:tcW w:w="5528" w:type="dxa"/>
            <w:vAlign w:val="center"/>
          </w:tcPr>
          <w:p w14:paraId="6BA71688"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04185546"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White lean meat</w:t>
            </w:r>
          </w:p>
        </w:tc>
        <w:tc>
          <w:tcPr>
            <w:tcW w:w="1824" w:type="dxa"/>
            <w:vAlign w:val="center"/>
          </w:tcPr>
          <w:p w14:paraId="348C0744"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0.63</w:t>
            </w:r>
          </w:p>
        </w:tc>
      </w:tr>
      <w:tr w:rsidR="008221AB" w:rsidRPr="0034647F" w14:paraId="396C35F6" w14:textId="77777777" w:rsidTr="0034647F">
        <w:tc>
          <w:tcPr>
            <w:tcW w:w="5528" w:type="dxa"/>
            <w:vAlign w:val="center"/>
          </w:tcPr>
          <w:p w14:paraId="3A10278E"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18CA586B"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Processed foods/meat</w:t>
            </w:r>
          </w:p>
        </w:tc>
        <w:tc>
          <w:tcPr>
            <w:tcW w:w="1824" w:type="dxa"/>
            <w:vAlign w:val="center"/>
          </w:tcPr>
          <w:p w14:paraId="25AEAE94"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−0.52</w:t>
            </w:r>
          </w:p>
        </w:tc>
      </w:tr>
      <w:tr w:rsidR="008221AB" w:rsidRPr="0034647F" w14:paraId="7346279A" w14:textId="77777777" w:rsidTr="0034647F">
        <w:tc>
          <w:tcPr>
            <w:tcW w:w="5528" w:type="dxa"/>
            <w:vAlign w:val="center"/>
          </w:tcPr>
          <w:p w14:paraId="075F022D"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62E329B9"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Seasoning</w:t>
            </w:r>
          </w:p>
        </w:tc>
        <w:tc>
          <w:tcPr>
            <w:tcW w:w="1824" w:type="dxa"/>
            <w:vAlign w:val="center"/>
          </w:tcPr>
          <w:p w14:paraId="3FC492F2"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−0.66</w:t>
            </w:r>
          </w:p>
        </w:tc>
      </w:tr>
      <w:tr w:rsidR="008221AB" w:rsidRPr="0034647F" w14:paraId="59F7BB86" w14:textId="77777777" w:rsidTr="0034647F">
        <w:tc>
          <w:tcPr>
            <w:tcW w:w="5528" w:type="dxa"/>
            <w:vAlign w:val="center"/>
          </w:tcPr>
          <w:p w14:paraId="656A290B"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34B56CA1"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Salty foods</w:t>
            </w:r>
          </w:p>
        </w:tc>
        <w:tc>
          <w:tcPr>
            <w:tcW w:w="1824" w:type="dxa"/>
            <w:vAlign w:val="center"/>
          </w:tcPr>
          <w:p w14:paraId="2F1529F7"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−0.67</w:t>
            </w:r>
          </w:p>
        </w:tc>
      </w:tr>
      <w:tr w:rsidR="008221AB" w:rsidRPr="0034647F" w14:paraId="1F13D15C" w14:textId="77777777" w:rsidTr="0034647F">
        <w:tc>
          <w:tcPr>
            <w:tcW w:w="5528" w:type="dxa"/>
            <w:vAlign w:val="center"/>
          </w:tcPr>
          <w:p w14:paraId="0FE1F8DF"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b/>
                <w:bCs/>
                <w:sz w:val="20"/>
                <w:szCs w:val="20"/>
              </w:rPr>
              <w:t>Pattern 3: Dairy–tea/coffee–fish–nuts–fruit/vegetable</w:t>
            </w:r>
          </w:p>
        </w:tc>
        <w:tc>
          <w:tcPr>
            <w:tcW w:w="2410" w:type="dxa"/>
            <w:vAlign w:val="center"/>
          </w:tcPr>
          <w:p w14:paraId="6B1539C8"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Fruit</w:t>
            </w:r>
          </w:p>
        </w:tc>
        <w:tc>
          <w:tcPr>
            <w:tcW w:w="1824" w:type="dxa"/>
            <w:vAlign w:val="center"/>
          </w:tcPr>
          <w:p w14:paraId="2856A565"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0.51</w:t>
            </w:r>
          </w:p>
        </w:tc>
      </w:tr>
      <w:tr w:rsidR="008221AB" w:rsidRPr="0034647F" w14:paraId="7CEE9FFC" w14:textId="77777777" w:rsidTr="0034647F">
        <w:tc>
          <w:tcPr>
            <w:tcW w:w="5528" w:type="dxa"/>
            <w:vAlign w:val="center"/>
          </w:tcPr>
          <w:p w14:paraId="56537CB4"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5BE3EDC4"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Vegetables</w:t>
            </w:r>
          </w:p>
        </w:tc>
        <w:tc>
          <w:tcPr>
            <w:tcW w:w="1824" w:type="dxa"/>
            <w:vAlign w:val="center"/>
          </w:tcPr>
          <w:p w14:paraId="52255304"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0.50</w:t>
            </w:r>
          </w:p>
        </w:tc>
      </w:tr>
      <w:tr w:rsidR="008221AB" w:rsidRPr="0034647F" w14:paraId="6A6136C0" w14:textId="77777777" w:rsidTr="0034647F">
        <w:tc>
          <w:tcPr>
            <w:tcW w:w="5528" w:type="dxa"/>
            <w:vAlign w:val="center"/>
          </w:tcPr>
          <w:p w14:paraId="697C7716"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66F18099"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Rice</w:t>
            </w:r>
          </w:p>
        </w:tc>
        <w:tc>
          <w:tcPr>
            <w:tcW w:w="1824" w:type="dxa"/>
            <w:vAlign w:val="center"/>
          </w:tcPr>
          <w:p w14:paraId="59DF6637"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0.57</w:t>
            </w:r>
          </w:p>
        </w:tc>
      </w:tr>
      <w:tr w:rsidR="008221AB" w:rsidRPr="0034647F" w14:paraId="3D19CE89" w14:textId="77777777" w:rsidTr="0034647F">
        <w:tc>
          <w:tcPr>
            <w:tcW w:w="5528" w:type="dxa"/>
            <w:vAlign w:val="center"/>
          </w:tcPr>
          <w:p w14:paraId="2E7E5DBC"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40DEC40C"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Nuts and seeds</w:t>
            </w:r>
          </w:p>
        </w:tc>
        <w:tc>
          <w:tcPr>
            <w:tcW w:w="1824" w:type="dxa"/>
            <w:vAlign w:val="center"/>
          </w:tcPr>
          <w:p w14:paraId="3D13D687"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0.58</w:t>
            </w:r>
          </w:p>
        </w:tc>
      </w:tr>
      <w:tr w:rsidR="008221AB" w:rsidRPr="0034647F" w14:paraId="63119BCD" w14:textId="77777777" w:rsidTr="0034647F">
        <w:tc>
          <w:tcPr>
            <w:tcW w:w="5528" w:type="dxa"/>
            <w:vAlign w:val="center"/>
          </w:tcPr>
          <w:p w14:paraId="22154147"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2475FCAA"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Fish and seafood</w:t>
            </w:r>
          </w:p>
        </w:tc>
        <w:tc>
          <w:tcPr>
            <w:tcW w:w="1824" w:type="dxa"/>
            <w:vAlign w:val="center"/>
          </w:tcPr>
          <w:p w14:paraId="5D6ABE41"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0.66</w:t>
            </w:r>
          </w:p>
        </w:tc>
      </w:tr>
      <w:tr w:rsidR="008221AB" w:rsidRPr="0034647F" w14:paraId="4EBD0448" w14:textId="77777777" w:rsidTr="0034647F">
        <w:tc>
          <w:tcPr>
            <w:tcW w:w="5528" w:type="dxa"/>
            <w:vAlign w:val="center"/>
          </w:tcPr>
          <w:p w14:paraId="3592FFA9"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6366B75B"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Tea and coffee</w:t>
            </w:r>
          </w:p>
        </w:tc>
        <w:tc>
          <w:tcPr>
            <w:tcW w:w="1824" w:type="dxa"/>
            <w:vAlign w:val="center"/>
          </w:tcPr>
          <w:p w14:paraId="76950A67"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0.79</w:t>
            </w:r>
          </w:p>
        </w:tc>
      </w:tr>
      <w:tr w:rsidR="008221AB" w:rsidRPr="0034647F" w14:paraId="4D9D3B07" w14:textId="77777777" w:rsidTr="0034647F">
        <w:tc>
          <w:tcPr>
            <w:tcW w:w="5528" w:type="dxa"/>
            <w:vAlign w:val="center"/>
          </w:tcPr>
          <w:p w14:paraId="445A2987"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51F8050C"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Dairy products</w:t>
            </w:r>
          </w:p>
        </w:tc>
        <w:tc>
          <w:tcPr>
            <w:tcW w:w="1824" w:type="dxa"/>
            <w:vAlign w:val="center"/>
          </w:tcPr>
          <w:p w14:paraId="32E67181"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0.82</w:t>
            </w:r>
          </w:p>
        </w:tc>
      </w:tr>
    </w:tbl>
    <w:p w14:paraId="23EE5B3A" w14:textId="77777777" w:rsidR="008221AB" w:rsidRDefault="008221AB" w:rsidP="008221AB">
      <w:pPr>
        <w:pStyle w:val="p1"/>
        <w:spacing w:before="0" w:beforeAutospacing="0" w:after="0" w:afterAutospacing="0"/>
        <w:jc w:val="both"/>
        <w:rPr>
          <w:rFonts w:ascii="Arial" w:hAnsi="Arial" w:cs="Arial"/>
          <w:sz w:val="18"/>
          <w:szCs w:val="18"/>
        </w:rPr>
      </w:pPr>
      <w:r w:rsidRPr="008221AB">
        <w:rPr>
          <w:rFonts w:ascii="Arial" w:hAnsi="Arial" w:cs="Arial"/>
          <w:i/>
          <w:iCs/>
          <w:sz w:val="18"/>
          <w:szCs w:val="18"/>
        </w:rPr>
        <w:t>Principal component analysis was based on the NiDST food-group intake variables. Only food groups with absolute rotated factor loadings ≥0.40 are presented. Positive loadings indicate direct contribution to the dietary pattern, whereas negative loadings indicate inverse contribution. Where a food group cross-loaded on more than one component, it was assigned to the component with the larger absolute</w:t>
      </w:r>
      <w:r w:rsidRPr="008221AB">
        <w:rPr>
          <w:rFonts w:ascii="Arial" w:hAnsi="Arial" w:cs="Arial"/>
          <w:sz w:val="18"/>
          <w:szCs w:val="18"/>
        </w:rPr>
        <w:t xml:space="preserve"> loading. KMO=0.817; Bartlett’s test of sphericity, </w:t>
      </w:r>
      <w:r w:rsidRPr="008221AB">
        <w:rPr>
          <w:rStyle w:val="s1"/>
          <w:rFonts w:ascii="Arial" w:hAnsi="Arial" w:cs="Arial"/>
          <w:i/>
          <w:iCs/>
          <w:sz w:val="18"/>
          <w:szCs w:val="18"/>
        </w:rPr>
        <w:t>p</w:t>
      </w:r>
      <w:r w:rsidRPr="008221AB">
        <w:rPr>
          <w:rFonts w:ascii="Arial" w:hAnsi="Arial" w:cs="Arial"/>
          <w:sz w:val="18"/>
          <w:szCs w:val="18"/>
        </w:rPr>
        <w:t>&lt;0.001. The retained three-component solution explained 50.8% of the total variance.</w:t>
      </w:r>
    </w:p>
    <w:p w14:paraId="0A2E9831" w14:textId="77777777" w:rsidR="003A1B77" w:rsidRPr="008221AB" w:rsidRDefault="003A1B77" w:rsidP="008221AB">
      <w:pPr>
        <w:pStyle w:val="p1"/>
        <w:spacing w:before="0" w:beforeAutospacing="0" w:after="0" w:afterAutospacing="0"/>
        <w:jc w:val="both"/>
        <w:rPr>
          <w:rFonts w:ascii="Arial" w:hAnsi="Arial" w:cs="Arial"/>
          <w:sz w:val="18"/>
          <w:szCs w:val="18"/>
        </w:rPr>
      </w:pPr>
    </w:p>
    <w:p w14:paraId="3891344B" w14:textId="77777777" w:rsidR="00D065D9" w:rsidRPr="00B85224" w:rsidRDefault="00000000">
      <w:pPr>
        <w:jc w:val="center"/>
        <w:rPr>
          <w:rFonts w:ascii="Arial" w:hAnsi="Arial" w:cs="Arial"/>
        </w:rPr>
      </w:pPr>
      <w:r w:rsidRPr="00B85224">
        <w:rPr>
          <w:rFonts w:ascii="Arial" w:hAnsi="Arial" w:cs="Arial"/>
          <w:noProof/>
        </w:rPr>
        <w:drawing>
          <wp:inline distT="0" distB="0" distL="0" distR="0" wp14:anchorId="19263F2A" wp14:editId="6B51DAB0">
            <wp:extent cx="5120640" cy="315826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2_1_scree_parallel.png"/>
                    <pic:cNvPicPr/>
                  </pic:nvPicPr>
                  <pic:blipFill>
                    <a:blip r:embed="rId8"/>
                    <a:stretch>
                      <a:fillRect/>
                    </a:stretch>
                  </pic:blipFill>
                  <pic:spPr>
                    <a:xfrm>
                      <a:off x="0" y="0"/>
                      <a:ext cx="5120640" cy="3158269"/>
                    </a:xfrm>
                    <a:prstGeom prst="rect">
                      <a:avLst/>
                    </a:prstGeom>
                  </pic:spPr>
                </pic:pic>
              </a:graphicData>
            </a:graphic>
          </wp:inline>
        </w:drawing>
      </w:r>
    </w:p>
    <w:p w14:paraId="358FE655" w14:textId="77777777" w:rsidR="00D065D9" w:rsidRPr="00B85224" w:rsidRDefault="00000000">
      <w:pPr>
        <w:jc w:val="center"/>
        <w:rPr>
          <w:rFonts w:ascii="Arial" w:hAnsi="Arial" w:cs="Arial"/>
        </w:rPr>
      </w:pPr>
      <w:r w:rsidRPr="00B85224">
        <w:rPr>
          <w:rFonts w:ascii="Arial" w:hAnsi="Arial" w:cs="Arial"/>
          <w:sz w:val="18"/>
        </w:rPr>
        <w:t>Fig</w:t>
      </w:r>
      <w:r w:rsidR="00E73B2B">
        <w:rPr>
          <w:rFonts w:ascii="Arial" w:hAnsi="Arial" w:cs="Arial"/>
          <w:sz w:val="18"/>
        </w:rPr>
        <w:t>ure</w:t>
      </w:r>
      <w:r w:rsidRPr="00B85224">
        <w:rPr>
          <w:rFonts w:ascii="Arial" w:hAnsi="Arial" w:cs="Arial"/>
          <w:sz w:val="18"/>
        </w:rPr>
        <w:t xml:space="preserve"> 1. Scree plot and parallel analysis for component retention</w:t>
      </w:r>
    </w:p>
    <w:p w14:paraId="6C84107C" w14:textId="77777777" w:rsidR="00D065D9" w:rsidRPr="00EA4B67" w:rsidRDefault="00000000">
      <w:pPr>
        <w:spacing w:before="160" w:after="100"/>
        <w:rPr>
          <w:rFonts w:ascii="Arial" w:hAnsi="Arial" w:cs="Arial"/>
        </w:rPr>
      </w:pPr>
      <w:r w:rsidRPr="00EA4B67">
        <w:rPr>
          <w:rFonts w:ascii="Arial" w:hAnsi="Arial" w:cs="Arial"/>
          <w:b/>
          <w:sz w:val="20"/>
        </w:rPr>
        <w:t xml:space="preserve">3.1.6 </w:t>
      </w:r>
      <w:r w:rsidR="00EA4B67" w:rsidRPr="00EA4B67">
        <w:rPr>
          <w:rFonts w:ascii="Arial" w:hAnsi="Arial" w:cs="Arial"/>
          <w:b/>
          <w:sz w:val="20"/>
        </w:rPr>
        <w:t>Dietary Pattern Adherence and Distribution According to CCA Burden</w:t>
      </w:r>
    </w:p>
    <w:p w14:paraId="21795B70" w14:textId="77777777" w:rsidR="00EA4B67" w:rsidRPr="00EA4B67" w:rsidRDefault="00EA4B67" w:rsidP="00433F4C">
      <w:pPr>
        <w:spacing w:before="120" w:after="80"/>
        <w:jc w:val="both"/>
        <w:rPr>
          <w:rFonts w:ascii="Arial" w:hAnsi="Arial" w:cs="Arial"/>
          <w:sz w:val="20"/>
        </w:rPr>
      </w:pPr>
      <w:r w:rsidRPr="00EA4B67">
        <w:rPr>
          <w:rFonts w:ascii="Arial" w:hAnsi="Arial" w:cs="Arial"/>
          <w:sz w:val="20"/>
        </w:rPr>
        <w:t xml:space="preserve">Table </w:t>
      </w:r>
      <w:r w:rsidR="00BE25F5">
        <w:rPr>
          <w:rFonts w:ascii="Arial" w:hAnsi="Arial" w:cs="Arial"/>
          <w:sz w:val="20"/>
        </w:rPr>
        <w:t>7</w:t>
      </w:r>
      <w:r w:rsidRPr="00EA4B67">
        <w:rPr>
          <w:rFonts w:ascii="Arial" w:hAnsi="Arial" w:cs="Arial"/>
          <w:sz w:val="20"/>
        </w:rPr>
        <w:t xml:space="preserve"> presents dietary-pattern scores, high-adherence prevalence, and predominant dietary-pattern distribution according to clustered cardiometabolic abnormality (CCA) burden. Participants with higher CCA burden had significantly higher scores for Pattern 1, the fried/fast food–high-fat–dessert/soft drink–alcohol pattern, than those with lower CCA burden (0.17 ± 1.10 vs −0.29 ± 0.74; p&lt;.001). High adherence to Pattern 1 was also more frequent among participants with higher CCA burden than among those with lower burden [130 (43.8%) vs 29 (16.1%); p&lt;.001].</w:t>
      </w:r>
      <w:r>
        <w:rPr>
          <w:rFonts w:ascii="Arial" w:hAnsi="Arial" w:cs="Arial"/>
          <w:sz w:val="20"/>
        </w:rPr>
        <w:t xml:space="preserve"> </w:t>
      </w:r>
      <w:r w:rsidRPr="00EA4B67">
        <w:rPr>
          <w:rFonts w:ascii="Arial" w:hAnsi="Arial" w:cs="Arial"/>
          <w:sz w:val="20"/>
        </w:rPr>
        <w:t>In contrast, Pattern 2, the grain–legume–lean meat pattern, was more strongly represented among participants with lower CCA burden. Mean Pattern 2 scores were higher in the lower-burden group than in the higher-burden group (0.24 ± 0.88 vs −0.14 ± 1.05; p=.005). Similarly, high adherence to Pattern 2 was more common among participants with lower CCA burden [81 (45.0%) vs 78 (26.3%); p=.009].</w:t>
      </w:r>
    </w:p>
    <w:p w14:paraId="47B58ADD" w14:textId="77777777" w:rsidR="00EA4B67" w:rsidRDefault="00433F4C" w:rsidP="00433F4C">
      <w:pPr>
        <w:spacing w:before="120" w:after="80"/>
        <w:jc w:val="both"/>
        <w:rPr>
          <w:rFonts w:ascii="Arial" w:hAnsi="Arial" w:cs="Arial"/>
          <w:sz w:val="20"/>
        </w:rPr>
      </w:pPr>
      <w:r>
        <w:rPr>
          <w:rFonts w:ascii="Arial" w:hAnsi="Arial" w:cs="Arial"/>
          <w:sz w:val="20"/>
        </w:rPr>
        <w:t>Similarly, f</w:t>
      </w:r>
      <w:r w:rsidR="00EA4B67" w:rsidRPr="00EA4B67">
        <w:rPr>
          <w:rFonts w:ascii="Arial" w:hAnsi="Arial" w:cs="Arial"/>
          <w:sz w:val="20"/>
        </w:rPr>
        <w:t>or Pattern 3, the fruit/vegetable–fish–nuts–dairy–tea/coffee pattern, mean scores did not differ significantly between participants with lower and higher CCA burden (−0.12 ± 0.96 vs 0.07 ± 1.02; p=.160). Likewise, high adherence to Pattern 3 was not significantly different between the two groups [52 (28.9%) vs 107 (36.0%); p=.323].</w:t>
      </w:r>
      <w:r>
        <w:rPr>
          <w:rFonts w:ascii="Arial" w:hAnsi="Arial" w:cs="Arial"/>
          <w:sz w:val="20"/>
        </w:rPr>
        <w:t xml:space="preserve"> </w:t>
      </w:r>
      <w:r w:rsidR="00EA4B67" w:rsidRPr="00EA4B67">
        <w:rPr>
          <w:rFonts w:ascii="Arial" w:hAnsi="Arial" w:cs="Arial"/>
          <w:sz w:val="20"/>
        </w:rPr>
        <w:t>The distribution of predominant dietary patterns also differed significantly according to CCA burden (global p&lt;.001). Pattern 1 was the predominant dietary pattern among 158 (53.2%) participants with higher CCA burden compared with 45 (25.0%) participants with lower burden. Conversely, Pattern 2 predominated among 110 (61.1%) participants with lower CCA burden compared with 74 (24.9%) participants with higher burden. Pattern 3 was predominant among 65 (21.9%) participants with higher CCA burden and 25 (13.9%) of those with lower burden.</w:t>
      </w:r>
      <w:r>
        <w:rPr>
          <w:rFonts w:ascii="Arial" w:hAnsi="Arial" w:cs="Arial"/>
          <w:sz w:val="20"/>
        </w:rPr>
        <w:t xml:space="preserve"> </w:t>
      </w:r>
      <w:r w:rsidR="00EA4B67" w:rsidRPr="00EA4B67">
        <w:rPr>
          <w:rFonts w:ascii="Arial" w:hAnsi="Arial" w:cs="Arial"/>
          <w:sz w:val="20"/>
        </w:rPr>
        <w:t>Overall, higher CCA burden was characterised by greater adherence to, and predominance of, the fried/fast food–</w:t>
      </w:r>
      <w:r w:rsidR="00EA4B67" w:rsidRPr="00EA4B67">
        <w:rPr>
          <w:rFonts w:ascii="Arial" w:hAnsi="Arial" w:cs="Arial"/>
          <w:sz w:val="20"/>
        </w:rPr>
        <w:lastRenderedPageBreak/>
        <w:t>high-fat–dessert/soft drink–alcohol dietary pattern, whereas lower CCA burden was more strongly associated with the grain–legume–lean meat dietary pattern.</w:t>
      </w:r>
    </w:p>
    <w:p w14:paraId="1A9D1C73" w14:textId="77777777" w:rsidR="00657749" w:rsidRDefault="00657749" w:rsidP="00EA4B67">
      <w:pPr>
        <w:spacing w:before="120" w:after="80"/>
        <w:rPr>
          <w:rFonts w:ascii="Arial" w:hAnsi="Arial" w:cs="Arial"/>
          <w:b/>
          <w:bCs/>
          <w:sz w:val="20"/>
          <w:szCs w:val="20"/>
        </w:rPr>
      </w:pPr>
      <w:r w:rsidRPr="00657749">
        <w:rPr>
          <w:rFonts w:ascii="Arial" w:hAnsi="Arial" w:cs="Arial"/>
          <w:b/>
          <w:bCs/>
          <w:sz w:val="20"/>
          <w:szCs w:val="20"/>
        </w:rPr>
        <w:t xml:space="preserve">Table </w:t>
      </w:r>
      <w:r w:rsidR="00BE25F5">
        <w:rPr>
          <w:rFonts w:ascii="Arial" w:hAnsi="Arial" w:cs="Arial"/>
          <w:b/>
          <w:bCs/>
          <w:sz w:val="20"/>
          <w:szCs w:val="20"/>
        </w:rPr>
        <w:t>7</w:t>
      </w:r>
      <w:r w:rsidRPr="00657749">
        <w:rPr>
          <w:rFonts w:ascii="Arial" w:hAnsi="Arial" w:cs="Arial"/>
          <w:b/>
          <w:bCs/>
          <w:sz w:val="20"/>
          <w:szCs w:val="20"/>
        </w:rPr>
        <w:t>. Dietary pattern scores and high adherence according to CCA burden among adults in Ikwerre Local Government Area, Rivers State, Nigeria</w:t>
      </w:r>
    </w:p>
    <w:tbl>
      <w:tblPr>
        <w:tblStyle w:val="TableGrid"/>
        <w:tblW w:w="0" w:type="auto"/>
        <w:tblInd w:w="67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7"/>
        <w:gridCol w:w="2078"/>
        <w:gridCol w:w="1669"/>
        <w:gridCol w:w="2331"/>
      </w:tblGrid>
      <w:tr w:rsidR="00DD572E" w:rsidRPr="00E73B2B" w14:paraId="061EBEBC" w14:textId="77777777" w:rsidTr="00EE7CCF">
        <w:tc>
          <w:tcPr>
            <w:tcW w:w="3402" w:type="dxa"/>
            <w:tcBorders>
              <w:top w:val="single" w:sz="4" w:space="0" w:color="auto"/>
              <w:bottom w:val="single" w:sz="4" w:space="0" w:color="auto"/>
            </w:tcBorders>
          </w:tcPr>
          <w:p w14:paraId="18592B4A" w14:textId="77777777" w:rsidR="00DD572E" w:rsidRPr="00E73B2B" w:rsidRDefault="00DD572E" w:rsidP="00DD572E">
            <w:pPr>
              <w:pStyle w:val="p1"/>
              <w:spacing w:before="0" w:beforeAutospacing="0" w:after="0" w:afterAutospacing="0"/>
              <w:contextualSpacing/>
              <w:jc w:val="center"/>
              <w:rPr>
                <w:rFonts w:ascii="Arial" w:hAnsi="Arial" w:cs="Arial"/>
                <w:b/>
                <w:bCs/>
                <w:sz w:val="20"/>
                <w:szCs w:val="20"/>
              </w:rPr>
            </w:pPr>
            <w:r w:rsidRPr="00E73B2B">
              <w:rPr>
                <w:rFonts w:ascii="Arial" w:hAnsi="Arial" w:cs="Arial"/>
                <w:b/>
                <w:bCs/>
                <w:sz w:val="20"/>
                <w:szCs w:val="20"/>
              </w:rPr>
              <w:t>Characteristic</w:t>
            </w:r>
          </w:p>
        </w:tc>
        <w:tc>
          <w:tcPr>
            <w:tcW w:w="2127" w:type="dxa"/>
            <w:tcBorders>
              <w:top w:val="single" w:sz="4" w:space="0" w:color="auto"/>
              <w:bottom w:val="single" w:sz="4" w:space="0" w:color="auto"/>
            </w:tcBorders>
          </w:tcPr>
          <w:p w14:paraId="2FDE829C" w14:textId="77777777" w:rsidR="00DD572E" w:rsidRPr="00E73B2B" w:rsidRDefault="00DD572E" w:rsidP="00E173CF">
            <w:pPr>
              <w:pStyle w:val="p1"/>
              <w:spacing w:before="0" w:beforeAutospacing="0" w:after="0" w:afterAutospacing="0"/>
              <w:contextualSpacing/>
              <w:rPr>
                <w:rFonts w:ascii="Arial" w:hAnsi="Arial" w:cs="Arial"/>
                <w:b/>
                <w:bCs/>
                <w:sz w:val="20"/>
                <w:szCs w:val="20"/>
              </w:rPr>
            </w:pPr>
            <w:r w:rsidRPr="00E73B2B">
              <w:rPr>
                <w:rFonts w:ascii="Arial" w:hAnsi="Arial" w:cs="Arial"/>
                <w:b/>
                <w:bCs/>
                <w:sz w:val="20"/>
                <w:szCs w:val="20"/>
              </w:rPr>
              <w:t>Pattern 1</w:t>
            </w:r>
          </w:p>
        </w:tc>
        <w:tc>
          <w:tcPr>
            <w:tcW w:w="1701" w:type="dxa"/>
            <w:tcBorders>
              <w:top w:val="single" w:sz="4" w:space="0" w:color="auto"/>
              <w:bottom w:val="single" w:sz="4" w:space="0" w:color="auto"/>
            </w:tcBorders>
          </w:tcPr>
          <w:p w14:paraId="06457484" w14:textId="77777777" w:rsidR="00DD572E" w:rsidRPr="00E73B2B" w:rsidRDefault="00DD572E" w:rsidP="00E173CF">
            <w:pPr>
              <w:pStyle w:val="p1"/>
              <w:spacing w:before="0" w:beforeAutospacing="0" w:after="0" w:afterAutospacing="0"/>
              <w:contextualSpacing/>
              <w:rPr>
                <w:rFonts w:ascii="Arial" w:hAnsi="Arial" w:cs="Arial"/>
                <w:b/>
                <w:bCs/>
                <w:sz w:val="20"/>
                <w:szCs w:val="20"/>
              </w:rPr>
            </w:pPr>
            <w:r w:rsidRPr="00E73B2B">
              <w:rPr>
                <w:rFonts w:ascii="Arial" w:hAnsi="Arial" w:cs="Arial"/>
                <w:b/>
                <w:bCs/>
                <w:sz w:val="20"/>
                <w:szCs w:val="20"/>
              </w:rPr>
              <w:t>Pattern 2</w:t>
            </w:r>
          </w:p>
        </w:tc>
        <w:tc>
          <w:tcPr>
            <w:tcW w:w="2391" w:type="dxa"/>
            <w:tcBorders>
              <w:top w:val="single" w:sz="4" w:space="0" w:color="auto"/>
              <w:bottom w:val="single" w:sz="4" w:space="0" w:color="auto"/>
            </w:tcBorders>
          </w:tcPr>
          <w:p w14:paraId="31939743" w14:textId="77777777" w:rsidR="00DD572E" w:rsidRPr="00E73B2B" w:rsidRDefault="00DD572E" w:rsidP="00E173CF">
            <w:pPr>
              <w:pStyle w:val="p1"/>
              <w:spacing w:before="0" w:beforeAutospacing="0" w:after="0" w:afterAutospacing="0"/>
              <w:contextualSpacing/>
              <w:rPr>
                <w:rFonts w:ascii="Arial" w:hAnsi="Arial" w:cs="Arial"/>
                <w:b/>
                <w:bCs/>
                <w:sz w:val="20"/>
                <w:szCs w:val="20"/>
              </w:rPr>
            </w:pPr>
            <w:r w:rsidRPr="00E73B2B">
              <w:rPr>
                <w:rFonts w:ascii="Arial" w:hAnsi="Arial" w:cs="Arial"/>
                <w:b/>
                <w:bCs/>
                <w:sz w:val="20"/>
                <w:szCs w:val="20"/>
              </w:rPr>
              <w:t>Pattern 3</w:t>
            </w:r>
          </w:p>
        </w:tc>
      </w:tr>
      <w:tr w:rsidR="00DD572E" w:rsidRPr="00E73B2B" w14:paraId="4AC922A6" w14:textId="77777777" w:rsidTr="00E173CF">
        <w:tc>
          <w:tcPr>
            <w:tcW w:w="9621" w:type="dxa"/>
            <w:gridSpan w:val="4"/>
            <w:tcBorders>
              <w:top w:val="single" w:sz="4" w:space="0" w:color="auto"/>
            </w:tcBorders>
            <w:vAlign w:val="center"/>
          </w:tcPr>
          <w:p w14:paraId="6487DA28" w14:textId="77777777" w:rsidR="00DD572E" w:rsidRPr="00E73B2B" w:rsidRDefault="00DD572E" w:rsidP="00DD572E">
            <w:pPr>
              <w:contextualSpacing/>
              <w:rPr>
                <w:rFonts w:ascii="Arial" w:hAnsi="Arial" w:cs="Arial"/>
                <w:sz w:val="20"/>
                <w:szCs w:val="20"/>
              </w:rPr>
            </w:pPr>
            <w:r w:rsidRPr="00E73B2B">
              <w:rPr>
                <w:rFonts w:ascii="Arial" w:hAnsi="Arial" w:cs="Arial"/>
                <w:b/>
                <w:bCs/>
                <w:sz w:val="20"/>
                <w:szCs w:val="20"/>
              </w:rPr>
              <w:t>Pattern score, mean ± SD</w:t>
            </w:r>
          </w:p>
        </w:tc>
      </w:tr>
      <w:tr w:rsidR="00DD572E" w:rsidRPr="00E73B2B" w14:paraId="0A1700A5" w14:textId="77777777" w:rsidTr="00EE7CCF">
        <w:tc>
          <w:tcPr>
            <w:tcW w:w="3402" w:type="dxa"/>
            <w:vAlign w:val="center"/>
          </w:tcPr>
          <w:p w14:paraId="21430649" w14:textId="77777777" w:rsidR="00DD572E" w:rsidRPr="00E73B2B" w:rsidRDefault="00DD572E" w:rsidP="00E173CF">
            <w:pPr>
              <w:pStyle w:val="p1"/>
              <w:spacing w:before="0" w:beforeAutospacing="0" w:after="0" w:afterAutospacing="0"/>
              <w:ind w:firstLine="181"/>
              <w:contextualSpacing/>
              <w:rPr>
                <w:rFonts w:ascii="Arial" w:hAnsi="Arial" w:cs="Arial"/>
                <w:sz w:val="20"/>
                <w:szCs w:val="20"/>
              </w:rPr>
            </w:pPr>
            <w:r w:rsidRPr="00E73B2B">
              <w:rPr>
                <w:rFonts w:ascii="Arial" w:hAnsi="Arial" w:cs="Arial"/>
                <w:sz w:val="20"/>
                <w:szCs w:val="20"/>
              </w:rPr>
              <w:t>Overall</w:t>
            </w:r>
          </w:p>
        </w:tc>
        <w:tc>
          <w:tcPr>
            <w:tcW w:w="2127" w:type="dxa"/>
            <w:vAlign w:val="center"/>
          </w:tcPr>
          <w:p w14:paraId="2354D90A"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0.00 ± 1.00</w:t>
            </w:r>
          </w:p>
        </w:tc>
        <w:tc>
          <w:tcPr>
            <w:tcW w:w="1701" w:type="dxa"/>
            <w:vAlign w:val="center"/>
          </w:tcPr>
          <w:p w14:paraId="09172928"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0.00 ± 1.00</w:t>
            </w:r>
          </w:p>
        </w:tc>
        <w:tc>
          <w:tcPr>
            <w:tcW w:w="2391" w:type="dxa"/>
            <w:vAlign w:val="center"/>
          </w:tcPr>
          <w:p w14:paraId="589292CF"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0.00 ± 1.00</w:t>
            </w:r>
          </w:p>
        </w:tc>
      </w:tr>
      <w:tr w:rsidR="00DD572E" w:rsidRPr="00E73B2B" w14:paraId="0C583EAA" w14:textId="77777777" w:rsidTr="00EE7CCF">
        <w:tc>
          <w:tcPr>
            <w:tcW w:w="3402" w:type="dxa"/>
            <w:vAlign w:val="center"/>
          </w:tcPr>
          <w:p w14:paraId="2F806D91" w14:textId="77777777" w:rsidR="00DD572E" w:rsidRPr="00E73B2B" w:rsidRDefault="00DD572E" w:rsidP="00E173CF">
            <w:pPr>
              <w:pStyle w:val="p1"/>
              <w:spacing w:before="0" w:beforeAutospacing="0" w:after="0" w:afterAutospacing="0"/>
              <w:ind w:firstLine="181"/>
              <w:contextualSpacing/>
              <w:rPr>
                <w:rFonts w:ascii="Arial" w:hAnsi="Arial" w:cs="Arial"/>
                <w:sz w:val="20"/>
                <w:szCs w:val="20"/>
              </w:rPr>
            </w:pPr>
            <w:r w:rsidRPr="00E73B2B">
              <w:rPr>
                <w:rFonts w:ascii="Arial" w:hAnsi="Arial" w:cs="Arial"/>
                <w:sz w:val="20"/>
                <w:szCs w:val="20"/>
              </w:rPr>
              <w:t>Lower CCA burden (n=180)</w:t>
            </w:r>
          </w:p>
        </w:tc>
        <w:tc>
          <w:tcPr>
            <w:tcW w:w="2127" w:type="dxa"/>
            <w:vAlign w:val="center"/>
          </w:tcPr>
          <w:p w14:paraId="6CF83348"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−0.29 ± 0.74</w:t>
            </w:r>
          </w:p>
        </w:tc>
        <w:tc>
          <w:tcPr>
            <w:tcW w:w="1701" w:type="dxa"/>
            <w:vAlign w:val="center"/>
          </w:tcPr>
          <w:p w14:paraId="08D448AC"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0.24 ± 0.88</w:t>
            </w:r>
          </w:p>
        </w:tc>
        <w:tc>
          <w:tcPr>
            <w:tcW w:w="2391" w:type="dxa"/>
            <w:vAlign w:val="center"/>
          </w:tcPr>
          <w:p w14:paraId="52F4972B"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−0.12 ± 0.96</w:t>
            </w:r>
          </w:p>
        </w:tc>
      </w:tr>
      <w:tr w:rsidR="00DD572E" w:rsidRPr="00E73B2B" w14:paraId="7A70A306" w14:textId="77777777" w:rsidTr="00EE7CCF">
        <w:tc>
          <w:tcPr>
            <w:tcW w:w="3402" w:type="dxa"/>
            <w:vAlign w:val="center"/>
          </w:tcPr>
          <w:p w14:paraId="3068C4C5" w14:textId="77777777" w:rsidR="00DD572E" w:rsidRPr="00E73B2B" w:rsidRDefault="00DD572E" w:rsidP="00E173CF">
            <w:pPr>
              <w:pStyle w:val="p1"/>
              <w:spacing w:before="0" w:beforeAutospacing="0" w:after="0" w:afterAutospacing="0"/>
              <w:ind w:firstLine="181"/>
              <w:contextualSpacing/>
              <w:rPr>
                <w:rFonts w:ascii="Arial" w:hAnsi="Arial" w:cs="Arial"/>
                <w:sz w:val="20"/>
                <w:szCs w:val="20"/>
              </w:rPr>
            </w:pPr>
            <w:r w:rsidRPr="00E73B2B">
              <w:rPr>
                <w:rFonts w:ascii="Arial" w:hAnsi="Arial" w:cs="Arial"/>
                <w:sz w:val="20"/>
                <w:szCs w:val="20"/>
              </w:rPr>
              <w:t>Higher CCA burden (n=297)</w:t>
            </w:r>
          </w:p>
        </w:tc>
        <w:tc>
          <w:tcPr>
            <w:tcW w:w="2127" w:type="dxa"/>
            <w:vAlign w:val="center"/>
          </w:tcPr>
          <w:p w14:paraId="3E517835"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0.17 ± 1.10</w:t>
            </w:r>
          </w:p>
        </w:tc>
        <w:tc>
          <w:tcPr>
            <w:tcW w:w="1701" w:type="dxa"/>
            <w:vAlign w:val="center"/>
          </w:tcPr>
          <w:p w14:paraId="567D5D66"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−0.14 ± 1.05</w:t>
            </w:r>
          </w:p>
        </w:tc>
        <w:tc>
          <w:tcPr>
            <w:tcW w:w="2391" w:type="dxa"/>
            <w:vAlign w:val="center"/>
          </w:tcPr>
          <w:p w14:paraId="2274EB39"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0.07 ± 1.02</w:t>
            </w:r>
          </w:p>
        </w:tc>
      </w:tr>
      <w:tr w:rsidR="00DD572E" w:rsidRPr="00E73B2B" w14:paraId="3F26604B" w14:textId="77777777" w:rsidTr="00EE7CCF">
        <w:tc>
          <w:tcPr>
            <w:tcW w:w="3402" w:type="dxa"/>
            <w:vAlign w:val="center"/>
          </w:tcPr>
          <w:p w14:paraId="4E2B1BA8" w14:textId="77777777" w:rsidR="00DD572E" w:rsidRPr="00E73B2B" w:rsidRDefault="00DD572E" w:rsidP="00E173CF">
            <w:pPr>
              <w:pStyle w:val="p1"/>
              <w:spacing w:before="0" w:beforeAutospacing="0" w:after="0" w:afterAutospacing="0"/>
              <w:ind w:firstLine="181"/>
              <w:contextualSpacing/>
              <w:rPr>
                <w:rStyle w:val="s2"/>
                <w:rFonts w:ascii="Arial" w:hAnsi="Arial" w:cs="Arial"/>
                <w:sz w:val="20"/>
                <w:szCs w:val="20"/>
              </w:rPr>
            </w:pPr>
            <w:r w:rsidRPr="00E73B2B">
              <w:rPr>
                <w:rFonts w:ascii="Arial" w:hAnsi="Arial" w:cs="Arial"/>
                <w:i/>
                <w:iCs/>
                <w:sz w:val="20"/>
                <w:szCs w:val="20"/>
              </w:rPr>
              <w:t>P</w:t>
            </w:r>
            <w:r w:rsidRPr="00E73B2B">
              <w:rPr>
                <w:rStyle w:val="s2"/>
                <w:rFonts w:ascii="Arial" w:hAnsi="Arial" w:cs="Arial"/>
                <w:sz w:val="20"/>
                <w:szCs w:val="20"/>
              </w:rPr>
              <w:t>-value</w:t>
            </w:r>
          </w:p>
        </w:tc>
        <w:tc>
          <w:tcPr>
            <w:tcW w:w="2127" w:type="dxa"/>
            <w:vAlign w:val="center"/>
          </w:tcPr>
          <w:p w14:paraId="66D0ED3F"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b/>
                <w:bCs/>
                <w:sz w:val="20"/>
                <w:szCs w:val="20"/>
              </w:rPr>
              <w:t>&lt;.001</w:t>
            </w:r>
          </w:p>
        </w:tc>
        <w:tc>
          <w:tcPr>
            <w:tcW w:w="1701" w:type="dxa"/>
            <w:vAlign w:val="center"/>
          </w:tcPr>
          <w:p w14:paraId="782A7555"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b/>
                <w:bCs/>
                <w:sz w:val="20"/>
                <w:szCs w:val="20"/>
              </w:rPr>
              <w:t>.005</w:t>
            </w:r>
          </w:p>
        </w:tc>
        <w:tc>
          <w:tcPr>
            <w:tcW w:w="2391" w:type="dxa"/>
            <w:vAlign w:val="center"/>
          </w:tcPr>
          <w:p w14:paraId="0FE429DB"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.160</w:t>
            </w:r>
          </w:p>
        </w:tc>
      </w:tr>
      <w:tr w:rsidR="00E173CF" w:rsidRPr="00E73B2B" w14:paraId="20FAC180" w14:textId="77777777" w:rsidTr="00EE7CCF">
        <w:tc>
          <w:tcPr>
            <w:tcW w:w="3402" w:type="dxa"/>
            <w:vAlign w:val="center"/>
          </w:tcPr>
          <w:p w14:paraId="3E48FDC1" w14:textId="77777777" w:rsidR="00E173CF" w:rsidRPr="00E73B2B" w:rsidRDefault="00E173CF" w:rsidP="00DD572E">
            <w:pPr>
              <w:pStyle w:val="p1"/>
              <w:spacing w:before="0" w:beforeAutospacing="0" w:after="0" w:afterAutospacing="0"/>
              <w:contextualSpacing/>
              <w:rPr>
                <w:rFonts w:ascii="Arial" w:hAnsi="Arial" w:cs="Arial"/>
                <w:i/>
                <w:iCs/>
                <w:sz w:val="20"/>
                <w:szCs w:val="20"/>
              </w:rPr>
            </w:pPr>
          </w:p>
        </w:tc>
        <w:tc>
          <w:tcPr>
            <w:tcW w:w="2127" w:type="dxa"/>
            <w:vAlign w:val="center"/>
          </w:tcPr>
          <w:p w14:paraId="113BAD28" w14:textId="77777777" w:rsidR="00E173CF" w:rsidRPr="00E73B2B" w:rsidRDefault="00E173CF" w:rsidP="00DD572E">
            <w:pPr>
              <w:pStyle w:val="p1"/>
              <w:spacing w:before="0" w:beforeAutospacing="0" w:after="0" w:afterAutospacing="0"/>
              <w:contextualSpacing/>
              <w:rPr>
                <w:rFonts w:ascii="Arial" w:hAnsi="Arial" w:cs="Arial"/>
                <w:b/>
                <w:bCs/>
                <w:sz w:val="20"/>
                <w:szCs w:val="20"/>
              </w:rPr>
            </w:pPr>
          </w:p>
        </w:tc>
        <w:tc>
          <w:tcPr>
            <w:tcW w:w="1701" w:type="dxa"/>
            <w:vAlign w:val="center"/>
          </w:tcPr>
          <w:p w14:paraId="396E9B6B" w14:textId="77777777" w:rsidR="00E173CF" w:rsidRPr="00E73B2B" w:rsidRDefault="00E173CF" w:rsidP="00DD572E">
            <w:pPr>
              <w:pStyle w:val="p1"/>
              <w:spacing w:before="0" w:beforeAutospacing="0" w:after="0" w:afterAutospacing="0"/>
              <w:contextualSpacing/>
              <w:rPr>
                <w:rFonts w:ascii="Arial" w:hAnsi="Arial" w:cs="Arial"/>
                <w:b/>
                <w:bCs/>
                <w:sz w:val="20"/>
                <w:szCs w:val="20"/>
              </w:rPr>
            </w:pPr>
          </w:p>
        </w:tc>
        <w:tc>
          <w:tcPr>
            <w:tcW w:w="2391" w:type="dxa"/>
            <w:vAlign w:val="center"/>
          </w:tcPr>
          <w:p w14:paraId="634D2113" w14:textId="77777777" w:rsidR="00E173CF" w:rsidRPr="00E73B2B" w:rsidRDefault="00E173CF" w:rsidP="00DD572E">
            <w:pPr>
              <w:pStyle w:val="p1"/>
              <w:spacing w:before="0" w:beforeAutospacing="0" w:after="0" w:afterAutospacing="0"/>
              <w:contextualSpacing/>
              <w:rPr>
                <w:rFonts w:ascii="Arial" w:hAnsi="Arial" w:cs="Arial"/>
                <w:sz w:val="20"/>
                <w:szCs w:val="20"/>
              </w:rPr>
            </w:pPr>
          </w:p>
        </w:tc>
      </w:tr>
      <w:tr w:rsidR="00DD572E" w:rsidRPr="00E73B2B" w14:paraId="3A59D724" w14:textId="77777777" w:rsidTr="00E173CF">
        <w:tc>
          <w:tcPr>
            <w:tcW w:w="9621" w:type="dxa"/>
            <w:gridSpan w:val="4"/>
            <w:vAlign w:val="center"/>
          </w:tcPr>
          <w:p w14:paraId="4EDE1F0B" w14:textId="77777777" w:rsidR="00DD572E" w:rsidRPr="00E73B2B" w:rsidRDefault="00DD572E" w:rsidP="00DD572E">
            <w:pPr>
              <w:contextualSpacing/>
              <w:rPr>
                <w:rFonts w:ascii="Arial" w:hAnsi="Arial" w:cs="Arial"/>
                <w:sz w:val="20"/>
                <w:szCs w:val="20"/>
              </w:rPr>
            </w:pPr>
            <w:r w:rsidRPr="00E73B2B">
              <w:rPr>
                <w:rFonts w:ascii="Arial" w:hAnsi="Arial" w:cs="Arial"/>
                <w:b/>
                <w:bCs/>
                <w:sz w:val="20"/>
                <w:szCs w:val="20"/>
              </w:rPr>
              <w:t>High adherence, n (%)</w:t>
            </w:r>
          </w:p>
        </w:tc>
      </w:tr>
      <w:tr w:rsidR="00DD572E" w:rsidRPr="00E73B2B" w14:paraId="353F50C5" w14:textId="77777777" w:rsidTr="00EE7CCF">
        <w:tc>
          <w:tcPr>
            <w:tcW w:w="3402" w:type="dxa"/>
            <w:vAlign w:val="center"/>
          </w:tcPr>
          <w:p w14:paraId="239F5A5E" w14:textId="77777777" w:rsidR="00DD572E" w:rsidRPr="00E73B2B" w:rsidRDefault="00DD572E" w:rsidP="00E173CF">
            <w:pPr>
              <w:pStyle w:val="p1"/>
              <w:spacing w:before="0" w:beforeAutospacing="0" w:after="0" w:afterAutospacing="0"/>
              <w:ind w:firstLine="181"/>
              <w:contextualSpacing/>
              <w:rPr>
                <w:rFonts w:ascii="Arial" w:hAnsi="Arial" w:cs="Arial"/>
                <w:sz w:val="20"/>
                <w:szCs w:val="20"/>
              </w:rPr>
            </w:pPr>
            <w:r w:rsidRPr="00E73B2B">
              <w:rPr>
                <w:rFonts w:ascii="Arial" w:hAnsi="Arial" w:cs="Arial"/>
                <w:sz w:val="20"/>
                <w:szCs w:val="20"/>
              </w:rPr>
              <w:t>Overall</w:t>
            </w:r>
          </w:p>
        </w:tc>
        <w:tc>
          <w:tcPr>
            <w:tcW w:w="2127" w:type="dxa"/>
            <w:vAlign w:val="center"/>
          </w:tcPr>
          <w:p w14:paraId="335A9D45"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159 (33.3)</w:t>
            </w:r>
          </w:p>
        </w:tc>
        <w:tc>
          <w:tcPr>
            <w:tcW w:w="1701" w:type="dxa"/>
            <w:vAlign w:val="center"/>
          </w:tcPr>
          <w:p w14:paraId="365020BB"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159 (33.3)</w:t>
            </w:r>
          </w:p>
        </w:tc>
        <w:tc>
          <w:tcPr>
            <w:tcW w:w="2391" w:type="dxa"/>
            <w:vAlign w:val="center"/>
          </w:tcPr>
          <w:p w14:paraId="3B047668"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159 (33.3)</w:t>
            </w:r>
          </w:p>
        </w:tc>
      </w:tr>
      <w:tr w:rsidR="00DD572E" w:rsidRPr="00E73B2B" w14:paraId="27D64F04" w14:textId="77777777" w:rsidTr="00EE7CCF">
        <w:tc>
          <w:tcPr>
            <w:tcW w:w="3402" w:type="dxa"/>
            <w:vAlign w:val="center"/>
          </w:tcPr>
          <w:p w14:paraId="590A5900" w14:textId="77777777" w:rsidR="00DD572E" w:rsidRPr="00E73B2B" w:rsidRDefault="00DD572E" w:rsidP="00E173CF">
            <w:pPr>
              <w:pStyle w:val="p1"/>
              <w:spacing w:before="0" w:beforeAutospacing="0" w:after="0" w:afterAutospacing="0"/>
              <w:ind w:firstLine="181"/>
              <w:contextualSpacing/>
              <w:rPr>
                <w:rFonts w:ascii="Arial" w:hAnsi="Arial" w:cs="Arial"/>
                <w:sz w:val="20"/>
                <w:szCs w:val="20"/>
              </w:rPr>
            </w:pPr>
            <w:r w:rsidRPr="00E73B2B">
              <w:rPr>
                <w:rFonts w:ascii="Arial" w:hAnsi="Arial" w:cs="Arial"/>
                <w:sz w:val="20"/>
                <w:szCs w:val="20"/>
              </w:rPr>
              <w:t>Lower CCA burden (n=180)</w:t>
            </w:r>
          </w:p>
        </w:tc>
        <w:tc>
          <w:tcPr>
            <w:tcW w:w="2127" w:type="dxa"/>
            <w:vAlign w:val="center"/>
          </w:tcPr>
          <w:p w14:paraId="7D05411E"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29 (16.1)</w:t>
            </w:r>
          </w:p>
        </w:tc>
        <w:tc>
          <w:tcPr>
            <w:tcW w:w="1701" w:type="dxa"/>
            <w:vAlign w:val="center"/>
          </w:tcPr>
          <w:p w14:paraId="4DA02039"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81 (45.0)</w:t>
            </w:r>
          </w:p>
        </w:tc>
        <w:tc>
          <w:tcPr>
            <w:tcW w:w="2391" w:type="dxa"/>
            <w:vAlign w:val="center"/>
          </w:tcPr>
          <w:p w14:paraId="1300FC28"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52 (28.9)</w:t>
            </w:r>
          </w:p>
        </w:tc>
      </w:tr>
      <w:tr w:rsidR="00DD572E" w:rsidRPr="00E73B2B" w14:paraId="6E46289E" w14:textId="77777777" w:rsidTr="00EE7CCF">
        <w:tc>
          <w:tcPr>
            <w:tcW w:w="3402" w:type="dxa"/>
            <w:vAlign w:val="center"/>
          </w:tcPr>
          <w:p w14:paraId="63A2270A" w14:textId="77777777" w:rsidR="00DD572E" w:rsidRPr="00E73B2B" w:rsidRDefault="00DD572E" w:rsidP="00E173CF">
            <w:pPr>
              <w:pStyle w:val="p1"/>
              <w:spacing w:before="0" w:beforeAutospacing="0" w:after="0" w:afterAutospacing="0"/>
              <w:ind w:firstLine="181"/>
              <w:contextualSpacing/>
              <w:rPr>
                <w:rFonts w:ascii="Arial" w:hAnsi="Arial" w:cs="Arial"/>
                <w:sz w:val="20"/>
                <w:szCs w:val="20"/>
              </w:rPr>
            </w:pPr>
            <w:r w:rsidRPr="00E73B2B">
              <w:rPr>
                <w:rFonts w:ascii="Arial" w:hAnsi="Arial" w:cs="Arial"/>
                <w:sz w:val="20"/>
                <w:szCs w:val="20"/>
              </w:rPr>
              <w:t>Higher CCA burden (n=297)</w:t>
            </w:r>
          </w:p>
        </w:tc>
        <w:tc>
          <w:tcPr>
            <w:tcW w:w="2127" w:type="dxa"/>
            <w:vAlign w:val="center"/>
          </w:tcPr>
          <w:p w14:paraId="5EC09BA0"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130 (43.8)</w:t>
            </w:r>
          </w:p>
        </w:tc>
        <w:tc>
          <w:tcPr>
            <w:tcW w:w="1701" w:type="dxa"/>
            <w:vAlign w:val="center"/>
          </w:tcPr>
          <w:p w14:paraId="1E1F1FAB"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78 (26.3)</w:t>
            </w:r>
          </w:p>
        </w:tc>
        <w:tc>
          <w:tcPr>
            <w:tcW w:w="2391" w:type="dxa"/>
            <w:vAlign w:val="center"/>
          </w:tcPr>
          <w:p w14:paraId="2B0EB518"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107 (36.0)</w:t>
            </w:r>
          </w:p>
        </w:tc>
      </w:tr>
      <w:tr w:rsidR="00DD572E" w:rsidRPr="00E73B2B" w14:paraId="12168C0E" w14:textId="77777777" w:rsidTr="00EE7CCF">
        <w:tc>
          <w:tcPr>
            <w:tcW w:w="3402" w:type="dxa"/>
            <w:vAlign w:val="center"/>
          </w:tcPr>
          <w:p w14:paraId="14911981" w14:textId="77777777" w:rsidR="00DD572E" w:rsidRPr="00E73B2B" w:rsidRDefault="00DD572E" w:rsidP="00E173CF">
            <w:pPr>
              <w:pStyle w:val="p1"/>
              <w:spacing w:before="0" w:beforeAutospacing="0" w:after="0" w:afterAutospacing="0"/>
              <w:ind w:firstLine="181"/>
              <w:contextualSpacing/>
              <w:rPr>
                <w:rStyle w:val="s2"/>
                <w:rFonts w:ascii="Arial" w:hAnsi="Arial" w:cs="Arial"/>
                <w:sz w:val="20"/>
                <w:szCs w:val="20"/>
              </w:rPr>
            </w:pPr>
            <w:r w:rsidRPr="00E73B2B">
              <w:rPr>
                <w:rFonts w:ascii="Arial" w:hAnsi="Arial" w:cs="Arial"/>
                <w:i/>
                <w:iCs/>
                <w:sz w:val="20"/>
                <w:szCs w:val="20"/>
              </w:rPr>
              <w:t>P</w:t>
            </w:r>
            <w:r w:rsidRPr="00E73B2B">
              <w:rPr>
                <w:rStyle w:val="s2"/>
                <w:rFonts w:ascii="Arial" w:hAnsi="Arial" w:cs="Arial"/>
                <w:sz w:val="20"/>
                <w:szCs w:val="20"/>
              </w:rPr>
              <w:t>-value</w:t>
            </w:r>
          </w:p>
        </w:tc>
        <w:tc>
          <w:tcPr>
            <w:tcW w:w="2127" w:type="dxa"/>
            <w:vAlign w:val="center"/>
          </w:tcPr>
          <w:p w14:paraId="1D8C371E"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b/>
                <w:bCs/>
                <w:sz w:val="20"/>
                <w:szCs w:val="20"/>
              </w:rPr>
              <w:t>&lt;.001</w:t>
            </w:r>
          </w:p>
        </w:tc>
        <w:tc>
          <w:tcPr>
            <w:tcW w:w="1701" w:type="dxa"/>
            <w:vAlign w:val="center"/>
          </w:tcPr>
          <w:p w14:paraId="272B37CB"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b/>
                <w:bCs/>
                <w:sz w:val="20"/>
                <w:szCs w:val="20"/>
              </w:rPr>
              <w:t>.009</w:t>
            </w:r>
          </w:p>
        </w:tc>
        <w:tc>
          <w:tcPr>
            <w:tcW w:w="2391" w:type="dxa"/>
            <w:vAlign w:val="center"/>
          </w:tcPr>
          <w:p w14:paraId="40081B92"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.323</w:t>
            </w:r>
          </w:p>
        </w:tc>
      </w:tr>
      <w:tr w:rsidR="00EA4B67" w:rsidRPr="00E73B2B" w14:paraId="35014A77" w14:textId="77777777" w:rsidTr="00EE7CCF">
        <w:tc>
          <w:tcPr>
            <w:tcW w:w="3402" w:type="dxa"/>
            <w:vAlign w:val="center"/>
          </w:tcPr>
          <w:p w14:paraId="0607AAAA" w14:textId="77777777" w:rsidR="00EA4B67" w:rsidRPr="00E73B2B" w:rsidRDefault="00EA4B67" w:rsidP="00EA4B67">
            <w:pPr>
              <w:pStyle w:val="p1"/>
              <w:spacing w:before="0" w:beforeAutospacing="0" w:after="0" w:afterAutospacing="0"/>
              <w:contextualSpacing/>
              <w:rPr>
                <w:rFonts w:ascii="Arial" w:hAnsi="Arial" w:cs="Arial"/>
                <w:i/>
                <w:iCs/>
                <w:sz w:val="20"/>
                <w:szCs w:val="20"/>
              </w:rPr>
            </w:pPr>
            <w:r w:rsidRPr="00E73B2B">
              <w:rPr>
                <w:b/>
                <w:bCs/>
                <w:sz w:val="20"/>
                <w:szCs w:val="20"/>
              </w:rPr>
              <w:t>Predominant dietary pattern, n (%)</w:t>
            </w:r>
          </w:p>
        </w:tc>
        <w:tc>
          <w:tcPr>
            <w:tcW w:w="2127" w:type="dxa"/>
            <w:vAlign w:val="center"/>
          </w:tcPr>
          <w:p w14:paraId="6F2AEA5C" w14:textId="77777777" w:rsidR="00EA4B67" w:rsidRPr="00E73B2B" w:rsidRDefault="00EA4B67" w:rsidP="00DD572E">
            <w:pPr>
              <w:pStyle w:val="p1"/>
              <w:spacing w:before="0" w:beforeAutospacing="0" w:after="0" w:afterAutospacing="0"/>
              <w:contextualSpacing/>
              <w:rPr>
                <w:rFonts w:ascii="Arial" w:hAnsi="Arial" w:cs="Arial"/>
                <w:b/>
                <w:bCs/>
                <w:sz w:val="20"/>
                <w:szCs w:val="20"/>
              </w:rPr>
            </w:pPr>
          </w:p>
        </w:tc>
        <w:tc>
          <w:tcPr>
            <w:tcW w:w="1701" w:type="dxa"/>
            <w:vAlign w:val="center"/>
          </w:tcPr>
          <w:p w14:paraId="5C6DCAE0" w14:textId="77777777" w:rsidR="00EA4B67" w:rsidRPr="00E73B2B" w:rsidRDefault="00EA4B67" w:rsidP="00DD572E">
            <w:pPr>
              <w:pStyle w:val="p1"/>
              <w:spacing w:before="0" w:beforeAutospacing="0" w:after="0" w:afterAutospacing="0"/>
              <w:contextualSpacing/>
              <w:rPr>
                <w:rFonts w:ascii="Arial" w:hAnsi="Arial" w:cs="Arial"/>
                <w:b/>
                <w:bCs/>
                <w:sz w:val="20"/>
                <w:szCs w:val="20"/>
              </w:rPr>
            </w:pPr>
          </w:p>
        </w:tc>
        <w:tc>
          <w:tcPr>
            <w:tcW w:w="2391" w:type="dxa"/>
            <w:vAlign w:val="center"/>
          </w:tcPr>
          <w:p w14:paraId="7B0CCC29" w14:textId="77777777" w:rsidR="00EA4B67" w:rsidRPr="00E73B2B" w:rsidRDefault="00EA4B67" w:rsidP="00DD572E">
            <w:pPr>
              <w:pStyle w:val="p1"/>
              <w:spacing w:before="0" w:beforeAutospacing="0" w:after="0" w:afterAutospacing="0"/>
              <w:contextualSpacing/>
              <w:rPr>
                <w:rFonts w:ascii="Arial" w:hAnsi="Arial" w:cs="Arial"/>
                <w:sz w:val="20"/>
                <w:szCs w:val="20"/>
              </w:rPr>
            </w:pPr>
          </w:p>
        </w:tc>
      </w:tr>
      <w:tr w:rsidR="00EA4B67" w:rsidRPr="00E73B2B" w14:paraId="4D404074" w14:textId="77777777" w:rsidTr="00EE7CCF">
        <w:tc>
          <w:tcPr>
            <w:tcW w:w="3402" w:type="dxa"/>
            <w:vAlign w:val="center"/>
          </w:tcPr>
          <w:p w14:paraId="0D927D97" w14:textId="77777777" w:rsidR="00EA4B67" w:rsidRPr="00E73B2B" w:rsidRDefault="00EA4B67" w:rsidP="00EA4B67">
            <w:pPr>
              <w:pStyle w:val="p1"/>
              <w:rPr>
                <w:sz w:val="20"/>
                <w:szCs w:val="20"/>
              </w:rPr>
            </w:pPr>
            <w:r w:rsidRPr="00E73B2B">
              <w:rPr>
                <w:sz w:val="20"/>
                <w:szCs w:val="20"/>
              </w:rPr>
              <w:t>Overall (n=477)</w:t>
            </w:r>
          </w:p>
        </w:tc>
        <w:tc>
          <w:tcPr>
            <w:tcW w:w="2127" w:type="dxa"/>
            <w:vAlign w:val="center"/>
          </w:tcPr>
          <w:p w14:paraId="47E8D2D6" w14:textId="77777777" w:rsidR="00EA4B67" w:rsidRPr="00E73B2B" w:rsidRDefault="00EA4B67" w:rsidP="00EA4B67">
            <w:pPr>
              <w:pStyle w:val="p1"/>
              <w:rPr>
                <w:sz w:val="20"/>
                <w:szCs w:val="20"/>
              </w:rPr>
            </w:pPr>
            <w:r w:rsidRPr="00E73B2B">
              <w:rPr>
                <w:sz w:val="20"/>
                <w:szCs w:val="20"/>
              </w:rPr>
              <w:t>203 (42.6)</w:t>
            </w:r>
          </w:p>
        </w:tc>
        <w:tc>
          <w:tcPr>
            <w:tcW w:w="1701" w:type="dxa"/>
            <w:vAlign w:val="center"/>
          </w:tcPr>
          <w:p w14:paraId="49ED326F" w14:textId="77777777" w:rsidR="00EA4B67" w:rsidRPr="00E73B2B" w:rsidRDefault="00EA4B67" w:rsidP="00EA4B67">
            <w:pPr>
              <w:pStyle w:val="p1"/>
              <w:rPr>
                <w:sz w:val="20"/>
                <w:szCs w:val="20"/>
              </w:rPr>
            </w:pPr>
            <w:r w:rsidRPr="00E73B2B">
              <w:rPr>
                <w:sz w:val="20"/>
                <w:szCs w:val="20"/>
              </w:rPr>
              <w:t>184 (38.6)</w:t>
            </w:r>
          </w:p>
        </w:tc>
        <w:tc>
          <w:tcPr>
            <w:tcW w:w="2391" w:type="dxa"/>
            <w:vAlign w:val="center"/>
          </w:tcPr>
          <w:p w14:paraId="2BB4AC3C" w14:textId="77777777" w:rsidR="00EA4B67" w:rsidRPr="00E73B2B" w:rsidRDefault="00EA4B67" w:rsidP="00EA4B67">
            <w:pPr>
              <w:pStyle w:val="p1"/>
              <w:rPr>
                <w:sz w:val="20"/>
                <w:szCs w:val="20"/>
              </w:rPr>
            </w:pPr>
            <w:r w:rsidRPr="00E73B2B">
              <w:rPr>
                <w:sz w:val="20"/>
                <w:szCs w:val="20"/>
              </w:rPr>
              <w:t>90 (18.9)</w:t>
            </w:r>
          </w:p>
        </w:tc>
      </w:tr>
      <w:tr w:rsidR="00EA4B67" w:rsidRPr="00E73B2B" w14:paraId="74DC2EDB" w14:textId="77777777" w:rsidTr="00EE7CCF">
        <w:tc>
          <w:tcPr>
            <w:tcW w:w="3402" w:type="dxa"/>
            <w:vAlign w:val="center"/>
          </w:tcPr>
          <w:p w14:paraId="34F586FF" w14:textId="77777777" w:rsidR="00EA4B67" w:rsidRPr="00E73B2B" w:rsidRDefault="00EA4B67" w:rsidP="00EA4B67">
            <w:pPr>
              <w:pStyle w:val="p1"/>
              <w:rPr>
                <w:sz w:val="20"/>
                <w:szCs w:val="20"/>
              </w:rPr>
            </w:pPr>
            <w:r w:rsidRPr="00E73B2B">
              <w:rPr>
                <w:sz w:val="20"/>
                <w:szCs w:val="20"/>
              </w:rPr>
              <w:t>Lower CCA burden (n=180)</w:t>
            </w:r>
          </w:p>
        </w:tc>
        <w:tc>
          <w:tcPr>
            <w:tcW w:w="2127" w:type="dxa"/>
            <w:vAlign w:val="center"/>
          </w:tcPr>
          <w:p w14:paraId="4A48AAD8" w14:textId="77777777" w:rsidR="00EA4B67" w:rsidRPr="00E73B2B" w:rsidRDefault="00EA4B67" w:rsidP="00EA4B67">
            <w:pPr>
              <w:pStyle w:val="p1"/>
              <w:rPr>
                <w:sz w:val="20"/>
                <w:szCs w:val="20"/>
              </w:rPr>
            </w:pPr>
            <w:r w:rsidRPr="00E73B2B">
              <w:rPr>
                <w:sz w:val="20"/>
                <w:szCs w:val="20"/>
              </w:rPr>
              <w:t>45 (25.0)</w:t>
            </w:r>
          </w:p>
        </w:tc>
        <w:tc>
          <w:tcPr>
            <w:tcW w:w="1701" w:type="dxa"/>
            <w:vAlign w:val="center"/>
          </w:tcPr>
          <w:p w14:paraId="60CF01E0" w14:textId="77777777" w:rsidR="00EA4B67" w:rsidRPr="00E73B2B" w:rsidRDefault="00EA4B67" w:rsidP="00EA4B67">
            <w:pPr>
              <w:pStyle w:val="p1"/>
              <w:rPr>
                <w:sz w:val="20"/>
                <w:szCs w:val="20"/>
              </w:rPr>
            </w:pPr>
            <w:r w:rsidRPr="00E73B2B">
              <w:rPr>
                <w:sz w:val="20"/>
                <w:szCs w:val="20"/>
              </w:rPr>
              <w:t>110 (61.1)</w:t>
            </w:r>
          </w:p>
        </w:tc>
        <w:tc>
          <w:tcPr>
            <w:tcW w:w="2391" w:type="dxa"/>
            <w:vAlign w:val="center"/>
          </w:tcPr>
          <w:p w14:paraId="0087CD50" w14:textId="77777777" w:rsidR="00EA4B67" w:rsidRPr="00E73B2B" w:rsidRDefault="00EA4B67" w:rsidP="00EA4B67">
            <w:pPr>
              <w:pStyle w:val="p1"/>
              <w:rPr>
                <w:sz w:val="20"/>
                <w:szCs w:val="20"/>
              </w:rPr>
            </w:pPr>
            <w:r w:rsidRPr="00E73B2B">
              <w:rPr>
                <w:sz w:val="20"/>
                <w:szCs w:val="20"/>
              </w:rPr>
              <w:t>25 (13.9)</w:t>
            </w:r>
          </w:p>
        </w:tc>
      </w:tr>
      <w:tr w:rsidR="00EA4B67" w:rsidRPr="00E73B2B" w14:paraId="150CDF8D" w14:textId="77777777" w:rsidTr="00EE7CCF">
        <w:tc>
          <w:tcPr>
            <w:tcW w:w="3402" w:type="dxa"/>
            <w:vAlign w:val="center"/>
          </w:tcPr>
          <w:p w14:paraId="3DFE7BA0" w14:textId="77777777" w:rsidR="00EA4B67" w:rsidRPr="00E73B2B" w:rsidRDefault="00EA4B67" w:rsidP="00EA4B67">
            <w:pPr>
              <w:pStyle w:val="p1"/>
              <w:rPr>
                <w:sz w:val="20"/>
                <w:szCs w:val="20"/>
              </w:rPr>
            </w:pPr>
            <w:r w:rsidRPr="00E73B2B">
              <w:rPr>
                <w:sz w:val="20"/>
                <w:szCs w:val="20"/>
              </w:rPr>
              <w:t>Higher CCA burden (n=297)</w:t>
            </w:r>
          </w:p>
        </w:tc>
        <w:tc>
          <w:tcPr>
            <w:tcW w:w="2127" w:type="dxa"/>
            <w:vAlign w:val="center"/>
          </w:tcPr>
          <w:p w14:paraId="66D97613" w14:textId="77777777" w:rsidR="00EA4B67" w:rsidRPr="00E73B2B" w:rsidRDefault="00EA4B67" w:rsidP="00EA4B67">
            <w:pPr>
              <w:pStyle w:val="p1"/>
              <w:rPr>
                <w:sz w:val="20"/>
                <w:szCs w:val="20"/>
              </w:rPr>
            </w:pPr>
            <w:r w:rsidRPr="00E73B2B">
              <w:rPr>
                <w:sz w:val="20"/>
                <w:szCs w:val="20"/>
              </w:rPr>
              <w:t>158 (53.2)</w:t>
            </w:r>
          </w:p>
        </w:tc>
        <w:tc>
          <w:tcPr>
            <w:tcW w:w="1701" w:type="dxa"/>
            <w:vAlign w:val="center"/>
          </w:tcPr>
          <w:p w14:paraId="3F93A5A6" w14:textId="77777777" w:rsidR="00EA4B67" w:rsidRPr="00E73B2B" w:rsidRDefault="00EA4B67" w:rsidP="00EA4B67">
            <w:pPr>
              <w:pStyle w:val="p1"/>
              <w:rPr>
                <w:sz w:val="20"/>
                <w:szCs w:val="20"/>
              </w:rPr>
            </w:pPr>
            <w:r w:rsidRPr="00E73B2B">
              <w:rPr>
                <w:sz w:val="20"/>
                <w:szCs w:val="20"/>
              </w:rPr>
              <w:t>74 (24.9)</w:t>
            </w:r>
          </w:p>
        </w:tc>
        <w:tc>
          <w:tcPr>
            <w:tcW w:w="2391" w:type="dxa"/>
            <w:vAlign w:val="center"/>
          </w:tcPr>
          <w:p w14:paraId="1E46969E" w14:textId="77777777" w:rsidR="00EA4B67" w:rsidRPr="00E73B2B" w:rsidRDefault="00EA4B67" w:rsidP="00EA4B67">
            <w:pPr>
              <w:pStyle w:val="p1"/>
              <w:rPr>
                <w:sz w:val="20"/>
                <w:szCs w:val="20"/>
              </w:rPr>
            </w:pPr>
            <w:r w:rsidRPr="00E73B2B">
              <w:rPr>
                <w:sz w:val="20"/>
                <w:szCs w:val="20"/>
              </w:rPr>
              <w:t>65 (21.9)</w:t>
            </w:r>
          </w:p>
        </w:tc>
      </w:tr>
      <w:tr w:rsidR="00EA4B67" w:rsidRPr="00E73B2B" w14:paraId="35CB248A" w14:textId="77777777" w:rsidTr="00EE7CCF">
        <w:tc>
          <w:tcPr>
            <w:tcW w:w="3402" w:type="dxa"/>
            <w:vAlign w:val="center"/>
          </w:tcPr>
          <w:p w14:paraId="29E8E7E2" w14:textId="77777777" w:rsidR="00EA4B67" w:rsidRPr="00E73B2B" w:rsidRDefault="00EA4B67" w:rsidP="00EA4B67">
            <w:pPr>
              <w:pStyle w:val="p1"/>
              <w:rPr>
                <w:rStyle w:val="s1"/>
                <w:sz w:val="20"/>
                <w:szCs w:val="20"/>
              </w:rPr>
            </w:pPr>
            <w:r w:rsidRPr="00E73B2B">
              <w:rPr>
                <w:sz w:val="20"/>
                <w:szCs w:val="20"/>
              </w:rPr>
              <w:t xml:space="preserve">Global </w:t>
            </w:r>
            <w:r w:rsidRPr="00E73B2B">
              <w:rPr>
                <w:rStyle w:val="s2"/>
                <w:i/>
                <w:iCs/>
                <w:sz w:val="20"/>
                <w:szCs w:val="20"/>
              </w:rPr>
              <w:t>P</w:t>
            </w:r>
            <w:r w:rsidRPr="00E73B2B">
              <w:rPr>
                <w:rStyle w:val="s1"/>
                <w:sz w:val="20"/>
                <w:szCs w:val="20"/>
              </w:rPr>
              <w:t>-value</w:t>
            </w:r>
          </w:p>
        </w:tc>
        <w:tc>
          <w:tcPr>
            <w:tcW w:w="2127" w:type="dxa"/>
            <w:vAlign w:val="center"/>
          </w:tcPr>
          <w:p w14:paraId="6714A3C3" w14:textId="77777777" w:rsidR="00EA4B67" w:rsidRPr="00E73B2B" w:rsidRDefault="00EA4B67" w:rsidP="00EA4B67">
            <w:pPr>
              <w:pStyle w:val="p1"/>
              <w:rPr>
                <w:sz w:val="20"/>
                <w:szCs w:val="20"/>
              </w:rPr>
            </w:pPr>
            <w:r w:rsidRPr="00E73B2B">
              <w:rPr>
                <w:b/>
                <w:bCs/>
                <w:sz w:val="20"/>
                <w:szCs w:val="20"/>
              </w:rPr>
              <w:t>&lt;.001</w:t>
            </w:r>
          </w:p>
        </w:tc>
        <w:tc>
          <w:tcPr>
            <w:tcW w:w="1701" w:type="dxa"/>
            <w:vAlign w:val="center"/>
          </w:tcPr>
          <w:p w14:paraId="1DDB67CD" w14:textId="77777777" w:rsidR="00EA4B67" w:rsidRPr="00E73B2B" w:rsidRDefault="00EA4B67" w:rsidP="00EA4B67">
            <w:pPr>
              <w:pStyle w:val="p1"/>
              <w:spacing w:before="0" w:beforeAutospacing="0" w:after="0" w:afterAutospacing="0"/>
              <w:contextualSpacing/>
              <w:rPr>
                <w:rFonts w:ascii="Arial" w:hAnsi="Arial" w:cs="Arial"/>
                <w:b/>
                <w:bCs/>
                <w:sz w:val="20"/>
                <w:szCs w:val="20"/>
              </w:rPr>
            </w:pPr>
          </w:p>
        </w:tc>
        <w:tc>
          <w:tcPr>
            <w:tcW w:w="2391" w:type="dxa"/>
            <w:vAlign w:val="center"/>
          </w:tcPr>
          <w:p w14:paraId="0529F5E6" w14:textId="77777777" w:rsidR="00EA4B67" w:rsidRPr="00E73B2B" w:rsidRDefault="00EA4B67" w:rsidP="00EA4B67">
            <w:pPr>
              <w:pStyle w:val="p1"/>
              <w:spacing w:before="0" w:beforeAutospacing="0" w:after="0" w:afterAutospacing="0"/>
              <w:contextualSpacing/>
              <w:rPr>
                <w:rFonts w:ascii="Arial" w:hAnsi="Arial" w:cs="Arial"/>
                <w:sz w:val="20"/>
                <w:szCs w:val="20"/>
              </w:rPr>
            </w:pPr>
          </w:p>
        </w:tc>
      </w:tr>
    </w:tbl>
    <w:p w14:paraId="4D458D83" w14:textId="77777777" w:rsidR="00EA4B67" w:rsidRPr="00E73B2B" w:rsidRDefault="00DD572E" w:rsidP="00DD572E">
      <w:pPr>
        <w:pStyle w:val="p1"/>
        <w:spacing w:before="0" w:beforeAutospacing="0" w:after="0" w:afterAutospacing="0"/>
        <w:contextualSpacing/>
        <w:jc w:val="both"/>
        <w:rPr>
          <w:i/>
          <w:iCs/>
          <w:sz w:val="18"/>
          <w:szCs w:val="18"/>
        </w:rPr>
      </w:pPr>
      <w:r w:rsidRPr="00E73B2B">
        <w:rPr>
          <w:i/>
          <w:iCs/>
          <w:sz w:val="18"/>
          <w:szCs w:val="18"/>
        </w:rPr>
        <w:t xml:space="preserve">Pattern scores are standardised principal component analysis (PCA) factor scores and are presented as mean ± standard deviation (SD). High adherence was defined as membership in the highest tertile of the respective dietary-pattern score. Lower clustered cardiometabolic abnormality (CCA) burden was defined as 0–1 cardiometabolic abnormalities, whereas higher CCA burden was defined as ≥2 abnormalities. Statistical significance was set at </w:t>
      </w:r>
      <w:r w:rsidRPr="00E73B2B">
        <w:rPr>
          <w:rStyle w:val="s1"/>
          <w:i/>
          <w:iCs/>
          <w:sz w:val="18"/>
          <w:szCs w:val="18"/>
        </w:rPr>
        <w:t>p</w:t>
      </w:r>
      <w:r w:rsidRPr="00E73B2B">
        <w:rPr>
          <w:i/>
          <w:iCs/>
          <w:sz w:val="18"/>
          <w:szCs w:val="18"/>
        </w:rPr>
        <w:t>&lt;0.05.</w:t>
      </w:r>
    </w:p>
    <w:p w14:paraId="0052AA18" w14:textId="77777777" w:rsidR="00D065D9" w:rsidRPr="00760287" w:rsidRDefault="00000000">
      <w:pPr>
        <w:spacing w:before="160" w:after="100"/>
        <w:rPr>
          <w:rFonts w:ascii="Arial" w:hAnsi="Arial" w:cs="Arial"/>
        </w:rPr>
      </w:pPr>
      <w:r w:rsidRPr="00760287">
        <w:rPr>
          <w:rFonts w:ascii="Arial" w:hAnsi="Arial" w:cs="Arial"/>
          <w:b/>
          <w:sz w:val="20"/>
        </w:rPr>
        <w:t xml:space="preserve">3.1.7 </w:t>
      </w:r>
      <w:r w:rsidR="00760287" w:rsidRPr="00760287">
        <w:rPr>
          <w:rFonts w:ascii="Arial" w:hAnsi="Arial" w:cs="Arial"/>
          <w:b/>
          <w:sz w:val="20"/>
        </w:rPr>
        <w:t>Adjusted Associations Between Dietary Patterns and Higher CCA Burden</w:t>
      </w:r>
    </w:p>
    <w:p w14:paraId="7E54037A" w14:textId="77777777" w:rsidR="00760287" w:rsidRPr="00760287" w:rsidRDefault="003C275A" w:rsidP="00760287">
      <w:pPr>
        <w:spacing w:after="120"/>
        <w:jc w:val="both"/>
        <w:rPr>
          <w:rFonts w:ascii="Arial" w:hAnsi="Arial" w:cs="Arial"/>
          <w:sz w:val="20"/>
          <w:szCs w:val="20"/>
        </w:rPr>
      </w:pPr>
      <w:r>
        <w:rPr>
          <w:rFonts w:ascii="Arial" w:hAnsi="Arial" w:cs="Arial"/>
          <w:sz w:val="20"/>
          <w:szCs w:val="20"/>
        </w:rPr>
        <w:t>Table 8 and Figure 2 illustrate the adjusted associations between dietary-pattern scores and elevated clustered cardiometabolic abnormality (CCA) burden. In the primary mutually adjusted model, Pattern 1 — characterised by fried/fast foods, fats/oils, desserts/soft drinks and alcohol — demonstrated a positive association with increased CCA burden. A 1-SD increment in the Pattern 1 score corresponded to a 15% higher prevalence of elevated CCA burden (adjusted prevalence ratio [</w:t>
      </w:r>
      <w:proofErr w:type="spellStart"/>
      <w:r>
        <w:rPr>
          <w:rFonts w:ascii="Arial" w:hAnsi="Arial" w:cs="Arial"/>
          <w:sz w:val="20"/>
          <w:szCs w:val="20"/>
        </w:rPr>
        <w:t>aPR</w:t>
      </w:r>
      <w:proofErr w:type="spellEnd"/>
      <w:r>
        <w:rPr>
          <w:rFonts w:ascii="Arial" w:hAnsi="Arial" w:cs="Arial"/>
          <w:sz w:val="20"/>
          <w:szCs w:val="20"/>
        </w:rPr>
        <w:t>] 1.15, 95% CI 1.05–1.26; p = 0.004). Conversely, Pattern 2 — comprising grains, legumes and white meat — exhibited an inverse relationship with CCA burden. Each 1-SD increase in the Pattern 2 score was associated with a 19% reduction in the prevalence of elevated CCA burden (</w:t>
      </w:r>
      <w:proofErr w:type="spellStart"/>
      <w:r>
        <w:rPr>
          <w:rFonts w:ascii="Arial" w:hAnsi="Arial" w:cs="Arial"/>
          <w:sz w:val="20"/>
          <w:szCs w:val="20"/>
        </w:rPr>
        <w:t>aPR</w:t>
      </w:r>
      <w:proofErr w:type="spellEnd"/>
      <w:r>
        <w:rPr>
          <w:rFonts w:ascii="Arial" w:hAnsi="Arial" w:cs="Arial"/>
          <w:sz w:val="20"/>
          <w:szCs w:val="20"/>
        </w:rPr>
        <w:t xml:space="preserve"> 0.81, 95% CI 0.71–0.92; p &lt; 0.001).</w:t>
      </w:r>
    </w:p>
    <w:p w14:paraId="78165854" w14:textId="77777777" w:rsidR="003C275A" w:rsidRDefault="003C275A" w:rsidP="00760287">
      <w:pPr>
        <w:spacing w:after="120"/>
        <w:jc w:val="both"/>
        <w:rPr>
          <w:rFonts w:ascii="Arial" w:hAnsi="Arial" w:cs="Arial"/>
          <w:sz w:val="20"/>
          <w:szCs w:val="20"/>
        </w:rPr>
      </w:pPr>
      <w:r>
        <w:rPr>
          <w:rFonts w:ascii="Arial" w:hAnsi="Arial" w:cs="Arial"/>
          <w:sz w:val="20"/>
          <w:szCs w:val="20"/>
        </w:rPr>
        <w:t xml:space="preserve">Conversely, Pattern 3 – characterised by dairy, tea/coffee, fish, nuts, and fruit/vegetables – demonstrated a </w:t>
      </w:r>
      <w:r>
        <w:rPr>
          <w:rFonts w:ascii="Arial" w:hAnsi="Arial" w:cs="Arial"/>
          <w:sz w:val="20"/>
          <w:szCs w:val="20"/>
          <w:highlight w:val="yellow"/>
        </w:rPr>
        <w:t>positive association with increased CCA burden</w:t>
      </w:r>
      <w:r>
        <w:rPr>
          <w:rFonts w:ascii="Arial" w:hAnsi="Arial" w:cs="Arial"/>
          <w:sz w:val="20"/>
          <w:szCs w:val="20"/>
        </w:rPr>
        <w:t>. Each 1-SD increment in the Pattern 3 score corresponded to a 22% rise in the prevalence of elevated CCA burden (adjusted prevalence ratio [</w:t>
      </w:r>
      <w:proofErr w:type="spellStart"/>
      <w:r>
        <w:rPr>
          <w:rFonts w:ascii="Arial" w:hAnsi="Arial" w:cs="Arial"/>
          <w:sz w:val="20"/>
          <w:szCs w:val="20"/>
        </w:rPr>
        <w:t>aPR</w:t>
      </w:r>
      <w:proofErr w:type="spellEnd"/>
      <w:r>
        <w:rPr>
          <w:rFonts w:ascii="Arial" w:hAnsi="Arial" w:cs="Arial"/>
          <w:sz w:val="20"/>
          <w:szCs w:val="20"/>
        </w:rPr>
        <w:t>] 1.22, 95% confidence interval [CI] 1.09–1.36; p &lt; 0.001). These associations remained largely unaltered in the extended model following additional adjustment for marital status and economic activity. Pattern 1 continued to show a positive association (</w:t>
      </w:r>
      <w:proofErr w:type="spellStart"/>
      <w:r>
        <w:rPr>
          <w:rFonts w:ascii="Arial" w:hAnsi="Arial" w:cs="Arial"/>
          <w:sz w:val="20"/>
          <w:szCs w:val="20"/>
        </w:rPr>
        <w:t>aPR</w:t>
      </w:r>
      <w:proofErr w:type="spellEnd"/>
      <w:r>
        <w:rPr>
          <w:rFonts w:ascii="Arial" w:hAnsi="Arial" w:cs="Arial"/>
          <w:sz w:val="20"/>
          <w:szCs w:val="20"/>
        </w:rPr>
        <w:t xml:space="preserve"> 1.15, 95% CI 1.05–1.26; p = 0.003), Pattern 2 a negative association (</w:t>
      </w:r>
      <w:proofErr w:type="spellStart"/>
      <w:r>
        <w:rPr>
          <w:rFonts w:ascii="Arial" w:hAnsi="Arial" w:cs="Arial"/>
          <w:sz w:val="20"/>
          <w:szCs w:val="20"/>
        </w:rPr>
        <w:t>aPR</w:t>
      </w:r>
      <w:proofErr w:type="spellEnd"/>
      <w:r>
        <w:rPr>
          <w:rFonts w:ascii="Arial" w:hAnsi="Arial" w:cs="Arial"/>
          <w:sz w:val="20"/>
          <w:szCs w:val="20"/>
        </w:rPr>
        <w:t xml:space="preserve"> 0.80, 95% CI 0.70–0.90; p &lt; 0.001), and Pattern 3 a positive association (</w:t>
      </w:r>
      <w:proofErr w:type="spellStart"/>
      <w:r>
        <w:rPr>
          <w:rFonts w:ascii="Arial" w:hAnsi="Arial" w:cs="Arial"/>
          <w:sz w:val="20"/>
          <w:szCs w:val="20"/>
        </w:rPr>
        <w:t>aPR</w:t>
      </w:r>
      <w:proofErr w:type="spellEnd"/>
      <w:r>
        <w:rPr>
          <w:rFonts w:ascii="Arial" w:hAnsi="Arial" w:cs="Arial"/>
          <w:sz w:val="20"/>
          <w:szCs w:val="20"/>
        </w:rPr>
        <w:t xml:space="preserve"> 1.23, 95% CI 1.10–1.38; p &lt; 0.001).  The restricted-score analysis, limited to the defining food groups, yielded estimates in the same direction. Pattern 1 remained positively associated (</w:t>
      </w:r>
      <w:proofErr w:type="spellStart"/>
      <w:r>
        <w:rPr>
          <w:rFonts w:ascii="Arial" w:hAnsi="Arial" w:cs="Arial"/>
          <w:sz w:val="20"/>
          <w:szCs w:val="20"/>
        </w:rPr>
        <w:t>aPR</w:t>
      </w:r>
      <w:proofErr w:type="spellEnd"/>
      <w:r>
        <w:rPr>
          <w:rFonts w:ascii="Arial" w:hAnsi="Arial" w:cs="Arial"/>
          <w:sz w:val="20"/>
          <w:szCs w:val="20"/>
        </w:rPr>
        <w:t xml:space="preserve"> 1.12, 95% CI 1.02–1.23; p = 0.016), Pattern 2 negatively associated (</w:t>
      </w:r>
      <w:proofErr w:type="spellStart"/>
      <w:r>
        <w:rPr>
          <w:rFonts w:ascii="Arial" w:hAnsi="Arial" w:cs="Arial"/>
          <w:sz w:val="20"/>
          <w:szCs w:val="20"/>
        </w:rPr>
        <w:t>aPR</w:t>
      </w:r>
      <w:proofErr w:type="spellEnd"/>
      <w:r>
        <w:rPr>
          <w:rFonts w:ascii="Arial" w:hAnsi="Arial" w:cs="Arial"/>
          <w:sz w:val="20"/>
          <w:szCs w:val="20"/>
        </w:rPr>
        <w:t xml:space="preserve"> 0.80, 95% CI 0.70–0.91; p &lt; 0.001), and Pattern 3 positively associated (</w:t>
      </w:r>
      <w:proofErr w:type="spellStart"/>
      <w:r>
        <w:rPr>
          <w:rFonts w:ascii="Arial" w:hAnsi="Arial" w:cs="Arial"/>
          <w:sz w:val="20"/>
          <w:szCs w:val="20"/>
        </w:rPr>
        <w:t>aPR</w:t>
      </w:r>
      <w:proofErr w:type="spellEnd"/>
      <w:r>
        <w:rPr>
          <w:rFonts w:ascii="Arial" w:hAnsi="Arial" w:cs="Arial"/>
          <w:sz w:val="20"/>
          <w:szCs w:val="20"/>
        </w:rPr>
        <w:t xml:space="preserve"> 1.19, 95% CI 1.07–1.32; p = 0.002). Strong correlations were observed between the full principal component analysis (PCA)-derived scores and their restricted counterparts for Pattern 1 (r = 0.996), Pattern 2 (r = 0.976), and Pattern 3 (r = 0.983), confirming close agreement between the two scoring methods.</w:t>
      </w:r>
    </w:p>
    <w:p w14:paraId="0C47843B" w14:textId="77777777" w:rsidR="00460992" w:rsidRPr="00460992" w:rsidRDefault="00460992" w:rsidP="00760287">
      <w:pPr>
        <w:spacing w:after="120"/>
        <w:jc w:val="both"/>
        <w:rPr>
          <w:rFonts w:ascii="Arial" w:hAnsi="Arial" w:cs="Arial"/>
          <w:b/>
          <w:bCs/>
          <w:sz w:val="20"/>
          <w:szCs w:val="20"/>
        </w:rPr>
      </w:pPr>
      <w:r w:rsidRPr="00460992">
        <w:rPr>
          <w:rFonts w:ascii="Arial" w:hAnsi="Arial" w:cs="Arial"/>
          <w:b/>
          <w:bCs/>
          <w:sz w:val="20"/>
          <w:szCs w:val="20"/>
        </w:rPr>
        <w:t>Table 8. Adjusted prevalence ratios for higher CCA burden according to dietary-pattern scores</w:t>
      </w:r>
    </w:p>
    <w:tbl>
      <w:tblPr>
        <w:tblStyle w:val="TableGrid"/>
        <w:tblW w:w="0" w:type="auto"/>
        <w:tblInd w:w="53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7"/>
        <w:gridCol w:w="2493"/>
        <w:gridCol w:w="2208"/>
        <w:gridCol w:w="2218"/>
      </w:tblGrid>
      <w:tr w:rsidR="002F704B" w:rsidRPr="0070287D" w14:paraId="65B6871C" w14:textId="77777777" w:rsidTr="00E73B2B">
        <w:tc>
          <w:tcPr>
            <w:tcW w:w="2693" w:type="dxa"/>
            <w:tcBorders>
              <w:top w:val="single" w:sz="4" w:space="0" w:color="auto"/>
              <w:bottom w:val="single" w:sz="4" w:space="0" w:color="auto"/>
            </w:tcBorders>
          </w:tcPr>
          <w:p w14:paraId="2EA88CB3" w14:textId="77777777" w:rsidR="002F704B" w:rsidRPr="0070287D" w:rsidRDefault="002F704B" w:rsidP="002F704B">
            <w:pPr>
              <w:pStyle w:val="p1"/>
              <w:spacing w:before="0" w:beforeAutospacing="0" w:after="0" w:afterAutospacing="0"/>
              <w:contextualSpacing/>
              <w:jc w:val="center"/>
              <w:rPr>
                <w:rFonts w:ascii="Arial" w:hAnsi="Arial" w:cs="Arial"/>
                <w:b/>
                <w:bCs/>
                <w:sz w:val="20"/>
                <w:szCs w:val="20"/>
              </w:rPr>
            </w:pPr>
            <w:r w:rsidRPr="0070287D">
              <w:rPr>
                <w:rFonts w:ascii="Arial" w:hAnsi="Arial" w:cs="Arial"/>
                <w:b/>
                <w:bCs/>
                <w:sz w:val="20"/>
                <w:szCs w:val="20"/>
              </w:rPr>
              <w:t>Model</w:t>
            </w:r>
          </w:p>
        </w:tc>
        <w:tc>
          <w:tcPr>
            <w:tcW w:w="2551" w:type="dxa"/>
            <w:tcBorders>
              <w:top w:val="single" w:sz="4" w:space="0" w:color="auto"/>
              <w:bottom w:val="single" w:sz="4" w:space="0" w:color="auto"/>
            </w:tcBorders>
          </w:tcPr>
          <w:p w14:paraId="132A6A86" w14:textId="77777777" w:rsidR="003C275A" w:rsidRPr="0070287D" w:rsidRDefault="002F704B" w:rsidP="002F704B">
            <w:pPr>
              <w:pStyle w:val="p1"/>
              <w:spacing w:before="0" w:beforeAutospacing="0" w:after="0" w:afterAutospacing="0"/>
              <w:contextualSpacing/>
              <w:jc w:val="center"/>
              <w:rPr>
                <w:rFonts w:ascii="Arial" w:hAnsi="Arial" w:cs="Arial"/>
                <w:b/>
                <w:bCs/>
                <w:sz w:val="20"/>
                <w:szCs w:val="20"/>
              </w:rPr>
            </w:pPr>
            <w:r w:rsidRPr="0070287D">
              <w:rPr>
                <w:rFonts w:ascii="Arial" w:hAnsi="Arial" w:cs="Arial"/>
                <w:b/>
                <w:bCs/>
                <w:sz w:val="20"/>
                <w:szCs w:val="20"/>
              </w:rPr>
              <w:t xml:space="preserve">Pattern 1 </w:t>
            </w:r>
          </w:p>
          <w:p w14:paraId="5D4552B2" w14:textId="77777777" w:rsidR="002F704B" w:rsidRPr="0070287D" w:rsidRDefault="002F704B" w:rsidP="002F704B">
            <w:pPr>
              <w:pStyle w:val="p1"/>
              <w:spacing w:before="0" w:beforeAutospacing="0" w:after="0" w:afterAutospacing="0"/>
              <w:contextualSpacing/>
              <w:jc w:val="center"/>
              <w:rPr>
                <w:rFonts w:ascii="Arial" w:hAnsi="Arial" w:cs="Arial"/>
                <w:b/>
                <w:bCs/>
                <w:sz w:val="20"/>
                <w:szCs w:val="20"/>
              </w:rPr>
            </w:pPr>
            <w:r w:rsidRPr="0070287D">
              <w:rPr>
                <w:rFonts w:ascii="Arial" w:hAnsi="Arial" w:cs="Arial"/>
                <w:b/>
                <w:bCs/>
                <w:sz w:val="20"/>
                <w:szCs w:val="20"/>
              </w:rPr>
              <w:t>Fried/fast food–fats/oils–dessert/soft drink–alcohol</w:t>
            </w:r>
          </w:p>
        </w:tc>
        <w:tc>
          <w:tcPr>
            <w:tcW w:w="2268" w:type="dxa"/>
            <w:tcBorders>
              <w:top w:val="single" w:sz="4" w:space="0" w:color="auto"/>
              <w:bottom w:val="single" w:sz="4" w:space="0" w:color="auto"/>
            </w:tcBorders>
          </w:tcPr>
          <w:p w14:paraId="47826376" w14:textId="77777777" w:rsidR="003C275A" w:rsidRPr="0070287D" w:rsidRDefault="002F704B" w:rsidP="002F704B">
            <w:pPr>
              <w:pStyle w:val="p1"/>
              <w:spacing w:before="0" w:beforeAutospacing="0" w:after="0" w:afterAutospacing="0"/>
              <w:contextualSpacing/>
              <w:jc w:val="center"/>
              <w:rPr>
                <w:rFonts w:ascii="Arial" w:hAnsi="Arial" w:cs="Arial"/>
                <w:b/>
                <w:bCs/>
                <w:sz w:val="20"/>
                <w:szCs w:val="20"/>
              </w:rPr>
            </w:pPr>
            <w:r w:rsidRPr="0070287D">
              <w:rPr>
                <w:rFonts w:ascii="Arial" w:hAnsi="Arial" w:cs="Arial"/>
                <w:b/>
                <w:bCs/>
                <w:sz w:val="20"/>
                <w:szCs w:val="20"/>
              </w:rPr>
              <w:t xml:space="preserve">Pattern 2 </w:t>
            </w:r>
          </w:p>
          <w:p w14:paraId="702E75D0" w14:textId="77777777" w:rsidR="002F704B" w:rsidRPr="0070287D" w:rsidRDefault="002F704B" w:rsidP="002F704B">
            <w:pPr>
              <w:pStyle w:val="p1"/>
              <w:spacing w:before="0" w:beforeAutospacing="0" w:after="0" w:afterAutospacing="0"/>
              <w:contextualSpacing/>
              <w:jc w:val="center"/>
              <w:rPr>
                <w:rFonts w:ascii="Arial" w:hAnsi="Arial" w:cs="Arial"/>
                <w:b/>
                <w:bCs/>
                <w:sz w:val="20"/>
                <w:szCs w:val="20"/>
              </w:rPr>
            </w:pPr>
            <w:r w:rsidRPr="0070287D">
              <w:rPr>
                <w:rFonts w:ascii="Arial" w:hAnsi="Arial" w:cs="Arial"/>
                <w:b/>
                <w:bCs/>
                <w:sz w:val="20"/>
                <w:szCs w:val="20"/>
              </w:rPr>
              <w:t>Grain–legume–white meat</w:t>
            </w:r>
          </w:p>
        </w:tc>
        <w:tc>
          <w:tcPr>
            <w:tcW w:w="2250" w:type="dxa"/>
            <w:tcBorders>
              <w:top w:val="single" w:sz="4" w:space="0" w:color="auto"/>
              <w:bottom w:val="single" w:sz="4" w:space="0" w:color="auto"/>
            </w:tcBorders>
          </w:tcPr>
          <w:p w14:paraId="416AA57F" w14:textId="77777777" w:rsidR="003C275A" w:rsidRPr="0070287D" w:rsidRDefault="002F704B" w:rsidP="002F704B">
            <w:pPr>
              <w:pStyle w:val="p1"/>
              <w:spacing w:before="0" w:beforeAutospacing="0" w:after="0" w:afterAutospacing="0"/>
              <w:contextualSpacing/>
              <w:jc w:val="center"/>
              <w:rPr>
                <w:rFonts w:ascii="Arial" w:hAnsi="Arial" w:cs="Arial"/>
                <w:b/>
                <w:bCs/>
                <w:sz w:val="20"/>
                <w:szCs w:val="20"/>
              </w:rPr>
            </w:pPr>
            <w:r w:rsidRPr="0070287D">
              <w:rPr>
                <w:rFonts w:ascii="Arial" w:hAnsi="Arial" w:cs="Arial"/>
                <w:b/>
                <w:bCs/>
                <w:sz w:val="20"/>
                <w:szCs w:val="20"/>
              </w:rPr>
              <w:t xml:space="preserve">Pattern 3 </w:t>
            </w:r>
          </w:p>
          <w:p w14:paraId="335BD992" w14:textId="77777777" w:rsidR="002F704B" w:rsidRPr="0070287D" w:rsidRDefault="002F704B" w:rsidP="002F704B">
            <w:pPr>
              <w:pStyle w:val="p1"/>
              <w:spacing w:before="0" w:beforeAutospacing="0" w:after="0" w:afterAutospacing="0"/>
              <w:contextualSpacing/>
              <w:jc w:val="center"/>
              <w:rPr>
                <w:rFonts w:ascii="Arial" w:hAnsi="Arial" w:cs="Arial"/>
                <w:b/>
                <w:bCs/>
                <w:sz w:val="20"/>
                <w:szCs w:val="20"/>
              </w:rPr>
            </w:pPr>
            <w:r w:rsidRPr="0070287D">
              <w:rPr>
                <w:rFonts w:ascii="Arial" w:hAnsi="Arial" w:cs="Arial"/>
                <w:b/>
                <w:bCs/>
                <w:sz w:val="20"/>
                <w:szCs w:val="20"/>
              </w:rPr>
              <w:t>Dairy–tea/coffee–fish–nuts–fruit/vegetable</w:t>
            </w:r>
          </w:p>
        </w:tc>
      </w:tr>
      <w:tr w:rsidR="002F704B" w:rsidRPr="0070287D" w14:paraId="6E39D040" w14:textId="77777777" w:rsidTr="00E73B2B">
        <w:tc>
          <w:tcPr>
            <w:tcW w:w="2693" w:type="dxa"/>
            <w:tcBorders>
              <w:top w:val="single" w:sz="4" w:space="0" w:color="auto"/>
            </w:tcBorders>
            <w:vAlign w:val="center"/>
          </w:tcPr>
          <w:p w14:paraId="266A2B8B"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b/>
                <w:bCs/>
                <w:sz w:val="20"/>
                <w:szCs w:val="20"/>
              </w:rPr>
              <w:t>Primary model</w:t>
            </w:r>
          </w:p>
        </w:tc>
        <w:tc>
          <w:tcPr>
            <w:tcW w:w="2551" w:type="dxa"/>
            <w:tcBorders>
              <w:top w:val="single" w:sz="4" w:space="0" w:color="auto"/>
            </w:tcBorders>
            <w:vAlign w:val="center"/>
          </w:tcPr>
          <w:p w14:paraId="52153C53" w14:textId="77777777" w:rsidR="002F704B" w:rsidRPr="0070287D" w:rsidRDefault="002F704B" w:rsidP="002F704B">
            <w:pPr>
              <w:contextualSpacing/>
              <w:rPr>
                <w:rFonts w:ascii="Arial" w:hAnsi="Arial" w:cs="Arial"/>
                <w:sz w:val="20"/>
                <w:szCs w:val="20"/>
              </w:rPr>
            </w:pPr>
          </w:p>
        </w:tc>
        <w:tc>
          <w:tcPr>
            <w:tcW w:w="2268" w:type="dxa"/>
            <w:tcBorders>
              <w:top w:val="single" w:sz="4" w:space="0" w:color="auto"/>
            </w:tcBorders>
            <w:vAlign w:val="center"/>
          </w:tcPr>
          <w:p w14:paraId="13B82B46" w14:textId="77777777" w:rsidR="002F704B" w:rsidRPr="0070287D" w:rsidRDefault="002F704B" w:rsidP="002F704B">
            <w:pPr>
              <w:contextualSpacing/>
              <w:rPr>
                <w:rFonts w:ascii="Arial" w:hAnsi="Arial" w:cs="Arial"/>
                <w:sz w:val="20"/>
                <w:szCs w:val="20"/>
              </w:rPr>
            </w:pPr>
          </w:p>
        </w:tc>
        <w:tc>
          <w:tcPr>
            <w:tcW w:w="2250" w:type="dxa"/>
            <w:tcBorders>
              <w:top w:val="single" w:sz="4" w:space="0" w:color="auto"/>
            </w:tcBorders>
            <w:vAlign w:val="center"/>
          </w:tcPr>
          <w:p w14:paraId="1B60DE38" w14:textId="77777777" w:rsidR="002F704B" w:rsidRPr="0070287D" w:rsidRDefault="002F704B" w:rsidP="002F704B">
            <w:pPr>
              <w:contextualSpacing/>
              <w:rPr>
                <w:rFonts w:ascii="Arial" w:hAnsi="Arial" w:cs="Arial"/>
                <w:sz w:val="20"/>
                <w:szCs w:val="20"/>
              </w:rPr>
            </w:pPr>
          </w:p>
        </w:tc>
      </w:tr>
      <w:tr w:rsidR="002F704B" w:rsidRPr="0070287D" w14:paraId="39373367" w14:textId="77777777" w:rsidTr="00E73B2B">
        <w:tc>
          <w:tcPr>
            <w:tcW w:w="2693" w:type="dxa"/>
            <w:vAlign w:val="center"/>
          </w:tcPr>
          <w:p w14:paraId="3AF71326" w14:textId="77777777" w:rsidR="002F704B" w:rsidRPr="0070287D" w:rsidRDefault="002F704B" w:rsidP="002F704B">
            <w:pPr>
              <w:pStyle w:val="p1"/>
              <w:spacing w:before="0" w:beforeAutospacing="0" w:after="0" w:afterAutospacing="0"/>
              <w:ind w:firstLine="142"/>
              <w:contextualSpacing/>
              <w:rPr>
                <w:rFonts w:ascii="Arial" w:hAnsi="Arial" w:cs="Arial"/>
                <w:sz w:val="20"/>
                <w:szCs w:val="20"/>
              </w:rPr>
            </w:pPr>
            <w:proofErr w:type="spellStart"/>
            <w:r w:rsidRPr="0070287D">
              <w:rPr>
                <w:rFonts w:ascii="Arial" w:hAnsi="Arial" w:cs="Arial"/>
                <w:sz w:val="20"/>
                <w:szCs w:val="20"/>
              </w:rPr>
              <w:t>aPR</w:t>
            </w:r>
            <w:proofErr w:type="spellEnd"/>
            <w:r w:rsidRPr="0070287D">
              <w:rPr>
                <w:rFonts w:ascii="Arial" w:hAnsi="Arial" w:cs="Arial"/>
                <w:sz w:val="20"/>
                <w:szCs w:val="20"/>
              </w:rPr>
              <w:t xml:space="preserve"> (95% CI)</w:t>
            </w:r>
          </w:p>
        </w:tc>
        <w:tc>
          <w:tcPr>
            <w:tcW w:w="2551" w:type="dxa"/>
            <w:vAlign w:val="center"/>
          </w:tcPr>
          <w:p w14:paraId="33A661DC"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1.15 (1.05–1.26)</w:t>
            </w:r>
          </w:p>
        </w:tc>
        <w:tc>
          <w:tcPr>
            <w:tcW w:w="2268" w:type="dxa"/>
            <w:vAlign w:val="center"/>
          </w:tcPr>
          <w:p w14:paraId="11051296"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0.81 (0.71–0.92)</w:t>
            </w:r>
          </w:p>
        </w:tc>
        <w:tc>
          <w:tcPr>
            <w:tcW w:w="2250" w:type="dxa"/>
            <w:vAlign w:val="center"/>
          </w:tcPr>
          <w:p w14:paraId="0AA6B9EB"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1.22 (1.09–1.36)</w:t>
            </w:r>
          </w:p>
        </w:tc>
      </w:tr>
      <w:tr w:rsidR="002F704B" w:rsidRPr="0070287D" w14:paraId="5F88037B" w14:textId="77777777" w:rsidTr="00E73B2B">
        <w:tc>
          <w:tcPr>
            <w:tcW w:w="2693" w:type="dxa"/>
            <w:vAlign w:val="center"/>
          </w:tcPr>
          <w:p w14:paraId="15BBD7C1" w14:textId="77777777" w:rsidR="002F704B" w:rsidRPr="0070287D" w:rsidRDefault="002F704B" w:rsidP="002F704B">
            <w:pPr>
              <w:pStyle w:val="p1"/>
              <w:spacing w:before="0" w:beforeAutospacing="0" w:after="0" w:afterAutospacing="0"/>
              <w:ind w:firstLine="142"/>
              <w:contextualSpacing/>
              <w:rPr>
                <w:rStyle w:val="s2"/>
                <w:rFonts w:ascii="Arial" w:hAnsi="Arial" w:cs="Arial"/>
                <w:sz w:val="20"/>
                <w:szCs w:val="20"/>
              </w:rPr>
            </w:pPr>
            <w:r w:rsidRPr="0070287D">
              <w:rPr>
                <w:rFonts w:ascii="Arial" w:hAnsi="Arial" w:cs="Arial"/>
                <w:i/>
                <w:iCs/>
                <w:sz w:val="20"/>
                <w:szCs w:val="20"/>
              </w:rPr>
              <w:t>P</w:t>
            </w:r>
            <w:r w:rsidRPr="0070287D">
              <w:rPr>
                <w:rStyle w:val="s2"/>
                <w:rFonts w:ascii="Arial" w:hAnsi="Arial" w:cs="Arial"/>
                <w:sz w:val="20"/>
                <w:szCs w:val="20"/>
              </w:rPr>
              <w:t>-value</w:t>
            </w:r>
          </w:p>
        </w:tc>
        <w:tc>
          <w:tcPr>
            <w:tcW w:w="2551" w:type="dxa"/>
            <w:vAlign w:val="center"/>
          </w:tcPr>
          <w:p w14:paraId="6250B8B7"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.004</w:t>
            </w:r>
          </w:p>
        </w:tc>
        <w:tc>
          <w:tcPr>
            <w:tcW w:w="2268" w:type="dxa"/>
            <w:vAlign w:val="center"/>
          </w:tcPr>
          <w:p w14:paraId="4DCB27C3"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&lt;.001</w:t>
            </w:r>
          </w:p>
        </w:tc>
        <w:tc>
          <w:tcPr>
            <w:tcW w:w="2250" w:type="dxa"/>
            <w:vAlign w:val="center"/>
          </w:tcPr>
          <w:p w14:paraId="05C1312B"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&lt;.001</w:t>
            </w:r>
          </w:p>
        </w:tc>
      </w:tr>
      <w:tr w:rsidR="002F704B" w:rsidRPr="0070287D" w14:paraId="14F27E56" w14:textId="77777777" w:rsidTr="00E73B2B">
        <w:tc>
          <w:tcPr>
            <w:tcW w:w="2693" w:type="dxa"/>
            <w:vAlign w:val="center"/>
          </w:tcPr>
          <w:p w14:paraId="7FFA5CBF"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b/>
                <w:bCs/>
                <w:sz w:val="20"/>
                <w:szCs w:val="20"/>
              </w:rPr>
              <w:t>Extended model</w:t>
            </w:r>
          </w:p>
        </w:tc>
        <w:tc>
          <w:tcPr>
            <w:tcW w:w="2551" w:type="dxa"/>
            <w:vAlign w:val="center"/>
          </w:tcPr>
          <w:p w14:paraId="42C50E23" w14:textId="77777777" w:rsidR="002F704B" w:rsidRPr="0070287D" w:rsidRDefault="002F704B" w:rsidP="002F704B">
            <w:pPr>
              <w:contextualSpacing/>
              <w:rPr>
                <w:rFonts w:ascii="Arial" w:hAnsi="Arial" w:cs="Arial"/>
                <w:sz w:val="20"/>
                <w:szCs w:val="20"/>
              </w:rPr>
            </w:pPr>
          </w:p>
        </w:tc>
        <w:tc>
          <w:tcPr>
            <w:tcW w:w="2268" w:type="dxa"/>
            <w:vAlign w:val="center"/>
          </w:tcPr>
          <w:p w14:paraId="1CBC2D35" w14:textId="77777777" w:rsidR="002F704B" w:rsidRPr="0070287D" w:rsidRDefault="002F704B" w:rsidP="002F704B">
            <w:pPr>
              <w:contextualSpacing/>
              <w:rPr>
                <w:rFonts w:ascii="Arial" w:hAnsi="Arial" w:cs="Arial"/>
                <w:sz w:val="20"/>
                <w:szCs w:val="20"/>
              </w:rPr>
            </w:pPr>
          </w:p>
        </w:tc>
        <w:tc>
          <w:tcPr>
            <w:tcW w:w="2250" w:type="dxa"/>
            <w:vAlign w:val="center"/>
          </w:tcPr>
          <w:p w14:paraId="7A1F1195" w14:textId="77777777" w:rsidR="002F704B" w:rsidRPr="0070287D" w:rsidRDefault="002F704B" w:rsidP="002F704B">
            <w:pPr>
              <w:contextualSpacing/>
              <w:rPr>
                <w:rFonts w:ascii="Arial" w:hAnsi="Arial" w:cs="Arial"/>
                <w:sz w:val="20"/>
                <w:szCs w:val="20"/>
              </w:rPr>
            </w:pPr>
          </w:p>
        </w:tc>
      </w:tr>
      <w:tr w:rsidR="002F704B" w:rsidRPr="0070287D" w14:paraId="0C447FD0" w14:textId="77777777" w:rsidTr="00E73B2B">
        <w:tc>
          <w:tcPr>
            <w:tcW w:w="2693" w:type="dxa"/>
            <w:vAlign w:val="center"/>
          </w:tcPr>
          <w:p w14:paraId="35E570CD" w14:textId="77777777" w:rsidR="002F704B" w:rsidRPr="0070287D" w:rsidRDefault="002F704B" w:rsidP="002F704B">
            <w:pPr>
              <w:pStyle w:val="p1"/>
              <w:spacing w:before="0" w:beforeAutospacing="0" w:after="0" w:afterAutospacing="0"/>
              <w:ind w:firstLine="142"/>
              <w:contextualSpacing/>
              <w:rPr>
                <w:rFonts w:ascii="Arial" w:hAnsi="Arial" w:cs="Arial"/>
                <w:sz w:val="20"/>
                <w:szCs w:val="20"/>
              </w:rPr>
            </w:pPr>
            <w:proofErr w:type="spellStart"/>
            <w:r w:rsidRPr="0070287D">
              <w:rPr>
                <w:rFonts w:ascii="Arial" w:hAnsi="Arial" w:cs="Arial"/>
                <w:sz w:val="20"/>
                <w:szCs w:val="20"/>
              </w:rPr>
              <w:lastRenderedPageBreak/>
              <w:t>aPR</w:t>
            </w:r>
            <w:proofErr w:type="spellEnd"/>
            <w:r w:rsidRPr="0070287D">
              <w:rPr>
                <w:rFonts w:ascii="Arial" w:hAnsi="Arial" w:cs="Arial"/>
                <w:sz w:val="20"/>
                <w:szCs w:val="20"/>
              </w:rPr>
              <w:t xml:space="preserve"> (95% CI)</w:t>
            </w:r>
          </w:p>
        </w:tc>
        <w:tc>
          <w:tcPr>
            <w:tcW w:w="2551" w:type="dxa"/>
            <w:vAlign w:val="center"/>
          </w:tcPr>
          <w:p w14:paraId="3E252DDB"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1.15 (1.05–1.26)</w:t>
            </w:r>
          </w:p>
        </w:tc>
        <w:tc>
          <w:tcPr>
            <w:tcW w:w="2268" w:type="dxa"/>
            <w:vAlign w:val="center"/>
          </w:tcPr>
          <w:p w14:paraId="335D0C0B"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0.80 (0.70–0.90)</w:t>
            </w:r>
          </w:p>
        </w:tc>
        <w:tc>
          <w:tcPr>
            <w:tcW w:w="2250" w:type="dxa"/>
            <w:vAlign w:val="center"/>
          </w:tcPr>
          <w:p w14:paraId="13A3C18A"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1.23 (1.10–1.38)</w:t>
            </w:r>
          </w:p>
        </w:tc>
      </w:tr>
      <w:tr w:rsidR="002F704B" w:rsidRPr="0070287D" w14:paraId="362BEA01" w14:textId="77777777" w:rsidTr="00E73B2B">
        <w:tc>
          <w:tcPr>
            <w:tcW w:w="2693" w:type="dxa"/>
            <w:vAlign w:val="center"/>
          </w:tcPr>
          <w:p w14:paraId="3AE7F646" w14:textId="77777777" w:rsidR="002F704B" w:rsidRPr="0070287D" w:rsidRDefault="002F704B" w:rsidP="002F704B">
            <w:pPr>
              <w:pStyle w:val="p1"/>
              <w:spacing w:before="0" w:beforeAutospacing="0" w:after="0" w:afterAutospacing="0"/>
              <w:ind w:firstLine="142"/>
              <w:contextualSpacing/>
              <w:rPr>
                <w:rStyle w:val="s2"/>
                <w:rFonts w:ascii="Arial" w:hAnsi="Arial" w:cs="Arial"/>
                <w:sz w:val="20"/>
                <w:szCs w:val="20"/>
              </w:rPr>
            </w:pPr>
            <w:r w:rsidRPr="0070287D">
              <w:rPr>
                <w:rFonts w:ascii="Arial" w:hAnsi="Arial" w:cs="Arial"/>
                <w:i/>
                <w:iCs/>
                <w:sz w:val="20"/>
                <w:szCs w:val="20"/>
              </w:rPr>
              <w:t>P</w:t>
            </w:r>
            <w:r w:rsidRPr="0070287D">
              <w:rPr>
                <w:rStyle w:val="s2"/>
                <w:rFonts w:ascii="Arial" w:hAnsi="Arial" w:cs="Arial"/>
                <w:sz w:val="20"/>
                <w:szCs w:val="20"/>
              </w:rPr>
              <w:t>-value</w:t>
            </w:r>
          </w:p>
        </w:tc>
        <w:tc>
          <w:tcPr>
            <w:tcW w:w="2551" w:type="dxa"/>
            <w:vAlign w:val="center"/>
          </w:tcPr>
          <w:p w14:paraId="6FDFBF9B"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.003</w:t>
            </w:r>
          </w:p>
        </w:tc>
        <w:tc>
          <w:tcPr>
            <w:tcW w:w="2268" w:type="dxa"/>
            <w:vAlign w:val="center"/>
          </w:tcPr>
          <w:p w14:paraId="75C697E3"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&lt;.001</w:t>
            </w:r>
          </w:p>
        </w:tc>
        <w:tc>
          <w:tcPr>
            <w:tcW w:w="2250" w:type="dxa"/>
            <w:vAlign w:val="center"/>
          </w:tcPr>
          <w:p w14:paraId="5EBDE5F6"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&lt;.001</w:t>
            </w:r>
          </w:p>
        </w:tc>
      </w:tr>
      <w:tr w:rsidR="002F704B" w:rsidRPr="0070287D" w14:paraId="55251FD3" w14:textId="77777777" w:rsidTr="00E73B2B">
        <w:tc>
          <w:tcPr>
            <w:tcW w:w="2693" w:type="dxa"/>
            <w:vAlign w:val="center"/>
          </w:tcPr>
          <w:p w14:paraId="4DBD07D2"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b/>
                <w:bCs/>
                <w:sz w:val="20"/>
                <w:szCs w:val="20"/>
              </w:rPr>
              <w:t>Restricted-score model</w:t>
            </w:r>
          </w:p>
        </w:tc>
        <w:tc>
          <w:tcPr>
            <w:tcW w:w="2551" w:type="dxa"/>
            <w:vAlign w:val="center"/>
          </w:tcPr>
          <w:p w14:paraId="67E1ECDC" w14:textId="77777777" w:rsidR="002F704B" w:rsidRPr="0070287D" w:rsidRDefault="002F704B" w:rsidP="002F704B">
            <w:pPr>
              <w:contextualSpacing/>
              <w:rPr>
                <w:rFonts w:ascii="Arial" w:hAnsi="Arial" w:cs="Arial"/>
                <w:sz w:val="20"/>
                <w:szCs w:val="20"/>
              </w:rPr>
            </w:pPr>
          </w:p>
        </w:tc>
        <w:tc>
          <w:tcPr>
            <w:tcW w:w="2268" w:type="dxa"/>
            <w:vAlign w:val="center"/>
          </w:tcPr>
          <w:p w14:paraId="6148B180" w14:textId="77777777" w:rsidR="002F704B" w:rsidRPr="0070287D" w:rsidRDefault="002F704B" w:rsidP="002F704B">
            <w:pPr>
              <w:contextualSpacing/>
              <w:rPr>
                <w:rFonts w:ascii="Arial" w:hAnsi="Arial" w:cs="Arial"/>
                <w:sz w:val="20"/>
                <w:szCs w:val="20"/>
              </w:rPr>
            </w:pPr>
          </w:p>
        </w:tc>
        <w:tc>
          <w:tcPr>
            <w:tcW w:w="2250" w:type="dxa"/>
            <w:vAlign w:val="center"/>
          </w:tcPr>
          <w:p w14:paraId="3CCE65D3" w14:textId="77777777" w:rsidR="002F704B" w:rsidRPr="0070287D" w:rsidRDefault="002F704B" w:rsidP="002F704B">
            <w:pPr>
              <w:contextualSpacing/>
              <w:rPr>
                <w:rFonts w:ascii="Arial" w:hAnsi="Arial" w:cs="Arial"/>
                <w:sz w:val="20"/>
                <w:szCs w:val="20"/>
              </w:rPr>
            </w:pPr>
          </w:p>
        </w:tc>
      </w:tr>
      <w:tr w:rsidR="002F704B" w:rsidRPr="0070287D" w14:paraId="315B0FAB" w14:textId="77777777" w:rsidTr="00E73B2B">
        <w:tc>
          <w:tcPr>
            <w:tcW w:w="2693" w:type="dxa"/>
            <w:vAlign w:val="center"/>
          </w:tcPr>
          <w:p w14:paraId="0C42C922" w14:textId="77777777" w:rsidR="002F704B" w:rsidRPr="0070287D" w:rsidRDefault="002F704B" w:rsidP="002F704B">
            <w:pPr>
              <w:pStyle w:val="p1"/>
              <w:spacing w:before="0" w:beforeAutospacing="0" w:after="0" w:afterAutospacing="0"/>
              <w:ind w:firstLine="142"/>
              <w:contextualSpacing/>
              <w:rPr>
                <w:rFonts w:ascii="Arial" w:hAnsi="Arial" w:cs="Arial"/>
                <w:sz w:val="20"/>
                <w:szCs w:val="20"/>
              </w:rPr>
            </w:pPr>
            <w:proofErr w:type="spellStart"/>
            <w:r w:rsidRPr="0070287D">
              <w:rPr>
                <w:rFonts w:ascii="Arial" w:hAnsi="Arial" w:cs="Arial"/>
                <w:sz w:val="20"/>
                <w:szCs w:val="20"/>
              </w:rPr>
              <w:t>aPR</w:t>
            </w:r>
            <w:proofErr w:type="spellEnd"/>
            <w:r w:rsidRPr="0070287D">
              <w:rPr>
                <w:rFonts w:ascii="Arial" w:hAnsi="Arial" w:cs="Arial"/>
                <w:sz w:val="20"/>
                <w:szCs w:val="20"/>
              </w:rPr>
              <w:t xml:space="preserve"> (95% CI)</w:t>
            </w:r>
          </w:p>
        </w:tc>
        <w:tc>
          <w:tcPr>
            <w:tcW w:w="2551" w:type="dxa"/>
            <w:vAlign w:val="center"/>
          </w:tcPr>
          <w:p w14:paraId="792ACAE8"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1.12 (1.02–1.23)</w:t>
            </w:r>
          </w:p>
        </w:tc>
        <w:tc>
          <w:tcPr>
            <w:tcW w:w="2268" w:type="dxa"/>
            <w:vAlign w:val="center"/>
          </w:tcPr>
          <w:p w14:paraId="79B710E7"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0.80 (0.70–0.91)</w:t>
            </w:r>
          </w:p>
        </w:tc>
        <w:tc>
          <w:tcPr>
            <w:tcW w:w="2250" w:type="dxa"/>
            <w:vAlign w:val="center"/>
          </w:tcPr>
          <w:p w14:paraId="7F105A09"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1.19 (1.07–1.32)</w:t>
            </w:r>
          </w:p>
        </w:tc>
      </w:tr>
      <w:tr w:rsidR="002F704B" w:rsidRPr="0070287D" w14:paraId="4D4FEA27" w14:textId="77777777" w:rsidTr="00E73B2B">
        <w:tc>
          <w:tcPr>
            <w:tcW w:w="2693" w:type="dxa"/>
            <w:vAlign w:val="center"/>
          </w:tcPr>
          <w:p w14:paraId="0D74EB77" w14:textId="77777777" w:rsidR="002F704B" w:rsidRPr="0070287D" w:rsidRDefault="002F704B" w:rsidP="002F704B">
            <w:pPr>
              <w:pStyle w:val="p1"/>
              <w:spacing w:before="0" w:beforeAutospacing="0" w:after="0" w:afterAutospacing="0"/>
              <w:ind w:firstLine="142"/>
              <w:contextualSpacing/>
              <w:rPr>
                <w:rStyle w:val="s2"/>
                <w:rFonts w:ascii="Arial" w:hAnsi="Arial" w:cs="Arial"/>
                <w:sz w:val="20"/>
                <w:szCs w:val="20"/>
              </w:rPr>
            </w:pPr>
            <w:r w:rsidRPr="0070287D">
              <w:rPr>
                <w:rFonts w:ascii="Arial" w:hAnsi="Arial" w:cs="Arial"/>
                <w:i/>
                <w:iCs/>
                <w:sz w:val="20"/>
                <w:szCs w:val="20"/>
              </w:rPr>
              <w:t>P</w:t>
            </w:r>
            <w:r w:rsidRPr="0070287D">
              <w:rPr>
                <w:rStyle w:val="s2"/>
                <w:rFonts w:ascii="Arial" w:hAnsi="Arial" w:cs="Arial"/>
                <w:sz w:val="20"/>
                <w:szCs w:val="20"/>
              </w:rPr>
              <w:t>-value</w:t>
            </w:r>
          </w:p>
        </w:tc>
        <w:tc>
          <w:tcPr>
            <w:tcW w:w="2551" w:type="dxa"/>
            <w:vAlign w:val="center"/>
          </w:tcPr>
          <w:p w14:paraId="5979EDA0"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.016</w:t>
            </w:r>
          </w:p>
        </w:tc>
        <w:tc>
          <w:tcPr>
            <w:tcW w:w="2268" w:type="dxa"/>
            <w:vAlign w:val="center"/>
          </w:tcPr>
          <w:p w14:paraId="359DF236"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&lt;.001</w:t>
            </w:r>
          </w:p>
        </w:tc>
        <w:tc>
          <w:tcPr>
            <w:tcW w:w="2250" w:type="dxa"/>
            <w:vAlign w:val="center"/>
          </w:tcPr>
          <w:p w14:paraId="0761C85A"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.002</w:t>
            </w:r>
          </w:p>
        </w:tc>
      </w:tr>
      <w:tr w:rsidR="002F704B" w:rsidRPr="0070287D" w14:paraId="0CCE364B" w14:textId="77777777" w:rsidTr="00E73B2B">
        <w:tc>
          <w:tcPr>
            <w:tcW w:w="2693" w:type="dxa"/>
            <w:vAlign w:val="center"/>
          </w:tcPr>
          <w:p w14:paraId="0DD6C29F"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b/>
                <w:bCs/>
                <w:sz w:val="20"/>
                <w:szCs w:val="20"/>
              </w:rPr>
              <w:t>Full–restricted score correlation, r</w:t>
            </w:r>
          </w:p>
        </w:tc>
        <w:tc>
          <w:tcPr>
            <w:tcW w:w="2551" w:type="dxa"/>
            <w:vAlign w:val="center"/>
          </w:tcPr>
          <w:p w14:paraId="02F5092F"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.996</w:t>
            </w:r>
          </w:p>
        </w:tc>
        <w:tc>
          <w:tcPr>
            <w:tcW w:w="2268" w:type="dxa"/>
            <w:vAlign w:val="center"/>
          </w:tcPr>
          <w:p w14:paraId="0D6E0520"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.976</w:t>
            </w:r>
          </w:p>
        </w:tc>
        <w:tc>
          <w:tcPr>
            <w:tcW w:w="2250" w:type="dxa"/>
            <w:vAlign w:val="center"/>
          </w:tcPr>
          <w:p w14:paraId="50C7672E"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.983</w:t>
            </w:r>
          </w:p>
        </w:tc>
      </w:tr>
    </w:tbl>
    <w:p w14:paraId="5E0581E8" w14:textId="77777777" w:rsidR="00460992" w:rsidRPr="00E73B2B" w:rsidRDefault="00460992" w:rsidP="002F704B">
      <w:pPr>
        <w:pStyle w:val="p1"/>
        <w:spacing w:before="0" w:beforeAutospacing="0" w:after="0" w:afterAutospacing="0"/>
        <w:contextualSpacing/>
        <w:jc w:val="both"/>
        <w:rPr>
          <w:i/>
          <w:iCs/>
          <w:sz w:val="18"/>
          <w:szCs w:val="18"/>
        </w:rPr>
      </w:pPr>
      <w:proofErr w:type="spellStart"/>
      <w:r w:rsidRPr="00E73B2B">
        <w:rPr>
          <w:i/>
          <w:iCs/>
          <w:sz w:val="18"/>
          <w:szCs w:val="18"/>
        </w:rPr>
        <w:t>aPR</w:t>
      </w:r>
      <w:proofErr w:type="spellEnd"/>
      <w:r w:rsidRPr="00E73B2B">
        <w:rPr>
          <w:i/>
          <w:iCs/>
          <w:sz w:val="18"/>
          <w:szCs w:val="18"/>
        </w:rPr>
        <w:t xml:space="preserve">, adjusted prevalence ratio; CI, confidence interval; PCA, principal component analysis; CCA, clustered cardiometabolic abnormalities. Estimates represent the change in prevalence of higher CCA burden (CCA ≥2 abnormalities) per 1-SD increase in each dietary-pattern score. The primary model included all three dietary-pattern scores and adjusted for age, sex, education and ethnicity. The extended model additionally adjusted for marital status and economically active employment. The restricted-score model used loading-weighted scores derived from the defining food groups only. Statistical significance was set at </w:t>
      </w:r>
      <w:r w:rsidRPr="00E73B2B">
        <w:rPr>
          <w:rStyle w:val="s1"/>
          <w:i/>
          <w:iCs/>
          <w:sz w:val="18"/>
          <w:szCs w:val="18"/>
        </w:rPr>
        <w:t>p</w:t>
      </w:r>
      <w:r w:rsidRPr="00E73B2B">
        <w:rPr>
          <w:i/>
          <w:iCs/>
          <w:sz w:val="18"/>
          <w:szCs w:val="18"/>
        </w:rPr>
        <w:t>&lt;0.05.</w:t>
      </w:r>
    </w:p>
    <w:p w14:paraId="145596FF" w14:textId="77777777" w:rsidR="00760287" w:rsidRPr="00B85224" w:rsidRDefault="00760287" w:rsidP="00760287">
      <w:pPr>
        <w:spacing w:after="120"/>
        <w:jc w:val="both"/>
        <w:rPr>
          <w:rFonts w:ascii="Arial" w:hAnsi="Arial" w:cs="Arial"/>
        </w:rPr>
      </w:pPr>
    </w:p>
    <w:p w14:paraId="328E75D3" w14:textId="77777777" w:rsidR="00D065D9" w:rsidRPr="00B85224" w:rsidRDefault="00000000">
      <w:pPr>
        <w:jc w:val="center"/>
        <w:rPr>
          <w:rFonts w:ascii="Arial" w:hAnsi="Arial" w:cs="Arial"/>
        </w:rPr>
      </w:pPr>
      <w:r w:rsidRPr="00B85224">
        <w:rPr>
          <w:rFonts w:ascii="Arial" w:hAnsi="Arial" w:cs="Arial"/>
          <w:noProof/>
        </w:rPr>
        <w:drawing>
          <wp:inline distT="0" distB="0" distL="0" distR="0" wp14:anchorId="3E3F8720" wp14:editId="262FB3C3">
            <wp:extent cx="5120640" cy="293361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2_1_three_pattern_CCA2_forest.png"/>
                    <pic:cNvPicPr/>
                  </pic:nvPicPr>
                  <pic:blipFill>
                    <a:blip r:embed="rId9"/>
                    <a:stretch>
                      <a:fillRect/>
                    </a:stretch>
                  </pic:blipFill>
                  <pic:spPr>
                    <a:xfrm>
                      <a:off x="0" y="0"/>
                      <a:ext cx="5120640" cy="2933613"/>
                    </a:xfrm>
                    <a:prstGeom prst="rect">
                      <a:avLst/>
                    </a:prstGeom>
                  </pic:spPr>
                </pic:pic>
              </a:graphicData>
            </a:graphic>
          </wp:inline>
        </w:drawing>
      </w:r>
    </w:p>
    <w:p w14:paraId="1E4AFA8B" w14:textId="77777777" w:rsidR="00D065D9" w:rsidRPr="00B85224" w:rsidRDefault="00460992" w:rsidP="00460992">
      <w:pPr>
        <w:rPr>
          <w:rFonts w:ascii="Arial" w:hAnsi="Arial" w:cs="Arial"/>
        </w:rPr>
      </w:pPr>
      <w:r w:rsidRPr="00460992">
        <w:rPr>
          <w:rFonts w:ascii="Arial" w:hAnsi="Arial" w:cs="Arial"/>
          <w:sz w:val="18"/>
        </w:rPr>
        <w:t>Figure 2. Adjusted prevalence ratios for higher clustered cardiometabolic abnormality burden per 1-SD increase in dietary-pattern scores</w:t>
      </w:r>
    </w:p>
    <w:p w14:paraId="3D7A66A3" w14:textId="77777777" w:rsidR="00D065D9" w:rsidRPr="007E3224" w:rsidRDefault="00000000">
      <w:pPr>
        <w:spacing w:before="160" w:after="100"/>
        <w:rPr>
          <w:rFonts w:ascii="Arial" w:hAnsi="Arial" w:cs="Arial"/>
          <w:sz w:val="22"/>
          <w:szCs w:val="22"/>
        </w:rPr>
      </w:pPr>
      <w:r w:rsidRPr="007E3224">
        <w:rPr>
          <w:rFonts w:ascii="Arial" w:hAnsi="Arial" w:cs="Arial"/>
          <w:b/>
          <w:sz w:val="22"/>
          <w:szCs w:val="22"/>
        </w:rPr>
        <w:t xml:space="preserve">3.1.8 </w:t>
      </w:r>
      <w:r w:rsidR="00E60BE8" w:rsidRPr="007E3224">
        <w:rPr>
          <w:rFonts w:ascii="Arial" w:hAnsi="Arial" w:cs="Arial"/>
          <w:b/>
          <w:sz w:val="22"/>
          <w:szCs w:val="22"/>
        </w:rPr>
        <w:t xml:space="preserve">Associations </w:t>
      </w:r>
      <w:r w:rsidR="007B61CD" w:rsidRPr="007E3224">
        <w:rPr>
          <w:rFonts w:ascii="Arial" w:hAnsi="Arial" w:cs="Arial"/>
          <w:b/>
          <w:sz w:val="22"/>
          <w:szCs w:val="22"/>
        </w:rPr>
        <w:t>with</w:t>
      </w:r>
      <w:r w:rsidR="00E60BE8" w:rsidRPr="007E3224">
        <w:rPr>
          <w:rFonts w:ascii="Arial" w:hAnsi="Arial" w:cs="Arial"/>
          <w:b/>
          <w:sz w:val="22"/>
          <w:szCs w:val="22"/>
        </w:rPr>
        <w:t xml:space="preserve"> CCA ≥3 and Individual Cardiometabolic Abnormalities</w:t>
      </w:r>
    </w:p>
    <w:p w14:paraId="1BC04146" w14:textId="77777777" w:rsidR="007E3224" w:rsidRPr="007E3224" w:rsidRDefault="007E3224" w:rsidP="007E3224">
      <w:pPr>
        <w:spacing w:after="120"/>
        <w:jc w:val="both"/>
        <w:rPr>
          <w:rFonts w:ascii="Arial" w:hAnsi="Arial" w:cs="Arial"/>
          <w:sz w:val="20"/>
        </w:rPr>
      </w:pPr>
      <w:r w:rsidRPr="007E3224">
        <w:rPr>
          <w:rFonts w:ascii="Arial" w:hAnsi="Arial" w:cs="Arial"/>
          <w:sz w:val="20"/>
        </w:rPr>
        <w:t>Table 9 presents the associations of the three dietary-pattern scores with the more severe CCA phenotype, defined as three or more cardiometabolic abnormalities, and with the individual cardiometabolic components. Pattern 1, the fried/fast food–fats/oils–dessert/soft drink–alcohol pattern, remained positively associated with CCA ≥3, with each 1-SD increase in score corresponding to a 17% higher prevalence of this phenotype (</w:t>
      </w:r>
      <w:proofErr w:type="spellStart"/>
      <w:r w:rsidRPr="007E3224">
        <w:rPr>
          <w:rFonts w:ascii="Arial" w:hAnsi="Arial" w:cs="Arial"/>
          <w:sz w:val="20"/>
        </w:rPr>
        <w:t>aPR</w:t>
      </w:r>
      <w:proofErr w:type="spellEnd"/>
      <w:r w:rsidRPr="007E3224">
        <w:rPr>
          <w:rFonts w:ascii="Arial" w:hAnsi="Arial" w:cs="Arial"/>
          <w:sz w:val="20"/>
        </w:rPr>
        <w:t xml:space="preserve"> 1.17, 95% CI 1.01–1.36; p=.038). Pattern 1 was also positively associated with </w:t>
      </w:r>
      <w:proofErr w:type="spellStart"/>
      <w:r w:rsidRPr="007E3224">
        <w:rPr>
          <w:rFonts w:ascii="Arial" w:hAnsi="Arial" w:cs="Arial"/>
          <w:sz w:val="20"/>
        </w:rPr>
        <w:t>dysglycaemia</w:t>
      </w:r>
      <w:proofErr w:type="spellEnd"/>
      <w:r w:rsidRPr="007E3224">
        <w:rPr>
          <w:rFonts w:ascii="Arial" w:hAnsi="Arial" w:cs="Arial"/>
          <w:sz w:val="20"/>
        </w:rPr>
        <w:t xml:space="preserve"> (</w:t>
      </w:r>
      <w:proofErr w:type="spellStart"/>
      <w:r w:rsidRPr="007E3224">
        <w:rPr>
          <w:rFonts w:ascii="Arial" w:hAnsi="Arial" w:cs="Arial"/>
          <w:sz w:val="20"/>
        </w:rPr>
        <w:t>aPR</w:t>
      </w:r>
      <w:proofErr w:type="spellEnd"/>
      <w:r w:rsidRPr="007E3224">
        <w:rPr>
          <w:rFonts w:ascii="Arial" w:hAnsi="Arial" w:cs="Arial"/>
          <w:sz w:val="20"/>
        </w:rPr>
        <w:t xml:space="preserve"> 1.19, 95% CI 1.06–1.33; p=.004) and </w:t>
      </w:r>
      <w:proofErr w:type="spellStart"/>
      <w:r w:rsidRPr="007E3224">
        <w:rPr>
          <w:rFonts w:ascii="Arial" w:hAnsi="Arial" w:cs="Arial"/>
          <w:sz w:val="20"/>
        </w:rPr>
        <w:t>hypertriglyceridaemia</w:t>
      </w:r>
      <w:proofErr w:type="spellEnd"/>
      <w:r w:rsidRPr="007E3224">
        <w:rPr>
          <w:rFonts w:ascii="Arial" w:hAnsi="Arial" w:cs="Arial"/>
          <w:sz w:val="20"/>
        </w:rPr>
        <w:t xml:space="preserve"> (</w:t>
      </w:r>
      <w:proofErr w:type="spellStart"/>
      <w:r w:rsidRPr="007E3224">
        <w:rPr>
          <w:rFonts w:ascii="Arial" w:hAnsi="Arial" w:cs="Arial"/>
          <w:sz w:val="20"/>
        </w:rPr>
        <w:t>aPR</w:t>
      </w:r>
      <w:proofErr w:type="spellEnd"/>
      <w:r w:rsidRPr="007E3224">
        <w:rPr>
          <w:rFonts w:ascii="Arial" w:hAnsi="Arial" w:cs="Arial"/>
          <w:sz w:val="20"/>
        </w:rPr>
        <w:t xml:space="preserve"> 1.38, 95% CI 1.01–1.89; p=.046). The association with general obesity was borderline (</w:t>
      </w:r>
      <w:proofErr w:type="spellStart"/>
      <w:r w:rsidRPr="007E3224">
        <w:rPr>
          <w:rFonts w:ascii="Arial" w:hAnsi="Arial" w:cs="Arial"/>
          <w:sz w:val="20"/>
        </w:rPr>
        <w:t>aPR</w:t>
      </w:r>
      <w:proofErr w:type="spellEnd"/>
      <w:r w:rsidRPr="007E3224">
        <w:rPr>
          <w:rFonts w:ascii="Arial" w:hAnsi="Arial" w:cs="Arial"/>
          <w:sz w:val="20"/>
        </w:rPr>
        <w:t xml:space="preserve"> 1.15, 95% CI 1.00–1.31; p=.050), while no statistically significant associations were observed with elevated blood pressure or reduced HDL-C.</w:t>
      </w:r>
    </w:p>
    <w:p w14:paraId="3994EDE7" w14:textId="77777777" w:rsidR="007E3224" w:rsidRPr="007E3224" w:rsidRDefault="007E3224" w:rsidP="007E3224">
      <w:pPr>
        <w:spacing w:after="120"/>
        <w:jc w:val="both"/>
        <w:rPr>
          <w:rFonts w:ascii="Arial" w:hAnsi="Arial" w:cs="Arial"/>
          <w:sz w:val="20"/>
        </w:rPr>
      </w:pPr>
      <w:r w:rsidRPr="007E3224">
        <w:rPr>
          <w:rFonts w:ascii="Arial" w:hAnsi="Arial" w:cs="Arial"/>
          <w:sz w:val="20"/>
        </w:rPr>
        <w:t>Pattern 2, the grain–legume–white meat pattern, showed a strong inverse association with CCA ≥3. Each 1-SD increase in Pattern 2 score was associated with a 52% lower prevalence of having at least three cardiometabolic abnormalities (</w:t>
      </w:r>
      <w:proofErr w:type="spellStart"/>
      <w:r w:rsidRPr="007E3224">
        <w:rPr>
          <w:rFonts w:ascii="Arial" w:hAnsi="Arial" w:cs="Arial"/>
          <w:sz w:val="20"/>
        </w:rPr>
        <w:t>aPR</w:t>
      </w:r>
      <w:proofErr w:type="spellEnd"/>
      <w:r w:rsidRPr="007E3224">
        <w:rPr>
          <w:rFonts w:ascii="Arial" w:hAnsi="Arial" w:cs="Arial"/>
          <w:sz w:val="20"/>
        </w:rPr>
        <w:t xml:space="preserve"> 0.48, 95% CI 0.38–0.61; p&lt;.001). In component-specific analyses, Pattern 2 was inversely associated with general obesity (</w:t>
      </w:r>
      <w:proofErr w:type="spellStart"/>
      <w:r w:rsidRPr="007E3224">
        <w:rPr>
          <w:rFonts w:ascii="Arial" w:hAnsi="Arial" w:cs="Arial"/>
          <w:sz w:val="20"/>
        </w:rPr>
        <w:t>aPR</w:t>
      </w:r>
      <w:proofErr w:type="spellEnd"/>
      <w:r w:rsidRPr="007E3224">
        <w:rPr>
          <w:rFonts w:ascii="Arial" w:hAnsi="Arial" w:cs="Arial"/>
          <w:sz w:val="20"/>
        </w:rPr>
        <w:t xml:space="preserve"> 0.77, 95% CI 0.64–0.93; p=.007), elevated blood pressure (</w:t>
      </w:r>
      <w:proofErr w:type="spellStart"/>
      <w:r w:rsidRPr="007E3224">
        <w:rPr>
          <w:rFonts w:ascii="Arial" w:hAnsi="Arial" w:cs="Arial"/>
          <w:sz w:val="20"/>
        </w:rPr>
        <w:t>aPR</w:t>
      </w:r>
      <w:proofErr w:type="spellEnd"/>
      <w:r w:rsidRPr="007E3224">
        <w:rPr>
          <w:rFonts w:ascii="Arial" w:hAnsi="Arial" w:cs="Arial"/>
          <w:sz w:val="20"/>
        </w:rPr>
        <w:t xml:space="preserve"> 0.80, 95% CI 0.72–0.90; p&lt;.001), and </w:t>
      </w:r>
      <w:proofErr w:type="spellStart"/>
      <w:r w:rsidRPr="007E3224">
        <w:rPr>
          <w:rFonts w:ascii="Arial" w:hAnsi="Arial" w:cs="Arial"/>
          <w:sz w:val="20"/>
        </w:rPr>
        <w:t>dysglycaemia</w:t>
      </w:r>
      <w:proofErr w:type="spellEnd"/>
      <w:r w:rsidRPr="007E3224">
        <w:rPr>
          <w:rFonts w:ascii="Arial" w:hAnsi="Arial" w:cs="Arial"/>
          <w:sz w:val="20"/>
        </w:rPr>
        <w:t xml:space="preserve"> (</w:t>
      </w:r>
      <w:proofErr w:type="spellStart"/>
      <w:r w:rsidRPr="007E3224">
        <w:rPr>
          <w:rFonts w:ascii="Arial" w:hAnsi="Arial" w:cs="Arial"/>
          <w:sz w:val="20"/>
        </w:rPr>
        <w:t>aPR</w:t>
      </w:r>
      <w:proofErr w:type="spellEnd"/>
      <w:r w:rsidRPr="007E3224">
        <w:rPr>
          <w:rFonts w:ascii="Arial" w:hAnsi="Arial" w:cs="Arial"/>
          <w:sz w:val="20"/>
        </w:rPr>
        <w:t xml:space="preserve"> 0.63, 95% CI 0.52–0.76; p&lt;.001). Associations with </w:t>
      </w:r>
      <w:proofErr w:type="spellStart"/>
      <w:r w:rsidRPr="007E3224">
        <w:rPr>
          <w:rFonts w:ascii="Arial" w:hAnsi="Arial" w:cs="Arial"/>
          <w:sz w:val="20"/>
        </w:rPr>
        <w:t>hypertriglyceridaemia</w:t>
      </w:r>
      <w:proofErr w:type="spellEnd"/>
      <w:r w:rsidRPr="007E3224">
        <w:rPr>
          <w:rFonts w:ascii="Arial" w:hAnsi="Arial" w:cs="Arial"/>
          <w:sz w:val="20"/>
        </w:rPr>
        <w:t xml:space="preserve"> and reduced HDL-C were not statistically significant.</w:t>
      </w:r>
    </w:p>
    <w:p w14:paraId="217777BC" w14:textId="77777777" w:rsidR="007E3224" w:rsidRPr="007E3224" w:rsidRDefault="007E3224" w:rsidP="007E3224">
      <w:pPr>
        <w:spacing w:after="120"/>
        <w:jc w:val="both"/>
        <w:rPr>
          <w:rFonts w:ascii="Arial" w:hAnsi="Arial" w:cs="Arial"/>
          <w:sz w:val="20"/>
        </w:rPr>
      </w:pPr>
      <w:r w:rsidRPr="007E3224">
        <w:rPr>
          <w:rFonts w:ascii="Arial" w:hAnsi="Arial" w:cs="Arial"/>
          <w:sz w:val="20"/>
        </w:rPr>
        <w:t xml:space="preserve">Pattern 3, the dairy–tea/coffee–fish–nuts–fruit/vegetable pattern, was positively associated with CCA ≥3, </w:t>
      </w:r>
      <w:r w:rsidRPr="007E3224">
        <w:rPr>
          <w:rFonts w:ascii="Arial" w:hAnsi="Arial" w:cs="Arial"/>
          <w:sz w:val="20"/>
          <w:highlight w:val="yellow"/>
        </w:rPr>
        <w:t>and each 1-SD increase in score was associated with a 36% higher prevalence</w:t>
      </w:r>
      <w:r w:rsidRPr="007E3224">
        <w:rPr>
          <w:rFonts w:ascii="Arial" w:hAnsi="Arial" w:cs="Arial"/>
          <w:sz w:val="20"/>
        </w:rPr>
        <w:t xml:space="preserve"> (</w:t>
      </w:r>
      <w:proofErr w:type="spellStart"/>
      <w:r w:rsidRPr="007E3224">
        <w:rPr>
          <w:rFonts w:ascii="Arial" w:hAnsi="Arial" w:cs="Arial"/>
          <w:sz w:val="20"/>
        </w:rPr>
        <w:t>aPR</w:t>
      </w:r>
      <w:proofErr w:type="spellEnd"/>
      <w:r w:rsidRPr="007E3224">
        <w:rPr>
          <w:rFonts w:ascii="Arial" w:hAnsi="Arial" w:cs="Arial"/>
          <w:sz w:val="20"/>
        </w:rPr>
        <w:t xml:space="preserve"> 1.36, 95% CI 1.16–1.59; p&lt;.001). Pattern 3 was also positively associated with elevated blood pressure (</w:t>
      </w:r>
      <w:proofErr w:type="spellStart"/>
      <w:r w:rsidRPr="007E3224">
        <w:rPr>
          <w:rFonts w:ascii="Arial" w:hAnsi="Arial" w:cs="Arial"/>
          <w:sz w:val="20"/>
        </w:rPr>
        <w:t>aPR</w:t>
      </w:r>
      <w:proofErr w:type="spellEnd"/>
      <w:r w:rsidRPr="007E3224">
        <w:rPr>
          <w:rFonts w:ascii="Arial" w:hAnsi="Arial" w:cs="Arial"/>
          <w:sz w:val="20"/>
        </w:rPr>
        <w:t xml:space="preserve"> 1.16, 95% CI 1.05–1.28; p=.005) and </w:t>
      </w:r>
      <w:proofErr w:type="spellStart"/>
      <w:r w:rsidRPr="007E3224">
        <w:rPr>
          <w:rFonts w:ascii="Arial" w:hAnsi="Arial" w:cs="Arial"/>
          <w:sz w:val="20"/>
        </w:rPr>
        <w:t>dysglycaemia</w:t>
      </w:r>
      <w:proofErr w:type="spellEnd"/>
      <w:r w:rsidRPr="007E3224">
        <w:rPr>
          <w:rFonts w:ascii="Arial" w:hAnsi="Arial" w:cs="Arial"/>
          <w:sz w:val="20"/>
        </w:rPr>
        <w:t xml:space="preserve"> (</w:t>
      </w:r>
      <w:proofErr w:type="spellStart"/>
      <w:r w:rsidRPr="007E3224">
        <w:rPr>
          <w:rFonts w:ascii="Arial" w:hAnsi="Arial" w:cs="Arial"/>
          <w:sz w:val="20"/>
        </w:rPr>
        <w:t>aPR</w:t>
      </w:r>
      <w:proofErr w:type="spellEnd"/>
      <w:r w:rsidRPr="007E3224">
        <w:rPr>
          <w:rFonts w:ascii="Arial" w:hAnsi="Arial" w:cs="Arial"/>
          <w:sz w:val="20"/>
        </w:rPr>
        <w:t xml:space="preserve"> 1.30, 95% CI 1.14–1.49; p&lt;.001). However, no statistically significant associations were observed with general obesity, </w:t>
      </w:r>
      <w:proofErr w:type="spellStart"/>
      <w:r w:rsidRPr="007E3224">
        <w:rPr>
          <w:rFonts w:ascii="Arial" w:hAnsi="Arial" w:cs="Arial"/>
          <w:sz w:val="20"/>
        </w:rPr>
        <w:t>hypertriglyceridaemia</w:t>
      </w:r>
      <w:proofErr w:type="spellEnd"/>
      <w:r w:rsidRPr="007E3224">
        <w:rPr>
          <w:rFonts w:ascii="Arial" w:hAnsi="Arial" w:cs="Arial"/>
          <w:sz w:val="20"/>
        </w:rPr>
        <w:t xml:space="preserve"> or reduced HDL-C.</w:t>
      </w:r>
    </w:p>
    <w:p w14:paraId="7F391F57" w14:textId="77777777" w:rsidR="007E3224" w:rsidRDefault="007E3224" w:rsidP="007E3224">
      <w:pPr>
        <w:spacing w:after="120"/>
        <w:jc w:val="both"/>
        <w:rPr>
          <w:rFonts w:ascii="Arial" w:hAnsi="Arial" w:cs="Arial"/>
          <w:sz w:val="20"/>
        </w:rPr>
      </w:pPr>
      <w:r w:rsidRPr="007E3224">
        <w:rPr>
          <w:rFonts w:ascii="Arial" w:hAnsi="Arial" w:cs="Arial"/>
          <w:sz w:val="20"/>
        </w:rPr>
        <w:t xml:space="preserve">Overall, the component-specific analyses showed that the dietary patterns were not uniformly associated with all cardiometabolic abnormalities. Pattern 2 demonstrated the most consistent inverse associations, particularly for </w:t>
      </w:r>
      <w:r w:rsidRPr="007E3224">
        <w:rPr>
          <w:rFonts w:ascii="Arial" w:hAnsi="Arial" w:cs="Arial"/>
          <w:sz w:val="20"/>
        </w:rPr>
        <w:lastRenderedPageBreak/>
        <w:t xml:space="preserve">obesity, elevated blood pressure and </w:t>
      </w:r>
      <w:proofErr w:type="spellStart"/>
      <w:r w:rsidRPr="007E3224">
        <w:rPr>
          <w:rFonts w:ascii="Arial" w:hAnsi="Arial" w:cs="Arial"/>
          <w:sz w:val="20"/>
        </w:rPr>
        <w:t>dysglycaemia</w:t>
      </w:r>
      <w:proofErr w:type="spellEnd"/>
      <w:r w:rsidRPr="007E3224">
        <w:rPr>
          <w:rFonts w:ascii="Arial" w:hAnsi="Arial" w:cs="Arial"/>
          <w:sz w:val="20"/>
        </w:rPr>
        <w:t>, whereas Patterns 1 and 3 showed positive associations with the composite CCA phenotype but differed in the individual abnormalities with which they were associated.</w:t>
      </w:r>
    </w:p>
    <w:p w14:paraId="4D7447B6" w14:textId="77777777" w:rsidR="00D065D9" w:rsidRDefault="00E60BE8" w:rsidP="00F2045E">
      <w:pPr>
        <w:spacing w:before="120" w:after="80"/>
        <w:jc w:val="both"/>
        <w:rPr>
          <w:rFonts w:ascii="Arial" w:hAnsi="Arial" w:cs="Arial"/>
          <w:b/>
          <w:sz w:val="20"/>
        </w:rPr>
      </w:pPr>
      <w:r w:rsidRPr="00E60BE8">
        <w:rPr>
          <w:rFonts w:ascii="Arial" w:hAnsi="Arial" w:cs="Arial"/>
          <w:b/>
          <w:sz w:val="20"/>
        </w:rPr>
        <w:t>Table 9. Adjusted associations of dietary-pattern scores with CCA ≥3 and individual cardiometabolic abnormalities</w:t>
      </w:r>
    </w:p>
    <w:p w14:paraId="00EFFBBF" w14:textId="77777777" w:rsidR="007E3224" w:rsidRDefault="007E3224">
      <w:pPr>
        <w:spacing w:before="120" w:after="80"/>
        <w:rPr>
          <w:rFonts w:ascii="Arial" w:hAnsi="Arial" w:cs="Arial"/>
        </w:rPr>
      </w:pPr>
    </w:p>
    <w:tbl>
      <w:tblPr>
        <w:tblW w:w="4710" w:type="pct"/>
        <w:tblInd w:w="606" w:type="dxa"/>
        <w:tblBorders>
          <w:top w:val="single" w:sz="4" w:space="0" w:color="auto"/>
          <w:bottom w:val="single" w:sz="4" w:space="0" w:color="auto"/>
        </w:tblBorders>
        <w:tblLayout w:type="fixed"/>
        <w:tblCellMar>
          <w:top w:w="160" w:type="dxa"/>
          <w:left w:w="160" w:type="dxa"/>
          <w:bottom w:w="160" w:type="dxa"/>
          <w:right w:w="160" w:type="dxa"/>
        </w:tblCellMar>
        <w:tblLook w:val="04A0" w:firstRow="1" w:lastRow="0" w:firstColumn="1" w:lastColumn="0" w:noHBand="0" w:noVBand="1"/>
      </w:tblPr>
      <w:tblGrid>
        <w:gridCol w:w="1779"/>
        <w:gridCol w:w="2600"/>
        <w:gridCol w:w="2602"/>
        <w:gridCol w:w="2514"/>
      </w:tblGrid>
      <w:tr w:rsidR="00412BF4" w:rsidRPr="00F2045E" w14:paraId="4C3BFF25" w14:textId="77777777" w:rsidTr="00383A07">
        <w:trPr>
          <w:tblHeader/>
        </w:trPr>
        <w:tc>
          <w:tcPr>
            <w:tcW w:w="937" w:type="pct"/>
            <w:tcBorders>
              <w:top w:val="single" w:sz="4" w:space="0" w:color="auto"/>
              <w:bottom w:val="single" w:sz="4" w:space="0" w:color="auto"/>
            </w:tcBorders>
            <w:noWrap/>
            <w:tcMar>
              <w:top w:w="120" w:type="dxa"/>
              <w:left w:w="180" w:type="dxa"/>
              <w:bottom w:w="120" w:type="dxa"/>
              <w:right w:w="180" w:type="dxa"/>
            </w:tcMar>
            <w:hideMark/>
          </w:tcPr>
          <w:p w14:paraId="11996DB6" w14:textId="77777777" w:rsidR="007E3224" w:rsidRPr="00F2045E" w:rsidRDefault="007E3224" w:rsidP="00F2045E">
            <w:pPr>
              <w:pStyle w:val="p1"/>
              <w:spacing w:before="0" w:beforeAutospacing="0" w:after="0" w:afterAutospacing="0"/>
              <w:contextualSpacing/>
              <w:jc w:val="center"/>
              <w:rPr>
                <w:rFonts w:ascii="Arial" w:hAnsi="Arial" w:cs="Arial"/>
                <w:b/>
                <w:bCs/>
                <w:sz w:val="20"/>
                <w:szCs w:val="20"/>
              </w:rPr>
            </w:pPr>
            <w:r w:rsidRPr="00F2045E">
              <w:rPr>
                <w:rFonts w:ascii="Arial" w:hAnsi="Arial" w:cs="Arial"/>
                <w:b/>
                <w:bCs/>
                <w:sz w:val="20"/>
                <w:szCs w:val="20"/>
              </w:rPr>
              <w:t>Outcome</w:t>
            </w:r>
          </w:p>
        </w:tc>
        <w:tc>
          <w:tcPr>
            <w:tcW w:w="1369" w:type="pct"/>
            <w:tcBorders>
              <w:top w:val="single" w:sz="4" w:space="0" w:color="auto"/>
              <w:bottom w:val="single" w:sz="4" w:space="0" w:color="auto"/>
            </w:tcBorders>
            <w:noWrap/>
            <w:tcMar>
              <w:top w:w="120" w:type="dxa"/>
              <w:left w:w="180" w:type="dxa"/>
              <w:bottom w:w="120" w:type="dxa"/>
              <w:right w:w="180" w:type="dxa"/>
            </w:tcMar>
            <w:hideMark/>
          </w:tcPr>
          <w:p w14:paraId="46128FBF" w14:textId="77777777" w:rsidR="007E3224" w:rsidRPr="00F2045E" w:rsidRDefault="007E3224" w:rsidP="00F2045E">
            <w:pPr>
              <w:pStyle w:val="p1"/>
              <w:spacing w:before="0" w:beforeAutospacing="0" w:after="0" w:afterAutospacing="0"/>
              <w:contextualSpacing/>
              <w:jc w:val="center"/>
              <w:rPr>
                <w:rFonts w:ascii="Arial" w:hAnsi="Arial" w:cs="Arial"/>
                <w:b/>
                <w:bCs/>
                <w:sz w:val="20"/>
                <w:szCs w:val="20"/>
              </w:rPr>
            </w:pPr>
            <w:r w:rsidRPr="00F2045E">
              <w:rPr>
                <w:rFonts w:ascii="Arial" w:hAnsi="Arial" w:cs="Arial"/>
                <w:b/>
                <w:bCs/>
                <w:sz w:val="20"/>
                <w:szCs w:val="20"/>
              </w:rPr>
              <w:t>Pattern 1: Fried/fast food–fats/oils–dessert/soft drink–alcohol</w:t>
            </w:r>
          </w:p>
        </w:tc>
        <w:tc>
          <w:tcPr>
            <w:tcW w:w="1370" w:type="pct"/>
            <w:tcBorders>
              <w:top w:val="single" w:sz="4" w:space="0" w:color="auto"/>
              <w:bottom w:val="single" w:sz="4" w:space="0" w:color="auto"/>
            </w:tcBorders>
            <w:noWrap/>
            <w:tcMar>
              <w:top w:w="120" w:type="dxa"/>
              <w:left w:w="180" w:type="dxa"/>
              <w:bottom w:w="120" w:type="dxa"/>
              <w:right w:w="180" w:type="dxa"/>
            </w:tcMar>
            <w:hideMark/>
          </w:tcPr>
          <w:p w14:paraId="5121734E" w14:textId="77777777" w:rsidR="007E3224" w:rsidRPr="00F2045E" w:rsidRDefault="007E3224" w:rsidP="00F2045E">
            <w:pPr>
              <w:pStyle w:val="p1"/>
              <w:spacing w:before="0" w:beforeAutospacing="0" w:after="0" w:afterAutospacing="0"/>
              <w:contextualSpacing/>
              <w:jc w:val="center"/>
              <w:rPr>
                <w:rFonts w:ascii="Arial" w:hAnsi="Arial" w:cs="Arial"/>
                <w:b/>
                <w:bCs/>
                <w:sz w:val="20"/>
                <w:szCs w:val="20"/>
              </w:rPr>
            </w:pPr>
            <w:r w:rsidRPr="00F2045E">
              <w:rPr>
                <w:rFonts w:ascii="Arial" w:hAnsi="Arial" w:cs="Arial"/>
                <w:b/>
                <w:bCs/>
                <w:sz w:val="20"/>
                <w:szCs w:val="20"/>
              </w:rPr>
              <w:t>Pattern 2: Grain–legume–white meat</w:t>
            </w:r>
          </w:p>
        </w:tc>
        <w:tc>
          <w:tcPr>
            <w:tcW w:w="1324" w:type="pct"/>
            <w:tcBorders>
              <w:top w:val="single" w:sz="4" w:space="0" w:color="auto"/>
              <w:bottom w:val="single" w:sz="4" w:space="0" w:color="auto"/>
            </w:tcBorders>
            <w:noWrap/>
            <w:tcMar>
              <w:top w:w="120" w:type="dxa"/>
              <w:left w:w="180" w:type="dxa"/>
              <w:bottom w:w="120" w:type="dxa"/>
              <w:right w:w="180" w:type="dxa"/>
            </w:tcMar>
            <w:hideMark/>
          </w:tcPr>
          <w:p w14:paraId="0B51627D" w14:textId="77777777" w:rsidR="007E3224" w:rsidRPr="00F2045E" w:rsidRDefault="007E3224" w:rsidP="00F2045E">
            <w:pPr>
              <w:pStyle w:val="p1"/>
              <w:spacing w:before="0" w:beforeAutospacing="0" w:after="0" w:afterAutospacing="0"/>
              <w:contextualSpacing/>
              <w:jc w:val="center"/>
              <w:rPr>
                <w:rFonts w:ascii="Arial" w:hAnsi="Arial" w:cs="Arial"/>
                <w:b/>
                <w:bCs/>
                <w:sz w:val="20"/>
                <w:szCs w:val="20"/>
              </w:rPr>
            </w:pPr>
            <w:r w:rsidRPr="00F2045E">
              <w:rPr>
                <w:rFonts w:ascii="Arial" w:hAnsi="Arial" w:cs="Arial"/>
                <w:b/>
                <w:bCs/>
                <w:sz w:val="20"/>
                <w:szCs w:val="20"/>
              </w:rPr>
              <w:t>Pattern 3: Dairy–tea/coffee–fish–nuts–fruit/vegetable</w:t>
            </w:r>
          </w:p>
        </w:tc>
      </w:tr>
      <w:tr w:rsidR="00412BF4" w:rsidRPr="00F2045E" w14:paraId="70D2E951" w14:textId="77777777" w:rsidTr="00383A07">
        <w:tc>
          <w:tcPr>
            <w:tcW w:w="937" w:type="pct"/>
            <w:tcBorders>
              <w:top w:val="single" w:sz="4" w:space="0" w:color="auto"/>
            </w:tcBorders>
            <w:noWrap/>
            <w:tcMar>
              <w:top w:w="120" w:type="dxa"/>
              <w:left w:w="180" w:type="dxa"/>
              <w:bottom w:w="120" w:type="dxa"/>
              <w:right w:w="180" w:type="dxa"/>
            </w:tcMar>
            <w:vAlign w:val="center"/>
            <w:hideMark/>
          </w:tcPr>
          <w:p w14:paraId="34B80EF3"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CCA ≥3 abnormalities</w:t>
            </w:r>
          </w:p>
        </w:tc>
        <w:tc>
          <w:tcPr>
            <w:tcW w:w="1369" w:type="pct"/>
            <w:tcBorders>
              <w:top w:val="single" w:sz="4" w:space="0" w:color="auto"/>
            </w:tcBorders>
            <w:noWrap/>
            <w:tcMar>
              <w:top w:w="120" w:type="dxa"/>
              <w:left w:w="180" w:type="dxa"/>
              <w:bottom w:w="120" w:type="dxa"/>
              <w:right w:w="180" w:type="dxa"/>
            </w:tcMar>
            <w:vAlign w:val="center"/>
            <w:hideMark/>
          </w:tcPr>
          <w:p w14:paraId="14225852"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1.17 (1.01–1.36); </w:t>
            </w:r>
            <w:r w:rsidRPr="00F2045E">
              <w:rPr>
                <w:rStyle w:val="s1"/>
                <w:rFonts w:ascii="Arial" w:hAnsi="Arial" w:cs="Arial"/>
                <w:i/>
                <w:iCs/>
                <w:sz w:val="20"/>
                <w:szCs w:val="20"/>
              </w:rPr>
              <w:t>p</w:t>
            </w:r>
            <w:r w:rsidRPr="00F2045E">
              <w:rPr>
                <w:rFonts w:ascii="Arial" w:hAnsi="Arial" w:cs="Arial"/>
                <w:sz w:val="20"/>
                <w:szCs w:val="20"/>
              </w:rPr>
              <w:t>=.038</w:t>
            </w:r>
          </w:p>
        </w:tc>
        <w:tc>
          <w:tcPr>
            <w:tcW w:w="1370" w:type="pct"/>
            <w:tcBorders>
              <w:top w:val="single" w:sz="4" w:space="0" w:color="auto"/>
            </w:tcBorders>
            <w:noWrap/>
            <w:tcMar>
              <w:top w:w="120" w:type="dxa"/>
              <w:left w:w="180" w:type="dxa"/>
              <w:bottom w:w="120" w:type="dxa"/>
              <w:right w:w="180" w:type="dxa"/>
            </w:tcMar>
            <w:vAlign w:val="center"/>
            <w:hideMark/>
          </w:tcPr>
          <w:p w14:paraId="04A305AE"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0.48 (0.38–0.61); </w:t>
            </w:r>
            <w:r w:rsidRPr="00F2045E">
              <w:rPr>
                <w:rStyle w:val="s1"/>
                <w:rFonts w:ascii="Arial" w:hAnsi="Arial" w:cs="Arial"/>
                <w:i/>
                <w:iCs/>
                <w:sz w:val="20"/>
                <w:szCs w:val="20"/>
              </w:rPr>
              <w:t>p</w:t>
            </w:r>
            <w:r w:rsidRPr="00F2045E">
              <w:rPr>
                <w:rFonts w:ascii="Arial" w:hAnsi="Arial" w:cs="Arial"/>
                <w:sz w:val="20"/>
                <w:szCs w:val="20"/>
              </w:rPr>
              <w:t>&lt;.001</w:t>
            </w:r>
          </w:p>
        </w:tc>
        <w:tc>
          <w:tcPr>
            <w:tcW w:w="1324" w:type="pct"/>
            <w:tcBorders>
              <w:top w:val="single" w:sz="4" w:space="0" w:color="auto"/>
            </w:tcBorders>
            <w:noWrap/>
            <w:tcMar>
              <w:top w:w="120" w:type="dxa"/>
              <w:left w:w="180" w:type="dxa"/>
              <w:bottom w:w="120" w:type="dxa"/>
              <w:right w:w="180" w:type="dxa"/>
            </w:tcMar>
            <w:vAlign w:val="center"/>
            <w:hideMark/>
          </w:tcPr>
          <w:p w14:paraId="7D1D870D"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1.36 (1.16–1.59); </w:t>
            </w:r>
            <w:r w:rsidRPr="00F2045E">
              <w:rPr>
                <w:rStyle w:val="s1"/>
                <w:rFonts w:ascii="Arial" w:hAnsi="Arial" w:cs="Arial"/>
                <w:i/>
                <w:iCs/>
                <w:sz w:val="20"/>
                <w:szCs w:val="20"/>
              </w:rPr>
              <w:t>p</w:t>
            </w:r>
            <w:r w:rsidRPr="00F2045E">
              <w:rPr>
                <w:rFonts w:ascii="Arial" w:hAnsi="Arial" w:cs="Arial"/>
                <w:sz w:val="20"/>
                <w:szCs w:val="20"/>
              </w:rPr>
              <w:t>&lt;.001</w:t>
            </w:r>
          </w:p>
        </w:tc>
      </w:tr>
      <w:tr w:rsidR="007E3224" w:rsidRPr="00F2045E" w14:paraId="44B38659" w14:textId="77777777" w:rsidTr="00383A07">
        <w:tc>
          <w:tcPr>
            <w:tcW w:w="937" w:type="pct"/>
            <w:noWrap/>
            <w:tcMar>
              <w:top w:w="120" w:type="dxa"/>
              <w:left w:w="180" w:type="dxa"/>
              <w:bottom w:w="120" w:type="dxa"/>
              <w:right w:w="180" w:type="dxa"/>
            </w:tcMar>
            <w:vAlign w:val="center"/>
            <w:hideMark/>
          </w:tcPr>
          <w:p w14:paraId="664DC255"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General obesity</w:t>
            </w:r>
          </w:p>
        </w:tc>
        <w:tc>
          <w:tcPr>
            <w:tcW w:w="1369" w:type="pct"/>
            <w:noWrap/>
            <w:tcMar>
              <w:top w:w="120" w:type="dxa"/>
              <w:left w:w="180" w:type="dxa"/>
              <w:bottom w:w="120" w:type="dxa"/>
              <w:right w:w="180" w:type="dxa"/>
            </w:tcMar>
            <w:vAlign w:val="center"/>
            <w:hideMark/>
          </w:tcPr>
          <w:p w14:paraId="50252519"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1.15 (1.00–1.31); </w:t>
            </w:r>
            <w:r w:rsidRPr="00F2045E">
              <w:rPr>
                <w:rStyle w:val="s1"/>
                <w:rFonts w:ascii="Arial" w:hAnsi="Arial" w:cs="Arial"/>
                <w:i/>
                <w:iCs/>
                <w:sz w:val="20"/>
                <w:szCs w:val="20"/>
              </w:rPr>
              <w:t>p</w:t>
            </w:r>
            <w:r w:rsidRPr="00F2045E">
              <w:rPr>
                <w:rFonts w:ascii="Arial" w:hAnsi="Arial" w:cs="Arial"/>
                <w:sz w:val="20"/>
                <w:szCs w:val="20"/>
              </w:rPr>
              <w:t>=.050</w:t>
            </w:r>
          </w:p>
        </w:tc>
        <w:tc>
          <w:tcPr>
            <w:tcW w:w="1370" w:type="pct"/>
            <w:noWrap/>
            <w:tcMar>
              <w:top w:w="120" w:type="dxa"/>
              <w:left w:w="180" w:type="dxa"/>
              <w:bottom w:w="120" w:type="dxa"/>
              <w:right w:w="180" w:type="dxa"/>
            </w:tcMar>
            <w:vAlign w:val="center"/>
            <w:hideMark/>
          </w:tcPr>
          <w:p w14:paraId="3C0D1157"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0.77 (0.64–0.93); </w:t>
            </w:r>
            <w:r w:rsidRPr="00F2045E">
              <w:rPr>
                <w:rStyle w:val="s1"/>
                <w:rFonts w:ascii="Arial" w:hAnsi="Arial" w:cs="Arial"/>
                <w:i/>
                <w:iCs/>
                <w:sz w:val="20"/>
                <w:szCs w:val="20"/>
              </w:rPr>
              <w:t>p</w:t>
            </w:r>
            <w:r w:rsidRPr="00F2045E">
              <w:rPr>
                <w:rFonts w:ascii="Arial" w:hAnsi="Arial" w:cs="Arial"/>
                <w:sz w:val="20"/>
                <w:szCs w:val="20"/>
              </w:rPr>
              <w:t>=.007</w:t>
            </w:r>
          </w:p>
        </w:tc>
        <w:tc>
          <w:tcPr>
            <w:tcW w:w="1324" w:type="pct"/>
            <w:noWrap/>
            <w:tcMar>
              <w:top w:w="120" w:type="dxa"/>
              <w:left w:w="180" w:type="dxa"/>
              <w:bottom w:w="120" w:type="dxa"/>
              <w:right w:w="180" w:type="dxa"/>
            </w:tcMar>
            <w:vAlign w:val="center"/>
            <w:hideMark/>
          </w:tcPr>
          <w:p w14:paraId="5C5F079A"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1.16 (0.99–1.37); </w:t>
            </w:r>
            <w:r w:rsidRPr="00F2045E">
              <w:rPr>
                <w:rStyle w:val="s1"/>
                <w:rFonts w:ascii="Arial" w:hAnsi="Arial" w:cs="Arial"/>
                <w:i/>
                <w:iCs/>
                <w:sz w:val="20"/>
                <w:szCs w:val="20"/>
              </w:rPr>
              <w:t>p</w:t>
            </w:r>
            <w:r w:rsidRPr="00F2045E">
              <w:rPr>
                <w:rFonts w:ascii="Arial" w:hAnsi="Arial" w:cs="Arial"/>
                <w:sz w:val="20"/>
                <w:szCs w:val="20"/>
              </w:rPr>
              <w:t>=.070</w:t>
            </w:r>
          </w:p>
        </w:tc>
      </w:tr>
      <w:tr w:rsidR="007E3224" w:rsidRPr="00F2045E" w14:paraId="1621B128" w14:textId="77777777" w:rsidTr="00383A07">
        <w:tc>
          <w:tcPr>
            <w:tcW w:w="937" w:type="pct"/>
            <w:noWrap/>
            <w:tcMar>
              <w:top w:w="120" w:type="dxa"/>
              <w:left w:w="180" w:type="dxa"/>
              <w:bottom w:w="120" w:type="dxa"/>
              <w:right w:w="180" w:type="dxa"/>
            </w:tcMar>
            <w:vAlign w:val="center"/>
            <w:hideMark/>
          </w:tcPr>
          <w:p w14:paraId="3635D149"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Elevated blood pressure</w:t>
            </w:r>
          </w:p>
        </w:tc>
        <w:tc>
          <w:tcPr>
            <w:tcW w:w="1369" w:type="pct"/>
            <w:noWrap/>
            <w:tcMar>
              <w:top w:w="120" w:type="dxa"/>
              <w:left w:w="180" w:type="dxa"/>
              <w:bottom w:w="120" w:type="dxa"/>
              <w:right w:w="180" w:type="dxa"/>
            </w:tcMar>
            <w:vAlign w:val="center"/>
            <w:hideMark/>
          </w:tcPr>
          <w:p w14:paraId="49AAA5E6"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1.07 (0.98–1.15); </w:t>
            </w:r>
            <w:r w:rsidRPr="00F2045E">
              <w:rPr>
                <w:rStyle w:val="s1"/>
                <w:rFonts w:ascii="Arial" w:hAnsi="Arial" w:cs="Arial"/>
                <w:i/>
                <w:iCs/>
                <w:sz w:val="20"/>
                <w:szCs w:val="20"/>
              </w:rPr>
              <w:t>p</w:t>
            </w:r>
            <w:r w:rsidRPr="00F2045E">
              <w:rPr>
                <w:rFonts w:ascii="Arial" w:hAnsi="Arial" w:cs="Arial"/>
                <w:sz w:val="20"/>
                <w:szCs w:val="20"/>
              </w:rPr>
              <w:t>=.115</w:t>
            </w:r>
          </w:p>
        </w:tc>
        <w:tc>
          <w:tcPr>
            <w:tcW w:w="1370" w:type="pct"/>
            <w:noWrap/>
            <w:tcMar>
              <w:top w:w="120" w:type="dxa"/>
              <w:left w:w="180" w:type="dxa"/>
              <w:bottom w:w="120" w:type="dxa"/>
              <w:right w:w="180" w:type="dxa"/>
            </w:tcMar>
            <w:vAlign w:val="center"/>
            <w:hideMark/>
          </w:tcPr>
          <w:p w14:paraId="32AB543A"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0.80 (0.72–0.90); </w:t>
            </w:r>
            <w:r w:rsidRPr="00F2045E">
              <w:rPr>
                <w:rStyle w:val="s1"/>
                <w:rFonts w:ascii="Arial" w:hAnsi="Arial" w:cs="Arial"/>
                <w:i/>
                <w:iCs/>
                <w:sz w:val="20"/>
                <w:szCs w:val="20"/>
              </w:rPr>
              <w:t>p</w:t>
            </w:r>
            <w:r w:rsidRPr="00F2045E">
              <w:rPr>
                <w:rFonts w:ascii="Arial" w:hAnsi="Arial" w:cs="Arial"/>
                <w:sz w:val="20"/>
                <w:szCs w:val="20"/>
              </w:rPr>
              <w:t>&lt;.001</w:t>
            </w:r>
          </w:p>
        </w:tc>
        <w:tc>
          <w:tcPr>
            <w:tcW w:w="1324" w:type="pct"/>
            <w:noWrap/>
            <w:tcMar>
              <w:top w:w="120" w:type="dxa"/>
              <w:left w:w="180" w:type="dxa"/>
              <w:bottom w:w="120" w:type="dxa"/>
              <w:right w:w="180" w:type="dxa"/>
            </w:tcMar>
            <w:vAlign w:val="center"/>
            <w:hideMark/>
          </w:tcPr>
          <w:p w14:paraId="71CB0F95"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1.16 (1.05–1.28); </w:t>
            </w:r>
            <w:r w:rsidRPr="00F2045E">
              <w:rPr>
                <w:rStyle w:val="s1"/>
                <w:rFonts w:ascii="Arial" w:hAnsi="Arial" w:cs="Arial"/>
                <w:i/>
                <w:iCs/>
                <w:sz w:val="20"/>
                <w:szCs w:val="20"/>
              </w:rPr>
              <w:t>p</w:t>
            </w:r>
            <w:r w:rsidRPr="00F2045E">
              <w:rPr>
                <w:rFonts w:ascii="Arial" w:hAnsi="Arial" w:cs="Arial"/>
                <w:sz w:val="20"/>
                <w:szCs w:val="20"/>
              </w:rPr>
              <w:t>=.005</w:t>
            </w:r>
          </w:p>
        </w:tc>
      </w:tr>
      <w:tr w:rsidR="007E3224" w:rsidRPr="00F2045E" w14:paraId="0A2D65C3" w14:textId="77777777" w:rsidTr="00383A07">
        <w:tc>
          <w:tcPr>
            <w:tcW w:w="937" w:type="pct"/>
            <w:noWrap/>
            <w:tcMar>
              <w:top w:w="120" w:type="dxa"/>
              <w:left w:w="180" w:type="dxa"/>
              <w:bottom w:w="120" w:type="dxa"/>
              <w:right w:w="180" w:type="dxa"/>
            </w:tcMar>
            <w:vAlign w:val="center"/>
            <w:hideMark/>
          </w:tcPr>
          <w:p w14:paraId="2595FFE8" w14:textId="77777777" w:rsidR="007E3224" w:rsidRPr="00F2045E" w:rsidRDefault="007E3224" w:rsidP="00F2045E">
            <w:pPr>
              <w:pStyle w:val="p1"/>
              <w:spacing w:before="0" w:beforeAutospacing="0" w:after="0" w:afterAutospacing="0"/>
              <w:contextualSpacing/>
              <w:rPr>
                <w:rFonts w:ascii="Arial" w:hAnsi="Arial" w:cs="Arial"/>
                <w:sz w:val="20"/>
                <w:szCs w:val="20"/>
              </w:rPr>
            </w:pPr>
            <w:proofErr w:type="spellStart"/>
            <w:r w:rsidRPr="00F2045E">
              <w:rPr>
                <w:rFonts w:ascii="Arial" w:hAnsi="Arial" w:cs="Arial"/>
                <w:sz w:val="20"/>
                <w:szCs w:val="20"/>
              </w:rPr>
              <w:t>Dysglycaemia</w:t>
            </w:r>
            <w:proofErr w:type="spellEnd"/>
          </w:p>
        </w:tc>
        <w:tc>
          <w:tcPr>
            <w:tcW w:w="1369" w:type="pct"/>
            <w:noWrap/>
            <w:tcMar>
              <w:top w:w="120" w:type="dxa"/>
              <w:left w:w="180" w:type="dxa"/>
              <w:bottom w:w="120" w:type="dxa"/>
              <w:right w:w="180" w:type="dxa"/>
            </w:tcMar>
            <w:vAlign w:val="center"/>
            <w:hideMark/>
          </w:tcPr>
          <w:p w14:paraId="06873FDA"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1.19 (1.06–1.33); </w:t>
            </w:r>
            <w:r w:rsidRPr="00F2045E">
              <w:rPr>
                <w:rStyle w:val="s1"/>
                <w:rFonts w:ascii="Arial" w:hAnsi="Arial" w:cs="Arial"/>
                <w:i/>
                <w:iCs/>
                <w:sz w:val="20"/>
                <w:szCs w:val="20"/>
              </w:rPr>
              <w:t>p</w:t>
            </w:r>
            <w:r w:rsidRPr="00F2045E">
              <w:rPr>
                <w:rFonts w:ascii="Arial" w:hAnsi="Arial" w:cs="Arial"/>
                <w:sz w:val="20"/>
                <w:szCs w:val="20"/>
              </w:rPr>
              <w:t>=.004</w:t>
            </w:r>
          </w:p>
        </w:tc>
        <w:tc>
          <w:tcPr>
            <w:tcW w:w="1370" w:type="pct"/>
            <w:noWrap/>
            <w:tcMar>
              <w:top w:w="120" w:type="dxa"/>
              <w:left w:w="180" w:type="dxa"/>
              <w:bottom w:w="120" w:type="dxa"/>
              <w:right w:w="180" w:type="dxa"/>
            </w:tcMar>
            <w:vAlign w:val="center"/>
            <w:hideMark/>
          </w:tcPr>
          <w:p w14:paraId="0DA93623"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0.63 (0.52–0.76); </w:t>
            </w:r>
            <w:r w:rsidRPr="00F2045E">
              <w:rPr>
                <w:rStyle w:val="s1"/>
                <w:rFonts w:ascii="Arial" w:hAnsi="Arial" w:cs="Arial"/>
                <w:i/>
                <w:iCs/>
                <w:sz w:val="20"/>
                <w:szCs w:val="20"/>
              </w:rPr>
              <w:t>p</w:t>
            </w:r>
            <w:r w:rsidRPr="00F2045E">
              <w:rPr>
                <w:rFonts w:ascii="Arial" w:hAnsi="Arial" w:cs="Arial"/>
                <w:sz w:val="20"/>
                <w:szCs w:val="20"/>
              </w:rPr>
              <w:t>&lt;.001</w:t>
            </w:r>
          </w:p>
        </w:tc>
        <w:tc>
          <w:tcPr>
            <w:tcW w:w="1324" w:type="pct"/>
            <w:noWrap/>
            <w:tcMar>
              <w:top w:w="120" w:type="dxa"/>
              <w:left w:w="180" w:type="dxa"/>
              <w:bottom w:w="120" w:type="dxa"/>
              <w:right w:w="180" w:type="dxa"/>
            </w:tcMar>
            <w:vAlign w:val="center"/>
            <w:hideMark/>
          </w:tcPr>
          <w:p w14:paraId="2F8E8913"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1.30 (1.14–1.49); </w:t>
            </w:r>
            <w:r w:rsidRPr="00F2045E">
              <w:rPr>
                <w:rStyle w:val="s1"/>
                <w:rFonts w:ascii="Arial" w:hAnsi="Arial" w:cs="Arial"/>
                <w:i/>
                <w:iCs/>
                <w:sz w:val="20"/>
                <w:szCs w:val="20"/>
              </w:rPr>
              <w:t>p</w:t>
            </w:r>
            <w:r w:rsidRPr="00F2045E">
              <w:rPr>
                <w:rFonts w:ascii="Arial" w:hAnsi="Arial" w:cs="Arial"/>
                <w:sz w:val="20"/>
                <w:szCs w:val="20"/>
              </w:rPr>
              <w:t>&lt;.001</w:t>
            </w:r>
          </w:p>
        </w:tc>
      </w:tr>
      <w:tr w:rsidR="007E3224" w:rsidRPr="00F2045E" w14:paraId="6EA89E5B" w14:textId="77777777" w:rsidTr="00383A07">
        <w:tc>
          <w:tcPr>
            <w:tcW w:w="937" w:type="pct"/>
            <w:noWrap/>
            <w:tcMar>
              <w:top w:w="120" w:type="dxa"/>
              <w:left w:w="180" w:type="dxa"/>
              <w:bottom w:w="120" w:type="dxa"/>
              <w:right w:w="180" w:type="dxa"/>
            </w:tcMar>
            <w:vAlign w:val="center"/>
            <w:hideMark/>
          </w:tcPr>
          <w:p w14:paraId="0AA5A4BD" w14:textId="77777777" w:rsidR="007E3224" w:rsidRPr="00F2045E" w:rsidRDefault="007E3224" w:rsidP="00F2045E">
            <w:pPr>
              <w:pStyle w:val="p1"/>
              <w:spacing w:before="0" w:beforeAutospacing="0" w:after="0" w:afterAutospacing="0"/>
              <w:contextualSpacing/>
              <w:rPr>
                <w:rFonts w:ascii="Arial" w:hAnsi="Arial" w:cs="Arial"/>
                <w:sz w:val="20"/>
                <w:szCs w:val="20"/>
              </w:rPr>
            </w:pPr>
            <w:proofErr w:type="spellStart"/>
            <w:r w:rsidRPr="00F2045E">
              <w:rPr>
                <w:rFonts w:ascii="Arial" w:hAnsi="Arial" w:cs="Arial"/>
                <w:sz w:val="20"/>
                <w:szCs w:val="20"/>
              </w:rPr>
              <w:t>Hypertriglyceridaemia</w:t>
            </w:r>
            <w:proofErr w:type="spellEnd"/>
          </w:p>
        </w:tc>
        <w:tc>
          <w:tcPr>
            <w:tcW w:w="1369" w:type="pct"/>
            <w:noWrap/>
            <w:tcMar>
              <w:top w:w="120" w:type="dxa"/>
              <w:left w:w="180" w:type="dxa"/>
              <w:bottom w:w="120" w:type="dxa"/>
              <w:right w:w="180" w:type="dxa"/>
            </w:tcMar>
            <w:vAlign w:val="center"/>
            <w:hideMark/>
          </w:tcPr>
          <w:p w14:paraId="0FAD914C"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1.38 (1.01–1.89); </w:t>
            </w:r>
            <w:r w:rsidRPr="00F2045E">
              <w:rPr>
                <w:rStyle w:val="s1"/>
                <w:rFonts w:ascii="Arial" w:hAnsi="Arial" w:cs="Arial"/>
                <w:i/>
                <w:iCs/>
                <w:sz w:val="20"/>
                <w:szCs w:val="20"/>
              </w:rPr>
              <w:t>p</w:t>
            </w:r>
            <w:r w:rsidRPr="00F2045E">
              <w:rPr>
                <w:rFonts w:ascii="Arial" w:hAnsi="Arial" w:cs="Arial"/>
                <w:sz w:val="20"/>
                <w:szCs w:val="20"/>
              </w:rPr>
              <w:t>=.046</w:t>
            </w:r>
          </w:p>
        </w:tc>
        <w:tc>
          <w:tcPr>
            <w:tcW w:w="1370" w:type="pct"/>
            <w:noWrap/>
            <w:tcMar>
              <w:top w:w="120" w:type="dxa"/>
              <w:left w:w="180" w:type="dxa"/>
              <w:bottom w:w="120" w:type="dxa"/>
              <w:right w:w="180" w:type="dxa"/>
            </w:tcMar>
            <w:vAlign w:val="center"/>
            <w:hideMark/>
          </w:tcPr>
          <w:p w14:paraId="10ABD1A6"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0.72 (0.52–1.02); </w:t>
            </w:r>
            <w:r w:rsidRPr="00F2045E">
              <w:rPr>
                <w:rStyle w:val="s1"/>
                <w:rFonts w:ascii="Arial" w:hAnsi="Arial" w:cs="Arial"/>
                <w:i/>
                <w:iCs/>
                <w:sz w:val="20"/>
                <w:szCs w:val="20"/>
              </w:rPr>
              <w:t>p</w:t>
            </w:r>
            <w:r w:rsidRPr="00F2045E">
              <w:rPr>
                <w:rFonts w:ascii="Arial" w:hAnsi="Arial" w:cs="Arial"/>
                <w:sz w:val="20"/>
                <w:szCs w:val="20"/>
              </w:rPr>
              <w:t>=.063</w:t>
            </w:r>
          </w:p>
        </w:tc>
        <w:tc>
          <w:tcPr>
            <w:tcW w:w="1324" w:type="pct"/>
            <w:noWrap/>
            <w:tcMar>
              <w:top w:w="120" w:type="dxa"/>
              <w:left w:w="180" w:type="dxa"/>
              <w:bottom w:w="120" w:type="dxa"/>
              <w:right w:w="180" w:type="dxa"/>
            </w:tcMar>
            <w:vAlign w:val="center"/>
            <w:hideMark/>
          </w:tcPr>
          <w:p w14:paraId="2A969A42"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1.04 (0.82–1.32); </w:t>
            </w:r>
            <w:r w:rsidRPr="00F2045E">
              <w:rPr>
                <w:rStyle w:val="s1"/>
                <w:rFonts w:ascii="Arial" w:hAnsi="Arial" w:cs="Arial"/>
                <w:i/>
                <w:iCs/>
                <w:sz w:val="20"/>
                <w:szCs w:val="20"/>
              </w:rPr>
              <w:t>p</w:t>
            </w:r>
            <w:r w:rsidRPr="00F2045E">
              <w:rPr>
                <w:rFonts w:ascii="Arial" w:hAnsi="Arial" w:cs="Arial"/>
                <w:sz w:val="20"/>
                <w:szCs w:val="20"/>
              </w:rPr>
              <w:t>=.728</w:t>
            </w:r>
          </w:p>
        </w:tc>
      </w:tr>
      <w:tr w:rsidR="007E3224" w:rsidRPr="00F2045E" w14:paraId="5FEBA091" w14:textId="77777777" w:rsidTr="00383A07">
        <w:tc>
          <w:tcPr>
            <w:tcW w:w="937" w:type="pct"/>
            <w:noWrap/>
            <w:tcMar>
              <w:top w:w="120" w:type="dxa"/>
              <w:left w:w="180" w:type="dxa"/>
              <w:bottom w:w="120" w:type="dxa"/>
              <w:right w:w="180" w:type="dxa"/>
            </w:tcMar>
            <w:vAlign w:val="center"/>
            <w:hideMark/>
          </w:tcPr>
          <w:p w14:paraId="55CFF4BB"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Reduced HDL-C</w:t>
            </w:r>
          </w:p>
        </w:tc>
        <w:tc>
          <w:tcPr>
            <w:tcW w:w="1369" w:type="pct"/>
            <w:noWrap/>
            <w:tcMar>
              <w:top w:w="120" w:type="dxa"/>
              <w:left w:w="180" w:type="dxa"/>
              <w:bottom w:w="120" w:type="dxa"/>
              <w:right w:w="180" w:type="dxa"/>
            </w:tcMar>
            <w:vAlign w:val="center"/>
            <w:hideMark/>
          </w:tcPr>
          <w:p w14:paraId="25EC8486"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1.16 (0.87–1.55); </w:t>
            </w:r>
            <w:r w:rsidRPr="00F2045E">
              <w:rPr>
                <w:rStyle w:val="s1"/>
                <w:rFonts w:ascii="Arial" w:hAnsi="Arial" w:cs="Arial"/>
                <w:i/>
                <w:iCs/>
                <w:sz w:val="20"/>
                <w:szCs w:val="20"/>
              </w:rPr>
              <w:t>p</w:t>
            </w:r>
            <w:r w:rsidRPr="00F2045E">
              <w:rPr>
                <w:rFonts w:ascii="Arial" w:hAnsi="Arial" w:cs="Arial"/>
                <w:sz w:val="20"/>
                <w:szCs w:val="20"/>
              </w:rPr>
              <w:t>=.316</w:t>
            </w:r>
          </w:p>
        </w:tc>
        <w:tc>
          <w:tcPr>
            <w:tcW w:w="1370" w:type="pct"/>
            <w:noWrap/>
            <w:tcMar>
              <w:top w:w="120" w:type="dxa"/>
              <w:left w:w="180" w:type="dxa"/>
              <w:bottom w:w="120" w:type="dxa"/>
              <w:right w:w="180" w:type="dxa"/>
            </w:tcMar>
            <w:vAlign w:val="center"/>
            <w:hideMark/>
          </w:tcPr>
          <w:p w14:paraId="7DA4D34E"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1.15 (0.79–1.68); </w:t>
            </w:r>
            <w:r w:rsidRPr="00F2045E">
              <w:rPr>
                <w:rStyle w:val="s1"/>
                <w:rFonts w:ascii="Arial" w:hAnsi="Arial" w:cs="Arial"/>
                <w:i/>
                <w:iCs/>
                <w:sz w:val="20"/>
                <w:szCs w:val="20"/>
              </w:rPr>
              <w:t>p</w:t>
            </w:r>
            <w:r w:rsidRPr="00F2045E">
              <w:rPr>
                <w:rFonts w:ascii="Arial" w:hAnsi="Arial" w:cs="Arial"/>
                <w:sz w:val="20"/>
                <w:szCs w:val="20"/>
              </w:rPr>
              <w:t>=.465</w:t>
            </w:r>
          </w:p>
        </w:tc>
        <w:tc>
          <w:tcPr>
            <w:tcW w:w="1324" w:type="pct"/>
            <w:noWrap/>
            <w:tcMar>
              <w:top w:w="120" w:type="dxa"/>
              <w:left w:w="180" w:type="dxa"/>
              <w:bottom w:w="120" w:type="dxa"/>
              <w:right w:w="180" w:type="dxa"/>
            </w:tcMar>
            <w:vAlign w:val="center"/>
            <w:hideMark/>
          </w:tcPr>
          <w:p w14:paraId="374B543E"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0.94 (0.69–1.30); </w:t>
            </w:r>
            <w:r w:rsidRPr="00F2045E">
              <w:rPr>
                <w:rStyle w:val="s1"/>
                <w:rFonts w:ascii="Arial" w:hAnsi="Arial" w:cs="Arial"/>
                <w:i/>
                <w:iCs/>
                <w:sz w:val="20"/>
                <w:szCs w:val="20"/>
              </w:rPr>
              <w:t>p</w:t>
            </w:r>
            <w:r w:rsidRPr="00F2045E">
              <w:rPr>
                <w:rFonts w:ascii="Arial" w:hAnsi="Arial" w:cs="Arial"/>
                <w:sz w:val="20"/>
                <w:szCs w:val="20"/>
              </w:rPr>
              <w:t>=.724</w:t>
            </w:r>
          </w:p>
        </w:tc>
      </w:tr>
    </w:tbl>
    <w:p w14:paraId="6D7BD6E8" w14:textId="77777777" w:rsidR="007E3224" w:rsidRPr="00F2045E" w:rsidRDefault="007E3224" w:rsidP="007E3224">
      <w:pPr>
        <w:pStyle w:val="p1"/>
        <w:spacing w:before="0" w:beforeAutospacing="0" w:after="0" w:afterAutospacing="0"/>
        <w:contextualSpacing/>
        <w:jc w:val="both"/>
        <w:rPr>
          <w:i/>
          <w:iCs/>
          <w:sz w:val="18"/>
          <w:szCs w:val="18"/>
        </w:rPr>
      </w:pPr>
      <w:r w:rsidRPr="00F2045E">
        <w:rPr>
          <w:i/>
          <w:iCs/>
          <w:sz w:val="18"/>
          <w:szCs w:val="18"/>
        </w:rPr>
        <w:t>Values are adjusted prevalence ratios (</w:t>
      </w:r>
      <w:proofErr w:type="spellStart"/>
      <w:r w:rsidRPr="00F2045E">
        <w:rPr>
          <w:i/>
          <w:iCs/>
          <w:sz w:val="18"/>
          <w:szCs w:val="18"/>
        </w:rPr>
        <w:t>aPRs</w:t>
      </w:r>
      <w:proofErr w:type="spellEnd"/>
      <w:r w:rsidRPr="00F2045E">
        <w:rPr>
          <w:i/>
          <w:iCs/>
          <w:sz w:val="18"/>
          <w:szCs w:val="18"/>
        </w:rPr>
        <w:t xml:space="preserve">) with 95% confidence intervals (CIs) per 1-SD increase in each dietary-pattern score. All models were mutually adjusted for the three dietary-pattern scores and further adjusted for age, sex, educational level and ethnicity. CCA, clustered cardiometabolic abnormalities; BP, blood pressure; HDL-C, high-density lipoprotein cholesterol. Statistical significance was set at </w:t>
      </w:r>
      <w:r w:rsidRPr="00F2045E">
        <w:rPr>
          <w:rStyle w:val="s1"/>
          <w:i/>
          <w:iCs/>
          <w:sz w:val="18"/>
          <w:szCs w:val="18"/>
        </w:rPr>
        <w:t>p</w:t>
      </w:r>
      <w:r w:rsidRPr="00F2045E">
        <w:rPr>
          <w:i/>
          <w:iCs/>
          <w:sz w:val="18"/>
          <w:szCs w:val="18"/>
        </w:rPr>
        <w:t>&lt;0.05.</w:t>
      </w:r>
    </w:p>
    <w:p w14:paraId="42F06244" w14:textId="77777777" w:rsidR="00D065D9" w:rsidRPr="00B85224" w:rsidRDefault="00000000">
      <w:pPr>
        <w:spacing w:before="160" w:after="100"/>
        <w:rPr>
          <w:rFonts w:ascii="Arial" w:hAnsi="Arial" w:cs="Arial"/>
        </w:rPr>
      </w:pPr>
      <w:r w:rsidRPr="00B85224">
        <w:rPr>
          <w:rFonts w:ascii="Arial" w:hAnsi="Arial" w:cs="Arial"/>
          <w:b/>
          <w:sz w:val="22"/>
        </w:rPr>
        <w:t>3.2 Discussion</w:t>
      </w:r>
    </w:p>
    <w:p w14:paraId="1AF69868" w14:textId="77777777" w:rsidR="00D065D9" w:rsidRPr="00B85224" w:rsidRDefault="00000000" w:rsidP="0007191D">
      <w:pPr>
        <w:spacing w:after="120"/>
        <w:jc w:val="both"/>
        <w:rPr>
          <w:rFonts w:ascii="Arial" w:hAnsi="Arial" w:cs="Arial"/>
        </w:rPr>
      </w:pPr>
      <w:r w:rsidRPr="00B85224">
        <w:rPr>
          <w:rFonts w:ascii="Arial" w:hAnsi="Arial" w:cs="Arial"/>
          <w:sz w:val="20"/>
        </w:rPr>
        <w:t xml:space="preserve">This community-based study identified three stable and interpretable dietary patterns and demonstrated that each had a distinct relationship with clustered cardiometabolic burden. Nearly two-thirds of participants had at least two cardiometabolic abnormalities, and more than one-third had three or more. A dietary pattern characterised by fried foods, fast foods, fats/oils, desserts, soft drinks and alcohol was positively associated with both higher CCA burden and CCA ≥3. In contrast, a grain–legume–white meat pattern with inverse loadings for processed foods, seasoning and salt was consistently associated with lower burden. The third pattern, comprising dairy, tea/coffee, fish, nuts, fruit, vegetables and rice, was positively associated with CCA despite containing several foods usually regarded as </w:t>
      </w:r>
      <w:proofErr w:type="spellStart"/>
      <w:r w:rsidRPr="00B85224">
        <w:rPr>
          <w:rFonts w:ascii="Arial" w:hAnsi="Arial" w:cs="Arial"/>
          <w:sz w:val="20"/>
        </w:rPr>
        <w:t>cardiometabolically</w:t>
      </w:r>
      <w:proofErr w:type="spellEnd"/>
      <w:r w:rsidRPr="00B85224">
        <w:rPr>
          <w:rFonts w:ascii="Arial" w:hAnsi="Arial" w:cs="Arial"/>
          <w:sz w:val="20"/>
        </w:rPr>
        <w:t xml:space="preserve"> </w:t>
      </w:r>
      <w:proofErr w:type="spellStart"/>
      <w:r w:rsidRPr="00B85224">
        <w:rPr>
          <w:rFonts w:ascii="Arial" w:hAnsi="Arial" w:cs="Arial"/>
          <w:sz w:val="20"/>
        </w:rPr>
        <w:t>favourable</w:t>
      </w:r>
      <w:proofErr w:type="spellEnd"/>
      <w:r w:rsidRPr="00B85224">
        <w:rPr>
          <w:rFonts w:ascii="Arial" w:hAnsi="Arial" w:cs="Arial"/>
          <w:sz w:val="20"/>
        </w:rPr>
        <w:t>. The restricted-score sensitivity analysis reproduced all three primary associations.</w:t>
      </w:r>
    </w:p>
    <w:p w14:paraId="01418F1F" w14:textId="5F45CA9E" w:rsidR="00D065D9" w:rsidRPr="00F8231F" w:rsidRDefault="00000000" w:rsidP="0007191D">
      <w:pPr>
        <w:spacing w:after="120"/>
        <w:jc w:val="both"/>
        <w:rPr>
          <w:rFonts w:ascii="Arial" w:hAnsi="Arial" w:cs="Arial"/>
          <w:sz w:val="20"/>
        </w:rPr>
      </w:pPr>
      <w:r w:rsidRPr="00B85224">
        <w:rPr>
          <w:rFonts w:ascii="Arial" w:hAnsi="Arial" w:cs="Arial"/>
          <w:sz w:val="20"/>
        </w:rPr>
        <w:t xml:space="preserve">The high prevalence of CCA in this community is consistent with the wider </w:t>
      </w:r>
      <w:r w:rsidRPr="00B85224">
        <w:rPr>
          <w:rFonts w:ascii="Arial" w:hAnsi="Arial" w:cs="Arial"/>
          <w:sz w:val="20"/>
          <w:highlight w:val="yellow"/>
        </w:rPr>
        <w:t>transition towards cardiometabolic multimorbidity</w:t>
      </w:r>
      <w:r w:rsidRPr="00B85224">
        <w:rPr>
          <w:rFonts w:ascii="Arial" w:hAnsi="Arial" w:cs="Arial"/>
          <w:sz w:val="20"/>
        </w:rPr>
        <w:t xml:space="preserve"> in sub-Saharan Africa. Otieno et al. (2023) demonstrated that high blood sugar, </w:t>
      </w:r>
      <w:proofErr w:type="spellStart"/>
      <w:r w:rsidRPr="00B85224">
        <w:rPr>
          <w:rFonts w:ascii="Arial" w:hAnsi="Arial" w:cs="Arial"/>
          <w:sz w:val="20"/>
        </w:rPr>
        <w:t>hypercholesterolaemia</w:t>
      </w:r>
      <w:proofErr w:type="spellEnd"/>
      <w:r w:rsidRPr="00B85224">
        <w:rPr>
          <w:rFonts w:ascii="Arial" w:hAnsi="Arial" w:cs="Arial"/>
          <w:sz w:val="20"/>
        </w:rPr>
        <w:t>, hypertension and cardiovascular disease can form distinct multimorbidity clusters across African populations. In Nigeria, the background prevalence of hypertension, obesity and dyslipidaemia is already substantial (</w:t>
      </w:r>
      <w:proofErr w:type="spellStart"/>
      <w:r w:rsidRPr="00B85224">
        <w:rPr>
          <w:rFonts w:ascii="Arial" w:hAnsi="Arial" w:cs="Arial"/>
          <w:sz w:val="20"/>
        </w:rPr>
        <w:t>Adeloye</w:t>
      </w:r>
      <w:proofErr w:type="spellEnd"/>
      <w:r w:rsidRPr="00B85224">
        <w:rPr>
          <w:rFonts w:ascii="Arial" w:hAnsi="Arial" w:cs="Arial"/>
          <w:sz w:val="20"/>
        </w:rPr>
        <w:t xml:space="preserve"> et al., 2021, 2021; Chori et al., 2022). </w:t>
      </w:r>
      <w:r w:rsidR="00F8231F" w:rsidRPr="00DF5715">
        <w:rPr>
          <w:rFonts w:ascii="Arial" w:hAnsi="Arial" w:cs="Arial"/>
          <w:sz w:val="20"/>
          <w:highlight w:val="yellow"/>
        </w:rPr>
        <w:t>More locally, Cookey et al. (2025) documented a substantial burden of cardiovascular risk factors among adults in a faith-based community in Rivers State, further indicating that cardiometabolic risk is an important concern within the local population.</w:t>
      </w:r>
      <w:r w:rsidR="00F8231F">
        <w:rPr>
          <w:rFonts w:ascii="Arial" w:hAnsi="Arial" w:cs="Arial"/>
          <w:sz w:val="20"/>
        </w:rPr>
        <w:t xml:space="preserve"> </w:t>
      </w:r>
      <w:r w:rsidRPr="00B85224">
        <w:rPr>
          <w:rFonts w:ascii="Arial" w:hAnsi="Arial" w:cs="Arial"/>
          <w:sz w:val="20"/>
        </w:rPr>
        <w:t>The present data extend this evidence by showing how frequently several abnormalities coexist within the same community-dwelling adult. The higher-burden group was older and had markedly higher BMI, blood pressure, fasting glucose, total cholesterol, triglycerides and LDL-C, supporting the clinical coherence of the burden classification.</w:t>
      </w:r>
    </w:p>
    <w:p w14:paraId="4B1C5AB9" w14:textId="77777777" w:rsidR="00D065D9" w:rsidRPr="00B85224" w:rsidRDefault="00000000" w:rsidP="0007191D">
      <w:pPr>
        <w:spacing w:after="120"/>
        <w:jc w:val="both"/>
        <w:rPr>
          <w:rFonts w:ascii="Arial" w:hAnsi="Arial" w:cs="Arial"/>
        </w:rPr>
      </w:pPr>
      <w:r w:rsidRPr="00B85224">
        <w:rPr>
          <w:rFonts w:ascii="Arial" w:hAnsi="Arial" w:cs="Arial"/>
          <w:sz w:val="20"/>
        </w:rPr>
        <w:t xml:space="preserve">The adverse association of Pattern 1 </w:t>
      </w:r>
      <w:r w:rsidRPr="00B85224">
        <w:rPr>
          <w:rFonts w:ascii="Arial" w:hAnsi="Arial" w:cs="Arial"/>
          <w:sz w:val="20"/>
          <w:highlight w:val="yellow"/>
        </w:rPr>
        <w:t>is the most biologically straightforward</w:t>
      </w:r>
      <w:r w:rsidRPr="00B85224">
        <w:rPr>
          <w:rFonts w:ascii="Arial" w:hAnsi="Arial" w:cs="Arial"/>
          <w:sz w:val="20"/>
        </w:rPr>
        <w:t xml:space="preserve">. Its defining foods include fried foods, fast foods, fats/oils, desserts, soft drinks and alcohol, with additional contributions from soup, starchy foods, eggs and red meat. This combination is consistent with a transitional, energy-dense dietary behaviour rather than a purely 'Western' pattern because locally consumed soups and starches remain embedded within it. Recent sub-Saharan African evidence shows that traditional and processed dietary </w:t>
      </w:r>
      <w:proofErr w:type="spellStart"/>
      <w:r w:rsidRPr="00B85224">
        <w:rPr>
          <w:rFonts w:ascii="Arial" w:hAnsi="Arial" w:cs="Arial"/>
          <w:sz w:val="20"/>
        </w:rPr>
        <w:t>behaviours</w:t>
      </w:r>
      <w:proofErr w:type="spellEnd"/>
      <w:r w:rsidRPr="00B85224">
        <w:rPr>
          <w:rFonts w:ascii="Arial" w:hAnsi="Arial" w:cs="Arial"/>
          <w:sz w:val="20"/>
        </w:rPr>
        <w:t xml:space="preserve"> commonly coexist during nutrition transition (</w:t>
      </w:r>
      <w:proofErr w:type="spellStart"/>
      <w:r w:rsidRPr="00B85224">
        <w:rPr>
          <w:rFonts w:ascii="Arial" w:hAnsi="Arial" w:cs="Arial"/>
          <w:sz w:val="20"/>
        </w:rPr>
        <w:t>Ekerette</w:t>
      </w:r>
      <w:proofErr w:type="spellEnd"/>
      <w:r w:rsidRPr="00B85224">
        <w:rPr>
          <w:rFonts w:ascii="Arial" w:hAnsi="Arial" w:cs="Arial"/>
          <w:sz w:val="20"/>
        </w:rPr>
        <w:t xml:space="preserve"> et al., 2026; </w:t>
      </w:r>
      <w:proofErr w:type="spellStart"/>
      <w:r w:rsidRPr="00B85224">
        <w:rPr>
          <w:rFonts w:ascii="Arial" w:hAnsi="Arial" w:cs="Arial"/>
          <w:sz w:val="20"/>
        </w:rPr>
        <w:t>Kushitor</w:t>
      </w:r>
      <w:proofErr w:type="spellEnd"/>
      <w:r w:rsidRPr="00B85224">
        <w:rPr>
          <w:rFonts w:ascii="Arial" w:hAnsi="Arial" w:cs="Arial"/>
          <w:sz w:val="20"/>
        </w:rPr>
        <w:t xml:space="preserve"> et al., 2023).</w:t>
      </w:r>
    </w:p>
    <w:p w14:paraId="19D14978" w14:textId="77777777" w:rsidR="00D065D9" w:rsidRPr="00F8231F" w:rsidRDefault="00F8231F" w:rsidP="0007191D">
      <w:pPr>
        <w:spacing w:after="120"/>
        <w:jc w:val="both"/>
        <w:rPr>
          <w:rFonts w:ascii="Arial" w:hAnsi="Arial" w:cs="Arial"/>
          <w:sz w:val="20"/>
        </w:rPr>
      </w:pPr>
      <w:r>
        <w:rPr>
          <w:rFonts w:ascii="Arial" w:hAnsi="Arial" w:cs="Arial"/>
          <w:sz w:val="20"/>
        </w:rPr>
        <w:lastRenderedPageBreak/>
        <w:t>Furthermore, t</w:t>
      </w:r>
      <w:r w:rsidRPr="00B85224">
        <w:rPr>
          <w:rFonts w:ascii="Arial" w:hAnsi="Arial" w:cs="Arial"/>
          <w:sz w:val="20"/>
        </w:rPr>
        <w:t xml:space="preserve">he positive association with CCA is also consistent with broader evidence on highly processed and energy-dense foods. Prospective reviews link greater ultra-processed-food intake with incident obesity, hypertension, diabetes and </w:t>
      </w:r>
      <w:proofErr w:type="spellStart"/>
      <w:r w:rsidRPr="00B85224">
        <w:rPr>
          <w:rFonts w:ascii="Arial" w:hAnsi="Arial" w:cs="Arial"/>
          <w:sz w:val="20"/>
        </w:rPr>
        <w:t>dyslipidaemia</w:t>
      </w:r>
      <w:proofErr w:type="spellEnd"/>
      <w:r w:rsidRPr="00B85224">
        <w:rPr>
          <w:rFonts w:ascii="Arial" w:hAnsi="Arial" w:cs="Arial"/>
          <w:sz w:val="20"/>
        </w:rPr>
        <w:t xml:space="preserve"> (</w:t>
      </w:r>
      <w:proofErr w:type="spellStart"/>
      <w:r w:rsidRPr="00B85224">
        <w:rPr>
          <w:rFonts w:ascii="Arial" w:hAnsi="Arial" w:cs="Arial"/>
          <w:sz w:val="20"/>
        </w:rPr>
        <w:t>Mambrini</w:t>
      </w:r>
      <w:proofErr w:type="spellEnd"/>
      <w:r w:rsidRPr="00B85224">
        <w:rPr>
          <w:rFonts w:ascii="Arial" w:hAnsi="Arial" w:cs="Arial"/>
          <w:sz w:val="20"/>
        </w:rPr>
        <w:t xml:space="preserve"> et al., 2023), </w:t>
      </w:r>
      <w:r w:rsidRPr="00B85224">
        <w:rPr>
          <w:rFonts w:ascii="Arial" w:hAnsi="Arial" w:cs="Arial"/>
          <w:sz w:val="20"/>
          <w:highlight w:val="yellow"/>
        </w:rPr>
        <w:t>while a meta-analysis shows</w:t>
      </w:r>
      <w:r w:rsidRPr="00B85224">
        <w:rPr>
          <w:rFonts w:ascii="Arial" w:hAnsi="Arial" w:cs="Arial"/>
          <w:sz w:val="20"/>
        </w:rPr>
        <w:t xml:space="preserve"> higher metabolic-syndrome risk with greater consumption (Shu et al., 2023). Harb et al. (2023) similarly reviewed evidence linking ultra-processed foods with adult obesity. </w:t>
      </w:r>
      <w:r w:rsidRPr="00DF5715">
        <w:rPr>
          <w:rFonts w:ascii="Arial" w:hAnsi="Arial" w:cs="Arial"/>
          <w:sz w:val="20"/>
          <w:highlight w:val="yellow"/>
        </w:rPr>
        <w:t>Comparable findings were reported by Brandt et al. (2025) in a large cross-sectional analysis of United States adults, where a processed/animal-food dietary pattern characterised by refined grains, added sugars, meats and dairy was associated with an adverse cardiometabolic profile. Yilmaz et al. (2025) likewise demonstrated that empirically derived dietary patterns were differentially associated with a range of cardiometabolic risk markers among disease-free adults, reinforcing the importance of examining combinations of foods rather than individual food items alone.</w:t>
      </w:r>
      <w:r>
        <w:rPr>
          <w:rFonts w:ascii="Arial" w:hAnsi="Arial" w:cs="Arial"/>
          <w:sz w:val="20"/>
        </w:rPr>
        <w:t xml:space="preserve"> </w:t>
      </w:r>
      <w:r w:rsidRPr="00B85224">
        <w:rPr>
          <w:rFonts w:ascii="Arial" w:hAnsi="Arial" w:cs="Arial"/>
          <w:sz w:val="20"/>
        </w:rPr>
        <w:t xml:space="preserve">The individual food-group comparisons in the present study point in the same direction: fried foods, fats/oils, desserts and alcohol were reported more frequently among participants with higher CCA burden. These converging findings strengthen the interpretation that Pattern 1 captures a genuinely adverse </w:t>
      </w:r>
      <w:proofErr w:type="spellStart"/>
      <w:r w:rsidRPr="00B85224">
        <w:rPr>
          <w:rFonts w:ascii="Arial" w:hAnsi="Arial" w:cs="Arial"/>
          <w:sz w:val="20"/>
        </w:rPr>
        <w:t>behavioural</w:t>
      </w:r>
      <w:proofErr w:type="spellEnd"/>
      <w:r w:rsidRPr="00B85224">
        <w:rPr>
          <w:rFonts w:ascii="Arial" w:hAnsi="Arial" w:cs="Arial"/>
          <w:sz w:val="20"/>
        </w:rPr>
        <w:t xml:space="preserve"> configuration, although the observational design does not establish causality.</w:t>
      </w:r>
    </w:p>
    <w:p w14:paraId="0CFC52DE" w14:textId="77777777" w:rsidR="00D065D9" w:rsidRPr="00DF5715" w:rsidRDefault="00DF5715" w:rsidP="0007191D">
      <w:pPr>
        <w:spacing w:after="120"/>
        <w:jc w:val="both"/>
        <w:rPr>
          <w:rFonts w:ascii="Arial" w:hAnsi="Arial" w:cs="Arial"/>
          <w:sz w:val="20"/>
        </w:rPr>
      </w:pPr>
      <w:r>
        <w:rPr>
          <w:rFonts w:ascii="Arial" w:hAnsi="Arial" w:cs="Arial"/>
          <w:sz w:val="20"/>
          <w:highlight w:val="yellow"/>
        </w:rPr>
        <w:t>In addition, Pattern 2</w:t>
      </w:r>
      <w:r w:rsidRPr="00B85224">
        <w:rPr>
          <w:rFonts w:ascii="Arial" w:hAnsi="Arial" w:cs="Arial"/>
          <w:sz w:val="20"/>
        </w:rPr>
        <w:t xml:space="preserve"> showed the strongest inverse association with cardiometabolic burden. It was defined by wheat, cereals, beans and white meat and, importantly, by negative loadings for processed foods/meat, seasoning and salt. Consequently, its inverse association should not be interpreted simply as an effect of grains or white meat in isolation. Rather, the factor appears to represent a broader substitution pattern in which staple grains, legumes and leaner animal-source food</w:t>
      </w:r>
      <w:r w:rsidR="00760287">
        <w:rPr>
          <w:rFonts w:ascii="Arial" w:hAnsi="Arial" w:cs="Arial"/>
          <w:sz w:val="20"/>
        </w:rPr>
        <w:t>s</w:t>
      </w:r>
      <w:r w:rsidRPr="00B85224">
        <w:rPr>
          <w:rFonts w:ascii="Arial" w:hAnsi="Arial" w:cs="Arial"/>
          <w:sz w:val="20"/>
        </w:rPr>
        <w:t xml:space="preserve"> occur together with lower consumption of processed foods and highly seasoned or salty foods.</w:t>
      </w:r>
      <w:r>
        <w:rPr>
          <w:rFonts w:ascii="Arial" w:hAnsi="Arial" w:cs="Arial"/>
        </w:rPr>
        <w:t xml:space="preserve"> </w:t>
      </w:r>
      <w:r w:rsidRPr="00B85224">
        <w:rPr>
          <w:rFonts w:ascii="Arial" w:hAnsi="Arial" w:cs="Arial"/>
          <w:sz w:val="20"/>
        </w:rPr>
        <w:t xml:space="preserve">This interpretation is compatible with contemporary dietary guidance that </w:t>
      </w:r>
      <w:proofErr w:type="spellStart"/>
      <w:r w:rsidRPr="00B85224">
        <w:rPr>
          <w:rFonts w:ascii="Arial" w:hAnsi="Arial" w:cs="Arial"/>
          <w:sz w:val="20"/>
        </w:rPr>
        <w:t>emphasises</w:t>
      </w:r>
      <w:proofErr w:type="spellEnd"/>
      <w:r w:rsidRPr="00B85224">
        <w:rPr>
          <w:rFonts w:ascii="Arial" w:hAnsi="Arial" w:cs="Arial"/>
          <w:sz w:val="20"/>
        </w:rPr>
        <w:t xml:space="preserve"> high-quality carbohydrate sources, legumes and minimally processed proteins while limiting sodium and processed products (</w:t>
      </w:r>
      <w:proofErr w:type="spellStart"/>
      <w:r w:rsidRPr="00B85224">
        <w:rPr>
          <w:rFonts w:ascii="Arial" w:hAnsi="Arial" w:cs="Arial"/>
          <w:sz w:val="20"/>
        </w:rPr>
        <w:t>Pagidipati</w:t>
      </w:r>
      <w:proofErr w:type="spellEnd"/>
      <w:r w:rsidRPr="00B85224">
        <w:rPr>
          <w:rFonts w:ascii="Arial" w:hAnsi="Arial" w:cs="Arial"/>
          <w:sz w:val="20"/>
        </w:rPr>
        <w:t xml:space="preserve"> et al., 2025). It also aligns with African empirical studies showing that fish-, grain- and plant-associated patterns can differ from snack- or processed-food patterns in their health associations (Weil et al., 2023; </w:t>
      </w:r>
      <w:proofErr w:type="spellStart"/>
      <w:r w:rsidRPr="00B85224">
        <w:rPr>
          <w:rFonts w:ascii="Arial" w:hAnsi="Arial" w:cs="Arial"/>
          <w:sz w:val="20"/>
        </w:rPr>
        <w:t>Ekerette</w:t>
      </w:r>
      <w:proofErr w:type="spellEnd"/>
      <w:r w:rsidRPr="00B85224">
        <w:rPr>
          <w:rFonts w:ascii="Arial" w:hAnsi="Arial" w:cs="Arial"/>
          <w:sz w:val="20"/>
        </w:rPr>
        <w:t xml:space="preserve"> et al., 2026). </w:t>
      </w:r>
      <w:r w:rsidRPr="00DF5715">
        <w:rPr>
          <w:rFonts w:ascii="Arial" w:hAnsi="Arial" w:cs="Arial"/>
          <w:sz w:val="20"/>
          <w:highlight w:val="yellow"/>
        </w:rPr>
        <w:t>Similarly, Brandt et al. (2025) identified prudent and legume-rich dietary patterns that differed substantially from processed/animal-food patterns in their relationships with cardiometabolic health, while Yilmaz et al. (2025) showed that empirically derived patterns containing differing combinations of plant and animal foods were associated with distinct cardiometabolic risk profiles.</w:t>
      </w:r>
      <w:r>
        <w:rPr>
          <w:rFonts w:ascii="Arial" w:hAnsi="Arial" w:cs="Arial"/>
          <w:sz w:val="20"/>
        </w:rPr>
        <w:t xml:space="preserve"> </w:t>
      </w:r>
      <w:r w:rsidRPr="00B85224">
        <w:rPr>
          <w:rFonts w:ascii="Arial" w:hAnsi="Arial" w:cs="Arial"/>
          <w:sz w:val="20"/>
        </w:rPr>
        <w:t>The marked predominance of Pattern 2 among participants with lower burden—61.</w:t>
      </w:r>
      <w:r w:rsidR="00F0409D">
        <w:rPr>
          <w:rFonts w:ascii="Arial" w:hAnsi="Arial" w:cs="Arial"/>
          <w:sz w:val="20"/>
        </w:rPr>
        <w:t>1</w:t>
      </w:r>
      <w:r w:rsidRPr="00B85224">
        <w:rPr>
          <w:rFonts w:ascii="Arial" w:hAnsi="Arial" w:cs="Arial"/>
          <w:sz w:val="20"/>
        </w:rPr>
        <w:t>% compared with 2</w:t>
      </w:r>
      <w:r w:rsidR="00F0409D">
        <w:rPr>
          <w:rFonts w:ascii="Arial" w:hAnsi="Arial" w:cs="Arial"/>
          <w:sz w:val="20"/>
        </w:rPr>
        <w:t>4.9</w:t>
      </w:r>
      <w:r w:rsidRPr="00B85224">
        <w:rPr>
          <w:rFonts w:ascii="Arial" w:hAnsi="Arial" w:cs="Arial"/>
          <w:sz w:val="20"/>
        </w:rPr>
        <w:t>% in the higher-burden group—provides an intuitive descriptive complement to the adjusted inverse prevalence ratio.</w:t>
      </w:r>
    </w:p>
    <w:p w14:paraId="4703D30F" w14:textId="77777777" w:rsidR="00D065D9" w:rsidRPr="00B85224" w:rsidRDefault="004D476D" w:rsidP="0007191D">
      <w:pPr>
        <w:spacing w:after="120"/>
        <w:jc w:val="both"/>
        <w:rPr>
          <w:rFonts w:ascii="Arial" w:hAnsi="Arial" w:cs="Arial"/>
        </w:rPr>
      </w:pPr>
      <w:r>
        <w:rPr>
          <w:rFonts w:ascii="Arial" w:hAnsi="Arial" w:cs="Arial"/>
          <w:sz w:val="20"/>
          <w:highlight w:val="yellow"/>
        </w:rPr>
        <w:t>Moreover, Pattern 3</w:t>
      </w:r>
      <w:r w:rsidRPr="00B85224">
        <w:rPr>
          <w:rFonts w:ascii="Arial" w:hAnsi="Arial" w:cs="Arial"/>
          <w:sz w:val="20"/>
        </w:rPr>
        <w:t xml:space="preserve"> requires the greatest caution. It was characterised by milk/dairy, tea/coffee, fish, nuts, fruit, vegetables and rice, yet higher scores were associated with greater CCA burden. It would therefore be inappropriate to label this factor 'healthy' or 'prudent' and then treat the positive association as evidence that these foods are harmful. Data-driven patterns are empirical covariance structures, not prespecified diet-quality scores. Segun et al. (2024) demonstrated in Nigerian adults that two ostensibly traditional patterns could have opposing obesity associations, while </w:t>
      </w:r>
      <w:r w:rsidRPr="00B85224">
        <w:rPr>
          <w:rFonts w:ascii="Arial" w:hAnsi="Arial" w:cs="Arial"/>
          <w:sz w:val="20"/>
          <w:highlight w:val="yellow"/>
        </w:rPr>
        <w:t>Moe et al. (2024) and Liu et al. (2024) showed</w:t>
      </w:r>
      <w:r w:rsidRPr="00B85224">
        <w:rPr>
          <w:rFonts w:ascii="Arial" w:hAnsi="Arial" w:cs="Arial"/>
          <w:sz w:val="20"/>
        </w:rPr>
        <w:t xml:space="preserve"> that pattern-level associations with metabolic syndrome depend on the exact composition and population context.</w:t>
      </w:r>
      <w:r>
        <w:rPr>
          <w:rFonts w:ascii="Arial" w:hAnsi="Arial" w:cs="Arial"/>
          <w:sz w:val="20"/>
        </w:rPr>
        <w:t xml:space="preserve"> </w:t>
      </w:r>
      <w:r w:rsidRPr="004D476D">
        <w:rPr>
          <w:rFonts w:ascii="Arial" w:hAnsi="Arial" w:cs="Arial"/>
          <w:sz w:val="20"/>
          <w:highlight w:val="yellow"/>
        </w:rPr>
        <w:t xml:space="preserve">This interpretation is also consistent with Yilmaz et al. (2025) and Brandt et al. (2025), whose findings illustrate that empirically derived patterns may contain mixtures of foods conventionally viewed as </w:t>
      </w:r>
      <w:proofErr w:type="spellStart"/>
      <w:r w:rsidRPr="004D476D">
        <w:rPr>
          <w:rFonts w:ascii="Arial" w:hAnsi="Arial" w:cs="Arial"/>
          <w:sz w:val="20"/>
          <w:highlight w:val="yellow"/>
        </w:rPr>
        <w:t>favourable</w:t>
      </w:r>
      <w:proofErr w:type="spellEnd"/>
      <w:r w:rsidRPr="004D476D">
        <w:rPr>
          <w:rFonts w:ascii="Arial" w:hAnsi="Arial" w:cs="Arial"/>
          <w:sz w:val="20"/>
          <w:highlight w:val="yellow"/>
        </w:rPr>
        <w:t xml:space="preserve"> or </w:t>
      </w:r>
      <w:proofErr w:type="spellStart"/>
      <w:r w:rsidRPr="004D476D">
        <w:rPr>
          <w:rFonts w:ascii="Arial" w:hAnsi="Arial" w:cs="Arial"/>
          <w:sz w:val="20"/>
          <w:highlight w:val="yellow"/>
        </w:rPr>
        <w:t>unfavourable</w:t>
      </w:r>
      <w:proofErr w:type="spellEnd"/>
      <w:r w:rsidRPr="004D476D">
        <w:rPr>
          <w:rFonts w:ascii="Arial" w:hAnsi="Arial" w:cs="Arial"/>
          <w:sz w:val="20"/>
          <w:highlight w:val="yellow"/>
        </w:rPr>
        <w:t xml:space="preserve"> and that their associations depend on the overall composition of the pattern and characteristics of the study population.</w:t>
      </w:r>
    </w:p>
    <w:p w14:paraId="78C4BA11" w14:textId="77777777" w:rsidR="00D065D9" w:rsidRPr="00B85224" w:rsidRDefault="00000000" w:rsidP="0007191D">
      <w:pPr>
        <w:spacing w:after="120"/>
        <w:jc w:val="both"/>
        <w:rPr>
          <w:rFonts w:ascii="Arial" w:hAnsi="Arial" w:cs="Arial"/>
        </w:rPr>
      </w:pPr>
      <w:r w:rsidRPr="00B85224">
        <w:rPr>
          <w:rFonts w:ascii="Arial" w:hAnsi="Arial" w:cs="Arial"/>
          <w:sz w:val="20"/>
        </w:rPr>
        <w:t xml:space="preserve">Several explanations are plausible. First, rice was an important positive loading, so the pattern may partly represent frequent staple carbohydrate consumption alongside nutrient-dense foods. Second, frequency data do not quantify portion size, energy intake, preparation method, added oils, sugar in tea/coffee or type of dairy product. Third, residual confounding may remain despite adjustment. Finally, reverse causation is particularly credible in a cross-sectional community study: individuals who know they have hypertension, diabetes or obesity may increase fish, fruit, vegetables or dairy and reduce other perceived high-risk foods after counselling. The thesis itself </w:t>
      </w:r>
      <w:proofErr w:type="spellStart"/>
      <w:r w:rsidRPr="00B85224">
        <w:rPr>
          <w:rFonts w:ascii="Arial" w:hAnsi="Arial" w:cs="Arial"/>
          <w:sz w:val="20"/>
        </w:rPr>
        <w:t>recognises</w:t>
      </w:r>
      <w:proofErr w:type="spellEnd"/>
      <w:r w:rsidRPr="00B85224">
        <w:rPr>
          <w:rFonts w:ascii="Arial" w:hAnsi="Arial" w:cs="Arial"/>
          <w:sz w:val="20"/>
        </w:rPr>
        <w:t xml:space="preserve"> post-diagnosis dietary modification as a potential source of paradoxical diet–disease associations. The positive Pattern 3 association should therefore be presented as an epidemiological observation requiring longitudinal confirmation rather than as evidence against established cardiometabolic dietary guidance.</w:t>
      </w:r>
    </w:p>
    <w:p w14:paraId="2E23134A" w14:textId="77777777" w:rsidR="00D065D9" w:rsidRPr="00B85224" w:rsidRDefault="00000000" w:rsidP="0007191D">
      <w:pPr>
        <w:spacing w:after="120"/>
        <w:jc w:val="both"/>
        <w:rPr>
          <w:rFonts w:ascii="Arial" w:hAnsi="Arial" w:cs="Arial"/>
        </w:rPr>
      </w:pPr>
      <w:r w:rsidRPr="00B85224">
        <w:rPr>
          <w:rFonts w:ascii="Arial" w:hAnsi="Arial" w:cs="Arial"/>
          <w:sz w:val="20"/>
        </w:rPr>
        <w:t xml:space="preserve">The observed burden differences by age, education, marital status, </w:t>
      </w:r>
      <w:r w:rsidR="00C51A27">
        <w:rPr>
          <w:rFonts w:ascii="Arial" w:hAnsi="Arial" w:cs="Arial"/>
          <w:sz w:val="20"/>
        </w:rPr>
        <w:t xml:space="preserve">ethnicity, </w:t>
      </w:r>
      <w:r w:rsidRPr="00B85224">
        <w:rPr>
          <w:rFonts w:ascii="Arial" w:hAnsi="Arial" w:cs="Arial"/>
          <w:sz w:val="20"/>
        </w:rPr>
        <w:t xml:space="preserve">employment and family size are consistent with </w:t>
      </w:r>
      <w:r w:rsidR="004D476D">
        <w:rPr>
          <w:rFonts w:ascii="Arial" w:hAnsi="Arial" w:cs="Arial"/>
          <w:sz w:val="20"/>
        </w:rPr>
        <w:t xml:space="preserve">our previous work in </w:t>
      </w:r>
      <w:r w:rsidRPr="00B85224">
        <w:rPr>
          <w:rFonts w:ascii="Arial" w:hAnsi="Arial" w:cs="Arial"/>
          <w:sz w:val="20"/>
        </w:rPr>
        <w:t>the thesis conceptual framework, which treats dietary behaviour as embedded within household, socioeconomic and community</w:t>
      </w:r>
      <w:r w:rsidR="004D476D">
        <w:rPr>
          <w:rFonts w:ascii="Arial" w:hAnsi="Arial" w:cs="Arial"/>
          <w:sz w:val="20"/>
        </w:rPr>
        <w:t xml:space="preserve"> contexts</w:t>
      </w:r>
      <w:r w:rsidRPr="00B85224">
        <w:rPr>
          <w:rFonts w:ascii="Arial" w:hAnsi="Arial" w:cs="Arial"/>
          <w:sz w:val="20"/>
        </w:rPr>
        <w:t xml:space="preserve">. Ikwerre LGA is undergoing rapid </w:t>
      </w:r>
      <w:proofErr w:type="spellStart"/>
      <w:r w:rsidRPr="00B85224">
        <w:rPr>
          <w:rFonts w:ascii="Arial" w:hAnsi="Arial" w:cs="Arial"/>
          <w:sz w:val="20"/>
        </w:rPr>
        <w:t>urbanisation</w:t>
      </w:r>
      <w:proofErr w:type="spellEnd"/>
      <w:r w:rsidRPr="00B85224">
        <w:rPr>
          <w:rFonts w:ascii="Arial" w:hAnsi="Arial" w:cs="Arial"/>
          <w:sz w:val="20"/>
        </w:rPr>
        <w:t xml:space="preserve"> while retaining strong agrarian and traditional food systems. This creates a layered food environment in which locally grown staples and vegetables coexist with commercial fried foods, processed snacks, sweetened beverages and restaurant foods. Studies in Accra and Burkina Faso similarly show that dietary-pattern adherence varies with age, education, socioeconomic position and urban context (</w:t>
      </w:r>
      <w:proofErr w:type="spellStart"/>
      <w:r w:rsidRPr="00B85224">
        <w:rPr>
          <w:rFonts w:ascii="Arial" w:hAnsi="Arial" w:cs="Arial"/>
          <w:sz w:val="20"/>
        </w:rPr>
        <w:t>Kushitor</w:t>
      </w:r>
      <w:proofErr w:type="spellEnd"/>
      <w:r w:rsidRPr="00B85224">
        <w:rPr>
          <w:rFonts w:ascii="Arial" w:hAnsi="Arial" w:cs="Arial"/>
          <w:sz w:val="20"/>
        </w:rPr>
        <w:t xml:space="preserve"> et al., 2023; Weil et al., 2023). These social gradients matter because interventions targeted only at individual knowledge may be insufficient if food availability, household size, affordability and eating outside the home shape pattern adherence.</w:t>
      </w:r>
    </w:p>
    <w:p w14:paraId="12A7D421" w14:textId="77777777" w:rsidR="00D065D9" w:rsidRPr="00B85224" w:rsidRDefault="00000000" w:rsidP="0007191D">
      <w:pPr>
        <w:spacing w:after="120"/>
        <w:jc w:val="both"/>
        <w:rPr>
          <w:rFonts w:ascii="Arial" w:hAnsi="Arial" w:cs="Arial"/>
        </w:rPr>
      </w:pPr>
      <w:r w:rsidRPr="00B85224">
        <w:rPr>
          <w:rFonts w:ascii="Arial" w:hAnsi="Arial" w:cs="Arial"/>
          <w:sz w:val="20"/>
        </w:rPr>
        <w:lastRenderedPageBreak/>
        <w:t>The final analytical pathway has two methodological strengths. First, component retention was not based on the Kaiser criterion alone. Although six eigenvalues exceeded one, parallel analysis supported three components, and bootstrap evaluation showed that additional components became unstable or sparsely defined. This prevented over-extraction and produced three patterns with multiple salient foods. Second, the study separated pattern definition from exposure scoring. Foods with absolute loadings ≥0.40 were used to name and interpret patterns, while complete PCA factor scores were used for primary regression because they preserve the covariance structure of all included foods. The restricted loading-weighted sensitivity scores were then used to show that the primary associations were driven by the core defining foods. The very high correlations between full and restricted scores and the replication of all three associations provide reassuring internal robustness.</w:t>
      </w:r>
    </w:p>
    <w:p w14:paraId="4B81AC16" w14:textId="2E25E0C2" w:rsidR="00D065D9" w:rsidRPr="00B85224" w:rsidRDefault="00000000" w:rsidP="0007191D">
      <w:pPr>
        <w:spacing w:after="120"/>
        <w:jc w:val="both"/>
        <w:rPr>
          <w:rFonts w:ascii="Arial" w:hAnsi="Arial" w:cs="Arial"/>
        </w:rPr>
      </w:pPr>
      <w:r w:rsidRPr="00B85224">
        <w:rPr>
          <w:rFonts w:ascii="Arial" w:hAnsi="Arial" w:cs="Arial"/>
          <w:sz w:val="20"/>
        </w:rPr>
        <w:t>The findings have potential relevance for community screening and dietary counselling, but they should be translated cautiously. Pattern 1</w:t>
      </w:r>
      <w:r w:rsidR="006A6D73">
        <w:rPr>
          <w:rFonts w:ascii="Arial" w:hAnsi="Arial" w:cs="Arial"/>
          <w:sz w:val="20"/>
        </w:rPr>
        <w:t xml:space="preserve">, </w:t>
      </w:r>
      <w:r w:rsidR="006A6D73" w:rsidRPr="006A6D73">
        <w:rPr>
          <w:rFonts w:ascii="Arial" w:hAnsi="Arial" w:cs="Arial"/>
          <w:sz w:val="20"/>
        </w:rPr>
        <w:t>the fried/fast food–fats/oils–dessert/soft drink–alcohol pattern</w:t>
      </w:r>
      <w:r w:rsidR="006A6D73">
        <w:rPr>
          <w:rFonts w:ascii="Arial" w:hAnsi="Arial" w:cs="Arial"/>
          <w:sz w:val="20"/>
        </w:rPr>
        <w:t>,</w:t>
      </w:r>
      <w:r w:rsidRPr="00B85224">
        <w:rPr>
          <w:rFonts w:ascii="Arial" w:hAnsi="Arial" w:cs="Arial"/>
          <w:sz w:val="20"/>
        </w:rPr>
        <w:t xml:space="preserve"> </w:t>
      </w:r>
      <w:r w:rsidRPr="00B85224">
        <w:rPr>
          <w:rFonts w:ascii="Arial" w:hAnsi="Arial" w:cs="Arial"/>
          <w:sz w:val="20"/>
          <w:highlight w:val="yellow"/>
        </w:rPr>
        <w:t>identifies a practical cluster of modifiable behaviours—fried and fast foods, fats/oils, desserts, soft drinks and alcohol—that can be addressed</w:t>
      </w:r>
      <w:r w:rsidRPr="00B85224">
        <w:rPr>
          <w:rFonts w:ascii="Arial" w:hAnsi="Arial" w:cs="Arial"/>
          <w:sz w:val="20"/>
        </w:rPr>
        <w:t xml:space="preserve"> through culturally specific counselling and food-environment interventions. The inverse </w:t>
      </w:r>
      <w:r w:rsidR="006A6D73">
        <w:rPr>
          <w:rFonts w:ascii="Arial" w:hAnsi="Arial" w:cs="Arial"/>
          <w:sz w:val="20"/>
        </w:rPr>
        <w:t xml:space="preserve">association of </w:t>
      </w:r>
      <w:r w:rsidRPr="00B85224">
        <w:rPr>
          <w:rFonts w:ascii="Arial" w:hAnsi="Arial" w:cs="Arial"/>
          <w:sz w:val="20"/>
        </w:rPr>
        <w:t>Pattern 2</w:t>
      </w:r>
      <w:r w:rsidR="006A6D73">
        <w:rPr>
          <w:rFonts w:ascii="Arial" w:hAnsi="Arial" w:cs="Arial"/>
          <w:sz w:val="20"/>
        </w:rPr>
        <w:t xml:space="preserve">, </w:t>
      </w:r>
      <w:r w:rsidR="006A6D73" w:rsidRPr="006A6D73">
        <w:rPr>
          <w:rFonts w:ascii="Arial" w:hAnsi="Arial" w:cs="Arial"/>
          <w:sz w:val="20"/>
        </w:rPr>
        <w:t>the grain–legume–white meat pattern</w:t>
      </w:r>
      <w:r w:rsidR="006A6D73">
        <w:rPr>
          <w:rFonts w:ascii="Arial" w:hAnsi="Arial" w:cs="Arial"/>
          <w:sz w:val="20"/>
        </w:rPr>
        <w:t>,</w:t>
      </w:r>
      <w:r w:rsidRPr="00B85224">
        <w:rPr>
          <w:rFonts w:ascii="Arial" w:hAnsi="Arial" w:cs="Arial"/>
          <w:sz w:val="20"/>
        </w:rPr>
        <w:t xml:space="preserve"> suggests that promoting legumes, less processed grain-based meals and leaner protein sources while reducing processed foods and excessive seasoning/salt may be a useful direction for intervention. These recommendations are consistent with broader cardiometabolic dietary guidance (</w:t>
      </w:r>
      <w:proofErr w:type="spellStart"/>
      <w:r w:rsidRPr="00B85224">
        <w:rPr>
          <w:rFonts w:ascii="Arial" w:hAnsi="Arial" w:cs="Arial"/>
          <w:sz w:val="20"/>
        </w:rPr>
        <w:t>Pagidipati</w:t>
      </w:r>
      <w:proofErr w:type="spellEnd"/>
      <w:r w:rsidRPr="00B85224">
        <w:rPr>
          <w:rFonts w:ascii="Arial" w:hAnsi="Arial" w:cs="Arial"/>
          <w:sz w:val="20"/>
        </w:rPr>
        <w:t xml:space="preserve"> et al., 2025) and with Nigerian work demonstrating the feasibility of brief culturally adapted dietary screening and counselling (Batubo et al., 2024b, 2024).</w:t>
      </w:r>
      <w:r w:rsidR="004D476D">
        <w:rPr>
          <w:rFonts w:ascii="Arial" w:hAnsi="Arial" w:cs="Arial"/>
          <w:sz w:val="20"/>
        </w:rPr>
        <w:t xml:space="preserve"> </w:t>
      </w:r>
      <w:r w:rsidR="004D476D" w:rsidRPr="004D476D">
        <w:rPr>
          <w:rFonts w:ascii="Arial" w:hAnsi="Arial" w:cs="Arial"/>
          <w:sz w:val="20"/>
          <w:highlight w:val="yellow"/>
        </w:rPr>
        <w:t>Importantly, recent intervention evidence also supports a whole-diet approach. Wu et al. (2025) reported that a cardiometabolic risk-reducing dietary pattern lowered clustered cardiometabolic risk, blood pressure, lipid concentrations and adiposity among adults with dyslipidaemia, while a subsequent cluster-</w:t>
      </w:r>
      <w:proofErr w:type="spellStart"/>
      <w:r w:rsidR="004D476D" w:rsidRPr="004D476D">
        <w:rPr>
          <w:rFonts w:ascii="Arial" w:hAnsi="Arial" w:cs="Arial"/>
          <w:sz w:val="20"/>
          <w:highlight w:val="yellow"/>
        </w:rPr>
        <w:t>randomised</w:t>
      </w:r>
      <w:proofErr w:type="spellEnd"/>
      <w:r w:rsidR="004D476D" w:rsidRPr="004D476D">
        <w:rPr>
          <w:rFonts w:ascii="Arial" w:hAnsi="Arial" w:cs="Arial"/>
          <w:sz w:val="20"/>
          <w:highlight w:val="yellow"/>
        </w:rPr>
        <w:t xml:space="preserve"> trial among community-dwelling older adults demonstrated improvements in clustered cardiometabolic risk and multiple metabolic indicators following dietary-pattern health education (Wu et al., 2026). These intervention findings provide complementary evidence that modification of overall dietary behaviour may influence several cardiometabolic risk factors simultaneously.</w:t>
      </w:r>
    </w:p>
    <w:p w14:paraId="48B3A760" w14:textId="77777777" w:rsidR="00D065D9" w:rsidRPr="00B85224" w:rsidRDefault="00000000" w:rsidP="0007191D">
      <w:pPr>
        <w:spacing w:after="120"/>
        <w:jc w:val="both"/>
        <w:rPr>
          <w:rFonts w:ascii="Arial" w:hAnsi="Arial" w:cs="Arial"/>
        </w:rPr>
      </w:pPr>
      <w:r w:rsidRPr="00B85224">
        <w:rPr>
          <w:rFonts w:ascii="Arial" w:hAnsi="Arial" w:cs="Arial"/>
          <w:sz w:val="20"/>
          <w:highlight w:val="yellow"/>
        </w:rPr>
        <w:t>At the same time, the finding for Pattern 3, the dairy–tea/coffee–fish–nuts–fruit/vegetable pattern, illustrates</w:t>
      </w:r>
      <w:r w:rsidRPr="00B85224">
        <w:rPr>
          <w:rFonts w:ascii="Arial" w:hAnsi="Arial" w:cs="Arial"/>
          <w:sz w:val="20"/>
        </w:rPr>
        <w:t xml:space="preserve"> why empirical patterns should not be converted directly into prescriptive dietary recommendations without additional evidence. The NiDST and Nigerian Diet Risk Score have already shown that locally adapted dietary information can support hypertension risk assessment (Batubo et al., 2025), but future intervention work should incorporate portion sizes, food preparation, processing level and repeated dietary assessment to distinguish causal food effects from </w:t>
      </w:r>
      <w:proofErr w:type="spellStart"/>
      <w:r w:rsidRPr="00B85224">
        <w:rPr>
          <w:rFonts w:ascii="Arial" w:hAnsi="Arial" w:cs="Arial"/>
          <w:sz w:val="20"/>
        </w:rPr>
        <w:t>behavioural</w:t>
      </w:r>
      <w:proofErr w:type="spellEnd"/>
      <w:r w:rsidRPr="00B85224">
        <w:rPr>
          <w:rFonts w:ascii="Arial" w:hAnsi="Arial" w:cs="Arial"/>
          <w:sz w:val="20"/>
        </w:rPr>
        <w:t xml:space="preserve"> adaptation.</w:t>
      </w:r>
    </w:p>
    <w:p w14:paraId="2F28F07B" w14:textId="77777777" w:rsidR="00D065D9" w:rsidRDefault="004D2535" w:rsidP="0007191D">
      <w:pPr>
        <w:spacing w:after="120"/>
        <w:jc w:val="both"/>
        <w:rPr>
          <w:rFonts w:ascii="Arial" w:hAnsi="Arial" w:cs="Arial"/>
          <w:sz w:val="20"/>
          <w:szCs w:val="20"/>
        </w:rPr>
      </w:pPr>
      <w:r w:rsidRPr="004D2535">
        <w:rPr>
          <w:rFonts w:ascii="Arial" w:hAnsi="Arial" w:cs="Arial"/>
          <w:sz w:val="20"/>
          <w:szCs w:val="20"/>
        </w:rPr>
        <w:t xml:space="preserve">Key strengths include the community-based sampling framework, the application of a validated Nigerian dietary instrument, and the use of objective anthropometric, blood pressure and biochemical measurements. </w:t>
      </w:r>
      <w:r w:rsidR="004D476D" w:rsidRPr="004D476D">
        <w:rPr>
          <w:rFonts w:ascii="Arial" w:hAnsi="Arial" w:cs="Arial"/>
          <w:sz w:val="20"/>
          <w:szCs w:val="20"/>
        </w:rPr>
        <w:t>The study employs a clinically transparent clustered cardiometabolic abnormalities (CCA) burden framework, formal component-retention assessment, mutually adjusted robust Poisson models and sensitivity analyses based on core factor loadings.</w:t>
      </w:r>
      <w:r w:rsidR="004D476D">
        <w:rPr>
          <w:rFonts w:ascii="Arial" w:hAnsi="Arial" w:cs="Arial"/>
          <w:sz w:val="20"/>
          <w:szCs w:val="20"/>
        </w:rPr>
        <w:t xml:space="preserve"> </w:t>
      </w:r>
      <w:r w:rsidRPr="004D2535">
        <w:rPr>
          <w:rFonts w:ascii="Arial" w:hAnsi="Arial" w:cs="Arial"/>
          <w:sz w:val="20"/>
          <w:szCs w:val="20"/>
        </w:rPr>
        <w:t xml:space="preserve">The presentation of lower versus higher burden facilitates straightforward clinical interpretation of participant phenotypes alongside regression estimates.  </w:t>
      </w:r>
    </w:p>
    <w:p w14:paraId="15EA6884" w14:textId="5DE4D60B" w:rsidR="00AC13A3" w:rsidRPr="00271C8B" w:rsidRDefault="00AC13A3" w:rsidP="0007191D">
      <w:pPr>
        <w:spacing w:after="120"/>
        <w:jc w:val="both"/>
        <w:rPr>
          <w:rFonts w:ascii="Arial" w:hAnsi="Arial" w:cs="Arial"/>
          <w:b/>
          <w:bCs/>
        </w:rPr>
      </w:pPr>
      <w:r w:rsidRPr="00271C8B">
        <w:rPr>
          <w:rFonts w:ascii="Arial" w:hAnsi="Arial" w:cs="Arial"/>
          <w:b/>
          <w:bCs/>
        </w:rPr>
        <w:t>Limitation</w:t>
      </w:r>
    </w:p>
    <w:p w14:paraId="509E7A05" w14:textId="77777777" w:rsidR="004D2535" w:rsidRPr="004D2535" w:rsidRDefault="00705234" w:rsidP="0007191D">
      <w:pPr>
        <w:spacing w:after="120"/>
        <w:jc w:val="both"/>
        <w:rPr>
          <w:rFonts w:ascii="Arial" w:hAnsi="Arial" w:cs="Arial"/>
          <w:sz w:val="20"/>
          <w:szCs w:val="20"/>
        </w:rPr>
      </w:pPr>
      <w:r w:rsidRPr="00705234">
        <w:rPr>
          <w:rFonts w:ascii="Arial" w:hAnsi="Arial" w:cs="Arial"/>
          <w:sz w:val="20"/>
          <w:szCs w:val="20"/>
          <w:highlight w:val="yellow"/>
        </w:rPr>
        <w:t xml:space="preserve">Several limitations should be considered when interpreting these findings. First, the cross-sectional design precludes assessment of temporality and causal relationships and leaves open the possibility of reverse causation, including post-diagnosis modification of dietary behaviour. Second, dietary intake was assessed using the NiDST, which captures habitual food-consumption frequency but does not quantify portion size, total energy intake, detailed nutrient composition or cooking methods. As with other self-reported dietary instruments, responses may also be affected by recall error, misclassification and social-desirability bias. Residual and unmeasured confounding may persist because factors such as physical activity, tobacco use and socioeconomic characteristics were not included in the pre-specified models. In addition, the CCA measure represents a study-specific burden count rather than a formally diagnosed cardiometabolic syndrome. Finally, PCA-derived dietary patterns are sample-dependent and may limit </w:t>
      </w:r>
      <w:proofErr w:type="spellStart"/>
      <w:r w:rsidRPr="00705234">
        <w:rPr>
          <w:rFonts w:ascii="Arial" w:hAnsi="Arial" w:cs="Arial"/>
          <w:sz w:val="20"/>
          <w:szCs w:val="20"/>
          <w:highlight w:val="yellow"/>
        </w:rPr>
        <w:t>generalisability</w:t>
      </w:r>
      <w:proofErr w:type="spellEnd"/>
      <w:r w:rsidRPr="00705234">
        <w:rPr>
          <w:rFonts w:ascii="Arial" w:hAnsi="Arial" w:cs="Arial"/>
          <w:sz w:val="20"/>
          <w:szCs w:val="20"/>
          <w:highlight w:val="yellow"/>
        </w:rPr>
        <w:t xml:space="preserve"> beyond </w:t>
      </w:r>
      <w:proofErr w:type="spellStart"/>
      <w:r w:rsidRPr="00705234">
        <w:rPr>
          <w:rFonts w:ascii="Arial" w:hAnsi="Arial" w:cs="Arial"/>
          <w:sz w:val="20"/>
          <w:szCs w:val="20"/>
          <w:highlight w:val="yellow"/>
        </w:rPr>
        <w:t>Ikwerre</w:t>
      </w:r>
      <w:proofErr w:type="spellEnd"/>
      <w:r w:rsidRPr="00705234">
        <w:rPr>
          <w:rFonts w:ascii="Arial" w:hAnsi="Arial" w:cs="Arial"/>
          <w:sz w:val="20"/>
          <w:szCs w:val="20"/>
          <w:highlight w:val="yellow"/>
        </w:rPr>
        <w:t xml:space="preserve"> LGA, highlighting the need for external and prospective validation.</w:t>
      </w:r>
    </w:p>
    <w:p w14:paraId="6ABBFBC3" w14:textId="77777777" w:rsidR="00D065D9" w:rsidRPr="00B00870" w:rsidRDefault="00000000" w:rsidP="0007191D">
      <w:pPr>
        <w:spacing w:after="120"/>
        <w:rPr>
          <w:rFonts w:ascii="Arial" w:hAnsi="Arial" w:cs="Arial"/>
          <w:highlight w:val="yellow"/>
        </w:rPr>
      </w:pPr>
      <w:r w:rsidRPr="00B00870">
        <w:rPr>
          <w:rFonts w:ascii="Arial" w:hAnsi="Arial" w:cs="Arial"/>
          <w:b/>
          <w:sz w:val="22"/>
          <w:highlight w:val="yellow"/>
        </w:rPr>
        <w:t>4. CONCLUSION</w:t>
      </w:r>
    </w:p>
    <w:p w14:paraId="48B661E6" w14:textId="6CC9067B" w:rsidR="0056046B" w:rsidRDefault="00243AB9" w:rsidP="0056046B">
      <w:pPr>
        <w:spacing w:after="120"/>
        <w:jc w:val="both"/>
        <w:rPr>
          <w:rFonts w:ascii="Arial" w:hAnsi="Arial" w:cs="Arial"/>
          <w:sz w:val="20"/>
        </w:rPr>
      </w:pPr>
      <w:r w:rsidRPr="00243AB9">
        <w:rPr>
          <w:rFonts w:ascii="Arial" w:hAnsi="Arial" w:cs="Arial"/>
          <w:sz w:val="20"/>
          <w:highlight w:val="yellow"/>
        </w:rPr>
        <w:t xml:space="preserve">Three stable dietary patterns </w:t>
      </w:r>
      <w:proofErr w:type="spellStart"/>
      <w:r w:rsidRPr="00243AB9">
        <w:rPr>
          <w:rFonts w:ascii="Arial" w:hAnsi="Arial" w:cs="Arial"/>
          <w:sz w:val="20"/>
          <w:highlight w:val="yellow"/>
        </w:rPr>
        <w:t>characterised</w:t>
      </w:r>
      <w:proofErr w:type="spellEnd"/>
      <w:r w:rsidRPr="00243AB9">
        <w:rPr>
          <w:rFonts w:ascii="Arial" w:hAnsi="Arial" w:cs="Arial"/>
          <w:sz w:val="20"/>
          <w:highlight w:val="yellow"/>
        </w:rPr>
        <w:t xml:space="preserve"> habitual food consumption among adults in </w:t>
      </w:r>
      <w:proofErr w:type="spellStart"/>
      <w:r w:rsidRPr="00243AB9">
        <w:rPr>
          <w:rFonts w:ascii="Arial" w:hAnsi="Arial" w:cs="Arial"/>
          <w:sz w:val="20"/>
          <w:highlight w:val="yellow"/>
        </w:rPr>
        <w:t>Ikwerre</w:t>
      </w:r>
      <w:proofErr w:type="spellEnd"/>
      <w:r w:rsidRPr="00243AB9">
        <w:rPr>
          <w:rFonts w:ascii="Arial" w:hAnsi="Arial" w:cs="Arial"/>
          <w:sz w:val="20"/>
          <w:highlight w:val="yellow"/>
        </w:rPr>
        <w:t xml:space="preserve"> Local Government Area. The fried/fast food–fats/oils–dessert/soft drink–alcohol pattern was independently associated with a higher prevalence of clustered cardiometabolic abnormalities, whereas the grain–legume–white meat pattern, which included inverse loadings for processed foods, seasoning and salty foods, was associated with a lower prevalence. The dairy–tea/coffee–fish–nuts–fruit/vegetable pattern was also positively associated with clustered cardiometabolic burden. This counterintuitive association should be interpreted cautiously because the pattern combined several food groups, residual confounding may remain, and post-diagnosis dietary modification is plausible in a cross-sectional study. The high occurrence of multiple cardiometabolic abnormalities and the differing </w:t>
      </w:r>
      <w:r w:rsidRPr="00243AB9">
        <w:rPr>
          <w:rFonts w:ascii="Arial" w:hAnsi="Arial" w:cs="Arial"/>
          <w:sz w:val="20"/>
          <w:highlight w:val="yellow"/>
        </w:rPr>
        <w:lastRenderedPageBreak/>
        <w:t xml:space="preserve">distributions of predominant dietary patterns between burden groups support the relevance of evaluating whole-diet </w:t>
      </w:r>
      <w:proofErr w:type="spellStart"/>
      <w:r w:rsidRPr="00243AB9">
        <w:rPr>
          <w:rFonts w:ascii="Arial" w:hAnsi="Arial" w:cs="Arial"/>
          <w:sz w:val="20"/>
          <w:highlight w:val="yellow"/>
        </w:rPr>
        <w:t>behaviour</w:t>
      </w:r>
      <w:proofErr w:type="spellEnd"/>
      <w:r w:rsidRPr="00243AB9">
        <w:rPr>
          <w:rFonts w:ascii="Arial" w:hAnsi="Arial" w:cs="Arial"/>
          <w:sz w:val="20"/>
          <w:highlight w:val="yellow"/>
        </w:rPr>
        <w:t xml:space="preserve"> in this population. Prospective studies are needed to establish temporality and to incorporate more detailed information on portion size, energy intake, food preparation and processing before the observed pattern–cardiometabolic relationships can be interpreted causally or translated into specific dietary recommendations</w:t>
      </w:r>
      <w:r w:rsidR="009A258B">
        <w:rPr>
          <w:rFonts w:ascii="Arial" w:hAnsi="Arial" w:cs="Arial"/>
          <w:sz w:val="20"/>
          <w:highlight w:val="yellow"/>
        </w:rPr>
        <w:t xml:space="preserve">. </w:t>
      </w:r>
      <w:r w:rsidR="0056046B" w:rsidRPr="0056046B">
        <w:rPr>
          <w:rFonts w:ascii="Arial" w:hAnsi="Arial" w:cs="Arial"/>
          <w:sz w:val="20"/>
        </w:rPr>
        <w:t>Future prospective and longitudinal studies should validate these dietary patterns, establish temporality, and incorporate more detailed assessment of portion size, energy intake, food preparation and processing to clarify the observed diet–cardiometabolic relationships.</w:t>
      </w:r>
    </w:p>
    <w:p w14:paraId="17D68A47" w14:textId="77777777" w:rsidR="00D065D9" w:rsidRPr="00B85224" w:rsidRDefault="00000000" w:rsidP="0056046B">
      <w:pPr>
        <w:spacing w:after="120"/>
        <w:jc w:val="both"/>
        <w:rPr>
          <w:rFonts w:ascii="Arial" w:hAnsi="Arial" w:cs="Arial"/>
        </w:rPr>
      </w:pPr>
      <w:r w:rsidRPr="00B85224">
        <w:rPr>
          <w:rFonts w:ascii="Arial" w:hAnsi="Arial" w:cs="Arial"/>
          <w:b/>
          <w:sz w:val="22"/>
        </w:rPr>
        <w:t>COMPETING INTERESTS</w:t>
      </w:r>
    </w:p>
    <w:p w14:paraId="1C83717B" w14:textId="77777777" w:rsidR="00D065D9" w:rsidRPr="00B85224" w:rsidRDefault="00F2045E" w:rsidP="0007191D">
      <w:pPr>
        <w:spacing w:after="120"/>
        <w:jc w:val="both"/>
        <w:rPr>
          <w:rFonts w:ascii="Arial" w:hAnsi="Arial" w:cs="Arial"/>
        </w:rPr>
      </w:pPr>
      <w:r>
        <w:rPr>
          <w:rFonts w:ascii="Arial" w:hAnsi="Arial" w:cs="Arial"/>
          <w:sz w:val="20"/>
        </w:rPr>
        <w:t>The a</w:t>
      </w:r>
      <w:r w:rsidRPr="00B85224">
        <w:rPr>
          <w:rFonts w:ascii="Arial" w:hAnsi="Arial" w:cs="Arial"/>
          <w:sz w:val="20"/>
        </w:rPr>
        <w:t>uthors have declared that no competing interests exist.</w:t>
      </w:r>
    </w:p>
    <w:p w14:paraId="79A52B2F" w14:textId="77777777" w:rsidR="00D065D9" w:rsidRPr="00B85224" w:rsidRDefault="00000000" w:rsidP="0007191D">
      <w:pPr>
        <w:spacing w:after="120"/>
        <w:rPr>
          <w:rFonts w:ascii="Arial" w:hAnsi="Arial" w:cs="Arial"/>
        </w:rPr>
      </w:pPr>
      <w:r w:rsidRPr="00B85224">
        <w:rPr>
          <w:rFonts w:ascii="Arial" w:hAnsi="Arial" w:cs="Arial"/>
          <w:b/>
          <w:sz w:val="22"/>
        </w:rPr>
        <w:t>CONSENT</w:t>
      </w:r>
    </w:p>
    <w:p w14:paraId="5076B06C" w14:textId="77777777" w:rsidR="00D065D9" w:rsidRPr="00B85224" w:rsidRDefault="00000000" w:rsidP="0007191D">
      <w:pPr>
        <w:spacing w:after="120"/>
        <w:jc w:val="both"/>
        <w:rPr>
          <w:rFonts w:ascii="Arial" w:hAnsi="Arial" w:cs="Arial"/>
        </w:rPr>
      </w:pPr>
      <w:r w:rsidRPr="00B85224">
        <w:rPr>
          <w:rFonts w:ascii="Arial" w:hAnsi="Arial" w:cs="Arial"/>
          <w:sz w:val="20"/>
        </w:rPr>
        <w:t xml:space="preserve">Written informed consent to participate was obtained from all study participants before enrolment. </w:t>
      </w:r>
    </w:p>
    <w:p w14:paraId="745AECEF" w14:textId="77777777" w:rsidR="00D065D9" w:rsidRPr="00B85224" w:rsidRDefault="00000000" w:rsidP="0007191D">
      <w:pPr>
        <w:spacing w:after="120"/>
        <w:rPr>
          <w:rFonts w:ascii="Arial" w:hAnsi="Arial" w:cs="Arial"/>
        </w:rPr>
      </w:pPr>
      <w:r w:rsidRPr="00B85224">
        <w:rPr>
          <w:rFonts w:ascii="Arial" w:hAnsi="Arial" w:cs="Arial"/>
          <w:b/>
          <w:sz w:val="22"/>
        </w:rPr>
        <w:t>ETHICAL APPROVAL</w:t>
      </w:r>
    </w:p>
    <w:p w14:paraId="5F407486" w14:textId="77777777" w:rsidR="00D065D9" w:rsidRDefault="00000000" w:rsidP="0007191D">
      <w:pPr>
        <w:spacing w:after="120"/>
        <w:jc w:val="both"/>
        <w:rPr>
          <w:rFonts w:ascii="Arial" w:hAnsi="Arial" w:cs="Arial"/>
          <w:sz w:val="20"/>
          <w:szCs w:val="20"/>
        </w:rPr>
      </w:pPr>
      <w:r w:rsidRPr="0070287D">
        <w:rPr>
          <w:rFonts w:ascii="Arial" w:hAnsi="Arial" w:cs="Arial"/>
          <w:sz w:val="20"/>
          <w:szCs w:val="20"/>
        </w:rPr>
        <w:t>The study was reviewed by the Faculty of Basic Medical Sciences Ethical Committee, Rivers State University, Port Harcourt, Nigeria, and was conducted in accordance with applicable ethical standards for research involving human participants. Ethics approval number and approval date: [</w:t>
      </w:r>
      <w:r w:rsidR="00BA6D6E" w:rsidRPr="0070287D">
        <w:rPr>
          <w:rFonts w:ascii="Arial" w:hAnsi="Arial" w:cs="Arial"/>
          <w:sz w:val="20"/>
          <w:szCs w:val="20"/>
        </w:rPr>
        <w:t>RSU/FMBS/REC/25/466 on 30</w:t>
      </w:r>
      <w:r w:rsidR="00BA6D6E" w:rsidRPr="0070287D">
        <w:rPr>
          <w:rFonts w:ascii="Arial" w:hAnsi="Arial" w:cs="Arial"/>
          <w:sz w:val="20"/>
          <w:szCs w:val="20"/>
          <w:vertAlign w:val="superscript"/>
        </w:rPr>
        <w:t>th</w:t>
      </w:r>
      <w:r w:rsidR="00BA6D6E" w:rsidRPr="0070287D">
        <w:rPr>
          <w:rFonts w:ascii="Arial" w:hAnsi="Arial" w:cs="Arial"/>
          <w:sz w:val="20"/>
          <w:szCs w:val="20"/>
        </w:rPr>
        <w:t xml:space="preserve"> November, 2025</w:t>
      </w:r>
      <w:r w:rsidRPr="0070287D">
        <w:rPr>
          <w:rFonts w:ascii="Arial" w:hAnsi="Arial" w:cs="Arial"/>
          <w:sz w:val="20"/>
          <w:szCs w:val="20"/>
        </w:rPr>
        <w:t>].</w:t>
      </w:r>
    </w:p>
    <w:p w14:paraId="46C32181" w14:textId="77777777" w:rsidR="00730272" w:rsidRDefault="00730272" w:rsidP="00730272">
      <w:pPr>
        <w:rPr>
          <w:b/>
        </w:rPr>
      </w:pPr>
      <w:r w:rsidRPr="000839CE">
        <w:rPr>
          <w:b/>
        </w:rPr>
        <w:t>Declaration of AI Use</w:t>
      </w:r>
    </w:p>
    <w:p w14:paraId="46E9301F" w14:textId="77777777" w:rsidR="00730272" w:rsidRDefault="00730272" w:rsidP="00730272">
      <w:pPr>
        <w:rPr>
          <w:b/>
        </w:rPr>
      </w:pPr>
    </w:p>
    <w:p w14:paraId="7AE8026E" w14:textId="77777777" w:rsidR="00730272" w:rsidRPr="002D08AC" w:rsidRDefault="00730272" w:rsidP="00170EA7">
      <w:pPr>
        <w:jc w:val="both"/>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1B228C1" w14:textId="77777777" w:rsidR="00730272" w:rsidRDefault="00730272" w:rsidP="00730272">
      <w:pPr>
        <w:rPr>
          <w:b/>
        </w:rPr>
      </w:pPr>
    </w:p>
    <w:p w14:paraId="1AD23215" w14:textId="77777777" w:rsidR="00D065D9" w:rsidRPr="00B85224" w:rsidRDefault="00000000">
      <w:pPr>
        <w:rPr>
          <w:rFonts w:ascii="Arial" w:hAnsi="Arial" w:cs="Arial"/>
        </w:rPr>
      </w:pPr>
      <w:r w:rsidRPr="00B85224">
        <w:rPr>
          <w:rFonts w:ascii="Arial" w:hAnsi="Arial" w:cs="Arial"/>
          <w:b/>
          <w:sz w:val="22"/>
        </w:rPr>
        <w:t>REFERENCES</w:t>
      </w:r>
    </w:p>
    <w:p w14:paraId="018AD274" w14:textId="77777777" w:rsidR="00171F84" w:rsidRDefault="00171F84" w:rsidP="00171F84">
      <w:pPr>
        <w:ind w:left="540" w:hanging="540"/>
        <w:jc w:val="both"/>
        <w:rPr>
          <w:lang w:eastAsia="en-US"/>
        </w:rPr>
      </w:pPr>
    </w:p>
    <w:p w14:paraId="2A66E9D9" w14:textId="4BC1D8DB" w:rsidR="00171F84" w:rsidRPr="00171F84" w:rsidRDefault="00171F84" w:rsidP="00171F84">
      <w:pPr>
        <w:ind w:left="540" w:hanging="540"/>
        <w:jc w:val="both"/>
        <w:rPr>
          <w:lang w:eastAsia="en-US"/>
        </w:rPr>
      </w:pPr>
      <w:proofErr w:type="spellStart"/>
      <w:r w:rsidRPr="00171F84">
        <w:rPr>
          <w:lang w:eastAsia="en-US"/>
        </w:rPr>
        <w:t>Adeloye</w:t>
      </w:r>
      <w:proofErr w:type="spellEnd"/>
      <w:r w:rsidRPr="00171F84">
        <w:rPr>
          <w:lang w:eastAsia="en-US"/>
        </w:rPr>
        <w:t>, D., Ige-</w:t>
      </w:r>
      <w:proofErr w:type="spellStart"/>
      <w:r w:rsidRPr="00171F84">
        <w:rPr>
          <w:lang w:eastAsia="en-US"/>
        </w:rPr>
        <w:t>Elegbede</w:t>
      </w:r>
      <w:proofErr w:type="spellEnd"/>
      <w:r w:rsidRPr="00171F84">
        <w:rPr>
          <w:lang w:eastAsia="en-US"/>
        </w:rPr>
        <w:t xml:space="preserve">, J. O., </w:t>
      </w:r>
      <w:proofErr w:type="spellStart"/>
      <w:r w:rsidRPr="00171F84">
        <w:rPr>
          <w:lang w:eastAsia="en-US"/>
        </w:rPr>
        <w:t>Ezejimofor</w:t>
      </w:r>
      <w:proofErr w:type="spellEnd"/>
      <w:r w:rsidRPr="00171F84">
        <w:rPr>
          <w:lang w:eastAsia="en-US"/>
        </w:rPr>
        <w:t xml:space="preserve">, M., Owolabi, E. O., </w:t>
      </w:r>
      <w:proofErr w:type="spellStart"/>
      <w:r w:rsidRPr="00171F84">
        <w:rPr>
          <w:lang w:eastAsia="en-US"/>
        </w:rPr>
        <w:t>Ezeigwe</w:t>
      </w:r>
      <w:proofErr w:type="spellEnd"/>
      <w:r w:rsidRPr="00171F84">
        <w:rPr>
          <w:lang w:eastAsia="en-US"/>
        </w:rPr>
        <w:t xml:space="preserve">, N., Omoyele, C., </w:t>
      </w:r>
      <w:proofErr w:type="spellStart"/>
      <w:r w:rsidRPr="00171F84">
        <w:rPr>
          <w:lang w:eastAsia="en-US"/>
        </w:rPr>
        <w:t>Mpazanje</w:t>
      </w:r>
      <w:proofErr w:type="spellEnd"/>
      <w:r w:rsidRPr="00171F84">
        <w:rPr>
          <w:lang w:eastAsia="en-US"/>
        </w:rPr>
        <w:t xml:space="preserve">, R. G., Dewan, M. T., Agogo, E., </w:t>
      </w:r>
      <w:proofErr w:type="spellStart"/>
      <w:r w:rsidRPr="00171F84">
        <w:rPr>
          <w:lang w:eastAsia="en-US"/>
        </w:rPr>
        <w:t>Gadanya</w:t>
      </w:r>
      <w:proofErr w:type="spellEnd"/>
      <w:r w:rsidRPr="00171F84">
        <w:rPr>
          <w:lang w:eastAsia="en-US"/>
        </w:rPr>
        <w:t xml:space="preserve">, M. A., Alemu, W., Harhay, M. O., Auta, A., &amp; Adebiyi, A. O. (2021). Estimating the prevalence of overweight and obesity in Nigeria in 2020: A systematic review and meta-analysis. </w:t>
      </w:r>
      <w:r w:rsidRPr="00171F84">
        <w:rPr>
          <w:i/>
          <w:iCs/>
          <w:lang w:eastAsia="en-US"/>
        </w:rPr>
        <w:t>Annals of Medicine, 53</w:t>
      </w:r>
      <w:r w:rsidRPr="00171F84">
        <w:rPr>
          <w:lang w:eastAsia="en-US"/>
        </w:rPr>
        <w:t xml:space="preserve">(1), 495–507. </w:t>
      </w:r>
      <w:hyperlink r:id="rId10" w:history="1">
        <w:r w:rsidRPr="00171F84">
          <w:rPr>
            <w:color w:val="0000FF"/>
            <w:u w:val="single"/>
            <w:lang w:eastAsia="en-US"/>
          </w:rPr>
          <w:t>https://doi.org/10.1080/07853890.2021.1897665</w:t>
        </w:r>
      </w:hyperlink>
    </w:p>
    <w:p w14:paraId="4925F4AF" w14:textId="6E976C37" w:rsidR="00171F84" w:rsidRPr="00171F84" w:rsidRDefault="00171F84" w:rsidP="00171F84">
      <w:pPr>
        <w:ind w:left="540" w:hanging="540"/>
        <w:jc w:val="both"/>
        <w:rPr>
          <w:lang w:eastAsia="en-US"/>
        </w:rPr>
      </w:pPr>
      <w:proofErr w:type="spellStart"/>
      <w:r w:rsidRPr="00171F84">
        <w:rPr>
          <w:lang w:eastAsia="en-US"/>
        </w:rPr>
        <w:t>Adeloye</w:t>
      </w:r>
      <w:proofErr w:type="spellEnd"/>
      <w:r w:rsidRPr="00171F84">
        <w:rPr>
          <w:lang w:eastAsia="en-US"/>
        </w:rPr>
        <w:t xml:space="preserve">, D., Owolabi, E. O., </w:t>
      </w:r>
      <w:proofErr w:type="spellStart"/>
      <w:r w:rsidRPr="00171F84">
        <w:rPr>
          <w:lang w:eastAsia="en-US"/>
        </w:rPr>
        <w:t>Ojji</w:t>
      </w:r>
      <w:proofErr w:type="spellEnd"/>
      <w:r w:rsidRPr="00171F84">
        <w:rPr>
          <w:lang w:eastAsia="en-US"/>
        </w:rPr>
        <w:t xml:space="preserve">, D. B., Auta, A., Dewan, M. T., Olanrewaju, T. O., Ogah, O. S., Omoyele, C., </w:t>
      </w:r>
      <w:proofErr w:type="spellStart"/>
      <w:r w:rsidRPr="00171F84">
        <w:rPr>
          <w:lang w:eastAsia="en-US"/>
        </w:rPr>
        <w:t>Ezeigwe</w:t>
      </w:r>
      <w:proofErr w:type="spellEnd"/>
      <w:r w:rsidRPr="00171F84">
        <w:rPr>
          <w:lang w:eastAsia="en-US"/>
        </w:rPr>
        <w:t xml:space="preserve">, N., </w:t>
      </w:r>
      <w:proofErr w:type="spellStart"/>
      <w:r w:rsidRPr="00171F84">
        <w:rPr>
          <w:lang w:eastAsia="en-US"/>
        </w:rPr>
        <w:t>Mpazanje</w:t>
      </w:r>
      <w:proofErr w:type="spellEnd"/>
      <w:r w:rsidRPr="00171F84">
        <w:rPr>
          <w:lang w:eastAsia="en-US"/>
        </w:rPr>
        <w:t xml:space="preserve">, R. G., Gadanya, M. A., Agogo, E., Alemu, W., Adebiyi, A. O., &amp; Harhay, M. O. (2021). Prevalence, awareness, treatment, and control of hypertension in Nigeria in 1995 and 2020: A systematic analysis of current evidence. </w:t>
      </w:r>
      <w:r w:rsidRPr="00171F84">
        <w:rPr>
          <w:i/>
          <w:iCs/>
          <w:lang w:eastAsia="en-US"/>
        </w:rPr>
        <w:t>The Journal of Clinical Hypertension, 23</w:t>
      </w:r>
      <w:r w:rsidRPr="00171F84">
        <w:rPr>
          <w:lang w:eastAsia="en-US"/>
        </w:rPr>
        <w:t xml:space="preserve">(5), 963–977. </w:t>
      </w:r>
      <w:hyperlink r:id="rId11" w:history="1">
        <w:r w:rsidRPr="00171F84">
          <w:rPr>
            <w:color w:val="0000FF"/>
            <w:u w:val="single"/>
            <w:lang w:eastAsia="en-US"/>
          </w:rPr>
          <w:t>https://doi.org/10.1111/jch.14220</w:t>
        </w:r>
      </w:hyperlink>
    </w:p>
    <w:p w14:paraId="5028C905" w14:textId="03022C59" w:rsidR="00171F84" w:rsidRPr="00171F84" w:rsidRDefault="00171F84" w:rsidP="00171F84">
      <w:pPr>
        <w:ind w:left="540" w:hanging="540"/>
        <w:jc w:val="both"/>
        <w:rPr>
          <w:lang w:eastAsia="en-US"/>
        </w:rPr>
      </w:pPr>
      <w:r w:rsidRPr="00171F84">
        <w:rPr>
          <w:lang w:eastAsia="en-US"/>
        </w:rPr>
        <w:t xml:space="preserve">Alberti, K. G. M. M., Eckel, R. H., Grundy, S. M., Zimmet, P. Z., </w:t>
      </w:r>
      <w:proofErr w:type="spellStart"/>
      <w:r w:rsidRPr="00171F84">
        <w:rPr>
          <w:lang w:eastAsia="en-US"/>
        </w:rPr>
        <w:t>Cleeman</w:t>
      </w:r>
      <w:proofErr w:type="spellEnd"/>
      <w:r w:rsidRPr="00171F84">
        <w:rPr>
          <w:lang w:eastAsia="en-US"/>
        </w:rPr>
        <w:t xml:space="preserve">, J. I., Donato, K. A., </w:t>
      </w:r>
      <w:proofErr w:type="spellStart"/>
      <w:r w:rsidRPr="00171F84">
        <w:rPr>
          <w:lang w:eastAsia="en-US"/>
        </w:rPr>
        <w:t>Fruchart</w:t>
      </w:r>
      <w:proofErr w:type="spellEnd"/>
      <w:r w:rsidRPr="00171F84">
        <w:rPr>
          <w:lang w:eastAsia="en-US"/>
        </w:rPr>
        <w:t xml:space="preserve">, J.-C., James, W. P. T., Loria, C. M., &amp; Smith, S. C., Jr. (2009). Harmonizing the metabolic syndrome: A joint interim statement of the International Diabetes Federation Task Force on Epidemiology and Prevention; National Heart, Lung, and Blood Institute; American Heart Association; World Heart Federation; International Atherosclerosis Society; and International Association for the Study of Obesity. </w:t>
      </w:r>
      <w:r w:rsidRPr="00171F84">
        <w:rPr>
          <w:i/>
          <w:iCs/>
          <w:lang w:eastAsia="en-US"/>
        </w:rPr>
        <w:t>Circulation, 120</w:t>
      </w:r>
      <w:r w:rsidRPr="00171F84">
        <w:rPr>
          <w:lang w:eastAsia="en-US"/>
        </w:rPr>
        <w:t xml:space="preserve">(16), 1640–1645. </w:t>
      </w:r>
      <w:hyperlink r:id="rId12" w:history="1">
        <w:r w:rsidRPr="00171F84">
          <w:rPr>
            <w:color w:val="0000FF"/>
            <w:u w:val="single"/>
            <w:lang w:eastAsia="en-US"/>
          </w:rPr>
          <w:t>https://doi.org/10.1161/CIRCULATIONAHA.109.192644</w:t>
        </w:r>
      </w:hyperlink>
    </w:p>
    <w:p w14:paraId="47B4B0CA" w14:textId="66A914EF" w:rsidR="00171F84" w:rsidRPr="00171F84" w:rsidRDefault="00171F84" w:rsidP="00171F84">
      <w:pPr>
        <w:ind w:left="540" w:hanging="540"/>
        <w:jc w:val="both"/>
        <w:rPr>
          <w:lang w:eastAsia="en-US"/>
        </w:rPr>
      </w:pPr>
      <w:r w:rsidRPr="00171F84">
        <w:rPr>
          <w:lang w:eastAsia="en-US"/>
        </w:rPr>
        <w:t xml:space="preserve">American Heart Association. (2023, October 17). </w:t>
      </w:r>
      <w:r w:rsidRPr="00171F84">
        <w:rPr>
          <w:i/>
          <w:iCs/>
          <w:lang w:eastAsia="en-US"/>
        </w:rPr>
        <w:t>Symptoms and diagnosis of metabolic syndrome</w:t>
      </w:r>
      <w:r w:rsidRPr="00171F84">
        <w:rPr>
          <w:lang w:eastAsia="en-US"/>
        </w:rPr>
        <w:t xml:space="preserve">. </w:t>
      </w:r>
    </w:p>
    <w:p w14:paraId="79EF0567" w14:textId="6EC9A89F" w:rsidR="00171F84" w:rsidRPr="00171F84" w:rsidRDefault="00171F84" w:rsidP="00171F84">
      <w:pPr>
        <w:ind w:left="540" w:hanging="540"/>
        <w:jc w:val="both"/>
        <w:rPr>
          <w:lang w:eastAsia="en-US"/>
        </w:rPr>
      </w:pPr>
      <w:proofErr w:type="spellStart"/>
      <w:r w:rsidRPr="00171F84">
        <w:rPr>
          <w:lang w:eastAsia="en-US"/>
        </w:rPr>
        <w:t>Batubo</w:t>
      </w:r>
      <w:proofErr w:type="spellEnd"/>
      <w:r w:rsidRPr="00171F84">
        <w:rPr>
          <w:lang w:eastAsia="en-US"/>
        </w:rPr>
        <w:t xml:space="preserve">, N. P., Auma, C. I., Moore, J. B., &amp; </w:t>
      </w:r>
      <w:proofErr w:type="spellStart"/>
      <w:r w:rsidRPr="00171F84">
        <w:rPr>
          <w:lang w:eastAsia="en-US"/>
        </w:rPr>
        <w:t>Zulyniak</w:t>
      </w:r>
      <w:proofErr w:type="spellEnd"/>
      <w:r w:rsidRPr="00171F84">
        <w:rPr>
          <w:lang w:eastAsia="en-US"/>
        </w:rPr>
        <w:t xml:space="preserve">, M. A. (2024a). Relative validity and reproducibility of a dietary screening tool in Nigerian health care. </w:t>
      </w:r>
      <w:r w:rsidRPr="00171F84">
        <w:rPr>
          <w:i/>
          <w:iCs/>
          <w:lang w:eastAsia="en-US"/>
        </w:rPr>
        <w:t>Current Developments in Nutrition, 8</w:t>
      </w:r>
      <w:r w:rsidRPr="00171F84">
        <w:rPr>
          <w:lang w:eastAsia="en-US"/>
        </w:rPr>
        <w:t xml:space="preserve">(10), 104459. </w:t>
      </w:r>
      <w:hyperlink r:id="rId13" w:history="1">
        <w:r w:rsidRPr="00171F84">
          <w:rPr>
            <w:color w:val="0000FF"/>
            <w:u w:val="single"/>
            <w:lang w:eastAsia="en-US"/>
          </w:rPr>
          <w:t>https://doi.org/10.1016/j.cdnut.2024.104459</w:t>
        </w:r>
      </w:hyperlink>
    </w:p>
    <w:p w14:paraId="61AF4052" w14:textId="26AD1E4E" w:rsidR="00171F84" w:rsidRPr="00171F84" w:rsidRDefault="00171F84" w:rsidP="00171F84">
      <w:pPr>
        <w:ind w:left="540" w:hanging="540"/>
        <w:jc w:val="both"/>
        <w:rPr>
          <w:lang w:eastAsia="en-US"/>
        </w:rPr>
      </w:pPr>
      <w:r w:rsidRPr="00171F84">
        <w:rPr>
          <w:lang w:val="nl-BE" w:eastAsia="en-US"/>
        </w:rPr>
        <w:t xml:space="preserve">Batubo, N. P., Auma, C. I., Moore, J. B., &amp; Zulyniak, M. A. (2024b). </w:t>
      </w:r>
      <w:r w:rsidRPr="00171F84">
        <w:rPr>
          <w:lang w:eastAsia="en-US"/>
        </w:rPr>
        <w:t xml:space="preserve">The Nigerian Dietary Screening Tool: A step toward improved patient-clinician communication in Nigerian hospitals: A pilot implementation study. </w:t>
      </w:r>
      <w:r w:rsidRPr="00171F84">
        <w:rPr>
          <w:i/>
          <w:iCs/>
          <w:lang w:eastAsia="en-US"/>
        </w:rPr>
        <w:t>Nutrients, 16</w:t>
      </w:r>
      <w:r w:rsidRPr="00171F84">
        <w:rPr>
          <w:lang w:eastAsia="en-US"/>
        </w:rPr>
        <w:t xml:space="preserve">(14), 2286. </w:t>
      </w:r>
      <w:hyperlink r:id="rId14" w:history="1">
        <w:r w:rsidRPr="00171F84">
          <w:rPr>
            <w:color w:val="0000FF"/>
            <w:u w:val="single"/>
            <w:lang w:eastAsia="en-US"/>
          </w:rPr>
          <w:t>https://doi.org/10.3390/nu16142286</w:t>
        </w:r>
      </w:hyperlink>
    </w:p>
    <w:p w14:paraId="1B436607" w14:textId="2F202A65" w:rsidR="00171F84" w:rsidRPr="00171F84" w:rsidRDefault="00171F84" w:rsidP="00171F84">
      <w:pPr>
        <w:ind w:left="540" w:hanging="540"/>
        <w:jc w:val="both"/>
        <w:rPr>
          <w:lang w:eastAsia="en-US"/>
        </w:rPr>
      </w:pPr>
      <w:proofErr w:type="spellStart"/>
      <w:r w:rsidRPr="00171F84">
        <w:rPr>
          <w:lang w:eastAsia="en-US"/>
        </w:rPr>
        <w:lastRenderedPageBreak/>
        <w:t>Batubo</w:t>
      </w:r>
      <w:proofErr w:type="spellEnd"/>
      <w:r w:rsidRPr="00171F84">
        <w:rPr>
          <w:lang w:eastAsia="en-US"/>
        </w:rPr>
        <w:t xml:space="preserve">, N. P., Auma, C. I., Moore, J. B., &amp; </w:t>
      </w:r>
      <w:proofErr w:type="spellStart"/>
      <w:r w:rsidRPr="00171F84">
        <w:rPr>
          <w:lang w:eastAsia="en-US"/>
        </w:rPr>
        <w:t>Zulyniak</w:t>
      </w:r>
      <w:proofErr w:type="spellEnd"/>
      <w:r w:rsidRPr="00171F84">
        <w:rPr>
          <w:lang w:eastAsia="en-US"/>
        </w:rPr>
        <w:t xml:space="preserve">, M. A. (2025). Evaluating modifiable hypertension risk in Nigerian adults—The Nigerian diet risk score. </w:t>
      </w:r>
      <w:r w:rsidRPr="00171F84">
        <w:rPr>
          <w:i/>
          <w:iCs/>
          <w:lang w:eastAsia="en-US"/>
        </w:rPr>
        <w:t>Tropical Medicine &amp; International Health, 30</w:t>
      </w:r>
      <w:r w:rsidRPr="00171F84">
        <w:rPr>
          <w:lang w:eastAsia="en-US"/>
        </w:rPr>
        <w:t xml:space="preserve">(4), 260–272. </w:t>
      </w:r>
      <w:hyperlink r:id="rId15" w:history="1">
        <w:r w:rsidRPr="00171F84">
          <w:rPr>
            <w:color w:val="0000FF"/>
            <w:u w:val="single"/>
            <w:lang w:eastAsia="en-US"/>
          </w:rPr>
          <w:t>https://doi.org/10.1111/tmi.14089</w:t>
        </w:r>
      </w:hyperlink>
    </w:p>
    <w:p w14:paraId="03ADE507" w14:textId="1FAF5B54" w:rsidR="00171F84" w:rsidRPr="00171F84" w:rsidRDefault="00171F84" w:rsidP="00171F84">
      <w:pPr>
        <w:ind w:left="540" w:hanging="540"/>
        <w:jc w:val="both"/>
        <w:rPr>
          <w:lang w:eastAsia="en-US"/>
        </w:rPr>
      </w:pPr>
      <w:r w:rsidRPr="00171F84">
        <w:rPr>
          <w:lang w:val="nl-BE" w:eastAsia="en-US"/>
        </w:rPr>
        <w:t xml:space="preserve">Batubo, N. P., Moore, J. B., &amp; Zulyniak, M. A. (2024). </w:t>
      </w:r>
      <w:r w:rsidRPr="00171F84">
        <w:rPr>
          <w:lang w:eastAsia="en-US"/>
        </w:rPr>
        <w:t xml:space="preserve">Dietary assessment and prevention of hypertension in Nigeria: Protocol for a retrospective cross-sectional study for the development and validation of a food frequency questionnaire for clinical use. </w:t>
      </w:r>
      <w:r w:rsidRPr="00171F84">
        <w:rPr>
          <w:i/>
          <w:iCs/>
          <w:lang w:eastAsia="en-US"/>
        </w:rPr>
        <w:t>PLOS ONE, 19</w:t>
      </w:r>
      <w:r w:rsidRPr="00171F84">
        <w:rPr>
          <w:lang w:eastAsia="en-US"/>
        </w:rPr>
        <w:t xml:space="preserve">(4), e0292561. </w:t>
      </w:r>
      <w:hyperlink r:id="rId16" w:history="1">
        <w:r w:rsidRPr="00171F84">
          <w:rPr>
            <w:color w:val="0000FF"/>
            <w:u w:val="single"/>
            <w:lang w:eastAsia="en-US"/>
          </w:rPr>
          <w:t>https://doi.org/10.1371/journal.pone.0292561</w:t>
        </w:r>
      </w:hyperlink>
    </w:p>
    <w:p w14:paraId="4137DFC9" w14:textId="00793F24" w:rsidR="00171F84" w:rsidRPr="00171F84" w:rsidRDefault="00171F84" w:rsidP="00171F84">
      <w:pPr>
        <w:ind w:left="540" w:hanging="540"/>
        <w:jc w:val="both"/>
        <w:rPr>
          <w:lang w:eastAsia="en-US"/>
        </w:rPr>
      </w:pPr>
      <w:r w:rsidRPr="00171F84">
        <w:rPr>
          <w:lang w:val="nl-BE" w:eastAsia="en-US"/>
        </w:rPr>
        <w:t xml:space="preserve">Batubo, N. P., Nwanze, N. M., Alikor, C. A., Auma, C. I., Moore, J. B., &amp; Zulyniak, M. A. (2024). </w:t>
      </w:r>
      <w:r w:rsidRPr="00171F84">
        <w:rPr>
          <w:lang w:eastAsia="en-US"/>
        </w:rPr>
        <w:t xml:space="preserve">Empowering healthcare professionals in West Africa—A feasibility study and qualitative assessment of a dietary screening tool to identify adults at high risk of hypertension. </w:t>
      </w:r>
      <w:r w:rsidRPr="00171F84">
        <w:rPr>
          <w:i/>
          <w:iCs/>
          <w:lang w:eastAsia="en-US"/>
        </w:rPr>
        <w:t>PLOS ONE, 19</w:t>
      </w:r>
      <w:r w:rsidRPr="00171F84">
        <w:rPr>
          <w:lang w:eastAsia="en-US"/>
        </w:rPr>
        <w:t xml:space="preserve">(4), e0294370. </w:t>
      </w:r>
      <w:hyperlink r:id="rId17" w:history="1">
        <w:r w:rsidRPr="00171F84">
          <w:rPr>
            <w:color w:val="0000FF"/>
            <w:u w:val="single"/>
            <w:lang w:eastAsia="en-US"/>
          </w:rPr>
          <w:t>https://doi.org/10.1371/journal.pone.0294370</w:t>
        </w:r>
      </w:hyperlink>
    </w:p>
    <w:p w14:paraId="1790FC3C" w14:textId="7950283C" w:rsidR="00171F84" w:rsidRPr="00171F84" w:rsidRDefault="00171F84" w:rsidP="00171F84">
      <w:pPr>
        <w:ind w:left="540" w:hanging="540"/>
        <w:jc w:val="both"/>
        <w:rPr>
          <w:lang w:eastAsia="en-US"/>
        </w:rPr>
      </w:pPr>
      <w:r w:rsidRPr="00171F84">
        <w:rPr>
          <w:lang w:eastAsia="en-US"/>
        </w:rPr>
        <w:t xml:space="preserve">Brandt, E. J., Leung, C. W., Chang, T., Ayanian, J. Z., Banerjee, M., Kirch, M., </w:t>
      </w:r>
      <w:proofErr w:type="spellStart"/>
      <w:r w:rsidRPr="00171F84">
        <w:rPr>
          <w:lang w:eastAsia="en-US"/>
        </w:rPr>
        <w:t>Mozaffarian</w:t>
      </w:r>
      <w:proofErr w:type="spellEnd"/>
      <w:r w:rsidRPr="00171F84">
        <w:rPr>
          <w:lang w:eastAsia="en-US"/>
        </w:rPr>
        <w:t xml:space="preserve">, D., &amp; Nallamothu, B. K. (2025). Differences in United States adult dietary patterns by cardiometabolic health and socioeconomic vulnerability. </w:t>
      </w:r>
      <w:r w:rsidRPr="00171F84">
        <w:rPr>
          <w:i/>
          <w:iCs/>
          <w:lang w:eastAsia="en-US"/>
        </w:rPr>
        <w:t>The Journal of Nutrition, 155</w:t>
      </w:r>
      <w:r w:rsidRPr="00171F84">
        <w:rPr>
          <w:lang w:eastAsia="en-US"/>
        </w:rPr>
        <w:t xml:space="preserve">(8), 2685–2699. </w:t>
      </w:r>
      <w:hyperlink r:id="rId18" w:history="1">
        <w:r w:rsidRPr="00171F84">
          <w:rPr>
            <w:color w:val="0000FF"/>
            <w:u w:val="single"/>
            <w:lang w:eastAsia="en-US"/>
          </w:rPr>
          <w:t>https://doi.org/10.1016/j.tjnut.2025.06.002</w:t>
        </w:r>
      </w:hyperlink>
    </w:p>
    <w:p w14:paraId="302957F3" w14:textId="7D97370D" w:rsidR="00171F84" w:rsidRPr="00171F84" w:rsidRDefault="00171F84" w:rsidP="00171F84">
      <w:pPr>
        <w:ind w:left="540" w:hanging="540"/>
        <w:jc w:val="both"/>
        <w:rPr>
          <w:lang w:eastAsia="en-US"/>
        </w:rPr>
      </w:pPr>
      <w:r w:rsidRPr="00171F84">
        <w:rPr>
          <w:lang w:eastAsia="en-US"/>
        </w:rPr>
        <w:t xml:space="preserve">Chori, B., Danladi, B., </w:t>
      </w:r>
      <w:proofErr w:type="spellStart"/>
      <w:r w:rsidRPr="00171F84">
        <w:rPr>
          <w:lang w:eastAsia="en-US"/>
        </w:rPr>
        <w:t>Nwakile</w:t>
      </w:r>
      <w:proofErr w:type="spellEnd"/>
      <w:r w:rsidRPr="00171F84">
        <w:rPr>
          <w:lang w:eastAsia="en-US"/>
        </w:rPr>
        <w:t xml:space="preserve">, P., Okoye, I., Abdullahi, U., </w:t>
      </w:r>
      <w:proofErr w:type="spellStart"/>
      <w:r w:rsidRPr="00171F84">
        <w:rPr>
          <w:lang w:eastAsia="en-US"/>
        </w:rPr>
        <w:t>Zawaya</w:t>
      </w:r>
      <w:proofErr w:type="spellEnd"/>
      <w:r w:rsidRPr="00171F84">
        <w:rPr>
          <w:lang w:eastAsia="en-US"/>
        </w:rPr>
        <w:t xml:space="preserve">, K., Essien, I., Sada, K., </w:t>
      </w:r>
      <w:proofErr w:type="spellStart"/>
      <w:r w:rsidRPr="00171F84">
        <w:rPr>
          <w:lang w:eastAsia="en-US"/>
        </w:rPr>
        <w:t>Nwegbu</w:t>
      </w:r>
      <w:proofErr w:type="spellEnd"/>
      <w:r w:rsidRPr="00171F84">
        <w:rPr>
          <w:lang w:eastAsia="en-US"/>
        </w:rPr>
        <w:t xml:space="preserve">, M., </w:t>
      </w:r>
      <w:proofErr w:type="spellStart"/>
      <w:r w:rsidRPr="00171F84">
        <w:rPr>
          <w:lang w:eastAsia="en-US"/>
        </w:rPr>
        <w:t>Ogedengbe</w:t>
      </w:r>
      <w:proofErr w:type="spellEnd"/>
      <w:r w:rsidRPr="00171F84">
        <w:rPr>
          <w:lang w:eastAsia="en-US"/>
        </w:rPr>
        <w:t xml:space="preserve">, J., Aje, A., Isiguzo, G., &amp; Odili, A. (2022). Prevalence, patterns and predictors of </w:t>
      </w:r>
      <w:proofErr w:type="spellStart"/>
      <w:r w:rsidRPr="00171F84">
        <w:rPr>
          <w:lang w:eastAsia="en-US"/>
        </w:rPr>
        <w:t>dyslipidaemia</w:t>
      </w:r>
      <w:proofErr w:type="spellEnd"/>
      <w:r w:rsidRPr="00171F84">
        <w:rPr>
          <w:lang w:eastAsia="en-US"/>
        </w:rPr>
        <w:t xml:space="preserve"> in Nigeria: A report from the REMAH study. </w:t>
      </w:r>
      <w:r w:rsidRPr="00171F84">
        <w:rPr>
          <w:i/>
          <w:iCs/>
          <w:lang w:eastAsia="en-US"/>
        </w:rPr>
        <w:t>Cardiovascular Journal of Africa, 33</w:t>
      </w:r>
      <w:r w:rsidRPr="00171F84">
        <w:rPr>
          <w:lang w:eastAsia="en-US"/>
        </w:rPr>
        <w:t xml:space="preserve">(2), 52–59. </w:t>
      </w:r>
      <w:hyperlink r:id="rId19" w:history="1">
        <w:r w:rsidRPr="00171F84">
          <w:rPr>
            <w:color w:val="0000FF"/>
            <w:u w:val="single"/>
            <w:lang w:eastAsia="en-US"/>
          </w:rPr>
          <w:t>https://doi.org/10.5830/CVJA-2021-037</w:t>
        </w:r>
      </w:hyperlink>
    </w:p>
    <w:p w14:paraId="3D1FCA10" w14:textId="01687A0C" w:rsidR="00171F84" w:rsidRPr="00171F84" w:rsidRDefault="00171F84" w:rsidP="00171F84">
      <w:pPr>
        <w:ind w:left="540" w:hanging="540"/>
        <w:jc w:val="both"/>
        <w:rPr>
          <w:lang w:eastAsia="en-US"/>
        </w:rPr>
      </w:pPr>
      <w:r w:rsidRPr="00171F84">
        <w:rPr>
          <w:lang w:eastAsia="en-US"/>
        </w:rPr>
        <w:t xml:space="preserve">Cookey, S. N., Cookey, S. A., Cookey, T. V., Cookey, D. B., &amp; Cookey, T. R. (2025). Prevalence of cardiovascular disease in a faith-based community: The Pentecostal Theological Seminary </w:t>
      </w:r>
      <w:proofErr w:type="spellStart"/>
      <w:r w:rsidRPr="00171F84">
        <w:rPr>
          <w:lang w:eastAsia="en-US"/>
        </w:rPr>
        <w:t>Akpajo</w:t>
      </w:r>
      <w:proofErr w:type="spellEnd"/>
      <w:r w:rsidRPr="00171F84">
        <w:rPr>
          <w:lang w:eastAsia="en-US"/>
        </w:rPr>
        <w:t xml:space="preserve"> Eleme, Rivers State, Nigeria. </w:t>
      </w:r>
      <w:r w:rsidRPr="00171F84">
        <w:rPr>
          <w:i/>
          <w:iCs/>
          <w:lang w:eastAsia="en-US"/>
        </w:rPr>
        <w:t>GAS Journal of Clinical Medicine and Medical Research, 2</w:t>
      </w:r>
      <w:r w:rsidRPr="00171F84">
        <w:rPr>
          <w:lang w:eastAsia="en-US"/>
        </w:rPr>
        <w:t xml:space="preserve">(5), 178–185. </w:t>
      </w:r>
      <w:hyperlink r:id="rId20" w:history="1">
        <w:r w:rsidRPr="00171F84">
          <w:rPr>
            <w:color w:val="0000FF"/>
            <w:u w:val="single"/>
            <w:lang w:eastAsia="en-US"/>
          </w:rPr>
          <w:t>https://doi.org/10.5281/zenodo.15733068</w:t>
        </w:r>
      </w:hyperlink>
    </w:p>
    <w:p w14:paraId="079797EA" w14:textId="5B3D0770" w:rsidR="00171F84" w:rsidRPr="00171F84" w:rsidRDefault="00171F84" w:rsidP="00171F84">
      <w:pPr>
        <w:ind w:left="540" w:hanging="540"/>
        <w:jc w:val="both"/>
        <w:rPr>
          <w:lang w:eastAsia="en-US"/>
        </w:rPr>
      </w:pPr>
      <w:r w:rsidRPr="00171F84">
        <w:rPr>
          <w:lang w:val="nl-BE" w:eastAsia="en-US"/>
        </w:rPr>
        <w:t xml:space="preserve">Ekerette, N. N., Santos, L. P., Xavier, M. D. S. R., &amp; Vaz, J. D. S. (2026). </w:t>
      </w:r>
      <w:r w:rsidRPr="00171F84">
        <w:rPr>
          <w:lang w:eastAsia="en-US"/>
        </w:rPr>
        <w:t xml:space="preserve">Dietary patterns among adults in sub-Saharan Africa are shaped by food groups and contextual influences: A systematic review. </w:t>
      </w:r>
      <w:r w:rsidRPr="00171F84">
        <w:rPr>
          <w:i/>
          <w:iCs/>
          <w:lang w:eastAsia="en-US"/>
        </w:rPr>
        <w:t>Nutrition Research, 153</w:t>
      </w:r>
      <w:r w:rsidRPr="00171F84">
        <w:rPr>
          <w:lang w:eastAsia="en-US"/>
        </w:rPr>
        <w:t xml:space="preserve">, 1–19. </w:t>
      </w:r>
      <w:hyperlink r:id="rId21" w:history="1">
        <w:r w:rsidRPr="00171F84">
          <w:rPr>
            <w:color w:val="0000FF"/>
            <w:u w:val="single"/>
            <w:lang w:eastAsia="en-US"/>
          </w:rPr>
          <w:t>https://doi.org/10.1016/j.nutres.2026.06.009</w:t>
        </w:r>
      </w:hyperlink>
    </w:p>
    <w:p w14:paraId="5DABA627" w14:textId="35636CDD" w:rsidR="00171F84" w:rsidRPr="00171F84" w:rsidRDefault="00171F84" w:rsidP="00171F84">
      <w:pPr>
        <w:ind w:left="540" w:hanging="540"/>
        <w:jc w:val="both"/>
        <w:rPr>
          <w:lang w:eastAsia="en-US"/>
        </w:rPr>
      </w:pPr>
      <w:proofErr w:type="spellStart"/>
      <w:r w:rsidRPr="00171F84">
        <w:rPr>
          <w:lang w:eastAsia="en-US"/>
        </w:rPr>
        <w:t>Essiam</w:t>
      </w:r>
      <w:proofErr w:type="spellEnd"/>
      <w:r w:rsidRPr="00171F84">
        <w:rPr>
          <w:lang w:eastAsia="en-US"/>
        </w:rPr>
        <w:t xml:space="preserve">, F. A. A. P., Amoako, M., Owusu, E. K., Ogura, E., Hammond, E. A. S., Tijani, I. A., </w:t>
      </w:r>
      <w:proofErr w:type="spellStart"/>
      <w:r w:rsidRPr="00171F84">
        <w:rPr>
          <w:lang w:eastAsia="en-US"/>
        </w:rPr>
        <w:t>Wireko</w:t>
      </w:r>
      <w:proofErr w:type="spellEnd"/>
      <w:r w:rsidRPr="00171F84">
        <w:rPr>
          <w:lang w:eastAsia="en-US"/>
        </w:rPr>
        <w:t xml:space="preserve">, F. A., &amp; Gowans, L. J. J. (2025). Intersecting burdens: Oral health, dietary patterns, food security and their impact on cardiometabolic risk and mental health in Ghana. </w:t>
      </w:r>
      <w:r w:rsidRPr="00171F84">
        <w:rPr>
          <w:i/>
          <w:iCs/>
          <w:lang w:eastAsia="en-US"/>
        </w:rPr>
        <w:t>BMC Nutrition, 11</w:t>
      </w:r>
      <w:r w:rsidRPr="00171F84">
        <w:rPr>
          <w:lang w:eastAsia="en-US"/>
        </w:rPr>
        <w:t xml:space="preserve">, 228. </w:t>
      </w:r>
      <w:hyperlink r:id="rId22" w:history="1">
        <w:r w:rsidRPr="00171F84">
          <w:rPr>
            <w:color w:val="0000FF"/>
            <w:u w:val="single"/>
            <w:lang w:eastAsia="en-US"/>
          </w:rPr>
          <w:t>https://doi.org/10.1186/s40795-025-01223-x</w:t>
        </w:r>
      </w:hyperlink>
    </w:p>
    <w:p w14:paraId="1D11FE36" w14:textId="701C28D1" w:rsidR="00171F84" w:rsidRPr="00171F84" w:rsidRDefault="00171F84" w:rsidP="00171F84">
      <w:pPr>
        <w:ind w:left="540" w:hanging="540"/>
        <w:jc w:val="both"/>
        <w:rPr>
          <w:lang w:eastAsia="en-US"/>
        </w:rPr>
      </w:pPr>
      <w:r w:rsidRPr="00171F84">
        <w:rPr>
          <w:lang w:eastAsia="en-US"/>
        </w:rPr>
        <w:t xml:space="preserve">GBD 2021 Risk Factors Collaborators. (2024). Global burden and strength of evidence for 88 risk factors in 204 countries and 811 subnational locations, 1990–2021: A systematic analysis for the Global Burden of Disease Study 2021. </w:t>
      </w:r>
      <w:r w:rsidRPr="00171F84">
        <w:rPr>
          <w:i/>
          <w:iCs/>
          <w:lang w:eastAsia="en-US"/>
        </w:rPr>
        <w:t>The Lancet, 403</w:t>
      </w:r>
      <w:r w:rsidRPr="00171F84">
        <w:rPr>
          <w:lang w:eastAsia="en-US"/>
        </w:rPr>
        <w:t xml:space="preserve">(10440), 2162–2203. </w:t>
      </w:r>
      <w:hyperlink r:id="rId23" w:history="1">
        <w:r w:rsidRPr="00171F84">
          <w:rPr>
            <w:color w:val="0000FF"/>
            <w:u w:val="single"/>
            <w:lang w:eastAsia="en-US"/>
          </w:rPr>
          <w:t>https://doi.org/10.1016/S0140-6736(24)00933-4</w:t>
        </w:r>
      </w:hyperlink>
    </w:p>
    <w:p w14:paraId="56522180" w14:textId="46DF1981" w:rsidR="00171F84" w:rsidRPr="00171F84" w:rsidRDefault="00171F84" w:rsidP="00171F84">
      <w:pPr>
        <w:ind w:left="540" w:hanging="540"/>
        <w:jc w:val="both"/>
        <w:rPr>
          <w:lang w:eastAsia="en-US"/>
        </w:rPr>
      </w:pPr>
      <w:r w:rsidRPr="00171F84">
        <w:rPr>
          <w:lang w:val="nl-BE" w:eastAsia="en-US"/>
        </w:rPr>
        <w:t xml:space="preserve">Harb, A. A., Shechter, A., Koch, P. A., &amp; St-Onge, M.-P. (2023). </w:t>
      </w:r>
      <w:r w:rsidRPr="00171F84">
        <w:rPr>
          <w:lang w:eastAsia="en-US"/>
        </w:rPr>
        <w:t xml:space="preserve">Ultra-processed foods and the development of obesity in adults. </w:t>
      </w:r>
      <w:r w:rsidRPr="00171F84">
        <w:rPr>
          <w:i/>
          <w:iCs/>
          <w:lang w:eastAsia="en-US"/>
        </w:rPr>
        <w:t>European Journal of Clinical Nutrition, 77</w:t>
      </w:r>
      <w:r w:rsidRPr="00171F84">
        <w:rPr>
          <w:lang w:eastAsia="en-US"/>
        </w:rPr>
        <w:t xml:space="preserve">(6), 619–627. </w:t>
      </w:r>
      <w:hyperlink r:id="rId24" w:history="1">
        <w:r w:rsidRPr="00171F84">
          <w:rPr>
            <w:color w:val="0000FF"/>
            <w:u w:val="single"/>
            <w:lang w:eastAsia="en-US"/>
          </w:rPr>
          <w:t>https://doi.org/10.1038/s41430-022-01225-z</w:t>
        </w:r>
      </w:hyperlink>
    </w:p>
    <w:p w14:paraId="27DC1B12" w14:textId="3CFFF14A" w:rsidR="00171F84" w:rsidRPr="00171F84" w:rsidRDefault="00171F84" w:rsidP="00171F84">
      <w:pPr>
        <w:ind w:left="540" w:hanging="540"/>
        <w:jc w:val="both"/>
        <w:rPr>
          <w:lang w:val="nl-BE" w:eastAsia="en-US"/>
        </w:rPr>
      </w:pPr>
      <w:proofErr w:type="spellStart"/>
      <w:r w:rsidRPr="00171F84">
        <w:rPr>
          <w:lang w:eastAsia="en-US"/>
        </w:rPr>
        <w:t>Kushitor</w:t>
      </w:r>
      <w:proofErr w:type="spellEnd"/>
      <w:r w:rsidRPr="00171F84">
        <w:rPr>
          <w:lang w:eastAsia="en-US"/>
        </w:rPr>
        <w:t xml:space="preserve">, S. B., </w:t>
      </w:r>
      <w:proofErr w:type="spellStart"/>
      <w:r w:rsidRPr="00171F84">
        <w:rPr>
          <w:lang w:eastAsia="en-US"/>
        </w:rPr>
        <w:t>Alangea</w:t>
      </w:r>
      <w:proofErr w:type="spellEnd"/>
      <w:r w:rsidRPr="00171F84">
        <w:rPr>
          <w:lang w:eastAsia="en-US"/>
        </w:rPr>
        <w:t xml:space="preserve">, D. O., Aryeetey, R., &amp; de-Graft Aikins, A. (2023). Dietary patterns among adults in three low-income urban communities in Accra, Ghana. </w:t>
      </w:r>
      <w:r w:rsidRPr="00171F84">
        <w:rPr>
          <w:i/>
          <w:iCs/>
          <w:lang w:val="nl-BE" w:eastAsia="en-US"/>
        </w:rPr>
        <w:t>PLOS ONE, 18</w:t>
      </w:r>
      <w:r w:rsidRPr="00171F84">
        <w:rPr>
          <w:lang w:val="nl-BE" w:eastAsia="en-US"/>
        </w:rPr>
        <w:t xml:space="preserve">(11), e0293726. </w:t>
      </w:r>
      <w:r w:rsidRPr="00171F84">
        <w:rPr>
          <w:lang w:eastAsia="en-US"/>
        </w:rPr>
        <w:fldChar w:fldCharType="begin"/>
      </w:r>
      <w:r w:rsidRPr="00171F84">
        <w:rPr>
          <w:lang w:val="nl-BE" w:eastAsia="en-US"/>
        </w:rPr>
        <w:instrText>HYPERLINK "https://doi.org/10.1371/journal.pone.0293726?utm_source=chatgpt.com"</w:instrText>
      </w:r>
      <w:r w:rsidRPr="00171F84">
        <w:rPr>
          <w:lang w:eastAsia="en-US"/>
        </w:rPr>
      </w:r>
      <w:r w:rsidRPr="00171F84">
        <w:rPr>
          <w:lang w:eastAsia="en-US"/>
        </w:rPr>
        <w:fldChar w:fldCharType="separate"/>
      </w:r>
      <w:r w:rsidRPr="00171F84">
        <w:rPr>
          <w:color w:val="0000FF"/>
          <w:u w:val="single"/>
          <w:lang w:val="nl-BE" w:eastAsia="en-US"/>
        </w:rPr>
        <w:t>https://doi.org/10.1371/journal.pone.0293726</w:t>
      </w:r>
      <w:r w:rsidRPr="00171F84">
        <w:rPr>
          <w:lang w:eastAsia="en-US"/>
        </w:rPr>
        <w:fldChar w:fldCharType="end"/>
      </w:r>
    </w:p>
    <w:p w14:paraId="420746C6" w14:textId="524DB8A4" w:rsidR="00171F84" w:rsidRPr="00171F84" w:rsidRDefault="00171F84" w:rsidP="00171F84">
      <w:pPr>
        <w:ind w:left="540" w:hanging="540"/>
        <w:jc w:val="both"/>
        <w:rPr>
          <w:lang w:eastAsia="en-US"/>
        </w:rPr>
      </w:pPr>
      <w:r w:rsidRPr="00171F84">
        <w:rPr>
          <w:lang w:val="nl-BE" w:eastAsia="en-US"/>
        </w:rPr>
        <w:t xml:space="preserve">Liu, J., Lu, W., Lv, Q., Wang, Y., Xu, X., He, Y., Chang, H., Zhao, Y., Zhang, X., Zang, X., &amp; Zhang, H. (2024). </w:t>
      </w:r>
      <w:r w:rsidRPr="00171F84">
        <w:rPr>
          <w:lang w:eastAsia="en-US"/>
        </w:rPr>
        <w:t xml:space="preserve">Impact of dietary patterns on metabolic syndrome in young adults: A cross-sectional study. </w:t>
      </w:r>
      <w:r w:rsidRPr="00171F84">
        <w:rPr>
          <w:i/>
          <w:iCs/>
          <w:lang w:eastAsia="en-US"/>
        </w:rPr>
        <w:t>Nutrients, 16</w:t>
      </w:r>
      <w:r w:rsidRPr="00171F84">
        <w:rPr>
          <w:lang w:eastAsia="en-US"/>
        </w:rPr>
        <w:t xml:space="preserve">(17), 2890. </w:t>
      </w:r>
      <w:hyperlink r:id="rId25" w:history="1">
        <w:r w:rsidRPr="00171F84">
          <w:rPr>
            <w:color w:val="0000FF"/>
            <w:u w:val="single"/>
            <w:lang w:eastAsia="en-US"/>
          </w:rPr>
          <w:t>https://doi.org/10.3390/nu16172890</w:t>
        </w:r>
      </w:hyperlink>
    </w:p>
    <w:p w14:paraId="2C32ED7A" w14:textId="6912C96B" w:rsidR="00171F84" w:rsidRPr="00171F84" w:rsidRDefault="00171F84" w:rsidP="00171F84">
      <w:pPr>
        <w:ind w:left="540" w:hanging="540"/>
        <w:jc w:val="both"/>
        <w:rPr>
          <w:lang w:eastAsia="en-US"/>
        </w:rPr>
      </w:pPr>
      <w:r w:rsidRPr="00171F84">
        <w:rPr>
          <w:lang w:eastAsia="en-US"/>
        </w:rPr>
        <w:t xml:space="preserve">Mambrini, S. P., Menichetti, F., Ravella, S., Pellizzari, M., De Amicis, R., </w:t>
      </w:r>
      <w:proofErr w:type="spellStart"/>
      <w:r w:rsidRPr="00171F84">
        <w:rPr>
          <w:lang w:eastAsia="en-US"/>
        </w:rPr>
        <w:t>Foppiani</w:t>
      </w:r>
      <w:proofErr w:type="spellEnd"/>
      <w:r w:rsidRPr="00171F84">
        <w:rPr>
          <w:lang w:eastAsia="en-US"/>
        </w:rPr>
        <w:t xml:space="preserve">, A., </w:t>
      </w:r>
      <w:proofErr w:type="spellStart"/>
      <w:r w:rsidRPr="00171F84">
        <w:rPr>
          <w:lang w:eastAsia="en-US"/>
        </w:rPr>
        <w:t>Battezzati</w:t>
      </w:r>
      <w:proofErr w:type="spellEnd"/>
      <w:r w:rsidRPr="00171F84">
        <w:rPr>
          <w:lang w:eastAsia="en-US"/>
        </w:rPr>
        <w:t xml:space="preserve">, A., Bertoli, S., &amp; Leone, A. (2023). Ultra-processed food consumption and incidence of obesity and cardiometabolic risk factors in adults: A systematic review of prospective studies. </w:t>
      </w:r>
      <w:r w:rsidRPr="00171F84">
        <w:rPr>
          <w:i/>
          <w:iCs/>
          <w:lang w:eastAsia="en-US"/>
        </w:rPr>
        <w:t>Nutrients, 15</w:t>
      </w:r>
      <w:r w:rsidRPr="00171F84">
        <w:rPr>
          <w:lang w:eastAsia="en-US"/>
        </w:rPr>
        <w:t xml:space="preserve">(11), 2583. </w:t>
      </w:r>
      <w:hyperlink r:id="rId26" w:history="1">
        <w:r w:rsidRPr="00171F84">
          <w:rPr>
            <w:color w:val="0000FF"/>
            <w:u w:val="single"/>
            <w:lang w:eastAsia="en-US"/>
          </w:rPr>
          <w:t>https://doi.org/10.3390/nu15112583</w:t>
        </w:r>
      </w:hyperlink>
    </w:p>
    <w:p w14:paraId="38CD291A" w14:textId="673E7E42" w:rsidR="00171F84" w:rsidRPr="00171F84" w:rsidRDefault="00171F84" w:rsidP="00171F84">
      <w:pPr>
        <w:ind w:left="540" w:hanging="540"/>
        <w:jc w:val="both"/>
        <w:rPr>
          <w:lang w:eastAsia="en-US"/>
        </w:rPr>
      </w:pPr>
      <w:r w:rsidRPr="00171F84">
        <w:rPr>
          <w:lang w:eastAsia="en-US"/>
        </w:rPr>
        <w:t xml:space="preserve">Mao, D., He, L., Li, Y., Zhang, M., Wang, X., Li, G., Liu, X., Wang, S., Ma, M., &amp; Ren, X. (2025). Study on the association between dietary patterns and cardiovascular metabolic comorbidities among </w:t>
      </w:r>
      <w:r w:rsidRPr="00171F84">
        <w:rPr>
          <w:lang w:eastAsia="en-US"/>
        </w:rPr>
        <w:lastRenderedPageBreak/>
        <w:t xml:space="preserve">adults. </w:t>
      </w:r>
      <w:r w:rsidRPr="00171F84">
        <w:rPr>
          <w:i/>
          <w:iCs/>
          <w:lang w:eastAsia="en-US"/>
        </w:rPr>
        <w:t>Journal of Health, Population and Nutrition, 44</w:t>
      </w:r>
      <w:r w:rsidRPr="00171F84">
        <w:rPr>
          <w:lang w:eastAsia="en-US"/>
        </w:rPr>
        <w:t xml:space="preserve">, 345. </w:t>
      </w:r>
      <w:hyperlink r:id="rId27" w:history="1">
        <w:r w:rsidRPr="00171F84">
          <w:rPr>
            <w:color w:val="0000FF"/>
            <w:u w:val="single"/>
            <w:lang w:eastAsia="en-US"/>
          </w:rPr>
          <w:t>https://doi.org/10.1186/s41043-025-01085-w</w:t>
        </w:r>
      </w:hyperlink>
    </w:p>
    <w:p w14:paraId="31AEA4BC" w14:textId="4B6DC0B9" w:rsidR="00171F84" w:rsidRPr="00171F84" w:rsidRDefault="00171F84" w:rsidP="00171F84">
      <w:pPr>
        <w:ind w:left="540" w:hanging="540"/>
        <w:jc w:val="both"/>
        <w:rPr>
          <w:lang w:eastAsia="en-US"/>
        </w:rPr>
      </w:pPr>
      <w:r w:rsidRPr="00171F84">
        <w:rPr>
          <w:lang w:eastAsia="en-US"/>
        </w:rPr>
        <w:t xml:space="preserve">Mittal, A., Bhatt, D., &amp; Ayoub, A. (2026). Functional foods and nutraceuticals: A nutritional approach to metabolic syndrome. </w:t>
      </w:r>
      <w:r w:rsidRPr="00171F84">
        <w:rPr>
          <w:i/>
          <w:iCs/>
          <w:lang w:eastAsia="en-US"/>
        </w:rPr>
        <w:t>Asian Journal of Microbiology and Biotechnology, 11</w:t>
      </w:r>
      <w:r w:rsidRPr="00171F84">
        <w:rPr>
          <w:lang w:eastAsia="en-US"/>
        </w:rPr>
        <w:t xml:space="preserve">(1), 264–277. </w:t>
      </w:r>
      <w:hyperlink r:id="rId28" w:history="1">
        <w:r w:rsidRPr="00171F84">
          <w:rPr>
            <w:color w:val="0000FF"/>
            <w:u w:val="single"/>
            <w:lang w:eastAsia="en-US"/>
          </w:rPr>
          <w:t>https://doi.org/10.56557/ajmab/2026/v11i110543</w:t>
        </w:r>
      </w:hyperlink>
    </w:p>
    <w:p w14:paraId="13F2956B" w14:textId="316C439B" w:rsidR="00171F84" w:rsidRPr="00171F84" w:rsidRDefault="00171F84" w:rsidP="00171F84">
      <w:pPr>
        <w:ind w:left="540" w:hanging="540"/>
        <w:jc w:val="both"/>
        <w:rPr>
          <w:lang w:eastAsia="en-US"/>
        </w:rPr>
      </w:pPr>
      <w:r w:rsidRPr="00171F84">
        <w:rPr>
          <w:lang w:val="nl-BE" w:eastAsia="en-US"/>
        </w:rPr>
        <w:t xml:space="preserve">Moe, Å. M., Ytterstad, E., Hopstock, L. A., Løvsletten, O., Carlsen, M. H., &amp; Sørbye, S. H. (2024). </w:t>
      </w:r>
      <w:r w:rsidRPr="00171F84">
        <w:rPr>
          <w:lang w:eastAsia="en-US"/>
        </w:rPr>
        <w:t xml:space="preserve">Associations and predictive power of dietary patterns on metabolic syndrome and its components. </w:t>
      </w:r>
      <w:r w:rsidRPr="00171F84">
        <w:rPr>
          <w:i/>
          <w:iCs/>
          <w:lang w:eastAsia="en-US"/>
        </w:rPr>
        <w:t>Nutrition, Metabolism and Cardiovascular Diseases, 34</w:t>
      </w:r>
      <w:r w:rsidRPr="00171F84">
        <w:rPr>
          <w:lang w:eastAsia="en-US"/>
        </w:rPr>
        <w:t xml:space="preserve">(3), 681–690. </w:t>
      </w:r>
      <w:hyperlink r:id="rId29" w:history="1">
        <w:r w:rsidRPr="00171F84">
          <w:rPr>
            <w:color w:val="0000FF"/>
            <w:u w:val="single"/>
            <w:lang w:eastAsia="en-US"/>
          </w:rPr>
          <w:t>https://doi.org/10.1016/j.numecd.2023.10.029</w:t>
        </w:r>
      </w:hyperlink>
    </w:p>
    <w:p w14:paraId="5C5AEA88" w14:textId="0B99FA34" w:rsidR="00171F84" w:rsidRPr="00171F84" w:rsidRDefault="00171F84" w:rsidP="00171F84">
      <w:pPr>
        <w:ind w:left="540" w:hanging="540"/>
        <w:jc w:val="both"/>
        <w:rPr>
          <w:lang w:eastAsia="en-US"/>
        </w:rPr>
      </w:pPr>
      <w:proofErr w:type="spellStart"/>
      <w:r w:rsidRPr="00171F84">
        <w:rPr>
          <w:lang w:eastAsia="en-US"/>
        </w:rPr>
        <w:t>Obagha</w:t>
      </w:r>
      <w:proofErr w:type="spellEnd"/>
      <w:r w:rsidRPr="00171F84">
        <w:rPr>
          <w:lang w:eastAsia="en-US"/>
        </w:rPr>
        <w:t xml:space="preserve">, C. E., Danladi, B., </w:t>
      </w:r>
      <w:proofErr w:type="spellStart"/>
      <w:r w:rsidRPr="00171F84">
        <w:rPr>
          <w:lang w:eastAsia="en-US"/>
        </w:rPr>
        <w:t>Kamateeka</w:t>
      </w:r>
      <w:proofErr w:type="spellEnd"/>
      <w:r w:rsidRPr="00171F84">
        <w:rPr>
          <w:lang w:eastAsia="en-US"/>
        </w:rPr>
        <w:t xml:space="preserve">, M., Chori, B. S., Ogbonnaya, U., Maduka, D., </w:t>
      </w:r>
      <w:proofErr w:type="spellStart"/>
      <w:r w:rsidRPr="00171F84">
        <w:rPr>
          <w:lang w:eastAsia="en-US"/>
        </w:rPr>
        <w:t>Nguku</w:t>
      </w:r>
      <w:proofErr w:type="spellEnd"/>
      <w:r w:rsidRPr="00171F84">
        <w:rPr>
          <w:lang w:eastAsia="en-US"/>
        </w:rPr>
        <w:t xml:space="preserve">, P., </w:t>
      </w:r>
      <w:proofErr w:type="spellStart"/>
      <w:r w:rsidRPr="00171F84">
        <w:rPr>
          <w:lang w:eastAsia="en-US"/>
        </w:rPr>
        <w:t>Osunkwo</w:t>
      </w:r>
      <w:proofErr w:type="spellEnd"/>
      <w:r w:rsidRPr="00171F84">
        <w:rPr>
          <w:lang w:eastAsia="en-US"/>
        </w:rPr>
        <w:t xml:space="preserve">, D. A., &amp; Odili, A. N. (2022). Unmet needs of hypertension care in Nigeria: Results of the Community Action Against Non-Communicable Diseases project preintervention survey. </w:t>
      </w:r>
      <w:r w:rsidRPr="00171F84">
        <w:rPr>
          <w:i/>
          <w:iCs/>
          <w:lang w:eastAsia="en-US"/>
        </w:rPr>
        <w:t>Blood Pressure Monitoring, 27</w:t>
      </w:r>
      <w:r w:rsidRPr="00171F84">
        <w:rPr>
          <w:lang w:eastAsia="en-US"/>
        </w:rPr>
        <w:t xml:space="preserve">(1), 27–32. </w:t>
      </w:r>
      <w:hyperlink r:id="rId30" w:history="1">
        <w:r w:rsidRPr="00171F84">
          <w:rPr>
            <w:color w:val="0000FF"/>
            <w:u w:val="single"/>
            <w:lang w:eastAsia="en-US"/>
          </w:rPr>
          <w:t>https://doi.org/10.1097/MBP.0000000000000561</w:t>
        </w:r>
      </w:hyperlink>
    </w:p>
    <w:p w14:paraId="26E45A3F" w14:textId="04B2BAB4" w:rsidR="00171F84" w:rsidRPr="00171F84" w:rsidRDefault="00171F84" w:rsidP="00171F84">
      <w:pPr>
        <w:ind w:left="540" w:hanging="540"/>
        <w:jc w:val="both"/>
        <w:rPr>
          <w:lang w:eastAsia="en-US"/>
        </w:rPr>
      </w:pPr>
      <w:proofErr w:type="spellStart"/>
      <w:r w:rsidRPr="00171F84">
        <w:rPr>
          <w:lang w:eastAsia="en-US"/>
        </w:rPr>
        <w:t>Okekunle</w:t>
      </w:r>
      <w:proofErr w:type="spellEnd"/>
      <w:r w:rsidRPr="00171F84">
        <w:rPr>
          <w:lang w:eastAsia="en-US"/>
        </w:rPr>
        <w:t xml:space="preserve">, A. P., </w:t>
      </w:r>
      <w:proofErr w:type="spellStart"/>
      <w:r w:rsidRPr="00171F84">
        <w:rPr>
          <w:lang w:eastAsia="en-US"/>
        </w:rPr>
        <w:t>Asowata</w:t>
      </w:r>
      <w:proofErr w:type="spellEnd"/>
      <w:r w:rsidRPr="00171F84">
        <w:rPr>
          <w:lang w:eastAsia="en-US"/>
        </w:rPr>
        <w:t xml:space="preserve">, O. J., Akpa, O. M., Fakunle, A. G., </w:t>
      </w:r>
      <w:proofErr w:type="spellStart"/>
      <w:r w:rsidRPr="00171F84">
        <w:rPr>
          <w:lang w:eastAsia="en-US"/>
        </w:rPr>
        <w:t>Bodunde</w:t>
      </w:r>
      <w:proofErr w:type="spellEnd"/>
      <w:r w:rsidRPr="00171F84">
        <w:rPr>
          <w:lang w:eastAsia="en-US"/>
        </w:rPr>
        <w:t xml:space="preserve">, I., Komolafe, M., </w:t>
      </w:r>
      <w:proofErr w:type="spellStart"/>
      <w:r w:rsidRPr="00171F84">
        <w:rPr>
          <w:lang w:eastAsia="en-US"/>
        </w:rPr>
        <w:t>Arulogun</w:t>
      </w:r>
      <w:proofErr w:type="spellEnd"/>
      <w:r w:rsidRPr="00171F84">
        <w:rPr>
          <w:lang w:eastAsia="en-US"/>
        </w:rPr>
        <w:t xml:space="preserve">, O., Sarfo, F. S., </w:t>
      </w:r>
      <w:proofErr w:type="spellStart"/>
      <w:r w:rsidRPr="00171F84">
        <w:rPr>
          <w:lang w:eastAsia="en-US"/>
        </w:rPr>
        <w:t>Obiako</w:t>
      </w:r>
      <w:proofErr w:type="spellEnd"/>
      <w:r w:rsidRPr="00171F84">
        <w:rPr>
          <w:lang w:eastAsia="en-US"/>
        </w:rPr>
        <w:t xml:space="preserve">, R., </w:t>
      </w:r>
      <w:proofErr w:type="spellStart"/>
      <w:r w:rsidRPr="00171F84">
        <w:rPr>
          <w:lang w:eastAsia="en-US"/>
        </w:rPr>
        <w:t>Osaigbovo</w:t>
      </w:r>
      <w:proofErr w:type="spellEnd"/>
      <w:r w:rsidRPr="00171F84">
        <w:rPr>
          <w:lang w:eastAsia="en-US"/>
        </w:rPr>
        <w:t xml:space="preserve">, G., Ogbole, G., Bello, A., Adeniyi, S., </w:t>
      </w:r>
      <w:proofErr w:type="spellStart"/>
      <w:r w:rsidRPr="00171F84">
        <w:rPr>
          <w:lang w:eastAsia="en-US"/>
        </w:rPr>
        <w:t>Calys</w:t>
      </w:r>
      <w:proofErr w:type="spellEnd"/>
      <w:r w:rsidRPr="00171F84">
        <w:rPr>
          <w:lang w:eastAsia="en-US"/>
        </w:rPr>
        <w:t xml:space="preserve">-Tagoe, B., Appiah, L., Jenkins, C., </w:t>
      </w:r>
      <w:proofErr w:type="spellStart"/>
      <w:r w:rsidRPr="00171F84">
        <w:rPr>
          <w:lang w:eastAsia="en-US"/>
        </w:rPr>
        <w:t>Oyinloye</w:t>
      </w:r>
      <w:proofErr w:type="spellEnd"/>
      <w:r w:rsidRPr="00171F84">
        <w:rPr>
          <w:lang w:eastAsia="en-US"/>
        </w:rPr>
        <w:t xml:space="preserve">, O., </w:t>
      </w:r>
      <w:proofErr w:type="spellStart"/>
      <w:r w:rsidRPr="00171F84">
        <w:rPr>
          <w:lang w:eastAsia="en-US"/>
        </w:rPr>
        <w:t>Dambatta</w:t>
      </w:r>
      <w:proofErr w:type="spellEnd"/>
      <w:r w:rsidRPr="00171F84">
        <w:rPr>
          <w:lang w:eastAsia="en-US"/>
        </w:rPr>
        <w:t xml:space="preserve">, H., Balogun, O., … SIREN Investigators. (2024). Dietary patterns associated with hypertension among stroke-free Indigenous Africans: Insights from the Stroke Investigative Research and Educational Network study. </w:t>
      </w:r>
      <w:r w:rsidRPr="00171F84">
        <w:rPr>
          <w:i/>
          <w:iCs/>
          <w:lang w:eastAsia="en-US"/>
        </w:rPr>
        <w:t>Journal of Hypertension, 42</w:t>
      </w:r>
      <w:r w:rsidRPr="00171F84">
        <w:rPr>
          <w:lang w:eastAsia="en-US"/>
        </w:rPr>
        <w:t xml:space="preserve">(4), 620–628. </w:t>
      </w:r>
      <w:hyperlink r:id="rId31" w:history="1">
        <w:r w:rsidRPr="00171F84">
          <w:rPr>
            <w:color w:val="0000FF"/>
            <w:u w:val="single"/>
            <w:lang w:eastAsia="en-US"/>
          </w:rPr>
          <w:t>https://doi.org/10.1097/HJH.0000000000003662</w:t>
        </w:r>
      </w:hyperlink>
    </w:p>
    <w:p w14:paraId="2166D983" w14:textId="1E18CC7E" w:rsidR="00171F84" w:rsidRPr="00171F84" w:rsidRDefault="00171F84" w:rsidP="00171F84">
      <w:pPr>
        <w:ind w:left="540" w:hanging="540"/>
        <w:jc w:val="both"/>
        <w:rPr>
          <w:lang w:eastAsia="en-US"/>
        </w:rPr>
      </w:pPr>
      <w:r w:rsidRPr="00171F84">
        <w:rPr>
          <w:lang w:eastAsia="en-US"/>
        </w:rPr>
        <w:t xml:space="preserve">Otieno, P., </w:t>
      </w:r>
      <w:proofErr w:type="spellStart"/>
      <w:r w:rsidRPr="00171F84">
        <w:rPr>
          <w:lang w:eastAsia="en-US"/>
        </w:rPr>
        <w:t>Asiki</w:t>
      </w:r>
      <w:proofErr w:type="spellEnd"/>
      <w:r w:rsidRPr="00171F84">
        <w:rPr>
          <w:lang w:eastAsia="en-US"/>
        </w:rPr>
        <w:t xml:space="preserve">, G., Wekesah, F., Wilunda, C., Sanya, R. E., Wami, W., &amp; Agyemang, C. (2023). Multimorbidity of cardiometabolic diseases: A cross-sectional study of patterns, clusters and associated risk factors in sub-Saharan Africa. </w:t>
      </w:r>
      <w:r w:rsidRPr="00171F84">
        <w:rPr>
          <w:i/>
          <w:iCs/>
          <w:lang w:eastAsia="en-US"/>
        </w:rPr>
        <w:t>BMJ Open, 13</w:t>
      </w:r>
      <w:r w:rsidRPr="00171F84">
        <w:rPr>
          <w:lang w:eastAsia="en-US"/>
        </w:rPr>
        <w:t xml:space="preserve">(2), e064275. </w:t>
      </w:r>
      <w:hyperlink r:id="rId32" w:history="1">
        <w:r w:rsidRPr="00171F84">
          <w:rPr>
            <w:color w:val="0000FF"/>
            <w:u w:val="single"/>
            <w:lang w:eastAsia="en-US"/>
          </w:rPr>
          <w:t>https://doi.org/10.1136/bmjopen-2022-064275</w:t>
        </w:r>
      </w:hyperlink>
    </w:p>
    <w:p w14:paraId="01B33A08" w14:textId="2A5EE266" w:rsidR="00171F84" w:rsidRPr="00171F84" w:rsidRDefault="00171F84" w:rsidP="00171F84">
      <w:pPr>
        <w:ind w:left="540" w:hanging="540"/>
        <w:jc w:val="both"/>
        <w:rPr>
          <w:lang w:eastAsia="en-US"/>
        </w:rPr>
      </w:pPr>
      <w:proofErr w:type="spellStart"/>
      <w:r w:rsidRPr="00171F84">
        <w:rPr>
          <w:lang w:eastAsia="en-US"/>
        </w:rPr>
        <w:t>Pagidipati</w:t>
      </w:r>
      <w:proofErr w:type="spellEnd"/>
      <w:r w:rsidRPr="00171F84">
        <w:rPr>
          <w:lang w:eastAsia="en-US"/>
        </w:rPr>
        <w:t xml:space="preserve">, N. J., Taub, P. R., </w:t>
      </w:r>
      <w:proofErr w:type="spellStart"/>
      <w:r w:rsidRPr="00171F84">
        <w:rPr>
          <w:lang w:eastAsia="en-US"/>
        </w:rPr>
        <w:t>Ostfeld</w:t>
      </w:r>
      <w:proofErr w:type="spellEnd"/>
      <w:r w:rsidRPr="00171F84">
        <w:rPr>
          <w:lang w:eastAsia="en-US"/>
        </w:rPr>
        <w:t xml:space="preserve">, R. J., &amp; Kirkpatrick, C. F. (2025). Dietary patterns to promote cardiometabolic health. </w:t>
      </w:r>
      <w:r w:rsidRPr="00171F84">
        <w:rPr>
          <w:i/>
          <w:iCs/>
          <w:lang w:eastAsia="en-US"/>
        </w:rPr>
        <w:t>Nature Reviews Cardiology, 22</w:t>
      </w:r>
      <w:r w:rsidRPr="00171F84">
        <w:rPr>
          <w:lang w:eastAsia="en-US"/>
        </w:rPr>
        <w:t xml:space="preserve">(1), 38–46. </w:t>
      </w:r>
      <w:hyperlink r:id="rId33" w:history="1">
        <w:r w:rsidRPr="00171F84">
          <w:rPr>
            <w:color w:val="0000FF"/>
            <w:u w:val="single"/>
            <w:lang w:eastAsia="en-US"/>
          </w:rPr>
          <w:t>https://doi.org/10.1038/s41569-024-01061-7</w:t>
        </w:r>
      </w:hyperlink>
    </w:p>
    <w:p w14:paraId="53C5E44D" w14:textId="59CA5B06" w:rsidR="00171F84" w:rsidRPr="00171F84" w:rsidRDefault="00171F84" w:rsidP="00171F84">
      <w:pPr>
        <w:ind w:left="540" w:hanging="540"/>
        <w:jc w:val="both"/>
        <w:rPr>
          <w:lang w:eastAsia="en-US"/>
        </w:rPr>
      </w:pPr>
      <w:r w:rsidRPr="00171F84">
        <w:rPr>
          <w:lang w:eastAsia="en-US"/>
        </w:rPr>
        <w:t xml:space="preserve">Paulo, L. S., Piedade, G. J., Mayala, S., Harris, V., Lenters, V. C., Mende, D. R., </w:t>
      </w:r>
      <w:proofErr w:type="spellStart"/>
      <w:r w:rsidRPr="00171F84">
        <w:rPr>
          <w:lang w:eastAsia="en-US"/>
        </w:rPr>
        <w:t>Kamuhabwa</w:t>
      </w:r>
      <w:proofErr w:type="spellEnd"/>
      <w:r w:rsidRPr="00171F84">
        <w:rPr>
          <w:lang w:eastAsia="en-US"/>
        </w:rPr>
        <w:t xml:space="preserve">, A., </w:t>
      </w:r>
      <w:proofErr w:type="spellStart"/>
      <w:r w:rsidRPr="00171F84">
        <w:rPr>
          <w:lang w:eastAsia="en-US"/>
        </w:rPr>
        <w:t>Kwesigabo</w:t>
      </w:r>
      <w:proofErr w:type="spellEnd"/>
      <w:r w:rsidRPr="00171F84">
        <w:rPr>
          <w:lang w:eastAsia="en-US"/>
        </w:rPr>
        <w:t xml:space="preserve">, G., </w:t>
      </w:r>
      <w:proofErr w:type="spellStart"/>
      <w:r w:rsidRPr="00171F84">
        <w:rPr>
          <w:lang w:eastAsia="en-US"/>
        </w:rPr>
        <w:t>Asselbergs</w:t>
      </w:r>
      <w:proofErr w:type="spellEnd"/>
      <w:r w:rsidRPr="00171F84">
        <w:rPr>
          <w:lang w:eastAsia="en-US"/>
        </w:rPr>
        <w:t>, F. W., Chillo, P., &amp; Klipstein-</w:t>
      </w:r>
      <w:proofErr w:type="spellStart"/>
      <w:r w:rsidRPr="00171F84">
        <w:rPr>
          <w:lang w:eastAsia="en-US"/>
        </w:rPr>
        <w:t>Grobusch</w:t>
      </w:r>
      <w:proofErr w:type="spellEnd"/>
      <w:r w:rsidRPr="00171F84">
        <w:rPr>
          <w:lang w:eastAsia="en-US"/>
        </w:rPr>
        <w:t xml:space="preserve">, K. (2026). Patterns and clusters of diet in relation to metabolic syndrome among adults in </w:t>
      </w:r>
      <w:proofErr w:type="spellStart"/>
      <w:r w:rsidRPr="00171F84">
        <w:rPr>
          <w:lang w:eastAsia="en-US"/>
        </w:rPr>
        <w:t>Ubungo</w:t>
      </w:r>
      <w:proofErr w:type="spellEnd"/>
      <w:r w:rsidRPr="00171F84">
        <w:rPr>
          <w:lang w:eastAsia="en-US"/>
        </w:rPr>
        <w:t xml:space="preserve"> (urban) and </w:t>
      </w:r>
      <w:proofErr w:type="spellStart"/>
      <w:r w:rsidRPr="00171F84">
        <w:rPr>
          <w:lang w:eastAsia="en-US"/>
        </w:rPr>
        <w:t>Kilindi</w:t>
      </w:r>
      <w:proofErr w:type="spellEnd"/>
      <w:r w:rsidRPr="00171F84">
        <w:rPr>
          <w:lang w:eastAsia="en-US"/>
        </w:rPr>
        <w:t xml:space="preserve"> (rural) districts, Tanzania: A cross-sectional study. </w:t>
      </w:r>
      <w:r w:rsidRPr="00171F84">
        <w:rPr>
          <w:i/>
          <w:iCs/>
          <w:lang w:eastAsia="en-US"/>
        </w:rPr>
        <w:t>BMC Public Health, 26</w:t>
      </w:r>
      <w:r w:rsidRPr="00171F84">
        <w:rPr>
          <w:lang w:eastAsia="en-US"/>
        </w:rPr>
        <w:t xml:space="preserve">, 1285. </w:t>
      </w:r>
      <w:hyperlink r:id="rId34" w:history="1">
        <w:r w:rsidRPr="00171F84">
          <w:rPr>
            <w:color w:val="0000FF"/>
            <w:u w:val="single"/>
            <w:lang w:eastAsia="en-US"/>
          </w:rPr>
          <w:t>https://doi.org/10.1186/s12889-025-25653-1</w:t>
        </w:r>
      </w:hyperlink>
    </w:p>
    <w:p w14:paraId="69D43BEF" w14:textId="63AF42F0" w:rsidR="00171F84" w:rsidRPr="00171F84" w:rsidRDefault="00171F84" w:rsidP="00171F84">
      <w:pPr>
        <w:ind w:left="540" w:hanging="540"/>
        <w:jc w:val="both"/>
        <w:rPr>
          <w:lang w:eastAsia="en-US"/>
        </w:rPr>
      </w:pPr>
      <w:r w:rsidRPr="00171F84">
        <w:rPr>
          <w:lang w:eastAsia="en-US"/>
        </w:rPr>
        <w:t xml:space="preserve">Segun, A., Zhang, B., Mary, A. M., </w:t>
      </w:r>
      <w:proofErr w:type="spellStart"/>
      <w:r w:rsidRPr="00171F84">
        <w:rPr>
          <w:lang w:eastAsia="en-US"/>
        </w:rPr>
        <w:t>Kibenja</w:t>
      </w:r>
      <w:proofErr w:type="spellEnd"/>
      <w:r w:rsidRPr="00171F84">
        <w:rPr>
          <w:lang w:eastAsia="en-US"/>
        </w:rPr>
        <w:t xml:space="preserve">, D., Ma, J., Said, S., Adeniyi, I., &amp; Barrow, L. F. (2024). Exploring the relationship between dietary patterns and obesity among Nigerian adults: A cross-sectional study. </w:t>
      </w:r>
      <w:r w:rsidRPr="00171F84">
        <w:rPr>
          <w:i/>
          <w:iCs/>
          <w:lang w:eastAsia="en-US"/>
        </w:rPr>
        <w:t>BMC Public Health, 24</w:t>
      </w:r>
      <w:r w:rsidRPr="00171F84">
        <w:rPr>
          <w:lang w:eastAsia="en-US"/>
        </w:rPr>
        <w:t xml:space="preserve">, 1319. </w:t>
      </w:r>
      <w:hyperlink r:id="rId35" w:history="1">
        <w:r w:rsidRPr="00171F84">
          <w:rPr>
            <w:color w:val="0000FF"/>
            <w:u w:val="single"/>
            <w:lang w:eastAsia="en-US"/>
          </w:rPr>
          <w:t>https://doi.org/10.1186/s12889-024-18792-4</w:t>
        </w:r>
      </w:hyperlink>
    </w:p>
    <w:p w14:paraId="0E0C2821" w14:textId="1021B029" w:rsidR="00171F84" w:rsidRPr="00171F84" w:rsidRDefault="00171F84" w:rsidP="00171F84">
      <w:pPr>
        <w:ind w:left="540" w:hanging="540"/>
        <w:jc w:val="both"/>
        <w:rPr>
          <w:lang w:eastAsia="en-US"/>
        </w:rPr>
      </w:pPr>
      <w:r w:rsidRPr="00171F84">
        <w:rPr>
          <w:lang w:val="nl-BE" w:eastAsia="en-US"/>
        </w:rPr>
        <w:t xml:space="preserve">Shu, L., Zhang, X., Zhou, J., Zhu, Q., &amp; Si, C. (2023). </w:t>
      </w:r>
      <w:r w:rsidRPr="00171F84">
        <w:rPr>
          <w:lang w:eastAsia="en-US"/>
        </w:rPr>
        <w:t xml:space="preserve">Ultra-processed food consumption and increased risk of metabolic syndrome: A systematic review and meta-analysis of observational studies. </w:t>
      </w:r>
      <w:r w:rsidRPr="00171F84">
        <w:rPr>
          <w:i/>
          <w:iCs/>
          <w:lang w:eastAsia="en-US"/>
        </w:rPr>
        <w:t>Frontiers in Nutrition, 10</w:t>
      </w:r>
      <w:r w:rsidRPr="00171F84">
        <w:rPr>
          <w:lang w:eastAsia="en-US"/>
        </w:rPr>
        <w:t xml:space="preserve">, 1211797. </w:t>
      </w:r>
      <w:hyperlink r:id="rId36" w:history="1">
        <w:r w:rsidRPr="00171F84">
          <w:rPr>
            <w:color w:val="0000FF"/>
            <w:u w:val="single"/>
            <w:lang w:eastAsia="en-US"/>
          </w:rPr>
          <w:t>https://doi.org/10.3389/fnut.2023.1211797</w:t>
        </w:r>
      </w:hyperlink>
    </w:p>
    <w:p w14:paraId="036C2779" w14:textId="6E918D96" w:rsidR="00171F84" w:rsidRPr="00171F84" w:rsidRDefault="00171F84" w:rsidP="00171F84">
      <w:pPr>
        <w:ind w:left="540" w:hanging="540"/>
        <w:jc w:val="both"/>
        <w:rPr>
          <w:lang w:eastAsia="en-US"/>
        </w:rPr>
      </w:pPr>
      <w:r w:rsidRPr="00171F84">
        <w:rPr>
          <w:lang w:eastAsia="en-US"/>
        </w:rPr>
        <w:t xml:space="preserve">Weil, K., Coulibaly, I., </w:t>
      </w:r>
      <w:proofErr w:type="spellStart"/>
      <w:r w:rsidRPr="00171F84">
        <w:rPr>
          <w:lang w:eastAsia="en-US"/>
        </w:rPr>
        <w:t>Fuelbert</w:t>
      </w:r>
      <w:proofErr w:type="spellEnd"/>
      <w:r w:rsidRPr="00171F84">
        <w:rPr>
          <w:lang w:eastAsia="en-US"/>
        </w:rPr>
        <w:t xml:space="preserve">, H., Herrmann, A., Millogo, R. M., &amp; Danquah, I. (2023). Dietary patterns and their socioeconomic factors of adherence among adults in urban Burkina Faso: A cross-sectional study. </w:t>
      </w:r>
      <w:r w:rsidRPr="00171F84">
        <w:rPr>
          <w:i/>
          <w:iCs/>
          <w:lang w:eastAsia="en-US"/>
        </w:rPr>
        <w:t>Journal of Health, Population and Nutrition, 42</w:t>
      </w:r>
      <w:r w:rsidRPr="00171F84">
        <w:rPr>
          <w:lang w:eastAsia="en-US"/>
        </w:rPr>
        <w:t xml:space="preserve">, 107. </w:t>
      </w:r>
      <w:hyperlink r:id="rId37" w:history="1">
        <w:r w:rsidRPr="00171F84">
          <w:rPr>
            <w:color w:val="0000FF"/>
            <w:u w:val="single"/>
            <w:lang w:eastAsia="en-US"/>
          </w:rPr>
          <w:t>https://doi.org/10.1186/s41043-023-00451-w</w:t>
        </w:r>
      </w:hyperlink>
    </w:p>
    <w:p w14:paraId="67330A3F" w14:textId="5739D031" w:rsidR="00171F84" w:rsidRPr="00171F84" w:rsidRDefault="00171F84" w:rsidP="00171F84">
      <w:pPr>
        <w:ind w:left="540" w:hanging="540"/>
        <w:jc w:val="both"/>
        <w:rPr>
          <w:lang w:eastAsia="en-US"/>
        </w:rPr>
      </w:pPr>
      <w:r w:rsidRPr="00171F84">
        <w:rPr>
          <w:lang w:val="nl-BE" w:eastAsia="en-US"/>
        </w:rPr>
        <w:t xml:space="preserve">Wordu, G. O., &amp; Akusu, O. M. (2018). </w:t>
      </w:r>
      <w:r w:rsidRPr="00171F84">
        <w:rPr>
          <w:lang w:eastAsia="en-US"/>
        </w:rPr>
        <w:t xml:space="preserve">Dietary pattern and prevalence of high blood pressure among adult traders in Port Harcourt, Nigeria. </w:t>
      </w:r>
      <w:r w:rsidRPr="00171F84">
        <w:rPr>
          <w:i/>
          <w:iCs/>
          <w:lang w:eastAsia="en-US"/>
        </w:rPr>
        <w:t>Asian Journal of Medicine and Health, 11</w:t>
      </w:r>
      <w:r w:rsidRPr="00171F84">
        <w:rPr>
          <w:lang w:eastAsia="en-US"/>
        </w:rPr>
        <w:t xml:space="preserve">(1), 1–7. </w:t>
      </w:r>
      <w:hyperlink r:id="rId38" w:history="1">
        <w:r w:rsidRPr="00171F84">
          <w:rPr>
            <w:color w:val="0000FF"/>
            <w:u w:val="single"/>
            <w:lang w:eastAsia="en-US"/>
          </w:rPr>
          <w:t>https://doi.org/10.9734/AJMAH/2018/37430</w:t>
        </w:r>
      </w:hyperlink>
    </w:p>
    <w:p w14:paraId="2C1D030E" w14:textId="4678048C" w:rsidR="00171F84" w:rsidRPr="00171F84" w:rsidRDefault="00171F84" w:rsidP="00171F84">
      <w:pPr>
        <w:ind w:left="540" w:hanging="540"/>
        <w:jc w:val="both"/>
        <w:rPr>
          <w:lang w:eastAsia="en-US"/>
        </w:rPr>
      </w:pPr>
      <w:r w:rsidRPr="00171F84">
        <w:rPr>
          <w:lang w:eastAsia="en-US"/>
        </w:rPr>
        <w:t xml:space="preserve">World Health Organization. (2025, December 8). </w:t>
      </w:r>
      <w:r w:rsidRPr="00171F84">
        <w:rPr>
          <w:i/>
          <w:iCs/>
          <w:lang w:eastAsia="en-US"/>
        </w:rPr>
        <w:t>Obesity and overweight</w:t>
      </w:r>
      <w:r w:rsidRPr="00171F84">
        <w:rPr>
          <w:lang w:eastAsia="en-US"/>
        </w:rPr>
        <w:t xml:space="preserve">. </w:t>
      </w:r>
    </w:p>
    <w:p w14:paraId="700B06B3" w14:textId="75210DAE" w:rsidR="00171F84" w:rsidRPr="00171F84" w:rsidRDefault="00171F84" w:rsidP="00171F84">
      <w:pPr>
        <w:ind w:left="540" w:hanging="540"/>
        <w:jc w:val="both"/>
        <w:rPr>
          <w:lang w:eastAsia="en-US"/>
        </w:rPr>
      </w:pPr>
      <w:r w:rsidRPr="00171F84">
        <w:rPr>
          <w:lang w:val="nl-BE" w:eastAsia="en-US"/>
        </w:rPr>
        <w:t xml:space="preserve">Wu, Q., Bian, S., Cheng, C., Chen, X., Zhang, L., Huang, L., Li, T., Yan, R., Duan, H., Wang, Z., &amp; Li, Y. (2025). </w:t>
      </w:r>
      <w:r w:rsidRPr="00171F84">
        <w:rPr>
          <w:lang w:eastAsia="en-US"/>
        </w:rPr>
        <w:t xml:space="preserve">Reducing cardiometabolic disease risk dietary pattern in the Chinese population with dyslipidemia: A single-center, open-label, randomized, dietary intervention study. </w:t>
      </w:r>
      <w:r w:rsidRPr="00171F84">
        <w:rPr>
          <w:i/>
          <w:iCs/>
          <w:lang w:eastAsia="en-US"/>
        </w:rPr>
        <w:t>The American Journal of Clinical Nutrition, 121</w:t>
      </w:r>
      <w:r w:rsidRPr="00171F84">
        <w:rPr>
          <w:lang w:eastAsia="en-US"/>
        </w:rPr>
        <w:t xml:space="preserve">(5), 1035–1045. </w:t>
      </w:r>
      <w:hyperlink r:id="rId39" w:history="1">
        <w:r w:rsidRPr="00171F84">
          <w:rPr>
            <w:color w:val="0000FF"/>
            <w:u w:val="single"/>
            <w:lang w:eastAsia="en-US"/>
          </w:rPr>
          <w:t>https://doi.org/10.1016/j.ajcnut.2025.02.026</w:t>
        </w:r>
      </w:hyperlink>
    </w:p>
    <w:p w14:paraId="720D0054" w14:textId="7292D495" w:rsidR="00171F84" w:rsidRPr="00171F84" w:rsidRDefault="00171F84" w:rsidP="00171F84">
      <w:pPr>
        <w:ind w:left="540" w:hanging="540"/>
        <w:jc w:val="both"/>
        <w:rPr>
          <w:lang w:eastAsia="en-US"/>
        </w:rPr>
      </w:pPr>
      <w:r w:rsidRPr="00171F84">
        <w:rPr>
          <w:lang w:eastAsia="en-US"/>
        </w:rPr>
        <w:lastRenderedPageBreak/>
        <w:t xml:space="preserve">Wu, Q., Huang, L., Yang, J., Zhang, L., Cheng, C., Chen, X., Li, T., Duan, H., Wang, Z., Ren, Q., Wu, T., Wang, Y., Bian, S., Li, Z., Liu, H., Yan, J., Du, Y., Chen, Y., Qu, H., … Huang, G. (2026). Effects of a cardiometabolic risk–reducing dietary pattern health education intervention on cardiometabolic disease risk in community-dwelling older adults in China: A cluster-randomized clinical trial. </w:t>
      </w:r>
      <w:r w:rsidRPr="00171F84">
        <w:rPr>
          <w:i/>
          <w:iCs/>
          <w:lang w:eastAsia="en-US"/>
        </w:rPr>
        <w:t>The Journal of Nutrition, Health &amp; Aging, 30</w:t>
      </w:r>
      <w:r w:rsidRPr="00171F84">
        <w:rPr>
          <w:lang w:eastAsia="en-US"/>
        </w:rPr>
        <w:t xml:space="preserve">(8), 100902. </w:t>
      </w:r>
      <w:hyperlink r:id="rId40" w:history="1">
        <w:r w:rsidRPr="00171F84">
          <w:rPr>
            <w:color w:val="0000FF"/>
            <w:u w:val="single"/>
            <w:lang w:eastAsia="en-US"/>
          </w:rPr>
          <w:t>https://doi.org/10.1016/j.jnha.2026.100902</w:t>
        </w:r>
      </w:hyperlink>
    </w:p>
    <w:p w14:paraId="232FF22A" w14:textId="40BE95D2" w:rsidR="006350DF" w:rsidRPr="00171F84" w:rsidRDefault="00171F84" w:rsidP="00171F84">
      <w:pPr>
        <w:spacing w:after="60"/>
        <w:ind w:left="540" w:hanging="540"/>
        <w:jc w:val="both"/>
        <w:rPr>
          <w:rFonts w:ascii="Arial" w:hAnsi="Arial" w:cs="Arial"/>
        </w:rPr>
      </w:pPr>
      <w:r w:rsidRPr="00171F84">
        <w:rPr>
          <w:lang w:eastAsia="en-US"/>
        </w:rPr>
        <w:t xml:space="preserve">Yilmaz, A., Weech, M., </w:t>
      </w:r>
      <w:proofErr w:type="spellStart"/>
      <w:r w:rsidRPr="00171F84">
        <w:rPr>
          <w:lang w:eastAsia="en-US"/>
        </w:rPr>
        <w:t>Bountziouka</w:t>
      </w:r>
      <w:proofErr w:type="spellEnd"/>
      <w:r w:rsidRPr="00171F84">
        <w:rPr>
          <w:lang w:eastAsia="en-US"/>
        </w:rPr>
        <w:t xml:space="preserve">, V., Jackson, K. G., &amp; Lovegrove, J. A. (2025). Association between empirically driven dietary patterns and cardiometabolic disease risk factors: A cross-sectional analysis in disease-free adults. </w:t>
      </w:r>
      <w:r w:rsidRPr="00171F84">
        <w:rPr>
          <w:i/>
          <w:iCs/>
          <w:lang w:eastAsia="en-US"/>
        </w:rPr>
        <w:t>Nutrition &amp; Metabolism, 22</w:t>
      </w:r>
      <w:r w:rsidRPr="00171F84">
        <w:rPr>
          <w:lang w:eastAsia="en-US"/>
        </w:rPr>
        <w:t xml:space="preserve">, 73. </w:t>
      </w:r>
      <w:hyperlink r:id="rId41" w:history="1">
        <w:r w:rsidRPr="00171F84">
          <w:rPr>
            <w:color w:val="0000FF"/>
            <w:u w:val="single"/>
            <w:lang w:eastAsia="en-US"/>
          </w:rPr>
          <w:t>https://doi.org/10.1186/s12986-025-00965-6</w:t>
        </w:r>
      </w:hyperlink>
    </w:p>
    <w:sectPr w:rsidR="006350DF" w:rsidRPr="00171F84" w:rsidSect="00981EE7">
      <w:headerReference w:type="even" r:id="rId42"/>
      <w:headerReference w:type="default" r:id="rId43"/>
      <w:footerReference w:type="even" r:id="rId44"/>
      <w:footerReference w:type="default" r:id="rId45"/>
      <w:headerReference w:type="first" r:id="rId46"/>
      <w:footerReference w:type="first" r:id="rId47"/>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F3988" w14:textId="77777777" w:rsidR="007179E3" w:rsidRDefault="007179E3">
      <w:r>
        <w:separator/>
      </w:r>
    </w:p>
  </w:endnote>
  <w:endnote w:type="continuationSeparator" w:id="0">
    <w:p w14:paraId="7E78BA3E" w14:textId="77777777" w:rsidR="007179E3" w:rsidRDefault="00717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37399741"/>
      <w:docPartObj>
        <w:docPartGallery w:val="Page Numbers (Bottom of Page)"/>
        <w:docPartUnique/>
      </w:docPartObj>
    </w:sdtPr>
    <w:sdtContent>
      <w:p w14:paraId="62C628CC" w14:textId="77777777" w:rsidR="006350DF" w:rsidRDefault="006350DF" w:rsidP="00FC5CF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18166A" w14:textId="77777777" w:rsidR="006350DF" w:rsidRDefault="006350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9853772"/>
      <w:docPartObj>
        <w:docPartGallery w:val="Page Numbers (Bottom of Page)"/>
        <w:docPartUnique/>
      </w:docPartObj>
    </w:sdtPr>
    <w:sdtContent>
      <w:p w14:paraId="5E90C35F" w14:textId="77777777" w:rsidR="006350DF" w:rsidRDefault="006350DF" w:rsidP="00FC5CF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22</w:t>
        </w:r>
        <w:r>
          <w:rPr>
            <w:rStyle w:val="PageNumber"/>
          </w:rPr>
          <w:fldChar w:fldCharType="end"/>
        </w:r>
      </w:p>
    </w:sdtContent>
  </w:sdt>
  <w:p w14:paraId="72A3F49E" w14:textId="77777777" w:rsidR="00D065D9" w:rsidRDefault="00D065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05001" w14:textId="77777777" w:rsidR="00981EE7" w:rsidRDefault="00981E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DDDBF" w14:textId="77777777" w:rsidR="007179E3" w:rsidRDefault="007179E3">
      <w:r>
        <w:separator/>
      </w:r>
    </w:p>
  </w:footnote>
  <w:footnote w:type="continuationSeparator" w:id="0">
    <w:p w14:paraId="3E6A0F5E" w14:textId="77777777" w:rsidR="007179E3" w:rsidRDefault="00717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DD3E8" w14:textId="77777777" w:rsidR="00981EE7" w:rsidRDefault="00000000">
    <w:pPr>
      <w:pStyle w:val="Header"/>
    </w:pPr>
    <w:r>
      <w:rPr>
        <w:noProof/>
      </w:rPr>
      <w:pict w14:anchorId="726B56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9426376" o:spid="_x0000_s1027" type="#_x0000_t136" alt="" style="position:absolute;margin-left:0;margin-top:0;width:639.45pt;height:71.05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D8C21" w14:textId="77777777" w:rsidR="00981EE7" w:rsidRDefault="00000000">
    <w:pPr>
      <w:pStyle w:val="Header"/>
    </w:pPr>
    <w:r>
      <w:rPr>
        <w:noProof/>
      </w:rPr>
      <w:pict w14:anchorId="4B7659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9426377" o:spid="_x0000_s1026" type="#_x0000_t136" alt="" style="position:absolute;margin-left:0;margin-top:0;width:639.45pt;height:71.05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97A01" w14:textId="77777777" w:rsidR="00981EE7" w:rsidRDefault="00000000">
    <w:pPr>
      <w:pStyle w:val="Header"/>
    </w:pPr>
    <w:r>
      <w:rPr>
        <w:noProof/>
      </w:rPr>
      <w:pict w14:anchorId="1C1EF7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9426375" o:spid="_x0000_s1025" type="#_x0000_t136" alt="" style="position:absolute;margin-left:0;margin-top:0;width:639.45pt;height:71.0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337A8F"/>
    <w:multiLevelType w:val="hybridMultilevel"/>
    <w:tmpl w:val="72C0A5C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A673D68"/>
    <w:multiLevelType w:val="hybridMultilevel"/>
    <w:tmpl w:val="21E483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9640600">
    <w:abstractNumId w:val="8"/>
  </w:num>
  <w:num w:numId="2" w16cid:durableId="980812827">
    <w:abstractNumId w:val="6"/>
  </w:num>
  <w:num w:numId="3" w16cid:durableId="2054036140">
    <w:abstractNumId w:val="5"/>
  </w:num>
  <w:num w:numId="4" w16cid:durableId="1745371109">
    <w:abstractNumId w:val="4"/>
  </w:num>
  <w:num w:numId="5" w16cid:durableId="7366948">
    <w:abstractNumId w:val="7"/>
  </w:num>
  <w:num w:numId="6" w16cid:durableId="1954631071">
    <w:abstractNumId w:val="3"/>
  </w:num>
  <w:num w:numId="7" w16cid:durableId="323824901">
    <w:abstractNumId w:val="2"/>
  </w:num>
  <w:num w:numId="8" w16cid:durableId="1178545638">
    <w:abstractNumId w:val="1"/>
  </w:num>
  <w:num w:numId="9" w16cid:durableId="960384376">
    <w:abstractNumId w:val="0"/>
  </w:num>
  <w:num w:numId="10" w16cid:durableId="269047135">
    <w:abstractNumId w:val="10"/>
  </w:num>
  <w:num w:numId="11" w16cid:durableId="7530133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590"/>
    <w:rsid w:val="00014312"/>
    <w:rsid w:val="00034616"/>
    <w:rsid w:val="0006063C"/>
    <w:rsid w:val="0007191D"/>
    <w:rsid w:val="00090D32"/>
    <w:rsid w:val="000C3B3F"/>
    <w:rsid w:val="0015074B"/>
    <w:rsid w:val="00157702"/>
    <w:rsid w:val="00170EA7"/>
    <w:rsid w:val="00171F84"/>
    <w:rsid w:val="002013CC"/>
    <w:rsid w:val="00217DA8"/>
    <w:rsid w:val="00243AB9"/>
    <w:rsid w:val="002470CB"/>
    <w:rsid w:val="00257971"/>
    <w:rsid w:val="00271C8B"/>
    <w:rsid w:val="002833A2"/>
    <w:rsid w:val="0029639D"/>
    <w:rsid w:val="002A422F"/>
    <w:rsid w:val="002B4CC9"/>
    <w:rsid w:val="002C198D"/>
    <w:rsid w:val="002F704B"/>
    <w:rsid w:val="003022DA"/>
    <w:rsid w:val="0030340F"/>
    <w:rsid w:val="00305CEB"/>
    <w:rsid w:val="0031504F"/>
    <w:rsid w:val="00326F90"/>
    <w:rsid w:val="0033287B"/>
    <w:rsid w:val="0034104E"/>
    <w:rsid w:val="0034647F"/>
    <w:rsid w:val="00383A07"/>
    <w:rsid w:val="003A1B77"/>
    <w:rsid w:val="003C275A"/>
    <w:rsid w:val="003E48C9"/>
    <w:rsid w:val="00412BF4"/>
    <w:rsid w:val="004203FE"/>
    <w:rsid w:val="0042193E"/>
    <w:rsid w:val="00425D51"/>
    <w:rsid w:val="00433F4C"/>
    <w:rsid w:val="004537E7"/>
    <w:rsid w:val="00460992"/>
    <w:rsid w:val="00496685"/>
    <w:rsid w:val="004C1DC9"/>
    <w:rsid w:val="004D2535"/>
    <w:rsid w:val="004D476D"/>
    <w:rsid w:val="00513F48"/>
    <w:rsid w:val="0056046B"/>
    <w:rsid w:val="0056111F"/>
    <w:rsid w:val="00571302"/>
    <w:rsid w:val="00594DE4"/>
    <w:rsid w:val="00597FB9"/>
    <w:rsid w:val="005D7C91"/>
    <w:rsid w:val="005F2EF5"/>
    <w:rsid w:val="006350DF"/>
    <w:rsid w:val="00657749"/>
    <w:rsid w:val="006830A2"/>
    <w:rsid w:val="006A6D73"/>
    <w:rsid w:val="006E144F"/>
    <w:rsid w:val="0070287D"/>
    <w:rsid w:val="00705234"/>
    <w:rsid w:val="007179E3"/>
    <w:rsid w:val="00730272"/>
    <w:rsid w:val="007561B8"/>
    <w:rsid w:val="00760287"/>
    <w:rsid w:val="0079615F"/>
    <w:rsid w:val="007A6AA8"/>
    <w:rsid w:val="007B61CD"/>
    <w:rsid w:val="007D3D1C"/>
    <w:rsid w:val="007E3224"/>
    <w:rsid w:val="007F6302"/>
    <w:rsid w:val="0081538D"/>
    <w:rsid w:val="008221AB"/>
    <w:rsid w:val="0082463D"/>
    <w:rsid w:val="00825468"/>
    <w:rsid w:val="00872935"/>
    <w:rsid w:val="00875EA0"/>
    <w:rsid w:val="00880AE0"/>
    <w:rsid w:val="00881810"/>
    <w:rsid w:val="008A473C"/>
    <w:rsid w:val="008E76A1"/>
    <w:rsid w:val="00981EE7"/>
    <w:rsid w:val="009A258B"/>
    <w:rsid w:val="009A4F75"/>
    <w:rsid w:val="00A210AB"/>
    <w:rsid w:val="00A23F4D"/>
    <w:rsid w:val="00A46BA5"/>
    <w:rsid w:val="00A96D6C"/>
    <w:rsid w:val="00AA1D8D"/>
    <w:rsid w:val="00AB1E31"/>
    <w:rsid w:val="00AC13A3"/>
    <w:rsid w:val="00AD59CD"/>
    <w:rsid w:val="00B00870"/>
    <w:rsid w:val="00B137FA"/>
    <w:rsid w:val="00B34A26"/>
    <w:rsid w:val="00B4381E"/>
    <w:rsid w:val="00B47730"/>
    <w:rsid w:val="00B85224"/>
    <w:rsid w:val="00B91B60"/>
    <w:rsid w:val="00BA6D6E"/>
    <w:rsid w:val="00BA71E6"/>
    <w:rsid w:val="00BB1837"/>
    <w:rsid w:val="00BE25F5"/>
    <w:rsid w:val="00BE4813"/>
    <w:rsid w:val="00C20BB4"/>
    <w:rsid w:val="00C40275"/>
    <w:rsid w:val="00C51A27"/>
    <w:rsid w:val="00C545FE"/>
    <w:rsid w:val="00C81898"/>
    <w:rsid w:val="00C82272"/>
    <w:rsid w:val="00CA3663"/>
    <w:rsid w:val="00CB0664"/>
    <w:rsid w:val="00CB6238"/>
    <w:rsid w:val="00CD7E3B"/>
    <w:rsid w:val="00D065D9"/>
    <w:rsid w:val="00D157A9"/>
    <w:rsid w:val="00D671EE"/>
    <w:rsid w:val="00D8623F"/>
    <w:rsid w:val="00D939C4"/>
    <w:rsid w:val="00DA0E4C"/>
    <w:rsid w:val="00DA117A"/>
    <w:rsid w:val="00DB3746"/>
    <w:rsid w:val="00DD572E"/>
    <w:rsid w:val="00DE2CEE"/>
    <w:rsid w:val="00DF5715"/>
    <w:rsid w:val="00E06CD8"/>
    <w:rsid w:val="00E173CF"/>
    <w:rsid w:val="00E60BE8"/>
    <w:rsid w:val="00E73B2B"/>
    <w:rsid w:val="00E7501E"/>
    <w:rsid w:val="00E82022"/>
    <w:rsid w:val="00E90868"/>
    <w:rsid w:val="00EA4B67"/>
    <w:rsid w:val="00EE7CCF"/>
    <w:rsid w:val="00F0409D"/>
    <w:rsid w:val="00F2045E"/>
    <w:rsid w:val="00F26BB4"/>
    <w:rsid w:val="00F3269A"/>
    <w:rsid w:val="00F50D19"/>
    <w:rsid w:val="00F8231F"/>
    <w:rsid w:val="00F83871"/>
    <w:rsid w:val="00F9259A"/>
    <w:rsid w:val="00FC3DFD"/>
    <w:rsid w:val="00FC693F"/>
    <w:rsid w:val="00FC71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CFB0AB"/>
  <w14:defaultImageDpi w14:val="300"/>
  <w15:docId w15:val="{1445FDDC-4C8B-2543-A18E-7FB193C1D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0CB"/>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s1">
    <w:name w:val="s1"/>
    <w:basedOn w:val="DefaultParagraphFont"/>
    <w:rsid w:val="008E76A1"/>
  </w:style>
  <w:style w:type="paragraph" w:customStyle="1" w:styleId="p3">
    <w:name w:val="p3"/>
    <w:basedOn w:val="Normal"/>
    <w:rsid w:val="008E76A1"/>
    <w:pPr>
      <w:spacing w:before="100" w:beforeAutospacing="1" w:after="100" w:afterAutospacing="1"/>
    </w:pPr>
  </w:style>
  <w:style w:type="character" w:styleId="Hyperlink">
    <w:name w:val="Hyperlink"/>
    <w:basedOn w:val="DefaultParagraphFont"/>
    <w:uiPriority w:val="99"/>
    <w:unhideWhenUsed/>
    <w:rsid w:val="008E76A1"/>
    <w:rPr>
      <w:color w:val="0000FF"/>
      <w:u w:val="single"/>
    </w:rPr>
  </w:style>
  <w:style w:type="paragraph" w:customStyle="1" w:styleId="p4">
    <w:name w:val="p4"/>
    <w:basedOn w:val="Normal"/>
    <w:rsid w:val="008E76A1"/>
    <w:pPr>
      <w:spacing w:before="100" w:beforeAutospacing="1" w:after="100" w:afterAutospacing="1"/>
    </w:pPr>
  </w:style>
  <w:style w:type="character" w:styleId="UnresolvedMention">
    <w:name w:val="Unresolved Mention"/>
    <w:basedOn w:val="DefaultParagraphFont"/>
    <w:uiPriority w:val="99"/>
    <w:semiHidden/>
    <w:unhideWhenUsed/>
    <w:rsid w:val="006350DF"/>
    <w:rPr>
      <w:color w:val="605E5C"/>
      <w:shd w:val="clear" w:color="auto" w:fill="E1DFDD"/>
    </w:rPr>
  </w:style>
  <w:style w:type="paragraph" w:customStyle="1" w:styleId="p1">
    <w:name w:val="p1"/>
    <w:basedOn w:val="Normal"/>
    <w:rsid w:val="006350DF"/>
    <w:pPr>
      <w:spacing w:before="100" w:beforeAutospacing="1" w:after="100" w:afterAutospacing="1"/>
    </w:pPr>
  </w:style>
  <w:style w:type="character" w:customStyle="1" w:styleId="apple-converted-space">
    <w:name w:val="apple-converted-space"/>
    <w:basedOn w:val="DefaultParagraphFont"/>
    <w:rsid w:val="006350DF"/>
  </w:style>
  <w:style w:type="character" w:styleId="PageNumber">
    <w:name w:val="page number"/>
    <w:basedOn w:val="DefaultParagraphFont"/>
    <w:uiPriority w:val="99"/>
    <w:semiHidden/>
    <w:unhideWhenUsed/>
    <w:rsid w:val="006350DF"/>
  </w:style>
  <w:style w:type="character" w:styleId="LineNumber">
    <w:name w:val="line number"/>
    <w:basedOn w:val="DefaultParagraphFont"/>
    <w:uiPriority w:val="99"/>
    <w:semiHidden/>
    <w:unhideWhenUsed/>
    <w:rsid w:val="0056111F"/>
  </w:style>
  <w:style w:type="character" w:customStyle="1" w:styleId="s2">
    <w:name w:val="s2"/>
    <w:basedOn w:val="DefaultParagraphFont"/>
    <w:rsid w:val="00DD57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33783">
      <w:bodyDiv w:val="1"/>
      <w:marLeft w:val="0"/>
      <w:marRight w:val="0"/>
      <w:marTop w:val="0"/>
      <w:marBottom w:val="0"/>
      <w:divBdr>
        <w:top w:val="none" w:sz="0" w:space="0" w:color="auto"/>
        <w:left w:val="none" w:sz="0" w:space="0" w:color="auto"/>
        <w:bottom w:val="none" w:sz="0" w:space="0" w:color="auto"/>
        <w:right w:val="none" w:sz="0" w:space="0" w:color="auto"/>
      </w:divBdr>
    </w:div>
    <w:div w:id="87626885">
      <w:bodyDiv w:val="1"/>
      <w:marLeft w:val="0"/>
      <w:marRight w:val="0"/>
      <w:marTop w:val="0"/>
      <w:marBottom w:val="0"/>
      <w:divBdr>
        <w:top w:val="none" w:sz="0" w:space="0" w:color="auto"/>
        <w:left w:val="none" w:sz="0" w:space="0" w:color="auto"/>
        <w:bottom w:val="none" w:sz="0" w:space="0" w:color="auto"/>
        <w:right w:val="none" w:sz="0" w:space="0" w:color="auto"/>
      </w:divBdr>
    </w:div>
    <w:div w:id="104615165">
      <w:bodyDiv w:val="1"/>
      <w:marLeft w:val="0"/>
      <w:marRight w:val="0"/>
      <w:marTop w:val="0"/>
      <w:marBottom w:val="0"/>
      <w:divBdr>
        <w:top w:val="none" w:sz="0" w:space="0" w:color="auto"/>
        <w:left w:val="none" w:sz="0" w:space="0" w:color="auto"/>
        <w:bottom w:val="none" w:sz="0" w:space="0" w:color="auto"/>
        <w:right w:val="none" w:sz="0" w:space="0" w:color="auto"/>
      </w:divBdr>
    </w:div>
    <w:div w:id="107701087">
      <w:bodyDiv w:val="1"/>
      <w:marLeft w:val="0"/>
      <w:marRight w:val="0"/>
      <w:marTop w:val="0"/>
      <w:marBottom w:val="0"/>
      <w:divBdr>
        <w:top w:val="none" w:sz="0" w:space="0" w:color="auto"/>
        <w:left w:val="none" w:sz="0" w:space="0" w:color="auto"/>
        <w:bottom w:val="none" w:sz="0" w:space="0" w:color="auto"/>
        <w:right w:val="none" w:sz="0" w:space="0" w:color="auto"/>
      </w:divBdr>
    </w:div>
    <w:div w:id="148178689">
      <w:bodyDiv w:val="1"/>
      <w:marLeft w:val="0"/>
      <w:marRight w:val="0"/>
      <w:marTop w:val="0"/>
      <w:marBottom w:val="0"/>
      <w:divBdr>
        <w:top w:val="none" w:sz="0" w:space="0" w:color="auto"/>
        <w:left w:val="none" w:sz="0" w:space="0" w:color="auto"/>
        <w:bottom w:val="none" w:sz="0" w:space="0" w:color="auto"/>
        <w:right w:val="none" w:sz="0" w:space="0" w:color="auto"/>
      </w:divBdr>
    </w:div>
    <w:div w:id="150679687">
      <w:bodyDiv w:val="1"/>
      <w:marLeft w:val="0"/>
      <w:marRight w:val="0"/>
      <w:marTop w:val="0"/>
      <w:marBottom w:val="0"/>
      <w:divBdr>
        <w:top w:val="none" w:sz="0" w:space="0" w:color="auto"/>
        <w:left w:val="none" w:sz="0" w:space="0" w:color="auto"/>
        <w:bottom w:val="none" w:sz="0" w:space="0" w:color="auto"/>
        <w:right w:val="none" w:sz="0" w:space="0" w:color="auto"/>
      </w:divBdr>
    </w:div>
    <w:div w:id="165101767">
      <w:bodyDiv w:val="1"/>
      <w:marLeft w:val="0"/>
      <w:marRight w:val="0"/>
      <w:marTop w:val="0"/>
      <w:marBottom w:val="0"/>
      <w:divBdr>
        <w:top w:val="none" w:sz="0" w:space="0" w:color="auto"/>
        <w:left w:val="none" w:sz="0" w:space="0" w:color="auto"/>
        <w:bottom w:val="none" w:sz="0" w:space="0" w:color="auto"/>
        <w:right w:val="none" w:sz="0" w:space="0" w:color="auto"/>
      </w:divBdr>
    </w:div>
    <w:div w:id="189683200">
      <w:bodyDiv w:val="1"/>
      <w:marLeft w:val="0"/>
      <w:marRight w:val="0"/>
      <w:marTop w:val="0"/>
      <w:marBottom w:val="0"/>
      <w:divBdr>
        <w:top w:val="none" w:sz="0" w:space="0" w:color="auto"/>
        <w:left w:val="none" w:sz="0" w:space="0" w:color="auto"/>
        <w:bottom w:val="none" w:sz="0" w:space="0" w:color="auto"/>
        <w:right w:val="none" w:sz="0" w:space="0" w:color="auto"/>
      </w:divBdr>
    </w:div>
    <w:div w:id="190850541">
      <w:bodyDiv w:val="1"/>
      <w:marLeft w:val="0"/>
      <w:marRight w:val="0"/>
      <w:marTop w:val="0"/>
      <w:marBottom w:val="0"/>
      <w:divBdr>
        <w:top w:val="none" w:sz="0" w:space="0" w:color="auto"/>
        <w:left w:val="none" w:sz="0" w:space="0" w:color="auto"/>
        <w:bottom w:val="none" w:sz="0" w:space="0" w:color="auto"/>
        <w:right w:val="none" w:sz="0" w:space="0" w:color="auto"/>
      </w:divBdr>
    </w:div>
    <w:div w:id="192495620">
      <w:bodyDiv w:val="1"/>
      <w:marLeft w:val="0"/>
      <w:marRight w:val="0"/>
      <w:marTop w:val="0"/>
      <w:marBottom w:val="0"/>
      <w:divBdr>
        <w:top w:val="none" w:sz="0" w:space="0" w:color="auto"/>
        <w:left w:val="none" w:sz="0" w:space="0" w:color="auto"/>
        <w:bottom w:val="none" w:sz="0" w:space="0" w:color="auto"/>
        <w:right w:val="none" w:sz="0" w:space="0" w:color="auto"/>
      </w:divBdr>
    </w:div>
    <w:div w:id="194857230">
      <w:bodyDiv w:val="1"/>
      <w:marLeft w:val="0"/>
      <w:marRight w:val="0"/>
      <w:marTop w:val="0"/>
      <w:marBottom w:val="0"/>
      <w:divBdr>
        <w:top w:val="none" w:sz="0" w:space="0" w:color="auto"/>
        <w:left w:val="none" w:sz="0" w:space="0" w:color="auto"/>
        <w:bottom w:val="none" w:sz="0" w:space="0" w:color="auto"/>
        <w:right w:val="none" w:sz="0" w:space="0" w:color="auto"/>
      </w:divBdr>
    </w:div>
    <w:div w:id="196042794">
      <w:bodyDiv w:val="1"/>
      <w:marLeft w:val="0"/>
      <w:marRight w:val="0"/>
      <w:marTop w:val="0"/>
      <w:marBottom w:val="0"/>
      <w:divBdr>
        <w:top w:val="none" w:sz="0" w:space="0" w:color="auto"/>
        <w:left w:val="none" w:sz="0" w:space="0" w:color="auto"/>
        <w:bottom w:val="none" w:sz="0" w:space="0" w:color="auto"/>
        <w:right w:val="none" w:sz="0" w:space="0" w:color="auto"/>
      </w:divBdr>
    </w:div>
    <w:div w:id="225730668">
      <w:bodyDiv w:val="1"/>
      <w:marLeft w:val="0"/>
      <w:marRight w:val="0"/>
      <w:marTop w:val="0"/>
      <w:marBottom w:val="0"/>
      <w:divBdr>
        <w:top w:val="none" w:sz="0" w:space="0" w:color="auto"/>
        <w:left w:val="none" w:sz="0" w:space="0" w:color="auto"/>
        <w:bottom w:val="none" w:sz="0" w:space="0" w:color="auto"/>
        <w:right w:val="none" w:sz="0" w:space="0" w:color="auto"/>
      </w:divBdr>
    </w:div>
    <w:div w:id="236520932">
      <w:bodyDiv w:val="1"/>
      <w:marLeft w:val="0"/>
      <w:marRight w:val="0"/>
      <w:marTop w:val="0"/>
      <w:marBottom w:val="0"/>
      <w:divBdr>
        <w:top w:val="none" w:sz="0" w:space="0" w:color="auto"/>
        <w:left w:val="none" w:sz="0" w:space="0" w:color="auto"/>
        <w:bottom w:val="none" w:sz="0" w:space="0" w:color="auto"/>
        <w:right w:val="none" w:sz="0" w:space="0" w:color="auto"/>
      </w:divBdr>
    </w:div>
    <w:div w:id="259068311">
      <w:bodyDiv w:val="1"/>
      <w:marLeft w:val="0"/>
      <w:marRight w:val="0"/>
      <w:marTop w:val="0"/>
      <w:marBottom w:val="0"/>
      <w:divBdr>
        <w:top w:val="none" w:sz="0" w:space="0" w:color="auto"/>
        <w:left w:val="none" w:sz="0" w:space="0" w:color="auto"/>
        <w:bottom w:val="none" w:sz="0" w:space="0" w:color="auto"/>
        <w:right w:val="none" w:sz="0" w:space="0" w:color="auto"/>
      </w:divBdr>
    </w:div>
    <w:div w:id="274168374">
      <w:bodyDiv w:val="1"/>
      <w:marLeft w:val="0"/>
      <w:marRight w:val="0"/>
      <w:marTop w:val="0"/>
      <w:marBottom w:val="0"/>
      <w:divBdr>
        <w:top w:val="none" w:sz="0" w:space="0" w:color="auto"/>
        <w:left w:val="none" w:sz="0" w:space="0" w:color="auto"/>
        <w:bottom w:val="none" w:sz="0" w:space="0" w:color="auto"/>
        <w:right w:val="none" w:sz="0" w:space="0" w:color="auto"/>
      </w:divBdr>
    </w:div>
    <w:div w:id="284508838">
      <w:bodyDiv w:val="1"/>
      <w:marLeft w:val="0"/>
      <w:marRight w:val="0"/>
      <w:marTop w:val="0"/>
      <w:marBottom w:val="0"/>
      <w:divBdr>
        <w:top w:val="none" w:sz="0" w:space="0" w:color="auto"/>
        <w:left w:val="none" w:sz="0" w:space="0" w:color="auto"/>
        <w:bottom w:val="none" w:sz="0" w:space="0" w:color="auto"/>
        <w:right w:val="none" w:sz="0" w:space="0" w:color="auto"/>
      </w:divBdr>
    </w:div>
    <w:div w:id="288364130">
      <w:bodyDiv w:val="1"/>
      <w:marLeft w:val="0"/>
      <w:marRight w:val="0"/>
      <w:marTop w:val="0"/>
      <w:marBottom w:val="0"/>
      <w:divBdr>
        <w:top w:val="none" w:sz="0" w:space="0" w:color="auto"/>
        <w:left w:val="none" w:sz="0" w:space="0" w:color="auto"/>
        <w:bottom w:val="none" w:sz="0" w:space="0" w:color="auto"/>
        <w:right w:val="none" w:sz="0" w:space="0" w:color="auto"/>
      </w:divBdr>
    </w:div>
    <w:div w:id="310602726">
      <w:bodyDiv w:val="1"/>
      <w:marLeft w:val="0"/>
      <w:marRight w:val="0"/>
      <w:marTop w:val="0"/>
      <w:marBottom w:val="0"/>
      <w:divBdr>
        <w:top w:val="none" w:sz="0" w:space="0" w:color="auto"/>
        <w:left w:val="none" w:sz="0" w:space="0" w:color="auto"/>
        <w:bottom w:val="none" w:sz="0" w:space="0" w:color="auto"/>
        <w:right w:val="none" w:sz="0" w:space="0" w:color="auto"/>
      </w:divBdr>
    </w:div>
    <w:div w:id="353386874">
      <w:bodyDiv w:val="1"/>
      <w:marLeft w:val="0"/>
      <w:marRight w:val="0"/>
      <w:marTop w:val="0"/>
      <w:marBottom w:val="0"/>
      <w:divBdr>
        <w:top w:val="none" w:sz="0" w:space="0" w:color="auto"/>
        <w:left w:val="none" w:sz="0" w:space="0" w:color="auto"/>
        <w:bottom w:val="none" w:sz="0" w:space="0" w:color="auto"/>
        <w:right w:val="none" w:sz="0" w:space="0" w:color="auto"/>
      </w:divBdr>
    </w:div>
    <w:div w:id="404226787">
      <w:bodyDiv w:val="1"/>
      <w:marLeft w:val="0"/>
      <w:marRight w:val="0"/>
      <w:marTop w:val="0"/>
      <w:marBottom w:val="0"/>
      <w:divBdr>
        <w:top w:val="none" w:sz="0" w:space="0" w:color="auto"/>
        <w:left w:val="none" w:sz="0" w:space="0" w:color="auto"/>
        <w:bottom w:val="none" w:sz="0" w:space="0" w:color="auto"/>
        <w:right w:val="none" w:sz="0" w:space="0" w:color="auto"/>
      </w:divBdr>
    </w:div>
    <w:div w:id="432210984">
      <w:bodyDiv w:val="1"/>
      <w:marLeft w:val="0"/>
      <w:marRight w:val="0"/>
      <w:marTop w:val="0"/>
      <w:marBottom w:val="0"/>
      <w:divBdr>
        <w:top w:val="none" w:sz="0" w:space="0" w:color="auto"/>
        <w:left w:val="none" w:sz="0" w:space="0" w:color="auto"/>
        <w:bottom w:val="none" w:sz="0" w:space="0" w:color="auto"/>
        <w:right w:val="none" w:sz="0" w:space="0" w:color="auto"/>
      </w:divBdr>
    </w:div>
    <w:div w:id="435054370">
      <w:bodyDiv w:val="1"/>
      <w:marLeft w:val="0"/>
      <w:marRight w:val="0"/>
      <w:marTop w:val="0"/>
      <w:marBottom w:val="0"/>
      <w:divBdr>
        <w:top w:val="none" w:sz="0" w:space="0" w:color="auto"/>
        <w:left w:val="none" w:sz="0" w:space="0" w:color="auto"/>
        <w:bottom w:val="none" w:sz="0" w:space="0" w:color="auto"/>
        <w:right w:val="none" w:sz="0" w:space="0" w:color="auto"/>
      </w:divBdr>
    </w:div>
    <w:div w:id="440958335">
      <w:bodyDiv w:val="1"/>
      <w:marLeft w:val="0"/>
      <w:marRight w:val="0"/>
      <w:marTop w:val="0"/>
      <w:marBottom w:val="0"/>
      <w:divBdr>
        <w:top w:val="none" w:sz="0" w:space="0" w:color="auto"/>
        <w:left w:val="none" w:sz="0" w:space="0" w:color="auto"/>
        <w:bottom w:val="none" w:sz="0" w:space="0" w:color="auto"/>
        <w:right w:val="none" w:sz="0" w:space="0" w:color="auto"/>
      </w:divBdr>
    </w:div>
    <w:div w:id="544030704">
      <w:bodyDiv w:val="1"/>
      <w:marLeft w:val="0"/>
      <w:marRight w:val="0"/>
      <w:marTop w:val="0"/>
      <w:marBottom w:val="0"/>
      <w:divBdr>
        <w:top w:val="none" w:sz="0" w:space="0" w:color="auto"/>
        <w:left w:val="none" w:sz="0" w:space="0" w:color="auto"/>
        <w:bottom w:val="none" w:sz="0" w:space="0" w:color="auto"/>
        <w:right w:val="none" w:sz="0" w:space="0" w:color="auto"/>
      </w:divBdr>
    </w:div>
    <w:div w:id="546264373">
      <w:bodyDiv w:val="1"/>
      <w:marLeft w:val="0"/>
      <w:marRight w:val="0"/>
      <w:marTop w:val="0"/>
      <w:marBottom w:val="0"/>
      <w:divBdr>
        <w:top w:val="none" w:sz="0" w:space="0" w:color="auto"/>
        <w:left w:val="none" w:sz="0" w:space="0" w:color="auto"/>
        <w:bottom w:val="none" w:sz="0" w:space="0" w:color="auto"/>
        <w:right w:val="none" w:sz="0" w:space="0" w:color="auto"/>
      </w:divBdr>
    </w:div>
    <w:div w:id="548347803">
      <w:bodyDiv w:val="1"/>
      <w:marLeft w:val="0"/>
      <w:marRight w:val="0"/>
      <w:marTop w:val="0"/>
      <w:marBottom w:val="0"/>
      <w:divBdr>
        <w:top w:val="none" w:sz="0" w:space="0" w:color="auto"/>
        <w:left w:val="none" w:sz="0" w:space="0" w:color="auto"/>
        <w:bottom w:val="none" w:sz="0" w:space="0" w:color="auto"/>
        <w:right w:val="none" w:sz="0" w:space="0" w:color="auto"/>
      </w:divBdr>
    </w:div>
    <w:div w:id="548763265">
      <w:bodyDiv w:val="1"/>
      <w:marLeft w:val="0"/>
      <w:marRight w:val="0"/>
      <w:marTop w:val="0"/>
      <w:marBottom w:val="0"/>
      <w:divBdr>
        <w:top w:val="none" w:sz="0" w:space="0" w:color="auto"/>
        <w:left w:val="none" w:sz="0" w:space="0" w:color="auto"/>
        <w:bottom w:val="none" w:sz="0" w:space="0" w:color="auto"/>
        <w:right w:val="none" w:sz="0" w:space="0" w:color="auto"/>
      </w:divBdr>
    </w:div>
    <w:div w:id="584730398">
      <w:bodyDiv w:val="1"/>
      <w:marLeft w:val="0"/>
      <w:marRight w:val="0"/>
      <w:marTop w:val="0"/>
      <w:marBottom w:val="0"/>
      <w:divBdr>
        <w:top w:val="none" w:sz="0" w:space="0" w:color="auto"/>
        <w:left w:val="none" w:sz="0" w:space="0" w:color="auto"/>
        <w:bottom w:val="none" w:sz="0" w:space="0" w:color="auto"/>
        <w:right w:val="none" w:sz="0" w:space="0" w:color="auto"/>
      </w:divBdr>
    </w:div>
    <w:div w:id="591743729">
      <w:bodyDiv w:val="1"/>
      <w:marLeft w:val="0"/>
      <w:marRight w:val="0"/>
      <w:marTop w:val="0"/>
      <w:marBottom w:val="0"/>
      <w:divBdr>
        <w:top w:val="none" w:sz="0" w:space="0" w:color="auto"/>
        <w:left w:val="none" w:sz="0" w:space="0" w:color="auto"/>
        <w:bottom w:val="none" w:sz="0" w:space="0" w:color="auto"/>
        <w:right w:val="none" w:sz="0" w:space="0" w:color="auto"/>
      </w:divBdr>
    </w:div>
    <w:div w:id="670763920">
      <w:bodyDiv w:val="1"/>
      <w:marLeft w:val="0"/>
      <w:marRight w:val="0"/>
      <w:marTop w:val="0"/>
      <w:marBottom w:val="0"/>
      <w:divBdr>
        <w:top w:val="none" w:sz="0" w:space="0" w:color="auto"/>
        <w:left w:val="none" w:sz="0" w:space="0" w:color="auto"/>
        <w:bottom w:val="none" w:sz="0" w:space="0" w:color="auto"/>
        <w:right w:val="none" w:sz="0" w:space="0" w:color="auto"/>
      </w:divBdr>
    </w:div>
    <w:div w:id="726414029">
      <w:bodyDiv w:val="1"/>
      <w:marLeft w:val="0"/>
      <w:marRight w:val="0"/>
      <w:marTop w:val="0"/>
      <w:marBottom w:val="0"/>
      <w:divBdr>
        <w:top w:val="none" w:sz="0" w:space="0" w:color="auto"/>
        <w:left w:val="none" w:sz="0" w:space="0" w:color="auto"/>
        <w:bottom w:val="none" w:sz="0" w:space="0" w:color="auto"/>
        <w:right w:val="none" w:sz="0" w:space="0" w:color="auto"/>
      </w:divBdr>
    </w:div>
    <w:div w:id="781534826">
      <w:bodyDiv w:val="1"/>
      <w:marLeft w:val="0"/>
      <w:marRight w:val="0"/>
      <w:marTop w:val="0"/>
      <w:marBottom w:val="0"/>
      <w:divBdr>
        <w:top w:val="none" w:sz="0" w:space="0" w:color="auto"/>
        <w:left w:val="none" w:sz="0" w:space="0" w:color="auto"/>
        <w:bottom w:val="none" w:sz="0" w:space="0" w:color="auto"/>
        <w:right w:val="none" w:sz="0" w:space="0" w:color="auto"/>
      </w:divBdr>
    </w:div>
    <w:div w:id="795441727">
      <w:bodyDiv w:val="1"/>
      <w:marLeft w:val="0"/>
      <w:marRight w:val="0"/>
      <w:marTop w:val="0"/>
      <w:marBottom w:val="0"/>
      <w:divBdr>
        <w:top w:val="none" w:sz="0" w:space="0" w:color="auto"/>
        <w:left w:val="none" w:sz="0" w:space="0" w:color="auto"/>
        <w:bottom w:val="none" w:sz="0" w:space="0" w:color="auto"/>
        <w:right w:val="none" w:sz="0" w:space="0" w:color="auto"/>
      </w:divBdr>
    </w:div>
    <w:div w:id="833029560">
      <w:bodyDiv w:val="1"/>
      <w:marLeft w:val="0"/>
      <w:marRight w:val="0"/>
      <w:marTop w:val="0"/>
      <w:marBottom w:val="0"/>
      <w:divBdr>
        <w:top w:val="none" w:sz="0" w:space="0" w:color="auto"/>
        <w:left w:val="none" w:sz="0" w:space="0" w:color="auto"/>
        <w:bottom w:val="none" w:sz="0" w:space="0" w:color="auto"/>
        <w:right w:val="none" w:sz="0" w:space="0" w:color="auto"/>
      </w:divBdr>
    </w:div>
    <w:div w:id="932396818">
      <w:bodyDiv w:val="1"/>
      <w:marLeft w:val="0"/>
      <w:marRight w:val="0"/>
      <w:marTop w:val="0"/>
      <w:marBottom w:val="0"/>
      <w:divBdr>
        <w:top w:val="none" w:sz="0" w:space="0" w:color="auto"/>
        <w:left w:val="none" w:sz="0" w:space="0" w:color="auto"/>
        <w:bottom w:val="none" w:sz="0" w:space="0" w:color="auto"/>
        <w:right w:val="none" w:sz="0" w:space="0" w:color="auto"/>
      </w:divBdr>
    </w:div>
    <w:div w:id="985816501">
      <w:bodyDiv w:val="1"/>
      <w:marLeft w:val="0"/>
      <w:marRight w:val="0"/>
      <w:marTop w:val="0"/>
      <w:marBottom w:val="0"/>
      <w:divBdr>
        <w:top w:val="none" w:sz="0" w:space="0" w:color="auto"/>
        <w:left w:val="none" w:sz="0" w:space="0" w:color="auto"/>
        <w:bottom w:val="none" w:sz="0" w:space="0" w:color="auto"/>
        <w:right w:val="none" w:sz="0" w:space="0" w:color="auto"/>
      </w:divBdr>
    </w:div>
    <w:div w:id="1040666496">
      <w:bodyDiv w:val="1"/>
      <w:marLeft w:val="0"/>
      <w:marRight w:val="0"/>
      <w:marTop w:val="0"/>
      <w:marBottom w:val="0"/>
      <w:divBdr>
        <w:top w:val="none" w:sz="0" w:space="0" w:color="auto"/>
        <w:left w:val="none" w:sz="0" w:space="0" w:color="auto"/>
        <w:bottom w:val="none" w:sz="0" w:space="0" w:color="auto"/>
        <w:right w:val="none" w:sz="0" w:space="0" w:color="auto"/>
      </w:divBdr>
    </w:div>
    <w:div w:id="1058670076">
      <w:bodyDiv w:val="1"/>
      <w:marLeft w:val="0"/>
      <w:marRight w:val="0"/>
      <w:marTop w:val="0"/>
      <w:marBottom w:val="0"/>
      <w:divBdr>
        <w:top w:val="none" w:sz="0" w:space="0" w:color="auto"/>
        <w:left w:val="none" w:sz="0" w:space="0" w:color="auto"/>
        <w:bottom w:val="none" w:sz="0" w:space="0" w:color="auto"/>
        <w:right w:val="none" w:sz="0" w:space="0" w:color="auto"/>
      </w:divBdr>
    </w:div>
    <w:div w:id="1139690147">
      <w:bodyDiv w:val="1"/>
      <w:marLeft w:val="0"/>
      <w:marRight w:val="0"/>
      <w:marTop w:val="0"/>
      <w:marBottom w:val="0"/>
      <w:divBdr>
        <w:top w:val="none" w:sz="0" w:space="0" w:color="auto"/>
        <w:left w:val="none" w:sz="0" w:space="0" w:color="auto"/>
        <w:bottom w:val="none" w:sz="0" w:space="0" w:color="auto"/>
        <w:right w:val="none" w:sz="0" w:space="0" w:color="auto"/>
      </w:divBdr>
    </w:div>
    <w:div w:id="1208878225">
      <w:bodyDiv w:val="1"/>
      <w:marLeft w:val="0"/>
      <w:marRight w:val="0"/>
      <w:marTop w:val="0"/>
      <w:marBottom w:val="0"/>
      <w:divBdr>
        <w:top w:val="none" w:sz="0" w:space="0" w:color="auto"/>
        <w:left w:val="none" w:sz="0" w:space="0" w:color="auto"/>
        <w:bottom w:val="none" w:sz="0" w:space="0" w:color="auto"/>
        <w:right w:val="none" w:sz="0" w:space="0" w:color="auto"/>
      </w:divBdr>
    </w:div>
    <w:div w:id="1245796514">
      <w:bodyDiv w:val="1"/>
      <w:marLeft w:val="0"/>
      <w:marRight w:val="0"/>
      <w:marTop w:val="0"/>
      <w:marBottom w:val="0"/>
      <w:divBdr>
        <w:top w:val="none" w:sz="0" w:space="0" w:color="auto"/>
        <w:left w:val="none" w:sz="0" w:space="0" w:color="auto"/>
        <w:bottom w:val="none" w:sz="0" w:space="0" w:color="auto"/>
        <w:right w:val="none" w:sz="0" w:space="0" w:color="auto"/>
      </w:divBdr>
    </w:div>
    <w:div w:id="1265579954">
      <w:bodyDiv w:val="1"/>
      <w:marLeft w:val="0"/>
      <w:marRight w:val="0"/>
      <w:marTop w:val="0"/>
      <w:marBottom w:val="0"/>
      <w:divBdr>
        <w:top w:val="none" w:sz="0" w:space="0" w:color="auto"/>
        <w:left w:val="none" w:sz="0" w:space="0" w:color="auto"/>
        <w:bottom w:val="none" w:sz="0" w:space="0" w:color="auto"/>
        <w:right w:val="none" w:sz="0" w:space="0" w:color="auto"/>
      </w:divBdr>
    </w:div>
    <w:div w:id="1270118660">
      <w:bodyDiv w:val="1"/>
      <w:marLeft w:val="0"/>
      <w:marRight w:val="0"/>
      <w:marTop w:val="0"/>
      <w:marBottom w:val="0"/>
      <w:divBdr>
        <w:top w:val="none" w:sz="0" w:space="0" w:color="auto"/>
        <w:left w:val="none" w:sz="0" w:space="0" w:color="auto"/>
        <w:bottom w:val="none" w:sz="0" w:space="0" w:color="auto"/>
        <w:right w:val="none" w:sz="0" w:space="0" w:color="auto"/>
      </w:divBdr>
    </w:div>
    <w:div w:id="1284730263">
      <w:bodyDiv w:val="1"/>
      <w:marLeft w:val="0"/>
      <w:marRight w:val="0"/>
      <w:marTop w:val="0"/>
      <w:marBottom w:val="0"/>
      <w:divBdr>
        <w:top w:val="none" w:sz="0" w:space="0" w:color="auto"/>
        <w:left w:val="none" w:sz="0" w:space="0" w:color="auto"/>
        <w:bottom w:val="none" w:sz="0" w:space="0" w:color="auto"/>
        <w:right w:val="none" w:sz="0" w:space="0" w:color="auto"/>
      </w:divBdr>
    </w:div>
    <w:div w:id="1300646363">
      <w:bodyDiv w:val="1"/>
      <w:marLeft w:val="0"/>
      <w:marRight w:val="0"/>
      <w:marTop w:val="0"/>
      <w:marBottom w:val="0"/>
      <w:divBdr>
        <w:top w:val="none" w:sz="0" w:space="0" w:color="auto"/>
        <w:left w:val="none" w:sz="0" w:space="0" w:color="auto"/>
        <w:bottom w:val="none" w:sz="0" w:space="0" w:color="auto"/>
        <w:right w:val="none" w:sz="0" w:space="0" w:color="auto"/>
      </w:divBdr>
    </w:div>
    <w:div w:id="1320843157">
      <w:bodyDiv w:val="1"/>
      <w:marLeft w:val="0"/>
      <w:marRight w:val="0"/>
      <w:marTop w:val="0"/>
      <w:marBottom w:val="0"/>
      <w:divBdr>
        <w:top w:val="none" w:sz="0" w:space="0" w:color="auto"/>
        <w:left w:val="none" w:sz="0" w:space="0" w:color="auto"/>
        <w:bottom w:val="none" w:sz="0" w:space="0" w:color="auto"/>
        <w:right w:val="none" w:sz="0" w:space="0" w:color="auto"/>
      </w:divBdr>
    </w:div>
    <w:div w:id="1435905033">
      <w:bodyDiv w:val="1"/>
      <w:marLeft w:val="0"/>
      <w:marRight w:val="0"/>
      <w:marTop w:val="0"/>
      <w:marBottom w:val="0"/>
      <w:divBdr>
        <w:top w:val="none" w:sz="0" w:space="0" w:color="auto"/>
        <w:left w:val="none" w:sz="0" w:space="0" w:color="auto"/>
        <w:bottom w:val="none" w:sz="0" w:space="0" w:color="auto"/>
        <w:right w:val="none" w:sz="0" w:space="0" w:color="auto"/>
      </w:divBdr>
    </w:div>
    <w:div w:id="1509447313">
      <w:bodyDiv w:val="1"/>
      <w:marLeft w:val="0"/>
      <w:marRight w:val="0"/>
      <w:marTop w:val="0"/>
      <w:marBottom w:val="0"/>
      <w:divBdr>
        <w:top w:val="none" w:sz="0" w:space="0" w:color="auto"/>
        <w:left w:val="none" w:sz="0" w:space="0" w:color="auto"/>
        <w:bottom w:val="none" w:sz="0" w:space="0" w:color="auto"/>
        <w:right w:val="none" w:sz="0" w:space="0" w:color="auto"/>
      </w:divBdr>
    </w:div>
    <w:div w:id="1580283679">
      <w:bodyDiv w:val="1"/>
      <w:marLeft w:val="0"/>
      <w:marRight w:val="0"/>
      <w:marTop w:val="0"/>
      <w:marBottom w:val="0"/>
      <w:divBdr>
        <w:top w:val="none" w:sz="0" w:space="0" w:color="auto"/>
        <w:left w:val="none" w:sz="0" w:space="0" w:color="auto"/>
        <w:bottom w:val="none" w:sz="0" w:space="0" w:color="auto"/>
        <w:right w:val="none" w:sz="0" w:space="0" w:color="auto"/>
      </w:divBdr>
    </w:div>
    <w:div w:id="1613126372">
      <w:bodyDiv w:val="1"/>
      <w:marLeft w:val="0"/>
      <w:marRight w:val="0"/>
      <w:marTop w:val="0"/>
      <w:marBottom w:val="0"/>
      <w:divBdr>
        <w:top w:val="none" w:sz="0" w:space="0" w:color="auto"/>
        <w:left w:val="none" w:sz="0" w:space="0" w:color="auto"/>
        <w:bottom w:val="none" w:sz="0" w:space="0" w:color="auto"/>
        <w:right w:val="none" w:sz="0" w:space="0" w:color="auto"/>
      </w:divBdr>
    </w:div>
    <w:div w:id="1623345723">
      <w:bodyDiv w:val="1"/>
      <w:marLeft w:val="0"/>
      <w:marRight w:val="0"/>
      <w:marTop w:val="0"/>
      <w:marBottom w:val="0"/>
      <w:divBdr>
        <w:top w:val="none" w:sz="0" w:space="0" w:color="auto"/>
        <w:left w:val="none" w:sz="0" w:space="0" w:color="auto"/>
        <w:bottom w:val="none" w:sz="0" w:space="0" w:color="auto"/>
        <w:right w:val="none" w:sz="0" w:space="0" w:color="auto"/>
      </w:divBdr>
    </w:div>
    <w:div w:id="1715694286">
      <w:bodyDiv w:val="1"/>
      <w:marLeft w:val="0"/>
      <w:marRight w:val="0"/>
      <w:marTop w:val="0"/>
      <w:marBottom w:val="0"/>
      <w:divBdr>
        <w:top w:val="none" w:sz="0" w:space="0" w:color="auto"/>
        <w:left w:val="none" w:sz="0" w:space="0" w:color="auto"/>
        <w:bottom w:val="none" w:sz="0" w:space="0" w:color="auto"/>
        <w:right w:val="none" w:sz="0" w:space="0" w:color="auto"/>
      </w:divBdr>
    </w:div>
    <w:div w:id="1797680084">
      <w:bodyDiv w:val="1"/>
      <w:marLeft w:val="0"/>
      <w:marRight w:val="0"/>
      <w:marTop w:val="0"/>
      <w:marBottom w:val="0"/>
      <w:divBdr>
        <w:top w:val="none" w:sz="0" w:space="0" w:color="auto"/>
        <w:left w:val="none" w:sz="0" w:space="0" w:color="auto"/>
        <w:bottom w:val="none" w:sz="0" w:space="0" w:color="auto"/>
        <w:right w:val="none" w:sz="0" w:space="0" w:color="auto"/>
      </w:divBdr>
    </w:div>
    <w:div w:id="1798331721">
      <w:bodyDiv w:val="1"/>
      <w:marLeft w:val="0"/>
      <w:marRight w:val="0"/>
      <w:marTop w:val="0"/>
      <w:marBottom w:val="0"/>
      <w:divBdr>
        <w:top w:val="none" w:sz="0" w:space="0" w:color="auto"/>
        <w:left w:val="none" w:sz="0" w:space="0" w:color="auto"/>
        <w:bottom w:val="none" w:sz="0" w:space="0" w:color="auto"/>
        <w:right w:val="none" w:sz="0" w:space="0" w:color="auto"/>
      </w:divBdr>
    </w:div>
    <w:div w:id="1811629157">
      <w:bodyDiv w:val="1"/>
      <w:marLeft w:val="0"/>
      <w:marRight w:val="0"/>
      <w:marTop w:val="0"/>
      <w:marBottom w:val="0"/>
      <w:divBdr>
        <w:top w:val="none" w:sz="0" w:space="0" w:color="auto"/>
        <w:left w:val="none" w:sz="0" w:space="0" w:color="auto"/>
        <w:bottom w:val="none" w:sz="0" w:space="0" w:color="auto"/>
        <w:right w:val="none" w:sz="0" w:space="0" w:color="auto"/>
      </w:divBdr>
    </w:div>
    <w:div w:id="1846019994">
      <w:bodyDiv w:val="1"/>
      <w:marLeft w:val="0"/>
      <w:marRight w:val="0"/>
      <w:marTop w:val="0"/>
      <w:marBottom w:val="0"/>
      <w:divBdr>
        <w:top w:val="none" w:sz="0" w:space="0" w:color="auto"/>
        <w:left w:val="none" w:sz="0" w:space="0" w:color="auto"/>
        <w:bottom w:val="none" w:sz="0" w:space="0" w:color="auto"/>
        <w:right w:val="none" w:sz="0" w:space="0" w:color="auto"/>
      </w:divBdr>
    </w:div>
    <w:div w:id="1890802234">
      <w:bodyDiv w:val="1"/>
      <w:marLeft w:val="0"/>
      <w:marRight w:val="0"/>
      <w:marTop w:val="0"/>
      <w:marBottom w:val="0"/>
      <w:divBdr>
        <w:top w:val="none" w:sz="0" w:space="0" w:color="auto"/>
        <w:left w:val="none" w:sz="0" w:space="0" w:color="auto"/>
        <w:bottom w:val="none" w:sz="0" w:space="0" w:color="auto"/>
        <w:right w:val="none" w:sz="0" w:space="0" w:color="auto"/>
      </w:divBdr>
    </w:div>
    <w:div w:id="1900509821">
      <w:bodyDiv w:val="1"/>
      <w:marLeft w:val="0"/>
      <w:marRight w:val="0"/>
      <w:marTop w:val="0"/>
      <w:marBottom w:val="0"/>
      <w:divBdr>
        <w:top w:val="none" w:sz="0" w:space="0" w:color="auto"/>
        <w:left w:val="none" w:sz="0" w:space="0" w:color="auto"/>
        <w:bottom w:val="none" w:sz="0" w:space="0" w:color="auto"/>
        <w:right w:val="none" w:sz="0" w:space="0" w:color="auto"/>
      </w:divBdr>
    </w:div>
    <w:div w:id="1995060728">
      <w:bodyDiv w:val="1"/>
      <w:marLeft w:val="0"/>
      <w:marRight w:val="0"/>
      <w:marTop w:val="0"/>
      <w:marBottom w:val="0"/>
      <w:divBdr>
        <w:top w:val="none" w:sz="0" w:space="0" w:color="auto"/>
        <w:left w:val="none" w:sz="0" w:space="0" w:color="auto"/>
        <w:bottom w:val="none" w:sz="0" w:space="0" w:color="auto"/>
        <w:right w:val="none" w:sz="0" w:space="0" w:color="auto"/>
      </w:divBdr>
    </w:div>
    <w:div w:id="20598152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cdnut.2024.104459?utm_source=chatgpt.com" TargetMode="External"/><Relationship Id="rId18" Type="http://schemas.openxmlformats.org/officeDocument/2006/relationships/hyperlink" Target="https://doi.org/10.1016/j.tjnut.2025.06.002?utm_source=chatgpt.com" TargetMode="External"/><Relationship Id="rId26" Type="http://schemas.openxmlformats.org/officeDocument/2006/relationships/hyperlink" Target="https://doi.org/10.3390/nu15112583?utm_source=chatgpt.com" TargetMode="External"/><Relationship Id="rId39" Type="http://schemas.openxmlformats.org/officeDocument/2006/relationships/hyperlink" Target="https://doi.org/10.1016/j.ajcnut.2025.02.026?utm_source=chatgpt.com" TargetMode="External"/><Relationship Id="rId21" Type="http://schemas.openxmlformats.org/officeDocument/2006/relationships/hyperlink" Target="https://doi.org/10.1016/j.nutres.2026.06.009?utm_source=chatgpt.com" TargetMode="External"/><Relationship Id="rId34" Type="http://schemas.openxmlformats.org/officeDocument/2006/relationships/hyperlink" Target="https://doi.org/10.1186/s12889-025-25653-1?utm_source=chatgpt.com" TargetMode="External"/><Relationship Id="rId42" Type="http://schemas.openxmlformats.org/officeDocument/2006/relationships/header" Target="header1.xml"/><Relationship Id="rId47"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371/journal.pone.0292561?utm_source=chatgpt.com" TargetMode="External"/><Relationship Id="rId29" Type="http://schemas.openxmlformats.org/officeDocument/2006/relationships/hyperlink" Target="https://doi.org/10.1016/j.numecd.2023.10.029?utm_source=chatgpt.com" TargetMode="External"/><Relationship Id="rId11" Type="http://schemas.openxmlformats.org/officeDocument/2006/relationships/hyperlink" Target="https://doi.org/10.1111/jch.14220?utm_source=chatgpt.com" TargetMode="External"/><Relationship Id="rId24" Type="http://schemas.openxmlformats.org/officeDocument/2006/relationships/hyperlink" Target="https://doi.org/10.1038/s41430-022-01225-z?utm_source=chatgpt.com" TargetMode="External"/><Relationship Id="rId32" Type="http://schemas.openxmlformats.org/officeDocument/2006/relationships/hyperlink" Target="https://doi.org/10.1136/bmjopen-2022-064275?utm_source=chatgpt.com" TargetMode="External"/><Relationship Id="rId37" Type="http://schemas.openxmlformats.org/officeDocument/2006/relationships/hyperlink" Target="https://doi.org/10.1186/s41043-023-00451-w?utm_source=chatgpt.com" TargetMode="External"/><Relationship Id="rId40" Type="http://schemas.openxmlformats.org/officeDocument/2006/relationships/hyperlink" Target="https://doi.org/10.1016/j.jnha.2026.100902?utm_source=chatgpt.com"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doi.org/10.1111/tmi.14089?utm_source=chatgpt.com" TargetMode="External"/><Relationship Id="rId23" Type="http://schemas.openxmlformats.org/officeDocument/2006/relationships/hyperlink" Target="https://doi.org/10.1016/S0140-6736(24)00933-4?utm_source=chatgpt.com" TargetMode="External"/><Relationship Id="rId28" Type="http://schemas.openxmlformats.org/officeDocument/2006/relationships/hyperlink" Target="https://doi.org/10.56557/ajmab/2026/v11i110543?utm_source=chatgpt.com" TargetMode="External"/><Relationship Id="rId36" Type="http://schemas.openxmlformats.org/officeDocument/2006/relationships/hyperlink" Target="https://doi.org/10.3389/fnut.2023.1211797?utm_source=chatgpt.com" TargetMode="External"/><Relationship Id="rId49" Type="http://schemas.openxmlformats.org/officeDocument/2006/relationships/theme" Target="theme/theme1.xml"/><Relationship Id="rId10" Type="http://schemas.openxmlformats.org/officeDocument/2006/relationships/hyperlink" Target="https://doi.org/10.1080/07853890.2021.1897665?utm_source=chatgpt.com" TargetMode="External"/><Relationship Id="rId19" Type="http://schemas.openxmlformats.org/officeDocument/2006/relationships/hyperlink" Target="https://doi.org/10.5830/CVJA-2021-037?utm_source=chatgpt.com" TargetMode="External"/><Relationship Id="rId31" Type="http://schemas.openxmlformats.org/officeDocument/2006/relationships/hyperlink" Target="https://doi.org/10.1097/HJH.0000000000003662?utm_source=chatgpt.com"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3390/nu16142286?utm_source=chatgpt.com" TargetMode="External"/><Relationship Id="rId22" Type="http://schemas.openxmlformats.org/officeDocument/2006/relationships/hyperlink" Target="https://doi.org/10.1186/s40795-025-01223-x?utm_source=chatgpt.com" TargetMode="External"/><Relationship Id="rId27" Type="http://schemas.openxmlformats.org/officeDocument/2006/relationships/hyperlink" Target="https://doi.org/10.1186/s41043-025-01085-w?utm_source=chatgpt.com" TargetMode="External"/><Relationship Id="rId30" Type="http://schemas.openxmlformats.org/officeDocument/2006/relationships/hyperlink" Target="https://doi.org/10.1097/MBP.0000000000000561?utm_source=chatgpt.com" TargetMode="External"/><Relationship Id="rId35" Type="http://schemas.openxmlformats.org/officeDocument/2006/relationships/hyperlink" Target="https://doi.org/10.1186/s12889-024-18792-4?utm_source=chatgpt.com" TargetMode="External"/><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doi.org/10.1161/CIRCULATIONAHA.109.192644?utm_source=chatgpt.com" TargetMode="External"/><Relationship Id="rId17" Type="http://schemas.openxmlformats.org/officeDocument/2006/relationships/hyperlink" Target="https://doi.org/10.1371/journal.pone.0294370?utm_source=chatgpt.com" TargetMode="External"/><Relationship Id="rId25" Type="http://schemas.openxmlformats.org/officeDocument/2006/relationships/hyperlink" Target="https://doi.org/10.3390/nu16172890?utm_source=chatgpt.com" TargetMode="External"/><Relationship Id="rId33" Type="http://schemas.openxmlformats.org/officeDocument/2006/relationships/hyperlink" Target="https://doi.org/10.1038/s41569-024-01061-7?utm_source=chatgpt.com" TargetMode="External"/><Relationship Id="rId38" Type="http://schemas.openxmlformats.org/officeDocument/2006/relationships/hyperlink" Target="https://doi.org/10.9734/AJMAH/2018/37430?utm_source=chatgpt.com" TargetMode="External"/><Relationship Id="rId46" Type="http://schemas.openxmlformats.org/officeDocument/2006/relationships/header" Target="header3.xml"/><Relationship Id="rId20" Type="http://schemas.openxmlformats.org/officeDocument/2006/relationships/hyperlink" Target="https://doi.org/10.5281/zenodo.15733068?utm_source=chatgpt.com" TargetMode="External"/><Relationship Id="rId41" Type="http://schemas.openxmlformats.org/officeDocument/2006/relationships/hyperlink" Target="https://doi.org/10.1186/s12986-025-00965-6?utm_source=chatgpt.com"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19</Pages>
  <Words>12568</Words>
  <Characters>71641</Characters>
  <Application>Microsoft Office Word</Application>
  <DocSecurity>0</DocSecurity>
  <Lines>597</Lines>
  <Paragraphs>168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84041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Editor-90</cp:lastModifiedBy>
  <cp:revision>51</cp:revision>
  <dcterms:created xsi:type="dcterms:W3CDTF">2026-09-08T15:26:00Z</dcterms:created>
  <dcterms:modified xsi:type="dcterms:W3CDTF">2026-09-14T08:25:00Z</dcterms:modified>
  <cp:category/>
</cp:coreProperties>
</file>