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0A9A4" w14:textId="77777777" w:rsidR="00995603" w:rsidRDefault="00995603" w:rsidP="00607022">
      <w:pPr>
        <w:pStyle w:val="Author"/>
        <w:spacing w:line="240" w:lineRule="auto"/>
        <w:jc w:val="both"/>
        <w:rPr>
          <w:rFonts w:ascii="Arial" w:hAnsi="Arial" w:cs="Arial"/>
          <w:bCs/>
          <w:i/>
          <w:iCs/>
          <w:kern w:val="28"/>
          <w:sz w:val="36"/>
          <w:u w:val="single"/>
        </w:rPr>
      </w:pPr>
      <w:r>
        <w:rPr>
          <w:rFonts w:ascii="Arial" w:hAnsi="Arial" w:cs="Arial"/>
          <w:bCs/>
          <w:i/>
          <w:iCs/>
          <w:kern w:val="28"/>
          <w:sz w:val="36"/>
          <w:u w:val="single"/>
        </w:rPr>
        <w:t xml:space="preserve">Case report </w:t>
      </w:r>
    </w:p>
    <w:p w14:paraId="5BF8C9E0" w14:textId="77777777" w:rsidR="00A367FF" w:rsidRDefault="00A367FF" w:rsidP="00607022">
      <w:pPr>
        <w:pStyle w:val="Author"/>
        <w:spacing w:line="240" w:lineRule="auto"/>
        <w:jc w:val="both"/>
        <w:rPr>
          <w:rFonts w:ascii="Arial" w:hAnsi="Arial" w:cs="Arial"/>
          <w:bCs/>
          <w:sz w:val="36"/>
          <w:szCs w:val="36"/>
          <w:lang w:eastAsia="fr-FR"/>
        </w:rPr>
      </w:pPr>
    </w:p>
    <w:p w14:paraId="72657349" w14:textId="77777777" w:rsidR="00607022" w:rsidRPr="009515AE" w:rsidRDefault="003A3770" w:rsidP="00607022">
      <w:pPr>
        <w:pStyle w:val="Author"/>
        <w:spacing w:line="240" w:lineRule="auto"/>
        <w:jc w:val="both"/>
        <w:rPr>
          <w:rFonts w:ascii="Arial" w:hAnsi="Arial" w:cs="Arial"/>
          <w:sz w:val="36"/>
          <w:szCs w:val="36"/>
        </w:rPr>
      </w:pPr>
      <w:r>
        <w:rPr>
          <w:rFonts w:ascii="Arial" w:hAnsi="Arial" w:cs="Arial"/>
          <w:bCs/>
          <w:sz w:val="36"/>
          <w:szCs w:val="36"/>
          <w:lang w:eastAsia="fr-FR"/>
        </w:rPr>
        <w:t>Valsartan Induced Bullous Pemphigoid in a Young Adult: Clinical and Immunopathological Insights</w:t>
      </w:r>
    </w:p>
    <w:p w14:paraId="39049A5A" w14:textId="77777777" w:rsidR="00607022" w:rsidRDefault="00607022" w:rsidP="00607022">
      <w:pPr>
        <w:pStyle w:val="Author"/>
        <w:spacing w:line="240" w:lineRule="auto"/>
        <w:rPr>
          <w:lang w:eastAsia="fr-FR"/>
        </w:rPr>
      </w:pPr>
    </w:p>
    <w:p w14:paraId="00A238A7" w14:textId="77777777" w:rsidR="00607022" w:rsidRPr="00FB3A86" w:rsidRDefault="00607022" w:rsidP="00607022">
      <w:pPr>
        <w:pStyle w:val="Copyright"/>
        <w:spacing w:after="0" w:line="240" w:lineRule="auto"/>
        <w:jc w:val="both"/>
        <w:rPr>
          <w:rFonts w:ascii="Arial" w:hAnsi="Arial" w:cs="Arial"/>
        </w:rPr>
        <w:sectPr w:rsidR="00607022" w:rsidRPr="00FB3A86" w:rsidSect="00607022">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6F3F6B42" wp14:editId="6F02BB16">
                <wp:extent cx="5303520" cy="635"/>
                <wp:effectExtent l="15240" t="17780" r="15240" b="10795"/>
                <wp:docPr id="7130367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0681EB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6A641CDB" w14:textId="77777777" w:rsidR="00607022" w:rsidRPr="009515AE" w:rsidRDefault="00607022" w:rsidP="00607022">
      <w:pPr>
        <w:pStyle w:val="AbstHead"/>
        <w:spacing w:after="0"/>
        <w:jc w:val="both"/>
        <w:rPr>
          <w:rFonts w:ascii="Arial" w:hAnsi="Arial" w:cs="Arial"/>
          <w:szCs w:val="22"/>
        </w:rPr>
      </w:pPr>
      <w:r w:rsidRPr="009515AE">
        <w:rPr>
          <w:rFonts w:ascii="Arial" w:hAnsi="Arial" w:cs="Arial"/>
          <w:szCs w:val="22"/>
        </w:rPr>
        <w:t xml:space="preserve">ABSTRACT </w:t>
      </w:r>
    </w:p>
    <w:p w14:paraId="1DB3F4A0" w14:textId="77777777" w:rsidR="00607022" w:rsidRPr="009515AE" w:rsidRDefault="00607022" w:rsidP="00607022">
      <w:pPr>
        <w:pStyle w:val="Body"/>
        <w:spacing w:after="0"/>
        <w:rPr>
          <w:rFonts w:ascii="Arial" w:eastAsia="Calibri" w:hAnsi="Arial" w:cs="Arial"/>
          <w:b/>
          <w:sz w:val="22"/>
          <w:szCs w:val="22"/>
        </w:rPr>
      </w:pPr>
    </w:p>
    <w:p w14:paraId="1BBC4EC2" w14:textId="77777777" w:rsidR="00607022" w:rsidRPr="003A3770" w:rsidRDefault="00A24D79" w:rsidP="00607022">
      <w:pPr>
        <w:pStyle w:val="Body"/>
        <w:spacing w:after="0"/>
        <w:rPr>
          <w:rFonts w:ascii="Arial" w:hAnsi="Arial" w:cs="Arial"/>
          <w:color w:val="000000"/>
          <w:sz w:val="22"/>
          <w:szCs w:val="22"/>
        </w:rPr>
      </w:pPr>
      <w:r w:rsidRPr="003A3770">
        <w:rPr>
          <w:rFonts w:ascii="Arial" w:eastAsia="Calibri" w:hAnsi="Arial" w:cs="Arial"/>
          <w:b/>
          <w:sz w:val="22"/>
          <w:szCs w:val="22"/>
        </w:rPr>
        <w:t>Background</w:t>
      </w:r>
      <w:r w:rsidR="00607022" w:rsidRPr="003A3770">
        <w:rPr>
          <w:rFonts w:ascii="Arial" w:eastAsia="Calibri" w:hAnsi="Arial" w:cs="Arial"/>
          <w:b/>
          <w:sz w:val="22"/>
          <w:szCs w:val="22"/>
        </w:rPr>
        <w:t xml:space="preserve">: </w:t>
      </w:r>
      <w:r w:rsidR="003A3770" w:rsidRPr="003A3770">
        <w:rPr>
          <w:rFonts w:ascii="Arial" w:hAnsi="Arial" w:cs="Arial"/>
          <w:sz w:val="22"/>
          <w:szCs w:val="22"/>
        </w:rPr>
        <w:t>Bullous pemphigoid (BP) is an autoimmune blistering disorder that predominantly affects the elderly population</w:t>
      </w:r>
      <w:r w:rsidR="003A3770">
        <w:rPr>
          <w:rFonts w:ascii="Arial" w:hAnsi="Arial" w:cs="Arial"/>
          <w:sz w:val="22"/>
          <w:szCs w:val="22"/>
        </w:rPr>
        <w:t xml:space="preserve">. </w:t>
      </w:r>
      <w:r w:rsidR="003A3770" w:rsidRPr="003A3770">
        <w:rPr>
          <w:rFonts w:ascii="Arial" w:hAnsi="Arial" w:cs="Arial"/>
          <w:sz w:val="22"/>
          <w:szCs w:val="22"/>
        </w:rPr>
        <w:t>Although its exact pathophysiology remains incompletely understood, a strong link to pharmacological agents has been well established. Herein, we report a rare case of valsartan-induced bullous pemphigoid in a young female patient.</w:t>
      </w:r>
    </w:p>
    <w:p w14:paraId="22261789" w14:textId="77777777" w:rsidR="00607022" w:rsidRPr="003A3770" w:rsidRDefault="00607022" w:rsidP="00607022">
      <w:pPr>
        <w:pStyle w:val="Body"/>
        <w:spacing w:after="0"/>
        <w:rPr>
          <w:rFonts w:ascii="Arial" w:eastAsia="Calibri" w:hAnsi="Arial" w:cs="Arial"/>
          <w:sz w:val="22"/>
          <w:szCs w:val="22"/>
        </w:rPr>
      </w:pPr>
    </w:p>
    <w:p w14:paraId="2A6198F2" w14:textId="77777777" w:rsidR="00607022" w:rsidRPr="003A3770" w:rsidRDefault="00607022" w:rsidP="00607022">
      <w:pPr>
        <w:pStyle w:val="Body"/>
        <w:spacing w:after="0"/>
        <w:rPr>
          <w:rFonts w:ascii="Arial" w:hAnsi="Arial" w:cs="Arial"/>
          <w:color w:val="000000"/>
          <w:sz w:val="22"/>
          <w:szCs w:val="22"/>
        </w:rPr>
      </w:pPr>
      <w:r>
        <w:rPr>
          <w:rFonts w:ascii="Arial" w:eastAsia="Calibri" w:hAnsi="Arial" w:cs="Arial"/>
          <w:b/>
          <w:sz w:val="22"/>
          <w:szCs w:val="22"/>
        </w:rPr>
        <w:t>Presentation of case:</w:t>
      </w:r>
      <w:r>
        <w:rPr>
          <w:rFonts w:ascii="Arial" w:hAnsi="Arial" w:cs="Arial"/>
          <w:color w:val="000000"/>
          <w:sz w:val="22"/>
          <w:szCs w:val="22"/>
        </w:rPr>
        <w:t xml:space="preserve"> </w:t>
      </w:r>
      <w:r>
        <w:rPr>
          <w:rFonts w:ascii="Arial" w:hAnsi="Arial" w:cs="Arial"/>
          <w:sz w:val="22"/>
          <w:szCs w:val="22"/>
        </w:rPr>
        <w:t xml:space="preserve">A 40-year-old female presented to the emergency department with a widespread cutaneous eruption associated with severe pruritus. Anamnesis revealed recent initiation of an angiotensin II receptor blocker for newly diagnosed hypertension. Clinical examination demonstrated multiple urticarial plaques with polycyclic </w:t>
      </w:r>
      <w:r>
        <w:rPr>
          <w:rFonts w:ascii="Arial" w:hAnsi="Arial" w:cs="Arial"/>
          <w:sz w:val="22"/>
          <w:szCs w:val="22"/>
          <w:highlight w:val="yellow"/>
        </w:rPr>
        <w:t>borders, surmounted by numerous tense bullae, alongside widespread post-bullous erosions involving the entire body, with genital mucosal involvement.</w:t>
      </w:r>
      <w:r>
        <w:rPr>
          <w:rFonts w:ascii="Arial" w:hAnsi="Arial" w:cs="Arial"/>
          <w:sz w:val="22"/>
          <w:szCs w:val="22"/>
        </w:rPr>
        <w:t xml:space="preserve"> Skin biopsy with direct and indirect immunofluorescence was consistent with bullous pemphigoid. The antihypertensive agent was discontinued. Systemic therapy with oral prednisone was initiated and gradually tapered. The clinical outcome was </w:t>
      </w:r>
      <w:r>
        <w:rPr>
          <w:rFonts w:ascii="Arial" w:hAnsi="Arial" w:cs="Arial"/>
          <w:sz w:val="22"/>
          <w:szCs w:val="22"/>
          <w:highlight w:val="yellow"/>
        </w:rPr>
        <w:t>favourable</w:t>
      </w:r>
      <w:r>
        <w:rPr>
          <w:rFonts w:ascii="Arial" w:hAnsi="Arial" w:cs="Arial"/>
          <w:sz w:val="22"/>
          <w:szCs w:val="22"/>
        </w:rPr>
        <w:t xml:space="preserve">, showing marked disease improvement with complete </w:t>
      </w:r>
      <w:r>
        <w:rPr>
          <w:rFonts w:ascii="Arial" w:hAnsi="Arial" w:cs="Arial"/>
          <w:sz w:val="22"/>
          <w:szCs w:val="22"/>
          <w:highlight w:val="yellow"/>
        </w:rPr>
        <w:t>re-epithelialisation</w:t>
      </w:r>
      <w:r>
        <w:rPr>
          <w:rFonts w:ascii="Arial" w:hAnsi="Arial" w:cs="Arial"/>
          <w:sz w:val="22"/>
          <w:szCs w:val="22"/>
        </w:rPr>
        <w:t xml:space="preserve"> of the lesions.</w:t>
      </w:r>
    </w:p>
    <w:p w14:paraId="7D353BE6" w14:textId="77777777" w:rsidR="00607022" w:rsidRPr="003A3770" w:rsidRDefault="00607022" w:rsidP="00607022">
      <w:pPr>
        <w:pStyle w:val="Body"/>
        <w:spacing w:after="0"/>
        <w:rPr>
          <w:rFonts w:ascii="Arial" w:eastAsia="Calibri" w:hAnsi="Arial" w:cs="Arial"/>
          <w:sz w:val="22"/>
          <w:szCs w:val="22"/>
        </w:rPr>
      </w:pPr>
    </w:p>
    <w:p w14:paraId="7E47EB66" w14:textId="77777777" w:rsidR="00607022" w:rsidRPr="003A3770" w:rsidRDefault="00607022" w:rsidP="00607022">
      <w:pPr>
        <w:pStyle w:val="Body"/>
        <w:spacing w:after="0"/>
        <w:rPr>
          <w:rFonts w:ascii="Arial" w:eastAsia="Calibri" w:hAnsi="Arial" w:cs="Arial"/>
          <w:sz w:val="22"/>
          <w:szCs w:val="22"/>
        </w:rPr>
      </w:pPr>
      <w:r>
        <w:rPr>
          <w:rFonts w:ascii="Arial" w:eastAsia="Calibri" w:hAnsi="Arial" w:cs="Arial"/>
          <w:b/>
          <w:bCs/>
          <w:sz w:val="22"/>
          <w:szCs w:val="22"/>
        </w:rPr>
        <w:t>Discussion:</w:t>
      </w:r>
      <w:r>
        <w:rPr>
          <w:rFonts w:ascii="Arial" w:hAnsi="Arial" w:cs="Arial"/>
          <w:color w:val="000000"/>
          <w:sz w:val="22"/>
          <w:szCs w:val="22"/>
        </w:rPr>
        <w:t xml:space="preserve"> </w:t>
      </w:r>
      <w:r>
        <w:rPr>
          <w:rFonts w:ascii="Arial" w:hAnsi="Arial" w:cs="Arial"/>
          <w:sz w:val="22"/>
          <w:szCs w:val="22"/>
        </w:rPr>
        <w:t xml:space="preserve">Drug-induced bullous pemphigoid is a variant triggered by a wide array of medications. It is distinguished from the idiopathic form by an earlier age of onset, </w:t>
      </w:r>
      <w:r>
        <w:rPr>
          <w:rFonts w:ascii="Arial" w:hAnsi="Arial" w:cs="Arial"/>
          <w:sz w:val="22"/>
          <w:szCs w:val="22"/>
          <w:highlight w:val="yellow"/>
        </w:rPr>
        <w:t>unusually frequent mucosal involvement</w:t>
      </w:r>
      <w:r>
        <w:rPr>
          <w:rFonts w:ascii="Arial" w:hAnsi="Arial" w:cs="Arial"/>
          <w:sz w:val="22"/>
          <w:szCs w:val="22"/>
        </w:rPr>
        <w:t xml:space="preserve">, clinical resolution following the withdrawal of the culprit drug, and marked peripheral blood hypereosinophilia. The identification and prompt discontinuation of the offending molecule are imperative, particularly in severe, life-threatening </w:t>
      </w:r>
      <w:r>
        <w:rPr>
          <w:rFonts w:ascii="Arial" w:hAnsi="Arial" w:cs="Arial"/>
          <w:sz w:val="22"/>
          <w:szCs w:val="22"/>
          <w:highlight w:val="yellow"/>
        </w:rPr>
        <w:t>presentations.</w:t>
      </w:r>
    </w:p>
    <w:p w14:paraId="281EAA35" w14:textId="77777777" w:rsidR="00607022" w:rsidRPr="003A3770" w:rsidRDefault="00607022" w:rsidP="00607022">
      <w:pPr>
        <w:pStyle w:val="my-2"/>
        <w:rPr>
          <w:rFonts w:ascii="Arial" w:hAnsi="Arial" w:cs="Arial"/>
          <w:color w:val="000000"/>
          <w:sz w:val="22"/>
          <w:szCs w:val="22"/>
        </w:rPr>
      </w:pPr>
      <w:proofErr w:type="gramStart"/>
      <w:r w:rsidRPr="003A3770">
        <w:rPr>
          <w:rFonts w:ascii="Arial" w:eastAsia="Calibri" w:hAnsi="Arial" w:cs="Arial"/>
          <w:b/>
          <w:bCs/>
          <w:sz w:val="22"/>
          <w:szCs w:val="22"/>
        </w:rPr>
        <w:t>Conclusion:</w:t>
      </w:r>
      <w:proofErr w:type="gramEnd"/>
      <w:r w:rsidRPr="003A3770">
        <w:rPr>
          <w:rFonts w:ascii="Arial" w:eastAsia="Calibri" w:hAnsi="Arial" w:cs="Arial"/>
          <w:sz w:val="22"/>
          <w:szCs w:val="22"/>
        </w:rPr>
        <w:t xml:space="preserve"> </w:t>
      </w:r>
      <w:proofErr w:type="spellStart"/>
      <w:r w:rsidR="003A3770" w:rsidRPr="003A3770">
        <w:rPr>
          <w:rFonts w:ascii="Arial" w:hAnsi="Arial" w:cs="Arial"/>
          <w:sz w:val="22"/>
          <w:szCs w:val="22"/>
        </w:rPr>
        <w:t>Bullous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pemphigoid</w:t>
      </w:r>
      <w:proofErr w:type="spellEnd"/>
      <w:r w:rsidR="003A3770" w:rsidRPr="003A3770">
        <w:rPr>
          <w:rFonts w:ascii="Arial" w:hAnsi="Arial" w:cs="Arial"/>
          <w:sz w:val="22"/>
          <w:szCs w:val="22"/>
        </w:rPr>
        <w:t xml:space="preserve"> can </w:t>
      </w:r>
      <w:proofErr w:type="spellStart"/>
      <w:r w:rsidR="003A3770" w:rsidRPr="003A3770">
        <w:rPr>
          <w:rFonts w:ascii="Arial" w:hAnsi="Arial" w:cs="Arial"/>
          <w:sz w:val="22"/>
          <w:szCs w:val="22"/>
        </w:rPr>
        <w:t>occasionally</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manifest</w:t>
      </w:r>
      <w:proofErr w:type="spellEnd"/>
      <w:r w:rsidR="003A3770" w:rsidRPr="003A3770">
        <w:rPr>
          <w:rFonts w:ascii="Arial" w:hAnsi="Arial" w:cs="Arial"/>
          <w:sz w:val="22"/>
          <w:szCs w:val="22"/>
        </w:rPr>
        <w:t xml:space="preserve"> as an adverse </w:t>
      </w:r>
      <w:proofErr w:type="spellStart"/>
      <w:r w:rsidR="003A3770" w:rsidRPr="003A3770">
        <w:rPr>
          <w:rFonts w:ascii="Arial" w:hAnsi="Arial" w:cs="Arial"/>
          <w:sz w:val="22"/>
          <w:szCs w:val="22"/>
        </w:rPr>
        <w:t>drug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reaction</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following</w:t>
      </w:r>
      <w:proofErr w:type="spellEnd"/>
      <w:r w:rsidR="003A3770" w:rsidRPr="003A3770">
        <w:rPr>
          <w:rFonts w:ascii="Arial" w:hAnsi="Arial" w:cs="Arial"/>
          <w:sz w:val="22"/>
          <w:szCs w:val="22"/>
        </w:rPr>
        <w:t xml:space="preserve"> the initiation of </w:t>
      </w:r>
      <w:proofErr w:type="spellStart"/>
      <w:r w:rsidR="003A3770" w:rsidRPr="003A3770">
        <w:rPr>
          <w:rFonts w:ascii="Arial" w:hAnsi="Arial" w:cs="Arial"/>
          <w:sz w:val="22"/>
          <w:szCs w:val="22"/>
        </w:rPr>
        <w:t>various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medications</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including</w:t>
      </w:r>
      <w:proofErr w:type="spellEnd"/>
      <w:r w:rsidR="003A3770" w:rsidRPr="003A3770">
        <w:rPr>
          <w:rFonts w:ascii="Arial" w:hAnsi="Arial" w:cs="Arial"/>
          <w:sz w:val="22"/>
          <w:szCs w:val="22"/>
        </w:rPr>
        <w:t xml:space="preserve"> antihypertensive </w:t>
      </w:r>
      <w:proofErr w:type="spellStart"/>
      <w:r w:rsidR="003A3770" w:rsidRPr="003A3770">
        <w:rPr>
          <w:rFonts w:ascii="Arial" w:hAnsi="Arial" w:cs="Arial"/>
          <w:sz w:val="22"/>
          <w:szCs w:val="22"/>
        </w:rPr>
        <w:t>therapies</w:t>
      </w:r>
      <w:proofErr w:type="spellEnd"/>
      <w:r w:rsidR="003A3770" w:rsidRPr="003A3770">
        <w:rPr>
          <w:rFonts w:ascii="Arial" w:hAnsi="Arial" w:cs="Arial"/>
          <w:sz w:val="22"/>
          <w:szCs w:val="22"/>
        </w:rPr>
        <w:t xml:space="preserve">. The identification and </w:t>
      </w:r>
      <w:proofErr w:type="spellStart"/>
      <w:r w:rsidR="003A3770" w:rsidRPr="003A3770">
        <w:rPr>
          <w:rFonts w:ascii="Arial" w:hAnsi="Arial" w:cs="Arial"/>
          <w:sz w:val="22"/>
          <w:szCs w:val="22"/>
        </w:rPr>
        <w:t>immediate</w:t>
      </w:r>
      <w:proofErr w:type="spellEnd"/>
      <w:r w:rsidR="003A3770" w:rsidRPr="003A3770">
        <w:rPr>
          <w:rFonts w:ascii="Arial" w:hAnsi="Arial" w:cs="Arial"/>
          <w:sz w:val="22"/>
          <w:szCs w:val="22"/>
        </w:rPr>
        <w:t xml:space="preserve"> discontinuation of the </w:t>
      </w:r>
      <w:proofErr w:type="spellStart"/>
      <w:r w:rsidR="003A3770" w:rsidRPr="003A3770">
        <w:rPr>
          <w:rFonts w:ascii="Arial" w:hAnsi="Arial" w:cs="Arial"/>
          <w:sz w:val="22"/>
          <w:szCs w:val="22"/>
        </w:rPr>
        <w:t>offending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drug</w:t>
      </w:r>
      <w:proofErr w:type="spellEnd"/>
      <w:r w:rsidR="003A3770" w:rsidRPr="003A3770">
        <w:rPr>
          <w:rFonts w:ascii="Arial" w:hAnsi="Arial" w:cs="Arial"/>
          <w:sz w:val="22"/>
          <w:szCs w:val="22"/>
        </w:rPr>
        <w:t xml:space="preserve"> are </w:t>
      </w:r>
      <w:proofErr w:type="spellStart"/>
      <w:r w:rsidR="003A3770" w:rsidRPr="003A3770">
        <w:rPr>
          <w:rFonts w:ascii="Arial" w:hAnsi="Arial" w:cs="Arial"/>
          <w:sz w:val="22"/>
          <w:szCs w:val="22"/>
        </w:rPr>
        <w:t>imperative</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taking</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into</w:t>
      </w:r>
      <w:proofErr w:type="spellEnd"/>
      <w:r w:rsidR="003A3770" w:rsidRPr="003A3770">
        <w:rPr>
          <w:rFonts w:ascii="Arial" w:hAnsi="Arial" w:cs="Arial"/>
          <w:sz w:val="22"/>
          <w:szCs w:val="22"/>
        </w:rPr>
        <w:t xml:space="preserve"> </w:t>
      </w:r>
      <w:proofErr w:type="spellStart"/>
      <w:r w:rsidR="003A3770" w:rsidRPr="003A3770">
        <w:rPr>
          <w:rFonts w:ascii="Arial" w:hAnsi="Arial" w:cs="Arial"/>
          <w:sz w:val="22"/>
          <w:szCs w:val="22"/>
        </w:rPr>
        <w:t>account</w:t>
      </w:r>
      <w:proofErr w:type="spellEnd"/>
      <w:r w:rsidR="003A3770" w:rsidRPr="003A3770">
        <w:rPr>
          <w:rFonts w:ascii="Arial" w:hAnsi="Arial" w:cs="Arial"/>
          <w:sz w:val="22"/>
          <w:szCs w:val="22"/>
        </w:rPr>
        <w:t xml:space="preserve"> the </w:t>
      </w:r>
      <w:proofErr w:type="spellStart"/>
      <w:r w:rsidR="003A3770" w:rsidRPr="003A3770">
        <w:rPr>
          <w:rFonts w:ascii="Arial" w:hAnsi="Arial" w:cs="Arial"/>
          <w:sz w:val="22"/>
          <w:szCs w:val="22"/>
        </w:rPr>
        <w:t>risk-benefit</w:t>
      </w:r>
      <w:proofErr w:type="spellEnd"/>
      <w:r w:rsidR="003A3770" w:rsidRPr="003A3770">
        <w:rPr>
          <w:rFonts w:ascii="Arial" w:hAnsi="Arial" w:cs="Arial"/>
          <w:sz w:val="22"/>
          <w:szCs w:val="22"/>
        </w:rPr>
        <w:t xml:space="preserve"> ratio.</w:t>
      </w:r>
    </w:p>
    <w:p w14:paraId="3B747A5D" w14:textId="77777777" w:rsidR="00607022" w:rsidRPr="009515AE" w:rsidRDefault="00607022" w:rsidP="00607022">
      <w:pPr>
        <w:pStyle w:val="Body"/>
        <w:spacing w:after="0"/>
        <w:rPr>
          <w:rFonts w:ascii="Arial" w:hAnsi="Arial" w:cs="Arial"/>
          <w:b/>
          <w:bCs/>
          <w:sz w:val="22"/>
          <w:szCs w:val="22"/>
        </w:rPr>
      </w:pPr>
    </w:p>
    <w:p w14:paraId="7E8703B8" w14:textId="77777777" w:rsidR="00607022" w:rsidRPr="009515AE" w:rsidRDefault="00607022" w:rsidP="00607022">
      <w:pPr>
        <w:pStyle w:val="Body"/>
        <w:spacing w:after="0"/>
        <w:rPr>
          <w:rFonts w:ascii="Arial" w:hAnsi="Arial" w:cs="Arial"/>
          <w:i/>
          <w:sz w:val="22"/>
          <w:szCs w:val="22"/>
        </w:rPr>
      </w:pPr>
    </w:p>
    <w:p w14:paraId="1CA6A40E" w14:textId="77777777" w:rsidR="00607022" w:rsidRPr="009515AE" w:rsidRDefault="00607022" w:rsidP="00607022">
      <w:pPr>
        <w:pStyle w:val="Body"/>
        <w:spacing w:after="0"/>
        <w:rPr>
          <w:rFonts w:ascii="Arial" w:hAnsi="Arial" w:cs="Arial"/>
          <w:i/>
          <w:sz w:val="22"/>
          <w:szCs w:val="22"/>
        </w:rPr>
      </w:pPr>
      <w:r w:rsidRPr="009515AE">
        <w:rPr>
          <w:rFonts w:ascii="Arial" w:hAnsi="Arial" w:cs="Arial"/>
          <w:b/>
          <w:bCs/>
          <w:i/>
          <w:sz w:val="22"/>
          <w:szCs w:val="22"/>
        </w:rPr>
        <w:t>Keywords:</w:t>
      </w:r>
      <w:r w:rsidRPr="009515AE">
        <w:rPr>
          <w:rFonts w:ascii="Arial" w:hAnsi="Arial" w:cs="Arial"/>
          <w:i/>
          <w:sz w:val="22"/>
          <w:szCs w:val="22"/>
        </w:rPr>
        <w:t xml:space="preserve"> </w:t>
      </w:r>
      <w:r w:rsidR="003A3770">
        <w:rPr>
          <w:rFonts w:ascii="Arial" w:hAnsi="Arial" w:cs="Arial"/>
          <w:sz w:val="22"/>
          <w:szCs w:val="22"/>
          <w:lang w:eastAsia="fr-FR"/>
        </w:rPr>
        <w:t xml:space="preserve">Bullous Pemphigoid, Valsartan, Drug-induced, </w:t>
      </w:r>
      <w:proofErr w:type="spellStart"/>
      <w:r w:rsidR="003A3770">
        <w:rPr>
          <w:rFonts w:ascii="Arial" w:hAnsi="Arial" w:cs="Arial"/>
          <w:sz w:val="22"/>
          <w:szCs w:val="22"/>
          <w:lang w:eastAsia="fr-FR"/>
        </w:rPr>
        <w:t>Hypereosinophilia</w:t>
      </w:r>
      <w:proofErr w:type="spellEnd"/>
      <w:r w:rsidR="003A3770">
        <w:rPr>
          <w:rFonts w:ascii="Arial" w:hAnsi="Arial" w:cs="Arial"/>
          <w:sz w:val="22"/>
          <w:szCs w:val="22"/>
          <w:lang w:eastAsia="fr-FR"/>
        </w:rPr>
        <w:t>, Adverse Drug Reaction</w:t>
      </w:r>
    </w:p>
    <w:p w14:paraId="3FF06A74" w14:textId="77777777" w:rsidR="00607022" w:rsidRPr="009515AE" w:rsidRDefault="00607022" w:rsidP="00607022">
      <w:pPr>
        <w:pStyle w:val="Body"/>
        <w:spacing w:after="0"/>
        <w:rPr>
          <w:rFonts w:ascii="Arial" w:hAnsi="Arial" w:cs="Arial"/>
          <w:i/>
          <w:sz w:val="22"/>
          <w:szCs w:val="22"/>
        </w:rPr>
      </w:pPr>
    </w:p>
    <w:p w14:paraId="0530B4EB" w14:textId="77777777" w:rsidR="00607022" w:rsidRPr="009515AE" w:rsidRDefault="00607022" w:rsidP="00607022">
      <w:pPr>
        <w:pStyle w:val="Body"/>
        <w:spacing w:after="0"/>
        <w:rPr>
          <w:rFonts w:ascii="Arial" w:hAnsi="Arial" w:cs="Arial"/>
          <w:b/>
          <w:i/>
          <w:sz w:val="22"/>
          <w:szCs w:val="22"/>
        </w:rPr>
      </w:pPr>
    </w:p>
    <w:p w14:paraId="38994781" w14:textId="77777777" w:rsidR="00607022" w:rsidRPr="009515AE" w:rsidRDefault="00607022" w:rsidP="00607022">
      <w:pPr>
        <w:pStyle w:val="Body"/>
        <w:spacing w:after="0"/>
        <w:rPr>
          <w:rFonts w:ascii="Arial" w:hAnsi="Arial" w:cs="Arial"/>
          <w:b/>
          <w:i/>
          <w:sz w:val="22"/>
          <w:szCs w:val="22"/>
        </w:rPr>
      </w:pPr>
    </w:p>
    <w:p w14:paraId="6B58F92D" w14:textId="77777777" w:rsidR="00607022" w:rsidRPr="009515AE" w:rsidRDefault="00607022" w:rsidP="00607022">
      <w:pPr>
        <w:pStyle w:val="Body"/>
        <w:spacing w:after="0"/>
        <w:rPr>
          <w:rFonts w:ascii="Arial" w:hAnsi="Arial" w:cs="Arial"/>
          <w:b/>
          <w:i/>
          <w:sz w:val="22"/>
          <w:szCs w:val="22"/>
        </w:rPr>
      </w:pPr>
    </w:p>
    <w:p w14:paraId="4F5C20F8" w14:textId="77777777" w:rsidR="00607022" w:rsidRPr="009515AE" w:rsidRDefault="00607022" w:rsidP="00607022">
      <w:pPr>
        <w:pStyle w:val="Body"/>
        <w:spacing w:after="0"/>
        <w:rPr>
          <w:rFonts w:ascii="Arial" w:hAnsi="Arial" w:cs="Arial"/>
          <w:i/>
          <w:sz w:val="22"/>
          <w:szCs w:val="22"/>
        </w:rPr>
      </w:pPr>
    </w:p>
    <w:p w14:paraId="1C699A0B" w14:textId="77777777" w:rsidR="00607022" w:rsidRPr="009515AE" w:rsidRDefault="00607022" w:rsidP="00607022">
      <w:pPr>
        <w:pStyle w:val="Body"/>
        <w:spacing w:after="0"/>
        <w:rPr>
          <w:rFonts w:ascii="Arial" w:hAnsi="Arial" w:cs="Arial"/>
          <w:i/>
          <w:sz w:val="22"/>
          <w:szCs w:val="22"/>
        </w:rPr>
      </w:pPr>
    </w:p>
    <w:p w14:paraId="1A476A92" w14:textId="77777777" w:rsidR="00607022" w:rsidRPr="008623A6" w:rsidRDefault="00607022" w:rsidP="00607022">
      <w:pPr>
        <w:pStyle w:val="AbstHead"/>
        <w:spacing w:after="0"/>
        <w:jc w:val="both"/>
        <w:rPr>
          <w:rFonts w:ascii="Arial" w:hAnsi="Arial" w:cs="Arial"/>
          <w:szCs w:val="22"/>
        </w:rPr>
      </w:pPr>
      <w:r w:rsidRPr="008623A6">
        <w:rPr>
          <w:rFonts w:ascii="Arial" w:hAnsi="Arial" w:cs="Arial"/>
          <w:szCs w:val="22"/>
        </w:rPr>
        <w:lastRenderedPageBreak/>
        <w:t xml:space="preserve">1. INTRODUCTION </w:t>
      </w:r>
    </w:p>
    <w:p w14:paraId="40D01CF5" w14:textId="77777777" w:rsidR="00607022" w:rsidRPr="008623A6" w:rsidRDefault="00A06250" w:rsidP="00607022">
      <w:pPr>
        <w:spacing w:before="100" w:beforeAutospacing="1" w:after="100" w:afterAutospacing="1"/>
        <w:rPr>
          <w:rFonts w:ascii="Arial" w:hAnsi="Arial" w:cs="Arial"/>
          <w:sz w:val="22"/>
          <w:szCs w:val="22"/>
          <w:lang w:eastAsia="fr-FR"/>
        </w:rPr>
      </w:pPr>
      <w:r>
        <w:rPr>
          <w:rFonts w:ascii="Arial" w:hAnsi="Arial" w:cs="Arial"/>
          <w:sz w:val="22"/>
          <w:szCs w:val="22"/>
        </w:rPr>
        <w:t xml:space="preserve">Bullous pemphigoid (BP) is the most common autoimmune blistering dermatosis in the elderly, predominantly affecting individuals over 60 years of age with a peak incidence around 70 years. However, cases can also occur in younger individuals, children, or secondary to the administration of certain medications </w:t>
      </w:r>
      <w:r>
        <w:rPr>
          <w:rFonts w:ascii="Arial" w:hAnsi="Arial" w:cs="Arial"/>
          <w:sz w:val="22"/>
          <w:szCs w:val="22"/>
          <w:highlight w:val="yellow"/>
        </w:rPr>
        <w:t>(Yulianggoro &amp; Astari, 2024)</w:t>
      </w:r>
      <w:r>
        <w:rPr>
          <w:rFonts w:ascii="Arial" w:hAnsi="Arial" w:cs="Arial"/>
          <w:sz w:val="22"/>
          <w:szCs w:val="22"/>
        </w:rPr>
        <w:t xml:space="preserve">. BP is driven by the production of autoantibodies targeting structural antigens of the dermo-epidermal junction, mainly BP180 and BP230, which are essential components of hemidesmosomes ensuring dermo-epidermal cohesion </w:t>
      </w:r>
      <w:r>
        <w:rPr>
          <w:rFonts w:ascii="Arial" w:hAnsi="Arial" w:cs="Arial"/>
          <w:sz w:val="22"/>
          <w:szCs w:val="22"/>
          <w:highlight w:val="yellow"/>
        </w:rPr>
        <w:t>(Kridin &amp; Ludwig, 2018)</w:t>
      </w:r>
      <w:r>
        <w:rPr>
          <w:rFonts w:ascii="Arial" w:hAnsi="Arial" w:cs="Arial"/>
          <w:sz w:val="22"/>
          <w:szCs w:val="22"/>
        </w:rPr>
        <w:t xml:space="preserve">. The pathophysiology of BP involves </w:t>
      </w:r>
      <w:r>
        <w:rPr>
          <w:rFonts w:ascii="Arial" w:hAnsi="Arial" w:cs="Arial"/>
          <w:sz w:val="22"/>
          <w:szCs w:val="22"/>
          <w:highlight w:val="yellow"/>
        </w:rPr>
        <w:t>an interplay</w:t>
      </w:r>
      <w:r>
        <w:rPr>
          <w:rFonts w:ascii="Arial" w:hAnsi="Arial" w:cs="Arial"/>
          <w:sz w:val="22"/>
          <w:szCs w:val="22"/>
        </w:rPr>
        <w:t xml:space="preserve"> of genetic and immunological factors, age-related cutaneous changes, and specific environmental triggers, notably drugs. Drug-induced bullous pemphigoid develops following the oral or, more rarely, topical administration of various specific agents, with a broad range of implicated molecules reported to date </w:t>
      </w:r>
      <w:r>
        <w:rPr>
          <w:rFonts w:ascii="Arial" w:hAnsi="Arial" w:cs="Arial"/>
          <w:sz w:val="22"/>
          <w:szCs w:val="22"/>
          <w:highlight w:val="yellow"/>
        </w:rPr>
        <w:t>(Verheyden et al., 2020)</w:t>
      </w:r>
      <w:r>
        <w:rPr>
          <w:rFonts w:ascii="Arial" w:hAnsi="Arial" w:cs="Arial"/>
          <w:sz w:val="22"/>
          <w:szCs w:val="22"/>
        </w:rPr>
        <w:t xml:space="preserve">. Valsartan, an angiotensin II receptor blocker, remains an exceptionally rare causative culprit. </w:t>
      </w:r>
      <w:r w:rsidRPr="00EF06DA">
        <w:rPr>
          <w:rFonts w:ascii="Arial" w:hAnsi="Arial" w:cs="Arial"/>
          <w:bCs/>
          <w:sz w:val="22"/>
          <w:szCs w:val="22"/>
          <w:highlight w:val="yellow"/>
        </w:rPr>
        <w:t>Recent evidence continues to characterise BP as an autoimmune subepidermal blistering disease in which diagnosis integrates clinical findings, histopathology, immunofluorescence, and serological assessment (Akbarialiabad et al., 2025). A 2025 nationwide study also identified numerous medications associated with drug-associated BP, supporting continued attention to medication exposure when evaluating suspected cases (Kim et al., 2025). A prior case report similarly described BP confirmed by histopathological and immunofluorescence assessment, illustrating the value of clinicopathological and immunological correlation in diagnosis (Wanjari et al., 2021). Despite these observations, valsartan-associated BP remains sparsely documented, particularly in younger individuals, leaving limited case-based evidence describing its clinical and immunopathological presentation.</w:t>
      </w:r>
      <w:r>
        <w:rPr>
          <w:rFonts w:ascii="Arial" w:hAnsi="Arial" w:cs="Arial"/>
          <w:b/>
          <w:sz w:val="22"/>
          <w:szCs w:val="22"/>
          <w:highlight w:val="yellow"/>
        </w:rPr>
        <w:t xml:space="preserve"> </w:t>
      </w:r>
      <w:r>
        <w:rPr>
          <w:rFonts w:ascii="Arial" w:hAnsi="Arial" w:cs="Arial"/>
          <w:sz w:val="22"/>
          <w:szCs w:val="22"/>
        </w:rPr>
        <w:t xml:space="preserve">Herein, we report a case of bullous pemphigoid in a young female patient </w:t>
      </w:r>
      <w:r>
        <w:rPr>
          <w:rFonts w:ascii="Arial" w:hAnsi="Arial" w:cs="Arial"/>
          <w:sz w:val="22"/>
          <w:szCs w:val="22"/>
          <w:highlight w:val="yellow"/>
        </w:rPr>
        <w:t>triggered by valsartan initiation.</w:t>
      </w:r>
    </w:p>
    <w:p w14:paraId="0AF3CC82" w14:textId="77777777" w:rsidR="00607022" w:rsidRPr="008623A6" w:rsidRDefault="00607022" w:rsidP="00607022">
      <w:pPr>
        <w:pStyle w:val="AbstHead"/>
        <w:spacing w:after="0"/>
        <w:jc w:val="both"/>
        <w:rPr>
          <w:rFonts w:ascii="Arial" w:hAnsi="Arial" w:cs="Arial"/>
          <w:szCs w:val="22"/>
        </w:rPr>
      </w:pPr>
      <w:r w:rsidRPr="008623A6">
        <w:rPr>
          <w:rFonts w:ascii="Arial" w:hAnsi="Arial" w:cs="Arial"/>
          <w:szCs w:val="22"/>
        </w:rPr>
        <w:t>2. presentation of case</w:t>
      </w:r>
    </w:p>
    <w:p w14:paraId="45F9411D" w14:textId="77777777" w:rsidR="00A06250" w:rsidRPr="008623A6" w:rsidRDefault="00A06250" w:rsidP="00A06250">
      <w:pPr>
        <w:pStyle w:val="NormalWeb"/>
        <w:rPr>
          <w:rFonts w:ascii="Arial" w:hAnsi="Arial" w:cs="Arial"/>
          <w:sz w:val="22"/>
          <w:szCs w:val="22"/>
        </w:rPr>
      </w:pPr>
      <w:bookmarkStart w:id="0" w:name="_Hlk229679477"/>
      <w:r>
        <w:rPr>
          <w:rFonts w:ascii="Arial" w:hAnsi="Arial" w:cs="Arial"/>
          <w:sz w:val="22"/>
          <w:szCs w:val="22"/>
        </w:rPr>
        <w:t xml:space="preserve">A 40-year-old female with no relevant medical history presented to the emergency department with a </w:t>
      </w:r>
      <w:r>
        <w:rPr>
          <w:rFonts w:ascii="Arial" w:hAnsi="Arial" w:cs="Arial"/>
          <w:sz w:val="22"/>
          <w:szCs w:val="22"/>
          <w:highlight w:val="yellow"/>
        </w:rPr>
        <w:t>generalised</w:t>
      </w:r>
      <w:r>
        <w:rPr>
          <w:rFonts w:ascii="Arial" w:hAnsi="Arial" w:cs="Arial"/>
          <w:sz w:val="22"/>
          <w:szCs w:val="22"/>
        </w:rPr>
        <w:t xml:space="preserve">, pruritic cutaneous eruption that had been evolving for 20 days. Anamnesis revealed the initiation of valsartan one month earlier for newly diagnosed hypertension. Ten days following valsartan introduction, the clinical course was marked by the onset of severe pruritus, rapidly followed by a </w:t>
      </w:r>
      <w:r>
        <w:rPr>
          <w:rFonts w:ascii="Arial" w:hAnsi="Arial" w:cs="Arial"/>
          <w:sz w:val="22"/>
          <w:szCs w:val="22"/>
          <w:highlight w:val="yellow"/>
        </w:rPr>
        <w:t>generalised</w:t>
      </w:r>
      <w:r>
        <w:rPr>
          <w:rFonts w:ascii="Arial" w:hAnsi="Arial" w:cs="Arial"/>
          <w:sz w:val="22"/>
          <w:szCs w:val="22"/>
        </w:rPr>
        <w:t xml:space="preserve"> bullous eruption.</w:t>
      </w:r>
    </w:p>
    <w:p w14:paraId="0643BD9F"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On physical examination, the patient was febrile. Dermatological assessment revealed extensive erythematous and urticarial plaques with circinate and polycyclic borders, surmounted by multiple tense bullae with clear to turbid fluid, along with post-bullous erosions. Lesions were diffusely distributed over the trunk, back, abdomen, upper and lower extremities, flexural folds </w:t>
      </w:r>
      <w:r>
        <w:rPr>
          <w:rFonts w:ascii="Arial" w:hAnsi="Arial" w:cs="Arial"/>
          <w:sz w:val="22"/>
          <w:szCs w:val="22"/>
          <w:highlight w:val="yellow"/>
        </w:rPr>
        <w:t>(Figures 1 and 3)</w:t>
      </w:r>
      <w:r>
        <w:rPr>
          <w:rFonts w:ascii="Arial" w:hAnsi="Arial" w:cs="Arial"/>
          <w:sz w:val="22"/>
          <w:szCs w:val="22"/>
        </w:rPr>
        <w:t xml:space="preserve">, face, and </w:t>
      </w:r>
      <w:r>
        <w:rPr>
          <w:rFonts w:ascii="Arial" w:hAnsi="Arial" w:cs="Arial"/>
          <w:sz w:val="22"/>
          <w:szCs w:val="22"/>
          <w:highlight w:val="yellow"/>
        </w:rPr>
        <w:t>palmoplantar</w:t>
      </w:r>
      <w:r>
        <w:rPr>
          <w:rFonts w:ascii="Arial" w:hAnsi="Arial" w:cs="Arial"/>
          <w:sz w:val="22"/>
          <w:szCs w:val="22"/>
        </w:rPr>
        <w:t xml:space="preserve"> surfaces. Mucosal examination revealed a tense bulla with post-bullous erosions on the genital mucosa, with sparing of the oral cavity. Signs of </w:t>
      </w:r>
      <w:r>
        <w:rPr>
          <w:rFonts w:ascii="Arial" w:hAnsi="Arial" w:cs="Arial"/>
          <w:sz w:val="22"/>
          <w:szCs w:val="22"/>
          <w:highlight w:val="yellow"/>
        </w:rPr>
        <w:t>impetiginisation</w:t>
      </w:r>
      <w:r>
        <w:rPr>
          <w:rFonts w:ascii="Arial" w:hAnsi="Arial" w:cs="Arial"/>
          <w:sz w:val="22"/>
          <w:szCs w:val="22"/>
        </w:rPr>
        <w:t xml:space="preserve"> were noted on certain lesions, particularly on the dorsum of the hands </w:t>
      </w:r>
      <w:r>
        <w:rPr>
          <w:rFonts w:ascii="Arial" w:hAnsi="Arial" w:cs="Arial"/>
          <w:sz w:val="22"/>
          <w:szCs w:val="22"/>
          <w:highlight w:val="yellow"/>
        </w:rPr>
        <w:t>(Figure 2)</w:t>
      </w:r>
      <w:r>
        <w:rPr>
          <w:rFonts w:ascii="Arial" w:hAnsi="Arial" w:cs="Arial"/>
          <w:sz w:val="22"/>
          <w:szCs w:val="22"/>
        </w:rPr>
        <w:t>. Nikolsky's sign was negative. Total body surface area involvement was estimated at 65%, with a Bullous Pemphigoid Disease Area Index (BPDAI) score of 33, indicating moderate disease activity.</w:t>
      </w:r>
    </w:p>
    <w:p w14:paraId="6FCE2632" w14:textId="77777777" w:rsidR="00A86FF1" w:rsidRPr="008623A6" w:rsidRDefault="00A86FF1" w:rsidP="00A86FF1">
      <w:pPr>
        <w:spacing w:before="100" w:beforeAutospacing="1" w:after="100" w:afterAutospacing="1"/>
        <w:jc w:val="center"/>
        <w:rPr>
          <w:rFonts w:ascii="Arial" w:hAnsi="Arial" w:cs="Arial"/>
          <w:noProof/>
          <w:sz w:val="22"/>
          <w:szCs w:val="22"/>
          <w:lang w:eastAsia="fr-FR"/>
        </w:rPr>
      </w:pPr>
      <w:r w:rsidRPr="008623A6">
        <w:rPr>
          <w:rFonts w:ascii="Arial" w:hAnsi="Arial" w:cs="Arial"/>
          <w:noProof/>
          <w:sz w:val="22"/>
          <w:szCs w:val="22"/>
          <w:lang w:eastAsia="fr-FR"/>
        </w:rPr>
        <w:drawing>
          <wp:inline distT="0" distB="0" distL="0" distR="0" wp14:anchorId="05522605" wp14:editId="42B4545F">
            <wp:extent cx="5264150" cy="2612221"/>
            <wp:effectExtent l="0" t="0" r="0" b="0"/>
            <wp:docPr id="20558394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8836" cy="2639358"/>
                    </a:xfrm>
                    <a:prstGeom prst="rect">
                      <a:avLst/>
                    </a:prstGeom>
                    <a:noFill/>
                  </pic:spPr>
                </pic:pic>
              </a:graphicData>
            </a:graphic>
          </wp:inline>
        </w:drawing>
      </w:r>
    </w:p>
    <w:p w14:paraId="529C3729"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b/>
          <w:bCs/>
          <w:sz w:val="22"/>
          <w:szCs w:val="22"/>
          <w:lang w:eastAsia="fr-FR"/>
        </w:rPr>
        <w:lastRenderedPageBreak/>
        <w:t>Figure 1.</w:t>
      </w:r>
      <w:r w:rsidRPr="008623A6">
        <w:rPr>
          <w:rFonts w:ascii="Arial" w:hAnsi="Arial" w:cs="Arial"/>
          <w:sz w:val="22"/>
          <w:szCs w:val="22"/>
          <w:lang w:eastAsia="fr-FR"/>
        </w:rPr>
        <w:t xml:space="preserve"> </w:t>
      </w:r>
      <w:r w:rsidRPr="008623A6">
        <w:rPr>
          <w:rFonts w:ascii="Arial" w:hAnsi="Arial" w:cs="Arial"/>
          <w:sz w:val="22"/>
          <w:szCs w:val="22"/>
        </w:rPr>
        <w:t>Clinical image showing multiple erythematous and urticarial plaques with polycyclic borders, surmounted by bullae and post-bullous erosions located on the trunk (A) and lower extremities (B).</w:t>
      </w:r>
    </w:p>
    <w:p w14:paraId="4DFD086B"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noProof/>
          <w:sz w:val="22"/>
          <w:szCs w:val="22"/>
          <w:lang w:eastAsia="fr-FR"/>
        </w:rPr>
        <w:drawing>
          <wp:inline distT="0" distB="0" distL="0" distR="0" wp14:anchorId="1947A6B1" wp14:editId="6CD29064">
            <wp:extent cx="4044950" cy="2614295"/>
            <wp:effectExtent l="0" t="0" r="0" b="0"/>
            <wp:docPr id="19370574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17460" r="9921" b="3579"/>
                    <a:stretch>
                      <a:fillRect/>
                    </a:stretch>
                  </pic:blipFill>
                  <pic:spPr bwMode="auto">
                    <a:xfrm>
                      <a:off x="0" y="0"/>
                      <a:ext cx="4052981" cy="2619486"/>
                    </a:xfrm>
                    <a:prstGeom prst="rect">
                      <a:avLst/>
                    </a:prstGeom>
                    <a:noFill/>
                    <a:ln>
                      <a:noFill/>
                    </a:ln>
                    <a:extLst>
                      <a:ext uri="{53640926-AAD7-44D8-BBD7-CCE9431645EC}">
                        <a14:shadowObscured xmlns:a14="http://schemas.microsoft.com/office/drawing/2010/main"/>
                      </a:ext>
                    </a:extLst>
                  </pic:spPr>
                </pic:pic>
              </a:graphicData>
            </a:graphic>
          </wp:inline>
        </w:drawing>
      </w:r>
    </w:p>
    <w:p w14:paraId="7F38D99E"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b/>
          <w:bCs/>
          <w:sz w:val="22"/>
          <w:szCs w:val="22"/>
          <w:lang w:eastAsia="fr-FR"/>
        </w:rPr>
        <w:t>Figure 2.</w:t>
      </w:r>
      <w:r w:rsidRPr="008623A6">
        <w:rPr>
          <w:rFonts w:ascii="Arial" w:hAnsi="Arial" w:cs="Arial"/>
          <w:sz w:val="22"/>
          <w:szCs w:val="22"/>
          <w:lang w:eastAsia="fr-FR"/>
        </w:rPr>
        <w:t xml:space="preserve"> </w:t>
      </w:r>
      <w:r w:rsidRPr="008623A6">
        <w:rPr>
          <w:rFonts w:ascii="Arial" w:hAnsi="Arial" w:cs="Arial"/>
          <w:sz w:val="22"/>
          <w:szCs w:val="22"/>
        </w:rPr>
        <w:t>Clinical image showing impetiginized lesions on the dorsum of the hands.</w:t>
      </w:r>
    </w:p>
    <w:p w14:paraId="4301800E" w14:textId="77777777" w:rsidR="00A86FF1" w:rsidRPr="008623A6" w:rsidRDefault="00A86FF1" w:rsidP="00A86FF1">
      <w:pPr>
        <w:spacing w:before="100" w:beforeAutospacing="1" w:after="100" w:afterAutospacing="1"/>
        <w:jc w:val="center"/>
        <w:rPr>
          <w:rFonts w:ascii="Arial" w:hAnsi="Arial" w:cs="Arial"/>
          <w:sz w:val="22"/>
          <w:szCs w:val="22"/>
          <w:lang w:eastAsia="fr-FR"/>
        </w:rPr>
      </w:pPr>
      <w:r w:rsidRPr="008623A6">
        <w:rPr>
          <w:rFonts w:ascii="Arial" w:hAnsi="Arial" w:cs="Arial"/>
          <w:noProof/>
          <w:sz w:val="22"/>
          <w:szCs w:val="22"/>
          <w:lang w:eastAsia="fr-FR"/>
        </w:rPr>
        <w:drawing>
          <wp:inline distT="0" distB="0" distL="0" distR="0" wp14:anchorId="64FA4017" wp14:editId="6974D8F6">
            <wp:extent cx="5250405" cy="2946400"/>
            <wp:effectExtent l="0" t="0" r="7620" b="6350"/>
            <wp:docPr id="67302776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83559" cy="2965005"/>
                    </a:xfrm>
                    <a:prstGeom prst="rect">
                      <a:avLst/>
                    </a:prstGeom>
                    <a:noFill/>
                  </pic:spPr>
                </pic:pic>
              </a:graphicData>
            </a:graphic>
          </wp:inline>
        </w:drawing>
      </w:r>
    </w:p>
    <w:p w14:paraId="2B9A6417" w14:textId="77777777" w:rsidR="00A86FF1" w:rsidRPr="008623A6" w:rsidRDefault="00A86FF1" w:rsidP="00A86FF1">
      <w:pPr>
        <w:spacing w:before="100" w:beforeAutospacing="1" w:after="100" w:afterAutospacing="1"/>
        <w:jc w:val="center"/>
        <w:rPr>
          <w:rFonts w:ascii="Arial" w:hAnsi="Arial" w:cs="Arial"/>
          <w:noProof/>
          <w:sz w:val="22"/>
          <w:szCs w:val="22"/>
          <w:lang w:eastAsia="fr-FR"/>
        </w:rPr>
      </w:pPr>
      <w:r w:rsidRPr="008623A6">
        <w:rPr>
          <w:rFonts w:ascii="Arial" w:hAnsi="Arial" w:cs="Arial"/>
          <w:b/>
          <w:bCs/>
          <w:sz w:val="22"/>
          <w:szCs w:val="22"/>
          <w:lang w:eastAsia="fr-FR"/>
        </w:rPr>
        <w:t>Figure 3.</w:t>
      </w:r>
      <w:r w:rsidRPr="008623A6">
        <w:rPr>
          <w:rFonts w:ascii="Arial" w:hAnsi="Arial" w:cs="Arial"/>
          <w:sz w:val="22"/>
          <w:szCs w:val="22"/>
          <w:lang w:eastAsia="fr-FR"/>
        </w:rPr>
        <w:t xml:space="preserve"> </w:t>
      </w:r>
      <w:r w:rsidRPr="008623A6">
        <w:rPr>
          <w:rFonts w:ascii="Arial" w:hAnsi="Arial" w:cs="Arial"/>
          <w:sz w:val="22"/>
          <w:szCs w:val="22"/>
        </w:rPr>
        <w:t>Clinical image showing multiple tense bullae with clear fluid in the axillary and inguinal folds, along with post-bullous erosions</w:t>
      </w:r>
    </w:p>
    <w:p w14:paraId="5CFE9960" w14:textId="77777777" w:rsidR="00A86FF1" w:rsidRPr="008623A6" w:rsidRDefault="00A86FF1" w:rsidP="00A06250">
      <w:pPr>
        <w:pStyle w:val="NormalWeb"/>
        <w:rPr>
          <w:rFonts w:ascii="Arial" w:hAnsi="Arial" w:cs="Arial"/>
          <w:sz w:val="22"/>
          <w:szCs w:val="22"/>
        </w:rPr>
      </w:pPr>
    </w:p>
    <w:p w14:paraId="2E4EDB9B"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Laboratory evaluation demonstrated marked peripheral blood hypereosinophilia at 7,100/mm³, with otherwise normal biological parameters. Histopathological examination of a skin biopsy showed subepidermal blistering accompanied by a polymorphous dermo-epidermal inflammatory infiltrate rich in lymphocytes and eosinophils. Direct immunofluorescence (DIF) on salt-split skin demonstrated fine linear IgG deposition along the dermo-epidermal junction, strictly </w:t>
      </w:r>
      <w:r>
        <w:rPr>
          <w:rFonts w:ascii="Arial" w:hAnsi="Arial" w:cs="Arial"/>
          <w:sz w:val="22"/>
          <w:szCs w:val="22"/>
          <w:highlight w:val="yellow"/>
        </w:rPr>
        <w:t>localised</w:t>
      </w:r>
      <w:r>
        <w:rPr>
          <w:rFonts w:ascii="Arial" w:hAnsi="Arial" w:cs="Arial"/>
          <w:sz w:val="22"/>
          <w:szCs w:val="22"/>
        </w:rPr>
        <w:t xml:space="preserve"> to the epidermal roof. Indirect immunofluorescence (IIF) was positive for anti-basement membrane zone antibodies at a </w:t>
      </w:r>
      <w:r>
        <w:rPr>
          <w:rFonts w:ascii="Arial" w:hAnsi="Arial" w:cs="Arial"/>
          <w:sz w:val="22"/>
          <w:szCs w:val="22"/>
          <w:highlight w:val="yellow"/>
        </w:rPr>
        <w:t>titre</w:t>
      </w:r>
      <w:r>
        <w:rPr>
          <w:rFonts w:ascii="Arial" w:hAnsi="Arial" w:cs="Arial"/>
          <w:sz w:val="22"/>
          <w:szCs w:val="22"/>
        </w:rPr>
        <w:t xml:space="preserve"> of 1:1280.</w:t>
      </w:r>
    </w:p>
    <w:p w14:paraId="224B9A15" w14:textId="77777777" w:rsidR="00A266D6" w:rsidRPr="008623A6" w:rsidRDefault="00A06250" w:rsidP="00A86FF1">
      <w:pPr>
        <w:pStyle w:val="NormalWeb"/>
        <w:rPr>
          <w:rFonts w:ascii="Arial" w:hAnsi="Arial" w:cs="Arial"/>
          <w:sz w:val="22"/>
          <w:szCs w:val="22"/>
        </w:rPr>
      </w:pPr>
      <w:r>
        <w:rPr>
          <w:rFonts w:ascii="Arial" w:hAnsi="Arial" w:cs="Arial"/>
          <w:sz w:val="22"/>
          <w:szCs w:val="22"/>
        </w:rPr>
        <w:lastRenderedPageBreak/>
        <w:t xml:space="preserve">Based on historical, clinical, histopathological, and immunopathological findings, a diagnosis of valsartan-induced bullous pemphigoid was established. Valsartan was immediately discontinued and replaced with a calcium channel blocker for blood pressure control. Systemic therapy with oral prednisone (1 mg/kg/day) was initiated in combination with doxycycline (200 mg/day). The clinical course was </w:t>
      </w:r>
      <w:r>
        <w:rPr>
          <w:rFonts w:ascii="Arial" w:hAnsi="Arial" w:cs="Arial"/>
          <w:sz w:val="22"/>
          <w:szCs w:val="22"/>
          <w:highlight w:val="yellow"/>
        </w:rPr>
        <w:t>favourable</w:t>
      </w:r>
      <w:r>
        <w:rPr>
          <w:rFonts w:ascii="Arial" w:hAnsi="Arial" w:cs="Arial"/>
          <w:sz w:val="22"/>
          <w:szCs w:val="22"/>
        </w:rPr>
        <w:t xml:space="preserve">, </w:t>
      </w:r>
      <w:r>
        <w:rPr>
          <w:rFonts w:ascii="Arial" w:hAnsi="Arial" w:cs="Arial"/>
          <w:sz w:val="22"/>
          <w:szCs w:val="22"/>
          <w:highlight w:val="yellow"/>
        </w:rPr>
        <w:t>characterised</w:t>
      </w:r>
      <w:r>
        <w:rPr>
          <w:rFonts w:ascii="Arial" w:hAnsi="Arial" w:cs="Arial"/>
          <w:sz w:val="22"/>
          <w:szCs w:val="22"/>
        </w:rPr>
        <w:t xml:space="preserve"> by the cessation of new lesion formation and progressive </w:t>
      </w:r>
      <w:r>
        <w:rPr>
          <w:rFonts w:ascii="Arial" w:hAnsi="Arial" w:cs="Arial"/>
          <w:sz w:val="22"/>
          <w:szCs w:val="22"/>
          <w:highlight w:val="yellow"/>
        </w:rPr>
        <w:t>re-epithelialisation</w:t>
      </w:r>
      <w:r>
        <w:rPr>
          <w:rFonts w:ascii="Arial" w:hAnsi="Arial" w:cs="Arial"/>
          <w:sz w:val="22"/>
          <w:szCs w:val="22"/>
        </w:rPr>
        <w:t xml:space="preserve"> of </w:t>
      </w:r>
      <w:r>
        <w:rPr>
          <w:rFonts w:ascii="Arial" w:hAnsi="Arial" w:cs="Arial"/>
          <w:sz w:val="22"/>
          <w:szCs w:val="22"/>
          <w:highlight w:val="yellow"/>
        </w:rPr>
        <w:t>erosions.</w:t>
      </w:r>
    </w:p>
    <w:bookmarkEnd w:id="0"/>
    <w:p w14:paraId="4962EA20" w14:textId="77777777" w:rsidR="00C07612" w:rsidRPr="008623A6" w:rsidRDefault="00C07612" w:rsidP="00607022">
      <w:pPr>
        <w:pStyle w:val="Body"/>
        <w:spacing w:after="0"/>
        <w:rPr>
          <w:rFonts w:ascii="Arial" w:hAnsi="Arial" w:cs="Arial"/>
          <w:sz w:val="22"/>
          <w:szCs w:val="22"/>
        </w:rPr>
      </w:pPr>
    </w:p>
    <w:p w14:paraId="72BCA6F0" w14:textId="77777777" w:rsidR="00607022" w:rsidRPr="008623A6" w:rsidRDefault="00607022" w:rsidP="00607022">
      <w:pPr>
        <w:pStyle w:val="Head1"/>
        <w:spacing w:after="0"/>
        <w:jc w:val="both"/>
        <w:rPr>
          <w:rFonts w:ascii="Arial" w:hAnsi="Arial" w:cs="Arial"/>
          <w:szCs w:val="22"/>
        </w:rPr>
      </w:pPr>
      <w:r w:rsidRPr="008623A6">
        <w:rPr>
          <w:rFonts w:ascii="Arial" w:hAnsi="Arial" w:cs="Arial"/>
          <w:szCs w:val="22"/>
        </w:rPr>
        <w:t>3. discussion</w:t>
      </w:r>
    </w:p>
    <w:p w14:paraId="4A5D32CF" w14:textId="77777777" w:rsidR="00C07612" w:rsidRPr="008623A6" w:rsidRDefault="00C07612" w:rsidP="00607022">
      <w:pPr>
        <w:pStyle w:val="Head1"/>
        <w:spacing w:after="0"/>
        <w:jc w:val="both"/>
        <w:rPr>
          <w:rFonts w:ascii="Arial" w:hAnsi="Arial" w:cs="Arial"/>
          <w:szCs w:val="22"/>
        </w:rPr>
      </w:pPr>
    </w:p>
    <w:p w14:paraId="7472FF25" w14:textId="77777777" w:rsidR="00A06250" w:rsidRPr="008623A6" w:rsidRDefault="00A06250" w:rsidP="00A06250">
      <w:pPr>
        <w:pStyle w:val="NormalWeb"/>
        <w:rPr>
          <w:rFonts w:ascii="Arial" w:hAnsi="Arial" w:cs="Arial"/>
          <w:sz w:val="22"/>
          <w:szCs w:val="22"/>
        </w:rPr>
      </w:pPr>
      <w:bookmarkStart w:id="1" w:name="_Hlk240542076"/>
      <w:r>
        <w:rPr>
          <w:rFonts w:ascii="Arial" w:hAnsi="Arial" w:cs="Arial"/>
          <w:sz w:val="22"/>
          <w:szCs w:val="22"/>
        </w:rPr>
        <w:t xml:space="preserve">Antihypertensive medications are among the most frequently prescribed drugs worldwide and are associated with adverse effects involving various organ systems in 10% to 60% of cases. Although diverse cutaneous adverse reactions have been reported with antihypertensive agents, drug-induced bullous pemphigoid (DIBP) remains a rare phenomenon </w:t>
      </w:r>
      <w:r>
        <w:rPr>
          <w:rFonts w:ascii="Arial" w:hAnsi="Arial" w:cs="Arial"/>
          <w:sz w:val="22"/>
          <w:szCs w:val="22"/>
          <w:highlight w:val="yellow"/>
        </w:rPr>
        <w:t>(Araqi Houssaini et al., 2019)</w:t>
      </w:r>
      <w:r>
        <w:rPr>
          <w:rFonts w:ascii="Arial" w:hAnsi="Arial" w:cs="Arial"/>
          <w:sz w:val="22"/>
          <w:szCs w:val="22"/>
        </w:rPr>
        <w:t>. The true prevalence of DIBP is likely underestimated, primarily due to the difficulty of establishing causality, its clinical similarity to the idiopathic form, and the challenge of identifying the culprit drug in polymedicated patients. While all major antihypertensive classes have been occasionally implicated as potential triggers, cases specifically associated with valsartan remain exceptionally rare in the literature, underscoring the clinical relevance of our report.</w:t>
      </w:r>
    </w:p>
    <w:p w14:paraId="7AB3275F"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Bullous pemphigoid is </w:t>
      </w:r>
      <w:r>
        <w:rPr>
          <w:rFonts w:ascii="Arial" w:hAnsi="Arial" w:cs="Arial"/>
          <w:sz w:val="22"/>
          <w:szCs w:val="22"/>
          <w:highlight w:val="yellow"/>
        </w:rPr>
        <w:t>characterised</w:t>
      </w:r>
      <w:r>
        <w:rPr>
          <w:rFonts w:ascii="Arial" w:hAnsi="Arial" w:cs="Arial"/>
          <w:sz w:val="22"/>
          <w:szCs w:val="22"/>
        </w:rPr>
        <w:t xml:space="preserve"> by an autoimmune reaction targeting hemidesmosomal components, driven by autoantibodies against BP180 and BP230 proteins, which ultimately leads to subepidermal blister formation </w:t>
      </w:r>
      <w:r>
        <w:rPr>
          <w:rFonts w:ascii="Arial" w:hAnsi="Arial" w:cs="Arial"/>
          <w:sz w:val="22"/>
          <w:szCs w:val="22"/>
          <w:highlight w:val="yellow"/>
        </w:rPr>
        <w:t>(Stavropoulos et al., 2014)</w:t>
      </w:r>
      <w:r>
        <w:rPr>
          <w:rFonts w:ascii="Arial" w:hAnsi="Arial" w:cs="Arial"/>
          <w:sz w:val="22"/>
          <w:szCs w:val="22"/>
        </w:rPr>
        <w:t xml:space="preserve">. Classic idiopathic BP typically affects patients over 70 years of age and is rarely observed in individuals under 50 years </w:t>
      </w:r>
      <w:r>
        <w:rPr>
          <w:rFonts w:ascii="Arial" w:hAnsi="Arial" w:cs="Arial"/>
          <w:sz w:val="22"/>
          <w:szCs w:val="22"/>
          <w:highlight w:val="yellow"/>
        </w:rPr>
        <w:t>(Sadik &amp; Schmidt, 2019)</w:t>
      </w:r>
      <w:r>
        <w:rPr>
          <w:rFonts w:ascii="Arial" w:hAnsi="Arial" w:cs="Arial"/>
          <w:sz w:val="22"/>
          <w:szCs w:val="22"/>
        </w:rPr>
        <w:t>.</w:t>
      </w:r>
    </w:p>
    <w:p w14:paraId="45FA6E4F"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Drug-induced bullous pemphigoid represents a distinct variant triggered or exacerbated by specific pharmacological agents. The drugs most frequently implicated include antibiotics (penicillins, cephalosporins, sulfonamides, tetracyclines), diuretics (furosemide, hydrochlorothiazide), nonsteroidal anti-inflammatory drugs (NSAIDs), oral antidiabetics—particularly dipeptidyl peptidase-4 (DPP-4) inhibitors—neuroleptics, cardiovascular agents (beta-blockers, angiotensin-converting enzyme [ACE] inhibitors), and immunosuppressive therapies (carboplatin, methotrexate, azathioprine) </w:t>
      </w:r>
      <w:r>
        <w:rPr>
          <w:rFonts w:ascii="Arial" w:hAnsi="Arial" w:cs="Arial"/>
          <w:sz w:val="22"/>
          <w:szCs w:val="22"/>
          <w:highlight w:val="yellow"/>
        </w:rPr>
        <w:t>(Verheyden et al., 2020; Wirbel et al., 2020; Rawson et al., 2018; El Amrani &amp; Hassam, 2013).</w:t>
      </w:r>
      <w:r>
        <w:rPr>
          <w:rFonts w:ascii="Arial" w:hAnsi="Arial" w:cs="Arial"/>
          <w:sz w:val="22"/>
          <w:szCs w:val="22"/>
        </w:rPr>
        <w:t xml:space="preserve"> Although all classes of antihypertensives have been sporadically cited, valsartan-induced cases are extraordinarily rare.</w:t>
      </w:r>
    </w:p>
    <w:p w14:paraId="33669DD9"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While DIBP generally manifests with clinical features similar to idiopathic BP, certain characteristics </w:t>
      </w:r>
      <w:r>
        <w:rPr>
          <w:rFonts w:ascii="Arial" w:hAnsi="Arial" w:cs="Arial"/>
          <w:sz w:val="22"/>
          <w:szCs w:val="22"/>
          <w:highlight w:val="yellow"/>
        </w:rPr>
        <w:t>favour</w:t>
      </w:r>
      <w:r>
        <w:rPr>
          <w:rFonts w:ascii="Arial" w:hAnsi="Arial" w:cs="Arial"/>
          <w:sz w:val="22"/>
          <w:szCs w:val="22"/>
        </w:rPr>
        <w:t xml:space="preserve"> a drug-induced </w:t>
      </w:r>
      <w:r>
        <w:rPr>
          <w:rFonts w:ascii="Arial" w:hAnsi="Arial" w:cs="Arial"/>
          <w:sz w:val="22"/>
          <w:szCs w:val="22"/>
          <w:highlight w:val="yellow"/>
        </w:rPr>
        <w:t>aetiology</w:t>
      </w:r>
      <w:r>
        <w:rPr>
          <w:rFonts w:ascii="Arial" w:hAnsi="Arial" w:cs="Arial"/>
          <w:sz w:val="22"/>
          <w:szCs w:val="22"/>
        </w:rPr>
        <w:t xml:space="preserve">: an earlier age of onset, unusual mucosal involvement, prompt clinical improvement following drug withdrawal, marked peripheral blood hypereosinophilia, and occasionally keratinocyte necrosis on skin histology. All of these key features were identified in our patient. However, </w:t>
      </w:r>
      <w:r>
        <w:rPr>
          <w:rFonts w:ascii="Arial" w:hAnsi="Arial" w:cs="Arial"/>
          <w:sz w:val="22"/>
          <w:szCs w:val="22"/>
          <w:highlight w:val="yellow"/>
        </w:rPr>
        <w:t>no single clinical or histopathological criterion is pathognomonic for differentiating</w:t>
      </w:r>
      <w:r>
        <w:rPr>
          <w:rFonts w:ascii="Arial" w:hAnsi="Arial" w:cs="Arial"/>
          <w:sz w:val="22"/>
          <w:szCs w:val="22"/>
        </w:rPr>
        <w:t xml:space="preserve"> idiopathic BP from DIBP. </w:t>
      </w:r>
      <w:r>
        <w:rPr>
          <w:rFonts w:ascii="Arial" w:hAnsi="Arial" w:cs="Arial"/>
          <w:sz w:val="22"/>
          <w:szCs w:val="22"/>
          <w:highlight w:val="yellow"/>
        </w:rPr>
        <w:t>The cornerstone of diagnosis is the temporal relationship</w:t>
      </w:r>
      <w:r>
        <w:rPr>
          <w:rFonts w:ascii="Arial" w:hAnsi="Arial" w:cs="Arial"/>
          <w:sz w:val="22"/>
          <w:szCs w:val="22"/>
        </w:rPr>
        <w:t xml:space="preserve"> between drug initiation and symptom onset, followed by clinical resolution upon drug cessation. The latency period between drug intake and disease onset can be short, as seen in our case, or extend up to several months or even years </w:t>
      </w:r>
      <w:r>
        <w:rPr>
          <w:rFonts w:ascii="Arial" w:hAnsi="Arial" w:cs="Arial"/>
          <w:sz w:val="22"/>
          <w:szCs w:val="22"/>
          <w:highlight w:val="yellow"/>
        </w:rPr>
        <w:t>(Verheyden et al., 2020; Stavropoulos et al., 2014)</w:t>
      </w:r>
      <w:r>
        <w:rPr>
          <w:rFonts w:ascii="Arial" w:hAnsi="Arial" w:cs="Arial"/>
          <w:sz w:val="22"/>
          <w:szCs w:val="22"/>
        </w:rPr>
        <w:t>.</w:t>
      </w:r>
    </w:p>
    <w:p w14:paraId="02C25CCF"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The typical clinical presentation consists of a highly pruritic eruption featuring tense bullae with clear, turbid, or occasionally </w:t>
      </w:r>
      <w:r>
        <w:rPr>
          <w:rFonts w:ascii="Arial" w:hAnsi="Arial" w:cs="Arial"/>
          <w:sz w:val="22"/>
          <w:szCs w:val="22"/>
          <w:highlight w:val="yellow"/>
        </w:rPr>
        <w:t>haemorrhagic</w:t>
      </w:r>
      <w:r>
        <w:rPr>
          <w:rFonts w:ascii="Arial" w:hAnsi="Arial" w:cs="Arial"/>
          <w:sz w:val="22"/>
          <w:szCs w:val="22"/>
        </w:rPr>
        <w:t xml:space="preserve"> content, evolving into post-bullous erosions overlying erythematous or urticarial skin. Mucosal involvement is reported in 10% to 30% of cases. Histopathological examination demonstrates a subepidermal split with a dense inflammatory infiltrate rich in eosinophils. Direct immunofluorescence (DIF) reveals linear deposits of IgG and/or C3 along the dermo-epidermal junction. Serological testing for anti-basement membrane zone antibodies or specific anti-BP180 and anti-BP230 autoantibodies </w:t>
      </w:r>
      <w:r>
        <w:rPr>
          <w:rFonts w:ascii="Arial" w:hAnsi="Arial" w:cs="Arial"/>
          <w:sz w:val="22"/>
          <w:szCs w:val="22"/>
          <w:highlight w:val="yellow"/>
        </w:rPr>
        <w:t>is positive</w:t>
      </w:r>
      <w:r>
        <w:rPr>
          <w:rFonts w:ascii="Arial" w:hAnsi="Arial" w:cs="Arial"/>
          <w:sz w:val="22"/>
          <w:szCs w:val="22"/>
        </w:rPr>
        <w:t xml:space="preserve"> </w:t>
      </w:r>
      <w:r>
        <w:rPr>
          <w:rFonts w:ascii="Arial" w:hAnsi="Arial" w:cs="Arial"/>
          <w:sz w:val="22"/>
          <w:szCs w:val="22"/>
          <w:highlight w:val="yellow"/>
        </w:rPr>
        <w:t>(Borradori et al., 2022)</w:t>
      </w:r>
      <w:r>
        <w:rPr>
          <w:rFonts w:ascii="Arial" w:hAnsi="Arial" w:cs="Arial"/>
          <w:sz w:val="22"/>
          <w:szCs w:val="22"/>
        </w:rPr>
        <w:t>.</w:t>
      </w:r>
    </w:p>
    <w:p w14:paraId="756F35E8" w14:textId="77777777" w:rsidR="00A06250" w:rsidRPr="008623A6" w:rsidRDefault="00A06250" w:rsidP="00A06250">
      <w:pPr>
        <w:pStyle w:val="NormalWeb"/>
        <w:rPr>
          <w:rFonts w:ascii="Arial" w:hAnsi="Arial" w:cs="Arial"/>
          <w:sz w:val="22"/>
          <w:szCs w:val="22"/>
        </w:rPr>
      </w:pPr>
      <w:r>
        <w:rPr>
          <w:rFonts w:ascii="Arial" w:hAnsi="Arial" w:cs="Arial"/>
          <w:sz w:val="22"/>
          <w:szCs w:val="22"/>
        </w:rPr>
        <w:t xml:space="preserve">Management principally hinges on the immediate discontinuation of the offending drug, which can be challenging to pinpoint in polymedicated patients. Depending on disease severity and patient comorbidities, treatment involves either high-potency topical corticosteroids or systemic corticosteroid therapy </w:t>
      </w:r>
      <w:r>
        <w:rPr>
          <w:rFonts w:ascii="Arial" w:hAnsi="Arial" w:cs="Arial"/>
          <w:sz w:val="22"/>
          <w:szCs w:val="22"/>
          <w:highlight w:val="yellow"/>
        </w:rPr>
        <w:t xml:space="preserve">(Pratasava et </w:t>
      </w:r>
      <w:r>
        <w:rPr>
          <w:rFonts w:ascii="Arial" w:hAnsi="Arial" w:cs="Arial"/>
          <w:sz w:val="22"/>
          <w:szCs w:val="22"/>
          <w:highlight w:val="yellow"/>
        </w:rPr>
        <w:lastRenderedPageBreak/>
        <w:t>al., 2021; Di Lernia et al., 2020)</w:t>
      </w:r>
      <w:r>
        <w:rPr>
          <w:rFonts w:ascii="Arial" w:hAnsi="Arial" w:cs="Arial"/>
          <w:sz w:val="22"/>
          <w:szCs w:val="22"/>
        </w:rPr>
        <w:t xml:space="preserve">. Our observation perfectly illustrates the efficacy of this combined approach: </w:t>
      </w:r>
      <w:r>
        <w:rPr>
          <w:rFonts w:ascii="Arial" w:hAnsi="Arial" w:cs="Arial"/>
          <w:sz w:val="22"/>
          <w:szCs w:val="22"/>
          <w:highlight w:val="yellow"/>
        </w:rPr>
        <w:t>in our patient, immediate withdrawal of valsartan, combined with oral prednisone and adjuvant doxycycline, achieved</w:t>
      </w:r>
      <w:r>
        <w:rPr>
          <w:rFonts w:ascii="Arial" w:hAnsi="Arial" w:cs="Arial"/>
          <w:sz w:val="22"/>
          <w:szCs w:val="22"/>
        </w:rPr>
        <w:t xml:space="preserve"> rapid disease control, progressive </w:t>
      </w:r>
      <w:r>
        <w:rPr>
          <w:rFonts w:ascii="Arial" w:hAnsi="Arial" w:cs="Arial"/>
          <w:sz w:val="22"/>
          <w:szCs w:val="22"/>
          <w:highlight w:val="yellow"/>
        </w:rPr>
        <w:t>re-epithelialisation</w:t>
      </w:r>
      <w:r>
        <w:rPr>
          <w:rFonts w:ascii="Arial" w:hAnsi="Arial" w:cs="Arial"/>
          <w:sz w:val="22"/>
          <w:szCs w:val="22"/>
        </w:rPr>
        <w:t xml:space="preserve">, and complete absence of relapse following trigger removal, confirming the highly </w:t>
      </w:r>
      <w:r>
        <w:rPr>
          <w:rFonts w:ascii="Arial" w:hAnsi="Arial" w:cs="Arial"/>
          <w:sz w:val="22"/>
          <w:szCs w:val="22"/>
          <w:highlight w:val="yellow"/>
        </w:rPr>
        <w:t>favourable</w:t>
      </w:r>
      <w:r>
        <w:rPr>
          <w:rFonts w:ascii="Arial" w:hAnsi="Arial" w:cs="Arial"/>
          <w:sz w:val="22"/>
          <w:szCs w:val="22"/>
        </w:rPr>
        <w:t xml:space="preserve"> prognosis of DIBP when </w:t>
      </w:r>
      <w:r>
        <w:rPr>
          <w:rFonts w:ascii="Arial" w:hAnsi="Arial" w:cs="Arial"/>
          <w:sz w:val="22"/>
          <w:szCs w:val="22"/>
          <w:highlight w:val="yellow"/>
        </w:rPr>
        <w:t>recognised</w:t>
      </w:r>
      <w:r>
        <w:rPr>
          <w:rFonts w:ascii="Arial" w:hAnsi="Arial" w:cs="Arial"/>
          <w:sz w:val="22"/>
          <w:szCs w:val="22"/>
        </w:rPr>
        <w:t xml:space="preserve"> and managed early. In cases of corticosteroid dependence or severe, refractory disease, alternative immunosuppressive options such as methotrexate, azathioprine, or mycophenolate mofetil may be considered </w:t>
      </w:r>
      <w:r>
        <w:rPr>
          <w:rFonts w:ascii="Arial" w:hAnsi="Arial" w:cs="Arial"/>
          <w:sz w:val="22"/>
          <w:szCs w:val="22"/>
          <w:highlight w:val="yellow"/>
        </w:rPr>
        <w:t>(Khalid et al., 2021)</w:t>
      </w:r>
      <w:r>
        <w:rPr>
          <w:rFonts w:ascii="Arial" w:hAnsi="Arial" w:cs="Arial"/>
          <w:sz w:val="22"/>
          <w:szCs w:val="22"/>
        </w:rPr>
        <w:t>.</w:t>
      </w:r>
    </w:p>
    <w:p w14:paraId="4673F4C7" w14:textId="77777777" w:rsidR="00607022" w:rsidRPr="008623A6" w:rsidRDefault="00607022" w:rsidP="00607022">
      <w:pPr>
        <w:pStyle w:val="Body"/>
        <w:spacing w:after="0"/>
        <w:rPr>
          <w:rFonts w:ascii="Arial" w:hAnsi="Arial" w:cs="Arial"/>
          <w:sz w:val="22"/>
          <w:szCs w:val="22"/>
        </w:rPr>
      </w:pPr>
    </w:p>
    <w:p w14:paraId="69824BA2" w14:textId="77777777" w:rsidR="00607022" w:rsidRPr="008623A6" w:rsidRDefault="00607022" w:rsidP="00607022">
      <w:pPr>
        <w:pStyle w:val="ConcHead"/>
        <w:spacing w:after="0"/>
        <w:jc w:val="both"/>
        <w:rPr>
          <w:rFonts w:ascii="Arial" w:hAnsi="Arial" w:cs="Arial"/>
          <w:szCs w:val="22"/>
        </w:rPr>
      </w:pPr>
      <w:r w:rsidRPr="008623A6">
        <w:rPr>
          <w:rFonts w:ascii="Arial" w:hAnsi="Arial" w:cs="Arial"/>
          <w:szCs w:val="22"/>
        </w:rPr>
        <w:t>4. Conclusion</w:t>
      </w:r>
    </w:p>
    <w:bookmarkEnd w:id="1"/>
    <w:p w14:paraId="469C81C8" w14:textId="77777777" w:rsidR="00E7155D" w:rsidRPr="008623A6" w:rsidRDefault="00E7155D" w:rsidP="00E7155D">
      <w:pPr>
        <w:pStyle w:val="Body"/>
        <w:spacing w:after="0"/>
        <w:rPr>
          <w:rFonts w:ascii="Arial" w:hAnsi="Arial" w:cs="Arial"/>
          <w:sz w:val="22"/>
          <w:szCs w:val="22"/>
        </w:rPr>
      </w:pPr>
    </w:p>
    <w:p w14:paraId="3B31B082" w14:textId="77777777" w:rsidR="00EF06DA" w:rsidRDefault="00EF06DA" w:rsidP="00EF06DA">
      <w:pPr>
        <w:spacing w:before="100" w:beforeAutospacing="1" w:after="100" w:afterAutospacing="1"/>
        <w:outlineLvl w:val="1"/>
        <w:rPr>
          <w:rFonts w:ascii="Times New Roman" w:hAnsi="Times New Roman"/>
          <w:b/>
          <w:bCs/>
          <w:sz w:val="36"/>
          <w:szCs w:val="36"/>
        </w:rPr>
      </w:pPr>
      <w:r>
        <w:t xml:space="preserve">This case describes bullous pemphigoid in a 40-year-old woman after recent initiation of valsartan for hypertension. The clinical presentation included severe pruritus, widespread erythematous and urticarial plaques, tense bullae, extensive post-bullous erosions, and genital mucosal involvement. Marked peripheral blood </w:t>
      </w:r>
      <w:proofErr w:type="spellStart"/>
      <w:r>
        <w:t>hypereosinophilia</w:t>
      </w:r>
      <w:proofErr w:type="spellEnd"/>
      <w:r>
        <w:t>, subepidermal blistering with an eosinophil-rich infiltrate, linear IgG deposition at the dermo-epidermal junction, and circulating anti-basement membrane zone antibodies supported the diagnosis. The temporal relationship between valsartan exposure and symptom onset, together with improvement after withdrawal of the drug and treatment with systemic prednisone and doxycycline, supported a drug-associated presentation. Valsartan was replaced with a calcium channel blocker, after which no new lesions developed and progressive re-</w:t>
      </w:r>
      <w:proofErr w:type="spellStart"/>
      <w:r>
        <w:t>epithelialisation</w:t>
      </w:r>
      <w:proofErr w:type="spellEnd"/>
      <w:r>
        <w:t xml:space="preserve"> was observed. This case </w:t>
      </w:r>
      <w:proofErr w:type="spellStart"/>
      <w:r>
        <w:t>emphasises</w:t>
      </w:r>
      <w:proofErr w:type="spellEnd"/>
      <w:r>
        <w:t xml:space="preserve"> the importance of reviewing recent medication exposure when bullous pemphigoid occurs in a comparatively young patient, particularly when mucosal involvement and marked eosinophilia are present. Prompt identification and withdrawal of a suspected trigger should be considered as part of clinical management while balancing the therapeutic requirements of the underlying condition.</w:t>
      </w:r>
      <w:r w:rsidRPr="00EF06DA">
        <w:rPr>
          <w:rFonts w:ascii="Times New Roman" w:hAnsi="Times New Roman"/>
          <w:b/>
          <w:bCs/>
          <w:sz w:val="36"/>
          <w:szCs w:val="36"/>
        </w:rPr>
        <w:t xml:space="preserve"> </w:t>
      </w:r>
    </w:p>
    <w:p w14:paraId="28956691" w14:textId="72BF97DB" w:rsidR="00EF06DA" w:rsidRPr="00EF06DA" w:rsidRDefault="00EF06DA" w:rsidP="00EF06DA">
      <w:pPr>
        <w:spacing w:before="100" w:beforeAutospacing="1" w:after="100" w:afterAutospacing="1"/>
        <w:outlineLvl w:val="1"/>
        <w:rPr>
          <w:rFonts w:ascii="Times New Roman" w:hAnsi="Times New Roman"/>
          <w:b/>
          <w:bCs/>
          <w:sz w:val="36"/>
          <w:szCs w:val="36"/>
        </w:rPr>
      </w:pPr>
      <w:r w:rsidRPr="00EF06DA">
        <w:rPr>
          <w:rFonts w:ascii="Times New Roman" w:hAnsi="Times New Roman"/>
          <w:b/>
          <w:bCs/>
          <w:sz w:val="36"/>
          <w:szCs w:val="36"/>
        </w:rPr>
        <w:t>Limitation</w:t>
      </w:r>
    </w:p>
    <w:p w14:paraId="068CA331" w14:textId="54EEA74C" w:rsidR="00EF06DA" w:rsidRPr="00EF06DA" w:rsidRDefault="00EF06DA" w:rsidP="00EF06DA">
      <w:pPr>
        <w:spacing w:before="100" w:beforeAutospacing="1" w:after="100" w:afterAutospacing="1"/>
        <w:rPr>
          <w:rFonts w:ascii="Times New Roman" w:hAnsi="Times New Roman"/>
          <w:sz w:val="24"/>
          <w:szCs w:val="24"/>
        </w:rPr>
      </w:pPr>
      <w:r w:rsidRPr="00EF06DA">
        <w:rPr>
          <w:rFonts w:ascii="Times New Roman" w:hAnsi="Times New Roman"/>
          <w:sz w:val="24"/>
          <w:szCs w:val="24"/>
        </w:rPr>
        <w:t xml:space="preserve">This report is limited by its single-patient design, which restricts </w:t>
      </w:r>
      <w:proofErr w:type="spellStart"/>
      <w:r w:rsidRPr="00EF06DA">
        <w:rPr>
          <w:rFonts w:ascii="Times New Roman" w:hAnsi="Times New Roman"/>
          <w:sz w:val="24"/>
          <w:szCs w:val="24"/>
        </w:rPr>
        <w:t>generalisability</w:t>
      </w:r>
      <w:proofErr w:type="spellEnd"/>
      <w:r w:rsidRPr="00EF06DA">
        <w:rPr>
          <w:rFonts w:ascii="Times New Roman" w:hAnsi="Times New Roman"/>
          <w:sz w:val="24"/>
          <w:szCs w:val="24"/>
        </w:rPr>
        <w:t xml:space="preserve">. The association with valsartan is based on the temporal relationship between drug initiation and symptom onset, compatible clinical and immunopathological findings, withdrawal of the suspected drug, and subsequent improvement. The </w:t>
      </w:r>
      <w:r>
        <w:rPr>
          <w:rFonts w:ascii="Times New Roman" w:hAnsi="Times New Roman"/>
          <w:sz w:val="24"/>
          <w:szCs w:val="24"/>
        </w:rPr>
        <w:t>study</w:t>
      </w:r>
      <w:r w:rsidRPr="00EF06DA">
        <w:rPr>
          <w:rFonts w:ascii="Times New Roman" w:hAnsi="Times New Roman"/>
          <w:sz w:val="24"/>
          <w:szCs w:val="24"/>
        </w:rPr>
        <w:t xml:space="preserve"> does not specify the duration of follow-up, limiting assessment of long-term recurrence.</w:t>
      </w:r>
    </w:p>
    <w:p w14:paraId="660DC056" w14:textId="77777777" w:rsidR="00EF06DA" w:rsidRPr="008623A6" w:rsidRDefault="00EF06DA" w:rsidP="00E7155D">
      <w:pPr>
        <w:pStyle w:val="Body"/>
        <w:spacing w:after="0"/>
        <w:rPr>
          <w:rFonts w:ascii="Arial" w:hAnsi="Arial" w:cs="Arial"/>
          <w:sz w:val="22"/>
          <w:szCs w:val="22"/>
        </w:rPr>
      </w:pPr>
    </w:p>
    <w:p w14:paraId="1276901A" w14:textId="77777777" w:rsidR="00A266D6" w:rsidRPr="00A06250" w:rsidRDefault="00A266D6" w:rsidP="00E7155D">
      <w:pPr>
        <w:pStyle w:val="Body"/>
        <w:spacing w:after="0"/>
        <w:rPr>
          <w:rFonts w:ascii="Arial" w:hAnsi="Arial" w:cs="Arial"/>
          <w:sz w:val="22"/>
          <w:szCs w:val="22"/>
        </w:rPr>
      </w:pPr>
    </w:p>
    <w:p w14:paraId="6982EE50" w14:textId="77777777" w:rsidR="00607022" w:rsidRPr="00A06250" w:rsidRDefault="00607022" w:rsidP="00607022">
      <w:pPr>
        <w:pStyle w:val="Body"/>
        <w:spacing w:after="0"/>
        <w:rPr>
          <w:rFonts w:ascii="Arial" w:hAnsi="Arial" w:cs="Arial"/>
          <w:sz w:val="22"/>
          <w:szCs w:val="22"/>
        </w:rPr>
      </w:pPr>
    </w:p>
    <w:p w14:paraId="5EFD6E18" w14:textId="77777777" w:rsidR="00607022" w:rsidRPr="00A06250" w:rsidRDefault="00607022" w:rsidP="00607022">
      <w:pPr>
        <w:pStyle w:val="ReferHead"/>
        <w:spacing w:after="0"/>
        <w:jc w:val="both"/>
        <w:rPr>
          <w:rFonts w:ascii="Arial" w:hAnsi="Arial" w:cs="Arial"/>
          <w:bCs/>
          <w:szCs w:val="22"/>
        </w:rPr>
      </w:pPr>
      <w:r w:rsidRPr="00A06250">
        <w:rPr>
          <w:rFonts w:ascii="Arial" w:hAnsi="Arial" w:cs="Arial"/>
          <w:bCs/>
          <w:szCs w:val="22"/>
        </w:rPr>
        <w:t>Competing interests</w:t>
      </w:r>
    </w:p>
    <w:p w14:paraId="3B75724D" w14:textId="77777777" w:rsidR="00607022" w:rsidRPr="00A06250" w:rsidRDefault="00607022" w:rsidP="00607022">
      <w:pPr>
        <w:pStyle w:val="NormalWeb"/>
        <w:rPr>
          <w:rFonts w:ascii="Arial" w:hAnsi="Arial" w:cs="Arial"/>
          <w:sz w:val="22"/>
          <w:szCs w:val="22"/>
        </w:rPr>
      </w:pPr>
      <w:proofErr w:type="spellStart"/>
      <w:r w:rsidRPr="00A06250">
        <w:rPr>
          <w:rFonts w:ascii="Arial" w:hAnsi="Arial" w:cs="Arial"/>
          <w:sz w:val="22"/>
          <w:szCs w:val="22"/>
        </w:rPr>
        <w:t>Authors</w:t>
      </w:r>
      <w:proofErr w:type="spellEnd"/>
      <w:r w:rsidRPr="00A06250">
        <w:rPr>
          <w:rFonts w:ascii="Arial" w:hAnsi="Arial" w:cs="Arial"/>
          <w:sz w:val="22"/>
          <w:szCs w:val="22"/>
        </w:rPr>
        <w:t xml:space="preserve"> have </w:t>
      </w:r>
      <w:proofErr w:type="spellStart"/>
      <w:r w:rsidRPr="00A06250">
        <w:rPr>
          <w:rFonts w:ascii="Arial" w:hAnsi="Arial" w:cs="Arial"/>
          <w:sz w:val="22"/>
          <w:szCs w:val="22"/>
        </w:rPr>
        <w:t>declared</w:t>
      </w:r>
      <w:proofErr w:type="spellEnd"/>
      <w:r w:rsidRPr="00A06250">
        <w:rPr>
          <w:rFonts w:ascii="Arial" w:hAnsi="Arial" w:cs="Arial"/>
          <w:sz w:val="22"/>
          <w:szCs w:val="22"/>
        </w:rPr>
        <w:t xml:space="preserve"> </w:t>
      </w:r>
      <w:proofErr w:type="spellStart"/>
      <w:r w:rsidRPr="00A06250">
        <w:rPr>
          <w:rFonts w:ascii="Arial" w:hAnsi="Arial" w:cs="Arial"/>
          <w:sz w:val="22"/>
          <w:szCs w:val="22"/>
        </w:rPr>
        <w:t>that</w:t>
      </w:r>
      <w:proofErr w:type="spellEnd"/>
      <w:r w:rsidRPr="00A06250">
        <w:rPr>
          <w:rFonts w:ascii="Arial" w:hAnsi="Arial" w:cs="Arial"/>
          <w:sz w:val="22"/>
          <w:szCs w:val="22"/>
        </w:rPr>
        <w:t xml:space="preserve"> no </w:t>
      </w:r>
      <w:proofErr w:type="spellStart"/>
      <w:r w:rsidRPr="00A06250">
        <w:rPr>
          <w:rFonts w:ascii="Arial" w:hAnsi="Arial" w:cs="Arial"/>
          <w:sz w:val="22"/>
          <w:szCs w:val="22"/>
        </w:rPr>
        <w:t>competing</w:t>
      </w:r>
      <w:proofErr w:type="spellEnd"/>
      <w:r w:rsidRPr="00A06250">
        <w:rPr>
          <w:rFonts w:ascii="Arial" w:hAnsi="Arial" w:cs="Arial"/>
          <w:sz w:val="22"/>
          <w:szCs w:val="22"/>
        </w:rPr>
        <w:t xml:space="preserve"> </w:t>
      </w:r>
      <w:proofErr w:type="spellStart"/>
      <w:r w:rsidRPr="00A06250">
        <w:rPr>
          <w:rFonts w:ascii="Arial" w:hAnsi="Arial" w:cs="Arial"/>
          <w:sz w:val="22"/>
          <w:szCs w:val="22"/>
        </w:rPr>
        <w:t>interests</w:t>
      </w:r>
      <w:proofErr w:type="spellEnd"/>
      <w:r w:rsidRPr="00A06250">
        <w:rPr>
          <w:rFonts w:ascii="Arial" w:hAnsi="Arial" w:cs="Arial"/>
          <w:sz w:val="22"/>
          <w:szCs w:val="22"/>
        </w:rPr>
        <w:t xml:space="preserve"> </w:t>
      </w:r>
      <w:proofErr w:type="spellStart"/>
      <w:r w:rsidRPr="00A06250">
        <w:rPr>
          <w:rFonts w:ascii="Arial" w:hAnsi="Arial" w:cs="Arial"/>
          <w:sz w:val="22"/>
          <w:szCs w:val="22"/>
        </w:rPr>
        <w:t>exist</w:t>
      </w:r>
      <w:proofErr w:type="spellEnd"/>
      <w:r w:rsidRPr="00A06250">
        <w:rPr>
          <w:rFonts w:ascii="Arial" w:hAnsi="Arial" w:cs="Arial"/>
          <w:sz w:val="22"/>
          <w:szCs w:val="22"/>
        </w:rPr>
        <w:t>.</w:t>
      </w:r>
    </w:p>
    <w:p w14:paraId="23AEB6D0" w14:textId="77777777" w:rsidR="00607022" w:rsidRPr="00A06250" w:rsidRDefault="00607022" w:rsidP="00607022">
      <w:pPr>
        <w:pStyle w:val="ReferHead"/>
        <w:spacing w:after="0"/>
        <w:jc w:val="both"/>
        <w:rPr>
          <w:rFonts w:ascii="Arial" w:hAnsi="Arial" w:cs="Arial"/>
          <w:szCs w:val="22"/>
          <w:shd w:val="clear" w:color="auto" w:fill="FFFFFF"/>
        </w:rPr>
      </w:pPr>
      <w:r w:rsidRPr="00A06250">
        <w:rPr>
          <w:rFonts w:ascii="Arial" w:hAnsi="Arial" w:cs="Arial"/>
          <w:szCs w:val="22"/>
          <w:shd w:val="clear" w:color="auto" w:fill="FFFFFF"/>
        </w:rPr>
        <w:t xml:space="preserve">consent </w:t>
      </w:r>
    </w:p>
    <w:p w14:paraId="00A7FDF1" w14:textId="77777777" w:rsidR="00591FF4" w:rsidRPr="00A06250" w:rsidRDefault="00591FF4" w:rsidP="00591FF4">
      <w:pPr>
        <w:pStyle w:val="ReferHead"/>
        <w:spacing w:after="0"/>
        <w:jc w:val="both"/>
        <w:rPr>
          <w:rFonts w:ascii="Arial" w:hAnsi="Arial" w:cs="Arial"/>
          <w:b w:val="0"/>
          <w:bCs/>
          <w:szCs w:val="22"/>
          <w:shd w:val="clear" w:color="auto" w:fill="FFFFFF"/>
        </w:rPr>
      </w:pPr>
    </w:p>
    <w:p w14:paraId="47C5B8C1" w14:textId="77777777" w:rsidR="00607022" w:rsidRPr="00A06250" w:rsidRDefault="00591FF4" w:rsidP="00591FF4">
      <w:pPr>
        <w:pStyle w:val="ReferHead"/>
        <w:spacing w:after="0"/>
        <w:jc w:val="both"/>
        <w:rPr>
          <w:rFonts w:ascii="Arial" w:hAnsi="Arial" w:cs="Arial"/>
          <w:b w:val="0"/>
          <w:bCs/>
          <w:caps w:val="0"/>
          <w:szCs w:val="22"/>
        </w:rPr>
      </w:pPr>
      <w:r w:rsidRPr="00A06250">
        <w:rPr>
          <w:rFonts w:ascii="Arial" w:hAnsi="Arial" w:cs="Arial"/>
          <w:b w:val="0"/>
          <w:caps w:val="0"/>
          <w:szCs w:val="22"/>
        </w:rPr>
        <w:t>Written informed consent was obtained from the patient for this case report and the accompanying clinical images.</w:t>
      </w:r>
    </w:p>
    <w:p w14:paraId="074D926B" w14:textId="77777777" w:rsidR="00607022" w:rsidRPr="00A06250" w:rsidRDefault="00607022" w:rsidP="00607022">
      <w:pPr>
        <w:pStyle w:val="ReferHead"/>
        <w:spacing w:after="0"/>
        <w:jc w:val="both"/>
        <w:rPr>
          <w:rFonts w:ascii="Arial" w:hAnsi="Arial" w:cs="Arial"/>
          <w:b w:val="0"/>
          <w:caps w:val="0"/>
          <w:szCs w:val="22"/>
        </w:rPr>
      </w:pPr>
    </w:p>
    <w:p w14:paraId="45F6CAB1" w14:textId="77777777" w:rsidR="00607022" w:rsidRPr="00A06250" w:rsidRDefault="00607022" w:rsidP="00607022">
      <w:pPr>
        <w:pStyle w:val="ReferHead"/>
        <w:spacing w:after="0"/>
        <w:jc w:val="both"/>
        <w:rPr>
          <w:rFonts w:ascii="Arial" w:hAnsi="Arial" w:cs="Arial"/>
          <w:bCs/>
          <w:szCs w:val="22"/>
        </w:rPr>
      </w:pPr>
      <w:r w:rsidRPr="00A06250">
        <w:rPr>
          <w:rFonts w:ascii="Arial" w:hAnsi="Arial" w:cs="Arial"/>
          <w:bCs/>
          <w:szCs w:val="22"/>
        </w:rPr>
        <w:t xml:space="preserve">Ethical approval </w:t>
      </w:r>
    </w:p>
    <w:p w14:paraId="27CACE81" w14:textId="77777777" w:rsidR="00607022" w:rsidRPr="00A06250" w:rsidRDefault="00607022" w:rsidP="00607022">
      <w:pPr>
        <w:pStyle w:val="ReferHead"/>
        <w:spacing w:after="0"/>
        <w:jc w:val="both"/>
        <w:rPr>
          <w:rFonts w:ascii="Arial" w:hAnsi="Arial" w:cs="Arial"/>
          <w:bCs/>
          <w:szCs w:val="22"/>
        </w:rPr>
      </w:pPr>
    </w:p>
    <w:p w14:paraId="2A60FB6A" w14:textId="77777777" w:rsidR="00607022" w:rsidRPr="00A06250" w:rsidRDefault="00846C8F" w:rsidP="00607022">
      <w:pPr>
        <w:pStyle w:val="ReferHead"/>
        <w:spacing w:after="0"/>
        <w:jc w:val="both"/>
        <w:rPr>
          <w:rFonts w:ascii="Arial" w:hAnsi="Arial" w:cs="Arial"/>
          <w:b w:val="0"/>
          <w:caps w:val="0"/>
          <w:szCs w:val="22"/>
        </w:rPr>
      </w:pPr>
      <w:r w:rsidRPr="00A06250">
        <w:rPr>
          <w:rFonts w:ascii="Arial" w:hAnsi="Arial" w:cs="Arial"/>
          <w:b w:val="0"/>
          <w:caps w:val="0"/>
          <w:szCs w:val="22"/>
        </w:rPr>
        <w:t xml:space="preserve">This report describes a </w:t>
      </w:r>
      <w:r w:rsidR="00A06250" w:rsidRPr="00A06250">
        <w:rPr>
          <w:rFonts w:ascii="Arial" w:hAnsi="Arial" w:cs="Arial"/>
          <w:b w:val="0"/>
          <w:caps w:val="0"/>
          <w:szCs w:val="22"/>
        </w:rPr>
        <w:t xml:space="preserve">single </w:t>
      </w:r>
      <w:r w:rsidRPr="00A06250">
        <w:rPr>
          <w:rFonts w:ascii="Arial" w:hAnsi="Arial" w:cs="Arial"/>
          <w:b w:val="0"/>
          <w:caps w:val="0"/>
          <w:szCs w:val="22"/>
        </w:rPr>
        <w:t>patient managed in the course of routine clinical care and did not require institutional</w:t>
      </w:r>
      <w:r w:rsidR="00E7155D" w:rsidRPr="00A06250">
        <w:rPr>
          <w:rFonts w:ascii="Arial" w:hAnsi="Arial" w:cs="Arial"/>
          <w:b w:val="0"/>
          <w:caps w:val="0"/>
          <w:szCs w:val="22"/>
        </w:rPr>
        <w:t xml:space="preserve"> review board approval. All procedures were performed in accordance with the ethical standards laid down in the 1964 Declaration of Helsinki and its later amendments.</w:t>
      </w:r>
      <w:r w:rsidR="00607022" w:rsidRPr="00A06250">
        <w:rPr>
          <w:rFonts w:ascii="Arial" w:hAnsi="Arial" w:cs="Arial"/>
          <w:b w:val="0"/>
          <w:caps w:val="0"/>
          <w:szCs w:val="22"/>
        </w:rPr>
        <w:t xml:space="preserve"> </w:t>
      </w:r>
    </w:p>
    <w:p w14:paraId="6599CF19" w14:textId="77777777" w:rsidR="00607022" w:rsidRPr="00A06250" w:rsidRDefault="00607022" w:rsidP="00607022">
      <w:pPr>
        <w:pStyle w:val="ReferHead"/>
        <w:spacing w:after="0"/>
        <w:jc w:val="both"/>
        <w:rPr>
          <w:rFonts w:ascii="Arial" w:hAnsi="Arial" w:cs="Arial"/>
          <w:b w:val="0"/>
          <w:caps w:val="0"/>
          <w:szCs w:val="22"/>
        </w:rPr>
      </w:pPr>
    </w:p>
    <w:p w14:paraId="58AAD7C2" w14:textId="77777777" w:rsidR="00A6628B" w:rsidRDefault="00A6628B" w:rsidP="00A6628B">
      <w:pPr>
        <w:rPr>
          <w:rFonts w:ascii="Times New Roman" w:hAnsi="Times New Roman"/>
          <w:b/>
        </w:rPr>
      </w:pPr>
      <w:r w:rsidRPr="000839CE">
        <w:rPr>
          <w:rFonts w:ascii="Times New Roman" w:hAnsi="Times New Roman"/>
          <w:b/>
        </w:rPr>
        <w:t>Declaration of AI Use</w:t>
      </w:r>
    </w:p>
    <w:p w14:paraId="2D2419F9" w14:textId="77777777" w:rsidR="00A6628B" w:rsidRDefault="00A6628B" w:rsidP="00A6628B">
      <w:pPr>
        <w:rPr>
          <w:rFonts w:ascii="Times New Roman" w:hAnsi="Times New Roman"/>
          <w:b/>
        </w:rPr>
      </w:pPr>
    </w:p>
    <w:p w14:paraId="5D053FE5" w14:textId="77777777" w:rsidR="00A6628B" w:rsidRDefault="00A6628B" w:rsidP="00A6628B">
      <w:pPr>
        <w:rPr>
          <w:rFonts w:ascii="Times New Roman" w:hAnsi="Times New Roman"/>
          <w:b/>
        </w:rPr>
      </w:pPr>
    </w:p>
    <w:p w14:paraId="2D711740" w14:textId="77777777" w:rsidR="00A6628B" w:rsidRDefault="00A6628B" w:rsidP="00A6628B">
      <w:pPr>
        <w:rPr>
          <w:rFonts w:ascii="Times New Roman" w:hAnsi="Times New Roman"/>
          <w:b/>
        </w:rPr>
      </w:pPr>
    </w:p>
    <w:p w14:paraId="6695AAAB" w14:textId="77777777" w:rsidR="00A6628B" w:rsidRPr="002D08AC" w:rsidRDefault="00A6628B" w:rsidP="00A6628B">
      <w:pPr>
        <w:rPr>
          <w:rFonts w:ascii="Arial" w:hAnsi="Arial" w:cs="Arial"/>
        </w:rPr>
      </w:pPr>
      <w:r w:rsidRPr="002D08AC">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6C159B6" w14:textId="77777777" w:rsidR="00607022" w:rsidRPr="009515AE" w:rsidRDefault="00607022" w:rsidP="00607022">
      <w:pPr>
        <w:pStyle w:val="ReferHead"/>
        <w:spacing w:after="0"/>
        <w:jc w:val="both"/>
        <w:rPr>
          <w:rFonts w:ascii="Arial" w:hAnsi="Arial" w:cs="Arial"/>
          <w:szCs w:val="22"/>
        </w:rPr>
      </w:pPr>
    </w:p>
    <w:p w14:paraId="129B4AB3" w14:textId="77777777" w:rsidR="00607022" w:rsidRDefault="00607022" w:rsidP="00607022">
      <w:pPr>
        <w:pStyle w:val="ReferHead"/>
        <w:spacing w:after="0"/>
        <w:jc w:val="both"/>
        <w:rPr>
          <w:rFonts w:ascii="Arial" w:hAnsi="Arial" w:cs="Arial"/>
        </w:rPr>
      </w:pPr>
      <w:r w:rsidRPr="00FB3A86">
        <w:rPr>
          <w:rFonts w:ascii="Arial" w:hAnsi="Arial" w:cs="Arial"/>
        </w:rPr>
        <w:t>References</w:t>
      </w:r>
    </w:p>
    <w:p w14:paraId="6A8D759D" w14:textId="77777777" w:rsidR="00607022" w:rsidRPr="00FB3A86" w:rsidRDefault="00607022" w:rsidP="00607022">
      <w:pPr>
        <w:pStyle w:val="ReferHead"/>
        <w:spacing w:after="0"/>
        <w:jc w:val="both"/>
        <w:rPr>
          <w:rFonts w:ascii="Arial" w:hAnsi="Arial" w:cs="Arial"/>
        </w:rPr>
      </w:pPr>
    </w:p>
    <w:p w14:paraId="2FFB7A7D" w14:textId="4828E65B" w:rsidR="00B13936" w:rsidRPr="00B13936" w:rsidRDefault="00B13936" w:rsidP="00B13936">
      <w:pPr>
        <w:spacing w:before="100" w:beforeAutospacing="1" w:after="100" w:afterAutospacing="1"/>
        <w:ind w:left="540" w:hanging="540"/>
        <w:jc w:val="both"/>
        <w:rPr>
          <w:rFonts w:ascii="Times New Roman" w:hAnsi="Times New Roman"/>
          <w:sz w:val="24"/>
          <w:szCs w:val="24"/>
        </w:rPr>
      </w:pPr>
      <w:proofErr w:type="spellStart"/>
      <w:r w:rsidRPr="00B13936">
        <w:rPr>
          <w:rFonts w:ascii="Times New Roman" w:hAnsi="Times New Roman"/>
          <w:sz w:val="24"/>
          <w:szCs w:val="24"/>
        </w:rPr>
        <w:t>Akbarialiabad</w:t>
      </w:r>
      <w:proofErr w:type="spellEnd"/>
      <w:r w:rsidRPr="00B13936">
        <w:rPr>
          <w:rFonts w:ascii="Times New Roman" w:hAnsi="Times New Roman"/>
          <w:sz w:val="24"/>
          <w:szCs w:val="24"/>
        </w:rPr>
        <w:t xml:space="preserve">, H., Schmidt, E., </w:t>
      </w:r>
      <w:proofErr w:type="spellStart"/>
      <w:r w:rsidRPr="00B13936">
        <w:rPr>
          <w:rFonts w:ascii="Times New Roman" w:hAnsi="Times New Roman"/>
          <w:sz w:val="24"/>
          <w:szCs w:val="24"/>
        </w:rPr>
        <w:t>Patsatsi</w:t>
      </w:r>
      <w:proofErr w:type="spellEnd"/>
      <w:r w:rsidRPr="00B13936">
        <w:rPr>
          <w:rFonts w:ascii="Times New Roman" w:hAnsi="Times New Roman"/>
          <w:sz w:val="24"/>
          <w:szCs w:val="24"/>
        </w:rPr>
        <w:t xml:space="preserve">, A., Lim, Y. L., Mosam, A., </w:t>
      </w:r>
      <w:proofErr w:type="spellStart"/>
      <w:r w:rsidRPr="00B13936">
        <w:rPr>
          <w:rFonts w:ascii="Times New Roman" w:hAnsi="Times New Roman"/>
          <w:sz w:val="24"/>
          <w:szCs w:val="24"/>
        </w:rPr>
        <w:t>Tasanen</w:t>
      </w:r>
      <w:proofErr w:type="spellEnd"/>
      <w:r w:rsidRPr="00B13936">
        <w:rPr>
          <w:rFonts w:ascii="Times New Roman" w:hAnsi="Times New Roman"/>
          <w:sz w:val="24"/>
          <w:szCs w:val="24"/>
        </w:rPr>
        <w:t xml:space="preserve">, K., Yamagami, J., </w:t>
      </w:r>
      <w:proofErr w:type="spellStart"/>
      <w:r w:rsidRPr="00B13936">
        <w:rPr>
          <w:rFonts w:ascii="Times New Roman" w:hAnsi="Times New Roman"/>
          <w:sz w:val="24"/>
          <w:szCs w:val="24"/>
        </w:rPr>
        <w:t>Daneshpazhooh</w:t>
      </w:r>
      <w:proofErr w:type="spellEnd"/>
      <w:r w:rsidRPr="00B13936">
        <w:rPr>
          <w:rFonts w:ascii="Times New Roman" w:hAnsi="Times New Roman"/>
          <w:sz w:val="24"/>
          <w:szCs w:val="24"/>
        </w:rPr>
        <w:t xml:space="preserve">, M., De, D., Cardones, A. R. G., Joly, P., &amp; Murrell, D. F. (2025). Bullous pemphigoid. </w:t>
      </w:r>
      <w:r w:rsidRPr="00B13936">
        <w:rPr>
          <w:rFonts w:ascii="Times New Roman" w:hAnsi="Times New Roman"/>
          <w:i/>
          <w:iCs/>
          <w:sz w:val="24"/>
          <w:szCs w:val="24"/>
        </w:rPr>
        <w:t>Nature Reviews Disease Primers, 11</w:t>
      </w:r>
      <w:r w:rsidRPr="00B13936">
        <w:rPr>
          <w:rFonts w:ascii="Times New Roman" w:hAnsi="Times New Roman"/>
          <w:sz w:val="24"/>
          <w:szCs w:val="24"/>
        </w:rPr>
        <w:t xml:space="preserve">, 12. </w:t>
      </w:r>
      <w:hyperlink r:id="rId17" w:history="1">
        <w:r w:rsidRPr="00B13936">
          <w:rPr>
            <w:rFonts w:ascii="Times New Roman" w:hAnsi="Times New Roman"/>
            <w:color w:val="0000FF"/>
            <w:sz w:val="24"/>
            <w:szCs w:val="24"/>
            <w:u w:val="single"/>
          </w:rPr>
          <w:t>https://doi.org/10.1038/s41572-025-00595-5</w:t>
        </w:r>
      </w:hyperlink>
    </w:p>
    <w:p w14:paraId="5D96ECF1" w14:textId="5EF12F5D" w:rsidR="00B13936" w:rsidRPr="00B13936" w:rsidRDefault="00B13936" w:rsidP="00B13936">
      <w:pPr>
        <w:spacing w:before="100" w:beforeAutospacing="1" w:after="100" w:afterAutospacing="1"/>
        <w:ind w:left="540" w:hanging="540"/>
        <w:jc w:val="both"/>
        <w:rPr>
          <w:rFonts w:ascii="Times New Roman" w:hAnsi="Times New Roman"/>
          <w:sz w:val="24"/>
          <w:szCs w:val="24"/>
          <w:lang w:val="nl-BE"/>
        </w:rPr>
      </w:pPr>
      <w:proofErr w:type="spellStart"/>
      <w:r w:rsidRPr="00B13936">
        <w:rPr>
          <w:rFonts w:ascii="Times New Roman" w:hAnsi="Times New Roman"/>
          <w:sz w:val="24"/>
          <w:szCs w:val="24"/>
        </w:rPr>
        <w:t>Araqi</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Houssaini</w:t>
      </w:r>
      <w:proofErr w:type="spellEnd"/>
      <w:r w:rsidRPr="00B13936">
        <w:rPr>
          <w:rFonts w:ascii="Times New Roman" w:hAnsi="Times New Roman"/>
          <w:sz w:val="24"/>
          <w:szCs w:val="24"/>
        </w:rPr>
        <w:t xml:space="preserve">, L., Baline, K., Hali, F., Marnissi, F., &amp; Chiheb, S. (2019). </w:t>
      </w:r>
      <w:proofErr w:type="spellStart"/>
      <w:r w:rsidRPr="00B13936">
        <w:rPr>
          <w:rFonts w:ascii="Times New Roman" w:hAnsi="Times New Roman"/>
          <w:sz w:val="24"/>
          <w:szCs w:val="24"/>
        </w:rPr>
        <w:t>Pemphigoïde</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bulleuse</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induite</w:t>
      </w:r>
      <w:proofErr w:type="spellEnd"/>
      <w:r w:rsidRPr="00B13936">
        <w:rPr>
          <w:rFonts w:ascii="Times New Roman" w:hAnsi="Times New Roman"/>
          <w:sz w:val="24"/>
          <w:szCs w:val="24"/>
        </w:rPr>
        <w:t xml:space="preserve"> par trois classes </w:t>
      </w:r>
      <w:proofErr w:type="spellStart"/>
      <w:r w:rsidRPr="00B13936">
        <w:rPr>
          <w:rFonts w:ascii="Times New Roman" w:hAnsi="Times New Roman"/>
          <w:sz w:val="24"/>
          <w:szCs w:val="24"/>
        </w:rPr>
        <w:t>d’antihypertenseurs</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différentes</w:t>
      </w:r>
      <w:proofErr w:type="spellEnd"/>
      <w:r w:rsidRPr="00B13936">
        <w:rPr>
          <w:rFonts w:ascii="Times New Roman" w:hAnsi="Times New Roman"/>
          <w:sz w:val="24"/>
          <w:szCs w:val="24"/>
        </w:rPr>
        <w:t xml:space="preserve">. </w:t>
      </w:r>
      <w:r w:rsidRPr="00B13936">
        <w:rPr>
          <w:rFonts w:ascii="Times New Roman" w:hAnsi="Times New Roman"/>
          <w:i/>
          <w:iCs/>
          <w:sz w:val="24"/>
          <w:szCs w:val="24"/>
          <w:lang w:val="nl-BE"/>
        </w:rPr>
        <w:t>Annales de Dermatologie et de Vénéréologie, 146</w:t>
      </w:r>
      <w:r w:rsidRPr="00B13936">
        <w:rPr>
          <w:rFonts w:ascii="Times New Roman" w:hAnsi="Times New Roman"/>
          <w:sz w:val="24"/>
          <w:szCs w:val="24"/>
          <w:lang w:val="nl-BE"/>
        </w:rPr>
        <w:t xml:space="preserve">(12S), A148. </w:t>
      </w:r>
      <w:r w:rsidRPr="00B13936">
        <w:rPr>
          <w:rFonts w:ascii="Times New Roman" w:hAnsi="Times New Roman"/>
          <w:sz w:val="24"/>
          <w:szCs w:val="24"/>
        </w:rPr>
        <w:fldChar w:fldCharType="begin"/>
      </w:r>
      <w:r w:rsidRPr="00B13936">
        <w:rPr>
          <w:rFonts w:ascii="Times New Roman" w:hAnsi="Times New Roman"/>
          <w:sz w:val="24"/>
          <w:szCs w:val="24"/>
          <w:lang w:val="nl-BE"/>
        </w:rPr>
        <w:instrText>HYPERLINK "https://doi.org/10.1016/j.annder.2019.09.189"</w:instrText>
      </w:r>
      <w:r w:rsidRPr="00B13936">
        <w:rPr>
          <w:rFonts w:ascii="Times New Roman" w:hAnsi="Times New Roman"/>
          <w:sz w:val="24"/>
          <w:szCs w:val="24"/>
        </w:rPr>
        <w:fldChar w:fldCharType="separate"/>
      </w:r>
      <w:r w:rsidRPr="00B13936">
        <w:rPr>
          <w:rFonts w:ascii="Times New Roman" w:hAnsi="Times New Roman"/>
          <w:color w:val="0000FF"/>
          <w:sz w:val="24"/>
          <w:szCs w:val="24"/>
          <w:u w:val="single"/>
          <w:lang w:val="nl-BE"/>
        </w:rPr>
        <w:t>https://doi.org/10.1016/j.annder.2019.09.189</w:t>
      </w:r>
      <w:r w:rsidRPr="00B13936">
        <w:rPr>
          <w:rFonts w:ascii="Times New Roman" w:hAnsi="Times New Roman"/>
          <w:sz w:val="24"/>
          <w:szCs w:val="24"/>
        </w:rPr>
        <w:fldChar w:fldCharType="end"/>
      </w:r>
    </w:p>
    <w:p w14:paraId="020CCA19" w14:textId="0CC51A3A"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lang w:val="nl-BE"/>
        </w:rPr>
        <w:t xml:space="preserve">Borradori, L., Van Beek, N., Feliciani, C., Tedbirt, B., Antiga, E., Bergman, R., Böckle, B. C., Caproni, M., Caux, F., Chandran, N. S., Cianchini, G., Daneshpazhooh, M., De, D., Didona, D., Di Zenzo, G. M., Dmochowski, M., Drenovska, K., Ehrchen, J., Goebeler, M., … </w:t>
      </w:r>
      <w:r w:rsidRPr="00B13936">
        <w:rPr>
          <w:rFonts w:ascii="Times New Roman" w:hAnsi="Times New Roman"/>
          <w:sz w:val="24"/>
          <w:szCs w:val="24"/>
        </w:rPr>
        <w:t xml:space="preserve">Joly, P. (2022). Updated S2 K guidelines for the management of bullous pemphigoid initiated by the European Academy of Dermatology and Venereology (EADV). </w:t>
      </w:r>
      <w:r w:rsidRPr="00B13936">
        <w:rPr>
          <w:rFonts w:ascii="Times New Roman" w:hAnsi="Times New Roman"/>
          <w:i/>
          <w:iCs/>
          <w:sz w:val="24"/>
          <w:szCs w:val="24"/>
        </w:rPr>
        <w:t>Journal of the European Academy of Dermatology and Venereology, 36</w:t>
      </w:r>
      <w:r w:rsidRPr="00B13936">
        <w:rPr>
          <w:rFonts w:ascii="Times New Roman" w:hAnsi="Times New Roman"/>
          <w:sz w:val="24"/>
          <w:szCs w:val="24"/>
        </w:rPr>
        <w:t xml:space="preserve">(10), 1689–1704. </w:t>
      </w:r>
      <w:hyperlink r:id="rId18" w:history="1">
        <w:r w:rsidRPr="00B13936">
          <w:rPr>
            <w:rFonts w:ascii="Times New Roman" w:hAnsi="Times New Roman"/>
            <w:color w:val="0000FF"/>
            <w:sz w:val="24"/>
            <w:szCs w:val="24"/>
            <w:u w:val="single"/>
          </w:rPr>
          <w:t>https://doi.org/10.1111/jdv.18220</w:t>
        </w:r>
      </w:hyperlink>
    </w:p>
    <w:p w14:paraId="3FB1CDD1" w14:textId="69EA2058"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t xml:space="preserve">Di Lernia, V., Casanova, D. M., Goldust, M., &amp; Ricci, C. (2020). Pemphigus vulgaris and bullous pemphigoid: Update on diagnosis and treatment. </w:t>
      </w:r>
      <w:r w:rsidRPr="00B13936">
        <w:rPr>
          <w:rFonts w:ascii="Times New Roman" w:hAnsi="Times New Roman"/>
          <w:i/>
          <w:iCs/>
          <w:sz w:val="24"/>
          <w:szCs w:val="24"/>
        </w:rPr>
        <w:t>Dermatology Practical &amp; Conceptual, 10</w:t>
      </w:r>
      <w:r w:rsidRPr="00B13936">
        <w:rPr>
          <w:rFonts w:ascii="Times New Roman" w:hAnsi="Times New Roman"/>
          <w:sz w:val="24"/>
          <w:szCs w:val="24"/>
        </w:rPr>
        <w:t xml:space="preserve">(3), e2020050. </w:t>
      </w:r>
      <w:hyperlink r:id="rId19" w:history="1">
        <w:r w:rsidRPr="00B13936">
          <w:rPr>
            <w:rFonts w:ascii="Times New Roman" w:hAnsi="Times New Roman"/>
            <w:color w:val="0000FF"/>
            <w:sz w:val="24"/>
            <w:szCs w:val="24"/>
            <w:u w:val="single"/>
          </w:rPr>
          <w:t>https://doi.org/10.5826/dpc.1003a50</w:t>
        </w:r>
      </w:hyperlink>
    </w:p>
    <w:p w14:paraId="23318F44" w14:textId="2F03EFAE"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t xml:space="preserve">El Amrani, F., &amp; Hassam, B. (2013). Une </w:t>
      </w:r>
      <w:proofErr w:type="spellStart"/>
      <w:r w:rsidRPr="00B13936">
        <w:rPr>
          <w:rFonts w:ascii="Times New Roman" w:hAnsi="Times New Roman"/>
          <w:sz w:val="24"/>
          <w:szCs w:val="24"/>
        </w:rPr>
        <w:t>pemphigoïde</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bulleuse</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localisée</w:t>
      </w:r>
      <w:proofErr w:type="spellEnd"/>
      <w:r w:rsidRPr="00B13936">
        <w:rPr>
          <w:rFonts w:ascii="Times New Roman" w:hAnsi="Times New Roman"/>
          <w:sz w:val="24"/>
          <w:szCs w:val="24"/>
        </w:rPr>
        <w:t xml:space="preserve"> radio-</w:t>
      </w:r>
      <w:proofErr w:type="spellStart"/>
      <w:r w:rsidRPr="00B13936">
        <w:rPr>
          <w:rFonts w:ascii="Times New Roman" w:hAnsi="Times New Roman"/>
          <w:sz w:val="24"/>
          <w:szCs w:val="24"/>
        </w:rPr>
        <w:t>induite</w:t>
      </w:r>
      <w:proofErr w:type="spellEnd"/>
      <w:r w:rsidRPr="00B13936">
        <w:rPr>
          <w:rFonts w:ascii="Times New Roman" w:hAnsi="Times New Roman"/>
          <w:sz w:val="24"/>
          <w:szCs w:val="24"/>
        </w:rPr>
        <w:t xml:space="preserve">. </w:t>
      </w:r>
      <w:r w:rsidRPr="00B13936">
        <w:rPr>
          <w:rFonts w:ascii="Times New Roman" w:hAnsi="Times New Roman"/>
          <w:i/>
          <w:iCs/>
          <w:sz w:val="24"/>
          <w:szCs w:val="24"/>
        </w:rPr>
        <w:t>Pan African Medical Journal, 14</w:t>
      </w:r>
      <w:r w:rsidRPr="00B13936">
        <w:rPr>
          <w:rFonts w:ascii="Times New Roman" w:hAnsi="Times New Roman"/>
          <w:sz w:val="24"/>
          <w:szCs w:val="24"/>
        </w:rPr>
        <w:t xml:space="preserve">, 43. </w:t>
      </w:r>
      <w:hyperlink r:id="rId20" w:history="1">
        <w:r w:rsidRPr="00B13936">
          <w:rPr>
            <w:rFonts w:ascii="Times New Roman" w:hAnsi="Times New Roman"/>
            <w:color w:val="0000FF"/>
            <w:sz w:val="24"/>
            <w:szCs w:val="24"/>
            <w:u w:val="single"/>
          </w:rPr>
          <w:t>https://doi.org/10.11604/pamj.2013.14.43.2358</w:t>
        </w:r>
      </w:hyperlink>
    </w:p>
    <w:p w14:paraId="3F51E0FF" w14:textId="0D3D0C81"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t xml:space="preserve">Khalid, S. N., Khan, Z. A., Ali, M. H., Almas, T., </w:t>
      </w:r>
      <w:proofErr w:type="spellStart"/>
      <w:r w:rsidRPr="00B13936">
        <w:rPr>
          <w:rFonts w:ascii="Times New Roman" w:hAnsi="Times New Roman"/>
          <w:sz w:val="24"/>
          <w:szCs w:val="24"/>
        </w:rPr>
        <w:t>Khedro</w:t>
      </w:r>
      <w:proofErr w:type="spellEnd"/>
      <w:r w:rsidRPr="00B13936">
        <w:rPr>
          <w:rFonts w:ascii="Times New Roman" w:hAnsi="Times New Roman"/>
          <w:sz w:val="24"/>
          <w:szCs w:val="24"/>
        </w:rPr>
        <w:t xml:space="preserve">, T., &amp; Raj Nagarajan, V. (2021). A blistering new era for bullous pemphigoid: A scoping review of current therapies, ongoing clinical trials, and future directions. </w:t>
      </w:r>
      <w:r w:rsidRPr="00B13936">
        <w:rPr>
          <w:rFonts w:ascii="Times New Roman" w:hAnsi="Times New Roman"/>
          <w:i/>
          <w:iCs/>
          <w:sz w:val="24"/>
          <w:szCs w:val="24"/>
        </w:rPr>
        <w:t>Annals of Medicine and Surgery, 70</w:t>
      </w:r>
      <w:r w:rsidRPr="00B13936">
        <w:rPr>
          <w:rFonts w:ascii="Times New Roman" w:hAnsi="Times New Roman"/>
          <w:sz w:val="24"/>
          <w:szCs w:val="24"/>
        </w:rPr>
        <w:t xml:space="preserve">, 102799. </w:t>
      </w:r>
      <w:hyperlink r:id="rId21" w:history="1">
        <w:r w:rsidRPr="00B13936">
          <w:rPr>
            <w:rFonts w:ascii="Times New Roman" w:hAnsi="Times New Roman"/>
            <w:color w:val="0000FF"/>
            <w:sz w:val="24"/>
            <w:szCs w:val="24"/>
            <w:u w:val="single"/>
          </w:rPr>
          <w:t>https://doi.org/10.1016/j.amsu.2021.102799</w:t>
        </w:r>
      </w:hyperlink>
    </w:p>
    <w:p w14:paraId="43316071" w14:textId="217F5AE8"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t xml:space="preserve">Kim, M. J., Kim, B. R., Lee, K. H., Ju, H. J., Bae, J. M., Choi, C. W., &amp; Youn, S. W. (2025). Exploration of drugs associated with the development of bullous pemphigoid: A nationwide study. </w:t>
      </w:r>
      <w:r w:rsidRPr="00B13936">
        <w:rPr>
          <w:rFonts w:ascii="Times New Roman" w:hAnsi="Times New Roman"/>
          <w:i/>
          <w:iCs/>
          <w:sz w:val="24"/>
          <w:szCs w:val="24"/>
        </w:rPr>
        <w:t>The Journal of Dermatology, 52</w:t>
      </w:r>
      <w:r w:rsidRPr="00B13936">
        <w:rPr>
          <w:rFonts w:ascii="Times New Roman" w:hAnsi="Times New Roman"/>
          <w:sz w:val="24"/>
          <w:szCs w:val="24"/>
        </w:rPr>
        <w:t xml:space="preserve">(8), 1304–1313. </w:t>
      </w:r>
      <w:hyperlink r:id="rId22" w:history="1">
        <w:r w:rsidRPr="00B13936">
          <w:rPr>
            <w:rFonts w:ascii="Times New Roman" w:hAnsi="Times New Roman"/>
            <w:color w:val="0000FF"/>
            <w:sz w:val="24"/>
            <w:szCs w:val="24"/>
            <w:u w:val="single"/>
          </w:rPr>
          <w:t>https://doi.org/10.1111/1346-8138.17809</w:t>
        </w:r>
      </w:hyperlink>
    </w:p>
    <w:p w14:paraId="584DA5AB" w14:textId="3136E97D"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lang w:val="nl-BE"/>
        </w:rPr>
        <w:t xml:space="preserve">Kridin, K., &amp; Ludwig, R. J. (2018). </w:t>
      </w:r>
      <w:r w:rsidRPr="00B13936">
        <w:rPr>
          <w:rFonts w:ascii="Times New Roman" w:hAnsi="Times New Roman"/>
          <w:sz w:val="24"/>
          <w:szCs w:val="24"/>
        </w:rPr>
        <w:t xml:space="preserve">The growing incidence of bullous pemphigoid: Overview and potential explanations. </w:t>
      </w:r>
      <w:r w:rsidRPr="00B13936">
        <w:rPr>
          <w:rFonts w:ascii="Times New Roman" w:hAnsi="Times New Roman"/>
          <w:i/>
          <w:iCs/>
          <w:sz w:val="24"/>
          <w:szCs w:val="24"/>
        </w:rPr>
        <w:t>Frontiers in Medicine, 5</w:t>
      </w:r>
      <w:r w:rsidRPr="00B13936">
        <w:rPr>
          <w:rFonts w:ascii="Times New Roman" w:hAnsi="Times New Roman"/>
          <w:sz w:val="24"/>
          <w:szCs w:val="24"/>
        </w:rPr>
        <w:t xml:space="preserve">, 220. </w:t>
      </w:r>
      <w:hyperlink r:id="rId23" w:history="1">
        <w:r w:rsidRPr="00B13936">
          <w:rPr>
            <w:rFonts w:ascii="Times New Roman" w:hAnsi="Times New Roman"/>
            <w:color w:val="0000FF"/>
            <w:sz w:val="24"/>
            <w:szCs w:val="24"/>
            <w:u w:val="single"/>
          </w:rPr>
          <w:t>https://doi.org/10.3389/fmed.2018.00220</w:t>
        </w:r>
      </w:hyperlink>
    </w:p>
    <w:p w14:paraId="35D96A10" w14:textId="1B144036" w:rsidR="00B13936" w:rsidRPr="00B13936" w:rsidRDefault="00B13936" w:rsidP="00B13936">
      <w:pPr>
        <w:spacing w:before="100" w:beforeAutospacing="1" w:after="100" w:afterAutospacing="1"/>
        <w:ind w:left="540" w:hanging="540"/>
        <w:jc w:val="both"/>
        <w:rPr>
          <w:rFonts w:ascii="Times New Roman" w:hAnsi="Times New Roman"/>
          <w:sz w:val="24"/>
          <w:szCs w:val="24"/>
        </w:rPr>
      </w:pPr>
      <w:proofErr w:type="spellStart"/>
      <w:r w:rsidRPr="00B13936">
        <w:rPr>
          <w:rFonts w:ascii="Times New Roman" w:hAnsi="Times New Roman"/>
          <w:sz w:val="24"/>
          <w:szCs w:val="24"/>
        </w:rPr>
        <w:t>Pratasava</w:t>
      </w:r>
      <w:proofErr w:type="spellEnd"/>
      <w:r w:rsidRPr="00B13936">
        <w:rPr>
          <w:rFonts w:ascii="Times New Roman" w:hAnsi="Times New Roman"/>
          <w:sz w:val="24"/>
          <w:szCs w:val="24"/>
        </w:rPr>
        <w:t xml:space="preserve">, V., Sahni, V. N., Suresh, A., Huang, S., Are, A., Hsu, S., &amp; </w:t>
      </w:r>
      <w:proofErr w:type="spellStart"/>
      <w:r w:rsidRPr="00B13936">
        <w:rPr>
          <w:rFonts w:ascii="Times New Roman" w:hAnsi="Times New Roman"/>
          <w:sz w:val="24"/>
          <w:szCs w:val="24"/>
        </w:rPr>
        <w:t>Motaparthi</w:t>
      </w:r>
      <w:proofErr w:type="spellEnd"/>
      <w:r w:rsidRPr="00B13936">
        <w:rPr>
          <w:rFonts w:ascii="Times New Roman" w:hAnsi="Times New Roman"/>
          <w:sz w:val="24"/>
          <w:szCs w:val="24"/>
        </w:rPr>
        <w:t xml:space="preserve">, K. (2021). Bullous pemphigoid and other pemphigoid dermatoses. </w:t>
      </w:r>
      <w:r w:rsidRPr="00B13936">
        <w:rPr>
          <w:rFonts w:ascii="Times New Roman" w:hAnsi="Times New Roman"/>
          <w:i/>
          <w:iCs/>
          <w:sz w:val="24"/>
          <w:szCs w:val="24"/>
        </w:rPr>
        <w:t>Medicina, 57</w:t>
      </w:r>
      <w:r w:rsidRPr="00B13936">
        <w:rPr>
          <w:rFonts w:ascii="Times New Roman" w:hAnsi="Times New Roman"/>
          <w:sz w:val="24"/>
          <w:szCs w:val="24"/>
        </w:rPr>
        <w:t xml:space="preserve">(10), 1061. </w:t>
      </w:r>
      <w:hyperlink r:id="rId24" w:history="1">
        <w:r w:rsidRPr="00B13936">
          <w:rPr>
            <w:rFonts w:ascii="Times New Roman" w:hAnsi="Times New Roman"/>
            <w:color w:val="0000FF"/>
            <w:sz w:val="24"/>
            <w:szCs w:val="24"/>
            <w:u w:val="single"/>
          </w:rPr>
          <w:t>https://doi.org/10.3390/medicina57101061</w:t>
        </w:r>
      </w:hyperlink>
    </w:p>
    <w:p w14:paraId="70C6B297" w14:textId="00FFF372"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t xml:space="preserve">Rawson, K., Vinod, S., Sreenivasan, B., &amp; Roy, G. (2018). Drug-induced bullous pemphigoid—A case report with review. </w:t>
      </w:r>
      <w:r w:rsidRPr="00B13936">
        <w:rPr>
          <w:rFonts w:ascii="Times New Roman" w:hAnsi="Times New Roman"/>
          <w:i/>
          <w:iCs/>
          <w:sz w:val="24"/>
          <w:szCs w:val="24"/>
        </w:rPr>
        <w:t>Journal of Indian Academy of Oral Medicine and Radiology, 30</w:t>
      </w:r>
      <w:r w:rsidRPr="00B13936">
        <w:rPr>
          <w:rFonts w:ascii="Times New Roman" w:hAnsi="Times New Roman"/>
          <w:sz w:val="24"/>
          <w:szCs w:val="24"/>
        </w:rPr>
        <w:t xml:space="preserve">(4), 427–431. </w:t>
      </w:r>
      <w:hyperlink r:id="rId25" w:history="1">
        <w:r w:rsidRPr="00B13936">
          <w:rPr>
            <w:rFonts w:ascii="Times New Roman" w:hAnsi="Times New Roman"/>
            <w:color w:val="0000FF"/>
            <w:sz w:val="24"/>
            <w:szCs w:val="24"/>
            <w:u w:val="single"/>
          </w:rPr>
          <w:t>https://doi.org/10.4103/jiaomr.jiaomr_126_18</w:t>
        </w:r>
      </w:hyperlink>
    </w:p>
    <w:p w14:paraId="11BE2F56" w14:textId="52C7D857"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lang w:val="nl-BE"/>
        </w:rPr>
        <w:t xml:space="preserve">Sadik, C. D., &amp; Schmidt, E. (2019). </w:t>
      </w:r>
      <w:r w:rsidRPr="00B13936">
        <w:rPr>
          <w:rFonts w:ascii="Times New Roman" w:hAnsi="Times New Roman"/>
          <w:sz w:val="24"/>
          <w:szCs w:val="24"/>
        </w:rPr>
        <w:t xml:space="preserve">Resolution in bullous pemphigoid. </w:t>
      </w:r>
      <w:r w:rsidRPr="00B13936">
        <w:rPr>
          <w:rFonts w:ascii="Times New Roman" w:hAnsi="Times New Roman"/>
          <w:i/>
          <w:iCs/>
          <w:sz w:val="24"/>
          <w:szCs w:val="24"/>
        </w:rPr>
        <w:t>Seminars in Immunopathology, 41</w:t>
      </w:r>
      <w:r w:rsidRPr="00B13936">
        <w:rPr>
          <w:rFonts w:ascii="Times New Roman" w:hAnsi="Times New Roman"/>
          <w:sz w:val="24"/>
          <w:szCs w:val="24"/>
        </w:rPr>
        <w:t xml:space="preserve">(6), 645–654. </w:t>
      </w:r>
      <w:hyperlink r:id="rId26" w:history="1">
        <w:r w:rsidRPr="00B13936">
          <w:rPr>
            <w:rFonts w:ascii="Times New Roman" w:hAnsi="Times New Roman"/>
            <w:color w:val="0000FF"/>
            <w:sz w:val="24"/>
            <w:szCs w:val="24"/>
            <w:u w:val="single"/>
          </w:rPr>
          <w:t>https://doi.org/10.1007/s00281-019-00759-y</w:t>
        </w:r>
      </w:hyperlink>
    </w:p>
    <w:p w14:paraId="482AC00C" w14:textId="68CB1EDC"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rPr>
        <w:lastRenderedPageBreak/>
        <w:t xml:space="preserve">Stavropoulos, P. G., Soura, E., &amp; Antoniou, C. (2014). Drug-induced pemphigoid: A review of the literature. </w:t>
      </w:r>
      <w:r w:rsidRPr="00B13936">
        <w:rPr>
          <w:rFonts w:ascii="Times New Roman" w:hAnsi="Times New Roman"/>
          <w:i/>
          <w:iCs/>
          <w:sz w:val="24"/>
          <w:szCs w:val="24"/>
        </w:rPr>
        <w:t>Journal of the European Academy of Dermatology and Venereology, 28</w:t>
      </w:r>
      <w:r w:rsidRPr="00B13936">
        <w:rPr>
          <w:rFonts w:ascii="Times New Roman" w:hAnsi="Times New Roman"/>
          <w:sz w:val="24"/>
          <w:szCs w:val="24"/>
        </w:rPr>
        <w:t xml:space="preserve">(9), 1133–1140. </w:t>
      </w:r>
      <w:hyperlink r:id="rId27" w:history="1">
        <w:r w:rsidRPr="00B13936">
          <w:rPr>
            <w:rFonts w:ascii="Times New Roman" w:hAnsi="Times New Roman"/>
            <w:color w:val="0000FF"/>
            <w:sz w:val="24"/>
            <w:szCs w:val="24"/>
            <w:u w:val="single"/>
          </w:rPr>
          <w:t>https://doi.org/10.1111/jdv.12366</w:t>
        </w:r>
      </w:hyperlink>
    </w:p>
    <w:p w14:paraId="2B1662FA" w14:textId="21700D9D"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lang w:val="nl-BE"/>
        </w:rPr>
        <w:t xml:space="preserve">Verheyden, M. J., Bilgic, A., &amp; Murrell, D. F. (2020). </w:t>
      </w:r>
      <w:r w:rsidRPr="00B13936">
        <w:rPr>
          <w:rFonts w:ascii="Times New Roman" w:hAnsi="Times New Roman"/>
          <w:sz w:val="24"/>
          <w:szCs w:val="24"/>
        </w:rPr>
        <w:t xml:space="preserve">A systematic review of drug-induced pemphigoid. </w:t>
      </w:r>
      <w:r w:rsidRPr="00B13936">
        <w:rPr>
          <w:rFonts w:ascii="Times New Roman" w:hAnsi="Times New Roman"/>
          <w:i/>
          <w:iCs/>
          <w:sz w:val="24"/>
          <w:szCs w:val="24"/>
        </w:rPr>
        <w:t>Acta Dermato-</w:t>
      </w:r>
      <w:proofErr w:type="spellStart"/>
      <w:r w:rsidRPr="00B13936">
        <w:rPr>
          <w:rFonts w:ascii="Times New Roman" w:hAnsi="Times New Roman"/>
          <w:i/>
          <w:iCs/>
          <w:sz w:val="24"/>
          <w:szCs w:val="24"/>
        </w:rPr>
        <w:t>Venereologica</w:t>
      </w:r>
      <w:proofErr w:type="spellEnd"/>
      <w:r w:rsidRPr="00B13936">
        <w:rPr>
          <w:rFonts w:ascii="Times New Roman" w:hAnsi="Times New Roman"/>
          <w:i/>
          <w:iCs/>
          <w:sz w:val="24"/>
          <w:szCs w:val="24"/>
        </w:rPr>
        <w:t>, 100</w:t>
      </w:r>
      <w:r w:rsidRPr="00B13936">
        <w:rPr>
          <w:rFonts w:ascii="Times New Roman" w:hAnsi="Times New Roman"/>
          <w:sz w:val="24"/>
          <w:szCs w:val="24"/>
        </w:rPr>
        <w:t xml:space="preserve">(15), adv00224. </w:t>
      </w:r>
      <w:hyperlink r:id="rId28" w:history="1">
        <w:r w:rsidRPr="00B13936">
          <w:rPr>
            <w:rFonts w:ascii="Times New Roman" w:hAnsi="Times New Roman"/>
            <w:color w:val="0000FF"/>
            <w:sz w:val="24"/>
            <w:szCs w:val="24"/>
            <w:u w:val="single"/>
          </w:rPr>
          <w:t>https://doi.org/10.2340/00015555-3457</w:t>
        </w:r>
      </w:hyperlink>
    </w:p>
    <w:p w14:paraId="14DFE9C3" w14:textId="63CFDC0A" w:rsidR="00B13936" w:rsidRPr="00B13936" w:rsidRDefault="00B13936" w:rsidP="00B13936">
      <w:pPr>
        <w:spacing w:before="100" w:beforeAutospacing="1" w:after="100" w:afterAutospacing="1"/>
        <w:ind w:left="540" w:hanging="540"/>
        <w:jc w:val="both"/>
        <w:rPr>
          <w:rFonts w:ascii="Times New Roman" w:hAnsi="Times New Roman"/>
          <w:sz w:val="24"/>
          <w:szCs w:val="24"/>
        </w:rPr>
      </w:pPr>
      <w:r w:rsidRPr="00B13936">
        <w:rPr>
          <w:rFonts w:ascii="Times New Roman" w:hAnsi="Times New Roman"/>
          <w:sz w:val="24"/>
          <w:szCs w:val="24"/>
          <w:lang w:val="nl-BE"/>
        </w:rPr>
        <w:t xml:space="preserve">Wanjari, M. B., Mendhe, D., Wankhede, P., Alwadkar, S., &amp; Rodge, H. (2021). </w:t>
      </w:r>
      <w:r w:rsidRPr="00B13936">
        <w:rPr>
          <w:rFonts w:ascii="Times New Roman" w:hAnsi="Times New Roman"/>
          <w:sz w:val="24"/>
          <w:szCs w:val="24"/>
        </w:rPr>
        <w:t xml:space="preserve">Bullous pemphigoid—A rare case report. </w:t>
      </w:r>
      <w:r w:rsidRPr="00B13936">
        <w:rPr>
          <w:rFonts w:ascii="Times New Roman" w:hAnsi="Times New Roman"/>
          <w:i/>
          <w:iCs/>
          <w:sz w:val="24"/>
          <w:szCs w:val="24"/>
        </w:rPr>
        <w:t>Journal of Pharmaceutical Research International, 33</w:t>
      </w:r>
      <w:r w:rsidRPr="00B13936">
        <w:rPr>
          <w:rFonts w:ascii="Times New Roman" w:hAnsi="Times New Roman"/>
          <w:sz w:val="24"/>
          <w:szCs w:val="24"/>
        </w:rPr>
        <w:t xml:space="preserve">(44A), 151–155. </w:t>
      </w:r>
      <w:hyperlink r:id="rId29" w:history="1">
        <w:r w:rsidRPr="00B13936">
          <w:rPr>
            <w:rFonts w:ascii="Times New Roman" w:hAnsi="Times New Roman"/>
            <w:color w:val="0000FF"/>
            <w:sz w:val="24"/>
            <w:szCs w:val="24"/>
            <w:u w:val="single"/>
          </w:rPr>
          <w:t>https://doi.org/10.9734/jpri/2021/v33i44A32601</w:t>
        </w:r>
      </w:hyperlink>
    </w:p>
    <w:p w14:paraId="6D17A89E" w14:textId="002E5D6F" w:rsidR="00B13936" w:rsidRPr="00B13936" w:rsidRDefault="00B13936" w:rsidP="00B13936">
      <w:pPr>
        <w:spacing w:before="100" w:beforeAutospacing="1" w:after="100" w:afterAutospacing="1"/>
        <w:ind w:left="540" w:hanging="540"/>
        <w:jc w:val="both"/>
        <w:rPr>
          <w:rFonts w:ascii="Times New Roman" w:hAnsi="Times New Roman"/>
          <w:sz w:val="24"/>
          <w:szCs w:val="24"/>
          <w:lang w:val="nl-BE"/>
        </w:rPr>
      </w:pPr>
      <w:proofErr w:type="spellStart"/>
      <w:r w:rsidRPr="00B13936">
        <w:rPr>
          <w:rFonts w:ascii="Times New Roman" w:hAnsi="Times New Roman"/>
          <w:sz w:val="24"/>
          <w:szCs w:val="24"/>
        </w:rPr>
        <w:t>Wirbel</w:t>
      </w:r>
      <w:proofErr w:type="spellEnd"/>
      <w:r w:rsidRPr="00B13936">
        <w:rPr>
          <w:rFonts w:ascii="Times New Roman" w:hAnsi="Times New Roman"/>
          <w:sz w:val="24"/>
          <w:szCs w:val="24"/>
        </w:rPr>
        <w:t xml:space="preserve">, C., Milley, S., Balme, B., &amp; Dalle, S. (2020). </w:t>
      </w:r>
      <w:proofErr w:type="spellStart"/>
      <w:r w:rsidRPr="00B13936">
        <w:rPr>
          <w:rFonts w:ascii="Times New Roman" w:hAnsi="Times New Roman"/>
          <w:sz w:val="24"/>
          <w:szCs w:val="24"/>
        </w:rPr>
        <w:t>Pemphigoïde</w:t>
      </w:r>
      <w:proofErr w:type="spellEnd"/>
      <w:r w:rsidRPr="00B13936">
        <w:rPr>
          <w:rFonts w:ascii="Times New Roman" w:hAnsi="Times New Roman"/>
          <w:sz w:val="24"/>
          <w:szCs w:val="24"/>
        </w:rPr>
        <w:t xml:space="preserve"> </w:t>
      </w:r>
      <w:proofErr w:type="spellStart"/>
      <w:r w:rsidRPr="00B13936">
        <w:rPr>
          <w:rFonts w:ascii="Times New Roman" w:hAnsi="Times New Roman"/>
          <w:sz w:val="24"/>
          <w:szCs w:val="24"/>
        </w:rPr>
        <w:t>bulleuse</w:t>
      </w:r>
      <w:proofErr w:type="spellEnd"/>
      <w:r w:rsidRPr="00B13936">
        <w:rPr>
          <w:rFonts w:ascii="Times New Roman" w:hAnsi="Times New Roman"/>
          <w:sz w:val="24"/>
          <w:szCs w:val="24"/>
        </w:rPr>
        <w:t xml:space="preserve"> sous anti-PD1 [Bullous pemphigoid under anti-PD1 therapy]. </w:t>
      </w:r>
      <w:r w:rsidRPr="00B13936">
        <w:rPr>
          <w:rFonts w:ascii="Times New Roman" w:hAnsi="Times New Roman"/>
          <w:i/>
          <w:iCs/>
          <w:sz w:val="24"/>
          <w:szCs w:val="24"/>
          <w:lang w:val="nl-BE"/>
        </w:rPr>
        <w:t>Annales de Dermatologie et de Vénéréologie, 147</w:t>
      </w:r>
      <w:r w:rsidRPr="00B13936">
        <w:rPr>
          <w:rFonts w:ascii="Times New Roman" w:hAnsi="Times New Roman"/>
          <w:sz w:val="24"/>
          <w:szCs w:val="24"/>
          <w:lang w:val="nl-BE"/>
        </w:rPr>
        <w:t xml:space="preserve">(11), 795–797. </w:t>
      </w:r>
      <w:r w:rsidRPr="00B13936">
        <w:rPr>
          <w:rFonts w:ascii="Times New Roman" w:hAnsi="Times New Roman"/>
          <w:sz w:val="24"/>
          <w:szCs w:val="24"/>
        </w:rPr>
        <w:fldChar w:fldCharType="begin"/>
      </w:r>
      <w:r w:rsidRPr="00B13936">
        <w:rPr>
          <w:rFonts w:ascii="Times New Roman" w:hAnsi="Times New Roman"/>
          <w:sz w:val="24"/>
          <w:szCs w:val="24"/>
          <w:lang w:val="nl-BE"/>
        </w:rPr>
        <w:instrText>HYPERLINK "https://doi.org/10.1016/j.annder.2020.06.013"</w:instrText>
      </w:r>
      <w:r w:rsidRPr="00B13936">
        <w:rPr>
          <w:rFonts w:ascii="Times New Roman" w:hAnsi="Times New Roman"/>
          <w:sz w:val="24"/>
          <w:szCs w:val="24"/>
        </w:rPr>
        <w:fldChar w:fldCharType="separate"/>
      </w:r>
      <w:r w:rsidRPr="00B13936">
        <w:rPr>
          <w:rFonts w:ascii="Times New Roman" w:hAnsi="Times New Roman"/>
          <w:color w:val="0000FF"/>
          <w:sz w:val="24"/>
          <w:szCs w:val="24"/>
          <w:u w:val="single"/>
          <w:lang w:val="nl-BE"/>
        </w:rPr>
        <w:t>https://doi.org/10.1016/j.annder.2020.06.013</w:t>
      </w:r>
      <w:r w:rsidRPr="00B13936">
        <w:rPr>
          <w:rFonts w:ascii="Times New Roman" w:hAnsi="Times New Roman"/>
          <w:sz w:val="24"/>
          <w:szCs w:val="24"/>
        </w:rPr>
        <w:fldChar w:fldCharType="end"/>
      </w:r>
    </w:p>
    <w:p w14:paraId="3FAC99E1" w14:textId="15A27744" w:rsidR="00B13936" w:rsidRPr="00B13936" w:rsidRDefault="00B13936" w:rsidP="00B13936">
      <w:pPr>
        <w:spacing w:before="100" w:beforeAutospacing="1" w:after="100" w:afterAutospacing="1"/>
        <w:ind w:left="540" w:hanging="540"/>
        <w:jc w:val="both"/>
        <w:rPr>
          <w:rFonts w:ascii="Times New Roman" w:hAnsi="Times New Roman"/>
          <w:sz w:val="24"/>
          <w:szCs w:val="24"/>
        </w:rPr>
      </w:pPr>
      <w:proofErr w:type="spellStart"/>
      <w:r w:rsidRPr="00B13936">
        <w:rPr>
          <w:rFonts w:ascii="Times New Roman" w:hAnsi="Times New Roman"/>
          <w:sz w:val="24"/>
          <w:szCs w:val="24"/>
        </w:rPr>
        <w:t>Yulianggoro</w:t>
      </w:r>
      <w:proofErr w:type="spellEnd"/>
      <w:r w:rsidRPr="00B13936">
        <w:rPr>
          <w:rFonts w:ascii="Times New Roman" w:hAnsi="Times New Roman"/>
          <w:sz w:val="24"/>
          <w:szCs w:val="24"/>
        </w:rPr>
        <w:t xml:space="preserve">, E. R., &amp; </w:t>
      </w:r>
      <w:proofErr w:type="spellStart"/>
      <w:r w:rsidRPr="00B13936">
        <w:rPr>
          <w:rFonts w:ascii="Times New Roman" w:hAnsi="Times New Roman"/>
          <w:sz w:val="24"/>
          <w:szCs w:val="24"/>
        </w:rPr>
        <w:t>Astari</w:t>
      </w:r>
      <w:proofErr w:type="spellEnd"/>
      <w:r w:rsidRPr="00B13936">
        <w:rPr>
          <w:rFonts w:ascii="Times New Roman" w:hAnsi="Times New Roman"/>
          <w:sz w:val="24"/>
          <w:szCs w:val="24"/>
        </w:rPr>
        <w:t xml:space="preserve">, L. (2024). Drug-induced bullous pemphigoid: Rapid resolution with corticosteroid therapy. </w:t>
      </w:r>
      <w:r w:rsidRPr="00B13936">
        <w:rPr>
          <w:rFonts w:ascii="Times New Roman" w:hAnsi="Times New Roman"/>
          <w:i/>
          <w:iCs/>
          <w:sz w:val="24"/>
          <w:szCs w:val="24"/>
        </w:rPr>
        <w:t>Journal of Medicinal and Chemical Sciences, 7</w:t>
      </w:r>
      <w:r w:rsidRPr="00B13936">
        <w:rPr>
          <w:rFonts w:ascii="Times New Roman" w:hAnsi="Times New Roman"/>
          <w:sz w:val="24"/>
          <w:szCs w:val="24"/>
        </w:rPr>
        <w:t xml:space="preserve">(2), 300–310. </w:t>
      </w:r>
      <w:hyperlink r:id="rId30" w:history="1">
        <w:r w:rsidRPr="00B13936">
          <w:rPr>
            <w:rFonts w:ascii="Times New Roman" w:hAnsi="Times New Roman"/>
            <w:color w:val="0000FF"/>
            <w:sz w:val="24"/>
            <w:szCs w:val="24"/>
            <w:u w:val="single"/>
          </w:rPr>
          <w:t>https://doi.org/10.26655/JMCHEMSCI.2024.2.3</w:t>
        </w:r>
      </w:hyperlink>
    </w:p>
    <w:p w14:paraId="0FDDC610" w14:textId="77777777" w:rsidR="007B2434" w:rsidRDefault="007B2434"/>
    <w:sectPr w:rsidR="007B2434" w:rsidSect="00607022">
      <w:headerReference w:type="even" r:id="rId31"/>
      <w:headerReference w:type="default" r:id="rId32"/>
      <w:footerReference w:type="default" r:id="rId33"/>
      <w:headerReference w:type="first" r:id="rId3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65A30" w14:textId="77777777" w:rsidR="00C81946" w:rsidRDefault="00C81946" w:rsidP="00607022">
      <w:r>
        <w:separator/>
      </w:r>
    </w:p>
  </w:endnote>
  <w:endnote w:type="continuationSeparator" w:id="0">
    <w:p w14:paraId="3DA81817" w14:textId="77777777" w:rsidR="00C81946" w:rsidRDefault="00C81946" w:rsidP="00607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A4EC" w14:textId="77777777" w:rsidR="00A367FF" w:rsidRDefault="00A36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BDA0" w14:textId="77777777" w:rsidR="00A367FF" w:rsidRDefault="00A36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DAAA2" w14:textId="77777777" w:rsidR="00607022" w:rsidRPr="00A367FF" w:rsidRDefault="00607022" w:rsidP="00A367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8710" w14:textId="77777777" w:rsidR="00607022" w:rsidRPr="00C37E61" w:rsidRDefault="00607022"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C755E" w14:textId="77777777" w:rsidR="00C81946" w:rsidRDefault="00C81946" w:rsidP="00607022">
      <w:r>
        <w:separator/>
      </w:r>
    </w:p>
  </w:footnote>
  <w:footnote w:type="continuationSeparator" w:id="0">
    <w:p w14:paraId="72B88054" w14:textId="77777777" w:rsidR="00C81946" w:rsidRDefault="00C81946" w:rsidP="00607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85328" w14:textId="77777777" w:rsidR="00A367FF" w:rsidRDefault="00000000">
    <w:pPr>
      <w:pStyle w:val="Header"/>
    </w:pPr>
    <w:r>
      <w:rPr>
        <w:noProof/>
      </w:rPr>
      <w:pict w14:anchorId="5858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29"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F561A" w14:textId="77777777" w:rsidR="00A367FF" w:rsidRDefault="00000000">
    <w:pPr>
      <w:pStyle w:val="Header"/>
    </w:pPr>
    <w:r>
      <w:rPr>
        <w:noProof/>
      </w:rPr>
      <w:pict w14:anchorId="548CCE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0"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C54D" w14:textId="77777777" w:rsidR="00607022" w:rsidRPr="00296529" w:rsidRDefault="00000000" w:rsidP="00296529">
    <w:pPr>
      <w:ind w:left="2160"/>
      <w:jc w:val="center"/>
      <w:rPr>
        <w:rFonts w:ascii="Times New Roman" w:eastAsia="Calibri" w:hAnsi="Times New Roman"/>
        <w:i/>
        <w:sz w:val="18"/>
        <w:szCs w:val="22"/>
      </w:rPr>
    </w:pPr>
    <w:r>
      <w:rPr>
        <w:noProof/>
      </w:rPr>
      <w:pict w14:anchorId="1D12CA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28"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65DD36" w14:textId="77777777" w:rsidR="00607022" w:rsidRPr="00296529" w:rsidRDefault="00607022"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BE429F8" w14:textId="77777777" w:rsidR="00607022" w:rsidRPr="00296529" w:rsidRDefault="00607022"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B2B08A0" w14:textId="77777777" w:rsidR="00607022" w:rsidRPr="00296529" w:rsidRDefault="00607022"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CF6D3F1" w14:textId="77777777" w:rsidR="00607022" w:rsidRDefault="00607022"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42D9B17" w14:textId="77777777" w:rsidR="00607022" w:rsidRDefault="00607022"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4A3B9B1" w14:textId="77777777" w:rsidR="00607022" w:rsidRDefault="00607022">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D87B3" w14:textId="77777777" w:rsidR="00A367FF" w:rsidRDefault="00000000">
    <w:pPr>
      <w:pStyle w:val="Header"/>
    </w:pPr>
    <w:r>
      <w:rPr>
        <w:noProof/>
      </w:rPr>
      <w:pict w14:anchorId="7A089A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2"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D4F2F1E">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0EBB" w14:textId="77777777" w:rsidR="00A367FF" w:rsidRDefault="00000000">
    <w:pPr>
      <w:pStyle w:val="Header"/>
    </w:pPr>
    <w:r>
      <w:rPr>
        <w:noProof/>
      </w:rPr>
      <w:pict w14:anchorId="64A091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3"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3582BD1">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3D98D" w14:textId="77777777" w:rsidR="00A367FF" w:rsidRPr="00296529" w:rsidRDefault="00000000" w:rsidP="00296529">
    <w:pPr>
      <w:ind w:left="2160"/>
      <w:jc w:val="center"/>
      <w:rPr>
        <w:rFonts w:ascii="Times New Roman" w:eastAsia="Calibri" w:hAnsi="Times New Roman"/>
        <w:i/>
        <w:sz w:val="18"/>
        <w:szCs w:val="22"/>
      </w:rPr>
    </w:pPr>
    <w:r>
      <w:rPr>
        <w:noProof/>
      </w:rPr>
      <w:pict w14:anchorId="17012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91331"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CFB919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86DB038" w14:textId="77777777" w:rsidR="00A367FF" w:rsidRPr="00296529" w:rsidRDefault="00A367F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30E1E73" w14:textId="77777777" w:rsidR="00A367FF" w:rsidRPr="00296529" w:rsidRDefault="00A367F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FB2EDE8" w14:textId="77777777" w:rsidR="00A367FF" w:rsidRPr="00296529" w:rsidRDefault="00A367F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E5DA5BD" w14:textId="77777777" w:rsidR="00A367FF" w:rsidRDefault="00A367F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9AC0FEF" w14:textId="77777777" w:rsidR="00A367FF" w:rsidRDefault="00A367F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8EC4094" w14:textId="77777777" w:rsidR="00A367FF" w:rsidRDefault="00A367F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09B47B8"/>
    <w:multiLevelType w:val="multilevel"/>
    <w:tmpl w:val="22E63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B2D4B37"/>
    <w:multiLevelType w:val="hybridMultilevel"/>
    <w:tmpl w:val="237E1D8E"/>
    <w:lvl w:ilvl="0" w:tplc="04E89F2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B590E2B"/>
    <w:multiLevelType w:val="hybridMultilevel"/>
    <w:tmpl w:val="7E4A4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D0345"/>
    <w:multiLevelType w:val="hybridMultilevel"/>
    <w:tmpl w:val="3DDCAC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8"/>
  </w:num>
  <w:num w:numId="3" w16cid:durableId="270210722">
    <w:abstractNumId w:val="27"/>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8"/>
  </w:num>
  <w:num w:numId="6" w16cid:durableId="1798571421">
    <w:abstractNumId w:val="6"/>
  </w:num>
  <w:num w:numId="7" w16cid:durableId="922571905">
    <w:abstractNumId w:val="1"/>
  </w:num>
  <w:num w:numId="8" w16cid:durableId="1218055954">
    <w:abstractNumId w:val="14"/>
  </w:num>
  <w:num w:numId="9" w16cid:durableId="329874782">
    <w:abstractNumId w:val="29"/>
  </w:num>
  <w:num w:numId="10" w16cid:durableId="1967344970">
    <w:abstractNumId w:val="2"/>
  </w:num>
  <w:num w:numId="11" w16cid:durableId="412317892">
    <w:abstractNumId w:val="22"/>
  </w:num>
  <w:num w:numId="12" w16cid:durableId="1162699396">
    <w:abstractNumId w:val="3"/>
  </w:num>
  <w:num w:numId="13" w16cid:durableId="1799378455">
    <w:abstractNumId w:val="21"/>
  </w:num>
  <w:num w:numId="14" w16cid:durableId="1847285408">
    <w:abstractNumId w:val="10"/>
  </w:num>
  <w:num w:numId="15" w16cid:durableId="302076680">
    <w:abstractNumId w:val="25"/>
  </w:num>
  <w:num w:numId="16" w16cid:durableId="2101171267">
    <w:abstractNumId w:val="5"/>
  </w:num>
  <w:num w:numId="17" w16cid:durableId="2095474162">
    <w:abstractNumId w:val="26"/>
  </w:num>
  <w:num w:numId="18" w16cid:durableId="726026076">
    <w:abstractNumId w:val="16"/>
  </w:num>
  <w:num w:numId="19" w16cid:durableId="1507742585">
    <w:abstractNumId w:val="32"/>
  </w:num>
  <w:num w:numId="20" w16cid:durableId="1414359059">
    <w:abstractNumId w:val="13"/>
  </w:num>
  <w:num w:numId="21" w16cid:durableId="780808669">
    <w:abstractNumId w:val="11"/>
  </w:num>
  <w:num w:numId="22" w16cid:durableId="85656562">
    <w:abstractNumId w:val="15"/>
  </w:num>
  <w:num w:numId="23" w16cid:durableId="1114595123">
    <w:abstractNumId w:val="23"/>
  </w:num>
  <w:num w:numId="24" w16cid:durableId="1717074228">
    <w:abstractNumId w:val="30"/>
  </w:num>
  <w:num w:numId="25" w16cid:durableId="1206672560">
    <w:abstractNumId w:val="4"/>
  </w:num>
  <w:num w:numId="26" w16cid:durableId="121193178">
    <w:abstractNumId w:val="19"/>
  </w:num>
  <w:num w:numId="27" w16cid:durableId="1448308770">
    <w:abstractNumId w:val="24"/>
  </w:num>
  <w:num w:numId="28" w16cid:durableId="2027902646">
    <w:abstractNumId w:val="31"/>
  </w:num>
  <w:num w:numId="29" w16cid:durableId="452793216">
    <w:abstractNumId w:val="28"/>
  </w:num>
  <w:num w:numId="30" w16cid:durableId="511115286">
    <w:abstractNumId w:val="12"/>
  </w:num>
  <w:num w:numId="31" w16cid:durableId="1495755599">
    <w:abstractNumId w:val="9"/>
  </w:num>
  <w:num w:numId="32" w16cid:durableId="1868834862">
    <w:abstractNumId w:val="7"/>
  </w:num>
  <w:num w:numId="33" w16cid:durableId="1689671833">
    <w:abstractNumId w:val="17"/>
  </w:num>
  <w:num w:numId="34" w16cid:durableId="58269068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022"/>
    <w:rsid w:val="0004318D"/>
    <w:rsid w:val="000A3613"/>
    <w:rsid w:val="000D1655"/>
    <w:rsid w:val="000F516E"/>
    <w:rsid w:val="00100449"/>
    <w:rsid w:val="0019326D"/>
    <w:rsid w:val="001935DB"/>
    <w:rsid w:val="003A3770"/>
    <w:rsid w:val="003B4AB7"/>
    <w:rsid w:val="003E6756"/>
    <w:rsid w:val="00533EFB"/>
    <w:rsid w:val="00577012"/>
    <w:rsid w:val="00577BF6"/>
    <w:rsid w:val="005908DF"/>
    <w:rsid w:val="00591FF4"/>
    <w:rsid w:val="005A0330"/>
    <w:rsid w:val="005E1E66"/>
    <w:rsid w:val="005E24E6"/>
    <w:rsid w:val="00607022"/>
    <w:rsid w:val="006475D3"/>
    <w:rsid w:val="00671A6B"/>
    <w:rsid w:val="00714088"/>
    <w:rsid w:val="00773781"/>
    <w:rsid w:val="007B2434"/>
    <w:rsid w:val="00846C8F"/>
    <w:rsid w:val="008623A6"/>
    <w:rsid w:val="00862AED"/>
    <w:rsid w:val="008F4425"/>
    <w:rsid w:val="009515AE"/>
    <w:rsid w:val="00955E75"/>
    <w:rsid w:val="009561D6"/>
    <w:rsid w:val="00995603"/>
    <w:rsid w:val="009E748D"/>
    <w:rsid w:val="00A06250"/>
    <w:rsid w:val="00A24D79"/>
    <w:rsid w:val="00A266D6"/>
    <w:rsid w:val="00A367FF"/>
    <w:rsid w:val="00A4117F"/>
    <w:rsid w:val="00A6628B"/>
    <w:rsid w:val="00A76A96"/>
    <w:rsid w:val="00A803E0"/>
    <w:rsid w:val="00A86FF1"/>
    <w:rsid w:val="00AC1C2E"/>
    <w:rsid w:val="00B13936"/>
    <w:rsid w:val="00C07612"/>
    <w:rsid w:val="00C53102"/>
    <w:rsid w:val="00C81946"/>
    <w:rsid w:val="00C969B3"/>
    <w:rsid w:val="00DA3FD8"/>
    <w:rsid w:val="00E54EF6"/>
    <w:rsid w:val="00E64699"/>
    <w:rsid w:val="00E66D4D"/>
    <w:rsid w:val="00E7155D"/>
    <w:rsid w:val="00E936DB"/>
    <w:rsid w:val="00EF06DA"/>
    <w:rsid w:val="00F228CF"/>
    <w:rsid w:val="00FA78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A18BA"/>
  <w15:chartTrackingRefBased/>
  <w15:docId w15:val="{EE012964-99BB-418D-B7DD-2E7D4D249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022"/>
    <w:pPr>
      <w:spacing w:after="0" w:line="240" w:lineRule="auto"/>
    </w:pPr>
    <w:rPr>
      <w:rFonts w:ascii="Helvetica" w:eastAsia="Times New Roman" w:hAnsi="Helvetica" w:cs="Times New Roman"/>
      <w:kern w:val="0"/>
      <w:sz w:val="20"/>
      <w:szCs w:val="20"/>
      <w:lang w:val="en-US"/>
      <w14:ligatures w14:val="none"/>
    </w:rPr>
  </w:style>
  <w:style w:type="paragraph" w:styleId="Heading1">
    <w:name w:val="heading 1"/>
    <w:basedOn w:val="Normal"/>
    <w:next w:val="Normal"/>
    <w:link w:val="Heading1Char"/>
    <w:qFormat/>
    <w:rsid w:val="0060702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0702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0702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0702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0702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0702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02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02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02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02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702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702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702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702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70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0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0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022"/>
    <w:rPr>
      <w:rFonts w:eastAsiaTheme="majorEastAsia" w:cstheme="majorBidi"/>
      <w:color w:val="272727" w:themeColor="text1" w:themeTint="D8"/>
    </w:rPr>
  </w:style>
  <w:style w:type="paragraph" w:styleId="Title">
    <w:name w:val="Title"/>
    <w:basedOn w:val="Normal"/>
    <w:next w:val="Normal"/>
    <w:link w:val="TitleChar"/>
    <w:qFormat/>
    <w:rsid w:val="006070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0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0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0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022"/>
    <w:pPr>
      <w:spacing w:before="160"/>
      <w:jc w:val="center"/>
    </w:pPr>
    <w:rPr>
      <w:i/>
      <w:iCs/>
      <w:color w:val="404040" w:themeColor="text1" w:themeTint="BF"/>
    </w:rPr>
  </w:style>
  <w:style w:type="character" w:customStyle="1" w:styleId="QuoteChar">
    <w:name w:val="Quote Char"/>
    <w:basedOn w:val="DefaultParagraphFont"/>
    <w:link w:val="Quote"/>
    <w:uiPriority w:val="29"/>
    <w:rsid w:val="00607022"/>
    <w:rPr>
      <w:i/>
      <w:iCs/>
      <w:color w:val="404040" w:themeColor="text1" w:themeTint="BF"/>
    </w:rPr>
  </w:style>
  <w:style w:type="paragraph" w:styleId="ListParagraph">
    <w:name w:val="List Paragraph"/>
    <w:basedOn w:val="Normal"/>
    <w:uiPriority w:val="34"/>
    <w:qFormat/>
    <w:rsid w:val="00607022"/>
    <w:pPr>
      <w:ind w:left="720"/>
      <w:contextualSpacing/>
    </w:pPr>
  </w:style>
  <w:style w:type="character" w:styleId="IntenseEmphasis">
    <w:name w:val="Intense Emphasis"/>
    <w:basedOn w:val="DefaultParagraphFont"/>
    <w:uiPriority w:val="21"/>
    <w:qFormat/>
    <w:rsid w:val="00607022"/>
    <w:rPr>
      <w:i/>
      <w:iCs/>
      <w:color w:val="2E74B5" w:themeColor="accent1" w:themeShade="BF"/>
    </w:rPr>
  </w:style>
  <w:style w:type="paragraph" w:styleId="IntenseQuote">
    <w:name w:val="Intense Quote"/>
    <w:basedOn w:val="Normal"/>
    <w:next w:val="Normal"/>
    <w:link w:val="IntenseQuoteChar"/>
    <w:uiPriority w:val="30"/>
    <w:qFormat/>
    <w:rsid w:val="0060702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07022"/>
    <w:rPr>
      <w:i/>
      <w:iCs/>
      <w:color w:val="2E74B5" w:themeColor="accent1" w:themeShade="BF"/>
    </w:rPr>
  </w:style>
  <w:style w:type="character" w:styleId="IntenseReference">
    <w:name w:val="Intense Reference"/>
    <w:basedOn w:val="DefaultParagraphFont"/>
    <w:uiPriority w:val="32"/>
    <w:qFormat/>
    <w:rsid w:val="00607022"/>
    <w:rPr>
      <w:b/>
      <w:bCs/>
      <w:smallCaps/>
      <w:color w:val="2E74B5" w:themeColor="accent1" w:themeShade="BF"/>
      <w:spacing w:val="5"/>
    </w:rPr>
  </w:style>
  <w:style w:type="paragraph" w:customStyle="1" w:styleId="Author">
    <w:name w:val="Author"/>
    <w:basedOn w:val="Normal"/>
    <w:rsid w:val="00607022"/>
    <w:pPr>
      <w:spacing w:line="280" w:lineRule="exact"/>
      <w:jc w:val="right"/>
    </w:pPr>
    <w:rPr>
      <w:b/>
      <w:sz w:val="24"/>
    </w:rPr>
  </w:style>
  <w:style w:type="paragraph" w:customStyle="1" w:styleId="Affiliation">
    <w:name w:val="Affiliation"/>
    <w:basedOn w:val="Normal"/>
    <w:rsid w:val="00607022"/>
    <w:pPr>
      <w:spacing w:after="240" w:line="240" w:lineRule="exact"/>
      <w:jc w:val="right"/>
    </w:pPr>
  </w:style>
  <w:style w:type="paragraph" w:customStyle="1" w:styleId="Body">
    <w:name w:val="Body"/>
    <w:basedOn w:val="Normal"/>
    <w:rsid w:val="00607022"/>
    <w:pPr>
      <w:spacing w:after="240"/>
      <w:jc w:val="both"/>
    </w:pPr>
  </w:style>
  <w:style w:type="paragraph" w:customStyle="1" w:styleId="AbstHead">
    <w:name w:val="Abst Head"/>
    <w:basedOn w:val="MainHead"/>
    <w:rsid w:val="00607022"/>
    <w:rPr>
      <w:sz w:val="22"/>
    </w:rPr>
  </w:style>
  <w:style w:type="paragraph" w:customStyle="1" w:styleId="IntroHead">
    <w:name w:val="Intro Head"/>
    <w:basedOn w:val="MainHead"/>
    <w:rsid w:val="00607022"/>
    <w:rPr>
      <w:sz w:val="22"/>
    </w:rPr>
  </w:style>
  <w:style w:type="paragraph" w:customStyle="1" w:styleId="PaperNumber">
    <w:name w:val="Paper Number"/>
    <w:basedOn w:val="Normal"/>
    <w:rsid w:val="00607022"/>
    <w:pPr>
      <w:spacing w:after="280" w:line="280" w:lineRule="exact"/>
      <w:jc w:val="right"/>
    </w:pPr>
    <w:rPr>
      <w:b/>
      <w:sz w:val="28"/>
    </w:rPr>
  </w:style>
  <w:style w:type="paragraph" w:customStyle="1" w:styleId="ConcHead">
    <w:name w:val="Conc Head"/>
    <w:basedOn w:val="MainHead"/>
    <w:rsid w:val="00607022"/>
    <w:rPr>
      <w:sz w:val="22"/>
    </w:rPr>
  </w:style>
  <w:style w:type="paragraph" w:customStyle="1" w:styleId="AcknHead">
    <w:name w:val="Ackn Head"/>
    <w:basedOn w:val="MainHead"/>
    <w:rsid w:val="00607022"/>
    <w:rPr>
      <w:sz w:val="22"/>
    </w:rPr>
  </w:style>
  <w:style w:type="paragraph" w:customStyle="1" w:styleId="ReferHead">
    <w:name w:val="Refer Head"/>
    <w:basedOn w:val="MainHead"/>
    <w:rsid w:val="00607022"/>
    <w:rPr>
      <w:sz w:val="22"/>
    </w:rPr>
  </w:style>
  <w:style w:type="paragraph" w:customStyle="1" w:styleId="AddSrcHead">
    <w:name w:val="AddSrc Head"/>
    <w:basedOn w:val="MainHead"/>
    <w:rsid w:val="00607022"/>
    <w:rPr>
      <w:sz w:val="22"/>
    </w:rPr>
  </w:style>
  <w:style w:type="paragraph" w:customStyle="1" w:styleId="DefAcrHead">
    <w:name w:val="DefAcrHead"/>
    <w:basedOn w:val="MainHead"/>
    <w:rsid w:val="00607022"/>
    <w:rPr>
      <w:sz w:val="22"/>
    </w:rPr>
  </w:style>
  <w:style w:type="paragraph" w:customStyle="1" w:styleId="Copyright">
    <w:name w:val="Copyright"/>
    <w:basedOn w:val="Normal"/>
    <w:rsid w:val="00607022"/>
    <w:pPr>
      <w:spacing w:after="960" w:line="200" w:lineRule="exact"/>
    </w:pPr>
    <w:rPr>
      <w:sz w:val="16"/>
    </w:rPr>
  </w:style>
  <w:style w:type="paragraph" w:customStyle="1" w:styleId="Reference">
    <w:name w:val="Reference"/>
    <w:basedOn w:val="Body"/>
    <w:rsid w:val="00607022"/>
    <w:pPr>
      <w:numPr>
        <w:numId w:val="23"/>
      </w:numPr>
      <w:spacing w:after="0" w:line="240" w:lineRule="exact"/>
    </w:pPr>
  </w:style>
  <w:style w:type="paragraph" w:customStyle="1" w:styleId="Head1">
    <w:name w:val="Head1"/>
    <w:basedOn w:val="MainHead"/>
    <w:rsid w:val="00607022"/>
    <w:rPr>
      <w:sz w:val="22"/>
    </w:rPr>
  </w:style>
  <w:style w:type="paragraph" w:customStyle="1" w:styleId="ContactHead">
    <w:name w:val="Contact Head"/>
    <w:basedOn w:val="MainHead"/>
    <w:rsid w:val="00607022"/>
    <w:rPr>
      <w:sz w:val="22"/>
    </w:rPr>
  </w:style>
  <w:style w:type="paragraph" w:customStyle="1" w:styleId="Head3">
    <w:name w:val="Head3"/>
    <w:basedOn w:val="Head2"/>
    <w:rsid w:val="00607022"/>
    <w:rPr>
      <w:caps w:val="0"/>
      <w:u w:val="single"/>
    </w:rPr>
  </w:style>
  <w:style w:type="paragraph" w:customStyle="1" w:styleId="Head4">
    <w:name w:val="Head4"/>
    <w:basedOn w:val="Head3"/>
    <w:rsid w:val="00607022"/>
    <w:rPr>
      <w:u w:val="none"/>
    </w:rPr>
  </w:style>
  <w:style w:type="paragraph" w:customStyle="1" w:styleId="UnordList">
    <w:name w:val="Unord List"/>
    <w:basedOn w:val="Body"/>
    <w:rsid w:val="00607022"/>
    <w:pPr>
      <w:spacing w:after="0"/>
      <w:ind w:left="360" w:hanging="360"/>
    </w:pPr>
  </w:style>
  <w:style w:type="paragraph" w:customStyle="1" w:styleId="OrdList">
    <w:name w:val="Ord List"/>
    <w:basedOn w:val="UnordList"/>
    <w:rsid w:val="00607022"/>
    <w:pPr>
      <w:jc w:val="left"/>
    </w:pPr>
  </w:style>
  <w:style w:type="paragraph" w:customStyle="1" w:styleId="Appendix">
    <w:name w:val="Appendix"/>
    <w:basedOn w:val="MainHead"/>
    <w:rsid w:val="00607022"/>
    <w:rPr>
      <w:sz w:val="22"/>
    </w:rPr>
  </w:style>
  <w:style w:type="paragraph" w:customStyle="1" w:styleId="Term">
    <w:name w:val="Term"/>
    <w:basedOn w:val="Body"/>
    <w:rsid w:val="00607022"/>
    <w:pPr>
      <w:spacing w:after="0"/>
    </w:pPr>
    <w:rPr>
      <w:b/>
    </w:rPr>
  </w:style>
  <w:style w:type="paragraph" w:customStyle="1" w:styleId="Definition">
    <w:name w:val="Definition"/>
    <w:basedOn w:val="Body"/>
    <w:rsid w:val="00607022"/>
  </w:style>
  <w:style w:type="paragraph" w:customStyle="1" w:styleId="Head2">
    <w:name w:val="Head2"/>
    <w:basedOn w:val="Normal"/>
    <w:next w:val="Body"/>
    <w:rsid w:val="00607022"/>
    <w:pPr>
      <w:keepNext/>
      <w:spacing w:after="240"/>
    </w:pPr>
    <w:rPr>
      <w:caps/>
    </w:rPr>
  </w:style>
  <w:style w:type="character" w:customStyle="1" w:styleId="Bold">
    <w:name w:val="Bold"/>
    <w:rsid w:val="00607022"/>
    <w:rPr>
      <w:b/>
    </w:rPr>
  </w:style>
  <w:style w:type="character" w:customStyle="1" w:styleId="Italic">
    <w:name w:val="Italic"/>
    <w:rsid w:val="00607022"/>
    <w:rPr>
      <w:i/>
    </w:rPr>
  </w:style>
  <w:style w:type="character" w:customStyle="1" w:styleId="Underline">
    <w:name w:val="Underline"/>
    <w:rsid w:val="00607022"/>
    <w:rPr>
      <w:u w:val="single"/>
    </w:rPr>
  </w:style>
  <w:style w:type="paragraph" w:customStyle="1" w:styleId="MainHead">
    <w:name w:val="Main Head"/>
    <w:basedOn w:val="Normal"/>
    <w:rsid w:val="00607022"/>
    <w:pPr>
      <w:keepNext/>
      <w:spacing w:after="240"/>
    </w:pPr>
    <w:rPr>
      <w:b/>
      <w:caps/>
    </w:rPr>
  </w:style>
  <w:style w:type="paragraph" w:customStyle="1" w:styleId="Equation">
    <w:name w:val="Equation"/>
    <w:basedOn w:val="Body"/>
    <w:rsid w:val="00607022"/>
  </w:style>
  <w:style w:type="paragraph" w:customStyle="1" w:styleId="Figure">
    <w:name w:val="Figure"/>
    <w:basedOn w:val="Copyright"/>
    <w:rsid w:val="00607022"/>
    <w:pPr>
      <w:spacing w:after="240"/>
    </w:pPr>
    <w:rPr>
      <w:sz w:val="20"/>
    </w:rPr>
  </w:style>
  <w:style w:type="paragraph" w:styleId="Footer">
    <w:name w:val="footer"/>
    <w:basedOn w:val="Normal"/>
    <w:link w:val="FooterChar"/>
    <w:rsid w:val="00607022"/>
    <w:pPr>
      <w:tabs>
        <w:tab w:val="center" w:pos="4320"/>
        <w:tab w:val="right" w:pos="8640"/>
      </w:tabs>
    </w:pPr>
  </w:style>
  <w:style w:type="character" w:customStyle="1" w:styleId="FooterChar">
    <w:name w:val="Footer Char"/>
    <w:basedOn w:val="DefaultParagraphFont"/>
    <w:link w:val="Footer"/>
    <w:uiPriority w:val="99"/>
    <w:rsid w:val="00607022"/>
    <w:rPr>
      <w:rFonts w:ascii="Helvetica" w:eastAsia="Times New Roman" w:hAnsi="Helvetica" w:cs="Times New Roman"/>
      <w:kern w:val="0"/>
      <w:sz w:val="20"/>
      <w:szCs w:val="20"/>
      <w:lang w:val="en-US"/>
      <w14:ligatures w14:val="none"/>
    </w:rPr>
  </w:style>
  <w:style w:type="paragraph" w:customStyle="1" w:styleId="Head40">
    <w:name w:val="Head 4"/>
    <w:basedOn w:val="Head3"/>
    <w:rsid w:val="00607022"/>
    <w:rPr>
      <w:u w:val="none"/>
    </w:rPr>
  </w:style>
  <w:style w:type="paragraph" w:styleId="Header">
    <w:name w:val="header"/>
    <w:basedOn w:val="Normal"/>
    <w:link w:val="HeaderChar"/>
    <w:rsid w:val="00607022"/>
    <w:pPr>
      <w:tabs>
        <w:tab w:val="center" w:pos="4320"/>
        <w:tab w:val="right" w:pos="8640"/>
      </w:tabs>
    </w:pPr>
  </w:style>
  <w:style w:type="character" w:customStyle="1" w:styleId="HeaderChar">
    <w:name w:val="Header Char"/>
    <w:basedOn w:val="DefaultParagraphFont"/>
    <w:link w:val="Header"/>
    <w:rsid w:val="00607022"/>
    <w:rPr>
      <w:rFonts w:ascii="Helvetica" w:eastAsia="Times New Roman" w:hAnsi="Helvetica" w:cs="Times New Roman"/>
      <w:kern w:val="0"/>
      <w:sz w:val="20"/>
      <w:szCs w:val="20"/>
      <w:lang w:val="en-US"/>
      <w14:ligatures w14:val="none"/>
    </w:rPr>
  </w:style>
  <w:style w:type="paragraph" w:customStyle="1" w:styleId="Paper">
    <w:name w:val="Paper"/>
    <w:basedOn w:val="Normal"/>
    <w:rsid w:val="00607022"/>
    <w:pPr>
      <w:spacing w:after="360" w:line="440" w:lineRule="exact"/>
      <w:jc w:val="right"/>
    </w:pPr>
    <w:rPr>
      <w:b/>
      <w:sz w:val="36"/>
    </w:rPr>
  </w:style>
  <w:style w:type="paragraph" w:styleId="Signature">
    <w:name w:val="Signature"/>
    <w:basedOn w:val="Normal"/>
    <w:link w:val="SignatureChar"/>
    <w:rsid w:val="00607022"/>
    <w:pPr>
      <w:ind w:left="4320"/>
    </w:pPr>
  </w:style>
  <w:style w:type="character" w:customStyle="1" w:styleId="SignatureChar">
    <w:name w:val="Signature Char"/>
    <w:basedOn w:val="DefaultParagraphFont"/>
    <w:link w:val="Signature"/>
    <w:rsid w:val="00607022"/>
    <w:rPr>
      <w:rFonts w:ascii="Helvetica" w:eastAsia="Times New Roman" w:hAnsi="Helvetica" w:cs="Times New Roman"/>
      <w:kern w:val="0"/>
      <w:sz w:val="20"/>
      <w:szCs w:val="20"/>
      <w:lang w:val="en-US"/>
      <w14:ligatures w14:val="none"/>
    </w:rPr>
  </w:style>
  <w:style w:type="character" w:customStyle="1" w:styleId="Subscript">
    <w:name w:val="Subscript"/>
    <w:rsid w:val="00607022"/>
    <w:rPr>
      <w:vertAlign w:val="subscript"/>
    </w:rPr>
  </w:style>
  <w:style w:type="character" w:customStyle="1" w:styleId="Superscript">
    <w:name w:val="Superscript"/>
    <w:rsid w:val="00607022"/>
    <w:rPr>
      <w:vertAlign w:val="superscript"/>
    </w:rPr>
  </w:style>
  <w:style w:type="character" w:customStyle="1" w:styleId="Symbol">
    <w:name w:val="Symbol"/>
    <w:rsid w:val="00607022"/>
    <w:rPr>
      <w:rFonts w:ascii="Symbol" w:hAnsi="Symbol"/>
    </w:rPr>
  </w:style>
  <w:style w:type="paragraph" w:customStyle="1" w:styleId="SymbolP">
    <w:name w:val="Symbol P"/>
    <w:basedOn w:val="Body"/>
    <w:rsid w:val="00607022"/>
    <w:pPr>
      <w:tabs>
        <w:tab w:val="left" w:pos="720"/>
        <w:tab w:val="left" w:pos="3780"/>
      </w:tabs>
      <w:spacing w:after="0"/>
    </w:pPr>
    <w:rPr>
      <w:sz w:val="24"/>
    </w:rPr>
  </w:style>
  <w:style w:type="character" w:customStyle="1" w:styleId="BoldItal">
    <w:name w:val="BoldItal"/>
    <w:basedOn w:val="DefaultParagraphFont"/>
    <w:rsid w:val="00607022"/>
    <w:rPr>
      <w:b/>
      <w:i/>
    </w:rPr>
  </w:style>
  <w:style w:type="character" w:customStyle="1" w:styleId="SubItal">
    <w:name w:val="SubItal"/>
    <w:rsid w:val="00607022"/>
    <w:rPr>
      <w:i/>
      <w:vertAlign w:val="subscript"/>
    </w:rPr>
  </w:style>
  <w:style w:type="character" w:customStyle="1" w:styleId="SuperItal">
    <w:name w:val="SuperItal"/>
    <w:rsid w:val="00607022"/>
    <w:rPr>
      <w:i/>
      <w:vertAlign w:val="superscript"/>
    </w:rPr>
  </w:style>
  <w:style w:type="character" w:customStyle="1" w:styleId="SymItal">
    <w:name w:val="SymItal"/>
    <w:rsid w:val="00607022"/>
    <w:rPr>
      <w:rFonts w:ascii="Symbol" w:hAnsi="Symbol"/>
      <w:i/>
    </w:rPr>
  </w:style>
  <w:style w:type="character" w:styleId="Hyperlink">
    <w:name w:val="Hyperlink"/>
    <w:basedOn w:val="DefaultParagraphFont"/>
    <w:rsid w:val="00607022"/>
    <w:rPr>
      <w:color w:val="FF0080"/>
      <w:u w:val="single"/>
    </w:rPr>
  </w:style>
  <w:style w:type="character" w:styleId="FollowedHyperlink">
    <w:name w:val="FollowedHyperlink"/>
    <w:basedOn w:val="DefaultParagraphFont"/>
    <w:rsid w:val="00607022"/>
    <w:rPr>
      <w:color w:val="800080"/>
      <w:u w:val="single"/>
    </w:rPr>
  </w:style>
  <w:style w:type="table" w:styleId="TableGrid">
    <w:name w:val="Table Grid"/>
    <w:basedOn w:val="TableNormal"/>
    <w:uiPriority w:val="59"/>
    <w:rsid w:val="00607022"/>
    <w:pPr>
      <w:spacing w:after="0" w:line="240" w:lineRule="auto"/>
    </w:pPr>
    <w:rPr>
      <w:rFonts w:ascii="Calibri" w:eastAsia="Calibri" w:hAnsi="Calibri" w:cs="Times New Roman"/>
      <w:kern w:val="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607022"/>
    <w:pPr>
      <w:spacing w:after="120" w:line="480" w:lineRule="auto"/>
    </w:pPr>
  </w:style>
  <w:style w:type="character" w:customStyle="1" w:styleId="BodyText2Char">
    <w:name w:val="Body Text 2 Char"/>
    <w:basedOn w:val="DefaultParagraphFont"/>
    <w:link w:val="BodyText2"/>
    <w:rsid w:val="00607022"/>
    <w:rPr>
      <w:rFonts w:ascii="Helvetica" w:eastAsia="Times New Roman" w:hAnsi="Helvetica" w:cs="Times New Roman"/>
      <w:kern w:val="0"/>
      <w:sz w:val="20"/>
      <w:szCs w:val="20"/>
      <w:lang w:val="en-US"/>
      <w14:ligatures w14:val="none"/>
    </w:rPr>
  </w:style>
  <w:style w:type="character" w:styleId="CommentReference">
    <w:name w:val="annotation reference"/>
    <w:basedOn w:val="DefaultParagraphFont"/>
    <w:uiPriority w:val="99"/>
    <w:unhideWhenUsed/>
    <w:rsid w:val="00607022"/>
    <w:rPr>
      <w:sz w:val="16"/>
      <w:szCs w:val="16"/>
    </w:rPr>
  </w:style>
  <w:style w:type="paragraph" w:styleId="CommentText">
    <w:name w:val="annotation text"/>
    <w:basedOn w:val="Normal"/>
    <w:link w:val="CommentTextChar"/>
    <w:uiPriority w:val="99"/>
    <w:unhideWhenUsed/>
    <w:rsid w:val="00607022"/>
    <w:rPr>
      <w:rFonts w:ascii="Times New Roman" w:hAnsi="Times New Roman"/>
      <w:lang w:val="nb-NO" w:eastAsia="nb-NO"/>
    </w:rPr>
  </w:style>
  <w:style w:type="character" w:customStyle="1" w:styleId="CommentTextChar">
    <w:name w:val="Comment Text Char"/>
    <w:basedOn w:val="DefaultParagraphFont"/>
    <w:link w:val="CommentText"/>
    <w:uiPriority w:val="99"/>
    <w:rsid w:val="00607022"/>
    <w:rPr>
      <w:rFonts w:ascii="Times New Roman" w:eastAsia="Times New Roman" w:hAnsi="Times New Roman" w:cs="Times New Roman"/>
      <w:kern w:val="0"/>
      <w:sz w:val="20"/>
      <w:szCs w:val="20"/>
      <w:lang w:val="nb-NO" w:eastAsia="nb-NO"/>
      <w14:ligatures w14:val="none"/>
    </w:rPr>
  </w:style>
  <w:style w:type="paragraph" w:styleId="BalloonText">
    <w:name w:val="Balloon Text"/>
    <w:basedOn w:val="Normal"/>
    <w:link w:val="BalloonTextChar"/>
    <w:uiPriority w:val="99"/>
    <w:rsid w:val="00607022"/>
    <w:rPr>
      <w:rFonts w:ascii="Tahoma" w:hAnsi="Tahoma" w:cs="Tahoma"/>
      <w:sz w:val="16"/>
      <w:szCs w:val="16"/>
    </w:rPr>
  </w:style>
  <w:style w:type="character" w:customStyle="1" w:styleId="BalloonTextChar">
    <w:name w:val="Balloon Text Char"/>
    <w:basedOn w:val="DefaultParagraphFont"/>
    <w:link w:val="BalloonText"/>
    <w:uiPriority w:val="99"/>
    <w:rsid w:val="00607022"/>
    <w:rPr>
      <w:rFonts w:ascii="Tahoma" w:eastAsia="Times New Roman" w:hAnsi="Tahoma" w:cs="Tahoma"/>
      <w:kern w:val="0"/>
      <w:sz w:val="16"/>
      <w:szCs w:val="16"/>
      <w:lang w:val="en-US"/>
      <w14:ligatures w14:val="none"/>
    </w:rPr>
  </w:style>
  <w:style w:type="paragraph" w:styleId="BodyText3">
    <w:name w:val="Body Text 3"/>
    <w:basedOn w:val="Normal"/>
    <w:link w:val="BodyText3Char"/>
    <w:rsid w:val="00607022"/>
    <w:pPr>
      <w:spacing w:after="120"/>
    </w:pPr>
    <w:rPr>
      <w:sz w:val="16"/>
      <w:szCs w:val="16"/>
    </w:rPr>
  </w:style>
  <w:style w:type="character" w:customStyle="1" w:styleId="BodyText3Char">
    <w:name w:val="Body Text 3 Char"/>
    <w:basedOn w:val="DefaultParagraphFont"/>
    <w:link w:val="BodyText3"/>
    <w:rsid w:val="00607022"/>
    <w:rPr>
      <w:rFonts w:ascii="Helvetica" w:eastAsia="Times New Roman" w:hAnsi="Helvetica" w:cs="Times New Roman"/>
      <w:kern w:val="0"/>
      <w:sz w:val="16"/>
      <w:szCs w:val="16"/>
      <w:lang w:val="en-US"/>
      <w14:ligatures w14:val="none"/>
    </w:rPr>
  </w:style>
  <w:style w:type="character" w:styleId="LineNumber">
    <w:name w:val="line number"/>
    <w:basedOn w:val="DefaultParagraphFont"/>
    <w:rsid w:val="00607022"/>
  </w:style>
  <w:style w:type="character" w:styleId="Emphasis">
    <w:name w:val="Emphasis"/>
    <w:basedOn w:val="DefaultParagraphFont"/>
    <w:uiPriority w:val="20"/>
    <w:qFormat/>
    <w:rsid w:val="00607022"/>
    <w:rPr>
      <w:i/>
      <w:iCs/>
    </w:rPr>
  </w:style>
  <w:style w:type="character" w:styleId="UnresolvedMention">
    <w:name w:val="Unresolved Mention"/>
    <w:basedOn w:val="DefaultParagraphFont"/>
    <w:uiPriority w:val="99"/>
    <w:semiHidden/>
    <w:unhideWhenUsed/>
    <w:rsid w:val="00607022"/>
    <w:rPr>
      <w:color w:val="605E5C"/>
      <w:shd w:val="clear" w:color="auto" w:fill="E1DFDD"/>
    </w:rPr>
  </w:style>
  <w:style w:type="character" w:styleId="Strong">
    <w:name w:val="Strong"/>
    <w:basedOn w:val="DefaultParagraphFont"/>
    <w:uiPriority w:val="22"/>
    <w:qFormat/>
    <w:rsid w:val="00607022"/>
    <w:rPr>
      <w:b/>
      <w:bCs/>
    </w:rPr>
  </w:style>
  <w:style w:type="paragraph" w:customStyle="1" w:styleId="my-2">
    <w:name w:val="my-2"/>
    <w:basedOn w:val="Normal"/>
    <w:rsid w:val="00607022"/>
    <w:pPr>
      <w:spacing w:before="100" w:beforeAutospacing="1" w:after="100" w:afterAutospacing="1"/>
    </w:pPr>
    <w:rPr>
      <w:rFonts w:ascii="Times New Roman" w:hAnsi="Times New Roman"/>
      <w:sz w:val="24"/>
      <w:szCs w:val="24"/>
      <w:lang w:val="fr-FR" w:eastAsia="fr-FR"/>
    </w:rPr>
  </w:style>
  <w:style w:type="character" w:customStyle="1" w:styleId="al-author-delim">
    <w:name w:val="al-author-delim"/>
    <w:basedOn w:val="DefaultParagraphFont"/>
    <w:rsid w:val="00607022"/>
  </w:style>
  <w:style w:type="paragraph" w:styleId="NormalWeb">
    <w:name w:val="Normal (Web)"/>
    <w:basedOn w:val="Normal"/>
    <w:uiPriority w:val="99"/>
    <w:unhideWhenUsed/>
    <w:rsid w:val="00607022"/>
    <w:pPr>
      <w:spacing w:before="100" w:beforeAutospacing="1" w:after="100" w:afterAutospacing="1"/>
    </w:pPr>
    <w:rPr>
      <w:rFonts w:ascii="Times New Roman" w:hAnsi="Times New Roman"/>
      <w:sz w:val="24"/>
      <w:szCs w:val="24"/>
      <w:lang w:val="fr-FR" w:eastAsia="fr-FR"/>
    </w:rPr>
  </w:style>
  <w:style w:type="character" w:customStyle="1" w:styleId="math-inline">
    <w:name w:val="math-inline"/>
    <w:basedOn w:val="DefaultParagraphFont"/>
    <w:rsid w:val="00A266D6"/>
  </w:style>
  <w:style w:type="character" w:styleId="HTMLCite">
    <w:name w:val="HTML Cite"/>
    <w:basedOn w:val="DefaultParagraphFont"/>
    <w:uiPriority w:val="99"/>
    <w:semiHidden/>
    <w:unhideWhenUsed/>
    <w:rsid w:val="00A26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11/jdv.18220" TargetMode="External"/><Relationship Id="rId26" Type="http://schemas.openxmlformats.org/officeDocument/2006/relationships/hyperlink" Target="https://doi.org/10.1007/s00281-019-00759-y" TargetMode="External"/><Relationship Id="rId3" Type="http://schemas.openxmlformats.org/officeDocument/2006/relationships/styles" Target="styles.xml"/><Relationship Id="rId21" Type="http://schemas.openxmlformats.org/officeDocument/2006/relationships/hyperlink" Target="https://doi.org/10.1016/j.amsu.2021.102799" TargetMode="External"/><Relationship Id="rId34"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38/s41572-025-00595-5" TargetMode="External"/><Relationship Id="rId25" Type="http://schemas.openxmlformats.org/officeDocument/2006/relationships/hyperlink" Target="https://doi.org/10.4103/jiaomr.jiaomr_126_18"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doi.org/10.11604/pamj.2013.14.43.2358" TargetMode="External"/><Relationship Id="rId29" Type="http://schemas.openxmlformats.org/officeDocument/2006/relationships/hyperlink" Target="https://doi.org/10.9734/jpri/2021/v33i44A326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medicina57101061"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3389/fmed.2018.00220" TargetMode="External"/><Relationship Id="rId28" Type="http://schemas.openxmlformats.org/officeDocument/2006/relationships/hyperlink" Target="https://doi.org/10.2340/00015555-3457"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oi.org/10.5826/dpc.1003a50"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111/1346-8138.17809" TargetMode="External"/><Relationship Id="rId27" Type="http://schemas.openxmlformats.org/officeDocument/2006/relationships/hyperlink" Target="https://doi.org/10.1111/jdv.12366" TargetMode="External"/><Relationship Id="rId30" Type="http://schemas.openxmlformats.org/officeDocument/2006/relationships/hyperlink" Target="https://doi.org/10.26655/JMCHEMSCI.2024.2.3"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DE483-701E-422F-A02B-7FAB2BC12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7</Pages>
  <Words>2874</Words>
  <Characters>16383</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Editor-90</cp:lastModifiedBy>
  <cp:revision>18</cp:revision>
  <dcterms:created xsi:type="dcterms:W3CDTF">2026-09-16T12:50:00Z</dcterms:created>
  <dcterms:modified xsi:type="dcterms:W3CDTF">2026-09-28T13:03:00Z</dcterms:modified>
</cp:coreProperties>
</file>