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5C61C" w14:textId="77777777" w:rsidR="00A258C3" w:rsidRPr="00790ADA" w:rsidRDefault="001C47BA" w:rsidP="00441B6F">
      <w:pPr>
        <w:pStyle w:val="Author"/>
        <w:spacing w:line="240" w:lineRule="auto"/>
        <w:jc w:val="both"/>
        <w:rPr>
          <w:rFonts w:ascii="Arial" w:hAnsi="Arial" w:cs="Arial"/>
          <w:sz w:val="36"/>
        </w:rPr>
      </w:pPr>
      <w:r>
        <w:rPr>
          <w:rFonts w:ascii="Arial" w:hAnsi="Arial" w:cs="Arial"/>
          <w:bCs/>
          <w:iCs/>
          <w:kern w:val="28"/>
          <w:sz w:val="36"/>
        </w:rPr>
        <w:t xml:space="preserve">Enhancing the Feed Value of </w:t>
      </w:r>
      <w:r w:rsidR="00D17059" w:rsidRPr="00D17059">
        <w:rPr>
          <w:rFonts w:ascii="Arial" w:hAnsi="Arial" w:cs="Arial"/>
          <w:bCs/>
          <w:i/>
          <w:iCs/>
          <w:kern w:val="28"/>
          <w:sz w:val="36"/>
          <w:highlight w:val="yellow"/>
        </w:rPr>
        <w:t>E</w:t>
      </w:r>
      <w:r w:rsidR="00532EB1">
        <w:rPr>
          <w:rFonts w:ascii="Arial" w:hAnsi="Arial" w:cs="Arial"/>
          <w:bCs/>
          <w:i/>
          <w:iCs/>
          <w:kern w:val="28"/>
          <w:sz w:val="36"/>
          <w:highlight w:val="yellow"/>
        </w:rPr>
        <w:t>ichhornia</w:t>
      </w:r>
      <w:r w:rsidR="00D17059" w:rsidRPr="00D17059">
        <w:rPr>
          <w:rFonts w:ascii="Arial" w:hAnsi="Arial" w:cs="Arial"/>
          <w:bCs/>
          <w:i/>
          <w:iCs/>
          <w:kern w:val="28"/>
          <w:sz w:val="36"/>
          <w:highlight w:val="yellow"/>
        </w:rPr>
        <w:t xml:space="preserve"> crassipes</w:t>
      </w:r>
      <w:r>
        <w:rPr>
          <w:rFonts w:ascii="Arial" w:hAnsi="Arial" w:cs="Arial"/>
          <w:bCs/>
          <w:iCs/>
          <w:kern w:val="28"/>
          <w:sz w:val="36"/>
        </w:rPr>
        <w:t xml:space="preserve"> Through Processing: Nutritional Composition, Anti-Nutritional Factors and In Vitro Protein Digestibility</w:t>
      </w:r>
    </w:p>
    <w:p w14:paraId="042DF8F7" w14:textId="77777777" w:rsidR="00A34D14" w:rsidRDefault="00A34D14" w:rsidP="00441B6F">
      <w:pPr>
        <w:pStyle w:val="Copyright"/>
        <w:spacing w:after="0" w:line="240" w:lineRule="auto"/>
        <w:jc w:val="both"/>
        <w:rPr>
          <w:rFonts w:ascii="Arial" w:hAnsi="Arial" w:cs="Arial"/>
        </w:rPr>
      </w:pPr>
    </w:p>
    <w:p w14:paraId="72B4D892" w14:textId="77777777" w:rsidR="00A34D14" w:rsidRDefault="00A34D14" w:rsidP="00441B6F">
      <w:pPr>
        <w:pStyle w:val="Copyright"/>
        <w:spacing w:after="0" w:line="240" w:lineRule="auto"/>
        <w:jc w:val="both"/>
        <w:rPr>
          <w:rFonts w:ascii="Arial" w:hAnsi="Arial" w:cs="Arial"/>
        </w:rPr>
      </w:pPr>
    </w:p>
    <w:p w14:paraId="1EE545C3" w14:textId="77777777" w:rsidR="00B01FCD" w:rsidRPr="00FB3A86" w:rsidRDefault="00F90D3C" w:rsidP="00441B6F">
      <w:pPr>
        <w:pStyle w:val="Copyright"/>
        <w:spacing w:after="0" w:line="240" w:lineRule="auto"/>
        <w:jc w:val="both"/>
        <w:rPr>
          <w:rFonts w:ascii="Arial" w:hAnsi="Arial" w:cs="Arial"/>
        </w:rPr>
        <w:sectPr w:rsidR="00B01FCD" w:rsidRPr="00FB3A86" w:rsidSect="0086141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953DEAC" wp14:editId="6192420D">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1772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5CB212E5"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F90D3C">
        <w:rPr>
          <w:rFonts w:ascii="Arial" w:hAnsi="Arial" w:cs="Arial"/>
        </w:rPr>
        <w:t xml:space="preserve"> </w:t>
      </w:r>
    </w:p>
    <w:p w14:paraId="368BB8DA" w14:textId="77777777" w:rsidR="00CB529A" w:rsidRPr="000B5625" w:rsidRDefault="00046EDE" w:rsidP="00CB529A">
      <w:pPr>
        <w:jc w:val="both"/>
        <w:rPr>
          <w:highlight w:val="yellow"/>
        </w:rPr>
      </w:pPr>
      <w:r>
        <w:t>Water hyacinth (</w:t>
      </w:r>
      <w:r>
        <w:rPr>
          <w:rStyle w:val="Emphasis"/>
        </w:rPr>
        <w:t>Eichhornia crassipes</w:t>
      </w:r>
      <w:r>
        <w:t xml:space="preserve">) is a rapidly growing aquatic plant with potential as an unconventional livestock feed resource, although its high </w:t>
      </w:r>
      <w:proofErr w:type="spellStart"/>
      <w:r>
        <w:t>fibre</w:t>
      </w:r>
      <w:proofErr w:type="spellEnd"/>
      <w:r>
        <w:t xml:space="preserve"> content and anti-nutritional factors may limit nutrient </w:t>
      </w:r>
      <w:proofErr w:type="spellStart"/>
      <w:r>
        <w:rPr>
          <w:highlight w:val="yellow"/>
        </w:rPr>
        <w:t>utilisation</w:t>
      </w:r>
      <w:proofErr w:type="spellEnd"/>
      <w:r>
        <w:t>. This study evaluated the effects of boiling, oven drying</w:t>
      </w:r>
      <w:r w:rsidR="00910CCF">
        <w:t>,</w:t>
      </w:r>
      <w:r>
        <w:t xml:space="preserve"> and solid-state fermentation on the nutritional composition, </w:t>
      </w:r>
      <w:proofErr w:type="spellStart"/>
      <w:r>
        <w:t>fibre</w:t>
      </w:r>
      <w:proofErr w:type="spellEnd"/>
      <w:r>
        <w:t xml:space="preserve"> fractions, free amino acids, selected anti-nutritional factors</w:t>
      </w:r>
      <w:r w:rsidR="00910CCF">
        <w:t>,</w:t>
      </w:r>
      <w:r>
        <w:t xml:space="preserve"> and </w:t>
      </w:r>
      <w:r>
        <w:rPr>
          <w:highlight w:val="yellow"/>
        </w:rPr>
        <w:t>in vitro</w:t>
      </w:r>
      <w:r>
        <w:t xml:space="preserve"> protein digestibility of </w:t>
      </w:r>
      <w:r w:rsidR="009E4DDC" w:rsidRPr="009E4DDC">
        <w:rPr>
          <w:rStyle w:val="Emphasis"/>
        </w:rPr>
        <w:t>Eichhornia crassipes</w:t>
      </w:r>
      <w:r>
        <w:t xml:space="preserve"> collected from </w:t>
      </w:r>
      <w:proofErr w:type="spellStart"/>
      <w:r>
        <w:t>Anantigha</w:t>
      </w:r>
      <w:proofErr w:type="spellEnd"/>
      <w:r>
        <w:t>, Cross River State, Nigeria. Fresh samples were divided into untreated control, boiled at 100°C for 2 h</w:t>
      </w:r>
      <w:r w:rsidR="00910CCF">
        <w:t>ours</w:t>
      </w:r>
      <w:r>
        <w:t>, oven-dried at 100°C for 2</w:t>
      </w:r>
      <w:r w:rsidR="00910CCF">
        <w:t xml:space="preserve"> </w:t>
      </w:r>
      <w:r>
        <w:t>h</w:t>
      </w:r>
      <w:r w:rsidR="00910CCF">
        <w:t>ours</w:t>
      </w:r>
      <w:r>
        <w:t>, and fermented at ambient temperature for 48 h</w:t>
      </w:r>
      <w:r w:rsidR="00910CCF">
        <w:t>ours</w:t>
      </w:r>
      <w:r>
        <w:t xml:space="preserve">. The processed samples were </w:t>
      </w:r>
      <w:proofErr w:type="spellStart"/>
      <w:r>
        <w:t>analysed</w:t>
      </w:r>
      <w:proofErr w:type="spellEnd"/>
      <w:r>
        <w:t xml:space="preserve"> for nitrogen, protein, free amino acids, crude </w:t>
      </w:r>
      <w:proofErr w:type="spellStart"/>
      <w:r>
        <w:t>fibre</w:t>
      </w:r>
      <w:proofErr w:type="spellEnd"/>
      <w:r>
        <w:t xml:space="preserve">, neutral detergent </w:t>
      </w:r>
      <w:proofErr w:type="spellStart"/>
      <w:r>
        <w:t>fibre</w:t>
      </w:r>
      <w:proofErr w:type="spellEnd"/>
      <w:r>
        <w:t xml:space="preserve"> (NDF), acid detergent </w:t>
      </w:r>
      <w:proofErr w:type="spellStart"/>
      <w:r>
        <w:t>fibre</w:t>
      </w:r>
      <w:proofErr w:type="spellEnd"/>
      <w:r>
        <w:t xml:space="preserve"> (ADF), tannin, cyanogenic glycosides, phytate, oxalate and sequential pepsin-pancreatin protein digestibility. Data were expressed as mean ± standard deviation and </w:t>
      </w:r>
      <w:proofErr w:type="spellStart"/>
      <w:r>
        <w:t>analysed</w:t>
      </w:r>
      <w:proofErr w:type="spellEnd"/>
      <w:r>
        <w:t xml:space="preserve"> using one-way ANOVA followed by Tukey's HSD test at </w:t>
      </w:r>
      <w:r>
        <w:rPr>
          <w:rStyle w:val="Emphasis"/>
        </w:rPr>
        <w:t>p</w:t>
      </w:r>
      <w:r>
        <w:t xml:space="preserve"> &lt; 0.05. Oven drying retained relatively high protein and nitrogen contents (46.93 ± 0.58% and 7.51 ± 0.09%), whereas fermentation recorded the lowest values (16.72 ± 0.10% and 2.68 ± 0.02%). Fermentation produced the greatest reductions in crude </w:t>
      </w:r>
      <w:proofErr w:type="spellStart"/>
      <w:r>
        <w:t>fibre</w:t>
      </w:r>
      <w:proofErr w:type="spellEnd"/>
      <w:r>
        <w:t xml:space="preserve">, NDF and ADF, with values of 31.70 ± 0.26%, 54.32 ± 0.86% and 33.84 ± 0.69%, respectively. Free amino acids were highest in the control (1270.40 ± 0.97 mg/L), while fermentation retained the highest concentration among processed samples (270.62 ± 0.35 mg/L). Boiling produced the greatest reductions in tannin and cyanogenic glycosides, while fermentation markedly reduced phytate. Oxalate was not detected in processed samples. Final protein digestibility was highest after fermentation (74.63 ± 0.82%), followed by boiling (68.47 ± 0.76%) and oven drying (62.83 ± 0.69%). Overall, processing substantially improved the nutritional quality and digestibility of </w:t>
      </w:r>
      <w:r w:rsidR="009E4DDC" w:rsidRPr="009E4DDC">
        <w:rPr>
          <w:rStyle w:val="Emphasis"/>
        </w:rPr>
        <w:t>Eichhornia crassipes</w:t>
      </w:r>
      <w:r>
        <w:t xml:space="preserve">, with fermentation particularly enhancing </w:t>
      </w:r>
      <w:proofErr w:type="spellStart"/>
      <w:r>
        <w:t>fibre</w:t>
      </w:r>
      <w:proofErr w:type="spellEnd"/>
      <w:r>
        <w:t xml:space="preserve"> reduction, phytate removal, and protein digestibility. </w:t>
      </w:r>
    </w:p>
    <w:p w14:paraId="293F5EFC" w14:textId="77777777" w:rsidR="00CB529A" w:rsidRDefault="00CB529A" w:rsidP="00CB529A">
      <w:pPr>
        <w:jc w:val="both"/>
        <w:rPr>
          <w:highlight w:val="yellow"/>
        </w:rPr>
      </w:pPr>
    </w:p>
    <w:p w14:paraId="7F2BB093" w14:textId="77777777" w:rsidR="00CB529A" w:rsidRDefault="00CB529A" w:rsidP="00CB529A">
      <w:pPr>
        <w:jc w:val="both"/>
        <w:rPr>
          <w:highlight w:val="yellow"/>
        </w:rPr>
      </w:pPr>
      <w:r w:rsidRPr="00CB529A">
        <w:rPr>
          <w:b/>
          <w:bCs/>
          <w:highlight w:val="yellow"/>
        </w:rPr>
        <w:t>Keywords</w:t>
      </w:r>
      <w:r>
        <w:rPr>
          <w:highlight w:val="yellow"/>
        </w:rPr>
        <w:t xml:space="preserve">: </w:t>
      </w:r>
      <w:r>
        <w:t xml:space="preserve">Water hyacinth; </w:t>
      </w:r>
      <w:r w:rsidR="009E4DDC" w:rsidRPr="009E4DDC">
        <w:rPr>
          <w:rStyle w:val="Emphasis"/>
        </w:rPr>
        <w:t>Eichhornia crassipes</w:t>
      </w:r>
      <w:r>
        <w:t xml:space="preserve">; feed value; fermentation; boiling; oven drying; anti-nutritional factors; </w:t>
      </w:r>
      <w:proofErr w:type="spellStart"/>
      <w:r>
        <w:t>fibre</w:t>
      </w:r>
      <w:proofErr w:type="spellEnd"/>
      <w:r>
        <w:t xml:space="preserve"> fractions; protein digestibility; free amino acids</w:t>
      </w:r>
    </w:p>
    <w:p w14:paraId="4A21FF19" w14:textId="77777777" w:rsidR="00CB529A" w:rsidRDefault="00CB529A" w:rsidP="00CB529A">
      <w:pPr>
        <w:rPr>
          <w:highlight w:val="yellow"/>
        </w:rPr>
      </w:pPr>
    </w:p>
    <w:p w14:paraId="15443A20" w14:textId="77777777" w:rsidR="00790ADA" w:rsidRPr="00CB529A" w:rsidRDefault="00B01FCD" w:rsidP="00CB529A">
      <w:pPr>
        <w:rPr>
          <w:rFonts w:ascii="Arial" w:hAnsi="Arial" w:cs="Arial"/>
          <w:b/>
          <w:bCs/>
        </w:rPr>
      </w:pPr>
      <w:r w:rsidRPr="00CB529A">
        <w:rPr>
          <w:rFonts w:ascii="Arial" w:hAnsi="Arial" w:cs="Arial"/>
          <w:b/>
          <w:bCs/>
          <w:highlight w:val="yellow"/>
        </w:rPr>
        <w:t>INTRODUCTION</w:t>
      </w:r>
    </w:p>
    <w:p w14:paraId="7576A182" w14:textId="77777777" w:rsidR="0040444D" w:rsidRDefault="0040444D" w:rsidP="0040444D">
      <w:pPr>
        <w:spacing w:line="480" w:lineRule="auto"/>
        <w:jc w:val="both"/>
        <w:rPr>
          <w:rFonts w:ascii="Times New Roman" w:hAnsi="Times New Roman"/>
        </w:rPr>
      </w:pPr>
      <w:r>
        <w:rPr>
          <w:rFonts w:ascii="Times New Roman" w:hAnsi="Times New Roman"/>
        </w:rPr>
        <w:t xml:space="preserve">The rapid growth of the global human population, increasing competition for conventional feed resources, and the rising cost of livestock production have intensified the search for alternative feed ingredients that are inexpensive, readily available, nutritionally valuable, and environmentally sustainable (Yan </w:t>
      </w:r>
      <w:r>
        <w:rPr>
          <w:rFonts w:ascii="Times New Roman" w:hAnsi="Times New Roman"/>
          <w:i/>
        </w:rPr>
        <w:t>et al.,</w:t>
      </w:r>
      <w:r>
        <w:rPr>
          <w:rFonts w:ascii="Times New Roman" w:hAnsi="Times New Roman"/>
        </w:rPr>
        <w:t xml:space="preserve"> 2017). Feed accounts for a substantial proportion of the total cost of livestock production, and the dependence on conventional feedstuffs such as maize, soybean meal, and other cereal grains has continued to place pressure on the livestock industry. </w:t>
      </w:r>
      <w:r>
        <w:rPr>
          <w:rFonts w:ascii="Times New Roman" w:hAnsi="Times New Roman"/>
          <w:highlight w:val="yellow"/>
        </w:rPr>
        <w:t>R</w:t>
      </w:r>
      <w:r>
        <w:rPr>
          <w:rFonts w:ascii="Times New Roman" w:hAnsi="Times New Roman"/>
        </w:rPr>
        <w:t>esearchers have increasingly focused on unconventional plant resources that can supplement or partially replace conventional feed ingredients without compromising animal performance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w:t>
      </w:r>
      <w:r>
        <w:rPr>
          <w:rFonts w:ascii="Times New Roman" w:hAnsi="Times New Roman"/>
          <w:highlight w:val="yellow"/>
        </w:rPr>
        <w:t>6</w:t>
      </w:r>
      <w:r>
        <w:rPr>
          <w:rFonts w:ascii="Times New Roman" w:hAnsi="Times New Roman"/>
        </w:rPr>
        <w:t>).</w:t>
      </w:r>
    </w:p>
    <w:p w14:paraId="631EE7CB" w14:textId="77777777" w:rsidR="0040444D" w:rsidRDefault="0040444D" w:rsidP="0040444D">
      <w:pPr>
        <w:spacing w:line="480" w:lineRule="auto"/>
        <w:jc w:val="both"/>
        <w:rPr>
          <w:rFonts w:ascii="Times New Roman" w:hAnsi="Times New Roman"/>
        </w:rPr>
      </w:pPr>
      <w:r>
        <w:rPr>
          <w:rFonts w:ascii="Times New Roman" w:hAnsi="Times New Roman"/>
        </w:rPr>
        <w:t xml:space="preserve">Among the unconventional feed resources receiving considerable attention is </w:t>
      </w:r>
      <w:r w:rsidR="009E4DDC" w:rsidRPr="009E4DDC">
        <w:rPr>
          <w:rFonts w:ascii="Times New Roman" w:hAnsi="Times New Roman"/>
          <w:i/>
        </w:rPr>
        <w:t>Eichhornia crassipes</w:t>
      </w:r>
      <w:r>
        <w:rPr>
          <w:rFonts w:ascii="Times New Roman" w:hAnsi="Times New Roman"/>
        </w:rPr>
        <w:t xml:space="preserve">, commonly known as water hyacinth. Water hyacinth is a free-floating perennial aquatic macrophyte belonging to the family </w:t>
      </w:r>
      <w:proofErr w:type="spellStart"/>
      <w:r>
        <w:rPr>
          <w:rFonts w:ascii="Times New Roman" w:hAnsi="Times New Roman"/>
          <w:i/>
        </w:rPr>
        <w:t>Pontederiaceae</w:t>
      </w:r>
      <w:proofErr w:type="spellEnd"/>
      <w:r>
        <w:rPr>
          <w:rFonts w:ascii="Times New Roman" w:hAnsi="Times New Roman"/>
          <w:i/>
        </w:rPr>
        <w:t xml:space="preserve"> </w:t>
      </w:r>
      <w:r>
        <w:rPr>
          <w:rFonts w:ascii="Times New Roman" w:hAnsi="Times New Roman"/>
        </w:rPr>
        <w:t>(</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xml:space="preserve">, 2022).  Native to the Amazon Basin of South America, the plant has spread rapidly throughout tropical and subtropical regions of the world, including many African countries such as Nigeria, Ghana, Kenya, Uganda, Ethiopia, Zimbabwe, and South Africa. Owing to its remarkable </w:t>
      </w:r>
      <w:r>
        <w:rPr>
          <w:rFonts w:ascii="Times New Roman" w:hAnsi="Times New Roman"/>
        </w:rPr>
        <w:lastRenderedPageBreak/>
        <w:t xml:space="preserve">adaptability and extremely rapid vegetative reproduction, water hyacinth has been </w:t>
      </w:r>
      <w:proofErr w:type="spellStart"/>
      <w:r>
        <w:rPr>
          <w:rFonts w:ascii="Times New Roman" w:hAnsi="Times New Roman"/>
          <w:highlight w:val="yellow"/>
        </w:rPr>
        <w:t>recognised</w:t>
      </w:r>
      <w:proofErr w:type="spellEnd"/>
      <w:r>
        <w:rPr>
          <w:rFonts w:ascii="Times New Roman" w:hAnsi="Times New Roman"/>
        </w:rPr>
        <w:t xml:space="preserve"> as </w:t>
      </w:r>
      <w:r>
        <w:rPr>
          <w:rFonts w:ascii="Times New Roman" w:hAnsi="Times New Roman"/>
          <w:highlight w:val="yellow"/>
        </w:rPr>
        <w:t>one of the world’s most invasive aquatic plants</w:t>
      </w:r>
      <w:r>
        <w:rPr>
          <w:rFonts w:ascii="Times New Roman" w:hAnsi="Times New Roman"/>
        </w:rPr>
        <w:t xml:space="preserve"> (</w:t>
      </w:r>
      <w:r>
        <w:rPr>
          <w:rFonts w:ascii="Times New Roman" w:hAnsi="Times New Roman"/>
          <w:highlight w:val="yellow"/>
        </w:rPr>
        <w:t>Ben B</w:t>
      </w:r>
      <w:r>
        <w:rPr>
          <w:rFonts w:ascii="Times New Roman" w:hAnsi="Times New Roman"/>
        </w:rPr>
        <w:t>a</w:t>
      </w:r>
      <w:r>
        <w:rPr>
          <w:rFonts w:ascii="Times New Roman" w:hAnsi="Times New Roman"/>
          <w:highlight w:val="yellow"/>
        </w:rPr>
        <w:t>krim</w:t>
      </w:r>
      <w:r>
        <w:rPr>
          <w:rFonts w:ascii="Times New Roman" w:hAnsi="Times New Roman"/>
        </w:rPr>
        <w:t xml:space="preserve"> </w:t>
      </w:r>
      <w:r>
        <w:rPr>
          <w:rFonts w:ascii="Times New Roman" w:hAnsi="Times New Roman"/>
          <w:i/>
        </w:rPr>
        <w:t>et al.,</w:t>
      </w:r>
      <w:r>
        <w:rPr>
          <w:rFonts w:ascii="Times New Roman" w:hAnsi="Times New Roman"/>
        </w:rPr>
        <w:t xml:space="preserve"> 2022). The uncontrolled proliferation of water hyacinth poses serious ecological, economic, and social challenges as dense mats formed by the plant obstruct waterways, interfere with navigation, reduce water quality, impede fishing activities, block irrigation canals, and decrease biodiversity by limiting light penetration and dissolved oxygen levels in aquatic ecosystems (Yan </w:t>
      </w:r>
      <w:r>
        <w:rPr>
          <w:rFonts w:ascii="Times New Roman" w:hAnsi="Times New Roman"/>
          <w:i/>
        </w:rPr>
        <w:t>et al.,</w:t>
      </w:r>
      <w:r>
        <w:rPr>
          <w:rFonts w:ascii="Times New Roman" w:hAnsi="Times New Roman"/>
        </w:rPr>
        <w:t xml:space="preserve"> 2017). Furthermore, the plant provides breeding habitats for disease vectors such as mosquitoes and snails, thereby contributing to public health concerns (</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xml:space="preserve">, 2022). Rajan </w:t>
      </w:r>
      <w:r>
        <w:rPr>
          <w:rFonts w:ascii="Times New Roman" w:hAnsi="Times New Roman"/>
          <w:i/>
        </w:rPr>
        <w:t>et al.</w:t>
      </w:r>
      <w:r>
        <w:rPr>
          <w:rFonts w:ascii="Times New Roman" w:hAnsi="Times New Roman"/>
        </w:rPr>
        <w:t xml:space="preserve"> (2023)</w:t>
      </w:r>
      <w:r>
        <w:rPr>
          <w:rFonts w:ascii="Times New Roman" w:hAnsi="Times New Roman"/>
          <w:highlight w:val="yellow"/>
        </w:rPr>
        <w:t xml:space="preserve"> and</w:t>
      </w:r>
      <w:r>
        <w:rPr>
          <w:rFonts w:ascii="Times New Roman" w:hAnsi="Times New Roman"/>
        </w:rPr>
        <w:t xml:space="preserve"> </w:t>
      </w:r>
      <w:proofErr w:type="spellStart"/>
      <w:r>
        <w:rPr>
          <w:rFonts w:ascii="Times New Roman" w:hAnsi="Times New Roman"/>
        </w:rPr>
        <w:t>Nandiyanto</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(2024) also described the plant as a valuable agricultural resource when properly </w:t>
      </w:r>
      <w:proofErr w:type="spellStart"/>
      <w:r w:rsidR="00D17059">
        <w:rPr>
          <w:rFonts w:ascii="Times New Roman" w:hAnsi="Times New Roman"/>
          <w:highlight w:val="yellow"/>
        </w:rPr>
        <w:t>utilised</w:t>
      </w:r>
      <w:proofErr w:type="spellEnd"/>
      <w:r>
        <w:rPr>
          <w:rFonts w:ascii="Times New Roman" w:hAnsi="Times New Roman"/>
        </w:rPr>
        <w:t xml:space="preserve">, while </w:t>
      </w:r>
      <w:r>
        <w:rPr>
          <w:rStyle w:val="Strong"/>
          <w:rFonts w:eastAsiaTheme="majorEastAsia"/>
          <w:b w:val="0"/>
        </w:rPr>
        <w:t>Patel (2012)</w:t>
      </w:r>
      <w:r>
        <w:rPr>
          <w:rFonts w:ascii="Times New Roman" w:hAnsi="Times New Roman"/>
        </w:rPr>
        <w:t xml:space="preserve"> </w:t>
      </w:r>
      <w:proofErr w:type="spellStart"/>
      <w:r w:rsidR="00D17059">
        <w:rPr>
          <w:rFonts w:ascii="Times New Roman" w:hAnsi="Times New Roman"/>
          <w:highlight w:val="yellow"/>
        </w:rPr>
        <w:t>emphasised</w:t>
      </w:r>
      <w:proofErr w:type="spellEnd"/>
      <w:r>
        <w:rPr>
          <w:rFonts w:ascii="Times New Roman" w:hAnsi="Times New Roman"/>
        </w:rPr>
        <w:t xml:space="preserve"> that its abundant biomass can be converted into useful livestock feed rather than remaining an environmental nuisance.</w:t>
      </w:r>
    </w:p>
    <w:p w14:paraId="33AF426B" w14:textId="77777777" w:rsidR="0040444D" w:rsidRPr="00CB529A" w:rsidRDefault="0040444D" w:rsidP="0040444D">
      <w:pPr>
        <w:spacing w:line="480" w:lineRule="auto"/>
        <w:jc w:val="both"/>
        <w:rPr>
          <w:rFonts w:ascii="Times New Roman" w:hAnsi="Times New Roman"/>
        </w:rPr>
      </w:pPr>
      <w:r>
        <w:rPr>
          <w:rFonts w:ascii="Times New Roman" w:hAnsi="Times New Roman"/>
        </w:rPr>
        <w:t>Despite its invasive nature, water hyacinth possesses several characteristics that make it attractive as a potential livestock feed resource. The plant produces enormous quantities of biomass within a short period and is available throughout most of the year in freshwater ecosystems (</w:t>
      </w:r>
      <w:r>
        <w:rPr>
          <w:rFonts w:ascii="Times New Roman" w:hAnsi="Times New Roman"/>
          <w:highlight w:val="yellow"/>
        </w:rPr>
        <w:t>Ben B</w:t>
      </w:r>
      <w:r>
        <w:rPr>
          <w:rFonts w:ascii="Times New Roman" w:hAnsi="Times New Roman"/>
        </w:rPr>
        <w:t>a</w:t>
      </w:r>
      <w:r>
        <w:rPr>
          <w:rFonts w:ascii="Times New Roman" w:hAnsi="Times New Roman"/>
          <w:highlight w:val="yellow"/>
        </w:rPr>
        <w:t>krim</w:t>
      </w:r>
      <w:r>
        <w:rPr>
          <w:rFonts w:ascii="Times New Roman" w:hAnsi="Times New Roman"/>
        </w:rPr>
        <w:t xml:space="preserve"> </w:t>
      </w:r>
      <w:r>
        <w:rPr>
          <w:rFonts w:ascii="Times New Roman" w:hAnsi="Times New Roman"/>
          <w:i/>
        </w:rPr>
        <w:t>et al.,</w:t>
      </w:r>
      <w:r>
        <w:rPr>
          <w:rFonts w:ascii="Times New Roman" w:hAnsi="Times New Roman"/>
        </w:rPr>
        <w:t xml:space="preserve"> 2022).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w:t>
      </w:r>
      <w:r>
        <w:rPr>
          <w:rFonts w:ascii="Times New Roman" w:hAnsi="Times New Roman"/>
          <w:highlight w:val="yellow"/>
        </w:rPr>
        <w:t>6</w:t>
      </w:r>
      <w:r>
        <w:rPr>
          <w:rFonts w:ascii="Times New Roman" w:hAnsi="Times New Roman"/>
        </w:rPr>
        <w:t xml:space="preserve">) show that its dry matter contains appreciable amounts of crude protein, minerals, essential amino acids, and structural carbohydrates, indicating its potential nutritional value for ruminants and non-ruminant animals when properly processed and incorporated into balanced diets. However, the direct </w:t>
      </w:r>
      <w:proofErr w:type="spellStart"/>
      <w:r w:rsidR="00D17059">
        <w:rPr>
          <w:rFonts w:ascii="Times New Roman" w:hAnsi="Times New Roman"/>
          <w:highlight w:val="yellow"/>
        </w:rPr>
        <w:t>utilisation</w:t>
      </w:r>
      <w:proofErr w:type="spellEnd"/>
      <w:r>
        <w:rPr>
          <w:rFonts w:ascii="Times New Roman" w:hAnsi="Times New Roman"/>
        </w:rPr>
        <w:t xml:space="preserve"> of fresh water hyacinth as animal feed is limited by several factors </w:t>
      </w:r>
      <w:r>
        <w:rPr>
          <w:rFonts w:ascii="Times New Roman" w:hAnsi="Times New Roman"/>
          <w:highlight w:val="yellow"/>
        </w:rPr>
        <w:t>bec</w:t>
      </w:r>
      <w:r>
        <w:rPr>
          <w:rFonts w:ascii="Times New Roman" w:hAnsi="Times New Roman"/>
        </w:rPr>
        <w:t>a</w:t>
      </w:r>
      <w:r>
        <w:rPr>
          <w:rFonts w:ascii="Times New Roman" w:hAnsi="Times New Roman"/>
          <w:highlight w:val="yellow"/>
        </w:rPr>
        <w:t>u</w:t>
      </w:r>
      <w:r>
        <w:rPr>
          <w:rFonts w:ascii="Times New Roman" w:hAnsi="Times New Roman"/>
        </w:rPr>
        <w:t>s</w:t>
      </w:r>
      <w:r>
        <w:rPr>
          <w:rFonts w:ascii="Times New Roman" w:hAnsi="Times New Roman"/>
          <w:highlight w:val="yellow"/>
        </w:rPr>
        <w:t>e</w:t>
      </w:r>
      <w:r>
        <w:rPr>
          <w:rFonts w:ascii="Times New Roman" w:hAnsi="Times New Roman"/>
        </w:rPr>
        <w:t xml:space="preserve"> the plant </w:t>
      </w:r>
      <w:r>
        <w:rPr>
          <w:rFonts w:ascii="Times New Roman" w:hAnsi="Times New Roman"/>
          <w:highlight w:val="yellow"/>
        </w:rPr>
        <w:t>h</w:t>
      </w:r>
      <w:r>
        <w:rPr>
          <w:rFonts w:ascii="Times New Roman" w:hAnsi="Times New Roman"/>
        </w:rPr>
        <w:t>as</w:t>
      </w:r>
      <w:r>
        <w:rPr>
          <w:rFonts w:ascii="Times New Roman" w:hAnsi="Times New Roman"/>
          <w:highlight w:val="yellow"/>
        </w:rPr>
        <w:t xml:space="preserve"> a</w:t>
      </w:r>
      <w:r>
        <w:rPr>
          <w:rFonts w:ascii="Times New Roman" w:hAnsi="Times New Roman"/>
        </w:rPr>
        <w:t xml:space="preserve"> high moisture content, relatively high </w:t>
      </w:r>
      <w:proofErr w:type="spellStart"/>
      <w:r>
        <w:rPr>
          <w:rFonts w:ascii="Times New Roman" w:hAnsi="Times New Roman"/>
        </w:rPr>
        <w:t>fibre</w:t>
      </w:r>
      <w:proofErr w:type="spellEnd"/>
      <w:r>
        <w:rPr>
          <w:rFonts w:ascii="Times New Roman" w:hAnsi="Times New Roman"/>
        </w:rPr>
        <w:t xml:space="preserve"> fractions, variable nitrogen concentration, and several anti-nutritional compounds that reduce nutrient digestibility, palatability, and voluntary feed intake (</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xml:space="preserve">, 2022). In </w:t>
      </w:r>
      <w:r w:rsidRPr="00CB529A">
        <w:rPr>
          <w:rFonts w:ascii="Times New Roman" w:hAnsi="Times New Roman"/>
        </w:rPr>
        <w:t>addition, because water hyacinth readily absorbs minerals, heavy metals, and other contaminants from polluted water bodies, the safety and nutritional quality of harvested plants depend largely on their source and subsequent processing methods (</w:t>
      </w:r>
      <w:proofErr w:type="spellStart"/>
      <w:r w:rsidRPr="00CB529A">
        <w:rPr>
          <w:rFonts w:ascii="Times New Roman" w:hAnsi="Times New Roman"/>
        </w:rPr>
        <w:t>Ralinala</w:t>
      </w:r>
      <w:proofErr w:type="spellEnd"/>
      <w:r w:rsidRPr="00CB529A">
        <w:rPr>
          <w:rFonts w:ascii="Times New Roman" w:hAnsi="Times New Roman"/>
        </w:rPr>
        <w:t xml:space="preserve">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w:t>
      </w:r>
      <w:r w:rsidRPr="00CB529A">
        <w:rPr>
          <w:highlight w:val="yellow"/>
        </w:rPr>
        <w:t xml:space="preserve"> Recent feeding studies have further evaluated water hyacinth meal in fish and poultry diets, supporting its continued assessment as an unconventional feed ingredient under defined inclusion conditions (</w:t>
      </w:r>
      <w:proofErr w:type="spellStart"/>
      <w:r w:rsidRPr="00CB529A">
        <w:rPr>
          <w:highlight w:val="yellow"/>
        </w:rPr>
        <w:t>Bohare</w:t>
      </w:r>
      <w:proofErr w:type="spellEnd"/>
      <w:r w:rsidRPr="00CB529A">
        <w:rPr>
          <w:highlight w:val="yellow"/>
        </w:rPr>
        <w:t xml:space="preserve"> </w:t>
      </w:r>
      <w:r w:rsidRPr="00CB529A">
        <w:rPr>
          <w:i/>
          <w:highlight w:val="yellow"/>
        </w:rPr>
        <w:t>et al.</w:t>
      </w:r>
      <w:r w:rsidRPr="00CB529A">
        <w:rPr>
          <w:highlight w:val="yellow"/>
        </w:rPr>
        <w:t xml:space="preserve">, 2024; Kumar </w:t>
      </w:r>
      <w:r w:rsidRPr="00CB529A">
        <w:rPr>
          <w:i/>
          <w:highlight w:val="yellow"/>
        </w:rPr>
        <w:t>et al.</w:t>
      </w:r>
      <w:r w:rsidRPr="00CB529A">
        <w:rPr>
          <w:highlight w:val="yellow"/>
        </w:rPr>
        <w:t>, 2026). Recent evidence also indicates that assessment of water hyacinth as feed biomass should consider both its nutritional composition and the possibility of source-dependent contaminant accumulation (</w:t>
      </w:r>
      <w:proofErr w:type="spellStart"/>
      <w:r w:rsidRPr="00CB529A">
        <w:rPr>
          <w:highlight w:val="yellow"/>
        </w:rPr>
        <w:t>Balchhaudi</w:t>
      </w:r>
      <w:proofErr w:type="spellEnd"/>
      <w:r w:rsidRPr="00CB529A">
        <w:rPr>
          <w:highlight w:val="yellow"/>
        </w:rPr>
        <w:t xml:space="preserve"> </w:t>
      </w:r>
      <w:r w:rsidRPr="00CB529A">
        <w:rPr>
          <w:i/>
          <w:highlight w:val="yellow"/>
        </w:rPr>
        <w:t>et al.</w:t>
      </w:r>
      <w:r w:rsidRPr="00CB529A">
        <w:rPr>
          <w:highlight w:val="yellow"/>
        </w:rPr>
        <w:t>, 2026).</w:t>
      </w:r>
      <w:r>
        <w:rPr>
          <w:rFonts w:ascii="Times New Roman" w:hAnsi="Times New Roman"/>
          <w:b/>
          <w:highlight w:val="yellow"/>
        </w:rPr>
        <w:t xml:space="preserve"> Additional aquaculture evidence has evaluated water hyacinth leaf meal as a dietary ingredient in Pangasius catfish, including its effects on flesh protein and water-quality parameters (</w:t>
      </w:r>
      <w:proofErr w:type="spellStart"/>
      <w:r>
        <w:rPr>
          <w:rFonts w:ascii="Times New Roman" w:hAnsi="Times New Roman"/>
          <w:b/>
          <w:highlight w:val="yellow"/>
        </w:rPr>
        <w:t>Bohare</w:t>
      </w:r>
      <w:proofErr w:type="spellEnd"/>
      <w:r>
        <w:rPr>
          <w:rFonts w:ascii="Times New Roman" w:hAnsi="Times New Roman"/>
          <w:b/>
          <w:highlight w:val="yellow"/>
        </w:rPr>
        <w:t xml:space="preserve"> </w:t>
      </w:r>
      <w:r>
        <w:rPr>
          <w:rFonts w:ascii="Times New Roman" w:hAnsi="Times New Roman"/>
          <w:b/>
          <w:i/>
          <w:highlight w:val="yellow"/>
        </w:rPr>
        <w:t>et al.</w:t>
      </w:r>
      <w:r>
        <w:rPr>
          <w:rFonts w:ascii="Times New Roman" w:hAnsi="Times New Roman"/>
          <w:b/>
          <w:highlight w:val="yellow"/>
        </w:rPr>
        <w:t xml:space="preserve">, 2025). Recent broiler research has also examined dietary water hyacinth supplementation in relation to growth performance and meat quality (Mustari </w:t>
      </w:r>
      <w:r>
        <w:rPr>
          <w:rFonts w:ascii="Times New Roman" w:hAnsi="Times New Roman"/>
          <w:b/>
          <w:i/>
          <w:highlight w:val="yellow"/>
        </w:rPr>
        <w:t>et al.</w:t>
      </w:r>
      <w:r>
        <w:rPr>
          <w:rFonts w:ascii="Times New Roman" w:hAnsi="Times New Roman"/>
          <w:b/>
          <w:highlight w:val="yellow"/>
        </w:rPr>
        <w:t>, 2025).</w:t>
      </w:r>
    </w:p>
    <w:p w14:paraId="6593DD62" w14:textId="77777777" w:rsidR="0040444D" w:rsidRPr="00CB529A" w:rsidRDefault="0040444D" w:rsidP="0040444D">
      <w:pPr>
        <w:spacing w:line="480" w:lineRule="auto"/>
        <w:jc w:val="both"/>
        <w:rPr>
          <w:rFonts w:ascii="Times New Roman" w:hAnsi="Times New Roman"/>
        </w:rPr>
      </w:pPr>
      <w:r w:rsidRPr="00CB529A">
        <w:rPr>
          <w:rFonts w:ascii="Times New Roman" w:hAnsi="Times New Roman"/>
        </w:rPr>
        <w:t>Processing has therefore become an important strategy for improving the feeding value of water hyacinth. Various processing techniques</w:t>
      </w:r>
      <w:r w:rsidR="00046EDE">
        <w:rPr>
          <w:rFonts w:ascii="Times New Roman" w:hAnsi="Times New Roman"/>
        </w:rPr>
        <w:t>,</w:t>
      </w:r>
      <w:r w:rsidRPr="00CB529A">
        <w:rPr>
          <w:rFonts w:ascii="Times New Roman" w:hAnsi="Times New Roman"/>
        </w:rPr>
        <w:t xml:space="preserve"> including sun-drying, oven-drying, ensiling, fermentation, chopping, grinding, and chemical or biological treatments</w:t>
      </w:r>
      <w:r w:rsidR="00046EDE">
        <w:rPr>
          <w:rFonts w:ascii="Times New Roman" w:hAnsi="Times New Roman"/>
        </w:rPr>
        <w:t>,</w:t>
      </w:r>
      <w:r w:rsidRPr="00CB529A">
        <w:rPr>
          <w:rFonts w:ascii="Times New Roman" w:hAnsi="Times New Roman"/>
        </w:rPr>
        <w:t xml:space="preserve"> have been investigated to improve nutrient availability while reducing moisture content, </w:t>
      </w:r>
      <w:proofErr w:type="spellStart"/>
      <w:r w:rsidRPr="00CB529A">
        <w:rPr>
          <w:rFonts w:ascii="Times New Roman" w:hAnsi="Times New Roman"/>
        </w:rPr>
        <w:t>fibre</w:t>
      </w:r>
      <w:proofErr w:type="spellEnd"/>
      <w:r w:rsidRPr="00CB529A">
        <w:rPr>
          <w:rFonts w:ascii="Times New Roman" w:hAnsi="Times New Roman"/>
        </w:rPr>
        <w:t xml:space="preserve"> fractions, and anti-nutritional factors. Thus, proper processing enhances storage stability, improves digestibility, increases palatability, and facilitates the incorporation of water hyacinth into formulated livestock feeds (</w:t>
      </w:r>
      <w:proofErr w:type="spellStart"/>
      <w:r w:rsidRPr="00CB529A">
        <w:rPr>
          <w:rFonts w:ascii="Times New Roman" w:hAnsi="Times New Roman"/>
        </w:rPr>
        <w:t>Ralinala</w:t>
      </w:r>
      <w:proofErr w:type="spellEnd"/>
      <w:r w:rsidRPr="00CB529A">
        <w:rPr>
          <w:rFonts w:ascii="Times New Roman" w:hAnsi="Times New Roman"/>
        </w:rPr>
        <w:t xml:space="preserve">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w:t>
      </w:r>
      <w:r w:rsidRPr="00CB529A">
        <w:rPr>
          <w:highlight w:val="yellow"/>
        </w:rPr>
        <w:t xml:space="preserve"> Recent experimental evidence further indicates that fermentation can modify the nutritional and anti-nutritional characteristics of water hyacinth leaf meal, reinforcing the importance of </w:t>
      </w:r>
      <w:r w:rsidRPr="00CB529A">
        <w:rPr>
          <w:highlight w:val="yellow"/>
        </w:rPr>
        <w:lastRenderedPageBreak/>
        <w:t xml:space="preserve">evaluating processing-specific responses (Malik </w:t>
      </w:r>
      <w:r w:rsidRPr="00CB529A">
        <w:rPr>
          <w:i/>
          <w:highlight w:val="yellow"/>
        </w:rPr>
        <w:t>et al.</w:t>
      </w:r>
      <w:r w:rsidRPr="00CB529A">
        <w:rPr>
          <w:highlight w:val="yellow"/>
        </w:rPr>
        <w:t>, 2024). Recent in vitro ruminant research has also evaluated water hyacinth as an alternative feed resource, supporting the assessment of digestibility and fermentation responses alongside chemical composition (Matti-</w:t>
      </w:r>
      <w:proofErr w:type="spellStart"/>
      <w:r w:rsidRPr="00CB529A">
        <w:rPr>
          <w:highlight w:val="yellow"/>
        </w:rPr>
        <w:t>Alapafuja</w:t>
      </w:r>
      <w:proofErr w:type="spellEnd"/>
      <w:r w:rsidRPr="00CB529A">
        <w:rPr>
          <w:highlight w:val="yellow"/>
        </w:rPr>
        <w:t xml:space="preserve"> </w:t>
      </w:r>
      <w:r w:rsidRPr="00CB529A">
        <w:rPr>
          <w:i/>
          <w:highlight w:val="yellow"/>
        </w:rPr>
        <w:t>et al.</w:t>
      </w:r>
      <w:r w:rsidRPr="00CB529A">
        <w:rPr>
          <w:highlight w:val="yellow"/>
        </w:rPr>
        <w:t>, 2026).</w:t>
      </w:r>
      <w:r>
        <w:rPr>
          <w:rFonts w:ascii="Times New Roman" w:hAnsi="Times New Roman"/>
          <w:b/>
          <w:highlight w:val="yellow"/>
        </w:rPr>
        <w:t xml:space="preserve"> Fermentation-based </w:t>
      </w:r>
      <w:proofErr w:type="spellStart"/>
      <w:r>
        <w:rPr>
          <w:rFonts w:ascii="Times New Roman" w:hAnsi="Times New Roman"/>
          <w:b/>
          <w:highlight w:val="yellow"/>
        </w:rPr>
        <w:t>valorisation</w:t>
      </w:r>
      <w:proofErr w:type="spellEnd"/>
      <w:r>
        <w:rPr>
          <w:rFonts w:ascii="Times New Roman" w:hAnsi="Times New Roman"/>
          <w:b/>
          <w:highlight w:val="yellow"/>
        </w:rPr>
        <w:t xml:space="preserve"> of water hyacinth has also been explored through the use of enriched fermented extracts as biological culture media, illustrating another application of processed water hyacinth biomass (Belsare </w:t>
      </w:r>
      <w:r>
        <w:rPr>
          <w:rFonts w:ascii="Times New Roman" w:hAnsi="Times New Roman"/>
          <w:b/>
          <w:i/>
          <w:highlight w:val="yellow"/>
        </w:rPr>
        <w:t>et al.</w:t>
      </w:r>
      <w:r>
        <w:rPr>
          <w:rFonts w:ascii="Times New Roman" w:hAnsi="Times New Roman"/>
          <w:b/>
          <w:highlight w:val="yellow"/>
        </w:rPr>
        <w:t xml:space="preserve">, 2026). In laying hens, fermented water hyacinth meal has been evaluated for growth performance, protein </w:t>
      </w:r>
      <w:proofErr w:type="spellStart"/>
      <w:r>
        <w:rPr>
          <w:rFonts w:ascii="Times New Roman" w:hAnsi="Times New Roman"/>
          <w:b/>
          <w:highlight w:val="yellow"/>
        </w:rPr>
        <w:t>utilisation</w:t>
      </w:r>
      <w:proofErr w:type="spellEnd"/>
      <w:r>
        <w:rPr>
          <w:rFonts w:ascii="Times New Roman" w:hAnsi="Times New Roman"/>
          <w:b/>
          <w:highlight w:val="yellow"/>
        </w:rPr>
        <w:t xml:space="preserve"> and nutrient excretion, further supporting investigation of fermentation as a feed-processing approach (Antonio </w:t>
      </w:r>
      <w:r>
        <w:rPr>
          <w:rFonts w:ascii="Times New Roman" w:hAnsi="Times New Roman"/>
          <w:b/>
          <w:i/>
          <w:highlight w:val="yellow"/>
        </w:rPr>
        <w:t>et al.</w:t>
      </w:r>
      <w:r>
        <w:rPr>
          <w:rFonts w:ascii="Times New Roman" w:hAnsi="Times New Roman"/>
          <w:b/>
          <w:highlight w:val="yellow"/>
        </w:rPr>
        <w:t>, 2025).</w:t>
      </w:r>
    </w:p>
    <w:p w14:paraId="74A0E29F" w14:textId="77777777" w:rsidR="0040444D" w:rsidRPr="00CB529A" w:rsidRDefault="0040444D" w:rsidP="0040444D">
      <w:pPr>
        <w:spacing w:line="480" w:lineRule="auto"/>
        <w:jc w:val="both"/>
        <w:rPr>
          <w:rFonts w:ascii="Times New Roman" w:hAnsi="Times New Roman"/>
        </w:rPr>
      </w:pPr>
      <w:r w:rsidRPr="00CB529A">
        <w:rPr>
          <w:rFonts w:ascii="Times New Roman" w:hAnsi="Times New Roman"/>
        </w:rPr>
        <w:t>Nitrogen content is an important indicator of the protein value of feed materials because nitrogen serves as the principal component of amino acids and proteins required for growth, tissue development, enzyme synthesis, and numerous metabolic processes in animals (</w:t>
      </w:r>
      <w:proofErr w:type="spellStart"/>
      <w:r w:rsidRPr="00CB529A">
        <w:rPr>
          <w:rFonts w:ascii="Times New Roman" w:hAnsi="Times New Roman"/>
        </w:rPr>
        <w:t>Ralinala</w:t>
      </w:r>
      <w:proofErr w:type="spellEnd"/>
      <w:r w:rsidRPr="00CB529A">
        <w:rPr>
          <w:rFonts w:ascii="Times New Roman" w:hAnsi="Times New Roman"/>
        </w:rPr>
        <w:t xml:space="preserve">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 xml:space="preserve">). </w:t>
      </w:r>
      <w:r w:rsidRPr="00CB529A">
        <w:rPr>
          <w:rFonts w:ascii="Times New Roman" w:hAnsi="Times New Roman"/>
          <w:highlight w:val="yellow"/>
        </w:rPr>
        <w:t>N</w:t>
      </w:r>
      <w:r w:rsidRPr="00CB529A">
        <w:rPr>
          <w:rFonts w:ascii="Times New Roman" w:hAnsi="Times New Roman"/>
        </w:rPr>
        <w:t xml:space="preserve">itrogen concentration is commonly used </w:t>
      </w:r>
      <w:r w:rsidR="00D17059">
        <w:rPr>
          <w:rFonts w:ascii="Times New Roman" w:hAnsi="Times New Roman"/>
        </w:rPr>
        <w:t xml:space="preserve">to estimate crude protein using </w:t>
      </w:r>
      <w:r w:rsidR="00D6001C">
        <w:rPr>
          <w:rFonts w:ascii="Times New Roman" w:hAnsi="Times New Roman"/>
        </w:rPr>
        <w:t xml:space="preserve">a </w:t>
      </w:r>
      <w:r w:rsidR="00D17059">
        <w:rPr>
          <w:rFonts w:ascii="Times New Roman" w:hAnsi="Times New Roman"/>
        </w:rPr>
        <w:t>conversion factor (6</w:t>
      </w:r>
      <w:r w:rsidRPr="00CB529A">
        <w:rPr>
          <w:rFonts w:ascii="Times New Roman" w:hAnsi="Times New Roman"/>
        </w:rPr>
        <w:t>.25</w:t>
      </w:r>
      <w:r w:rsidR="00D17059">
        <w:rPr>
          <w:rFonts w:ascii="Times New Roman" w:hAnsi="Times New Roman"/>
        </w:rPr>
        <w:t>)</w:t>
      </w:r>
      <w:r w:rsidRPr="00CB529A">
        <w:rPr>
          <w:rFonts w:ascii="Times New Roman" w:hAnsi="Times New Roman"/>
        </w:rPr>
        <w:t>. However, total nitrogen does not necessarily represent true protein because nitrogen may occur as proteins, peptides, free amino acids, and other non-protein nitrogenous compounds. Consequently, determination of total nitrogen alone may provide an incomplete assessment of the protein value of water hyacinth (</w:t>
      </w:r>
      <w:proofErr w:type="spellStart"/>
      <w:r w:rsidRPr="00CB529A">
        <w:rPr>
          <w:rFonts w:ascii="Times New Roman" w:hAnsi="Times New Roman"/>
        </w:rPr>
        <w:t>Ralinala</w:t>
      </w:r>
      <w:proofErr w:type="spellEnd"/>
      <w:r w:rsidRPr="00CB529A">
        <w:rPr>
          <w:rFonts w:ascii="Times New Roman" w:hAnsi="Times New Roman"/>
        </w:rPr>
        <w:t xml:space="preserve"> </w:t>
      </w:r>
      <w:r w:rsidRPr="00CB529A">
        <w:rPr>
          <w:rFonts w:ascii="Times New Roman" w:hAnsi="Times New Roman"/>
          <w:i/>
        </w:rPr>
        <w:t>et al.,</w:t>
      </w:r>
      <w:r w:rsidRPr="00CB529A">
        <w:rPr>
          <w:rFonts w:ascii="Times New Roman" w:hAnsi="Times New Roman"/>
        </w:rPr>
        <w:t xml:space="preserve"> 202</w:t>
      </w:r>
      <w:r w:rsidRPr="00CB529A">
        <w:rPr>
          <w:rFonts w:ascii="Times New Roman" w:hAnsi="Times New Roman"/>
          <w:highlight w:val="yellow"/>
        </w:rPr>
        <w:t>6</w:t>
      </w:r>
      <w:r w:rsidRPr="00CB529A">
        <w:rPr>
          <w:rFonts w:ascii="Times New Roman" w:hAnsi="Times New Roman"/>
        </w:rPr>
        <w:t>).</w:t>
      </w:r>
    </w:p>
    <w:p w14:paraId="5B22EEC9" w14:textId="77777777" w:rsidR="0040444D" w:rsidRDefault="0040444D" w:rsidP="0040444D">
      <w:pPr>
        <w:spacing w:line="480" w:lineRule="auto"/>
        <w:jc w:val="both"/>
        <w:rPr>
          <w:rFonts w:ascii="Times New Roman" w:hAnsi="Times New Roman"/>
        </w:rPr>
      </w:pPr>
      <w:r w:rsidRPr="00CB529A">
        <w:rPr>
          <w:rFonts w:ascii="Times New Roman" w:hAnsi="Times New Roman"/>
        </w:rPr>
        <w:t>Similarly, free amino acids influence protein quality and determine the biological value of feed ingredients</w:t>
      </w:r>
      <w:r>
        <w:rPr>
          <w:rFonts w:ascii="Times New Roman" w:hAnsi="Times New Roman"/>
        </w:rPr>
        <w:t xml:space="preserve"> by supplying readily available building blocks for protein synthesis. Amino acids are required for tissue synthesis, enzyme production, immune functions, and other physiological processes (</w:t>
      </w:r>
      <w:proofErr w:type="spellStart"/>
      <w:r>
        <w:rPr>
          <w:rFonts w:ascii="Times New Roman" w:hAnsi="Times New Roman"/>
        </w:rPr>
        <w:t>Ralinala</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w:t>
      </w:r>
      <w:r>
        <w:rPr>
          <w:rFonts w:ascii="Times New Roman" w:hAnsi="Times New Roman"/>
          <w:highlight w:val="yellow"/>
        </w:rPr>
        <w:t>6</w:t>
      </w:r>
      <w:r>
        <w:rPr>
          <w:rFonts w:ascii="Times New Roman" w:hAnsi="Times New Roman"/>
        </w:rPr>
        <w:t>).</w:t>
      </w:r>
    </w:p>
    <w:p w14:paraId="662F8D21" w14:textId="77777777" w:rsidR="0040444D" w:rsidRDefault="0040444D" w:rsidP="0040444D">
      <w:pPr>
        <w:spacing w:line="480" w:lineRule="auto"/>
        <w:jc w:val="both"/>
        <w:rPr>
          <w:rFonts w:ascii="Times New Roman" w:hAnsi="Times New Roman"/>
        </w:rPr>
      </w:pPr>
      <w:proofErr w:type="spellStart"/>
      <w:r>
        <w:rPr>
          <w:rFonts w:ascii="Times New Roman" w:hAnsi="Times New Roman"/>
        </w:rPr>
        <w:t>Fibre</w:t>
      </w:r>
      <w:proofErr w:type="spellEnd"/>
      <w:r>
        <w:rPr>
          <w:rFonts w:ascii="Times New Roman" w:hAnsi="Times New Roman"/>
        </w:rPr>
        <w:t xml:space="preserve"> content also plays a critical role in determining the nutritional quality of feed resources. Although structural carbohydrates such as cellulose and hemicellulose are beneficial to ruminants in moderate quantities, excessive </w:t>
      </w:r>
      <w:proofErr w:type="spellStart"/>
      <w:r>
        <w:rPr>
          <w:rFonts w:ascii="Times New Roman" w:hAnsi="Times New Roman"/>
        </w:rPr>
        <w:t>fibre</w:t>
      </w:r>
      <w:proofErr w:type="spellEnd"/>
      <w:r>
        <w:rPr>
          <w:rFonts w:ascii="Times New Roman" w:hAnsi="Times New Roman"/>
        </w:rPr>
        <w:t xml:space="preserve"> reduces feed digestibility, nutrient </w:t>
      </w:r>
      <w:proofErr w:type="spellStart"/>
      <w:r w:rsidR="00D17059">
        <w:rPr>
          <w:rFonts w:ascii="Times New Roman" w:hAnsi="Times New Roman"/>
          <w:highlight w:val="yellow"/>
        </w:rPr>
        <w:t>utilisation</w:t>
      </w:r>
      <w:proofErr w:type="spellEnd"/>
      <w:r>
        <w:rPr>
          <w:rFonts w:ascii="Times New Roman" w:hAnsi="Times New Roman"/>
        </w:rPr>
        <w:t xml:space="preserve">, and energy availability (Yan </w:t>
      </w:r>
      <w:r>
        <w:rPr>
          <w:rFonts w:ascii="Times New Roman" w:hAnsi="Times New Roman"/>
          <w:i/>
        </w:rPr>
        <w:t>et al.,</w:t>
      </w:r>
      <w:r>
        <w:rPr>
          <w:rFonts w:ascii="Times New Roman" w:hAnsi="Times New Roman"/>
        </w:rPr>
        <w:t xml:space="preserve"> 2017). Plant cell-wall components, particularly neutral detergent </w:t>
      </w:r>
      <w:proofErr w:type="spellStart"/>
      <w:r>
        <w:rPr>
          <w:rFonts w:ascii="Times New Roman" w:hAnsi="Times New Roman"/>
        </w:rPr>
        <w:t>fibre</w:t>
      </w:r>
      <w:proofErr w:type="spellEnd"/>
      <w:r>
        <w:rPr>
          <w:rFonts w:ascii="Times New Roman" w:hAnsi="Times New Roman"/>
        </w:rPr>
        <w:t xml:space="preserve"> (NDF), acid detergent </w:t>
      </w:r>
      <w:proofErr w:type="spellStart"/>
      <w:r>
        <w:rPr>
          <w:rFonts w:ascii="Times New Roman" w:hAnsi="Times New Roman"/>
        </w:rPr>
        <w:t>fibre</w:t>
      </w:r>
      <w:proofErr w:type="spellEnd"/>
      <w:r>
        <w:rPr>
          <w:rFonts w:ascii="Times New Roman" w:hAnsi="Times New Roman"/>
        </w:rPr>
        <w:t xml:space="preserve"> (ADF) and acid detergent lignin (ADL), can influence feed intake and nutrient digestibility. Lignin is particularly resistant to enzymatic degradation and can restrict the accessibility of other nutrients within plant tissues (Yan </w:t>
      </w:r>
      <w:r>
        <w:rPr>
          <w:rFonts w:ascii="Times New Roman" w:hAnsi="Times New Roman"/>
          <w:i/>
        </w:rPr>
        <w:t>et al.,</w:t>
      </w:r>
      <w:r>
        <w:rPr>
          <w:rFonts w:ascii="Times New Roman" w:hAnsi="Times New Roman"/>
        </w:rPr>
        <w:t xml:space="preserve"> 2017).</w:t>
      </w:r>
    </w:p>
    <w:p w14:paraId="49460B59" w14:textId="77777777" w:rsidR="0040444D" w:rsidRPr="00CB529A" w:rsidRDefault="0040444D" w:rsidP="0040444D">
      <w:pPr>
        <w:spacing w:line="480" w:lineRule="auto"/>
        <w:jc w:val="both"/>
        <w:rPr>
          <w:rFonts w:ascii="Times New Roman" w:hAnsi="Times New Roman"/>
        </w:rPr>
      </w:pPr>
      <w:r>
        <w:rPr>
          <w:rFonts w:ascii="Times New Roman" w:hAnsi="Times New Roman"/>
        </w:rPr>
        <w:t xml:space="preserve">Another major limitation to the </w:t>
      </w:r>
      <w:proofErr w:type="spellStart"/>
      <w:r w:rsidR="00D17059">
        <w:rPr>
          <w:rFonts w:ascii="Times New Roman" w:hAnsi="Times New Roman"/>
          <w:highlight w:val="yellow"/>
        </w:rPr>
        <w:t>utilisation</w:t>
      </w:r>
      <w:proofErr w:type="spellEnd"/>
      <w:r>
        <w:rPr>
          <w:rFonts w:ascii="Times New Roman" w:hAnsi="Times New Roman"/>
        </w:rPr>
        <w:t xml:space="preserve"> of water hyacinth is the presence of anti-nutritional factors such as tannins, oxalates, phytates, saponins, and alkaloids. These compounds interfere with nutrient digestion and mineral bioavailability and may adversely affect animal health when consumed in excessive quantities. Appropriate processing techniques have been shown to reduce the concentration of these anti-nutritional constituents, thereby improving the nutritional quality and safety of the plant for livestock feeding (</w:t>
      </w:r>
      <w:r>
        <w:rPr>
          <w:rFonts w:ascii="Times New Roman" w:hAnsi="Times New Roman"/>
          <w:highlight w:val="yellow"/>
        </w:rPr>
        <w:t>Ben Bakrim et a</w:t>
      </w:r>
      <w:r>
        <w:rPr>
          <w:rFonts w:ascii="Times New Roman" w:hAnsi="Times New Roman"/>
        </w:rPr>
        <w:t>l</w:t>
      </w:r>
      <w:r>
        <w:rPr>
          <w:rFonts w:ascii="Times New Roman" w:hAnsi="Times New Roman"/>
          <w:highlight w:val="yellow"/>
        </w:rPr>
        <w:t>.</w:t>
      </w:r>
      <w:r>
        <w:rPr>
          <w:rFonts w:ascii="Times New Roman" w:hAnsi="Times New Roman"/>
        </w:rPr>
        <w:t xml:space="preserve">, 2022). However, crude protein concentration and conventional chemical composition do not provide complete information about the </w:t>
      </w:r>
      <w:r>
        <w:rPr>
          <w:rFonts w:ascii="Times New Roman" w:hAnsi="Times New Roman"/>
          <w:highlight w:val="yellow"/>
        </w:rPr>
        <w:t>availability of protein to livestock</w:t>
      </w:r>
      <w:r>
        <w:rPr>
          <w:rFonts w:ascii="Times New Roman" w:hAnsi="Times New Roman"/>
        </w:rPr>
        <w:t xml:space="preserve">. A feed ingredient may contain substantial protein but have relatively poor protein digestibility because of </w:t>
      </w:r>
      <w:proofErr w:type="spellStart"/>
      <w:r>
        <w:rPr>
          <w:rFonts w:ascii="Times New Roman" w:hAnsi="Times New Roman"/>
        </w:rPr>
        <w:t>fibre</w:t>
      </w:r>
      <w:proofErr w:type="spellEnd"/>
      <w:r>
        <w:rPr>
          <w:rFonts w:ascii="Times New Roman" w:hAnsi="Times New Roman"/>
        </w:rPr>
        <w:t>-protein interactions, protein structure</w:t>
      </w:r>
      <w:r w:rsidR="000B5625">
        <w:rPr>
          <w:rFonts w:ascii="Times New Roman" w:hAnsi="Times New Roman"/>
        </w:rPr>
        <w:t>,</w:t>
      </w:r>
      <w:r>
        <w:rPr>
          <w:rFonts w:ascii="Times New Roman" w:hAnsi="Times New Roman"/>
        </w:rPr>
        <w:t xml:space="preserve"> or anti-nutritional </w:t>
      </w:r>
      <w:r w:rsidRPr="00CB529A">
        <w:rPr>
          <w:rFonts w:ascii="Times New Roman" w:hAnsi="Times New Roman"/>
        </w:rPr>
        <w:t>compounds (</w:t>
      </w:r>
      <w:r w:rsidRPr="00CB529A">
        <w:rPr>
          <w:rFonts w:ascii="Times New Roman" w:hAnsi="Times New Roman"/>
          <w:highlight w:val="yellow"/>
        </w:rPr>
        <w:t>Ben Bakrim et a</w:t>
      </w:r>
      <w:r w:rsidRPr="00CB529A">
        <w:rPr>
          <w:rFonts w:ascii="Times New Roman" w:hAnsi="Times New Roman"/>
        </w:rPr>
        <w:t>l</w:t>
      </w:r>
      <w:r w:rsidRPr="00CB529A">
        <w:rPr>
          <w:rFonts w:ascii="Times New Roman" w:hAnsi="Times New Roman"/>
          <w:highlight w:val="yellow"/>
        </w:rPr>
        <w:t>.</w:t>
      </w:r>
      <w:r w:rsidRPr="00CB529A">
        <w:rPr>
          <w:rFonts w:ascii="Times New Roman" w:hAnsi="Times New Roman"/>
        </w:rPr>
        <w:t>, 2022).</w:t>
      </w:r>
    </w:p>
    <w:p w14:paraId="1F2E1F70" w14:textId="77777777" w:rsidR="00790ADA" w:rsidRPr="00CB529A" w:rsidRDefault="00910CCF" w:rsidP="0040444D">
      <w:pPr>
        <w:pStyle w:val="Body"/>
        <w:spacing w:after="0"/>
        <w:rPr>
          <w:rFonts w:ascii="Times New Roman" w:hAnsi="Times New Roman"/>
        </w:rPr>
      </w:pPr>
      <w:r>
        <w:rPr>
          <w:rFonts w:ascii="Times New Roman" w:hAnsi="Times New Roman"/>
        </w:rPr>
        <w:t>In vitro</w:t>
      </w:r>
      <w:r w:rsidR="0040444D" w:rsidRPr="00CB529A">
        <w:rPr>
          <w:rFonts w:ascii="Times New Roman" w:hAnsi="Times New Roman"/>
        </w:rPr>
        <w:t xml:space="preserve"> digestion techniques provide a useful method for evaluating the susceptibility of food or feed proteins to gastrointestinal enzymes. Thus, a sequential pepsin-pancreatin digestion system can simulate the major stages of gastrointestinal protein digestion. Pepsin is used under acidic conditions to represent gastric digestion, while pancreatin is subsequently used under near-neutral or mildly alkaline conditions to represent intestinal digestion. Such sequential digestion systems have been used in studies of plant protein </w:t>
      </w:r>
      <w:r w:rsidR="0040444D" w:rsidRPr="00CB529A">
        <w:rPr>
          <w:rFonts w:ascii="Times New Roman" w:hAnsi="Times New Roman"/>
        </w:rPr>
        <w:lastRenderedPageBreak/>
        <w:t>digestibility (</w:t>
      </w:r>
      <w:proofErr w:type="spellStart"/>
      <w:r w:rsidR="0040444D" w:rsidRPr="00CB529A">
        <w:rPr>
          <w:rFonts w:ascii="Times New Roman" w:hAnsi="Times New Roman"/>
        </w:rPr>
        <w:t>Opazo</w:t>
      </w:r>
      <w:proofErr w:type="spellEnd"/>
      <w:r w:rsidR="0040444D" w:rsidRPr="00CB529A">
        <w:rPr>
          <w:rFonts w:ascii="Times New Roman" w:hAnsi="Times New Roman"/>
        </w:rPr>
        <w:t xml:space="preserve">-Navarrete </w:t>
      </w:r>
      <w:r w:rsidR="0040444D" w:rsidRPr="00CB529A">
        <w:rPr>
          <w:rFonts w:ascii="Times New Roman" w:hAnsi="Times New Roman"/>
          <w:i/>
        </w:rPr>
        <w:t xml:space="preserve">et al., </w:t>
      </w:r>
      <w:r w:rsidR="0040444D" w:rsidRPr="00CB529A">
        <w:rPr>
          <w:rFonts w:ascii="Times New Roman" w:hAnsi="Times New Roman"/>
        </w:rPr>
        <w:t xml:space="preserve">2025). The inclusion of </w:t>
      </w:r>
      <w:r w:rsidR="000B5625">
        <w:rPr>
          <w:rFonts w:ascii="Times New Roman" w:hAnsi="Times New Roman"/>
        </w:rPr>
        <w:t>in vitro</w:t>
      </w:r>
      <w:r w:rsidR="0040444D" w:rsidRPr="00CB529A">
        <w:rPr>
          <w:rFonts w:ascii="Times New Roman" w:hAnsi="Times New Roman"/>
        </w:rPr>
        <w:t xml:space="preserve"> digestibility in this study therefore provides an important improvement, as it allows the investigation to determine not only whether processing changes the amount of protein present but also whether the protein becomes more accessible to digestive enzymes. </w:t>
      </w:r>
      <w:r w:rsidR="0040444D" w:rsidRPr="00CB529A">
        <w:rPr>
          <w:highlight w:val="yellow"/>
        </w:rPr>
        <w:t xml:space="preserve">  </w:t>
      </w:r>
      <w:r>
        <w:rPr>
          <w:rFonts w:ascii="Times New Roman" w:hAnsi="Times New Roman"/>
          <w:b/>
          <w:highlight w:val="yellow"/>
        </w:rPr>
        <w:br/>
        <w:t xml:space="preserve">Research gap: The studies </w:t>
      </w:r>
      <w:proofErr w:type="spellStart"/>
      <w:r>
        <w:rPr>
          <w:rFonts w:ascii="Times New Roman" w:hAnsi="Times New Roman"/>
          <w:b/>
          <w:highlight w:val="yellow"/>
        </w:rPr>
        <w:t>summarised</w:t>
      </w:r>
      <w:proofErr w:type="spellEnd"/>
      <w:r>
        <w:rPr>
          <w:rFonts w:ascii="Times New Roman" w:hAnsi="Times New Roman"/>
          <w:b/>
          <w:highlight w:val="yellow"/>
        </w:rPr>
        <w:t xml:space="preserve"> above do not provide the same combined comparison of boiling, oven drying, and solid-state fermentation across nutritional composition, </w:t>
      </w:r>
      <w:proofErr w:type="spellStart"/>
      <w:r>
        <w:rPr>
          <w:rFonts w:ascii="Times New Roman" w:hAnsi="Times New Roman"/>
          <w:b/>
          <w:highlight w:val="yellow"/>
        </w:rPr>
        <w:t>fibre</w:t>
      </w:r>
      <w:proofErr w:type="spellEnd"/>
      <w:r>
        <w:rPr>
          <w:rFonts w:ascii="Times New Roman" w:hAnsi="Times New Roman"/>
          <w:b/>
          <w:highlight w:val="yellow"/>
        </w:rPr>
        <w:t xml:space="preserve"> fractions, free amino acids, selected anti-nutritional factors, and sequential pepsin-pancreatin protein digestibility.</w:t>
      </w:r>
      <w:r>
        <w:rPr>
          <w:rFonts w:ascii="Times New Roman" w:hAnsi="Times New Roman"/>
          <w:b/>
          <w:highlight w:val="yellow"/>
        </w:rPr>
        <w:br/>
        <w:t xml:space="preserve">Objective: </w:t>
      </w:r>
      <w:r w:rsidR="0040444D" w:rsidRPr="00CB529A">
        <w:rPr>
          <w:rFonts w:ascii="Times New Roman" w:hAnsi="Times New Roman"/>
        </w:rPr>
        <w:t xml:space="preserve">This study consequently </w:t>
      </w:r>
      <w:r w:rsidR="000B5625">
        <w:rPr>
          <w:rFonts w:ascii="Times New Roman" w:hAnsi="Times New Roman"/>
        </w:rPr>
        <w:t>evaluates</w:t>
      </w:r>
      <w:r w:rsidR="0040444D" w:rsidRPr="00CB529A">
        <w:rPr>
          <w:rFonts w:ascii="Times New Roman" w:hAnsi="Times New Roman"/>
        </w:rPr>
        <w:t xml:space="preserve"> the effects of selected processing methods on the feed value of water hyacinth by determining changes in the nutritional composition, anti-nutritional factors, and </w:t>
      </w:r>
      <w:r w:rsidR="000B5625">
        <w:rPr>
          <w:rFonts w:ascii="Times New Roman" w:hAnsi="Times New Roman"/>
        </w:rPr>
        <w:t>in vitro</w:t>
      </w:r>
      <w:r w:rsidR="0040444D" w:rsidRPr="00CB529A">
        <w:rPr>
          <w:rFonts w:ascii="Times New Roman" w:hAnsi="Times New Roman"/>
        </w:rPr>
        <w:t xml:space="preserve"> protein digestibility following sequential pepsin-pancreatin digestion.</w:t>
      </w:r>
    </w:p>
    <w:p w14:paraId="4778D7D1" w14:textId="77777777" w:rsidR="00CB529A" w:rsidRPr="00FB3A86" w:rsidRDefault="00CB529A" w:rsidP="0040444D">
      <w:pPr>
        <w:pStyle w:val="Body"/>
        <w:spacing w:after="0"/>
        <w:rPr>
          <w:rFonts w:ascii="Arial" w:hAnsi="Arial" w:cs="Arial"/>
        </w:rPr>
      </w:pPr>
    </w:p>
    <w:p w14:paraId="01FC3563" w14:textId="77777777" w:rsidR="007F7B32" w:rsidRDefault="00902823" w:rsidP="00441B6F">
      <w:pPr>
        <w:pStyle w:val="AbstHead"/>
        <w:spacing w:after="0"/>
        <w:jc w:val="both"/>
        <w:rPr>
          <w:rFonts w:ascii="Arial" w:hAnsi="Arial" w:cs="Arial"/>
        </w:rPr>
      </w:pPr>
      <w:r>
        <w:rPr>
          <w:rFonts w:ascii="Arial" w:hAnsi="Arial" w:cs="Arial"/>
        </w:rPr>
        <w:t>material</w:t>
      </w:r>
      <w:r w:rsidR="00CB529A">
        <w:rPr>
          <w:rFonts w:ascii="Arial" w:hAnsi="Arial" w:cs="Arial"/>
        </w:rPr>
        <w:t>S</w:t>
      </w:r>
      <w:r>
        <w:rPr>
          <w:rFonts w:ascii="Arial" w:hAnsi="Arial" w:cs="Arial"/>
        </w:rPr>
        <w:t xml:space="preserve"> and method</w:t>
      </w:r>
      <w:r w:rsidR="00000F8F">
        <w:rPr>
          <w:rFonts w:ascii="Arial" w:hAnsi="Arial" w:cs="Arial"/>
        </w:rPr>
        <w:t xml:space="preserve">s </w:t>
      </w:r>
    </w:p>
    <w:p w14:paraId="0166E5B7" w14:textId="77777777" w:rsidR="00B44AB5" w:rsidRDefault="00B44AB5" w:rsidP="0040444D">
      <w:pPr>
        <w:jc w:val="both"/>
        <w:rPr>
          <w:rFonts w:ascii="Times New Roman" w:hAnsi="Times New Roman"/>
          <w:bCs/>
        </w:rPr>
      </w:pPr>
    </w:p>
    <w:p w14:paraId="4398BCE1" w14:textId="760037BB" w:rsidR="0040444D" w:rsidRPr="002B75CF" w:rsidRDefault="0040444D" w:rsidP="0040444D">
      <w:pPr>
        <w:jc w:val="both"/>
        <w:rPr>
          <w:rFonts w:ascii="Times New Roman" w:hAnsi="Times New Roman"/>
          <w:bCs/>
        </w:rPr>
      </w:pPr>
      <w:r w:rsidRPr="002B75CF">
        <w:rPr>
          <w:rFonts w:ascii="Times New Roman" w:hAnsi="Times New Roman"/>
          <w:bCs/>
        </w:rPr>
        <w:t>Materials</w:t>
      </w:r>
    </w:p>
    <w:p w14:paraId="77F7BC50" w14:textId="77777777" w:rsidR="00B44AB5" w:rsidRDefault="00B44AB5" w:rsidP="0040444D">
      <w:pPr>
        <w:jc w:val="both"/>
        <w:rPr>
          <w:rFonts w:ascii="Times New Roman" w:hAnsi="Times New Roman"/>
          <w:bCs/>
        </w:rPr>
      </w:pPr>
    </w:p>
    <w:p w14:paraId="5592DA22" w14:textId="7EE37B22" w:rsidR="0040444D" w:rsidRPr="002B75CF" w:rsidRDefault="0040444D" w:rsidP="0040444D">
      <w:pPr>
        <w:jc w:val="both"/>
        <w:rPr>
          <w:rFonts w:ascii="Times New Roman" w:hAnsi="Times New Roman"/>
          <w:bCs/>
        </w:rPr>
      </w:pPr>
      <w:r w:rsidRPr="002B75CF">
        <w:rPr>
          <w:rFonts w:ascii="Times New Roman" w:hAnsi="Times New Roman"/>
          <w:bCs/>
        </w:rPr>
        <w:t>Chemicals and Reagents</w:t>
      </w:r>
    </w:p>
    <w:p w14:paraId="7DC72563" w14:textId="77777777" w:rsidR="0040444D" w:rsidRDefault="0040444D" w:rsidP="0040444D">
      <w:pPr>
        <w:pStyle w:val="NormalWeb"/>
        <w:spacing w:before="0" w:beforeAutospacing="0" w:line="480" w:lineRule="auto"/>
        <w:jc w:val="both"/>
      </w:pPr>
      <w:r>
        <w:t xml:space="preserve">All chemicals and reagents used in this study were of analytical grade and were used without further purification. </w:t>
      </w:r>
      <w:r>
        <w:rPr>
          <w:highlight w:val="yellow"/>
        </w:rPr>
        <w:t>The reagents used included</w:t>
      </w:r>
      <w:r>
        <w:t xml:space="preserve"> Concentrated sulfuric acid (H</w:t>
      </w:r>
      <w:r>
        <w:rPr>
          <w:vertAlign w:val="subscript"/>
        </w:rPr>
        <w:t>2</w:t>
      </w:r>
      <w:r>
        <w:t>SO</w:t>
      </w:r>
      <w:r>
        <w:rPr>
          <w:vertAlign w:val="subscript"/>
        </w:rPr>
        <w:t>4</w:t>
      </w:r>
      <w:r>
        <w:t>), Sodium hydroxide (NaOH), Boric acid solution, Hydrochloric acid (HCl), Potassium permanganate (KMnO</w:t>
      </w:r>
      <w:r>
        <w:rPr>
          <w:vertAlign w:val="subscript"/>
        </w:rPr>
        <w:t>4</w:t>
      </w:r>
      <w:r>
        <w:t>), Ethanol, Silver nitrate (AgNo</w:t>
      </w:r>
      <w:r>
        <w:rPr>
          <w:vertAlign w:val="subscript"/>
        </w:rPr>
        <w:t>3</w:t>
      </w:r>
      <w:r>
        <w:t>), Acetone, Sodium carbonate (Na</w:t>
      </w:r>
      <w:r>
        <w:rPr>
          <w:vertAlign w:val="subscript"/>
        </w:rPr>
        <w:t>2</w:t>
      </w:r>
      <w:r>
        <w:t>Co</w:t>
      </w:r>
      <w:r>
        <w:rPr>
          <w:vertAlign w:val="subscript"/>
        </w:rPr>
        <w:t>3</w:t>
      </w:r>
      <w:r>
        <w:t>), Ammonium hydroxide, Folin-Denis reagent, Ninhydrin reagent, Phenolphthalein indicator, Mixed indicator (bromocresol green and methyl red), Glacial acetic acid, Calcium chloride (CaCl</w:t>
      </w:r>
      <w:r>
        <w:rPr>
          <w:vertAlign w:val="subscript"/>
        </w:rPr>
        <w:t>2</w:t>
      </w:r>
      <w:r>
        <w:t>), Potassium iodide (KI), Catalyst mixtures (Na</w:t>
      </w:r>
      <w:r>
        <w:rPr>
          <w:vertAlign w:val="subscript"/>
        </w:rPr>
        <w:t>2</w:t>
      </w:r>
      <w:r>
        <w:t>SO</w:t>
      </w:r>
      <w:r>
        <w:rPr>
          <w:vertAlign w:val="subscript"/>
        </w:rPr>
        <w:t>4</w:t>
      </w:r>
      <w:r>
        <w:t xml:space="preserve"> and CuSO</w:t>
      </w:r>
      <w:r>
        <w:rPr>
          <w:vertAlign w:val="subscript"/>
        </w:rPr>
        <w:t>4</w:t>
      </w:r>
      <w:r>
        <w:t xml:space="preserve">), Buffer solution (sodium citrate and citric acid), Distilled water, </w:t>
      </w:r>
      <w:r>
        <w:rPr>
          <w:rFonts w:eastAsia="Calibri"/>
        </w:rPr>
        <w:t>De-ionized water</w:t>
      </w:r>
      <w:r>
        <w:t>, Tannic acid, Leucine, N-butanol, Wade Reagent, N-propanol, Acid detergent solution, Neutral detergent solution, sodium-</w:t>
      </w:r>
      <w:proofErr w:type="spellStart"/>
      <w:r>
        <w:t>sulphite</w:t>
      </w:r>
      <w:proofErr w:type="spellEnd"/>
      <w:r>
        <w:t>, heat-stable α-amylase, Pepsin, Pancreatin.</w:t>
      </w:r>
    </w:p>
    <w:p w14:paraId="5BF23B67" w14:textId="77777777" w:rsidR="0040444D" w:rsidRPr="002B75CF" w:rsidRDefault="0040444D" w:rsidP="0040444D">
      <w:pPr>
        <w:pStyle w:val="NormalWeb"/>
        <w:spacing w:before="240" w:beforeAutospacing="0"/>
        <w:jc w:val="both"/>
      </w:pPr>
      <w:r>
        <w:rPr>
          <w:bCs/>
        </w:rPr>
        <w:t>Equipment and Apparatus</w:t>
      </w:r>
    </w:p>
    <w:p w14:paraId="76DDC2BE" w14:textId="77777777" w:rsidR="0040444D" w:rsidRDefault="0040444D" w:rsidP="0040444D">
      <w:pPr>
        <w:pStyle w:val="NormalWeb"/>
        <w:spacing w:before="0" w:beforeAutospacing="0" w:after="0" w:afterAutospacing="0" w:line="480" w:lineRule="auto"/>
        <w:jc w:val="both"/>
      </w:pPr>
      <w:r>
        <w:t xml:space="preserve">Cutlasses, Gloves, Polythene bags, Buckets, Analytical balance, Washing containers, Drying trays, Hot air oven (DHG-9053A Electric Thermostatic Drying Oven, Shanghai Yiheng Scientific Instrument Co., China), Electrical blender (BLG-450 Blender, </w:t>
      </w:r>
      <w:proofErr w:type="spellStart"/>
      <w:r>
        <w:t>Binatone</w:t>
      </w:r>
      <w:proofErr w:type="spellEnd"/>
      <w:r>
        <w:t xml:space="preserve"> Electronics International Ltd.), Sieve, Stainless steel pots, Hot plates, Gas burners, Thermometer, Fume cupboard, Fermentation containers (plastic buckets), Kjeldahl digestion and distillation unit, UV-Visible Spectrophotometer (UV-1800, Shimadzu Corporation, Japan), Centrifuge (80-2B Centrifuge, Changsha Xiangyi Centrifuge Instrument Co., China), Water bath, pH meter, Muffle furnace, Desiccator, Crucibles, Litmus paper, Test tubes, Volumetric flasks, Measuring cylinder, Burettes, Conical flasks, Round bottom flask, Digestion flask, Reflux apparatus, Retort stand, Heating mantle, Beakers, Pipettes, Reflux apparatus, Filter papers, Funnels, Centrifuge tubes, Wash bottles, Spatula, Glass stirring rods. </w:t>
      </w:r>
      <w:r>
        <w:rPr>
          <w:highlight w:val="yellow"/>
        </w:rPr>
        <w:t xml:space="preserve">All equipment was </w:t>
      </w:r>
      <w:r>
        <w:rPr>
          <w:highlight w:val="yellow"/>
        </w:rPr>
        <w:lastRenderedPageBreak/>
        <w:t>properly calibrated</w:t>
      </w:r>
      <w:r>
        <w:t xml:space="preserve"> and used according to standard laboratory procedures to ensure accuracy and reliability of results.</w:t>
      </w:r>
    </w:p>
    <w:p w14:paraId="3484FB8B" w14:textId="77777777" w:rsidR="0040444D" w:rsidRPr="002B75CF" w:rsidRDefault="0040444D" w:rsidP="0040444D">
      <w:pPr>
        <w:pStyle w:val="NormalWeb"/>
        <w:spacing w:before="0" w:beforeAutospacing="0" w:after="240" w:afterAutospacing="0"/>
        <w:jc w:val="both"/>
      </w:pPr>
      <w:r w:rsidRPr="002B75CF">
        <w:t>Methodology</w:t>
      </w:r>
    </w:p>
    <w:p w14:paraId="6CB2DB89" w14:textId="77777777" w:rsidR="0040444D" w:rsidRPr="002B75CF" w:rsidRDefault="0040444D" w:rsidP="0040444D">
      <w:pPr>
        <w:pStyle w:val="NormalWeb"/>
        <w:spacing w:before="0" w:beforeAutospacing="0" w:after="240" w:afterAutospacing="0"/>
        <w:jc w:val="both"/>
      </w:pPr>
      <w:r w:rsidRPr="002B75CF">
        <w:rPr>
          <w:bCs/>
        </w:rPr>
        <w:t>Experimental Design</w:t>
      </w:r>
    </w:p>
    <w:p w14:paraId="249D0105" w14:textId="77777777" w:rsidR="0040444D" w:rsidRDefault="0040444D" w:rsidP="0040444D">
      <w:pPr>
        <w:spacing w:line="480" w:lineRule="auto"/>
        <w:jc w:val="both"/>
        <w:rPr>
          <w:rFonts w:ascii="Times New Roman" w:hAnsi="Times New Roman"/>
        </w:rPr>
      </w:pPr>
      <w:r>
        <w:rPr>
          <w:rFonts w:ascii="Times New Roman" w:hAnsi="Times New Roman"/>
        </w:rPr>
        <w:t xml:space="preserve">Fresh </w:t>
      </w:r>
      <w:r w:rsidR="009E4DDC" w:rsidRPr="009E4DDC">
        <w:rPr>
          <w:rFonts w:ascii="Times New Roman" w:hAnsi="Times New Roman"/>
          <w:i/>
        </w:rPr>
        <w:t>Eichhornia crassipes</w:t>
      </w:r>
      <w:r>
        <w:rPr>
          <w:rFonts w:ascii="Times New Roman" w:hAnsi="Times New Roman"/>
        </w:rPr>
        <w:t xml:space="preserve"> samples were subjected to three different processing methods (boiling, oven drying, and fermentation). Each treatment was replicated to ensure statistical validity and to </w:t>
      </w:r>
      <w:proofErr w:type="spellStart"/>
      <w:r>
        <w:rPr>
          <w:rFonts w:ascii="Times New Roman" w:hAnsi="Times New Roman"/>
          <w:highlight w:val="yellow"/>
        </w:rPr>
        <w:t>minimise</w:t>
      </w:r>
      <w:proofErr w:type="spellEnd"/>
      <w:r>
        <w:rPr>
          <w:rFonts w:ascii="Times New Roman" w:hAnsi="Times New Roman"/>
        </w:rPr>
        <w:t xml:space="preserve"> experimental error. The processed samples were subsequently </w:t>
      </w:r>
      <w:proofErr w:type="spellStart"/>
      <w:r w:rsidR="00D17059">
        <w:rPr>
          <w:rFonts w:ascii="Times New Roman" w:hAnsi="Times New Roman"/>
          <w:highlight w:val="yellow"/>
        </w:rPr>
        <w:t>analysed</w:t>
      </w:r>
      <w:proofErr w:type="spellEnd"/>
      <w:r>
        <w:rPr>
          <w:rFonts w:ascii="Times New Roman" w:hAnsi="Times New Roman"/>
        </w:rPr>
        <w:t xml:space="preserve"> for nitrogen content, free amino acids, crude </w:t>
      </w:r>
      <w:proofErr w:type="spellStart"/>
      <w:r>
        <w:rPr>
          <w:rFonts w:ascii="Times New Roman" w:hAnsi="Times New Roman"/>
        </w:rPr>
        <w:t>fibre</w:t>
      </w:r>
      <w:proofErr w:type="spellEnd"/>
      <w:r>
        <w:rPr>
          <w:rFonts w:ascii="Times New Roman" w:hAnsi="Times New Roman"/>
        </w:rPr>
        <w:t xml:space="preserve">, and anti-nutritional factors. The data obtained were used to compare the effects of the different processing methods on the nutritional quality of </w:t>
      </w:r>
      <w:r w:rsidR="009E4DDC" w:rsidRPr="009E4DDC">
        <w:rPr>
          <w:rFonts w:ascii="Times New Roman" w:hAnsi="Times New Roman"/>
          <w:i/>
        </w:rPr>
        <w:t>Eichhornia crassipes</w:t>
      </w:r>
      <w:r>
        <w:rPr>
          <w:rFonts w:ascii="Times New Roman" w:hAnsi="Times New Roman"/>
        </w:rPr>
        <w:t>.</w:t>
      </w:r>
    </w:p>
    <w:p w14:paraId="363CE62C" w14:textId="77777777" w:rsidR="0040444D" w:rsidRPr="002B75CF" w:rsidRDefault="0040444D" w:rsidP="0040444D">
      <w:pPr>
        <w:spacing w:line="480" w:lineRule="auto"/>
        <w:jc w:val="both"/>
        <w:rPr>
          <w:rFonts w:ascii="Times New Roman" w:hAnsi="Times New Roman"/>
          <w:bCs/>
        </w:rPr>
      </w:pPr>
      <w:r w:rsidRPr="002B75CF">
        <w:rPr>
          <w:rFonts w:ascii="Times New Roman" w:hAnsi="Times New Roman"/>
          <w:bCs/>
        </w:rPr>
        <w:t>Collection and Preparation of Sample</w:t>
      </w:r>
    </w:p>
    <w:p w14:paraId="5956F927" w14:textId="77777777" w:rsidR="0040444D" w:rsidRDefault="0040444D" w:rsidP="0040444D">
      <w:pPr>
        <w:spacing w:line="480" w:lineRule="auto"/>
        <w:jc w:val="both"/>
        <w:rPr>
          <w:rFonts w:ascii="Times New Roman" w:hAnsi="Times New Roman"/>
        </w:rPr>
      </w:pPr>
      <w:r>
        <w:rPr>
          <w:rFonts w:ascii="Times New Roman" w:hAnsi="Times New Roman"/>
        </w:rPr>
        <w:t xml:space="preserve">Fresh samples of </w:t>
      </w:r>
      <w:r w:rsidR="009E4DDC" w:rsidRPr="009E4DDC">
        <w:rPr>
          <w:rFonts w:ascii="Times New Roman" w:hAnsi="Times New Roman"/>
          <w:i/>
        </w:rPr>
        <w:t>Eichhornia crassipes</w:t>
      </w:r>
      <w:r>
        <w:rPr>
          <w:rFonts w:ascii="Times New Roman" w:hAnsi="Times New Roman"/>
        </w:rPr>
        <w:t xml:space="preserve"> were collected from freshwater bodies at </w:t>
      </w:r>
      <w:proofErr w:type="spellStart"/>
      <w:r>
        <w:rPr>
          <w:rFonts w:ascii="Times New Roman" w:hAnsi="Times New Roman"/>
        </w:rPr>
        <w:t>Anantigha</w:t>
      </w:r>
      <w:proofErr w:type="spellEnd"/>
      <w:r>
        <w:rPr>
          <w:rFonts w:ascii="Times New Roman" w:hAnsi="Times New Roman"/>
        </w:rPr>
        <w:t xml:space="preserve"> LGA in Cross River State, Nigeria, </w:t>
      </w:r>
      <w:r>
        <w:rPr>
          <w:rFonts w:ascii="Times New Roman" w:hAnsi="Times New Roman"/>
          <w:color w:val="000000" w:themeColor="text1"/>
        </w:rPr>
        <w:t>and authenticated by a plant taxonomist at the Department of Plant Science and Biotechnology, UNICROSS, Calabar</w:t>
      </w:r>
      <w:r>
        <w:rPr>
          <w:color w:val="000000" w:themeColor="text1"/>
        </w:rPr>
        <w:t>.</w:t>
      </w:r>
      <w:r>
        <w:rPr>
          <w:rFonts w:ascii="Times New Roman" w:hAnsi="Times New Roman"/>
        </w:rPr>
        <w:t xml:space="preserve"> The plants were carefully uprooted to ensure intact leaf, root</w:t>
      </w:r>
      <w:r w:rsidR="002B75CF">
        <w:rPr>
          <w:rFonts w:ascii="Times New Roman" w:hAnsi="Times New Roman"/>
        </w:rPr>
        <w:t>,</w:t>
      </w:r>
      <w:r>
        <w:rPr>
          <w:rFonts w:ascii="Times New Roman" w:hAnsi="Times New Roman"/>
        </w:rPr>
        <w:t xml:space="preserve"> and stem portions. Collected samples were washed thoroughly with clean water to remove dirt, debris, and attached foreign materials. After washing, the samples were drained and sorted to remove damaged or decayed portions. The fresh biomass was then divided into equal portions for different processing treatments. A portion of the fresh sample was retained for baseline analysis, while the remaining portions were subjected to boiling, oven drying, and fermentation, respectively.</w:t>
      </w:r>
    </w:p>
    <w:p w14:paraId="78A13ED5" w14:textId="77777777" w:rsidR="0040444D" w:rsidRPr="002B75CF" w:rsidRDefault="0040444D" w:rsidP="0040444D">
      <w:pPr>
        <w:jc w:val="both"/>
        <w:rPr>
          <w:rFonts w:ascii="Times New Roman" w:hAnsi="Times New Roman"/>
          <w:bCs/>
        </w:rPr>
      </w:pPr>
      <w:r w:rsidRPr="002B75CF">
        <w:rPr>
          <w:rFonts w:ascii="Times New Roman" w:hAnsi="Times New Roman"/>
          <w:bCs/>
        </w:rPr>
        <w:t>Processing Methods</w:t>
      </w:r>
    </w:p>
    <w:p w14:paraId="5CF46045" w14:textId="77777777" w:rsidR="0040444D" w:rsidRPr="002B75CF" w:rsidRDefault="0040444D" w:rsidP="0040444D">
      <w:pPr>
        <w:jc w:val="both"/>
        <w:rPr>
          <w:rFonts w:ascii="Times New Roman" w:hAnsi="Times New Roman"/>
          <w:bCs/>
        </w:rPr>
      </w:pPr>
      <w:r w:rsidRPr="002B75CF">
        <w:rPr>
          <w:rFonts w:ascii="Times New Roman" w:hAnsi="Times New Roman"/>
          <w:bCs/>
        </w:rPr>
        <w:t>Boiling</w:t>
      </w:r>
    </w:p>
    <w:p w14:paraId="261E30AD" w14:textId="77777777" w:rsidR="0040444D" w:rsidRPr="0040444D" w:rsidRDefault="0040444D" w:rsidP="0040444D">
      <w:pPr>
        <w:spacing w:line="480" w:lineRule="auto"/>
        <w:jc w:val="both"/>
        <w:rPr>
          <w:rFonts w:ascii="Times New Roman" w:hAnsi="Times New Roman"/>
        </w:rPr>
      </w:pPr>
      <w:r>
        <w:rPr>
          <w:rFonts w:ascii="Times New Roman" w:hAnsi="Times New Roman"/>
        </w:rPr>
        <w:t xml:space="preserve">A portion of fresh </w:t>
      </w:r>
      <w:r w:rsidR="009E4DDC" w:rsidRPr="009E4DDC">
        <w:rPr>
          <w:rFonts w:ascii="Times New Roman" w:hAnsi="Times New Roman"/>
          <w:i/>
        </w:rPr>
        <w:t>Eichhornia crassipes</w:t>
      </w:r>
      <w:r>
        <w:rPr>
          <w:rFonts w:ascii="Times New Roman" w:hAnsi="Times New Roman"/>
        </w:rPr>
        <w:t xml:space="preserve"> was boiled in water at 100°C for </w:t>
      </w:r>
      <w:r>
        <w:rPr>
          <w:rFonts w:ascii="Times New Roman" w:hAnsi="Times New Roman"/>
          <w:highlight w:val="yellow"/>
        </w:rPr>
        <w:t>2 hours</w:t>
      </w:r>
      <w:r>
        <w:rPr>
          <w:rFonts w:ascii="Times New Roman" w:hAnsi="Times New Roman"/>
        </w:rPr>
        <w:t>. The boiling process was carried out to soften the plant tissues. After boiling, the samples were drained and allowed to cool before further analysis.</w:t>
      </w:r>
    </w:p>
    <w:p w14:paraId="6F3E2F1E" w14:textId="77777777" w:rsidR="0040444D" w:rsidRPr="002B75CF" w:rsidRDefault="0040444D" w:rsidP="0040444D">
      <w:pPr>
        <w:jc w:val="both"/>
        <w:rPr>
          <w:rFonts w:ascii="Times New Roman" w:hAnsi="Times New Roman"/>
          <w:bCs/>
        </w:rPr>
      </w:pPr>
      <w:r w:rsidRPr="002B75CF">
        <w:rPr>
          <w:rFonts w:ascii="Times New Roman" w:hAnsi="Times New Roman"/>
          <w:bCs/>
        </w:rPr>
        <w:t>Oven Drying</w:t>
      </w:r>
    </w:p>
    <w:p w14:paraId="3FA27CAC" w14:textId="77777777" w:rsidR="0040444D" w:rsidRDefault="0040444D" w:rsidP="0040444D">
      <w:pPr>
        <w:spacing w:line="480" w:lineRule="auto"/>
        <w:jc w:val="both"/>
        <w:rPr>
          <w:rFonts w:ascii="Times New Roman" w:hAnsi="Times New Roman"/>
        </w:rPr>
      </w:pPr>
      <w:r>
        <w:rPr>
          <w:rFonts w:ascii="Times New Roman" w:hAnsi="Times New Roman"/>
        </w:rPr>
        <w:t xml:space="preserve">A portion of fresh </w:t>
      </w:r>
      <w:r w:rsidR="009E4DDC" w:rsidRPr="009E4DDC">
        <w:rPr>
          <w:rFonts w:ascii="Times New Roman" w:hAnsi="Times New Roman"/>
          <w:i/>
        </w:rPr>
        <w:t>Eichhornia crassipes</w:t>
      </w:r>
      <w:r>
        <w:rPr>
          <w:rFonts w:ascii="Times New Roman" w:hAnsi="Times New Roman"/>
        </w:rPr>
        <w:t xml:space="preserve"> was dried in a hot air oven at 100°C for </w:t>
      </w:r>
      <w:r>
        <w:rPr>
          <w:rFonts w:ascii="Times New Roman" w:hAnsi="Times New Roman"/>
          <w:highlight w:val="yellow"/>
        </w:rPr>
        <w:t>2 hours</w:t>
      </w:r>
      <w:r>
        <w:rPr>
          <w:rFonts w:ascii="Times New Roman" w:hAnsi="Times New Roman"/>
        </w:rPr>
        <w:t>. This process was used to reduce moisture content and to preserve the sample for subsequent analysis. After drying, the sample was cooled in a desiccator to prevent moisture absorption before being ground into fine powder for analysis.</w:t>
      </w:r>
    </w:p>
    <w:p w14:paraId="5795A62E" w14:textId="77777777" w:rsidR="0040444D" w:rsidRPr="002B75CF" w:rsidRDefault="0040444D" w:rsidP="0040444D">
      <w:pPr>
        <w:jc w:val="both"/>
        <w:rPr>
          <w:rFonts w:ascii="Times New Roman" w:hAnsi="Times New Roman"/>
          <w:bCs/>
        </w:rPr>
      </w:pPr>
      <w:r w:rsidRPr="002B75CF">
        <w:rPr>
          <w:rFonts w:ascii="Times New Roman" w:hAnsi="Times New Roman"/>
          <w:bCs/>
        </w:rPr>
        <w:t>Fermentation</w:t>
      </w:r>
    </w:p>
    <w:p w14:paraId="2315086E" w14:textId="77777777" w:rsidR="0040444D" w:rsidRDefault="0040444D" w:rsidP="0040444D">
      <w:pPr>
        <w:spacing w:line="480" w:lineRule="auto"/>
        <w:jc w:val="both"/>
        <w:rPr>
          <w:rFonts w:ascii="Times New Roman" w:hAnsi="Times New Roman"/>
        </w:rPr>
      </w:pPr>
      <w:r>
        <w:rPr>
          <w:rFonts w:ascii="Times New Roman" w:hAnsi="Times New Roman"/>
        </w:rPr>
        <w:t xml:space="preserve">A portion of fresh </w:t>
      </w:r>
      <w:r w:rsidR="009E4DDC" w:rsidRPr="009E4DDC">
        <w:rPr>
          <w:rFonts w:ascii="Times New Roman" w:hAnsi="Times New Roman"/>
          <w:i/>
        </w:rPr>
        <w:t>Eichhornia crassipes</w:t>
      </w:r>
      <w:r>
        <w:rPr>
          <w:rFonts w:ascii="Times New Roman" w:hAnsi="Times New Roman"/>
        </w:rPr>
        <w:t xml:space="preserve"> was subjected to solid-state fermentation. The sample was placed in a clean fermentation container and allowed to ferment for </w:t>
      </w:r>
      <w:r>
        <w:rPr>
          <w:rFonts w:ascii="Times New Roman" w:hAnsi="Times New Roman"/>
          <w:highlight w:val="yellow"/>
        </w:rPr>
        <w:t>48 hours</w:t>
      </w:r>
      <w:r>
        <w:rPr>
          <w:rFonts w:ascii="Times New Roman" w:hAnsi="Times New Roman"/>
        </w:rPr>
        <w:t xml:space="preserve"> </w:t>
      </w:r>
      <w:r>
        <w:rPr>
          <w:rFonts w:ascii="Times New Roman" w:hAnsi="Times New Roman"/>
          <w:highlight w:val="yellow"/>
        </w:rPr>
        <w:t>at</w:t>
      </w:r>
      <w:r>
        <w:rPr>
          <w:rFonts w:ascii="Times New Roman" w:hAnsi="Times New Roman"/>
        </w:rPr>
        <w:t xml:space="preserve"> ambient temperature. At the end of the fermentation period, the sample was removed, dried, and prepared for further laboratory analysis.</w:t>
      </w:r>
    </w:p>
    <w:p w14:paraId="78F13601" w14:textId="77777777" w:rsidR="0040444D" w:rsidRPr="002B75CF" w:rsidRDefault="0040444D" w:rsidP="0040444D">
      <w:pPr>
        <w:jc w:val="both"/>
        <w:rPr>
          <w:rFonts w:ascii="Times New Roman" w:hAnsi="Times New Roman"/>
          <w:bCs/>
        </w:rPr>
      </w:pPr>
      <w:r>
        <w:rPr>
          <w:rFonts w:ascii="Times New Roman" w:hAnsi="Times New Roman"/>
          <w:bCs/>
        </w:rPr>
        <w:t>Determination of Nitrogen and Protein Content (</w:t>
      </w:r>
      <w:r>
        <w:rPr>
          <w:rFonts w:ascii="Times New Roman" w:hAnsi="Times New Roman"/>
        </w:rPr>
        <w:t xml:space="preserve">Latimer, 2019) </w:t>
      </w:r>
    </w:p>
    <w:p w14:paraId="58B1C098" w14:textId="77777777" w:rsidR="0040444D" w:rsidRDefault="0040444D" w:rsidP="0040444D">
      <w:pPr>
        <w:spacing w:line="480" w:lineRule="auto"/>
        <w:jc w:val="both"/>
        <w:rPr>
          <w:rFonts w:ascii="Times New Roman" w:eastAsia="Calibri" w:hAnsi="Times New Roman" w:cstheme="minorBidi"/>
        </w:rPr>
      </w:pPr>
      <w:r>
        <w:rPr>
          <w:rFonts w:ascii="Times New Roman" w:eastAsia="Calibri" w:hAnsi="Times New Roman"/>
          <w:bCs/>
        </w:rPr>
        <w:t>Digestion:</w:t>
      </w:r>
      <w:r>
        <w:rPr>
          <w:rFonts w:ascii="Times New Roman" w:eastAsia="Calibri" w:hAnsi="Times New Roman"/>
        </w:rPr>
        <w:t xml:space="preserve">  </w:t>
      </w:r>
      <w:r>
        <w:rPr>
          <w:rFonts w:ascii="Times New Roman" w:hAnsi="Times New Roman"/>
        </w:rPr>
        <w:t xml:space="preserve">0.5g of each processed sample was </w:t>
      </w:r>
      <w:r w:rsidR="00D17059">
        <w:rPr>
          <w:rFonts w:ascii="Times New Roman" w:hAnsi="Times New Roman"/>
        </w:rPr>
        <w:t>put</w:t>
      </w:r>
      <w:r>
        <w:rPr>
          <w:rFonts w:ascii="Times New Roman" w:hAnsi="Times New Roman"/>
        </w:rPr>
        <w:t xml:space="preserve"> </w:t>
      </w:r>
      <w:r>
        <w:rPr>
          <w:rFonts w:ascii="Times New Roman" w:eastAsia="Calibri" w:hAnsi="Times New Roman"/>
        </w:rPr>
        <w:t xml:space="preserve">in a clean and dry digestion flask, </w:t>
      </w:r>
      <w:r>
        <w:rPr>
          <w:rFonts w:ascii="Times New Roman" w:eastAsia="Calibri" w:hAnsi="Times New Roman"/>
          <w:highlight w:val="yellow"/>
        </w:rPr>
        <w:t>ensur</w:t>
      </w:r>
      <w:r>
        <w:rPr>
          <w:rFonts w:ascii="Times New Roman" w:eastAsia="Calibri" w:hAnsi="Times New Roman"/>
        </w:rPr>
        <w:t>ing that no sample</w:t>
      </w:r>
      <w:r>
        <w:rPr>
          <w:rFonts w:ascii="Times New Roman" w:eastAsia="Calibri" w:hAnsi="Times New Roman"/>
          <w:highlight w:val="yellow"/>
        </w:rPr>
        <w:t xml:space="preserve"> </w:t>
      </w:r>
      <w:r>
        <w:rPr>
          <w:rFonts w:ascii="Times New Roman" w:eastAsia="Calibri" w:hAnsi="Times New Roman"/>
        </w:rPr>
        <w:t>particles adhered to the sides of the flask. 20m</w:t>
      </w:r>
      <w:r w:rsidR="00D17059">
        <w:rPr>
          <w:rFonts w:ascii="Times New Roman" w:eastAsia="Calibri" w:hAnsi="Times New Roman"/>
          <w:highlight w:val="yellow"/>
        </w:rPr>
        <w:t>l</w:t>
      </w:r>
      <w:r>
        <w:rPr>
          <w:rFonts w:ascii="Times New Roman" w:eastAsia="Calibri" w:hAnsi="Times New Roman"/>
        </w:rPr>
        <w:t xml:space="preserve"> of concentrated </w:t>
      </w:r>
      <w:proofErr w:type="spellStart"/>
      <w:r>
        <w:rPr>
          <w:rFonts w:ascii="Times New Roman" w:eastAsia="Calibri" w:hAnsi="Times New Roman"/>
        </w:rPr>
        <w:t>sulphuric</w:t>
      </w:r>
      <w:proofErr w:type="spellEnd"/>
      <w:r>
        <w:rPr>
          <w:rFonts w:ascii="Times New Roman" w:eastAsia="Calibri" w:hAnsi="Times New Roman"/>
        </w:rPr>
        <w:t xml:space="preserve"> acid was added and mixed gently. 10</w:t>
      </w:r>
      <w:r>
        <w:rPr>
          <w:rFonts w:ascii="Times New Roman" w:eastAsia="Calibri" w:hAnsi="Times New Roman"/>
          <w:highlight w:val="yellow"/>
        </w:rPr>
        <w:t xml:space="preserve"> </w:t>
      </w:r>
      <w:r>
        <w:rPr>
          <w:rFonts w:ascii="Times New Roman" w:eastAsia="Calibri" w:hAnsi="Times New Roman"/>
        </w:rPr>
        <w:t xml:space="preserve">g of </w:t>
      </w:r>
      <w:r>
        <w:rPr>
          <w:rFonts w:ascii="Times New Roman" w:hAnsi="Times New Roman"/>
        </w:rPr>
        <w:t>Na</w:t>
      </w:r>
      <w:r>
        <w:rPr>
          <w:rFonts w:ascii="Times New Roman" w:hAnsi="Times New Roman"/>
          <w:vertAlign w:val="subscript"/>
        </w:rPr>
        <w:t>2</w:t>
      </w:r>
      <w:r>
        <w:rPr>
          <w:rFonts w:ascii="Times New Roman" w:hAnsi="Times New Roman"/>
        </w:rPr>
        <w:t>SO</w:t>
      </w:r>
      <w:r>
        <w:rPr>
          <w:rFonts w:ascii="Times New Roman" w:hAnsi="Times New Roman"/>
          <w:vertAlign w:val="subscript"/>
        </w:rPr>
        <w:t>4</w:t>
      </w:r>
      <w:r>
        <w:rPr>
          <w:rFonts w:ascii="Times New Roman" w:hAnsi="Times New Roman"/>
        </w:rPr>
        <w:t xml:space="preserve"> </w:t>
      </w:r>
      <w:r>
        <w:rPr>
          <w:rFonts w:ascii="Times New Roman" w:eastAsia="Calibri" w:hAnsi="Times New Roman"/>
        </w:rPr>
        <w:t>and 1</w:t>
      </w:r>
      <w:r>
        <w:rPr>
          <w:rFonts w:ascii="Times New Roman" w:eastAsia="Calibri" w:hAnsi="Times New Roman"/>
          <w:highlight w:val="yellow"/>
        </w:rPr>
        <w:t xml:space="preserve"> </w:t>
      </w:r>
      <w:r>
        <w:rPr>
          <w:rFonts w:ascii="Times New Roman" w:eastAsia="Calibri" w:hAnsi="Times New Roman"/>
        </w:rPr>
        <w:t xml:space="preserve">g of </w:t>
      </w:r>
      <w:r>
        <w:rPr>
          <w:rFonts w:ascii="Times New Roman" w:hAnsi="Times New Roman"/>
        </w:rPr>
        <w:t>CuSO</w:t>
      </w:r>
      <w:r>
        <w:rPr>
          <w:rFonts w:ascii="Times New Roman" w:hAnsi="Times New Roman"/>
          <w:vertAlign w:val="subscript"/>
        </w:rPr>
        <w:t xml:space="preserve">4 </w:t>
      </w:r>
      <w:r>
        <w:rPr>
          <w:rFonts w:ascii="Times New Roman" w:eastAsia="Calibri" w:hAnsi="Times New Roman"/>
        </w:rPr>
        <w:t>were mixed, and 3</w:t>
      </w:r>
      <w:r>
        <w:rPr>
          <w:rFonts w:ascii="Times New Roman" w:eastAsia="Calibri" w:hAnsi="Times New Roman"/>
          <w:highlight w:val="yellow"/>
        </w:rPr>
        <w:t xml:space="preserve"> </w:t>
      </w:r>
      <w:r>
        <w:rPr>
          <w:rFonts w:ascii="Times New Roman" w:eastAsia="Calibri" w:hAnsi="Times New Roman"/>
        </w:rPr>
        <w:t xml:space="preserve">g of the mixture was added to the flask. </w:t>
      </w:r>
      <w:r>
        <w:rPr>
          <w:rFonts w:ascii="Times New Roman" w:eastAsia="Calibri" w:hAnsi="Times New Roman"/>
          <w:highlight w:val="yellow"/>
        </w:rPr>
        <w:t>A few anti-bumping chips were also added to the mixture.</w:t>
      </w:r>
      <w:r>
        <w:rPr>
          <w:rFonts w:ascii="Times New Roman" w:eastAsia="Calibri" w:hAnsi="Times New Roman"/>
        </w:rPr>
        <w:t xml:space="preserve"> The </w:t>
      </w:r>
      <w:r>
        <w:rPr>
          <w:rFonts w:ascii="Times New Roman" w:hAnsi="Times New Roman"/>
        </w:rPr>
        <w:t>Na</w:t>
      </w:r>
      <w:r>
        <w:rPr>
          <w:rFonts w:ascii="Times New Roman" w:hAnsi="Times New Roman"/>
          <w:vertAlign w:val="subscript"/>
        </w:rPr>
        <w:t>2</w:t>
      </w:r>
      <w:r>
        <w:rPr>
          <w:rFonts w:ascii="Times New Roman" w:hAnsi="Times New Roman"/>
        </w:rPr>
        <w:t>SO</w:t>
      </w:r>
      <w:r>
        <w:rPr>
          <w:rFonts w:ascii="Times New Roman" w:hAnsi="Times New Roman"/>
          <w:vertAlign w:val="subscript"/>
        </w:rPr>
        <w:t xml:space="preserve">4 </w:t>
      </w:r>
      <w:r>
        <w:rPr>
          <w:rFonts w:ascii="Times New Roman" w:eastAsia="Calibri" w:hAnsi="Times New Roman"/>
        </w:rPr>
        <w:t xml:space="preserve">and </w:t>
      </w:r>
      <w:r>
        <w:rPr>
          <w:rFonts w:ascii="Times New Roman" w:hAnsi="Times New Roman"/>
        </w:rPr>
        <w:t>CuSO</w:t>
      </w:r>
      <w:r>
        <w:rPr>
          <w:rFonts w:ascii="Times New Roman" w:hAnsi="Times New Roman"/>
          <w:vertAlign w:val="subscript"/>
        </w:rPr>
        <w:t xml:space="preserve">4 </w:t>
      </w:r>
      <w:r>
        <w:rPr>
          <w:rFonts w:ascii="Times New Roman" w:eastAsia="Calibri" w:hAnsi="Times New Roman"/>
        </w:rPr>
        <w:t xml:space="preserve">mixture </w:t>
      </w:r>
      <w:r>
        <w:rPr>
          <w:rFonts w:ascii="Times New Roman" w:eastAsia="Calibri" w:hAnsi="Times New Roman"/>
          <w:highlight w:val="yellow"/>
        </w:rPr>
        <w:t>served a</w:t>
      </w:r>
      <w:r>
        <w:rPr>
          <w:rFonts w:ascii="Times New Roman" w:eastAsia="Calibri" w:hAnsi="Times New Roman"/>
        </w:rPr>
        <w:t xml:space="preserve">s the Kjeldahl catalyst. The entire mixture was boiled gently in the Kjeldahl flask in a fume cupboard until charred particles </w:t>
      </w:r>
      <w:r>
        <w:rPr>
          <w:rFonts w:ascii="Times New Roman" w:eastAsia="Calibri" w:hAnsi="Times New Roman"/>
        </w:rPr>
        <w:lastRenderedPageBreak/>
        <w:t xml:space="preserve">disappeared and a clear green solution was obtained. The digest was allowed to cool and then added to distilled water. The digest was shaken carefully since the reaction was exothermic, and after </w:t>
      </w:r>
      <w:r>
        <w:rPr>
          <w:rFonts w:ascii="Times New Roman" w:eastAsia="Calibri" w:hAnsi="Times New Roman"/>
          <w:highlight w:val="yellow"/>
        </w:rPr>
        <w:t>re</w:t>
      </w:r>
      <w:r>
        <w:rPr>
          <w:rFonts w:ascii="Times New Roman" w:eastAsia="Calibri" w:hAnsi="Times New Roman"/>
        </w:rPr>
        <w:t>a</w:t>
      </w:r>
      <w:r>
        <w:rPr>
          <w:rFonts w:ascii="Times New Roman" w:eastAsia="Calibri" w:hAnsi="Times New Roman"/>
          <w:highlight w:val="yellow"/>
        </w:rPr>
        <w:t>ch</w:t>
      </w:r>
      <w:r>
        <w:rPr>
          <w:rFonts w:ascii="Times New Roman" w:eastAsia="Calibri" w:hAnsi="Times New Roman"/>
        </w:rPr>
        <w:t>ing room temperature, it was carefully transferred into a 50-100m</w:t>
      </w:r>
      <w:r w:rsidR="00D17059">
        <w:rPr>
          <w:rFonts w:ascii="Times New Roman" w:eastAsia="Calibri" w:hAnsi="Times New Roman"/>
          <w:highlight w:val="yellow"/>
        </w:rPr>
        <w:t>l</w:t>
      </w:r>
      <w:r>
        <w:rPr>
          <w:rFonts w:ascii="Times New Roman" w:eastAsia="Calibri" w:hAnsi="Times New Roman"/>
        </w:rPr>
        <w:t xml:space="preserve"> conical flask. The digestion flask was washed several times with a small portion of distilled water, and the washings were transferred into the same conical flask. It was shaken carefully, the volume was made up, and it was shaken again for uniform concentration.</w:t>
      </w:r>
    </w:p>
    <w:p w14:paraId="3636675A" w14:textId="77777777" w:rsidR="0040444D" w:rsidRDefault="0040444D" w:rsidP="0040444D">
      <w:pPr>
        <w:spacing w:line="480" w:lineRule="auto"/>
        <w:jc w:val="both"/>
        <w:rPr>
          <w:rFonts w:ascii="Times New Roman" w:eastAsia="Calibri" w:hAnsi="Times New Roman"/>
        </w:rPr>
      </w:pPr>
      <w:r>
        <w:rPr>
          <w:rFonts w:ascii="Times New Roman" w:eastAsia="Calibri" w:hAnsi="Times New Roman"/>
          <w:bCs/>
        </w:rPr>
        <w:t>Distillation and titration</w:t>
      </w:r>
      <w:r>
        <w:rPr>
          <w:rFonts w:ascii="Times New Roman" w:eastAsia="Calibri" w:hAnsi="Times New Roman"/>
          <w:b/>
          <w:bCs/>
        </w:rPr>
        <w:t xml:space="preserve">: </w:t>
      </w:r>
      <w:r>
        <w:rPr>
          <w:rFonts w:ascii="Times New Roman" w:eastAsia="Calibri" w:hAnsi="Times New Roman"/>
        </w:rPr>
        <w:t>10m</w:t>
      </w:r>
      <w:r w:rsidR="00D17059">
        <w:rPr>
          <w:rFonts w:ascii="Times New Roman" w:eastAsia="Calibri" w:hAnsi="Times New Roman"/>
          <w:highlight w:val="yellow"/>
        </w:rPr>
        <w:t>l</w:t>
      </w:r>
      <w:r>
        <w:rPr>
          <w:rFonts w:ascii="Times New Roman" w:eastAsia="Calibri" w:hAnsi="Times New Roman"/>
        </w:rPr>
        <w:t xml:space="preserve"> of 2% boric acid was measured into a 500m</w:t>
      </w:r>
      <w:r w:rsidR="00D17059">
        <w:rPr>
          <w:rFonts w:ascii="Times New Roman" w:eastAsia="Calibri" w:hAnsi="Times New Roman"/>
          <w:highlight w:val="yellow"/>
        </w:rPr>
        <w:t>l</w:t>
      </w:r>
      <w:r>
        <w:rPr>
          <w:rFonts w:ascii="Times New Roman" w:eastAsia="Calibri" w:hAnsi="Times New Roman"/>
        </w:rPr>
        <w:t xml:space="preserve"> beaker, and 2-3 drops of the mixed indicator (Bromocresol green and Methyl red) were added. The beaker was placed under the condenser, taking care to ensure that the end of the condenser </w:t>
      </w:r>
      <w:r>
        <w:rPr>
          <w:rFonts w:ascii="Times New Roman" w:eastAsia="Calibri" w:hAnsi="Times New Roman"/>
          <w:highlight w:val="yellow"/>
        </w:rPr>
        <w:t>wa</w:t>
      </w:r>
      <w:r>
        <w:rPr>
          <w:rFonts w:ascii="Times New Roman" w:eastAsia="Calibri" w:hAnsi="Times New Roman"/>
        </w:rPr>
        <w:t xml:space="preserve">s </w:t>
      </w:r>
      <w:r>
        <w:rPr>
          <w:rFonts w:ascii="Times New Roman" w:eastAsia="Calibri" w:hAnsi="Times New Roman"/>
          <w:highlight w:val="yellow"/>
        </w:rPr>
        <w:t>immerse</w:t>
      </w:r>
      <w:r>
        <w:rPr>
          <w:rFonts w:ascii="Times New Roman" w:eastAsia="Calibri" w:hAnsi="Times New Roman"/>
        </w:rPr>
        <w:t>d in the boric acid solution. 10m</w:t>
      </w:r>
      <w:r w:rsidR="00D17059">
        <w:rPr>
          <w:rFonts w:ascii="Times New Roman" w:eastAsia="Calibri" w:hAnsi="Times New Roman"/>
          <w:highlight w:val="yellow"/>
        </w:rPr>
        <w:t>l</w:t>
      </w:r>
      <w:r>
        <w:rPr>
          <w:rFonts w:ascii="Times New Roman" w:eastAsia="Calibri" w:hAnsi="Times New Roman"/>
        </w:rPr>
        <w:t xml:space="preserve"> of the digest was added to 30m</w:t>
      </w:r>
      <w:r w:rsidR="00D17059">
        <w:rPr>
          <w:rFonts w:ascii="Times New Roman" w:eastAsia="Calibri" w:hAnsi="Times New Roman"/>
          <w:highlight w:val="yellow"/>
        </w:rPr>
        <w:t>l</w:t>
      </w:r>
      <w:r>
        <w:rPr>
          <w:rFonts w:ascii="Times New Roman" w:eastAsia="Calibri" w:hAnsi="Times New Roman"/>
        </w:rPr>
        <w:t xml:space="preserve"> of 40% NaOH in the distilling portion. The heating system was switched on for </w:t>
      </w:r>
      <w:r>
        <w:rPr>
          <w:rFonts w:ascii="Times New Roman" w:eastAsia="Calibri" w:hAnsi="Times New Roman"/>
          <w:highlight w:val="yellow"/>
        </w:rPr>
        <w:t>30 minutes</w:t>
      </w:r>
      <w:r>
        <w:rPr>
          <w:rFonts w:ascii="Times New Roman" w:eastAsia="Calibri" w:hAnsi="Times New Roman"/>
        </w:rPr>
        <w:t>. After the distillation was complete, the receiving beaker was removed, and the d</w:t>
      </w:r>
      <w:r w:rsidR="00D17059">
        <w:rPr>
          <w:rFonts w:ascii="Times New Roman" w:eastAsia="Calibri" w:hAnsi="Times New Roman"/>
        </w:rPr>
        <w:t>istillate was titrated with 0.1</w:t>
      </w:r>
      <w:r>
        <w:rPr>
          <w:rFonts w:ascii="Times New Roman" w:eastAsia="Calibri" w:hAnsi="Times New Roman"/>
        </w:rPr>
        <w:t xml:space="preserve">N HCl until the endpoint (light pink </w:t>
      </w:r>
      <w:proofErr w:type="spellStart"/>
      <w:r w:rsidR="00D17059">
        <w:rPr>
          <w:rFonts w:ascii="Times New Roman" w:eastAsia="Calibri" w:hAnsi="Times New Roman"/>
          <w:highlight w:val="yellow"/>
        </w:rPr>
        <w:t>colouration</w:t>
      </w:r>
      <w:proofErr w:type="spellEnd"/>
      <w:r>
        <w:rPr>
          <w:rFonts w:ascii="Times New Roman" w:eastAsia="Calibri" w:hAnsi="Times New Roman"/>
        </w:rPr>
        <w:t xml:space="preserve">) was achieved. </w:t>
      </w:r>
      <w:r w:rsidR="00D17059">
        <w:rPr>
          <w:rFonts w:ascii="Times New Roman" w:eastAsia="Calibri" w:hAnsi="Times New Roman"/>
          <w:highlight w:val="yellow"/>
        </w:rPr>
        <w:t>A blank preparation was run identically, except that it did not contain the sample (where DF is the dilution factor: 100/10).</w:t>
      </w:r>
    </w:p>
    <w:p w14:paraId="6027C342" w14:textId="77777777" w:rsidR="0040444D" w:rsidRPr="002B75CF" w:rsidRDefault="0040444D" w:rsidP="0040444D">
      <w:pPr>
        <w:spacing w:line="480" w:lineRule="auto"/>
        <w:jc w:val="center"/>
        <w:rPr>
          <w:rFonts w:ascii="Times New Roman" w:eastAsiaTheme="minorEastAsia" w:hAnsi="Times New Roman"/>
        </w:rPr>
      </w:pPr>
      <w:r w:rsidRPr="002B75CF">
        <w:rPr>
          <w:rFonts w:ascii="Times New Roman" w:hAnsi="Times New Roman"/>
        </w:rPr>
        <w:t xml:space="preserve">Calculation: </w:t>
      </w:r>
      <w:r w:rsidRPr="002B75CF">
        <w:rPr>
          <w:rFonts w:ascii="Times New Roman" w:hAnsi="Times New Roman"/>
          <w:bCs/>
        </w:rPr>
        <w:t xml:space="preserve">%Nitrogen = </w:t>
      </w:r>
      <m:oMath>
        <m:f>
          <m:fPr>
            <m:ctrlPr>
              <w:rPr>
                <w:rFonts w:ascii="Cambria Math" w:hAnsi="Cambria Math"/>
                <w:bCs/>
                <w:kern w:val="2"/>
                <w:sz w:val="28"/>
                <w:szCs w:val="28"/>
                <w14:ligatures w14:val="standardContextual"/>
              </w:rPr>
            </m:ctrlPr>
          </m:fPr>
          <m:num>
            <m:r>
              <m:rPr>
                <m:sty m:val="p"/>
              </m:rPr>
              <w:rPr>
                <w:rFonts w:ascii="Cambria Math" w:hAnsi="Cambria Math"/>
                <w:sz w:val="28"/>
              </w:rPr>
              <m:t>1.4 × TV × D.F</m:t>
            </m:r>
          </m:num>
          <m:den>
            <m:r>
              <m:rPr>
                <m:sty m:val="p"/>
              </m:rPr>
              <w:rPr>
                <w:rFonts w:ascii="Cambria Math" w:hAnsi="Cambria Math"/>
                <w:sz w:val="28"/>
              </w:rPr>
              <m:t>Original weight of sample</m:t>
            </m:r>
          </m:den>
        </m:f>
      </m:oMath>
      <w:r w:rsidRPr="002B75CF">
        <w:rPr>
          <w:rFonts w:ascii="Times New Roman" w:hAnsi="Times New Roman"/>
          <w:bCs/>
          <w:sz w:val="28"/>
        </w:rPr>
        <w:t xml:space="preserve"> </w:t>
      </w:r>
      <w:r w:rsidRPr="002B75CF">
        <w:rPr>
          <w:rFonts w:ascii="Times New Roman" w:hAnsi="Times New Roman"/>
          <w:bCs/>
        </w:rPr>
        <w:t>× 100</w:t>
      </w:r>
    </w:p>
    <w:p w14:paraId="707A9377" w14:textId="77777777" w:rsidR="0040444D" w:rsidRPr="002B75CF" w:rsidRDefault="0040444D" w:rsidP="0040444D">
      <w:pPr>
        <w:tabs>
          <w:tab w:val="left" w:pos="6439"/>
        </w:tabs>
        <w:jc w:val="center"/>
        <w:rPr>
          <w:rFonts w:ascii="Times New Roman" w:hAnsi="Times New Roman"/>
        </w:rPr>
      </w:pPr>
      <w:r w:rsidRPr="002B75CF">
        <w:rPr>
          <w:rFonts w:ascii="Times New Roman" w:hAnsi="Times New Roman"/>
        </w:rPr>
        <w:t>% Protein = % nitrogen × 6.25</w:t>
      </w:r>
    </w:p>
    <w:p w14:paraId="297829ED" w14:textId="77777777" w:rsidR="0040444D" w:rsidRPr="002B75CF" w:rsidRDefault="0040444D" w:rsidP="0040444D">
      <w:pPr>
        <w:jc w:val="both"/>
        <w:rPr>
          <w:rFonts w:ascii="Times New Roman" w:hAnsi="Times New Roman"/>
          <w:bCs/>
        </w:rPr>
      </w:pPr>
      <w:r w:rsidRPr="002B75CF">
        <w:rPr>
          <w:rFonts w:ascii="Times New Roman" w:hAnsi="Times New Roman"/>
          <w:bCs/>
        </w:rPr>
        <w:t>Determination of Free Amino Acids (</w:t>
      </w:r>
      <w:proofErr w:type="spellStart"/>
      <w:r w:rsidRPr="002B75CF">
        <w:rPr>
          <w:rFonts w:ascii="Times New Roman" w:hAnsi="Times New Roman"/>
          <w:color w:val="1B1B1B"/>
          <w:shd w:val="clear" w:color="auto" w:fill="FFFFFF"/>
        </w:rPr>
        <w:t>Stauß</w:t>
      </w:r>
      <w:proofErr w:type="spellEnd"/>
      <w:r w:rsidRPr="002B75CF">
        <w:rPr>
          <w:rFonts w:ascii="Times New Roman" w:hAnsi="Times New Roman"/>
          <w:color w:val="1B1B1B"/>
          <w:shd w:val="clear" w:color="auto" w:fill="FFFFFF"/>
        </w:rPr>
        <w:t xml:space="preserve"> </w:t>
      </w:r>
      <w:r w:rsidRPr="002B75CF">
        <w:rPr>
          <w:rFonts w:ascii="Times New Roman" w:hAnsi="Times New Roman"/>
          <w:i/>
          <w:color w:val="1B1B1B"/>
          <w:shd w:val="clear" w:color="auto" w:fill="FFFFFF"/>
        </w:rPr>
        <w:t xml:space="preserve">et al., </w:t>
      </w:r>
      <w:r w:rsidRPr="002B75CF">
        <w:rPr>
          <w:rFonts w:ascii="Times New Roman" w:hAnsi="Times New Roman"/>
          <w:color w:val="1B1B1B"/>
          <w:shd w:val="clear" w:color="auto" w:fill="FFFFFF"/>
        </w:rPr>
        <w:t>2024</w:t>
      </w:r>
      <w:r w:rsidRPr="002B75CF">
        <w:rPr>
          <w:rFonts w:ascii="Times New Roman" w:hAnsi="Times New Roman"/>
          <w:bCs/>
        </w:rPr>
        <w:t>)</w:t>
      </w:r>
    </w:p>
    <w:p w14:paraId="01ED3FF2" w14:textId="77777777" w:rsidR="0040444D" w:rsidRDefault="0040444D" w:rsidP="0040444D">
      <w:pPr>
        <w:spacing w:before="240" w:line="480" w:lineRule="auto"/>
        <w:jc w:val="both"/>
        <w:rPr>
          <w:rFonts w:ascii="Times New Roman" w:hAnsi="Times New Roman"/>
        </w:rPr>
      </w:pPr>
      <w:r>
        <w:rPr>
          <w:rFonts w:ascii="Times New Roman" w:hAnsi="Times New Roman"/>
        </w:rPr>
        <w:t>0.2, 0.4, 0.6, 0.8, and 1m</w:t>
      </w:r>
      <w:r w:rsidR="00D17059">
        <w:rPr>
          <w:rFonts w:ascii="Times New Roman" w:hAnsi="Times New Roman"/>
          <w:highlight w:val="yellow"/>
        </w:rPr>
        <w:t>l</w:t>
      </w:r>
      <w:r>
        <w:rPr>
          <w:rFonts w:ascii="Times New Roman" w:hAnsi="Times New Roman"/>
        </w:rPr>
        <w:t xml:space="preserve"> of the standard amino acid solution were pipetted into their respective labelled test tubes. Distilled water was added to all the test tubes to make up the volume to 1m</w:t>
      </w:r>
      <w:r w:rsidR="00D17059">
        <w:rPr>
          <w:rFonts w:ascii="Times New Roman" w:hAnsi="Times New Roman"/>
          <w:highlight w:val="yellow"/>
        </w:rPr>
        <w:t>l</w:t>
      </w:r>
      <w:r>
        <w:rPr>
          <w:rFonts w:ascii="Times New Roman" w:hAnsi="Times New Roman"/>
        </w:rPr>
        <w:t>.   For the test tube labelled ‘Blank’, 1m</w:t>
      </w:r>
      <w:r w:rsidR="00D17059">
        <w:rPr>
          <w:rFonts w:ascii="Times New Roman" w:hAnsi="Times New Roman"/>
          <w:highlight w:val="yellow"/>
        </w:rPr>
        <w:t>l</w:t>
      </w:r>
      <w:r>
        <w:rPr>
          <w:rFonts w:ascii="Times New Roman" w:hAnsi="Times New Roman"/>
        </w:rPr>
        <w:t xml:space="preserve"> of distilled water was added to it. Then 1m</w:t>
      </w:r>
      <w:r w:rsidR="00D17059">
        <w:rPr>
          <w:rFonts w:ascii="Times New Roman" w:hAnsi="Times New Roman"/>
          <w:highlight w:val="yellow"/>
        </w:rPr>
        <w:t>l</w:t>
      </w:r>
      <w:r>
        <w:rPr>
          <w:rFonts w:ascii="Times New Roman" w:hAnsi="Times New Roman"/>
        </w:rPr>
        <w:t xml:space="preserve"> of ninhydrin reagent was added to all the test tubes, including those labelled ‘blank’ and ‘unknown’. The contents of each tube were mixed thoroughly by shaking. All the test tubes were covered with paper and placed in a boiling water bath for 15 min. After heating, the test tubes were cooled in cold water, and then 5m</w:t>
      </w:r>
      <w:r w:rsidR="00D17059">
        <w:rPr>
          <w:rFonts w:ascii="Times New Roman" w:hAnsi="Times New Roman"/>
          <w:highlight w:val="yellow"/>
        </w:rPr>
        <w:t>l</w:t>
      </w:r>
      <w:r>
        <w:rPr>
          <w:rFonts w:ascii="Times New Roman" w:hAnsi="Times New Roman"/>
        </w:rPr>
        <w:t xml:space="preserve"> of the diluent solvent was added to each test tube and mixed well. The absorbance was measured and recorded for each solution at 570nm using a UV-Vis spectrophotometer.  A standard curve was plotted with concentration on the X-axis and absorbance at 570nm on the Y-axis.</w:t>
      </w:r>
    </w:p>
    <w:p w14:paraId="05BAC809" w14:textId="77777777" w:rsidR="0040444D" w:rsidRPr="002B75CF" w:rsidRDefault="0040444D" w:rsidP="0040444D">
      <w:pPr>
        <w:jc w:val="both"/>
        <w:rPr>
          <w:rFonts w:ascii="Times New Roman" w:hAnsi="Times New Roman"/>
          <w:bCs/>
        </w:rPr>
      </w:pPr>
      <w:r w:rsidRPr="002B75CF">
        <w:rPr>
          <w:rFonts w:ascii="Times New Roman" w:hAnsi="Times New Roman"/>
          <w:bCs/>
        </w:rPr>
        <w:t xml:space="preserve">Determination of Crude </w:t>
      </w:r>
      <w:proofErr w:type="spellStart"/>
      <w:r w:rsidRPr="002B75CF">
        <w:rPr>
          <w:rFonts w:ascii="Times New Roman" w:hAnsi="Times New Roman"/>
          <w:bCs/>
        </w:rPr>
        <w:t>Fibre</w:t>
      </w:r>
      <w:proofErr w:type="spellEnd"/>
      <w:r w:rsidRPr="002B75CF">
        <w:rPr>
          <w:rFonts w:ascii="Times New Roman" w:hAnsi="Times New Roman"/>
          <w:bCs/>
        </w:rPr>
        <w:t xml:space="preserve"> (</w:t>
      </w:r>
      <w:r w:rsidRPr="002B75CF">
        <w:rPr>
          <w:rFonts w:ascii="Times New Roman" w:hAnsi="Times New Roman"/>
        </w:rPr>
        <w:t>Latimer, 2019)</w:t>
      </w:r>
    </w:p>
    <w:p w14:paraId="6998BFAF" w14:textId="77777777" w:rsidR="0040444D" w:rsidRDefault="0040444D" w:rsidP="0040444D">
      <w:pPr>
        <w:spacing w:line="480" w:lineRule="auto"/>
        <w:jc w:val="both"/>
        <w:rPr>
          <w:rFonts w:ascii="Times New Roman" w:eastAsia="Calibri" w:hAnsi="Times New Roman" w:cstheme="minorBidi"/>
        </w:rPr>
      </w:pPr>
      <w:r>
        <w:rPr>
          <w:rFonts w:ascii="Times New Roman" w:eastAsia="Calibri" w:hAnsi="Times New Roman"/>
          <w:highlight w:val="yellow"/>
        </w:rPr>
        <w:t>2g of each processed sample was placed in a separate beaker, 150ml of 2.50% H2SO4 was added, and 3-5 drops of N-butanol were added as an antifoam agent. The beaker was then placed on a hot plate to boil for 30 min at 65 OC.</w:t>
      </w:r>
      <w:r>
        <w:rPr>
          <w:rFonts w:ascii="Times New Roman" w:eastAsia="Calibri" w:hAnsi="Times New Roman"/>
        </w:rPr>
        <w:t xml:space="preserve"> It was then filtered to drain the H</w:t>
      </w:r>
      <w:r>
        <w:rPr>
          <w:rFonts w:ascii="Times New Roman" w:eastAsia="Calibri" w:hAnsi="Times New Roman"/>
          <w:vertAlign w:val="subscript"/>
        </w:rPr>
        <w:t>2</w:t>
      </w:r>
      <w:r>
        <w:rPr>
          <w:rFonts w:ascii="Times New Roman" w:eastAsia="Calibri" w:hAnsi="Times New Roman"/>
        </w:rPr>
        <w:t>SO</w:t>
      </w:r>
      <w:r>
        <w:rPr>
          <w:rFonts w:ascii="Times New Roman" w:eastAsia="Calibri" w:hAnsi="Times New Roman"/>
          <w:vertAlign w:val="subscript"/>
        </w:rPr>
        <w:t>4</w:t>
      </w:r>
      <w:r>
        <w:rPr>
          <w:rFonts w:ascii="Times New Roman" w:eastAsia="Calibri" w:hAnsi="Times New Roman"/>
        </w:rPr>
        <w:t xml:space="preserve"> and washed 3-5 times with de-ionized water. </w:t>
      </w:r>
      <w:r>
        <w:rPr>
          <w:rFonts w:ascii="Times New Roman" w:eastAsia="Calibri" w:hAnsi="Times New Roman"/>
          <w:highlight w:val="yellow"/>
        </w:rPr>
        <w:t>After draining the last wash, 150ml of 2.50% NaOH and 3-5 drops of n-butanol as an antifoaming agent were added, and the sample was boiled for 30 min at 65 OC.</w:t>
      </w:r>
      <w:r>
        <w:rPr>
          <w:rFonts w:ascii="Times New Roman" w:eastAsia="Calibri" w:hAnsi="Times New Roman"/>
        </w:rPr>
        <w:t xml:space="preserve"> It was then filtered and washed as described above to drain the NaOH. </w:t>
      </w:r>
      <w:r>
        <w:rPr>
          <w:rFonts w:ascii="Times New Roman" w:eastAsia="Calibri" w:hAnsi="Times New Roman"/>
          <w:highlight w:val="yellow"/>
        </w:rPr>
        <w:t>The final washing was performed with cold de-ionized water to cool the crucible, after which the residue was washed 3 times with 25ml of acetone.</w:t>
      </w:r>
      <w:r>
        <w:rPr>
          <w:rFonts w:ascii="Times New Roman" w:eastAsia="Calibri" w:hAnsi="Times New Roman"/>
        </w:rPr>
        <w:t xml:space="preserve"> </w:t>
      </w:r>
      <w:r>
        <w:rPr>
          <w:rFonts w:ascii="Times New Roman" w:eastAsia="Calibri" w:hAnsi="Times New Roman"/>
          <w:highlight w:val="yellow"/>
        </w:rPr>
        <w:t>The contents were placed in the crucible and transferred to an oven to dry at 105OC to a constant weight (W1).</w:t>
      </w:r>
      <w:r>
        <w:rPr>
          <w:rFonts w:ascii="Times New Roman" w:eastAsia="Calibri" w:hAnsi="Times New Roman"/>
        </w:rPr>
        <w:t xml:space="preserve"> Afterwards, the crucible was transferred to the muffle furnace for </w:t>
      </w:r>
      <w:r>
        <w:rPr>
          <w:rFonts w:ascii="Times New Roman" w:eastAsia="Calibri" w:hAnsi="Times New Roman"/>
          <w:highlight w:val="yellow"/>
        </w:rPr>
        <w:t>4 hours</w:t>
      </w:r>
      <w:r>
        <w:rPr>
          <w:rFonts w:ascii="Times New Roman" w:eastAsia="Calibri" w:hAnsi="Times New Roman"/>
        </w:rPr>
        <w:t xml:space="preserve"> to ash, cooled in a desiccator, and weighed to determine (W</w:t>
      </w:r>
      <w:r>
        <w:rPr>
          <w:rFonts w:ascii="Times New Roman" w:eastAsia="Calibri" w:hAnsi="Times New Roman"/>
          <w:vertAlign w:val="subscript"/>
        </w:rPr>
        <w:t>2</w:t>
      </w:r>
      <w:r>
        <w:rPr>
          <w:rFonts w:ascii="Times New Roman" w:eastAsia="Calibri" w:hAnsi="Times New Roman"/>
        </w:rPr>
        <w:t xml:space="preserve">). The formula for calculating percentage crude </w:t>
      </w:r>
      <w:proofErr w:type="spellStart"/>
      <w:r>
        <w:rPr>
          <w:rFonts w:ascii="Times New Roman" w:eastAsia="Calibri" w:hAnsi="Times New Roman"/>
        </w:rPr>
        <w:t>fibre</w:t>
      </w:r>
      <w:proofErr w:type="spellEnd"/>
      <w:r>
        <w:rPr>
          <w:rFonts w:ascii="Times New Roman" w:eastAsia="Calibri" w:hAnsi="Times New Roman"/>
        </w:rPr>
        <w:t xml:space="preserve"> is:</w:t>
      </w:r>
    </w:p>
    <w:p w14:paraId="23FE992C"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 Crude </w:t>
      </w:r>
      <w:proofErr w:type="spellStart"/>
      <w:proofErr w:type="gramStart"/>
      <w:r w:rsidRPr="002B75CF">
        <w:rPr>
          <w:rFonts w:ascii="Times New Roman" w:hAnsi="Times New Roman"/>
        </w:rPr>
        <w:t>fibre</w:t>
      </w:r>
      <w:proofErr w:type="spellEnd"/>
      <w:r w:rsidRPr="002B75CF">
        <w:rPr>
          <w:rFonts w:ascii="Times New Roman" w:hAnsi="Times New Roman"/>
        </w:rPr>
        <w:t xml:space="preserve">  =</w:t>
      </w:r>
      <w:proofErr w:type="gramEnd"/>
      <m:oMath>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W1-W2</m:t>
            </m:r>
          </m:num>
          <m:den>
            <m:r>
              <m:rPr>
                <m:sty m:val="p"/>
              </m:rPr>
              <w:rPr>
                <w:rFonts w:ascii="Cambria Math" w:hAnsi="Cambria Math"/>
              </w:rPr>
              <m:t>Weight of sample</m:t>
            </m:r>
          </m:den>
        </m:f>
        <m:r>
          <m:rPr>
            <m:sty m:val="p"/>
          </m:rPr>
          <w:rPr>
            <w:rFonts w:ascii="Cambria Math" w:hAnsi="Cambria Math"/>
          </w:rPr>
          <m:t xml:space="preserve"> X 10</m:t>
        </m:r>
        <m:r>
          <w:rPr>
            <w:rFonts w:ascii="Cambria Math" w:hAnsi="Cambria Math"/>
          </w:rPr>
          <m:t>0</m:t>
        </m:r>
      </m:oMath>
    </w:p>
    <w:p w14:paraId="7946FA28" w14:textId="77777777" w:rsidR="0040444D" w:rsidRPr="002B75CF" w:rsidRDefault="0040444D" w:rsidP="0040444D">
      <w:pPr>
        <w:pStyle w:val="Heading2"/>
        <w:spacing w:before="0"/>
        <w:jc w:val="both"/>
        <w:rPr>
          <w:rFonts w:ascii="Times New Roman" w:hAnsi="Times New Roman" w:cs="Times New Roman"/>
          <w:color w:val="auto"/>
          <w:sz w:val="24"/>
          <w:szCs w:val="24"/>
        </w:rPr>
      </w:pPr>
      <w:r>
        <w:rPr>
          <w:rFonts w:ascii="Times New Roman" w:hAnsi="Times New Roman" w:cs="Times New Roman"/>
          <w:color w:val="000000" w:themeColor="text1"/>
          <w:sz w:val="24"/>
          <w:szCs w:val="24"/>
        </w:rPr>
        <w:lastRenderedPageBreak/>
        <w:t xml:space="preserve">Determination of Neutral Detergent </w:t>
      </w:r>
      <w:proofErr w:type="spellStart"/>
      <w:r>
        <w:rPr>
          <w:rFonts w:ascii="Times New Roman" w:hAnsi="Times New Roman" w:cs="Times New Roman"/>
          <w:color w:val="000000" w:themeColor="text1"/>
          <w:sz w:val="24"/>
          <w:szCs w:val="24"/>
        </w:rPr>
        <w:t>Fibre</w:t>
      </w:r>
      <w:proofErr w:type="spellEnd"/>
      <w:r>
        <w:rPr>
          <w:rFonts w:ascii="Times New Roman" w:hAnsi="Times New Roman" w:cs="Times New Roman"/>
          <w:color w:val="000000" w:themeColor="text1"/>
          <w:sz w:val="24"/>
          <w:szCs w:val="24"/>
        </w:rPr>
        <w:t xml:space="preserve"> (NDF) </w:t>
      </w:r>
      <w:r>
        <w:rPr>
          <w:rFonts w:ascii="Times New Roman" w:hAnsi="Times New Roman" w:cs="Times New Roman"/>
          <w:color w:val="auto"/>
          <w:sz w:val="24"/>
          <w:szCs w:val="24"/>
        </w:rPr>
        <w:t>(</w:t>
      </w:r>
      <w:r w:rsidR="00D6001C">
        <w:rPr>
          <w:rFonts w:ascii="Times New Roman" w:hAnsi="Times New Roman" w:cs="Times New Roman"/>
          <w:color w:val="auto"/>
          <w:sz w:val="24"/>
          <w:szCs w:val="24"/>
        </w:rPr>
        <w:t>Van Soest</w:t>
      </w:r>
      <w:r>
        <w:rPr>
          <w:rFonts w:ascii="Times New Roman" w:hAnsi="Times New Roman" w:cs="Times New Roman"/>
          <w:color w:val="auto"/>
          <w:sz w:val="24"/>
          <w:szCs w:val="24"/>
        </w:rPr>
        <w:t xml:space="preserve"> </w:t>
      </w:r>
      <w:r>
        <w:rPr>
          <w:rFonts w:ascii="Times New Roman" w:hAnsi="Times New Roman" w:cs="Times New Roman"/>
          <w:i/>
          <w:color w:val="auto"/>
          <w:sz w:val="24"/>
          <w:szCs w:val="24"/>
        </w:rPr>
        <w:t xml:space="preserve">et al., </w:t>
      </w:r>
      <w:r>
        <w:rPr>
          <w:rFonts w:ascii="Times New Roman" w:hAnsi="Times New Roman" w:cs="Times New Roman"/>
          <w:color w:val="auto"/>
          <w:sz w:val="24"/>
          <w:szCs w:val="24"/>
        </w:rPr>
        <w:t>1991)</w:t>
      </w:r>
    </w:p>
    <w:p w14:paraId="32F7D42E" w14:textId="77777777" w:rsidR="0040444D" w:rsidRDefault="0040444D" w:rsidP="0040444D">
      <w:pPr>
        <w:spacing w:line="480" w:lineRule="auto"/>
        <w:jc w:val="both"/>
        <w:rPr>
          <w:rStyle w:val="mord"/>
        </w:rPr>
      </w:pPr>
      <w:r>
        <w:rPr>
          <w:rFonts w:ascii="Times New Roman" w:hAnsi="Times New Roman"/>
        </w:rPr>
        <w:t xml:space="preserve">NDF represents the major cell-wall components, including </w:t>
      </w:r>
      <w:r>
        <w:rPr>
          <w:rStyle w:val="Strong"/>
          <w:rFonts w:ascii="Times New Roman" w:hAnsi="Times New Roman"/>
          <w:b w:val="0"/>
        </w:rPr>
        <w:t>hemicellulose</w:t>
      </w:r>
      <w:r>
        <w:rPr>
          <w:rStyle w:val="Strong"/>
          <w:rFonts w:ascii="Times New Roman" w:hAnsi="Times New Roman"/>
        </w:rPr>
        <w:t xml:space="preserve">, </w:t>
      </w:r>
      <w:r>
        <w:rPr>
          <w:rStyle w:val="Strong"/>
          <w:rFonts w:ascii="Times New Roman" w:hAnsi="Times New Roman"/>
          <w:b w:val="0"/>
        </w:rPr>
        <w:t>cellulose</w:t>
      </w:r>
      <w:r>
        <w:rPr>
          <w:rStyle w:val="Strong"/>
          <w:rFonts w:ascii="Times New Roman" w:hAnsi="Times New Roman"/>
        </w:rPr>
        <w:t xml:space="preserve">, </w:t>
      </w:r>
      <w:r>
        <w:rPr>
          <w:rStyle w:val="Strong"/>
          <w:rFonts w:ascii="Times New Roman" w:hAnsi="Times New Roman"/>
          <w:b w:val="0"/>
        </w:rPr>
        <w:t>and</w:t>
      </w:r>
      <w:r>
        <w:rPr>
          <w:rStyle w:val="Strong"/>
          <w:rFonts w:ascii="Times New Roman" w:hAnsi="Times New Roman"/>
        </w:rPr>
        <w:t xml:space="preserve"> </w:t>
      </w:r>
      <w:r>
        <w:rPr>
          <w:rStyle w:val="Strong"/>
          <w:rFonts w:ascii="Times New Roman" w:hAnsi="Times New Roman"/>
          <w:b w:val="0"/>
        </w:rPr>
        <w:t>lignin</w:t>
      </w:r>
      <w:r>
        <w:rPr>
          <w:rFonts w:ascii="Times New Roman" w:hAnsi="Times New Roman"/>
          <w:b/>
        </w:rPr>
        <w:t xml:space="preserve">. </w:t>
      </w:r>
      <w:r>
        <w:rPr>
          <w:rFonts w:ascii="Times New Roman" w:hAnsi="Times New Roman"/>
        </w:rPr>
        <w:t xml:space="preserve">It was determined using the neutral detergent solution. </w:t>
      </w:r>
      <w:r>
        <w:rPr>
          <w:rStyle w:val="Strong"/>
          <w:rFonts w:eastAsiaTheme="majorEastAsia"/>
          <w:b w:val="0"/>
        </w:rPr>
        <w:t>2g</w:t>
      </w:r>
      <w:r>
        <w:rPr>
          <w:rStyle w:val="Strong"/>
          <w:rFonts w:eastAsiaTheme="majorEastAsia"/>
        </w:rPr>
        <w:t xml:space="preserve"> </w:t>
      </w:r>
      <w:r>
        <w:rPr>
          <w:rFonts w:ascii="Times New Roman" w:hAnsi="Times New Roman"/>
        </w:rPr>
        <w:t xml:space="preserve">of each processed sample was accurately weighed into a digestion flask. </w:t>
      </w:r>
      <w:r>
        <w:rPr>
          <w:rStyle w:val="Strong"/>
          <w:rFonts w:eastAsiaTheme="majorEastAsia"/>
          <w:b w:val="0"/>
        </w:rPr>
        <w:t>100m</w:t>
      </w:r>
      <w:r w:rsidR="00D17059">
        <w:rPr>
          <w:rStyle w:val="Strong"/>
          <w:rFonts w:eastAsiaTheme="majorEastAsia"/>
          <w:b w:val="0"/>
          <w:highlight w:val="yellow"/>
        </w:rPr>
        <w:t>l</w:t>
      </w:r>
      <w:r>
        <w:rPr>
          <w:rStyle w:val="Strong"/>
          <w:rFonts w:eastAsiaTheme="majorEastAsia"/>
        </w:rPr>
        <w:t xml:space="preserve"> </w:t>
      </w:r>
      <w:r>
        <w:rPr>
          <w:rStyle w:val="Strong"/>
          <w:rFonts w:eastAsiaTheme="majorEastAsia"/>
          <w:b w:val="0"/>
        </w:rPr>
        <w:t>of neutral detergent solution</w:t>
      </w:r>
      <w:r>
        <w:rPr>
          <w:rFonts w:ascii="Times New Roman" w:hAnsi="Times New Roman"/>
        </w:rPr>
        <w:t xml:space="preserve"> was added to the sample. </w:t>
      </w:r>
      <w:r>
        <w:rPr>
          <w:rFonts w:ascii="Times New Roman" w:hAnsi="Times New Roman"/>
          <w:highlight w:val="yellow"/>
        </w:rPr>
        <w:t xml:space="preserve">A heat-stable α-amylase was added to facilitate the removal of starch, while sodium </w:t>
      </w:r>
      <w:proofErr w:type="spellStart"/>
      <w:r>
        <w:rPr>
          <w:rFonts w:ascii="Times New Roman" w:hAnsi="Times New Roman"/>
          <w:highlight w:val="yellow"/>
        </w:rPr>
        <w:t>sulphite</w:t>
      </w:r>
      <w:proofErr w:type="spellEnd"/>
      <w:r>
        <w:rPr>
          <w:rFonts w:ascii="Times New Roman" w:hAnsi="Times New Roman"/>
          <w:highlight w:val="yellow"/>
        </w:rPr>
        <w:t xml:space="preserve"> was included to assist in removing protein contamination from the residue.</w:t>
      </w:r>
      <w:r>
        <w:rPr>
          <w:rFonts w:ascii="Times New Roman" w:hAnsi="Times New Roman"/>
        </w:rPr>
        <w:t xml:space="preserve"> The mixture was heated to boiling and refluxed for approximately </w:t>
      </w:r>
      <w:r>
        <w:rPr>
          <w:rStyle w:val="Strong"/>
          <w:rFonts w:eastAsiaTheme="majorEastAsia"/>
          <w:b w:val="0"/>
        </w:rPr>
        <w:t>60 minutes</w:t>
      </w:r>
      <w:r>
        <w:rPr>
          <w:rFonts w:ascii="Times New Roman" w:hAnsi="Times New Roman"/>
        </w:rPr>
        <w:t xml:space="preserve">. At the end of digestion, the contents were filtered through a pre-weighed filter crucible. The residue was washed thoroughly with hot distilled water until detergent residues were removed, followed by washing with acetone. The crucible containing the residue was dried in an oven at </w:t>
      </w:r>
      <w:r>
        <w:rPr>
          <w:rStyle w:val="Strong"/>
          <w:rFonts w:eastAsiaTheme="majorEastAsia"/>
          <w:b w:val="0"/>
        </w:rPr>
        <w:t>105°C to constant weight</w:t>
      </w:r>
      <w:r>
        <w:rPr>
          <w:rFonts w:ascii="Times New Roman" w:hAnsi="Times New Roman"/>
        </w:rPr>
        <w:t xml:space="preserve">, cooled in a desiccator, and weighed. The neutral detergent </w:t>
      </w:r>
      <w:proofErr w:type="spellStart"/>
      <w:r>
        <w:rPr>
          <w:rFonts w:ascii="Times New Roman" w:hAnsi="Times New Roman"/>
        </w:rPr>
        <w:t>fibre</w:t>
      </w:r>
      <w:proofErr w:type="spellEnd"/>
      <w:r>
        <w:rPr>
          <w:rFonts w:ascii="Times New Roman" w:hAnsi="Times New Roman"/>
        </w:rPr>
        <w:t xml:space="preserve"> content was calculated as:</w:t>
      </w:r>
    </w:p>
    <w:p w14:paraId="6893C818" w14:textId="77777777" w:rsidR="0040444D" w:rsidRPr="002B75CF" w:rsidRDefault="0040444D" w:rsidP="0040444D">
      <w:pPr>
        <w:spacing w:line="480" w:lineRule="auto"/>
        <w:ind w:firstLine="720"/>
        <w:jc w:val="center"/>
        <w:rPr>
          <w:rFonts w:cstheme="minorBidi"/>
        </w:rPr>
      </w:pPr>
      <w:r w:rsidRPr="002B75CF">
        <w:rPr>
          <w:rStyle w:val="mord"/>
        </w:rPr>
        <w:t>%</w:t>
      </w:r>
      <w:r w:rsidRPr="002B75CF">
        <w:rPr>
          <w:rStyle w:val="mord"/>
          <w:rFonts w:ascii="Times New Roman" w:hAnsi="Times New Roman"/>
        </w:rPr>
        <w:t>NDF</w:t>
      </w:r>
      <m:oMath>
        <m:r>
          <m:rPr>
            <m:sty m:val="p"/>
          </m:rPr>
          <w:rPr>
            <w:rFonts w:ascii="Cambria Math" w:hAnsi="Cambria Math"/>
          </w:rPr>
          <m:t xml:space="preserve">  =</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Weight of dried NDF residue</m:t>
            </m:r>
          </m:num>
          <m:den>
            <m:r>
              <m:rPr>
                <m:sty m:val="p"/>
              </m:rPr>
              <w:rPr>
                <w:rFonts w:ascii="Cambria Math" w:hAnsi="Cambria Math"/>
              </w:rPr>
              <m:t>Weight of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08702354" w14:textId="77777777" w:rsidR="0040444D" w:rsidRPr="002B75CF" w:rsidRDefault="0040444D" w:rsidP="0040444D">
      <w:pPr>
        <w:pStyle w:val="Heading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Determination of Acid Detergent </w:t>
      </w:r>
      <w:proofErr w:type="spellStart"/>
      <w:r>
        <w:rPr>
          <w:rFonts w:ascii="Times New Roman" w:hAnsi="Times New Roman" w:cs="Times New Roman"/>
          <w:color w:val="000000" w:themeColor="text1"/>
          <w:sz w:val="24"/>
          <w:szCs w:val="24"/>
        </w:rPr>
        <w:t>Fibre</w:t>
      </w:r>
      <w:proofErr w:type="spellEnd"/>
      <w:r>
        <w:rPr>
          <w:rFonts w:ascii="Times New Roman" w:hAnsi="Times New Roman" w:cs="Times New Roman"/>
          <w:color w:val="000000" w:themeColor="text1"/>
          <w:sz w:val="24"/>
          <w:szCs w:val="24"/>
        </w:rPr>
        <w:t xml:space="preserve"> (ADF) </w:t>
      </w:r>
      <w:r>
        <w:rPr>
          <w:rFonts w:ascii="Times New Roman" w:hAnsi="Times New Roman" w:cs="Times New Roman"/>
          <w:color w:val="auto"/>
          <w:sz w:val="24"/>
          <w:szCs w:val="24"/>
        </w:rPr>
        <w:t>(Van</w:t>
      </w:r>
      <w:r w:rsidR="00D6001C">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Soest </w:t>
      </w:r>
      <w:r>
        <w:rPr>
          <w:rFonts w:ascii="Times New Roman" w:hAnsi="Times New Roman" w:cs="Times New Roman"/>
          <w:i/>
          <w:color w:val="auto"/>
          <w:sz w:val="24"/>
          <w:szCs w:val="24"/>
        </w:rPr>
        <w:t xml:space="preserve">et al., </w:t>
      </w:r>
      <w:r>
        <w:rPr>
          <w:rFonts w:ascii="Times New Roman" w:hAnsi="Times New Roman" w:cs="Times New Roman"/>
          <w:color w:val="auto"/>
          <w:sz w:val="24"/>
          <w:szCs w:val="24"/>
        </w:rPr>
        <w:t>1991)</w:t>
      </w:r>
    </w:p>
    <w:p w14:paraId="5108027D" w14:textId="77777777" w:rsidR="0040444D" w:rsidRDefault="0040444D" w:rsidP="0040444D">
      <w:pPr>
        <w:spacing w:line="480" w:lineRule="auto"/>
        <w:jc w:val="both"/>
        <w:rPr>
          <w:rFonts w:ascii="Times New Roman" w:hAnsi="Times New Roman"/>
          <w:b/>
          <w:sz w:val="24"/>
          <w:szCs w:val="24"/>
        </w:rPr>
      </w:pPr>
      <w:r>
        <w:rPr>
          <w:rFonts w:ascii="Times New Roman" w:hAnsi="Times New Roman"/>
        </w:rPr>
        <w:t xml:space="preserve">Acid detergent </w:t>
      </w:r>
      <w:proofErr w:type="spellStart"/>
      <w:r>
        <w:rPr>
          <w:rFonts w:ascii="Times New Roman" w:hAnsi="Times New Roman"/>
        </w:rPr>
        <w:t>fibre</w:t>
      </w:r>
      <w:proofErr w:type="spellEnd"/>
      <w:r>
        <w:rPr>
          <w:rFonts w:ascii="Times New Roman" w:hAnsi="Times New Roman"/>
        </w:rPr>
        <w:t xml:space="preserve"> represents the </w:t>
      </w:r>
      <w:r>
        <w:rPr>
          <w:rStyle w:val="Strong"/>
          <w:rFonts w:ascii="Times New Roman" w:hAnsi="Times New Roman"/>
          <w:b w:val="0"/>
        </w:rPr>
        <w:t>cellulose and lignin fractions</w:t>
      </w:r>
      <w:r>
        <w:rPr>
          <w:rFonts w:ascii="Times New Roman" w:hAnsi="Times New Roman"/>
        </w:rPr>
        <w:t xml:space="preserve"> of the plant material. The acid detergent </w:t>
      </w:r>
      <w:proofErr w:type="spellStart"/>
      <w:r>
        <w:rPr>
          <w:rFonts w:ascii="Times New Roman" w:hAnsi="Times New Roman"/>
        </w:rPr>
        <w:t>fibre</w:t>
      </w:r>
      <w:proofErr w:type="spellEnd"/>
      <w:r>
        <w:rPr>
          <w:rFonts w:ascii="Times New Roman" w:hAnsi="Times New Roman"/>
        </w:rPr>
        <w:t xml:space="preserve"> content was determined using acid detergent solution. </w:t>
      </w:r>
      <w:r>
        <w:rPr>
          <w:rStyle w:val="Strong"/>
          <w:rFonts w:eastAsiaTheme="majorEastAsia"/>
          <w:b w:val="0"/>
        </w:rPr>
        <w:t>2g</w:t>
      </w:r>
      <w:r>
        <w:rPr>
          <w:rStyle w:val="Strong"/>
          <w:rFonts w:eastAsiaTheme="majorEastAsia"/>
        </w:rPr>
        <w:t xml:space="preserve"> </w:t>
      </w:r>
      <w:r>
        <w:rPr>
          <w:rFonts w:ascii="Times New Roman" w:hAnsi="Times New Roman"/>
        </w:rPr>
        <w:t xml:space="preserve">of each processed sample was weighed into a digestion flask, after which </w:t>
      </w:r>
      <w:r>
        <w:rPr>
          <w:rStyle w:val="Strong"/>
          <w:rFonts w:eastAsiaTheme="majorEastAsia"/>
          <w:b w:val="0"/>
        </w:rPr>
        <w:t>100m</w:t>
      </w:r>
      <w:r w:rsidR="00D17059">
        <w:rPr>
          <w:rStyle w:val="Strong"/>
          <w:rFonts w:eastAsiaTheme="majorEastAsia"/>
          <w:b w:val="0"/>
          <w:highlight w:val="yellow"/>
        </w:rPr>
        <w:t>l</w:t>
      </w:r>
      <w:r>
        <w:rPr>
          <w:rStyle w:val="Strong"/>
          <w:rFonts w:eastAsiaTheme="majorEastAsia"/>
          <w:b w:val="0"/>
        </w:rPr>
        <w:t xml:space="preserve"> of acid detergent solution</w:t>
      </w:r>
      <w:r>
        <w:rPr>
          <w:rFonts w:ascii="Times New Roman" w:hAnsi="Times New Roman"/>
        </w:rPr>
        <w:t xml:space="preserve"> was added. The mixture was heated and refluxed for approximately </w:t>
      </w:r>
      <w:r>
        <w:rPr>
          <w:rStyle w:val="Strong"/>
          <w:rFonts w:eastAsiaTheme="majorEastAsia"/>
          <w:b w:val="0"/>
          <w:highlight w:val="yellow"/>
        </w:rPr>
        <w:t>1 hour</w:t>
      </w:r>
      <w:r>
        <w:rPr>
          <w:rFonts w:ascii="Times New Roman" w:hAnsi="Times New Roman"/>
        </w:rPr>
        <w:t xml:space="preserve">. After digestion, the contents were filtered through a pre-weighed crucible. The residue was washed repeatedly with hot distilled water until acid residues were removed and subsequently washed with acetone. The residue was oven-dried at </w:t>
      </w:r>
      <w:r>
        <w:rPr>
          <w:rStyle w:val="Strong"/>
          <w:rFonts w:eastAsiaTheme="majorEastAsia"/>
          <w:b w:val="0"/>
        </w:rPr>
        <w:t>105°C to constant weight</w:t>
      </w:r>
      <w:r>
        <w:rPr>
          <w:rFonts w:ascii="Times New Roman" w:hAnsi="Times New Roman"/>
        </w:rPr>
        <w:t>, cooled in a desiccator</w:t>
      </w:r>
      <w:r w:rsidR="00D6001C">
        <w:rPr>
          <w:rFonts w:ascii="Times New Roman" w:hAnsi="Times New Roman"/>
        </w:rPr>
        <w:t>,</w:t>
      </w:r>
      <w:r>
        <w:rPr>
          <w:rFonts w:ascii="Times New Roman" w:hAnsi="Times New Roman"/>
        </w:rPr>
        <w:t xml:space="preserve"> and weighed. The percentage ADF was calculated as:</w:t>
      </w:r>
    </w:p>
    <w:p w14:paraId="3B545F5C" w14:textId="77777777" w:rsidR="0040444D" w:rsidRPr="002B75CF" w:rsidRDefault="0040444D" w:rsidP="0040444D">
      <w:pPr>
        <w:spacing w:line="480" w:lineRule="auto"/>
        <w:ind w:firstLine="720"/>
        <w:jc w:val="center"/>
        <w:rPr>
          <w:rFonts w:ascii="Times New Roman" w:hAnsi="Times New Roman"/>
        </w:rPr>
      </w:pPr>
      <w:r w:rsidRPr="002B75CF">
        <w:rPr>
          <w:rStyle w:val="mord"/>
        </w:rPr>
        <w:t>%</w:t>
      </w:r>
      <w:r w:rsidRPr="002B75CF">
        <w:rPr>
          <w:rStyle w:val="mord"/>
          <w:rFonts w:ascii="Times New Roman" w:hAnsi="Times New Roman"/>
        </w:rPr>
        <w:t>NDF</w:t>
      </w:r>
      <m:oMath>
        <m:r>
          <m:rPr>
            <m:sty m:val="p"/>
          </m:rPr>
          <w:rPr>
            <w:rFonts w:ascii="Cambria Math" w:hAnsi="Cambria Math"/>
          </w:rPr>
          <m:t xml:space="preserve">  =</m:t>
        </m:r>
        <m:r>
          <w:rPr>
            <w:rFonts w:ascii="Cambria Math" w:hAnsi="Cambria Math"/>
          </w:rPr>
          <m:t xml:space="preserve">  </m:t>
        </m:r>
        <m:f>
          <m:fPr>
            <m:ctrlPr>
              <w:rPr>
                <w:rFonts w:ascii="Cambria Math" w:hAnsi="Cambria Math"/>
                <w:kern w:val="2"/>
                <w:sz w:val="24"/>
                <w:szCs w:val="24"/>
                <w14:ligatures w14:val="standardContextual"/>
              </w:rPr>
            </m:ctrlPr>
          </m:fPr>
          <m:num>
            <m:r>
              <m:rPr>
                <m:sty m:val="p"/>
              </m:rPr>
              <w:rPr>
                <w:rFonts w:ascii="Cambria Math" w:hAnsi="Cambria Math"/>
              </w:rPr>
              <m:t>Weight of dried ADF residue</m:t>
            </m:r>
          </m:num>
          <m:den>
            <m:r>
              <m:rPr>
                <m:sty m:val="p"/>
              </m:rPr>
              <w:rPr>
                <w:rFonts w:ascii="Cambria Math" w:hAnsi="Cambria Math"/>
              </w:rPr>
              <m:t>Weight of sample</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2EDB201E" w14:textId="77777777" w:rsidR="0040444D" w:rsidRPr="002B75CF" w:rsidRDefault="0040444D" w:rsidP="0040444D">
      <w:pPr>
        <w:jc w:val="both"/>
        <w:rPr>
          <w:rFonts w:ascii="Times New Roman" w:hAnsi="Times New Roman"/>
          <w:bCs/>
        </w:rPr>
      </w:pPr>
      <w:r w:rsidRPr="002B75CF">
        <w:rPr>
          <w:rFonts w:ascii="Times New Roman" w:hAnsi="Times New Roman"/>
          <w:bCs/>
        </w:rPr>
        <w:t>Determination of Anti-Nutritional Factors</w:t>
      </w:r>
    </w:p>
    <w:p w14:paraId="276BF49E" w14:textId="77777777" w:rsidR="0040444D" w:rsidRPr="002B75CF" w:rsidRDefault="0040444D" w:rsidP="0040444D">
      <w:pPr>
        <w:spacing w:line="480" w:lineRule="auto"/>
        <w:jc w:val="both"/>
        <w:rPr>
          <w:rFonts w:ascii="Times New Roman" w:hAnsi="Times New Roman" w:cstheme="minorBidi"/>
        </w:rPr>
      </w:pPr>
      <w:r w:rsidRPr="002B75CF">
        <w:rPr>
          <w:rFonts w:ascii="Times New Roman" w:hAnsi="Times New Roman"/>
        </w:rPr>
        <w:t xml:space="preserve">Determination of </w:t>
      </w:r>
      <w:r w:rsidRPr="002B75CF">
        <w:rPr>
          <w:rFonts w:ascii="Times New Roman" w:hAnsi="Times New Roman"/>
          <w:bCs/>
        </w:rPr>
        <w:t xml:space="preserve">Tannin </w:t>
      </w:r>
      <w:r w:rsidRPr="002B75CF">
        <w:rPr>
          <w:rFonts w:ascii="Times New Roman" w:hAnsi="Times New Roman"/>
          <w:color w:val="1B1B1B"/>
          <w:shd w:val="clear" w:color="auto" w:fill="FFFFFF"/>
        </w:rPr>
        <w:t>(Kavitha Chandran &amp; Indira, 2016)</w:t>
      </w:r>
    </w:p>
    <w:p w14:paraId="73942371" w14:textId="77777777" w:rsidR="0040444D" w:rsidRDefault="00EF132F" w:rsidP="0040444D">
      <w:pPr>
        <w:spacing w:line="480" w:lineRule="auto"/>
        <w:jc w:val="both"/>
        <w:rPr>
          <w:rFonts w:ascii="Times New Roman" w:eastAsia="Calibri" w:hAnsi="Times New Roman"/>
          <w:b/>
        </w:rPr>
      </w:pPr>
      <w:r>
        <w:rPr>
          <w:rFonts w:ascii="Times New Roman" w:hAnsi="Times New Roman"/>
          <w:highlight w:val="yellow"/>
        </w:rPr>
        <w:t>For t</w:t>
      </w:r>
      <w:r>
        <w:rPr>
          <w:rFonts w:ascii="Times New Roman" w:hAnsi="Times New Roman"/>
        </w:rPr>
        <w:t>he quantitative determination of tannin</w:t>
      </w:r>
      <w:r>
        <w:rPr>
          <w:rFonts w:ascii="Times New Roman" w:hAnsi="Times New Roman"/>
          <w:highlight w:val="yellow"/>
        </w:rPr>
        <w:t>, Folin-Denis reagent</w:t>
      </w:r>
      <w:r>
        <w:rPr>
          <w:rFonts w:ascii="Times New Roman" w:hAnsi="Times New Roman"/>
        </w:rPr>
        <w:t xml:space="preserve"> was </w:t>
      </w:r>
      <w:r>
        <w:rPr>
          <w:rFonts w:ascii="Times New Roman" w:hAnsi="Times New Roman"/>
          <w:highlight w:val="yellow"/>
        </w:rPr>
        <w:t>pr</w:t>
      </w:r>
      <w:r>
        <w:rPr>
          <w:rFonts w:ascii="Times New Roman" w:hAnsi="Times New Roman"/>
        </w:rPr>
        <w:t>e</w:t>
      </w:r>
      <w:r>
        <w:rPr>
          <w:rFonts w:ascii="Times New Roman" w:hAnsi="Times New Roman"/>
          <w:highlight w:val="yellow"/>
        </w:rPr>
        <w:t>pa</w:t>
      </w:r>
      <w:r>
        <w:rPr>
          <w:rFonts w:ascii="Times New Roman" w:hAnsi="Times New Roman"/>
        </w:rPr>
        <w:t>red by dissolving 50</w:t>
      </w:r>
      <w:r>
        <w:rPr>
          <w:rFonts w:ascii="Times New Roman" w:hAnsi="Times New Roman"/>
          <w:highlight w:val="yellow"/>
        </w:rPr>
        <w:t xml:space="preserve"> </w:t>
      </w:r>
      <w:r>
        <w:rPr>
          <w:rFonts w:ascii="Times New Roman" w:hAnsi="Times New Roman"/>
        </w:rPr>
        <w:t>g of sodium tungstate (Na</w:t>
      </w:r>
      <w:r>
        <w:rPr>
          <w:rFonts w:ascii="Times New Roman" w:hAnsi="Times New Roman"/>
          <w:vertAlign w:val="subscript"/>
        </w:rPr>
        <w:t>2</w:t>
      </w:r>
      <w:r>
        <w:rPr>
          <w:rFonts w:ascii="Times New Roman" w:hAnsi="Times New Roman"/>
        </w:rPr>
        <w:t>WO</w:t>
      </w:r>
      <w:r>
        <w:rPr>
          <w:rFonts w:ascii="Times New Roman" w:hAnsi="Times New Roman"/>
          <w:vertAlign w:val="subscript"/>
        </w:rPr>
        <w:t>4</w:t>
      </w:r>
      <w:r>
        <w:rPr>
          <w:rFonts w:ascii="Times New Roman" w:hAnsi="Times New Roman"/>
        </w:rPr>
        <w:t>) in 37</w:t>
      </w:r>
      <w:r>
        <w:rPr>
          <w:rFonts w:ascii="Times New Roman" w:hAnsi="Times New Roman"/>
          <w:highlight w:val="yellow"/>
        </w:rPr>
        <w:t xml:space="preserve"> </w:t>
      </w:r>
      <w:r>
        <w:rPr>
          <w:rFonts w:ascii="Times New Roman" w:hAnsi="Times New Roman"/>
        </w:rPr>
        <w:t>cm3 of distilled water. To the reagent prepared above, 10</w:t>
      </w:r>
      <w:r>
        <w:rPr>
          <w:rFonts w:ascii="Times New Roman" w:hAnsi="Times New Roman"/>
          <w:highlight w:val="yellow"/>
        </w:rPr>
        <w:t xml:space="preserve"> </w:t>
      </w:r>
      <w:r>
        <w:rPr>
          <w:rFonts w:ascii="Times New Roman" w:hAnsi="Times New Roman"/>
        </w:rPr>
        <w:t>g of phosphomolybdic acid (H</w:t>
      </w:r>
      <w:r>
        <w:rPr>
          <w:rFonts w:ascii="Times New Roman" w:hAnsi="Times New Roman"/>
          <w:vertAlign w:val="subscript"/>
        </w:rPr>
        <w:t>3</w:t>
      </w:r>
      <w:r>
        <w:rPr>
          <w:rFonts w:ascii="Times New Roman" w:hAnsi="Times New Roman"/>
        </w:rPr>
        <w:t>PMO</w:t>
      </w:r>
      <w:r>
        <w:rPr>
          <w:rFonts w:ascii="Times New Roman" w:hAnsi="Times New Roman"/>
          <w:vertAlign w:val="subscript"/>
        </w:rPr>
        <w:t>12</w:t>
      </w:r>
      <w:r>
        <w:rPr>
          <w:rFonts w:ascii="Times New Roman" w:hAnsi="Times New Roman"/>
        </w:rPr>
        <w:t>O</w:t>
      </w:r>
      <w:r>
        <w:rPr>
          <w:rFonts w:ascii="Times New Roman" w:hAnsi="Times New Roman"/>
          <w:vertAlign w:val="subscript"/>
        </w:rPr>
        <w:t>40</w:t>
      </w:r>
      <w:r>
        <w:rPr>
          <w:rFonts w:ascii="Times New Roman" w:hAnsi="Times New Roman"/>
        </w:rPr>
        <w:t>) and 25</w:t>
      </w:r>
      <w:r>
        <w:rPr>
          <w:rFonts w:ascii="Times New Roman" w:hAnsi="Times New Roman"/>
          <w:highlight w:val="yellow"/>
        </w:rPr>
        <w:t xml:space="preserve"> </w:t>
      </w:r>
      <w:r>
        <w:rPr>
          <w:rFonts w:ascii="Times New Roman" w:hAnsi="Times New Roman"/>
        </w:rPr>
        <w:t>cm3 of orthophosphoric acid (H</w:t>
      </w:r>
      <w:r>
        <w:rPr>
          <w:rFonts w:ascii="Times New Roman" w:hAnsi="Times New Roman"/>
          <w:vertAlign w:val="subscript"/>
        </w:rPr>
        <w:t>3</w:t>
      </w:r>
      <w:r>
        <w:rPr>
          <w:rFonts w:ascii="Times New Roman" w:hAnsi="Times New Roman"/>
        </w:rPr>
        <w:t>PO</w:t>
      </w:r>
      <w:r>
        <w:rPr>
          <w:rFonts w:ascii="Times New Roman" w:hAnsi="Times New Roman"/>
          <w:vertAlign w:val="subscript"/>
        </w:rPr>
        <w:t>4</w:t>
      </w:r>
      <w:r>
        <w:rPr>
          <w:rFonts w:ascii="Times New Roman" w:hAnsi="Times New Roman"/>
        </w:rPr>
        <w:t xml:space="preserve">) were added. </w:t>
      </w:r>
      <w:r>
        <w:rPr>
          <w:rFonts w:ascii="Times New Roman" w:hAnsi="Times New Roman"/>
          <w:highlight w:val="yellow"/>
        </w:rPr>
        <w:t>T</w:t>
      </w:r>
      <w:r>
        <w:rPr>
          <w:rFonts w:ascii="Times New Roman" w:hAnsi="Times New Roman"/>
        </w:rPr>
        <w:t>he mixture was r</w:t>
      </w:r>
      <w:r>
        <w:rPr>
          <w:rFonts w:ascii="Times New Roman" w:hAnsi="Times New Roman"/>
          <w:highlight w:val="yellow"/>
        </w:rPr>
        <w:t>eflux</w:t>
      </w:r>
      <w:r>
        <w:rPr>
          <w:rFonts w:ascii="Times New Roman" w:hAnsi="Times New Roman"/>
        </w:rPr>
        <w:t xml:space="preserve">ed </w:t>
      </w:r>
      <w:r w:rsidR="00D17059">
        <w:rPr>
          <w:rFonts w:ascii="Times New Roman" w:hAnsi="Times New Roman"/>
          <w:highlight w:val="yellow"/>
        </w:rPr>
        <w:t>for 2 hours</w:t>
      </w:r>
      <w:r>
        <w:rPr>
          <w:rFonts w:ascii="Times New Roman" w:hAnsi="Times New Roman"/>
        </w:rPr>
        <w:t>, cooled, and diluted to 500cm3 with distilled water. 1g of each processed sample was p</w:t>
      </w:r>
      <w:r>
        <w:rPr>
          <w:rFonts w:ascii="Times New Roman" w:hAnsi="Times New Roman"/>
          <w:highlight w:val="yellow"/>
        </w:rPr>
        <w:t>laced</w:t>
      </w:r>
      <w:r>
        <w:rPr>
          <w:rFonts w:ascii="Times New Roman" w:hAnsi="Times New Roman"/>
        </w:rPr>
        <w:t xml:space="preserve"> in a </w:t>
      </w:r>
      <w:r>
        <w:rPr>
          <w:rFonts w:ascii="Times New Roman" w:hAnsi="Times New Roman"/>
          <w:highlight w:val="yellow"/>
        </w:rPr>
        <w:t>s</w:t>
      </w:r>
      <w:r>
        <w:rPr>
          <w:rFonts w:ascii="Times New Roman" w:hAnsi="Times New Roman"/>
        </w:rPr>
        <w:t>e</w:t>
      </w:r>
      <w:r>
        <w:rPr>
          <w:rFonts w:ascii="Times New Roman" w:hAnsi="Times New Roman"/>
          <w:highlight w:val="yellow"/>
        </w:rPr>
        <w:t>pa</w:t>
      </w:r>
      <w:r>
        <w:rPr>
          <w:rFonts w:ascii="Times New Roman" w:hAnsi="Times New Roman"/>
        </w:rPr>
        <w:t>r</w:t>
      </w:r>
      <w:r>
        <w:rPr>
          <w:rFonts w:ascii="Times New Roman" w:hAnsi="Times New Roman"/>
          <w:highlight w:val="yellow"/>
        </w:rPr>
        <w:t>at</w:t>
      </w:r>
      <w:r>
        <w:rPr>
          <w:rFonts w:ascii="Times New Roman" w:hAnsi="Times New Roman"/>
        </w:rPr>
        <w:t xml:space="preserve">e conical flask, and 100cm3 of distilled water was added to it. This was boiled gently for 1hour on an electric hot plate and filtered using No.42 (125mm) Whatman filter paper into a 100cm3 conical flask. </w:t>
      </w:r>
      <w:r>
        <w:rPr>
          <w:rFonts w:ascii="Times New Roman" w:hAnsi="Times New Roman"/>
          <w:highlight w:val="yellow"/>
        </w:rPr>
        <w:t xml:space="preserve">After 10cm3 of diluted extract (aliquot volume) had been pipetted into a 100 cm3 conical flask containing 50cm3 of distilled water, 5cm3 of Folin-Denis reagent and 10 cm3 of saturated Na2CO3 solution were added for </w:t>
      </w:r>
      <w:proofErr w:type="spellStart"/>
      <w:r>
        <w:rPr>
          <w:rFonts w:ascii="Times New Roman" w:hAnsi="Times New Roman"/>
          <w:highlight w:val="yellow"/>
        </w:rPr>
        <w:t>colour</w:t>
      </w:r>
      <w:proofErr w:type="spellEnd"/>
      <w:r>
        <w:rPr>
          <w:rFonts w:ascii="Times New Roman" w:hAnsi="Times New Roman"/>
          <w:highlight w:val="yellow"/>
        </w:rPr>
        <w:t xml:space="preserve"> development.</w:t>
      </w:r>
      <w:r>
        <w:rPr>
          <w:rFonts w:ascii="Times New Roman" w:hAnsi="Times New Roman"/>
        </w:rPr>
        <w:t xml:space="preserve"> The solution was allowed to stand for 30 min in a water bath at a temperature of 25</w:t>
      </w:r>
      <w:r>
        <w:rPr>
          <w:rFonts w:ascii="Cambria Math" w:hAnsi="Cambria Math" w:cs="Cambria Math"/>
          <w:vertAlign w:val="superscript"/>
        </w:rPr>
        <w:t>°</w:t>
      </w:r>
      <w:r>
        <w:rPr>
          <w:rFonts w:ascii="Times New Roman" w:hAnsi="Times New Roman"/>
        </w:rPr>
        <w:t xml:space="preserve">C after thorough agitation. With the aid of a spectrophotometer, optical density was measured at 700nm and compared with a standard tannic acid curve. </w:t>
      </w:r>
      <w:r>
        <w:rPr>
          <w:rFonts w:ascii="Times New Roman" w:hAnsi="Times New Roman"/>
          <w:highlight w:val="yellow"/>
        </w:rPr>
        <w:t>The tannic standard curve was obtained by dissolving 0.2g of tannic acid in distilled water and diluting the solution to the 200cm3 mark (1mg/cm3).</w:t>
      </w:r>
      <w:r>
        <w:rPr>
          <w:rFonts w:ascii="Times New Roman" w:hAnsi="Times New Roman"/>
        </w:rPr>
        <w:t xml:space="preserve"> Varying concentrations (0.2-1mg/cm3) of the standard tannic acid solution were pipetted into five different test tubes, to which Folin-Denis reagent (5cm3) and saturated Na2CO3 (10cm3) solution were added </w:t>
      </w:r>
      <w:r>
        <w:rPr>
          <w:rFonts w:ascii="Times New Roman" w:hAnsi="Times New Roman"/>
        </w:rPr>
        <w:lastRenderedPageBreak/>
        <w:t>and made up to the 100cm3 mark with distilled water. The solution was left to stand for 30 min in a water bath at 25</w:t>
      </w:r>
      <w:r>
        <w:rPr>
          <w:rFonts w:ascii="Cambria Math" w:hAnsi="Cambria Math" w:cs="Cambria Math"/>
          <w:vertAlign w:val="superscript"/>
        </w:rPr>
        <w:t>°</w:t>
      </w:r>
      <w:r>
        <w:rPr>
          <w:rFonts w:ascii="Times New Roman" w:hAnsi="Times New Roman"/>
        </w:rPr>
        <w:t xml:space="preserve">C. </w:t>
      </w:r>
      <w:r>
        <w:rPr>
          <w:rFonts w:ascii="Times New Roman" w:hAnsi="Times New Roman"/>
          <w:highlight w:val="yellow"/>
        </w:rPr>
        <w:t>Optical density was measured</w:t>
      </w:r>
      <w:r>
        <w:rPr>
          <w:rFonts w:ascii="Times New Roman" w:hAnsi="Times New Roman"/>
        </w:rPr>
        <w:t xml:space="preserve"> at 700nm with the aid of a spectrophotometer. Optical density (absorbance) versus tannic acid concentration was plotted. </w:t>
      </w:r>
      <w:r>
        <w:rPr>
          <w:rFonts w:ascii="Times New Roman" w:eastAsia="Calibri" w:hAnsi="Times New Roman"/>
          <w:b/>
        </w:rPr>
        <w:t xml:space="preserve"> </w:t>
      </w:r>
      <w:r>
        <w:rPr>
          <w:rFonts w:ascii="Times New Roman" w:hAnsi="Times New Roman"/>
        </w:rPr>
        <w:t>The following formula was used in the calculation</w:t>
      </w:r>
    </w:p>
    <w:p w14:paraId="1520A249" w14:textId="77777777" w:rsidR="0040444D" w:rsidRPr="00EF132F" w:rsidRDefault="0040444D" w:rsidP="0040444D">
      <w:pPr>
        <w:pStyle w:val="ListParagraph"/>
        <w:spacing w:line="480" w:lineRule="auto"/>
        <w:jc w:val="both"/>
        <w:rPr>
          <w:rFonts w:ascii="Times New Roman" w:hAnsi="Times New Roman"/>
          <w:bCs/>
        </w:rPr>
      </w:pPr>
      <w:r w:rsidRPr="00EF132F">
        <w:rPr>
          <w:rFonts w:ascii="Times New Roman" w:hAnsi="Times New Roman"/>
          <w:bCs/>
        </w:rPr>
        <w:t>Tannic acid</w:t>
      </w:r>
      <m:oMath>
        <m:r>
          <w:rPr>
            <w:rFonts w:ascii="Cambria Math" w:hAnsi="Cambria Math" w:cs="Times New Roman"/>
          </w:rPr>
          <m:t xml:space="preserve"> </m:t>
        </m:r>
        <m:r>
          <m:rPr>
            <m:sty m:val="p"/>
          </m:rPr>
          <w:rPr>
            <w:rFonts w:ascii="Cambria Math" w:hAnsi="Cambria Math" w:cs="Times New Roman"/>
          </w:rPr>
          <m:t xml:space="preserve">(  </m:t>
        </m:r>
        <m:f>
          <m:fPr>
            <m:ctrlPr>
              <w:rPr>
                <w:rFonts w:ascii="Cambria Math" w:hAnsi="Cambria Math" w:cs="Times New Roman"/>
                <w:bCs/>
              </w:rPr>
            </m:ctrlPr>
          </m:fPr>
          <m:num>
            <m:r>
              <m:rPr>
                <m:sty m:val="p"/>
              </m:rPr>
              <w:rPr>
                <w:rFonts w:ascii="Cambria Math" w:hAnsi="Cambria Math" w:cs="Times New Roman"/>
              </w:rPr>
              <m:t>mg</m:t>
            </m:r>
          </m:num>
          <m:den>
            <m:r>
              <m:rPr>
                <m:sty m:val="p"/>
              </m:rPr>
              <w:rPr>
                <w:rFonts w:ascii="Cambria Math" w:hAnsi="Cambria Math" w:cs="Times New Roman"/>
              </w:rPr>
              <m:t>100g</m:t>
            </m:r>
          </m:den>
        </m:f>
        <m:r>
          <m:rPr>
            <m:sty m:val="p"/>
          </m:rPr>
          <w:rPr>
            <w:rFonts w:ascii="Cambria Math" w:hAnsi="Cambria Math" w:cs="Times New Roman"/>
          </w:rPr>
          <m:t xml:space="preserve"> </m:t>
        </m:r>
      </m:oMath>
      <w:r w:rsidRPr="00EF132F">
        <w:rPr>
          <w:rFonts w:ascii="Times New Roman" w:hAnsi="Times New Roman" w:cs="Times New Roman"/>
          <w:bCs/>
        </w:rPr>
        <w:t>)  =</w:t>
      </w:r>
      <m:oMath>
        <m:r>
          <m:rPr>
            <m:sty m:val="p"/>
          </m:rPr>
          <w:rPr>
            <w:rFonts w:ascii="Cambria Math" w:hAnsi="Cambria Math" w:cs="Times New Roman"/>
          </w:rPr>
          <m:t xml:space="preserve">       </m:t>
        </m:r>
        <m:f>
          <m:fPr>
            <m:ctrlPr>
              <w:rPr>
                <w:rFonts w:ascii="Cambria Math" w:hAnsi="Cambria Math" w:cs="Times New Roman"/>
                <w:bCs/>
              </w:rPr>
            </m:ctrlPr>
          </m:fPr>
          <m:num>
            <m:r>
              <m:rPr>
                <m:sty m:val="p"/>
              </m:rPr>
              <w:rPr>
                <w:rFonts w:ascii="Cambria Math" w:hAnsi="Cambria Math" w:cs="Times New Roman"/>
              </w:rPr>
              <m:t>C X extract volume X 100</m:t>
            </m:r>
          </m:num>
          <m:den>
            <m:r>
              <m:rPr>
                <m:sty m:val="p"/>
              </m:rPr>
              <w:rPr>
                <w:rFonts w:ascii="Cambria Math" w:hAnsi="Cambria Math" w:cs="Times New Roman"/>
              </w:rPr>
              <m:t>Aliquot volume X Weight of sample</m:t>
            </m:r>
          </m:den>
        </m:f>
      </m:oMath>
      <w:r w:rsidRPr="00EF132F">
        <w:rPr>
          <w:rFonts w:ascii="Times New Roman" w:hAnsi="Times New Roman"/>
          <w:bCs/>
        </w:rPr>
        <w:t xml:space="preserve">   </w:t>
      </w:r>
    </w:p>
    <w:p w14:paraId="1FFE844B" w14:textId="77777777" w:rsidR="0040444D" w:rsidRDefault="00D17059" w:rsidP="0040444D">
      <w:pPr>
        <w:pStyle w:val="ListParagraph"/>
        <w:spacing w:line="480" w:lineRule="auto"/>
        <w:jc w:val="both"/>
        <w:rPr>
          <w:rFonts w:ascii="Times New Roman" w:hAnsi="Times New Roman"/>
        </w:rPr>
      </w:pPr>
      <w:r>
        <w:rPr>
          <w:rFonts w:ascii="Times New Roman" w:hAnsi="Times New Roman" w:cs="Times New Roman"/>
          <w:highlight w:val="yellow"/>
        </w:rPr>
        <w:t>W</w:t>
      </w:r>
      <w:r w:rsidR="0040444D">
        <w:rPr>
          <w:rFonts w:ascii="Times New Roman" w:hAnsi="Times New Roman" w:cs="Times New Roman"/>
        </w:rPr>
        <w:t xml:space="preserve">here </w:t>
      </w:r>
      <w:r w:rsidR="0040444D">
        <w:rPr>
          <w:rFonts w:ascii="Cambria Math" w:hAnsi="Cambria Math" w:cs="Cambria Math"/>
        </w:rPr>
        <w:t>𝐶</w:t>
      </w:r>
      <w:r w:rsidR="0040444D">
        <w:rPr>
          <w:rFonts w:ascii="Times New Roman" w:hAnsi="Times New Roman" w:cs="Times New Roman"/>
        </w:rPr>
        <w:t xml:space="preserve"> is the concentration of tannic acid read off the graph</w:t>
      </w:r>
      <w:r w:rsidR="0040444D">
        <w:rPr>
          <w:rFonts w:ascii="Times New Roman" w:hAnsi="Times New Roman"/>
        </w:rPr>
        <w:t>.</w:t>
      </w:r>
    </w:p>
    <w:p w14:paraId="0225E673" w14:textId="77777777" w:rsidR="0040444D" w:rsidRPr="00EF132F" w:rsidRDefault="0040444D" w:rsidP="0040444D">
      <w:pPr>
        <w:rPr>
          <w:rFonts w:ascii="Times New Roman" w:hAnsi="Times New Roman"/>
          <w:bCs/>
        </w:rPr>
      </w:pPr>
      <w:r w:rsidRPr="00EF132F">
        <w:rPr>
          <w:rFonts w:ascii="Times New Roman" w:hAnsi="Times New Roman"/>
          <w:bCs/>
        </w:rPr>
        <w:t xml:space="preserve">Determination of Cyanogenic Glycoside </w:t>
      </w:r>
      <w:r w:rsidRPr="00EF132F">
        <w:rPr>
          <w:rFonts w:ascii="Times New Roman" w:hAnsi="Times New Roman"/>
          <w:color w:val="1B1B1B"/>
          <w:sz w:val="26"/>
          <w:szCs w:val="26"/>
          <w:shd w:val="clear" w:color="auto" w:fill="FFFFFF"/>
        </w:rPr>
        <w:t xml:space="preserve">(Tivana </w:t>
      </w:r>
      <w:r w:rsidRPr="00EF132F">
        <w:rPr>
          <w:rFonts w:ascii="Times New Roman" w:hAnsi="Times New Roman"/>
          <w:i/>
          <w:color w:val="1B1B1B"/>
          <w:sz w:val="26"/>
          <w:szCs w:val="26"/>
          <w:shd w:val="clear" w:color="auto" w:fill="FFFFFF"/>
        </w:rPr>
        <w:t>et al.,</w:t>
      </w:r>
      <w:r w:rsidRPr="00EF132F">
        <w:rPr>
          <w:rFonts w:ascii="Times New Roman" w:hAnsi="Times New Roman"/>
          <w:color w:val="1B1B1B"/>
          <w:sz w:val="26"/>
          <w:szCs w:val="26"/>
          <w:shd w:val="clear" w:color="auto" w:fill="FFFFFF"/>
        </w:rPr>
        <w:t xml:space="preserve"> 2014)</w:t>
      </w:r>
    </w:p>
    <w:p w14:paraId="03067BE9" w14:textId="77777777" w:rsidR="0040444D" w:rsidRDefault="0040444D" w:rsidP="0040444D">
      <w:pPr>
        <w:spacing w:line="480" w:lineRule="auto"/>
        <w:jc w:val="both"/>
        <w:rPr>
          <w:rFonts w:ascii="Times New Roman" w:hAnsi="Times New Roman"/>
          <w:b/>
        </w:rPr>
      </w:pPr>
      <w:r>
        <w:rPr>
          <w:rFonts w:ascii="Times New Roman" w:hAnsi="Times New Roman"/>
          <w:highlight w:val="yellow"/>
        </w:rPr>
        <w:t>For</w:t>
      </w:r>
      <w:r>
        <w:rPr>
          <w:rFonts w:ascii="Times New Roman" w:hAnsi="Times New Roman"/>
        </w:rPr>
        <w:t xml:space="preserve"> the quantitative determination o</w:t>
      </w:r>
      <w:r>
        <w:rPr>
          <w:rFonts w:ascii="Times New Roman" w:hAnsi="Times New Roman"/>
          <w:highlight w:val="yellow"/>
        </w:rPr>
        <w:t>f cyan</w:t>
      </w:r>
      <w:r>
        <w:rPr>
          <w:rFonts w:ascii="Times New Roman" w:hAnsi="Times New Roman"/>
        </w:rPr>
        <w:t>og</w:t>
      </w:r>
      <w:r>
        <w:rPr>
          <w:rFonts w:ascii="Times New Roman" w:hAnsi="Times New Roman"/>
          <w:highlight w:val="yellow"/>
        </w:rPr>
        <w:t>enic gl</w:t>
      </w:r>
      <w:r>
        <w:rPr>
          <w:rFonts w:ascii="Times New Roman" w:hAnsi="Times New Roman"/>
        </w:rPr>
        <w:t>y</w:t>
      </w:r>
      <w:r>
        <w:rPr>
          <w:rFonts w:ascii="Times New Roman" w:hAnsi="Times New Roman"/>
          <w:highlight w:val="yellow"/>
        </w:rPr>
        <w:t>coside</w:t>
      </w:r>
      <w:r>
        <w:rPr>
          <w:rFonts w:ascii="Times New Roman" w:hAnsi="Times New Roman"/>
        </w:rPr>
        <w:t xml:space="preserve">, </w:t>
      </w:r>
      <w:r>
        <w:rPr>
          <w:rFonts w:ascii="Times New Roman" w:hAnsi="Times New Roman"/>
          <w:highlight w:val="yellow"/>
        </w:rPr>
        <w:t>the processed sample (1g) was weighed into a 250cm3 round bottom flask, about 200cm3 of distilled water was added, and the mixture was allowed to stand for 2 hours for autolysis to occur.</w:t>
      </w:r>
      <w:r>
        <w:rPr>
          <w:rFonts w:ascii="Times New Roman" w:hAnsi="Times New Roman"/>
        </w:rPr>
        <w:t xml:space="preserve"> Full distillation was carried out in a distillation flask containing 20cm3 of 2.5% NaOH (sodium hydroxide) in the sample after adding an antifoaming agent (tannic acid). Cyanogenic glycoside (100cm3), 8cm3 of 6M NH</w:t>
      </w:r>
      <w:r>
        <w:rPr>
          <w:rFonts w:ascii="Times New Roman" w:hAnsi="Times New Roman"/>
          <w:vertAlign w:val="subscript"/>
        </w:rPr>
        <w:t>4</w:t>
      </w:r>
      <w:r>
        <w:rPr>
          <w:rFonts w:ascii="Times New Roman" w:hAnsi="Times New Roman"/>
        </w:rPr>
        <w:t>OH (ammonium hydroxide), and 2cm3 of 5% KI (potassium iodide) were added to the distillate(s), mixed, and titrated with 0.02 M AgNO</w:t>
      </w:r>
      <w:r>
        <w:rPr>
          <w:rFonts w:ascii="Times New Roman" w:hAnsi="Times New Roman"/>
          <w:vertAlign w:val="subscript"/>
        </w:rPr>
        <w:t>3</w:t>
      </w:r>
      <w:r>
        <w:rPr>
          <w:rFonts w:ascii="Times New Roman" w:hAnsi="Times New Roman"/>
        </w:rPr>
        <w:t xml:space="preserve"> (silver nitrate) using a </w:t>
      </w:r>
      <w:proofErr w:type="spellStart"/>
      <w:r>
        <w:rPr>
          <w:rFonts w:ascii="Times New Roman" w:hAnsi="Times New Roman"/>
        </w:rPr>
        <w:t>microburette</w:t>
      </w:r>
      <w:proofErr w:type="spellEnd"/>
      <w:r>
        <w:rPr>
          <w:rFonts w:ascii="Times New Roman" w:hAnsi="Times New Roman"/>
        </w:rPr>
        <w:t xml:space="preserve"> against a black background. </w:t>
      </w:r>
      <w:r w:rsidR="00D6001C">
        <w:rPr>
          <w:rFonts w:ascii="Times New Roman" w:hAnsi="Times New Roman"/>
        </w:rPr>
        <w:t>Continuous turbidity</w:t>
      </w:r>
      <w:r>
        <w:rPr>
          <w:rFonts w:ascii="Times New Roman" w:hAnsi="Times New Roman"/>
        </w:rPr>
        <w:t xml:space="preserve"> indicated the endpoint.</w:t>
      </w:r>
      <w:r>
        <w:rPr>
          <w:rFonts w:ascii="Times New Roman" w:hAnsi="Times New Roman"/>
          <w:b/>
        </w:rPr>
        <w:t xml:space="preserve"> </w:t>
      </w:r>
      <w:r>
        <w:rPr>
          <w:rFonts w:ascii="Times New Roman" w:hAnsi="Times New Roman"/>
          <w:highlight w:val="yellow"/>
        </w:rPr>
        <w:t>Th</w:t>
      </w:r>
      <w:r>
        <w:rPr>
          <w:rFonts w:ascii="Times New Roman" w:hAnsi="Times New Roman"/>
        </w:rPr>
        <w:t xml:space="preserve">e cyanogenic glycoside </w:t>
      </w:r>
      <w:r>
        <w:rPr>
          <w:rFonts w:ascii="Times New Roman" w:hAnsi="Times New Roman"/>
          <w:highlight w:val="yellow"/>
        </w:rPr>
        <w:t>co</w:t>
      </w:r>
      <w:r>
        <w:rPr>
          <w:rFonts w:ascii="Times New Roman" w:hAnsi="Times New Roman"/>
        </w:rPr>
        <w:t>n</w:t>
      </w:r>
      <w:r>
        <w:rPr>
          <w:rFonts w:ascii="Times New Roman" w:hAnsi="Times New Roman"/>
          <w:highlight w:val="yellow"/>
        </w:rPr>
        <w:t>tent of</w:t>
      </w:r>
      <w:r>
        <w:rPr>
          <w:rFonts w:ascii="Times New Roman" w:hAnsi="Times New Roman"/>
        </w:rPr>
        <w:t xml:space="preserve"> the sample was calculated as </w:t>
      </w:r>
    </w:p>
    <w:p w14:paraId="2ACC3A9E" w14:textId="77777777" w:rsidR="0040444D" w:rsidRPr="00EF132F" w:rsidRDefault="0040444D" w:rsidP="0040444D">
      <w:pPr>
        <w:pStyle w:val="ListParagraph"/>
        <w:spacing w:line="480" w:lineRule="auto"/>
        <w:jc w:val="both"/>
        <w:rPr>
          <w:rFonts w:ascii="Times New Roman" w:hAnsi="Times New Roman"/>
        </w:rPr>
      </w:pPr>
      <w:r w:rsidRPr="00EF132F">
        <w:rPr>
          <w:rFonts w:ascii="Times New Roman" w:hAnsi="Times New Roman"/>
          <w:bCs/>
        </w:rPr>
        <w:t>Cyanogenic glycoside</w:t>
      </w:r>
      <m:oMath>
        <m:r>
          <w:rPr>
            <w:rFonts w:ascii="Cambria Math" w:hAnsi="Cambria Math" w:cs="Times New Roman"/>
          </w:rPr>
          <m:t xml:space="preserve"> </m:t>
        </m:r>
        <m:d>
          <m:dPr>
            <m:ctrlPr>
              <w:rPr>
                <w:rFonts w:ascii="Cambria Math" w:hAnsi="Cambria Math" w:cs="Times New Roman"/>
                <w:bCs/>
              </w:rPr>
            </m:ctrlPr>
          </m:dPr>
          <m:e>
            <m:f>
              <m:fPr>
                <m:ctrlPr>
                  <w:rPr>
                    <w:rFonts w:ascii="Cambria Math" w:hAnsi="Cambria Math" w:cs="Times New Roman"/>
                    <w:bCs/>
                  </w:rPr>
                </m:ctrlPr>
              </m:fPr>
              <m:num>
                <m:r>
                  <m:rPr>
                    <m:sty m:val="p"/>
                  </m:rPr>
                  <w:rPr>
                    <w:rFonts w:ascii="Cambria Math" w:hAnsi="Cambria Math" w:cs="Times New Roman"/>
                  </w:rPr>
                  <m:t>Mg</m:t>
                </m:r>
              </m:num>
              <m:den>
                <m:r>
                  <m:rPr>
                    <m:sty m:val="p"/>
                  </m:rPr>
                  <w:rPr>
                    <w:rFonts w:ascii="Cambria Math" w:hAnsi="Cambria Math" w:cs="Times New Roman"/>
                  </w:rPr>
                  <m:t>100g</m:t>
                </m:r>
              </m:den>
            </m:f>
          </m:e>
        </m:d>
      </m:oMath>
      <w:r w:rsidRPr="00EF132F">
        <w:rPr>
          <w:rFonts w:ascii="Times New Roman" w:hAnsi="Times New Roman" w:cs="Times New Roman"/>
        </w:rPr>
        <w:t>=</w:t>
      </w:r>
      <m:oMath>
        <m:r>
          <m:rPr>
            <m:sty m:val="p"/>
          </m:rPr>
          <w:rPr>
            <w:rFonts w:ascii="Cambria Math" w:hAnsi="Cambria Math" w:cs="Times New Roman"/>
          </w:rPr>
          <m:t xml:space="preserve">    </m:t>
        </m:r>
        <m:f>
          <m:fPr>
            <m:ctrlPr>
              <w:rPr>
                <w:rFonts w:ascii="Cambria Math" w:hAnsi="Cambria Math" w:cs="Times New Roman"/>
              </w:rPr>
            </m:ctrlPr>
          </m:fPr>
          <m:num>
            <m:r>
              <m:rPr>
                <m:sty m:val="p"/>
              </m:rPr>
              <w:rPr>
                <w:rFonts w:ascii="Cambria Math" w:hAnsi="Cambria Math" w:cs="Times New Roman"/>
              </w:rPr>
              <m:t xml:space="preserve">Titre value </m:t>
            </m:r>
            <m:d>
              <m:dPr>
                <m:ctrlPr>
                  <w:rPr>
                    <w:rFonts w:ascii="Cambria Math" w:hAnsi="Cambria Math" w:cs="Times New Roman"/>
                  </w:rPr>
                </m:ctrlPr>
              </m:dPr>
              <m:e>
                <m:r>
                  <m:rPr>
                    <m:sty m:val="p"/>
                  </m:rPr>
                  <w:rPr>
                    <w:rFonts w:ascii="Cambria Math" w:hAnsi="Cambria Math" w:cs="Times New Roman"/>
                  </w:rPr>
                  <m:t>cm3</m:t>
                </m:r>
              </m:e>
            </m:d>
            <m:r>
              <m:rPr>
                <m:sty m:val="p"/>
              </m:rPr>
              <w:rPr>
                <w:rFonts w:ascii="Cambria Math" w:hAnsi="Cambria Math" w:cs="Times New Roman"/>
              </w:rPr>
              <m:t>X 1.08 X extract volume</m:t>
            </m:r>
          </m:num>
          <m:den>
            <m:r>
              <m:rPr>
                <m:sty m:val="p"/>
              </m:rPr>
              <w:rPr>
                <w:rFonts w:ascii="Cambria Math" w:hAnsi="Cambria Math" w:cs="Times New Roman"/>
              </w:rPr>
              <m:t xml:space="preserve">Aliquot volume </m:t>
            </m:r>
            <m:d>
              <m:dPr>
                <m:ctrlPr>
                  <w:rPr>
                    <w:rFonts w:ascii="Cambria Math" w:hAnsi="Cambria Math" w:cs="Times New Roman"/>
                  </w:rPr>
                </m:ctrlPr>
              </m:dPr>
              <m:e>
                <m:r>
                  <m:rPr>
                    <m:sty m:val="p"/>
                  </m:rPr>
                  <w:rPr>
                    <w:rFonts w:ascii="Cambria Math" w:hAnsi="Cambria Math" w:cs="Times New Roman"/>
                  </w:rPr>
                  <m:t>cm3</m:t>
                </m:r>
              </m:e>
            </m:d>
            <m:r>
              <m:rPr>
                <m:sty m:val="p"/>
              </m:rPr>
              <w:rPr>
                <w:rFonts w:ascii="Cambria Math" w:hAnsi="Cambria Math" w:cs="Times New Roman"/>
              </w:rPr>
              <m:t xml:space="preserve"> X Sample weight (g)</m:t>
            </m:r>
          </m:den>
        </m:f>
        <m:r>
          <m:rPr>
            <m:sty m:val="p"/>
          </m:rPr>
          <w:rPr>
            <w:rFonts w:ascii="Cambria Math" w:hAnsi="Cambria Math" w:cs="Times New Roman"/>
          </w:rPr>
          <m:t xml:space="preserve"> X 100</m:t>
        </m:r>
      </m:oMath>
      <w:r w:rsidRPr="00EF132F">
        <w:rPr>
          <w:rFonts w:ascii="Times New Roman" w:hAnsi="Times New Roman" w:cs="Times New Roman"/>
        </w:rPr>
        <w:t xml:space="preserve"> </w:t>
      </w:r>
    </w:p>
    <w:p w14:paraId="77F186DF" w14:textId="77777777" w:rsidR="0040444D" w:rsidRPr="00EF132F" w:rsidRDefault="0040444D" w:rsidP="0040444D">
      <w:pPr>
        <w:spacing w:line="480" w:lineRule="auto"/>
        <w:jc w:val="both"/>
        <w:rPr>
          <w:rFonts w:ascii="Times New Roman" w:hAnsi="Times New Roman"/>
        </w:rPr>
      </w:pPr>
      <w:r w:rsidRPr="00EF132F">
        <w:rPr>
          <w:rFonts w:ascii="Times New Roman" w:hAnsi="Times New Roman"/>
          <w:bCs/>
        </w:rPr>
        <w:t>Determination of Phytate (</w:t>
      </w:r>
      <w:r w:rsidRPr="00EF132F">
        <w:rPr>
          <w:rStyle w:val="author0"/>
          <w:rFonts w:ascii="Times New Roman" w:hAnsi="Times New Roman"/>
        </w:rPr>
        <w:t>Rousta</w:t>
      </w:r>
      <w:r w:rsidRPr="00EF132F">
        <w:rPr>
          <w:rFonts w:ascii="Times New Roman" w:hAnsi="Times New Roman"/>
        </w:rPr>
        <w:t xml:space="preserve"> &amp; </w:t>
      </w:r>
      <w:proofErr w:type="spellStart"/>
      <w:r w:rsidRPr="00EF132F">
        <w:rPr>
          <w:rStyle w:val="author0"/>
          <w:rFonts w:ascii="Times New Roman" w:hAnsi="Times New Roman"/>
        </w:rPr>
        <w:t>Taherzadeh</w:t>
      </w:r>
      <w:proofErr w:type="spellEnd"/>
      <w:r w:rsidRPr="00EF132F">
        <w:rPr>
          <w:rStyle w:val="author0"/>
          <w:rFonts w:ascii="Times New Roman" w:hAnsi="Times New Roman"/>
        </w:rPr>
        <w:t xml:space="preserve">, </w:t>
      </w:r>
      <w:r w:rsidRPr="00EF132F">
        <w:rPr>
          <w:rStyle w:val="pubyear"/>
          <w:rFonts w:ascii="Times New Roman" w:hAnsi="Times New Roman"/>
        </w:rPr>
        <w:t>2026</w:t>
      </w:r>
      <w:r w:rsidRPr="00EF132F">
        <w:rPr>
          <w:rFonts w:ascii="Times New Roman" w:hAnsi="Times New Roman"/>
        </w:rPr>
        <w:t xml:space="preserve">) </w:t>
      </w:r>
    </w:p>
    <w:p w14:paraId="07D01C84" w14:textId="77777777" w:rsidR="0040444D" w:rsidRDefault="0040444D" w:rsidP="0040444D">
      <w:pPr>
        <w:spacing w:line="480" w:lineRule="auto"/>
        <w:jc w:val="both"/>
        <w:rPr>
          <w:rFonts w:ascii="Times New Roman" w:hAnsi="Times New Roman"/>
        </w:rPr>
      </w:pPr>
      <w:r>
        <w:rPr>
          <w:rFonts w:ascii="Times New Roman" w:hAnsi="Times New Roman"/>
        </w:rPr>
        <w:t xml:space="preserve">This method is based on the reaction between ferric iron and sulfosalicylic acid to form a </w:t>
      </w:r>
      <w:proofErr w:type="spellStart"/>
      <w:r>
        <w:rPr>
          <w:rFonts w:ascii="Times New Roman" w:hAnsi="Times New Roman"/>
        </w:rPr>
        <w:t>colo</w:t>
      </w:r>
      <w:r>
        <w:rPr>
          <w:rFonts w:ascii="Times New Roman" w:hAnsi="Times New Roman"/>
          <w:highlight w:val="yellow"/>
        </w:rPr>
        <w:t>u</w:t>
      </w:r>
      <w:r>
        <w:rPr>
          <w:rFonts w:ascii="Times New Roman" w:hAnsi="Times New Roman"/>
        </w:rPr>
        <w:t>red</w:t>
      </w:r>
      <w:proofErr w:type="spellEnd"/>
      <w:r>
        <w:rPr>
          <w:rFonts w:ascii="Times New Roman" w:hAnsi="Times New Roman"/>
        </w:rPr>
        <w:t xml:space="preserve"> complex. Phytate in the sample chelates the iron and reduces the </w:t>
      </w:r>
      <w:proofErr w:type="spellStart"/>
      <w:r>
        <w:rPr>
          <w:rFonts w:ascii="Times New Roman" w:hAnsi="Times New Roman"/>
        </w:rPr>
        <w:t>colo</w:t>
      </w:r>
      <w:r>
        <w:rPr>
          <w:rFonts w:ascii="Times New Roman" w:hAnsi="Times New Roman"/>
          <w:highlight w:val="yellow"/>
        </w:rPr>
        <w:t>u</w:t>
      </w:r>
      <w:r>
        <w:rPr>
          <w:rFonts w:ascii="Times New Roman" w:hAnsi="Times New Roman"/>
        </w:rPr>
        <w:t>r</w:t>
      </w:r>
      <w:proofErr w:type="spellEnd"/>
      <w:r>
        <w:rPr>
          <w:rFonts w:ascii="Times New Roman" w:hAnsi="Times New Roman"/>
        </w:rPr>
        <w:t xml:space="preserve"> intensity, which is then measured spectrophotometrically.</w:t>
      </w:r>
      <w:r>
        <w:rPr>
          <w:rFonts w:ascii="Times New Roman" w:hAnsi="Times New Roman"/>
          <w:b/>
        </w:rPr>
        <w:t xml:space="preserve"> </w:t>
      </w:r>
      <w:r>
        <w:rPr>
          <w:rFonts w:ascii="Times New Roman" w:hAnsi="Times New Roman"/>
        </w:rPr>
        <w:t>A series of phytate standard solutions was prepared using sodium phytate dissolved in deionized water.</w:t>
      </w:r>
      <w:r>
        <w:rPr>
          <w:rFonts w:ascii="Times New Roman" w:hAnsi="Times New Roman"/>
          <w:b/>
        </w:rPr>
        <w:t xml:space="preserve"> </w:t>
      </w:r>
      <w:r>
        <w:rPr>
          <w:rFonts w:ascii="Times New Roman" w:hAnsi="Times New Roman"/>
        </w:rPr>
        <w:t xml:space="preserve">0.5g of each processed sample was extracted using 5% trichloroacetic acid (TCA). </w:t>
      </w:r>
      <w:r>
        <w:rPr>
          <w:rFonts w:ascii="Times New Roman" w:hAnsi="Times New Roman"/>
          <w:highlight w:val="yellow"/>
        </w:rPr>
        <w:t>The mix</w:t>
      </w:r>
      <w:r>
        <w:rPr>
          <w:rFonts w:ascii="Times New Roman" w:hAnsi="Times New Roman"/>
        </w:rPr>
        <w:t>t</w:t>
      </w:r>
      <w:r>
        <w:rPr>
          <w:rFonts w:ascii="Times New Roman" w:hAnsi="Times New Roman"/>
          <w:highlight w:val="yellow"/>
        </w:rPr>
        <w:t>ure</w:t>
      </w:r>
      <w:r>
        <w:rPr>
          <w:rFonts w:ascii="Times New Roman" w:hAnsi="Times New Roman"/>
        </w:rPr>
        <w:t xml:space="preserve"> was agitated con</w:t>
      </w:r>
      <w:r>
        <w:rPr>
          <w:rFonts w:ascii="Times New Roman" w:hAnsi="Times New Roman"/>
          <w:highlight w:val="yellow"/>
        </w:rPr>
        <w:t>tinuou</w:t>
      </w:r>
      <w:r>
        <w:rPr>
          <w:rFonts w:ascii="Times New Roman" w:hAnsi="Times New Roman"/>
        </w:rPr>
        <w:t xml:space="preserve">sly for </w:t>
      </w:r>
      <w:r>
        <w:rPr>
          <w:rFonts w:ascii="Times New Roman" w:hAnsi="Times New Roman"/>
          <w:highlight w:val="yellow"/>
        </w:rPr>
        <w:t>2 hours</w:t>
      </w:r>
      <w:r>
        <w:rPr>
          <w:rFonts w:ascii="Times New Roman" w:hAnsi="Times New Roman"/>
        </w:rPr>
        <w:t xml:space="preserve">. </w:t>
      </w:r>
      <w:r>
        <w:rPr>
          <w:rFonts w:ascii="Times New Roman" w:hAnsi="Times New Roman"/>
          <w:highlight w:val="yellow"/>
        </w:rPr>
        <w:t>The mixture was filtered and subsequently centrifuged, and the supernatant was collected for analysis.</w:t>
      </w:r>
      <w:r>
        <w:rPr>
          <w:rFonts w:ascii="Times New Roman" w:hAnsi="Times New Roman"/>
        </w:rPr>
        <w:t xml:space="preserve"> To an aliquot volume of the sample extract and standard solution, the Wade reagent was added. The </w:t>
      </w:r>
      <w:proofErr w:type="spellStart"/>
      <w:r>
        <w:rPr>
          <w:rFonts w:ascii="Times New Roman" w:hAnsi="Times New Roman"/>
        </w:rPr>
        <w:t>colo</w:t>
      </w:r>
      <w:r>
        <w:rPr>
          <w:rFonts w:ascii="Times New Roman" w:hAnsi="Times New Roman"/>
          <w:highlight w:val="yellow"/>
        </w:rPr>
        <w:t>u</w:t>
      </w:r>
      <w:r>
        <w:rPr>
          <w:rFonts w:ascii="Times New Roman" w:hAnsi="Times New Roman"/>
        </w:rPr>
        <w:t>r</w:t>
      </w:r>
      <w:proofErr w:type="spellEnd"/>
      <w:r>
        <w:rPr>
          <w:rFonts w:ascii="Times New Roman" w:hAnsi="Times New Roman"/>
        </w:rPr>
        <w:t xml:space="preserve"> was allowed to develop for about </w:t>
      </w:r>
      <w:r>
        <w:rPr>
          <w:rFonts w:ascii="Times New Roman" w:hAnsi="Times New Roman"/>
          <w:highlight w:val="yellow"/>
        </w:rPr>
        <w:t>15 min</w:t>
      </w:r>
      <w:r>
        <w:rPr>
          <w:rFonts w:ascii="Times New Roman" w:hAnsi="Times New Roman"/>
        </w:rPr>
        <w:t>. The absorbance was measured for each solution at 500nm using a UV-Vis spectrophotometer. A standard curve was constructed by plotting the absorbance of the standard solutions against their concentrations. The phytate concentration was determined in the sample by interpolating its absorbance value on the standard curve.</w:t>
      </w:r>
    </w:p>
    <w:p w14:paraId="55E29F09" w14:textId="77777777" w:rsidR="0040444D" w:rsidRPr="00EF132F" w:rsidRDefault="0040444D" w:rsidP="0040444D">
      <w:pPr>
        <w:spacing w:line="480" w:lineRule="auto"/>
        <w:contextualSpacing/>
        <w:jc w:val="both"/>
        <w:rPr>
          <w:rFonts w:ascii="Times New Roman" w:hAnsi="Times New Roman" w:cstheme="minorBidi"/>
          <w:bCs/>
        </w:rPr>
      </w:pPr>
      <w:r w:rsidRPr="00EF132F">
        <w:rPr>
          <w:rFonts w:ascii="Times New Roman" w:hAnsi="Times New Roman"/>
          <w:bCs/>
        </w:rPr>
        <w:t xml:space="preserve">Determination of Oxalate </w:t>
      </w:r>
      <w:r w:rsidRPr="00EF132F">
        <w:rPr>
          <w:rFonts w:ascii="Times New Roman" w:hAnsi="Times New Roman"/>
          <w:color w:val="1B1B1B"/>
          <w:shd w:val="clear" w:color="auto" w:fill="FFFFFF"/>
        </w:rPr>
        <w:t>(</w:t>
      </w:r>
      <w:proofErr w:type="spellStart"/>
      <w:r w:rsidRPr="00EF132F">
        <w:rPr>
          <w:rFonts w:ascii="Times New Roman" w:hAnsi="Times New Roman"/>
          <w:color w:val="1B1B1B"/>
          <w:shd w:val="clear" w:color="auto" w:fill="FFFFFF"/>
        </w:rPr>
        <w:t>Agbaire</w:t>
      </w:r>
      <w:proofErr w:type="spellEnd"/>
      <w:r w:rsidRPr="00EF132F">
        <w:rPr>
          <w:rFonts w:ascii="Times New Roman" w:hAnsi="Times New Roman"/>
          <w:color w:val="1B1B1B"/>
          <w:shd w:val="clear" w:color="auto" w:fill="FFFFFF"/>
        </w:rPr>
        <w:t>, 2011)</w:t>
      </w:r>
    </w:p>
    <w:p w14:paraId="71FC071D" w14:textId="77777777" w:rsidR="0040444D" w:rsidRDefault="0040444D" w:rsidP="0040444D">
      <w:pPr>
        <w:spacing w:line="480" w:lineRule="auto"/>
        <w:contextualSpacing/>
        <w:jc w:val="both"/>
        <w:rPr>
          <w:rFonts w:ascii="Times New Roman" w:hAnsi="Times New Roman"/>
          <w:b/>
        </w:rPr>
      </w:pPr>
      <w:r>
        <w:rPr>
          <w:rFonts w:ascii="Times New Roman" w:hAnsi="Times New Roman"/>
          <w:highlight w:val="yellow"/>
        </w:rPr>
        <w:t>Q</w:t>
      </w:r>
      <w:r w:rsidR="006B21D6">
        <w:rPr>
          <w:rFonts w:ascii="Times New Roman" w:hAnsi="Times New Roman"/>
        </w:rPr>
        <w:t xml:space="preserve">uantitative determination </w:t>
      </w:r>
      <w:r>
        <w:rPr>
          <w:rFonts w:ascii="Times New Roman" w:hAnsi="Times New Roman"/>
        </w:rPr>
        <w:t>was carried out by dissolving exactly 20cm3 of 0.3 M HCl in each of the processed samples (1g) and was extracted 3 times by warming at a temperature of 50</w:t>
      </w:r>
      <w:r>
        <w:rPr>
          <w:rFonts w:ascii="Cambria Math" w:hAnsi="Cambria Math" w:cs="Cambria Math"/>
          <w:vertAlign w:val="superscript"/>
        </w:rPr>
        <w:t>°</w:t>
      </w:r>
      <w:r>
        <w:rPr>
          <w:rFonts w:ascii="Times New Roman" w:hAnsi="Times New Roman"/>
        </w:rPr>
        <w:t xml:space="preserve">C for </w:t>
      </w:r>
      <w:r>
        <w:rPr>
          <w:rFonts w:ascii="Times New Roman" w:hAnsi="Times New Roman"/>
          <w:highlight w:val="yellow"/>
        </w:rPr>
        <w:t>1 hour</w:t>
      </w:r>
      <w:r>
        <w:rPr>
          <w:rFonts w:ascii="Times New Roman" w:hAnsi="Times New Roman"/>
        </w:rPr>
        <w:t xml:space="preserve"> with constant stirring using a magnetic stirrer. For oxalate estimation, 1cm3 of 5M ammonium hydroxide was added to 5cm3 of the extract to ensure alkalinity. </w:t>
      </w:r>
      <w:r>
        <w:rPr>
          <w:rFonts w:ascii="Times New Roman" w:hAnsi="Times New Roman"/>
          <w:highlight w:val="yellow"/>
        </w:rPr>
        <w:t>The addition of 2 drops of phenolphthalein indicator, 3 drops of glacial acetic acid, and 1cm3 of 5% calcium chloride to make the mixture acidic, followed by standing for 3 hours, was followed by centrifugation at 3000rpm for 15 min.</w:t>
      </w:r>
      <w:r>
        <w:rPr>
          <w:rFonts w:ascii="Times New Roman" w:hAnsi="Times New Roman"/>
        </w:rPr>
        <w:t xml:space="preserve"> After discarding the supernatant, the precipitate was wa</w:t>
      </w:r>
      <w:r w:rsidR="006B21D6">
        <w:rPr>
          <w:rFonts w:ascii="Times New Roman" w:hAnsi="Times New Roman"/>
        </w:rPr>
        <w:t xml:space="preserve">shed three times using </w:t>
      </w:r>
      <w:r w:rsidR="006B21D6">
        <w:rPr>
          <w:rFonts w:ascii="Times New Roman" w:hAnsi="Times New Roman"/>
        </w:rPr>
        <w:lastRenderedPageBreak/>
        <w:t>hot water,</w:t>
      </w:r>
      <w:r>
        <w:rPr>
          <w:rFonts w:ascii="Times New Roman" w:hAnsi="Times New Roman"/>
        </w:rPr>
        <w:t xml:space="preserve"> </w:t>
      </w:r>
      <w:r w:rsidR="006B21D6">
        <w:rPr>
          <w:rFonts w:ascii="Times New Roman" w:hAnsi="Times New Roman"/>
        </w:rPr>
        <w:t xml:space="preserve">mixing after </w:t>
      </w:r>
      <w:r>
        <w:rPr>
          <w:rFonts w:ascii="Times New Roman" w:hAnsi="Times New Roman"/>
        </w:rPr>
        <w:t xml:space="preserve">centrifugation. Then, to each test tube, 2cm3 of 3M </w:t>
      </w:r>
      <w:proofErr w:type="spellStart"/>
      <w:r>
        <w:rPr>
          <w:rFonts w:ascii="Times New Roman" w:hAnsi="Times New Roman"/>
        </w:rPr>
        <w:t>tetraoxosulphate</w:t>
      </w:r>
      <w:proofErr w:type="spellEnd"/>
      <w:r>
        <w:rPr>
          <w:rFonts w:ascii="Times New Roman" w:hAnsi="Times New Roman"/>
        </w:rPr>
        <w:t xml:space="preserve"> (VI) acid was added</w:t>
      </w:r>
      <w:r w:rsidR="00D6001C">
        <w:rPr>
          <w:rFonts w:ascii="Times New Roman" w:hAnsi="Times New Roman"/>
        </w:rPr>
        <w:t>,</w:t>
      </w:r>
      <w:r>
        <w:rPr>
          <w:rFonts w:ascii="Times New Roman" w:hAnsi="Times New Roman"/>
        </w:rPr>
        <w:t xml:space="preserve"> and the precipitate was dissolved by warming in a water bath at 70</w:t>
      </w:r>
      <w:r>
        <w:rPr>
          <w:rFonts w:ascii="Cambria Math" w:hAnsi="Cambria Math" w:cs="Cambria Math"/>
          <w:vertAlign w:val="superscript"/>
        </w:rPr>
        <w:t>°</w:t>
      </w:r>
      <w:r>
        <w:rPr>
          <w:rFonts w:ascii="Times New Roman" w:hAnsi="Times New Roman"/>
        </w:rPr>
        <w:t xml:space="preserve">C. Freshly prepared 0.01M potassium permanganate (KMnO4) was titrated against the contents of each tube at room temperature until the first pink </w:t>
      </w:r>
      <w:proofErr w:type="spellStart"/>
      <w:r w:rsidR="006B21D6">
        <w:rPr>
          <w:rFonts w:ascii="Times New Roman" w:hAnsi="Times New Roman"/>
          <w:highlight w:val="yellow"/>
        </w:rPr>
        <w:t>colour</w:t>
      </w:r>
      <w:proofErr w:type="spellEnd"/>
      <w:r>
        <w:rPr>
          <w:rFonts w:ascii="Times New Roman" w:hAnsi="Times New Roman"/>
        </w:rPr>
        <w:t xml:space="preserve"> appeared throughout the solution. The solution was allowed to stand until it returned to </w:t>
      </w:r>
      <w:proofErr w:type="spellStart"/>
      <w:r w:rsidR="006B21D6">
        <w:rPr>
          <w:rFonts w:ascii="Times New Roman" w:hAnsi="Times New Roman"/>
          <w:highlight w:val="yellow"/>
        </w:rPr>
        <w:t>colourless</w:t>
      </w:r>
      <w:proofErr w:type="spellEnd"/>
      <w:r>
        <w:rPr>
          <w:rFonts w:ascii="Times New Roman" w:hAnsi="Times New Roman"/>
        </w:rPr>
        <w:t>, after which it was warmed on an electric hot plate at 70</w:t>
      </w:r>
      <w:r>
        <w:rPr>
          <w:rFonts w:ascii="Cambria Math" w:hAnsi="Cambria Math" w:cs="Cambria Math"/>
          <w:vertAlign w:val="superscript"/>
        </w:rPr>
        <w:t>°</w:t>
      </w:r>
      <w:r>
        <w:rPr>
          <w:rFonts w:ascii="Times New Roman" w:hAnsi="Times New Roman"/>
        </w:rPr>
        <w:t xml:space="preserve">C for 3 min and re-titrated until a pink </w:t>
      </w:r>
      <w:proofErr w:type="spellStart"/>
      <w:r w:rsidR="006B21D6">
        <w:rPr>
          <w:rFonts w:ascii="Times New Roman" w:hAnsi="Times New Roman"/>
          <w:highlight w:val="yellow"/>
        </w:rPr>
        <w:t>colour</w:t>
      </w:r>
      <w:proofErr w:type="spellEnd"/>
      <w:r>
        <w:rPr>
          <w:rFonts w:ascii="Times New Roman" w:hAnsi="Times New Roman"/>
        </w:rPr>
        <w:t xml:space="preserve"> </w:t>
      </w:r>
      <w:r w:rsidR="00D6001C">
        <w:rPr>
          <w:rFonts w:ascii="Times New Roman" w:hAnsi="Times New Roman"/>
        </w:rPr>
        <w:t>appeared</w:t>
      </w:r>
      <w:r>
        <w:rPr>
          <w:rFonts w:ascii="Times New Roman" w:hAnsi="Times New Roman"/>
        </w:rPr>
        <w:t xml:space="preserve"> and persisted for at least 30s. The titration reaction of oxalate in the sample was calculated as</w:t>
      </w:r>
    </w:p>
    <w:p w14:paraId="6CA9E47C" w14:textId="77777777" w:rsidR="0040444D" w:rsidRPr="00EF132F" w:rsidRDefault="0040444D" w:rsidP="0040444D">
      <w:pPr>
        <w:spacing w:line="480" w:lineRule="auto"/>
        <w:jc w:val="center"/>
        <w:rPr>
          <w:rFonts w:ascii="Times New Roman" w:hAnsi="Times New Roman"/>
          <w:bCs/>
        </w:rPr>
      </w:pPr>
      <w:r w:rsidRPr="00EF132F">
        <w:rPr>
          <w:rFonts w:ascii="Times New Roman" w:hAnsi="Times New Roman"/>
          <w:bCs/>
        </w:rPr>
        <w:t xml:space="preserve">% oxalate composition g/100 g </w:t>
      </w:r>
      <w:r w:rsidRPr="00EF132F">
        <w:rPr>
          <w:rFonts w:ascii="Times New Roman" w:hAnsi="Times New Roman"/>
          <w:bCs/>
          <w:i/>
        </w:rPr>
        <w:t xml:space="preserve">= </w:t>
      </w:r>
      <m:oMath>
        <m:f>
          <m:fPr>
            <m:ctrlPr>
              <w:rPr>
                <w:rFonts w:ascii="Cambria Math" w:hAnsi="Cambria Math"/>
                <w:bCs/>
                <w:kern w:val="2"/>
                <w:sz w:val="24"/>
                <w:szCs w:val="24"/>
                <w14:ligatures w14:val="standardContextual"/>
              </w:rPr>
            </m:ctrlPr>
          </m:fPr>
          <m:num>
            <m:r>
              <m:rPr>
                <m:sty m:val="p"/>
              </m:rPr>
              <w:rPr>
                <w:rFonts w:ascii="Cambria Math" w:hAnsi="Cambria Math"/>
              </w:rPr>
              <m:t>W</m:t>
            </m:r>
          </m:num>
          <m:den>
            <m:r>
              <m:rPr>
                <m:sty m:val="p"/>
              </m:rPr>
              <w:rPr>
                <w:rFonts w:ascii="Cambria Math" w:hAnsi="Cambria Math"/>
              </w:rPr>
              <m:t>2.5</m:t>
            </m:r>
          </m:den>
        </m:f>
        <m:r>
          <m:rPr>
            <m:sty m:val="p"/>
          </m:rPr>
          <w:rPr>
            <w:rFonts w:ascii="Cambria Math" w:hAnsi="Cambria Math"/>
          </w:rPr>
          <m:t xml:space="preserve"> X   </m:t>
        </m:r>
        <m:f>
          <m:fPr>
            <m:ctrlPr>
              <w:rPr>
                <w:rFonts w:ascii="Cambria Math" w:hAnsi="Cambria Math"/>
                <w:bCs/>
                <w:kern w:val="2"/>
                <w:sz w:val="24"/>
                <w:szCs w:val="24"/>
                <w14:ligatures w14:val="standardContextual"/>
              </w:rPr>
            </m:ctrlPr>
          </m:fPr>
          <m:num>
            <m:r>
              <m:rPr>
                <m:sty m:val="p"/>
              </m:rPr>
              <w:rPr>
                <w:rFonts w:ascii="Cambria Math" w:hAnsi="Cambria Math"/>
              </w:rPr>
              <m:t>100</m:t>
            </m:r>
          </m:num>
          <m:den>
            <m:r>
              <m:rPr>
                <m:sty m:val="p"/>
              </m:rPr>
              <w:rPr>
                <w:rFonts w:ascii="Cambria Math" w:hAnsi="Cambria Math"/>
              </w:rPr>
              <m:t>1</m:t>
            </m:r>
          </m:den>
        </m:f>
      </m:oMath>
    </w:p>
    <w:p w14:paraId="4CAF5A1D" w14:textId="77777777" w:rsidR="0040444D" w:rsidRPr="00EF132F" w:rsidRDefault="0040444D" w:rsidP="0040444D">
      <w:pPr>
        <w:jc w:val="both"/>
        <w:rPr>
          <w:rFonts w:ascii="Times New Roman" w:hAnsi="Times New Roman"/>
          <w:bCs/>
          <w:kern w:val="36"/>
        </w:rPr>
      </w:pPr>
      <w:r w:rsidRPr="00EF132F">
        <w:rPr>
          <w:rFonts w:ascii="Times New Roman" w:hAnsi="Times New Roman"/>
        </w:rPr>
        <w:t xml:space="preserve">Determination of </w:t>
      </w:r>
      <w:r w:rsidR="00D6001C">
        <w:rPr>
          <w:rFonts w:ascii="Times New Roman" w:hAnsi="Times New Roman"/>
          <w:highlight w:val="yellow"/>
        </w:rPr>
        <w:t>In Vitro Protein</w:t>
      </w:r>
      <w:r>
        <w:rPr>
          <w:rFonts w:ascii="Times New Roman" w:hAnsi="Times New Roman"/>
        </w:rPr>
        <w:t xml:space="preserve"> Digestibility by Sequential Pepsin-Pancreatin</w:t>
      </w:r>
      <w:r w:rsidRPr="00EF132F">
        <w:rPr>
          <w:rFonts w:ascii="Times New Roman" w:hAnsi="Times New Roman"/>
        </w:rPr>
        <w:tab/>
        <w:t>Digestion</w:t>
      </w:r>
      <w:r w:rsidRPr="00EF132F">
        <w:rPr>
          <w:rFonts w:ascii="Times New Roman" w:hAnsi="Times New Roman"/>
          <w:bCs/>
          <w:kern w:val="36"/>
        </w:rPr>
        <w:t xml:space="preserve"> </w:t>
      </w:r>
      <w:r w:rsidRPr="00EF132F">
        <w:rPr>
          <w:rFonts w:ascii="Times New Roman" w:hAnsi="Times New Roman"/>
        </w:rPr>
        <w:t xml:space="preserve">(Song </w:t>
      </w:r>
      <w:r w:rsidRPr="00EF132F">
        <w:rPr>
          <w:rFonts w:ascii="Times New Roman" w:hAnsi="Times New Roman"/>
          <w:i/>
        </w:rPr>
        <w:t>et al.,</w:t>
      </w:r>
      <w:r w:rsidRPr="00EF132F">
        <w:rPr>
          <w:rFonts w:ascii="Times New Roman" w:hAnsi="Times New Roman"/>
        </w:rPr>
        <w:t xml:space="preserve"> 2024)</w:t>
      </w:r>
    </w:p>
    <w:p w14:paraId="7E20E81E" w14:textId="77777777" w:rsidR="0040444D" w:rsidRDefault="00D6001C" w:rsidP="0040444D">
      <w:pPr>
        <w:pStyle w:val="NormalWeb"/>
        <w:spacing w:before="0" w:beforeAutospacing="0" w:after="0" w:afterAutospacing="0" w:line="480" w:lineRule="auto"/>
        <w:jc w:val="both"/>
      </w:pPr>
      <w:r>
        <w:t>In vitro</w:t>
      </w:r>
      <w:r w:rsidR="0040444D">
        <w:t xml:space="preserve"> protein digestibility (IVPD) of </w:t>
      </w:r>
      <w:r w:rsidR="009E4DDC" w:rsidRPr="009E4DDC">
        <w:rPr>
          <w:rStyle w:val="Emphasis"/>
          <w:rFonts w:eastAsiaTheme="majorEastAsia"/>
          <w:highlight w:val="yellow"/>
        </w:rPr>
        <w:t>Eichhornia crassipes</w:t>
      </w:r>
      <w:r w:rsidR="0040444D">
        <w:t xml:space="preserve"> samples was determined using a two-stage sequential enzymatic digestion procedure involving simulated gastric digestion with pepsin followed by simulated intestinal digestion with pancreatin. The procedure was carried out at 37°C to simulate physiological gastrointestinal conditions.  The </w:t>
      </w:r>
      <w:r w:rsidR="0040444D">
        <w:rPr>
          <w:highlight w:val="yellow"/>
        </w:rPr>
        <w:t>in vitro</w:t>
      </w:r>
      <w:r w:rsidR="0040444D">
        <w:t xml:space="preserve"> protein digestibility method is based on the sequential enzymatic hydrolysis of proteins under simulated gastrointestinal conditions. The sample is first subjected to digestion with pepsin under acidic conditions to simulate gastric protein digestion. Following adjustment of the pH to conditions suitable for pancreatic enzymes, the digest is subsequently treated with pancreatin to simulate intestinal digestion. At the completion of the sequential digestion process, the undigested residue is recovered and its residual nitrogen or protein content is determined. The difference between the initial nitrogen or protein content of the sample and the residual nitrogen or protein remaining after digestion is used to estimate the proportion of protein that was </w:t>
      </w:r>
      <w:proofErr w:type="spellStart"/>
      <w:r w:rsidR="0040444D">
        <w:t>hydrolysed</w:t>
      </w:r>
      <w:proofErr w:type="spellEnd"/>
      <w:r w:rsidR="0040444D">
        <w:t xml:space="preserve"> and is expressed as </w:t>
      </w:r>
      <w:r w:rsidR="0040444D">
        <w:rPr>
          <w:highlight w:val="yellow"/>
        </w:rPr>
        <w:t>in vitro</w:t>
      </w:r>
      <w:r w:rsidR="0040444D">
        <w:t xml:space="preserve"> protein digestibility (IVPD).</w:t>
      </w:r>
    </w:p>
    <w:p w14:paraId="4F75C214" w14:textId="77777777" w:rsidR="0040444D" w:rsidRPr="00EF132F" w:rsidRDefault="0040444D" w:rsidP="0040444D">
      <w:pPr>
        <w:pStyle w:val="NormalWeb"/>
        <w:spacing w:before="0" w:beforeAutospacing="0"/>
        <w:jc w:val="both"/>
      </w:pPr>
      <w:r w:rsidRPr="00EF132F">
        <w:t>Stage I: Gastric Digestion with Pepsin</w:t>
      </w:r>
    </w:p>
    <w:p w14:paraId="73A36AC7" w14:textId="77777777" w:rsidR="0040444D" w:rsidRDefault="0040444D" w:rsidP="0040444D">
      <w:pPr>
        <w:pStyle w:val="NormalWeb"/>
        <w:spacing w:before="240" w:beforeAutospacing="0" w:after="0" w:afterAutospacing="0" w:line="480" w:lineRule="auto"/>
        <w:jc w:val="both"/>
      </w:pPr>
      <w:r>
        <w:rPr>
          <w:rStyle w:val="Strong"/>
          <w:rFonts w:eastAsiaTheme="majorEastAsia"/>
          <w:b w:val="0"/>
        </w:rPr>
        <w:t>0.5g</w:t>
      </w:r>
      <w:r>
        <w:rPr>
          <w:rStyle w:val="Strong"/>
          <w:rFonts w:eastAsiaTheme="majorEastAsia"/>
        </w:rPr>
        <w:t xml:space="preserve"> </w:t>
      </w:r>
      <w:r>
        <w:t xml:space="preserve">of each processed water hyacinth sample was accurately weighed into labelled digestion tubes. </w:t>
      </w:r>
      <w:r>
        <w:rPr>
          <w:rStyle w:val="Strong"/>
          <w:rFonts w:eastAsiaTheme="majorEastAsia"/>
          <w:b w:val="0"/>
        </w:rPr>
        <w:t>10m</w:t>
      </w:r>
      <w:r w:rsidR="006B21D6">
        <w:rPr>
          <w:rStyle w:val="Strong"/>
          <w:rFonts w:eastAsiaTheme="majorEastAsia"/>
          <w:b w:val="0"/>
        </w:rPr>
        <w:t>L</w:t>
      </w:r>
      <w:r>
        <w:rPr>
          <w:rStyle w:val="Strong"/>
          <w:rFonts w:eastAsiaTheme="majorEastAsia"/>
          <w:b w:val="0"/>
        </w:rPr>
        <w:t xml:space="preserve"> of 0.1</w:t>
      </w:r>
      <w:r>
        <w:rPr>
          <w:rStyle w:val="Strong"/>
          <w:rFonts w:eastAsiaTheme="majorEastAsia"/>
          <w:b w:val="0"/>
          <w:highlight w:val="yellow"/>
        </w:rPr>
        <w:t xml:space="preserve"> </w:t>
      </w:r>
      <w:r>
        <w:rPr>
          <w:rStyle w:val="Strong"/>
          <w:rFonts w:eastAsiaTheme="majorEastAsia"/>
          <w:b w:val="0"/>
        </w:rPr>
        <w:t>M hydrochloric acid (HCl)</w:t>
      </w:r>
      <w:r>
        <w:t xml:space="preserve"> was added to each tube, and the contents were mixed thoroughly. The pH of the suspension was adjusted to approximately </w:t>
      </w:r>
      <w:r>
        <w:rPr>
          <w:rStyle w:val="Strong"/>
          <w:rFonts w:eastAsiaTheme="majorEastAsia"/>
          <w:b w:val="0"/>
        </w:rPr>
        <w:t>2.0</w:t>
      </w:r>
      <w:r>
        <w:t xml:space="preserve"> using sodium hydroxide solution.</w:t>
      </w:r>
      <w:r>
        <w:rPr>
          <w:b/>
        </w:rPr>
        <w:t xml:space="preserve"> </w:t>
      </w:r>
      <w:r>
        <w:t xml:space="preserve">A freshly prepared pepsin solution was then added to each sample at the required enzyme-to-substrate ratio. The tubes were tightly covered and incubated at </w:t>
      </w:r>
      <w:r>
        <w:rPr>
          <w:rStyle w:val="Strong"/>
          <w:rFonts w:eastAsiaTheme="majorEastAsia"/>
          <w:b w:val="0"/>
        </w:rPr>
        <w:t xml:space="preserve">37°C for </w:t>
      </w:r>
      <w:r>
        <w:rPr>
          <w:rStyle w:val="Strong"/>
          <w:rFonts w:eastAsiaTheme="majorEastAsia"/>
          <w:b w:val="0"/>
          <w:highlight w:val="yellow"/>
        </w:rPr>
        <w:t>2 hours</w:t>
      </w:r>
      <w:r>
        <w:rPr>
          <w:b/>
        </w:rPr>
        <w:t xml:space="preserve"> </w:t>
      </w:r>
      <w:r>
        <w:t xml:space="preserve">in a water bath with gentle agitation to ensure adequate contact between the enzyme and the sample. At the end of the incubation period, the samples were removed and immediately prepared </w:t>
      </w:r>
      <w:r>
        <w:lastRenderedPageBreak/>
        <w:t xml:space="preserve">for the intestinal digestion stage. </w:t>
      </w:r>
      <w:r>
        <w:rPr>
          <w:highlight w:val="yellow"/>
        </w:rPr>
        <w:t>P</w:t>
      </w:r>
      <w:r>
        <w:t>epsin activity w</w:t>
      </w:r>
      <w:r>
        <w:rPr>
          <w:highlight w:val="yellow"/>
        </w:rPr>
        <w:t>as</w:t>
      </w:r>
      <w:r>
        <w:t xml:space="preserve"> subsequently stopped by raising the pH using sodium hydroxide as a </w:t>
      </w:r>
      <w:proofErr w:type="spellStart"/>
      <w:r>
        <w:rPr>
          <w:highlight w:val="yellow"/>
        </w:rPr>
        <w:t>neutralising</w:t>
      </w:r>
      <w:proofErr w:type="spellEnd"/>
      <w:r>
        <w:t xml:space="preserve"> solution.</w:t>
      </w:r>
    </w:p>
    <w:p w14:paraId="5F445B9D" w14:textId="77777777" w:rsidR="0040444D" w:rsidRPr="002B75CF" w:rsidRDefault="0040444D" w:rsidP="0040444D">
      <w:pPr>
        <w:pStyle w:val="NormalWeb"/>
        <w:spacing w:before="0" w:beforeAutospacing="0" w:after="0" w:afterAutospacing="0"/>
        <w:jc w:val="both"/>
      </w:pPr>
      <w:r w:rsidRPr="002B75CF">
        <w:t>Stage II: Intestinal Digestion with Pancreatin</w:t>
      </w:r>
    </w:p>
    <w:p w14:paraId="5C7B71AC" w14:textId="77777777" w:rsidR="0040444D" w:rsidRDefault="0040444D" w:rsidP="0040444D">
      <w:pPr>
        <w:pStyle w:val="isselectedend"/>
        <w:spacing w:before="240" w:beforeAutospacing="0" w:after="240" w:afterAutospacing="0" w:line="480" w:lineRule="auto"/>
        <w:jc w:val="both"/>
      </w:pPr>
      <w:r>
        <w:t xml:space="preserve">Following the gastric digestion, the acidic digest was gradually </w:t>
      </w:r>
      <w:proofErr w:type="spellStart"/>
      <w:r w:rsidR="006B21D6">
        <w:rPr>
          <w:highlight w:val="yellow"/>
        </w:rPr>
        <w:t>neutralised</w:t>
      </w:r>
      <w:proofErr w:type="spellEnd"/>
      <w:r>
        <w:t xml:space="preserve"> using </w:t>
      </w:r>
      <w:r>
        <w:rPr>
          <w:rStyle w:val="Strong"/>
          <w:rFonts w:eastAsiaTheme="majorEastAsia"/>
          <w:b w:val="0"/>
        </w:rPr>
        <w:t>sodium hydroxide (NaOH) solution</w:t>
      </w:r>
      <w:r>
        <w:t xml:space="preserve"> until a pH of approximately </w:t>
      </w:r>
      <w:r>
        <w:rPr>
          <w:rStyle w:val="Strong"/>
          <w:rFonts w:eastAsiaTheme="majorEastAsia"/>
          <w:b w:val="0"/>
        </w:rPr>
        <w:t>7.0-7.5</w:t>
      </w:r>
      <w:r>
        <w:t xml:space="preserve"> was attained. This </w:t>
      </w:r>
      <w:proofErr w:type="spellStart"/>
      <w:r w:rsidR="006B21D6">
        <w:rPr>
          <w:highlight w:val="yellow"/>
        </w:rPr>
        <w:t>neutralisation</w:t>
      </w:r>
      <w:proofErr w:type="spellEnd"/>
      <w:r>
        <w:t xml:space="preserve"> step was necessary to provide a suitable pH for pancreatin activity. Pancreatin solution was subsequently added to each </w:t>
      </w:r>
      <w:proofErr w:type="spellStart"/>
      <w:r w:rsidR="006B21D6">
        <w:rPr>
          <w:highlight w:val="yellow"/>
        </w:rPr>
        <w:t>neutralised</w:t>
      </w:r>
      <w:proofErr w:type="spellEnd"/>
      <w:r>
        <w:t xml:space="preserve"> digest at the required enzyme-to-substrate ratio. The mixtures were incubated at </w:t>
      </w:r>
      <w:r>
        <w:rPr>
          <w:rStyle w:val="Strong"/>
          <w:rFonts w:eastAsiaTheme="majorEastAsia"/>
          <w:b w:val="0"/>
        </w:rPr>
        <w:t xml:space="preserve">37°C for </w:t>
      </w:r>
      <w:r>
        <w:rPr>
          <w:rStyle w:val="Strong"/>
          <w:rFonts w:eastAsiaTheme="majorEastAsia"/>
          <w:b w:val="0"/>
          <w:highlight w:val="yellow"/>
        </w:rPr>
        <w:t>4 hours</w:t>
      </w:r>
      <w:r>
        <w:t xml:space="preserve"> in a water bath with continuous gentle agitation to simulate intestinal digestion. After the digestion period, enzymatic activity was terminated by heating the digest at </w:t>
      </w:r>
      <w:r>
        <w:rPr>
          <w:rStyle w:val="Strong"/>
          <w:rFonts w:eastAsiaTheme="majorEastAsia"/>
          <w:b w:val="0"/>
        </w:rPr>
        <w:t xml:space="preserve">95°C for </w:t>
      </w:r>
      <w:r>
        <w:rPr>
          <w:rStyle w:val="Strong"/>
          <w:rFonts w:eastAsiaTheme="majorEastAsia"/>
          <w:b w:val="0"/>
          <w:highlight w:val="yellow"/>
        </w:rPr>
        <w:t>10 min</w:t>
      </w:r>
      <w:r>
        <w:rPr>
          <w:b/>
        </w:rPr>
        <w:t>.</w:t>
      </w:r>
      <w:r>
        <w:t xml:space="preserve"> The digested samples were allowed to cool and were centrifuged at an appropriate speed to separate the soluble digested fraction from the undigested residue. The resulting residue was recovered and washed to remove soluble digestion products. The washed residue was subsequently dried to constant weight and </w:t>
      </w:r>
      <w:proofErr w:type="spellStart"/>
      <w:r w:rsidR="006B21D6">
        <w:rPr>
          <w:highlight w:val="yellow"/>
        </w:rPr>
        <w:t>analysed</w:t>
      </w:r>
      <w:proofErr w:type="spellEnd"/>
      <w:r>
        <w:t xml:space="preserve"> for its residual nitrogen content using the same nitrogen determination procedure employed for the samples before digestion.</w:t>
      </w:r>
    </w:p>
    <w:p w14:paraId="06C4B2F2" w14:textId="77777777" w:rsidR="0040444D" w:rsidRDefault="0040444D" w:rsidP="0040444D">
      <w:pPr>
        <w:pStyle w:val="isselectedend"/>
        <w:spacing w:before="240" w:beforeAutospacing="0" w:after="240" w:afterAutospacing="0" w:line="480" w:lineRule="auto"/>
        <w:jc w:val="both"/>
      </w:pPr>
      <w:r>
        <w:rPr>
          <w:bCs/>
        </w:rPr>
        <w:t>Enzyme Blank</w:t>
      </w:r>
      <w:r>
        <w:rPr>
          <w:b/>
          <w:bCs/>
        </w:rPr>
        <w:t xml:space="preserve">: </w:t>
      </w:r>
      <w:r>
        <w:t xml:space="preserve">An enzyme blank containing the digestive enzymes </w:t>
      </w:r>
      <w:r>
        <w:rPr>
          <w:highlight w:val="yellow"/>
        </w:rPr>
        <w:t>without a water-hyacinth sample was included to correct</w:t>
      </w:r>
      <w:r>
        <w:t xml:space="preserve"> for nitrogen or protein contributed by the enzyme preparation.</w:t>
      </w:r>
    </w:p>
    <w:p w14:paraId="4311B120" w14:textId="77777777" w:rsidR="0040444D" w:rsidRDefault="0040444D" w:rsidP="0040444D">
      <w:pPr>
        <w:spacing w:before="100" w:beforeAutospacing="1" w:after="100" w:afterAutospacing="1" w:line="480" w:lineRule="auto"/>
        <w:outlineLvl w:val="1"/>
        <w:rPr>
          <w:rFonts w:ascii="Times New Roman" w:hAnsi="Times New Roman"/>
          <w:b/>
          <w:bCs/>
        </w:rPr>
      </w:pPr>
      <w:r>
        <w:rPr>
          <w:rFonts w:ascii="Times New Roman" w:hAnsi="Times New Roman"/>
          <w:bCs/>
        </w:rPr>
        <w:t>Calculation</w:t>
      </w:r>
      <w:r>
        <w:rPr>
          <w:rFonts w:ascii="Times New Roman" w:hAnsi="Times New Roman"/>
          <w:b/>
          <w:bCs/>
        </w:rPr>
        <w:t xml:space="preserve">: </w:t>
      </w:r>
      <w:r>
        <w:rPr>
          <w:rFonts w:ascii="Times New Roman" w:hAnsi="Times New Roman"/>
        </w:rPr>
        <w:t>The general expression is</w:t>
      </w:r>
    </w:p>
    <w:p w14:paraId="18C4EFD8" w14:textId="77777777" w:rsidR="0040444D" w:rsidRPr="002B75CF" w:rsidRDefault="0040444D" w:rsidP="0040444D">
      <w:pPr>
        <w:spacing w:line="480" w:lineRule="auto"/>
        <w:ind w:firstLine="720"/>
        <w:jc w:val="center"/>
        <w:rPr>
          <w:rFonts w:ascii="Times New Roman" w:eastAsiaTheme="minorEastAsia" w:hAnsi="Times New Roman"/>
        </w:rPr>
      </w:pPr>
      <w:r w:rsidRPr="002B75CF">
        <w:rPr>
          <w:rFonts w:ascii="Times New Roman" w:hAnsi="Times New Roman"/>
        </w:rPr>
        <w:t xml:space="preserve">PD (%) =  </w:t>
      </w:r>
      <m:oMath>
        <m:f>
          <m:fPr>
            <m:ctrlPr>
              <w:rPr>
                <w:rFonts w:ascii="Cambria Math" w:hAnsi="Cambria Math"/>
                <w:kern w:val="2"/>
                <w:sz w:val="24"/>
                <w:szCs w:val="24"/>
                <w14:ligatures w14:val="standardContextual"/>
              </w:rPr>
            </m:ctrlPr>
          </m:fPr>
          <m:num>
            <m:r>
              <w:rPr>
                <w:rFonts w:ascii="Cambria Math" w:hAnsi="Cambria Math"/>
              </w:rPr>
              <m:t xml:space="preserve">Pi </m:t>
            </m:r>
            <m:r>
              <m:rPr>
                <m:sty m:val="p"/>
              </m:rPr>
              <w:rPr>
                <w:rFonts w:ascii="Cambria Math" w:hAnsi="Cambria Math"/>
              </w:rPr>
              <m:t xml:space="preserve">​- </m:t>
            </m:r>
            <m:r>
              <w:rPr>
                <w:rFonts w:ascii="Cambria Math" w:hAnsi="Cambria Math"/>
              </w:rPr>
              <m:t>Pr</m:t>
            </m:r>
            <m:r>
              <m:rPr>
                <m:sty m:val="p"/>
              </m:rPr>
              <w:rPr>
                <w:rFonts w:ascii="Cambria Math" w:hAnsi="Cambria Math"/>
              </w:rPr>
              <m:t xml:space="preserve">​ </m:t>
            </m:r>
          </m:num>
          <m:den>
            <m:r>
              <w:rPr>
                <w:rFonts w:ascii="Cambria Math" w:hAnsi="Cambria Math"/>
              </w:rPr>
              <m:t>Pi</m:t>
            </m:r>
          </m:den>
        </m:f>
        <m:r>
          <w:rPr>
            <w:rFonts w:ascii="Cambria Math" w:hAnsi="Cambria Math"/>
          </w:rPr>
          <m:t xml:space="preserve"> </m:t>
        </m:r>
        <m:r>
          <m:rPr>
            <m:sty m:val="p"/>
          </m:rPr>
          <w:rPr>
            <w:rFonts w:ascii="Cambria Math" w:hAnsi="Cambria Math"/>
          </w:rPr>
          <m:t>X 10</m:t>
        </m:r>
        <m:r>
          <w:rPr>
            <w:rFonts w:ascii="Cambria Math" w:hAnsi="Cambria Math"/>
          </w:rPr>
          <m:t>0</m:t>
        </m:r>
      </m:oMath>
    </w:p>
    <w:p w14:paraId="5631F56D" w14:textId="77777777" w:rsidR="0040444D" w:rsidRDefault="006B21D6" w:rsidP="0040444D">
      <w:pPr>
        <w:spacing w:before="100" w:beforeAutospacing="1" w:after="100" w:afterAutospacing="1" w:line="480" w:lineRule="auto"/>
        <w:rPr>
          <w:rFonts w:ascii="Times New Roman" w:hAnsi="Times New Roman"/>
        </w:rPr>
      </w:pPr>
      <w:r>
        <w:rPr>
          <w:rFonts w:ascii="Times New Roman" w:hAnsi="Times New Roman"/>
          <w:highlight w:val="yellow"/>
        </w:rPr>
        <w:t>W</w:t>
      </w:r>
      <w:r w:rsidR="0040444D">
        <w:rPr>
          <w:rFonts w:ascii="Times New Roman" w:hAnsi="Times New Roman"/>
        </w:rPr>
        <w:t xml:space="preserve">here PD = protein digestibility, Pi​ = initial sample protein, </w:t>
      </w:r>
      <w:proofErr w:type="spellStart"/>
      <w:r w:rsidR="0040444D">
        <w:rPr>
          <w:rFonts w:ascii="Times New Roman" w:hAnsi="Times New Roman"/>
        </w:rPr>
        <w:t>Pr</w:t>
      </w:r>
      <w:proofErr w:type="spellEnd"/>
      <w:r w:rsidR="0040444D">
        <w:rPr>
          <w:rFonts w:ascii="Times New Roman" w:hAnsi="Times New Roman"/>
        </w:rPr>
        <w:t>​ = corrected residual protein after digestion. The residual protein was corrected using blank values.</w:t>
      </w:r>
    </w:p>
    <w:p w14:paraId="55A14D22" w14:textId="77777777" w:rsidR="0040444D" w:rsidRDefault="0040444D" w:rsidP="0040444D">
      <w:pPr>
        <w:spacing w:before="100" w:beforeAutospacing="1" w:after="100" w:afterAutospacing="1" w:line="480" w:lineRule="auto"/>
        <w:outlineLvl w:val="1"/>
        <w:rPr>
          <w:rFonts w:ascii="Times New Roman" w:hAnsi="Times New Roman"/>
        </w:rPr>
      </w:pPr>
      <w:r w:rsidRPr="002B75CF">
        <w:rPr>
          <w:rFonts w:ascii="Times New Roman" w:hAnsi="Times New Roman"/>
          <w:bCs/>
        </w:rPr>
        <w:t>Gastric Digestibility</w:t>
      </w:r>
      <w:r>
        <w:rPr>
          <w:rFonts w:ascii="Times New Roman" w:hAnsi="Times New Roman"/>
          <w:b/>
          <w:bCs/>
        </w:rPr>
        <w:t xml:space="preserve">: </w:t>
      </w:r>
      <w:r>
        <w:rPr>
          <w:rFonts w:ascii="Times New Roman" w:hAnsi="Times New Roman"/>
        </w:rPr>
        <w:t>Gastric digestibility was calculated after the pepsin phase.</w:t>
      </w:r>
    </w:p>
    <w:p w14:paraId="2818F8D4" w14:textId="77777777" w:rsidR="0040444D" w:rsidRPr="00D825A9" w:rsidRDefault="0040444D" w:rsidP="0040444D">
      <w:pPr>
        <w:spacing w:line="480" w:lineRule="auto"/>
        <w:ind w:firstLine="720"/>
        <w:jc w:val="center"/>
        <w:rPr>
          <w:rFonts w:ascii="Times New Roman" w:eastAsiaTheme="minorEastAsia" w:hAnsi="Times New Roman"/>
          <w:lang w:val="nl-BE"/>
        </w:rPr>
      </w:pPr>
      <w:r w:rsidRPr="00D825A9">
        <w:rPr>
          <w:rFonts w:ascii="Times New Roman" w:hAnsi="Times New Roman"/>
          <w:lang w:val="nl-BE"/>
        </w:rPr>
        <w:t xml:space="preserve">GD (%) =  </w:t>
      </w:r>
      <m:oMath>
        <m:f>
          <m:fPr>
            <m:ctrlPr>
              <w:rPr>
                <w:rFonts w:ascii="Cambria Math" w:hAnsi="Cambria Math"/>
                <w:kern w:val="2"/>
                <w:sz w:val="24"/>
                <w:szCs w:val="24"/>
                <w14:ligatures w14:val="standardContextual"/>
              </w:rPr>
            </m:ctrlPr>
          </m:fPr>
          <m:num>
            <m:r>
              <w:rPr>
                <w:rFonts w:ascii="Cambria Math" w:hAnsi="Cambria Math"/>
              </w:rPr>
              <m:t>Pi</m:t>
            </m:r>
            <m:r>
              <w:rPr>
                <w:rFonts w:ascii="Cambria Math" w:hAnsi="Cambria Math"/>
                <w:lang w:val="nl-BE"/>
              </w:rPr>
              <m:t xml:space="preserve"> </m:t>
            </m:r>
            <m:r>
              <m:rPr>
                <m:sty m:val="p"/>
              </m:rPr>
              <w:rPr>
                <w:rFonts w:ascii="Cambria Math" w:hAnsi="Cambria Math"/>
                <w:lang w:val="nl-BE"/>
              </w:rPr>
              <m:t xml:space="preserve">​- Ppepsin​ </m:t>
            </m:r>
          </m:num>
          <m:den>
            <m:r>
              <w:rPr>
                <w:rFonts w:ascii="Cambria Math" w:hAnsi="Cambria Math"/>
              </w:rPr>
              <m:t>Pi</m:t>
            </m:r>
          </m:den>
        </m:f>
        <m:r>
          <w:rPr>
            <w:rFonts w:ascii="Cambria Math" w:hAnsi="Cambria Math"/>
            <w:lang w:val="nl-BE"/>
          </w:rPr>
          <m:t xml:space="preserve"> </m:t>
        </m:r>
        <m:r>
          <m:rPr>
            <m:sty m:val="p"/>
          </m:rPr>
          <w:rPr>
            <w:rFonts w:ascii="Cambria Math" w:hAnsi="Cambria Math"/>
            <w:lang w:val="nl-BE"/>
          </w:rPr>
          <m:t>X 10</m:t>
        </m:r>
        <m:r>
          <w:rPr>
            <w:rFonts w:ascii="Cambria Math" w:hAnsi="Cambria Math"/>
            <w:lang w:val="nl-BE"/>
          </w:rPr>
          <m:t>0</m:t>
        </m:r>
      </m:oMath>
    </w:p>
    <w:p w14:paraId="610EB0EF" w14:textId="77777777" w:rsidR="0040444D" w:rsidRPr="002B75CF" w:rsidRDefault="0040444D" w:rsidP="0040444D">
      <w:pPr>
        <w:pStyle w:val="NormalWeb"/>
        <w:spacing w:line="480" w:lineRule="auto"/>
        <w:jc w:val="both"/>
      </w:pPr>
      <w:r>
        <w:rPr>
          <w:highlight w:val="yellow"/>
        </w:rPr>
        <w:t>The percentage in vitro protein digestibility was calculated as:</w:t>
      </w:r>
    </w:p>
    <w:p w14:paraId="0BA6AB73" w14:textId="77777777" w:rsidR="002B75CF" w:rsidRPr="00D825A9" w:rsidRDefault="0040444D" w:rsidP="002B75CF">
      <w:pPr>
        <w:spacing w:line="480" w:lineRule="auto"/>
        <w:ind w:firstLine="720"/>
        <w:jc w:val="center"/>
        <w:rPr>
          <w:rFonts w:ascii="Times New Roman" w:hAnsi="Times New Roman"/>
          <w:lang w:val="nl-BE"/>
        </w:rPr>
      </w:pPr>
      <w:r w:rsidRPr="00D825A9">
        <w:rPr>
          <w:rFonts w:ascii="Times New Roman" w:hAnsi="Times New Roman"/>
          <w:lang w:val="nl-BE"/>
        </w:rPr>
        <w:lastRenderedPageBreak/>
        <w:t>(%)</w:t>
      </w:r>
      <w:r w:rsidRPr="00D825A9">
        <w:rPr>
          <w:rStyle w:val="mord"/>
          <w:rFonts w:ascii="Times New Roman" w:hAnsi="Times New Roman"/>
          <w:lang w:val="nl-BE"/>
        </w:rPr>
        <w:t xml:space="preserve"> IVPD</w:t>
      </w:r>
      <m:oMath>
        <m:r>
          <w:rPr>
            <w:rStyle w:val="mord"/>
            <w:rFonts w:ascii="Cambria Math" w:hAnsi="Cambria Math"/>
            <w:lang w:val="nl-BE"/>
          </w:rPr>
          <m:t xml:space="preserve"> </m:t>
        </m:r>
        <m:r>
          <m:rPr>
            <m:sty m:val="p"/>
          </m:rPr>
          <w:rPr>
            <w:rFonts w:ascii="Cambria Math" w:hAnsi="Cambria Math"/>
            <w:lang w:val="nl-BE"/>
          </w:rPr>
          <m:t>=</m:t>
        </m:r>
        <m:r>
          <w:rPr>
            <w:rFonts w:ascii="Cambria Math" w:hAnsi="Cambria Math"/>
            <w:lang w:val="nl-BE"/>
          </w:rPr>
          <m:t xml:space="preserve">  </m:t>
        </m:r>
        <m:f>
          <m:fPr>
            <m:ctrlPr>
              <w:rPr>
                <w:rFonts w:ascii="Cambria Math" w:hAnsi="Cambria Math"/>
                <w:kern w:val="2"/>
                <w:sz w:val="24"/>
                <w:szCs w:val="24"/>
                <w14:ligatures w14:val="standardContextual"/>
              </w:rPr>
            </m:ctrlPr>
          </m:fPr>
          <m:num>
            <m:r>
              <m:rPr>
                <m:sty m:val="p"/>
              </m:rPr>
              <w:rPr>
                <w:rStyle w:val="mord"/>
                <w:rFonts w:ascii="Cambria Math" w:hAnsi="Cambria Math"/>
                <w:lang w:val="nl-BE"/>
              </w:rPr>
              <m:t>Protein in sample</m:t>
            </m:r>
            <m:r>
              <w:rPr>
                <w:rStyle w:val="mbin"/>
                <w:rFonts w:ascii="Cambria Math" w:hAnsi="Cambria Math"/>
                <w:lang w:val="nl-BE"/>
              </w:rPr>
              <m:t>-</m:t>
            </m:r>
            <m:r>
              <m:rPr>
                <m:sty m:val="p"/>
              </m:rPr>
              <w:rPr>
                <w:rStyle w:val="mord"/>
                <w:rFonts w:ascii="Cambria Math" w:hAnsi="Cambria Math"/>
                <w:lang w:val="nl-BE"/>
              </w:rPr>
              <m:t>Undigested residual protein</m:t>
            </m:r>
          </m:num>
          <m:den>
            <m:r>
              <m:rPr>
                <m:sty m:val="p"/>
              </m:rPr>
              <w:rPr>
                <w:rFonts w:ascii="Cambria Math" w:hAnsi="Cambria Math"/>
                <w:lang w:val="nl-BE"/>
              </w:rPr>
              <m:t>Protein in sample</m:t>
            </m:r>
          </m:den>
        </m:f>
        <m:r>
          <w:rPr>
            <w:rFonts w:ascii="Cambria Math" w:hAnsi="Cambria Math"/>
            <w:lang w:val="nl-BE"/>
          </w:rPr>
          <m:t xml:space="preserve"> </m:t>
        </m:r>
        <m:r>
          <m:rPr>
            <m:sty m:val="p"/>
          </m:rPr>
          <w:rPr>
            <w:rFonts w:ascii="Cambria Math" w:hAnsi="Cambria Math"/>
            <w:lang w:val="nl-BE"/>
          </w:rPr>
          <m:t>X 10</m:t>
        </m:r>
        <m:r>
          <w:rPr>
            <w:rFonts w:ascii="Cambria Math" w:hAnsi="Cambria Math"/>
            <w:lang w:val="nl-BE"/>
          </w:rPr>
          <m:t>0</m:t>
        </m:r>
      </m:oMath>
    </w:p>
    <w:p w14:paraId="140C2077" w14:textId="77777777" w:rsidR="0040444D" w:rsidRPr="002B75CF" w:rsidRDefault="0040444D" w:rsidP="002B75CF">
      <w:pPr>
        <w:spacing w:line="480" w:lineRule="auto"/>
        <w:ind w:firstLine="720"/>
        <w:rPr>
          <w:rFonts w:ascii="Times New Roman" w:hAnsi="Times New Roman"/>
        </w:rPr>
      </w:pPr>
      <w:r w:rsidRPr="002B75CF">
        <w:rPr>
          <w:rFonts w:ascii="Times New Roman" w:hAnsi="Times New Roman"/>
          <w:bCs/>
        </w:rPr>
        <w:t>Statistical Analysis</w:t>
      </w:r>
    </w:p>
    <w:p w14:paraId="304625DC" w14:textId="77777777" w:rsidR="0040444D" w:rsidRDefault="0040444D" w:rsidP="0040444D">
      <w:pPr>
        <w:spacing w:line="480" w:lineRule="auto"/>
        <w:jc w:val="both"/>
        <w:rPr>
          <w:rFonts w:ascii="Times New Roman" w:hAnsi="Times New Roman"/>
        </w:rPr>
      </w:pPr>
      <w:r>
        <w:rPr>
          <w:rFonts w:ascii="Times New Roman" w:hAnsi="Times New Roman"/>
          <w:highlight w:val="yellow"/>
        </w:rPr>
        <w:t>The data obtained from all analyses were expressed</w:t>
      </w:r>
      <w:r>
        <w:rPr>
          <w:rFonts w:ascii="Times New Roman" w:hAnsi="Times New Roman"/>
        </w:rPr>
        <w:t xml:space="preserve"> as mean ± standard deviation. Statistical analysis was performed </w:t>
      </w:r>
      <w:r>
        <w:rPr>
          <w:rFonts w:ascii="Times New Roman" w:hAnsi="Times New Roman"/>
          <w:highlight w:val="yellow"/>
        </w:rPr>
        <w:t>using one-way analysis of variance</w:t>
      </w:r>
      <w:r>
        <w:rPr>
          <w:rFonts w:ascii="Times New Roman" w:hAnsi="Times New Roman"/>
        </w:rPr>
        <w:t xml:space="preserve"> (ANOVA) to determine significant differences among </w:t>
      </w:r>
      <w:r>
        <w:rPr>
          <w:rFonts w:ascii="Times New Roman" w:hAnsi="Times New Roman"/>
          <w:highlight w:val="yellow"/>
        </w:rPr>
        <w:t>t</w:t>
      </w:r>
      <w:r>
        <w:rPr>
          <w:rFonts w:ascii="Times New Roman" w:hAnsi="Times New Roman"/>
        </w:rPr>
        <w:t>re</w:t>
      </w:r>
      <w:r>
        <w:rPr>
          <w:rFonts w:ascii="Times New Roman" w:hAnsi="Times New Roman"/>
          <w:highlight w:val="yellow"/>
        </w:rPr>
        <w:t>atm</w:t>
      </w:r>
      <w:r>
        <w:rPr>
          <w:rFonts w:ascii="Times New Roman" w:hAnsi="Times New Roman"/>
        </w:rPr>
        <w:t>e</w:t>
      </w:r>
      <w:r>
        <w:rPr>
          <w:rFonts w:ascii="Times New Roman" w:hAnsi="Times New Roman"/>
          <w:highlight w:val="yellow"/>
        </w:rPr>
        <w:t>nt</w:t>
      </w:r>
      <w:r>
        <w:rPr>
          <w:rFonts w:ascii="Times New Roman" w:hAnsi="Times New Roman"/>
        </w:rPr>
        <w:t xml:space="preserve"> means. Where significant differences were observed, means were separated using </w:t>
      </w:r>
      <w:r>
        <w:rPr>
          <w:rFonts w:ascii="Times New Roman" w:hAnsi="Times New Roman"/>
          <w:highlight w:val="yellow"/>
        </w:rPr>
        <w:t>Tukey’s HSD post hoc test</w:t>
      </w:r>
      <w:r>
        <w:rPr>
          <w:rFonts w:ascii="Times New Roman" w:hAnsi="Times New Roman"/>
        </w:rPr>
        <w:t xml:space="preserve"> at </w:t>
      </w:r>
      <w:r>
        <w:rPr>
          <w:rFonts w:ascii="Times New Roman" w:hAnsi="Times New Roman"/>
          <w:i/>
        </w:rPr>
        <w:t>p &lt;</w:t>
      </w:r>
      <w:r>
        <w:rPr>
          <w:rFonts w:ascii="Times New Roman" w:hAnsi="Times New Roman"/>
        </w:rPr>
        <w:t xml:space="preserve"> </w:t>
      </w:r>
      <w:r>
        <w:rPr>
          <w:rFonts w:ascii="Times New Roman" w:hAnsi="Times New Roman"/>
          <w:i/>
        </w:rPr>
        <w:t>0.05</w:t>
      </w:r>
      <w:r>
        <w:rPr>
          <w:rFonts w:ascii="Times New Roman" w:hAnsi="Times New Roman"/>
        </w:rPr>
        <w:t xml:space="preserve">. </w:t>
      </w:r>
    </w:p>
    <w:p w14:paraId="0E273E58" w14:textId="77777777" w:rsidR="00902823" w:rsidRDefault="00000F8F" w:rsidP="00441B6F">
      <w:pPr>
        <w:pStyle w:val="Head1"/>
        <w:spacing w:after="0"/>
        <w:jc w:val="both"/>
        <w:rPr>
          <w:rFonts w:ascii="Arial" w:hAnsi="Arial" w:cs="Arial"/>
        </w:rPr>
      </w:pPr>
      <w:r>
        <w:rPr>
          <w:rFonts w:ascii="Arial" w:hAnsi="Arial" w:cs="Arial"/>
        </w:rPr>
        <w:t>results and discussion</w:t>
      </w:r>
    </w:p>
    <w:p w14:paraId="128F6C25" w14:textId="77777777" w:rsidR="00C50FD8" w:rsidRPr="006578BB" w:rsidRDefault="00C50FD8" w:rsidP="00C50FD8">
      <w:pPr>
        <w:jc w:val="both"/>
        <w:rPr>
          <w:rFonts w:ascii="Times New Roman" w:hAnsi="Times New Roman"/>
        </w:rPr>
      </w:pPr>
      <w:r w:rsidRPr="006578BB">
        <w:rPr>
          <w:rFonts w:ascii="Times New Roman" w:hAnsi="Times New Roman"/>
        </w:rPr>
        <w:t xml:space="preserve">Effect of processing on </w:t>
      </w:r>
      <w:r w:rsidRPr="006578BB">
        <w:rPr>
          <w:rFonts w:ascii="Times New Roman" w:hAnsi="Times New Roman"/>
          <w:highlight w:val="yellow"/>
        </w:rPr>
        <w:t>Nitrogen and Protein Content</w:t>
      </w:r>
      <w:r w:rsidRPr="006578BB">
        <w:rPr>
          <w:rFonts w:ascii="Times New Roman" w:hAnsi="Times New Roman"/>
        </w:rPr>
        <w:t xml:space="preserve"> in water hyacinth </w:t>
      </w:r>
      <w:r w:rsidRPr="006578BB">
        <w:rPr>
          <w:rFonts w:ascii="Times New Roman" w:hAnsi="Times New Roman"/>
        </w:rPr>
        <w:tab/>
        <w:t>(</w:t>
      </w:r>
      <w:r w:rsidR="009E4DDC" w:rsidRPr="009E4DDC">
        <w:rPr>
          <w:rFonts w:ascii="Times New Roman" w:hAnsi="Times New Roman"/>
          <w:i/>
        </w:rPr>
        <w:t>Eichhornia crassipes</w:t>
      </w:r>
      <w:r w:rsidRPr="006578BB">
        <w:rPr>
          <w:rFonts w:ascii="Times New Roman" w:hAnsi="Times New Roman"/>
        </w:rPr>
        <w:t>)</w:t>
      </w:r>
    </w:p>
    <w:p w14:paraId="2334876F" w14:textId="77777777" w:rsidR="00C50FD8" w:rsidRDefault="00C50FD8" w:rsidP="006578BB">
      <w:pPr>
        <w:spacing w:line="480" w:lineRule="auto"/>
        <w:jc w:val="both"/>
        <w:rPr>
          <w:rFonts w:ascii="Times New Roman" w:hAnsi="Times New Roman"/>
          <w:b/>
        </w:rPr>
      </w:pPr>
      <w:r>
        <w:rPr>
          <w:rFonts w:ascii="Times New Roman" w:hAnsi="Times New Roman"/>
        </w:rPr>
        <w:t xml:space="preserve">The nitrogen and protein contents of </w:t>
      </w:r>
      <w:r w:rsidR="009E4DDC" w:rsidRPr="009E4DDC">
        <w:rPr>
          <w:rStyle w:val="Emphasis"/>
          <w:rFonts w:ascii="Times New Roman" w:hAnsi="Times New Roman"/>
          <w:highlight w:val="yellow"/>
        </w:rPr>
        <w:t>Eichhornia crassipes</w:t>
      </w:r>
      <w:r>
        <w:rPr>
          <w:rFonts w:ascii="Times New Roman" w:hAnsi="Times New Roman"/>
        </w:rPr>
        <w:t xml:space="preserve"> varied considerably across the different processing methods. The control sample recorded the highest protein and nitrogen contents </w:t>
      </w:r>
      <w:r>
        <w:rPr>
          <w:rFonts w:ascii="Times New Roman" w:hAnsi="Times New Roman"/>
          <w:b/>
        </w:rPr>
        <w:t>(</w:t>
      </w:r>
      <w:r>
        <w:rPr>
          <w:rStyle w:val="Strong"/>
          <w:rFonts w:ascii="Times New Roman" w:hAnsi="Times New Roman"/>
          <w:b w:val="0"/>
        </w:rPr>
        <w:t>48.47 ± 0.47%</w:t>
      </w:r>
      <w:r>
        <w:rPr>
          <w:rFonts w:ascii="Times New Roman" w:hAnsi="Times New Roman"/>
          <w:b/>
        </w:rPr>
        <w:t xml:space="preserve"> </w:t>
      </w:r>
      <w:r>
        <w:rPr>
          <w:rFonts w:ascii="Times New Roman" w:hAnsi="Times New Roman"/>
        </w:rPr>
        <w:t>and</w:t>
      </w:r>
      <w:r>
        <w:rPr>
          <w:rFonts w:ascii="Times New Roman" w:hAnsi="Times New Roman"/>
          <w:b/>
        </w:rPr>
        <w:t xml:space="preserve"> </w:t>
      </w:r>
      <w:r>
        <w:rPr>
          <w:rStyle w:val="Strong"/>
          <w:rFonts w:ascii="Times New Roman" w:hAnsi="Times New Roman"/>
          <w:b w:val="0"/>
        </w:rPr>
        <w:t>7.76 ± 0.08%</w:t>
      </w:r>
      <w:r>
        <w:rPr>
          <w:rFonts w:ascii="Times New Roman" w:hAnsi="Times New Roman"/>
          <w:b/>
        </w:rPr>
        <w:t>,</w:t>
      </w:r>
      <w:r>
        <w:rPr>
          <w:rFonts w:ascii="Times New Roman" w:hAnsi="Times New Roman"/>
        </w:rPr>
        <w:t xml:space="preserve"> respectively), followed by the oven-dried sample </w:t>
      </w:r>
      <w:r>
        <w:rPr>
          <w:rFonts w:ascii="Times New Roman" w:hAnsi="Times New Roman"/>
          <w:b/>
        </w:rPr>
        <w:t>(</w:t>
      </w:r>
      <w:r>
        <w:rPr>
          <w:rStyle w:val="Strong"/>
          <w:rFonts w:ascii="Times New Roman" w:hAnsi="Times New Roman"/>
          <w:b w:val="0"/>
        </w:rPr>
        <w:t>46.93 ± 0.58%</w:t>
      </w:r>
      <w:r>
        <w:rPr>
          <w:rFonts w:ascii="Times New Roman" w:hAnsi="Times New Roman"/>
        </w:rPr>
        <w:t xml:space="preserve"> and </w:t>
      </w:r>
      <w:r>
        <w:rPr>
          <w:rStyle w:val="Strong"/>
          <w:rFonts w:ascii="Times New Roman" w:hAnsi="Times New Roman"/>
        </w:rPr>
        <w:t>7</w:t>
      </w:r>
      <w:r>
        <w:rPr>
          <w:rStyle w:val="Strong"/>
          <w:rFonts w:ascii="Times New Roman" w:hAnsi="Times New Roman"/>
          <w:b w:val="0"/>
        </w:rPr>
        <w:t>.51</w:t>
      </w:r>
      <w:r>
        <w:rPr>
          <w:rStyle w:val="Strong"/>
          <w:rFonts w:ascii="Times New Roman" w:hAnsi="Times New Roman"/>
        </w:rPr>
        <w:t xml:space="preserve"> ± </w:t>
      </w:r>
      <w:r>
        <w:rPr>
          <w:rStyle w:val="Strong"/>
          <w:rFonts w:ascii="Times New Roman" w:hAnsi="Times New Roman"/>
          <w:b w:val="0"/>
        </w:rPr>
        <w:t>0.09%</w:t>
      </w:r>
      <w:r>
        <w:rPr>
          <w:rFonts w:ascii="Times New Roman" w:hAnsi="Times New Roman"/>
          <w:b/>
        </w:rPr>
        <w:t>,</w:t>
      </w:r>
      <w:r>
        <w:rPr>
          <w:rFonts w:ascii="Times New Roman" w:hAnsi="Times New Roman"/>
        </w:rPr>
        <w:t xml:space="preserve"> respectively) and the boiled sample </w:t>
      </w:r>
      <w:r>
        <w:rPr>
          <w:rFonts w:ascii="Times New Roman" w:hAnsi="Times New Roman"/>
          <w:b/>
        </w:rPr>
        <w:t>(</w:t>
      </w:r>
      <w:r>
        <w:rPr>
          <w:rStyle w:val="Strong"/>
          <w:rFonts w:ascii="Times New Roman" w:hAnsi="Times New Roman"/>
          <w:b w:val="0"/>
        </w:rPr>
        <w:t>29.07 ± 0.31%</w:t>
      </w:r>
      <w:r>
        <w:rPr>
          <w:rFonts w:ascii="Times New Roman" w:hAnsi="Times New Roman"/>
          <w:b/>
        </w:rPr>
        <w:t xml:space="preserve"> </w:t>
      </w:r>
      <w:r>
        <w:rPr>
          <w:rFonts w:ascii="Times New Roman" w:hAnsi="Times New Roman"/>
        </w:rPr>
        <w:t>and</w:t>
      </w:r>
      <w:r>
        <w:rPr>
          <w:rFonts w:ascii="Times New Roman" w:hAnsi="Times New Roman"/>
          <w:b/>
        </w:rPr>
        <w:t xml:space="preserve"> </w:t>
      </w:r>
      <w:r>
        <w:rPr>
          <w:rStyle w:val="Strong"/>
          <w:rFonts w:ascii="Times New Roman" w:hAnsi="Times New Roman"/>
          <w:b w:val="0"/>
        </w:rPr>
        <w:t>4.65 ± 0.05%</w:t>
      </w:r>
      <w:r>
        <w:rPr>
          <w:rFonts w:ascii="Times New Roman" w:hAnsi="Times New Roman"/>
          <w:b/>
        </w:rPr>
        <w:t>,</w:t>
      </w:r>
      <w:r>
        <w:rPr>
          <w:rFonts w:ascii="Times New Roman" w:hAnsi="Times New Roman"/>
        </w:rPr>
        <w:t xml:space="preserve"> respectively), while the fermented sample had the lowest values </w:t>
      </w:r>
      <w:r>
        <w:rPr>
          <w:rFonts w:ascii="Times New Roman" w:hAnsi="Times New Roman"/>
          <w:b/>
        </w:rPr>
        <w:t>(</w:t>
      </w:r>
      <w:r>
        <w:rPr>
          <w:rStyle w:val="Strong"/>
          <w:rFonts w:ascii="Times New Roman" w:hAnsi="Times New Roman"/>
          <w:b w:val="0"/>
        </w:rPr>
        <w:t>16.72 ± 0.10%</w:t>
      </w:r>
      <w:r>
        <w:rPr>
          <w:rFonts w:ascii="Times New Roman" w:hAnsi="Times New Roman"/>
          <w:b/>
        </w:rPr>
        <w:t xml:space="preserve"> </w:t>
      </w:r>
      <w:r>
        <w:rPr>
          <w:rFonts w:ascii="Times New Roman" w:hAnsi="Times New Roman"/>
        </w:rPr>
        <w:t>protein and</w:t>
      </w:r>
      <w:r>
        <w:rPr>
          <w:rFonts w:ascii="Times New Roman" w:hAnsi="Times New Roman"/>
          <w:b/>
        </w:rPr>
        <w:t xml:space="preserve"> </w:t>
      </w:r>
      <w:r>
        <w:rPr>
          <w:rStyle w:val="Strong"/>
          <w:rFonts w:ascii="Times New Roman" w:hAnsi="Times New Roman"/>
          <w:b w:val="0"/>
        </w:rPr>
        <w:t>2.68 ± 0.02%</w:t>
      </w:r>
      <w:r>
        <w:rPr>
          <w:rFonts w:ascii="Times New Roman" w:hAnsi="Times New Roman"/>
        </w:rPr>
        <w:t xml:space="preserve"> nitrogen). The results indicate a progressive reduction in both protein and nitrogen contents from the control to the fermented sample. Oven drying resulted in only a slight reduction in protein and nitrogen contents relative to the control, whereas boiling caused a more pronounced decrease. Fermentation produced the greatest reduction in both parameters among all the processing methods evaluated. The close correspondence between the protein and nitrogen values suggests that the reduction in protein concentration was associated with a corresponding decline in nitrogen-containing constituents. The different superscripts </w:t>
      </w:r>
      <w:r>
        <w:rPr>
          <w:rFonts w:ascii="Times New Roman" w:hAnsi="Times New Roman"/>
          <w:b/>
        </w:rPr>
        <w:t>(</w:t>
      </w:r>
      <w:r>
        <w:rPr>
          <w:rStyle w:val="Strong"/>
          <w:rFonts w:ascii="Times New Roman" w:hAnsi="Times New Roman"/>
          <w:b w:val="0"/>
        </w:rPr>
        <w:t>a-d</w:t>
      </w:r>
      <w:r>
        <w:rPr>
          <w:rFonts w:ascii="Times New Roman" w:hAnsi="Times New Roman"/>
          <w:b/>
        </w:rPr>
        <w:t>)</w:t>
      </w:r>
      <w:r>
        <w:rPr>
          <w:rFonts w:ascii="Times New Roman" w:hAnsi="Times New Roman"/>
        </w:rPr>
        <w:t xml:space="preserve"> indicate that the protein and nitrogen contents of all treatment groups were significantly different from one another (</w:t>
      </w:r>
      <w:r>
        <w:rPr>
          <w:rStyle w:val="Emphasis"/>
          <w:rFonts w:ascii="Times New Roman" w:hAnsi="Times New Roman"/>
        </w:rPr>
        <w:t>p</w:t>
      </w:r>
      <w:r>
        <w:rPr>
          <w:rFonts w:ascii="Times New Roman" w:hAnsi="Times New Roman"/>
        </w:rPr>
        <w:t xml:space="preserve"> &lt; 0.05), demonstrating that each processing method had a distinct effect on the protein and nitrogen composition of water hyacinth (</w:t>
      </w:r>
      <w:r w:rsidR="009E4DDC" w:rsidRPr="009E4DDC">
        <w:rPr>
          <w:rStyle w:val="Emphasis"/>
          <w:rFonts w:ascii="Times New Roman" w:hAnsi="Times New Roman"/>
          <w:highlight w:val="yellow"/>
        </w:rPr>
        <w:t>Eichhornia crassipes</w:t>
      </w:r>
      <w:r>
        <w:rPr>
          <w:rFonts w:ascii="Times New Roman" w:hAnsi="Times New Roman"/>
        </w:rPr>
        <w:t>).</w:t>
      </w:r>
    </w:p>
    <w:p w14:paraId="313C6572" w14:textId="77777777" w:rsidR="00C50FD8" w:rsidRDefault="00C50FD8" w:rsidP="00C50FD8">
      <w:pPr>
        <w:jc w:val="both"/>
        <w:rPr>
          <w:rFonts w:ascii="Times New Roman" w:hAnsi="Times New Roman"/>
          <w:b/>
        </w:rPr>
      </w:pPr>
      <w:r>
        <w:rPr>
          <w:rFonts w:ascii="Times New Roman" w:hAnsi="Times New Roman"/>
          <w:b/>
        </w:rPr>
        <w:t>Table 1: Effect of processing on Nitrogen and Protein contents in Water hyacinth (</w:t>
      </w:r>
      <w:r w:rsidR="009E4DDC" w:rsidRPr="009E4DDC">
        <w:rPr>
          <w:rFonts w:ascii="Times New Roman" w:hAnsi="Times New Roman"/>
          <w:b/>
          <w:i/>
        </w:rPr>
        <w:t>Eichhornia crassipes</w:t>
      </w:r>
      <w:r>
        <w:rPr>
          <w:rFonts w:ascii="Times New Roman" w:hAnsi="Times New Roman"/>
          <w:b/>
        </w:rPr>
        <w:t>)</w:t>
      </w:r>
    </w:p>
    <w:tbl>
      <w:tblPr>
        <w:tblW w:w="8492" w:type="dxa"/>
        <w:jc w:val="center"/>
        <w:tblCellSpacing w:w="15" w:type="dxa"/>
        <w:tblBorders>
          <w:top w:val="single" w:sz="4" w:space="0" w:color="auto"/>
          <w:bottom w:val="single" w:sz="4" w:space="0" w:color="auto"/>
        </w:tblBorders>
        <w:tblLook w:val="04A0" w:firstRow="1" w:lastRow="0" w:firstColumn="1" w:lastColumn="0" w:noHBand="0" w:noVBand="1"/>
      </w:tblPr>
      <w:tblGrid>
        <w:gridCol w:w="2344"/>
        <w:gridCol w:w="3074"/>
        <w:gridCol w:w="3074"/>
      </w:tblGrid>
      <w:tr w:rsidR="00C50FD8" w14:paraId="70A8D9CF" w14:textId="77777777" w:rsidTr="00C50FD8">
        <w:trPr>
          <w:trHeight w:val="318"/>
          <w:tblHeader/>
          <w:tblCellSpacing w:w="15" w:type="dxa"/>
          <w:jc w:val="center"/>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50CA220" w14:textId="77777777" w:rsidR="00C50FD8" w:rsidRDefault="00C50FD8">
            <w:pPr>
              <w:jc w:val="center"/>
              <w:rPr>
                <w:rFonts w:ascii="Times New Roman" w:hAnsi="Times New Roman"/>
                <w:b/>
                <w:bCs/>
              </w:rPr>
            </w:pPr>
            <w:r>
              <w:rPr>
                <w:rFonts w:ascii="Times New Roman" w:hAnsi="Times New Roman"/>
                <w:b/>
                <w:bCs/>
              </w:rPr>
              <w:t>Treatment Group</w:t>
            </w:r>
          </w:p>
        </w:tc>
        <w:tc>
          <w:tcPr>
            <w:tcW w:w="3044" w:type="dxa"/>
            <w:tcBorders>
              <w:top w:val="nil"/>
              <w:left w:val="nil"/>
              <w:bottom w:val="single" w:sz="4" w:space="0" w:color="auto"/>
              <w:right w:val="nil"/>
            </w:tcBorders>
            <w:tcMar>
              <w:top w:w="15" w:type="dxa"/>
              <w:left w:w="15" w:type="dxa"/>
              <w:bottom w:w="15" w:type="dxa"/>
              <w:right w:w="15" w:type="dxa"/>
            </w:tcMar>
            <w:hideMark/>
          </w:tcPr>
          <w:p w14:paraId="00B48C0E" w14:textId="77777777" w:rsidR="00C50FD8" w:rsidRDefault="00C50FD8">
            <w:pPr>
              <w:jc w:val="center"/>
              <w:rPr>
                <w:rFonts w:ascii="Times New Roman" w:hAnsi="Times New Roman"/>
                <w:b/>
                <w:bCs/>
              </w:rPr>
            </w:pPr>
            <w:r>
              <w:rPr>
                <w:rFonts w:ascii="Times New Roman" w:hAnsi="Times New Roman"/>
                <w:b/>
                <w:bCs/>
              </w:rPr>
              <w:t xml:space="preserve">Nitrogen </w:t>
            </w:r>
            <w:r>
              <w:rPr>
                <w:rFonts w:ascii="Times New Roman" w:hAnsi="Times New Roman"/>
                <w:b/>
              </w:rPr>
              <w:t>(%)</w:t>
            </w:r>
          </w:p>
        </w:tc>
        <w:tc>
          <w:tcPr>
            <w:tcW w:w="3029" w:type="dxa"/>
            <w:tcBorders>
              <w:top w:val="nil"/>
              <w:left w:val="nil"/>
              <w:bottom w:val="single" w:sz="4" w:space="0" w:color="auto"/>
              <w:right w:val="nil"/>
            </w:tcBorders>
            <w:tcMar>
              <w:top w:w="15" w:type="dxa"/>
              <w:left w:w="15" w:type="dxa"/>
              <w:bottom w:w="15" w:type="dxa"/>
              <w:right w:w="15" w:type="dxa"/>
            </w:tcMar>
            <w:vAlign w:val="center"/>
            <w:hideMark/>
          </w:tcPr>
          <w:p w14:paraId="296DB441" w14:textId="77777777" w:rsidR="00C50FD8" w:rsidRDefault="00C50FD8">
            <w:pPr>
              <w:jc w:val="center"/>
              <w:rPr>
                <w:rFonts w:ascii="Times New Roman" w:hAnsi="Times New Roman"/>
                <w:b/>
                <w:bCs/>
              </w:rPr>
            </w:pPr>
            <w:r>
              <w:rPr>
                <w:rFonts w:ascii="Times New Roman" w:hAnsi="Times New Roman"/>
                <w:b/>
                <w:bCs/>
              </w:rPr>
              <w:t xml:space="preserve">Protein </w:t>
            </w:r>
            <w:r>
              <w:rPr>
                <w:rFonts w:ascii="Times New Roman" w:hAnsi="Times New Roman"/>
                <w:b/>
              </w:rPr>
              <w:t>(%)</w:t>
            </w:r>
          </w:p>
        </w:tc>
      </w:tr>
      <w:tr w:rsidR="00C50FD8" w14:paraId="5F873DAE" w14:textId="77777777" w:rsidTr="00C50FD8">
        <w:trPr>
          <w:trHeight w:val="691"/>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18B8C862" w14:textId="77777777" w:rsidR="00C50FD8" w:rsidRDefault="00C50FD8">
            <w:pPr>
              <w:jc w:val="center"/>
              <w:rPr>
                <w:rFonts w:ascii="Times New Roman" w:hAnsi="Times New Roman"/>
              </w:rPr>
            </w:pPr>
            <w:r>
              <w:rPr>
                <w:rFonts w:ascii="Times New Roman" w:hAnsi="Times New Roman"/>
              </w:rPr>
              <w:t>Fermented</w:t>
            </w:r>
          </w:p>
        </w:tc>
        <w:tc>
          <w:tcPr>
            <w:tcW w:w="3044" w:type="dxa"/>
            <w:tcBorders>
              <w:top w:val="nil"/>
              <w:left w:val="nil"/>
              <w:bottom w:val="nil"/>
              <w:right w:val="nil"/>
            </w:tcBorders>
            <w:tcMar>
              <w:top w:w="15" w:type="dxa"/>
              <w:left w:w="15" w:type="dxa"/>
              <w:bottom w:w="15" w:type="dxa"/>
              <w:right w:w="15" w:type="dxa"/>
            </w:tcMar>
            <w:hideMark/>
          </w:tcPr>
          <w:p w14:paraId="03EC224F" w14:textId="77777777" w:rsidR="00C50FD8" w:rsidRDefault="00C50FD8">
            <w:pPr>
              <w:jc w:val="center"/>
              <w:rPr>
                <w:rFonts w:ascii="Times New Roman" w:hAnsi="Times New Roman"/>
              </w:rPr>
            </w:pPr>
            <w:r>
              <w:rPr>
                <w:rFonts w:ascii="Times New Roman" w:hAnsi="Times New Roman"/>
              </w:rPr>
              <w:t>2.68 ± 0.02</w:t>
            </w:r>
            <w:r w:rsidRPr="0062641B">
              <w:rPr>
                <w:rFonts w:ascii="Times New Roman" w:hAnsi="Times New Roman"/>
                <w:vertAlign w:val="superscript"/>
              </w:rPr>
              <w:t>a</w:t>
            </w:r>
          </w:p>
        </w:tc>
        <w:tc>
          <w:tcPr>
            <w:tcW w:w="3029" w:type="dxa"/>
            <w:tcBorders>
              <w:top w:val="nil"/>
              <w:left w:val="nil"/>
              <w:bottom w:val="nil"/>
              <w:right w:val="nil"/>
            </w:tcBorders>
            <w:tcMar>
              <w:top w:w="15" w:type="dxa"/>
              <w:left w:w="15" w:type="dxa"/>
              <w:bottom w:w="15" w:type="dxa"/>
              <w:right w:w="15" w:type="dxa"/>
            </w:tcMar>
            <w:vAlign w:val="center"/>
            <w:hideMark/>
          </w:tcPr>
          <w:p w14:paraId="14ECE7D9" w14:textId="77777777" w:rsidR="00C50FD8" w:rsidRDefault="00C50FD8">
            <w:pPr>
              <w:jc w:val="center"/>
              <w:rPr>
                <w:rFonts w:ascii="Times New Roman" w:hAnsi="Times New Roman"/>
              </w:rPr>
            </w:pPr>
            <w:r>
              <w:rPr>
                <w:rFonts w:ascii="Times New Roman" w:hAnsi="Times New Roman"/>
              </w:rPr>
              <w:t>16.72 ± 0.10</w:t>
            </w:r>
            <w:r w:rsidRPr="0062641B">
              <w:rPr>
                <w:rFonts w:ascii="Times New Roman" w:hAnsi="Times New Roman"/>
                <w:vertAlign w:val="superscript"/>
              </w:rPr>
              <w:t>a</w:t>
            </w:r>
          </w:p>
        </w:tc>
      </w:tr>
      <w:tr w:rsidR="00C50FD8" w14:paraId="13650D15" w14:textId="77777777" w:rsidTr="00C50FD8">
        <w:trPr>
          <w:trHeight w:val="573"/>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625631D9" w14:textId="77777777" w:rsidR="00C50FD8" w:rsidRDefault="00C50FD8">
            <w:pPr>
              <w:jc w:val="center"/>
              <w:rPr>
                <w:rFonts w:ascii="Times New Roman" w:hAnsi="Times New Roman"/>
              </w:rPr>
            </w:pPr>
            <w:r>
              <w:rPr>
                <w:rFonts w:ascii="Times New Roman" w:hAnsi="Times New Roman"/>
              </w:rPr>
              <w:t>Boiled</w:t>
            </w:r>
          </w:p>
        </w:tc>
        <w:tc>
          <w:tcPr>
            <w:tcW w:w="3044" w:type="dxa"/>
            <w:tcBorders>
              <w:top w:val="nil"/>
              <w:left w:val="nil"/>
              <w:bottom w:val="nil"/>
              <w:right w:val="nil"/>
            </w:tcBorders>
            <w:tcMar>
              <w:top w:w="15" w:type="dxa"/>
              <w:left w:w="15" w:type="dxa"/>
              <w:bottom w:w="15" w:type="dxa"/>
              <w:right w:w="15" w:type="dxa"/>
            </w:tcMar>
            <w:hideMark/>
          </w:tcPr>
          <w:p w14:paraId="1FC3326B" w14:textId="77777777" w:rsidR="00C50FD8" w:rsidRDefault="00C50FD8">
            <w:pPr>
              <w:jc w:val="center"/>
              <w:rPr>
                <w:rFonts w:ascii="Times New Roman" w:hAnsi="Times New Roman"/>
              </w:rPr>
            </w:pPr>
            <w:r>
              <w:rPr>
                <w:rFonts w:ascii="Times New Roman" w:hAnsi="Times New Roman"/>
              </w:rPr>
              <w:t>4.65 ± 0.05</w:t>
            </w:r>
            <w:r w:rsidRPr="0062641B">
              <w:rPr>
                <w:rFonts w:ascii="Times New Roman" w:hAnsi="Times New Roman"/>
                <w:vertAlign w:val="superscript"/>
              </w:rPr>
              <w:t>b</w:t>
            </w:r>
          </w:p>
        </w:tc>
        <w:tc>
          <w:tcPr>
            <w:tcW w:w="3029" w:type="dxa"/>
            <w:tcBorders>
              <w:top w:val="nil"/>
              <w:left w:val="nil"/>
              <w:bottom w:val="nil"/>
              <w:right w:val="nil"/>
            </w:tcBorders>
            <w:tcMar>
              <w:top w:w="15" w:type="dxa"/>
              <w:left w:w="15" w:type="dxa"/>
              <w:bottom w:w="15" w:type="dxa"/>
              <w:right w:w="15" w:type="dxa"/>
            </w:tcMar>
            <w:vAlign w:val="center"/>
            <w:hideMark/>
          </w:tcPr>
          <w:p w14:paraId="1E71EB85" w14:textId="77777777" w:rsidR="00C50FD8" w:rsidRDefault="00C50FD8">
            <w:pPr>
              <w:jc w:val="center"/>
              <w:rPr>
                <w:rFonts w:ascii="Times New Roman" w:hAnsi="Times New Roman"/>
              </w:rPr>
            </w:pPr>
            <w:r>
              <w:rPr>
                <w:rFonts w:ascii="Times New Roman" w:hAnsi="Times New Roman"/>
              </w:rPr>
              <w:t>29.07 ± 0.31</w:t>
            </w:r>
            <w:r w:rsidRPr="0062641B">
              <w:rPr>
                <w:rFonts w:ascii="Times New Roman" w:hAnsi="Times New Roman"/>
                <w:vertAlign w:val="superscript"/>
              </w:rPr>
              <w:t>b</w:t>
            </w:r>
          </w:p>
        </w:tc>
      </w:tr>
      <w:tr w:rsidR="00C50FD8" w:rsidRPr="008A141F" w14:paraId="5F0599F1" w14:textId="77777777" w:rsidTr="00C50FD8">
        <w:trPr>
          <w:trHeight w:val="573"/>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26B3A836" w14:textId="77777777" w:rsidR="00C50FD8" w:rsidRPr="008A141F" w:rsidRDefault="00C50FD8">
            <w:pPr>
              <w:jc w:val="center"/>
              <w:rPr>
                <w:rFonts w:ascii="Times New Roman" w:hAnsi="Times New Roman"/>
                <w:sz w:val="24"/>
                <w:szCs w:val="24"/>
              </w:rPr>
            </w:pPr>
            <w:r w:rsidRPr="008A141F">
              <w:rPr>
                <w:rFonts w:ascii="Times New Roman" w:hAnsi="Times New Roman"/>
                <w:sz w:val="24"/>
                <w:szCs w:val="24"/>
              </w:rPr>
              <w:t>Oven dried</w:t>
            </w:r>
          </w:p>
        </w:tc>
        <w:tc>
          <w:tcPr>
            <w:tcW w:w="3044" w:type="dxa"/>
            <w:tcBorders>
              <w:top w:val="nil"/>
              <w:left w:val="nil"/>
              <w:bottom w:val="nil"/>
              <w:right w:val="nil"/>
            </w:tcBorders>
            <w:tcMar>
              <w:top w:w="15" w:type="dxa"/>
              <w:left w:w="15" w:type="dxa"/>
              <w:bottom w:w="15" w:type="dxa"/>
              <w:right w:w="15" w:type="dxa"/>
            </w:tcMar>
            <w:hideMark/>
          </w:tcPr>
          <w:p w14:paraId="5548E154" w14:textId="77777777" w:rsidR="00C50FD8" w:rsidRPr="008A141F" w:rsidRDefault="00C50FD8">
            <w:pPr>
              <w:jc w:val="center"/>
              <w:rPr>
                <w:rFonts w:ascii="Times New Roman" w:hAnsi="Times New Roman"/>
                <w:sz w:val="24"/>
                <w:szCs w:val="24"/>
              </w:rPr>
            </w:pPr>
            <w:r w:rsidRPr="008A141F">
              <w:rPr>
                <w:rFonts w:ascii="Times New Roman" w:hAnsi="Times New Roman"/>
                <w:sz w:val="24"/>
                <w:szCs w:val="24"/>
              </w:rPr>
              <w:t>7.51 ± 0.09</w:t>
            </w:r>
            <w:r w:rsidRPr="008A141F">
              <w:rPr>
                <w:rFonts w:ascii="Times New Roman" w:hAnsi="Times New Roman"/>
                <w:sz w:val="24"/>
                <w:szCs w:val="24"/>
                <w:vertAlign w:val="superscript"/>
              </w:rPr>
              <w:t>c</w:t>
            </w:r>
          </w:p>
        </w:tc>
        <w:tc>
          <w:tcPr>
            <w:tcW w:w="3029" w:type="dxa"/>
            <w:tcBorders>
              <w:top w:val="nil"/>
              <w:left w:val="nil"/>
              <w:bottom w:val="nil"/>
              <w:right w:val="nil"/>
            </w:tcBorders>
            <w:tcMar>
              <w:top w:w="15" w:type="dxa"/>
              <w:left w:w="15" w:type="dxa"/>
              <w:bottom w:w="15" w:type="dxa"/>
              <w:right w:w="15" w:type="dxa"/>
            </w:tcMar>
            <w:vAlign w:val="center"/>
            <w:hideMark/>
          </w:tcPr>
          <w:p w14:paraId="67F938D1" w14:textId="77777777" w:rsidR="00C50FD8" w:rsidRPr="008A141F" w:rsidRDefault="00C50FD8">
            <w:pPr>
              <w:jc w:val="center"/>
              <w:rPr>
                <w:rFonts w:ascii="Times New Roman" w:hAnsi="Times New Roman"/>
                <w:sz w:val="24"/>
                <w:szCs w:val="24"/>
              </w:rPr>
            </w:pPr>
            <w:r w:rsidRPr="008A141F">
              <w:rPr>
                <w:rFonts w:ascii="Times New Roman" w:hAnsi="Times New Roman"/>
                <w:sz w:val="24"/>
                <w:szCs w:val="24"/>
              </w:rPr>
              <w:t>46.93 ± 0.58</w:t>
            </w:r>
            <w:r w:rsidRPr="008A141F">
              <w:rPr>
                <w:rFonts w:ascii="Times New Roman" w:hAnsi="Times New Roman"/>
                <w:sz w:val="24"/>
                <w:szCs w:val="24"/>
                <w:vertAlign w:val="superscript"/>
              </w:rPr>
              <w:t>c</w:t>
            </w:r>
          </w:p>
        </w:tc>
      </w:tr>
      <w:tr w:rsidR="00C50FD8" w14:paraId="5054A2CE" w14:textId="77777777" w:rsidTr="00C50FD8">
        <w:trPr>
          <w:trHeight w:val="429"/>
          <w:tblCellSpacing w:w="15" w:type="dxa"/>
          <w:jc w:val="center"/>
        </w:trPr>
        <w:tc>
          <w:tcPr>
            <w:tcW w:w="0" w:type="auto"/>
            <w:tcBorders>
              <w:top w:val="nil"/>
              <w:left w:val="nil"/>
              <w:bottom w:val="nil"/>
              <w:right w:val="nil"/>
            </w:tcBorders>
            <w:tcMar>
              <w:top w:w="15" w:type="dxa"/>
              <w:left w:w="15" w:type="dxa"/>
              <w:bottom w:w="15" w:type="dxa"/>
              <w:right w:w="15" w:type="dxa"/>
            </w:tcMar>
            <w:vAlign w:val="center"/>
            <w:hideMark/>
          </w:tcPr>
          <w:p w14:paraId="74EFA197" w14:textId="77777777" w:rsidR="00C50FD8" w:rsidRDefault="00C50FD8">
            <w:pPr>
              <w:jc w:val="center"/>
              <w:rPr>
                <w:rFonts w:ascii="Times New Roman" w:hAnsi="Times New Roman"/>
              </w:rPr>
            </w:pPr>
            <w:r>
              <w:rPr>
                <w:rFonts w:ascii="Times New Roman" w:hAnsi="Times New Roman"/>
              </w:rPr>
              <w:t>Control</w:t>
            </w:r>
          </w:p>
        </w:tc>
        <w:tc>
          <w:tcPr>
            <w:tcW w:w="3044" w:type="dxa"/>
            <w:tcBorders>
              <w:top w:val="nil"/>
              <w:left w:val="nil"/>
              <w:bottom w:val="nil"/>
              <w:right w:val="nil"/>
            </w:tcBorders>
            <w:tcMar>
              <w:top w:w="15" w:type="dxa"/>
              <w:left w:w="15" w:type="dxa"/>
              <w:bottom w:w="15" w:type="dxa"/>
              <w:right w:w="15" w:type="dxa"/>
            </w:tcMar>
            <w:hideMark/>
          </w:tcPr>
          <w:p w14:paraId="28172567" w14:textId="77777777" w:rsidR="00C50FD8" w:rsidRDefault="00C50FD8">
            <w:pPr>
              <w:jc w:val="center"/>
              <w:rPr>
                <w:rFonts w:ascii="Times New Roman" w:hAnsi="Times New Roman"/>
              </w:rPr>
            </w:pPr>
            <w:r>
              <w:rPr>
                <w:rFonts w:ascii="Times New Roman" w:hAnsi="Times New Roman"/>
              </w:rPr>
              <w:t>7.76 ± 0.08</w:t>
            </w:r>
            <w:r w:rsidRPr="0062641B">
              <w:rPr>
                <w:rFonts w:ascii="Times New Roman" w:hAnsi="Times New Roman"/>
                <w:vertAlign w:val="superscript"/>
              </w:rPr>
              <w:t>d</w:t>
            </w:r>
          </w:p>
        </w:tc>
        <w:tc>
          <w:tcPr>
            <w:tcW w:w="3029" w:type="dxa"/>
            <w:tcBorders>
              <w:top w:val="nil"/>
              <w:left w:val="nil"/>
              <w:bottom w:val="nil"/>
              <w:right w:val="nil"/>
            </w:tcBorders>
            <w:tcMar>
              <w:top w:w="15" w:type="dxa"/>
              <w:left w:w="15" w:type="dxa"/>
              <w:bottom w:w="15" w:type="dxa"/>
              <w:right w:w="15" w:type="dxa"/>
            </w:tcMar>
            <w:vAlign w:val="center"/>
            <w:hideMark/>
          </w:tcPr>
          <w:p w14:paraId="1B02AA86" w14:textId="77777777" w:rsidR="00C50FD8" w:rsidRDefault="00C50FD8">
            <w:pPr>
              <w:jc w:val="center"/>
              <w:rPr>
                <w:rFonts w:ascii="Times New Roman" w:hAnsi="Times New Roman"/>
              </w:rPr>
            </w:pPr>
            <w:r>
              <w:rPr>
                <w:rFonts w:ascii="Times New Roman" w:hAnsi="Times New Roman"/>
              </w:rPr>
              <w:t>48.47 ± 0.47</w:t>
            </w:r>
            <w:r w:rsidRPr="0062641B">
              <w:rPr>
                <w:rFonts w:ascii="Times New Roman" w:hAnsi="Times New Roman"/>
                <w:vertAlign w:val="superscript"/>
              </w:rPr>
              <w:t>d</w:t>
            </w:r>
          </w:p>
        </w:tc>
      </w:tr>
    </w:tbl>
    <w:p w14:paraId="59F6A7A7" w14:textId="77777777" w:rsidR="00075EDD" w:rsidRDefault="00C50FD8" w:rsidP="00075EDD">
      <w:pPr>
        <w:spacing w:before="100" w:beforeAutospacing="1" w:after="100" w:afterAutospacing="1"/>
        <w:outlineLvl w:val="2"/>
        <w:rPr>
          <w:rFonts w:ascii="Times New Roman" w:hAnsi="Times New Roman"/>
          <w:i/>
        </w:rPr>
      </w:pPr>
      <w:r>
        <w:rPr>
          <w:rFonts w:ascii="Times New Roman" w:hAnsi="Times New Roman"/>
          <w:i/>
        </w:rPr>
        <w:t>Means with different superscript letters indicate significant differences, while means sharing the same letter indicate no significant difference (</w:t>
      </w:r>
      <w:r>
        <w:rPr>
          <w:rStyle w:val="Emphasis"/>
          <w:rFonts w:ascii="Times New Roman" w:hAnsi="Times New Roman"/>
        </w:rPr>
        <w:t>p</w:t>
      </w:r>
      <w:r>
        <w:rPr>
          <w:rFonts w:ascii="Times New Roman" w:hAnsi="Times New Roman"/>
          <w:i/>
        </w:rPr>
        <w:t xml:space="preserve"> &lt; 0.05).</w:t>
      </w:r>
      <w:r w:rsidR="00CB2255">
        <w:rPr>
          <w:rFonts w:ascii="Times New Roman" w:hAnsi="Times New Roman"/>
          <w:i/>
        </w:rPr>
        <w:t xml:space="preserve"> </w:t>
      </w:r>
    </w:p>
    <w:p w14:paraId="668AA44E" w14:textId="7F4874CB" w:rsidR="00C50FD8" w:rsidRPr="00075EDD" w:rsidRDefault="00C50FD8" w:rsidP="00075EDD">
      <w:pPr>
        <w:spacing w:before="100" w:beforeAutospacing="1" w:after="100" w:afterAutospacing="1"/>
        <w:outlineLvl w:val="2"/>
        <w:rPr>
          <w:rFonts w:ascii="Times New Roman" w:hAnsi="Times New Roman"/>
          <w:i/>
        </w:rPr>
      </w:pPr>
      <w:r>
        <w:rPr>
          <w:rFonts w:ascii="Times New Roman" w:hAnsi="Times New Roman"/>
          <w:b/>
        </w:rPr>
        <w:br w:type="page"/>
      </w:r>
    </w:p>
    <w:p w14:paraId="6FCE4117" w14:textId="77777777" w:rsidR="00C50FD8" w:rsidRPr="006578BB" w:rsidRDefault="00C50FD8" w:rsidP="00C50FD8">
      <w:pPr>
        <w:jc w:val="both"/>
        <w:rPr>
          <w:rFonts w:ascii="Times New Roman" w:hAnsi="Times New Roman"/>
          <w:bCs/>
        </w:rPr>
      </w:pPr>
      <w:r>
        <w:rPr>
          <w:rFonts w:ascii="Times New Roman" w:hAnsi="Times New Roman"/>
        </w:rPr>
        <w:lastRenderedPageBreak/>
        <w:t xml:space="preserve">Effect of processing on Crude </w:t>
      </w:r>
      <w:proofErr w:type="spellStart"/>
      <w:r>
        <w:rPr>
          <w:rFonts w:ascii="Times New Roman" w:hAnsi="Times New Roman"/>
        </w:rPr>
        <w:t>fib</w:t>
      </w:r>
      <w:r>
        <w:rPr>
          <w:rFonts w:ascii="Times New Roman" w:hAnsi="Times New Roman"/>
          <w:highlight w:val="yellow"/>
        </w:rPr>
        <w:t>r</w:t>
      </w:r>
      <w:r>
        <w:rPr>
          <w:rFonts w:ascii="Times New Roman" w:hAnsi="Times New Roman"/>
        </w:rPr>
        <w:t>e</w:t>
      </w:r>
      <w:proofErr w:type="spellEnd"/>
      <w:r>
        <w:rPr>
          <w:rFonts w:ascii="Times New Roman" w:hAnsi="Times New Roman"/>
        </w:rPr>
        <w:t xml:space="preserve"> fractions in Water hyacinth (</w:t>
      </w:r>
      <w:r>
        <w:rPr>
          <w:rFonts w:ascii="Times New Roman" w:hAnsi="Times New Roman"/>
          <w:i/>
        </w:rPr>
        <w:t xml:space="preserve">Eichhornia </w:t>
      </w:r>
      <w:r>
        <w:rPr>
          <w:rFonts w:ascii="Times New Roman" w:hAnsi="Times New Roman"/>
          <w:i/>
        </w:rPr>
        <w:tab/>
        <w:t>crassipes</w:t>
      </w:r>
      <w:r>
        <w:rPr>
          <w:rFonts w:ascii="Times New Roman" w:hAnsi="Times New Roman"/>
        </w:rPr>
        <w:t>)</w:t>
      </w:r>
    </w:p>
    <w:p w14:paraId="56A3F9C1" w14:textId="77777777" w:rsidR="00C50FD8" w:rsidRDefault="00C50FD8" w:rsidP="00C50FD8">
      <w:pPr>
        <w:spacing w:line="480" w:lineRule="auto"/>
        <w:jc w:val="both"/>
        <w:rPr>
          <w:rFonts w:ascii="Times New Roman" w:hAnsi="Times New Roman"/>
        </w:rPr>
      </w:pPr>
      <w:r>
        <w:rPr>
          <w:rFonts w:ascii="Times New Roman" w:hAnsi="Times New Roman"/>
        </w:rPr>
        <w:t xml:space="preserve">The crude </w:t>
      </w:r>
      <w:proofErr w:type="spellStart"/>
      <w:r>
        <w:rPr>
          <w:rFonts w:ascii="Times New Roman" w:hAnsi="Times New Roman"/>
        </w:rPr>
        <w:t>fibre</w:t>
      </w:r>
      <w:proofErr w:type="spellEnd"/>
      <w:r>
        <w:rPr>
          <w:rFonts w:ascii="Times New Roman" w:hAnsi="Times New Roman"/>
        </w:rPr>
        <w:t xml:space="preserve">, neutral detergent </w:t>
      </w:r>
      <w:proofErr w:type="spellStart"/>
      <w:r>
        <w:rPr>
          <w:rFonts w:ascii="Times New Roman" w:hAnsi="Times New Roman"/>
        </w:rPr>
        <w:t>fibre</w:t>
      </w:r>
      <w:proofErr w:type="spellEnd"/>
      <w:r>
        <w:rPr>
          <w:rFonts w:ascii="Times New Roman" w:hAnsi="Times New Roman"/>
        </w:rPr>
        <w:t xml:space="preserve"> (NDF), and acid detergent </w:t>
      </w:r>
      <w:proofErr w:type="spellStart"/>
      <w:r>
        <w:rPr>
          <w:rFonts w:ascii="Times New Roman" w:hAnsi="Times New Roman"/>
        </w:rPr>
        <w:t>fibre</w:t>
      </w:r>
      <w:proofErr w:type="spellEnd"/>
      <w:r>
        <w:rPr>
          <w:rFonts w:ascii="Times New Roman" w:hAnsi="Times New Roman"/>
        </w:rPr>
        <w:t xml:space="preserve"> (ADF) contents of water hyacinth (</w:t>
      </w:r>
      <w:r w:rsidR="009E4DDC" w:rsidRPr="009E4DDC">
        <w:rPr>
          <w:rFonts w:ascii="Times New Roman" w:hAnsi="Times New Roman"/>
          <w:i/>
          <w:iCs/>
        </w:rPr>
        <w:t>Eichhornia crassipes</w:t>
      </w:r>
      <w:r>
        <w:rPr>
          <w:rFonts w:ascii="Times New Roman" w:hAnsi="Times New Roman"/>
        </w:rPr>
        <w:t xml:space="preserve">) varied significantly among the different processing treatments. Processing resulted in a general reduction in </w:t>
      </w:r>
      <w:proofErr w:type="spellStart"/>
      <w:r>
        <w:rPr>
          <w:rFonts w:ascii="Times New Roman" w:hAnsi="Times New Roman"/>
        </w:rPr>
        <w:t>fibre</w:t>
      </w:r>
      <w:proofErr w:type="spellEnd"/>
      <w:r>
        <w:rPr>
          <w:rFonts w:ascii="Times New Roman" w:hAnsi="Times New Roman"/>
        </w:rPr>
        <w:t xml:space="preserve"> fractions compared with the untreated control, indicating that the applied treatments influenced the structural carbohydrate composition of the plant material.</w:t>
      </w:r>
    </w:p>
    <w:p w14:paraId="6BB13841" w14:textId="77777777" w:rsidR="00C50FD8" w:rsidRDefault="00C50FD8" w:rsidP="00C50FD8">
      <w:pPr>
        <w:spacing w:line="480" w:lineRule="auto"/>
        <w:jc w:val="both"/>
        <w:rPr>
          <w:rFonts w:ascii="Times New Roman" w:hAnsi="Times New Roman"/>
        </w:rPr>
      </w:pPr>
      <w:r>
        <w:rPr>
          <w:rFonts w:ascii="Times New Roman" w:hAnsi="Times New Roman"/>
        </w:rPr>
        <w:t xml:space="preserve">Fermentation recorded the lowest crude </w:t>
      </w:r>
      <w:proofErr w:type="spellStart"/>
      <w:r>
        <w:rPr>
          <w:rFonts w:ascii="Times New Roman" w:hAnsi="Times New Roman"/>
        </w:rPr>
        <w:t>fibre</w:t>
      </w:r>
      <w:proofErr w:type="spellEnd"/>
      <w:r>
        <w:rPr>
          <w:rFonts w:ascii="Times New Roman" w:hAnsi="Times New Roman"/>
        </w:rPr>
        <w:t>, NDF, and ADF values (</w:t>
      </w:r>
      <w:r>
        <w:rPr>
          <w:rFonts w:ascii="Times New Roman" w:hAnsi="Times New Roman"/>
          <w:bCs/>
        </w:rPr>
        <w:t xml:space="preserve">31.70 ± 0.26%, </w:t>
      </w:r>
      <w:r>
        <w:rPr>
          <w:rFonts w:ascii="Times New Roman" w:hAnsi="Times New Roman"/>
          <w:bCs/>
          <w:highlight w:val="yellow"/>
        </w:rPr>
        <w:t>5</w:t>
      </w:r>
      <w:r>
        <w:rPr>
          <w:rFonts w:ascii="Times New Roman" w:hAnsi="Times New Roman"/>
          <w:bCs/>
        </w:rPr>
        <w:t>4.3</w:t>
      </w:r>
      <w:r>
        <w:rPr>
          <w:rFonts w:ascii="Times New Roman" w:hAnsi="Times New Roman"/>
          <w:bCs/>
          <w:highlight w:val="yellow"/>
        </w:rPr>
        <w:t>2</w:t>
      </w:r>
      <w:r>
        <w:rPr>
          <w:rFonts w:ascii="Times New Roman" w:hAnsi="Times New Roman"/>
          <w:bCs/>
        </w:rPr>
        <w:t xml:space="preserve"> ± 0.</w:t>
      </w:r>
      <w:r>
        <w:rPr>
          <w:rFonts w:ascii="Times New Roman" w:hAnsi="Times New Roman"/>
          <w:bCs/>
          <w:highlight w:val="yellow"/>
        </w:rPr>
        <w:t>86</w:t>
      </w:r>
      <w:r>
        <w:rPr>
          <w:rFonts w:ascii="Times New Roman" w:hAnsi="Times New Roman"/>
          <w:bCs/>
        </w:rPr>
        <w:t>%, and 3</w:t>
      </w:r>
      <w:r>
        <w:rPr>
          <w:rFonts w:ascii="Times New Roman" w:hAnsi="Times New Roman"/>
          <w:bCs/>
          <w:highlight w:val="yellow"/>
        </w:rPr>
        <w:t>3</w:t>
      </w:r>
      <w:r>
        <w:rPr>
          <w:rFonts w:ascii="Times New Roman" w:hAnsi="Times New Roman"/>
          <w:bCs/>
        </w:rPr>
        <w:t>.</w:t>
      </w:r>
      <w:r>
        <w:rPr>
          <w:rFonts w:ascii="Times New Roman" w:hAnsi="Times New Roman"/>
          <w:bCs/>
          <w:highlight w:val="yellow"/>
        </w:rPr>
        <w:t>8</w:t>
      </w:r>
      <w:r>
        <w:rPr>
          <w:rFonts w:ascii="Times New Roman" w:hAnsi="Times New Roman"/>
          <w:bCs/>
        </w:rPr>
        <w:t>4 ± 0.</w:t>
      </w:r>
      <w:r>
        <w:rPr>
          <w:rFonts w:ascii="Times New Roman" w:hAnsi="Times New Roman"/>
          <w:bCs/>
          <w:highlight w:val="yellow"/>
        </w:rPr>
        <w:t>69</w:t>
      </w:r>
      <w:r>
        <w:rPr>
          <w:rFonts w:ascii="Times New Roman" w:hAnsi="Times New Roman"/>
          <w:bCs/>
        </w:rPr>
        <w:t>%, respectively</w:t>
      </w:r>
      <w:r>
        <w:rPr>
          <w:rFonts w:ascii="Times New Roman" w:hAnsi="Times New Roman"/>
        </w:rPr>
        <w:t xml:space="preserve">) among all the treatments. The reduction observed in fermented samples suggests that microbial activity during fermentation enhanced the breakdown of structural components of the plant cell wall. The lower NDF content indicates a reduction in the overall cell wall fraction, including hemicellulose, cellulose, and lignin-associated components, while the decreased ADF value suggests partial degradation of the more resistant </w:t>
      </w:r>
      <w:proofErr w:type="spellStart"/>
      <w:r>
        <w:rPr>
          <w:rFonts w:ascii="Times New Roman" w:hAnsi="Times New Roman"/>
        </w:rPr>
        <w:t>fibre</w:t>
      </w:r>
      <w:proofErr w:type="spellEnd"/>
      <w:r>
        <w:rPr>
          <w:rFonts w:ascii="Times New Roman" w:hAnsi="Times New Roman"/>
        </w:rPr>
        <w:t xml:space="preserve"> components, particularly cellulose and lignin fractions. This reduction in </w:t>
      </w:r>
      <w:proofErr w:type="spellStart"/>
      <w:r>
        <w:rPr>
          <w:rFonts w:ascii="Times New Roman" w:hAnsi="Times New Roman"/>
        </w:rPr>
        <w:t>fibre</w:t>
      </w:r>
      <w:proofErr w:type="spellEnd"/>
      <w:r>
        <w:rPr>
          <w:rFonts w:ascii="Times New Roman" w:hAnsi="Times New Roman"/>
        </w:rPr>
        <w:t xml:space="preserve"> content may improve the accessibility of nutrients and enhance the potential </w:t>
      </w:r>
      <w:proofErr w:type="spellStart"/>
      <w:r w:rsidR="00643A9C">
        <w:rPr>
          <w:rFonts w:ascii="Times New Roman" w:hAnsi="Times New Roman"/>
          <w:highlight w:val="yellow"/>
        </w:rPr>
        <w:t>utilisation</w:t>
      </w:r>
      <w:proofErr w:type="spellEnd"/>
      <w:r>
        <w:rPr>
          <w:rFonts w:ascii="Times New Roman" w:hAnsi="Times New Roman"/>
        </w:rPr>
        <w:t xml:space="preserve"> of water hyacinth as a feed ingredient.</w:t>
      </w:r>
    </w:p>
    <w:p w14:paraId="08C7F8F9" w14:textId="77777777" w:rsidR="00C50FD8" w:rsidRDefault="00C50FD8" w:rsidP="00C50FD8">
      <w:pPr>
        <w:spacing w:line="480" w:lineRule="auto"/>
        <w:jc w:val="both"/>
        <w:rPr>
          <w:rFonts w:ascii="Times New Roman" w:hAnsi="Times New Roman"/>
        </w:rPr>
      </w:pPr>
      <w:r>
        <w:rPr>
          <w:rFonts w:ascii="Times New Roman" w:hAnsi="Times New Roman"/>
        </w:rPr>
        <w:t xml:space="preserve">Boiling also reduced the </w:t>
      </w:r>
      <w:proofErr w:type="spellStart"/>
      <w:r>
        <w:rPr>
          <w:rFonts w:ascii="Times New Roman" w:hAnsi="Times New Roman"/>
        </w:rPr>
        <w:t>fibre</w:t>
      </w:r>
      <w:proofErr w:type="spellEnd"/>
      <w:r>
        <w:rPr>
          <w:rFonts w:ascii="Times New Roman" w:hAnsi="Times New Roman"/>
        </w:rPr>
        <w:t xml:space="preserve"> fractions compared with the control, with values of </w:t>
      </w:r>
      <w:r>
        <w:rPr>
          <w:rFonts w:ascii="Times New Roman" w:hAnsi="Times New Roman"/>
          <w:bCs/>
        </w:rPr>
        <w:t xml:space="preserve">34.57 ± 0.45% crude </w:t>
      </w:r>
      <w:proofErr w:type="spellStart"/>
      <w:r>
        <w:rPr>
          <w:rFonts w:ascii="Times New Roman" w:hAnsi="Times New Roman"/>
          <w:bCs/>
        </w:rPr>
        <w:t>fibre</w:t>
      </w:r>
      <w:proofErr w:type="spellEnd"/>
      <w:r>
        <w:rPr>
          <w:rFonts w:ascii="Times New Roman" w:hAnsi="Times New Roman"/>
          <w:bCs/>
        </w:rPr>
        <w:t xml:space="preserve">, </w:t>
      </w:r>
      <w:r>
        <w:rPr>
          <w:rFonts w:ascii="Times New Roman" w:hAnsi="Times New Roman"/>
          <w:bCs/>
          <w:highlight w:val="yellow"/>
        </w:rPr>
        <w:t>61</w:t>
      </w:r>
      <w:r>
        <w:rPr>
          <w:rFonts w:ascii="Times New Roman" w:hAnsi="Times New Roman"/>
          <w:bCs/>
        </w:rPr>
        <w:t>.7</w:t>
      </w:r>
      <w:r>
        <w:rPr>
          <w:rFonts w:ascii="Times New Roman" w:hAnsi="Times New Roman"/>
          <w:bCs/>
          <w:highlight w:val="yellow"/>
        </w:rPr>
        <w:t>6</w:t>
      </w:r>
      <w:r>
        <w:rPr>
          <w:rFonts w:ascii="Times New Roman" w:hAnsi="Times New Roman"/>
          <w:bCs/>
        </w:rPr>
        <w:t xml:space="preserve"> ± 0.</w:t>
      </w:r>
      <w:r>
        <w:rPr>
          <w:rFonts w:ascii="Times New Roman" w:hAnsi="Times New Roman"/>
          <w:bCs/>
          <w:highlight w:val="yellow"/>
        </w:rPr>
        <w:t>94</w:t>
      </w:r>
      <w:r>
        <w:rPr>
          <w:rFonts w:ascii="Times New Roman" w:hAnsi="Times New Roman"/>
          <w:bCs/>
        </w:rPr>
        <w:t>% NDF, and 39.</w:t>
      </w:r>
      <w:r>
        <w:rPr>
          <w:rFonts w:ascii="Times New Roman" w:hAnsi="Times New Roman"/>
          <w:bCs/>
          <w:highlight w:val="yellow"/>
        </w:rPr>
        <w:t>68</w:t>
      </w:r>
      <w:r>
        <w:rPr>
          <w:rFonts w:ascii="Times New Roman" w:hAnsi="Times New Roman"/>
          <w:bCs/>
        </w:rPr>
        <w:t xml:space="preserve"> ± 0.</w:t>
      </w:r>
      <w:r>
        <w:rPr>
          <w:rFonts w:ascii="Times New Roman" w:hAnsi="Times New Roman"/>
          <w:bCs/>
          <w:highlight w:val="yellow"/>
        </w:rPr>
        <w:t>76</w:t>
      </w:r>
      <w:r>
        <w:rPr>
          <w:rFonts w:ascii="Times New Roman" w:hAnsi="Times New Roman"/>
          <w:bCs/>
        </w:rPr>
        <w:t>% ADF</w:t>
      </w:r>
      <w:r>
        <w:rPr>
          <w:rFonts w:ascii="Times New Roman" w:hAnsi="Times New Roman"/>
        </w:rPr>
        <w:t xml:space="preserve">. The reduction may be associated with the effect of heat treatment and water exposure, which can promote the </w:t>
      </w:r>
      <w:proofErr w:type="spellStart"/>
      <w:r>
        <w:rPr>
          <w:rFonts w:ascii="Times New Roman" w:hAnsi="Times New Roman"/>
          <w:highlight w:val="yellow"/>
        </w:rPr>
        <w:t>solubilisation</w:t>
      </w:r>
      <w:proofErr w:type="spellEnd"/>
      <w:r>
        <w:rPr>
          <w:rFonts w:ascii="Times New Roman" w:hAnsi="Times New Roman"/>
        </w:rPr>
        <w:t xml:space="preserve"> of some soluble </w:t>
      </w:r>
      <w:proofErr w:type="spellStart"/>
      <w:r>
        <w:rPr>
          <w:rFonts w:ascii="Times New Roman" w:hAnsi="Times New Roman"/>
        </w:rPr>
        <w:t>fibre</w:t>
      </w:r>
      <w:proofErr w:type="spellEnd"/>
      <w:r>
        <w:rPr>
          <w:rFonts w:ascii="Times New Roman" w:hAnsi="Times New Roman"/>
        </w:rPr>
        <w:t xml:space="preserve">-associated components and weaken the plant cell wall structure. However, the reduction was less pronounced than that observed in fermented samples, indicating that boiling had a moderate effect on </w:t>
      </w:r>
      <w:proofErr w:type="spellStart"/>
      <w:r>
        <w:rPr>
          <w:rFonts w:ascii="Times New Roman" w:hAnsi="Times New Roman"/>
        </w:rPr>
        <w:t>fibre</w:t>
      </w:r>
      <w:proofErr w:type="spellEnd"/>
      <w:r>
        <w:rPr>
          <w:rFonts w:ascii="Times New Roman" w:hAnsi="Times New Roman"/>
        </w:rPr>
        <w:t xml:space="preserve"> modification.</w:t>
      </w:r>
    </w:p>
    <w:p w14:paraId="7AA71689" w14:textId="77777777" w:rsidR="00C50FD8" w:rsidRDefault="00C50FD8" w:rsidP="00C50FD8">
      <w:pPr>
        <w:spacing w:line="480" w:lineRule="auto"/>
        <w:jc w:val="both"/>
        <w:rPr>
          <w:rFonts w:ascii="Times New Roman" w:hAnsi="Times New Roman"/>
        </w:rPr>
      </w:pPr>
      <w:r>
        <w:rPr>
          <w:rFonts w:ascii="Times New Roman" w:hAnsi="Times New Roman"/>
        </w:rPr>
        <w:t xml:space="preserve">Oven drying produced </w:t>
      </w:r>
      <w:proofErr w:type="spellStart"/>
      <w:r>
        <w:rPr>
          <w:rFonts w:ascii="Times New Roman" w:hAnsi="Times New Roman"/>
        </w:rPr>
        <w:t>fibre</w:t>
      </w:r>
      <w:proofErr w:type="spellEnd"/>
      <w:r>
        <w:rPr>
          <w:rFonts w:ascii="Times New Roman" w:hAnsi="Times New Roman"/>
        </w:rPr>
        <w:t xml:space="preserve"> values of </w:t>
      </w:r>
      <w:r>
        <w:rPr>
          <w:rFonts w:ascii="Times New Roman" w:hAnsi="Times New Roman"/>
          <w:bCs/>
        </w:rPr>
        <w:t xml:space="preserve">37.40 ± 0.56% crude </w:t>
      </w:r>
      <w:proofErr w:type="spellStart"/>
      <w:r>
        <w:rPr>
          <w:rFonts w:ascii="Times New Roman" w:hAnsi="Times New Roman"/>
          <w:bCs/>
        </w:rPr>
        <w:t>fibre</w:t>
      </w:r>
      <w:proofErr w:type="spellEnd"/>
      <w:r>
        <w:rPr>
          <w:rFonts w:ascii="Times New Roman" w:hAnsi="Times New Roman"/>
          <w:bCs/>
        </w:rPr>
        <w:t xml:space="preserve">, </w:t>
      </w:r>
      <w:r>
        <w:rPr>
          <w:rFonts w:ascii="Times New Roman" w:hAnsi="Times New Roman"/>
          <w:bCs/>
          <w:highlight w:val="yellow"/>
        </w:rPr>
        <w:t>68</w:t>
      </w:r>
      <w:r>
        <w:rPr>
          <w:rFonts w:ascii="Times New Roman" w:hAnsi="Times New Roman"/>
          <w:bCs/>
        </w:rPr>
        <w:t>.</w:t>
      </w:r>
      <w:r>
        <w:rPr>
          <w:rFonts w:ascii="Times New Roman" w:hAnsi="Times New Roman"/>
          <w:bCs/>
          <w:highlight w:val="yellow"/>
        </w:rPr>
        <w:t>87</w:t>
      </w:r>
      <w:r>
        <w:rPr>
          <w:rFonts w:ascii="Times New Roman" w:hAnsi="Times New Roman"/>
          <w:bCs/>
        </w:rPr>
        <w:t xml:space="preserve"> ± </w:t>
      </w:r>
      <w:r>
        <w:rPr>
          <w:rFonts w:ascii="Times New Roman" w:hAnsi="Times New Roman"/>
          <w:bCs/>
          <w:highlight w:val="yellow"/>
        </w:rPr>
        <w:t>1.</w:t>
      </w:r>
      <w:r>
        <w:rPr>
          <w:rFonts w:ascii="Times New Roman" w:hAnsi="Times New Roman"/>
          <w:bCs/>
        </w:rPr>
        <w:t>0</w:t>
      </w:r>
      <w:r>
        <w:rPr>
          <w:rFonts w:ascii="Times New Roman" w:hAnsi="Times New Roman"/>
          <w:bCs/>
          <w:highlight w:val="yellow"/>
        </w:rPr>
        <w:t>5</w:t>
      </w:r>
      <w:r>
        <w:rPr>
          <w:rFonts w:ascii="Times New Roman" w:hAnsi="Times New Roman"/>
          <w:bCs/>
        </w:rPr>
        <w:t>% NDF, and 4</w:t>
      </w:r>
      <w:r>
        <w:rPr>
          <w:rFonts w:ascii="Times New Roman" w:hAnsi="Times New Roman"/>
          <w:bCs/>
          <w:highlight w:val="yellow"/>
        </w:rPr>
        <w:t>5</w:t>
      </w:r>
      <w:r>
        <w:rPr>
          <w:rFonts w:ascii="Times New Roman" w:hAnsi="Times New Roman"/>
          <w:bCs/>
        </w:rPr>
        <w:t>.</w:t>
      </w:r>
      <w:r>
        <w:rPr>
          <w:rFonts w:ascii="Times New Roman" w:hAnsi="Times New Roman"/>
          <w:bCs/>
          <w:highlight w:val="yellow"/>
        </w:rPr>
        <w:t>1</w:t>
      </w:r>
      <w:r>
        <w:rPr>
          <w:rFonts w:ascii="Times New Roman" w:hAnsi="Times New Roman"/>
          <w:bCs/>
        </w:rPr>
        <w:t>7 ± 0.</w:t>
      </w:r>
      <w:r>
        <w:rPr>
          <w:rFonts w:ascii="Times New Roman" w:hAnsi="Times New Roman"/>
          <w:bCs/>
          <w:highlight w:val="yellow"/>
        </w:rPr>
        <w:t>83</w:t>
      </w:r>
      <w:r>
        <w:rPr>
          <w:rFonts w:ascii="Times New Roman" w:hAnsi="Times New Roman"/>
          <w:bCs/>
        </w:rPr>
        <w:t>% ADF</w:t>
      </w:r>
      <w:r>
        <w:rPr>
          <w:rFonts w:ascii="Times New Roman" w:hAnsi="Times New Roman"/>
        </w:rPr>
        <w:t xml:space="preserve">, which were slightly higher than those observed in fermented and boiled samples but lower than the untreated control. The relatively higher </w:t>
      </w:r>
      <w:proofErr w:type="spellStart"/>
      <w:r>
        <w:rPr>
          <w:rFonts w:ascii="Times New Roman" w:hAnsi="Times New Roman"/>
        </w:rPr>
        <w:t>fibre</w:t>
      </w:r>
      <w:proofErr w:type="spellEnd"/>
      <w:r>
        <w:rPr>
          <w:rFonts w:ascii="Times New Roman" w:hAnsi="Times New Roman"/>
        </w:rPr>
        <w:t xml:space="preserve"> content after oven drying may be due to the absence of microbial degradation and limited removal of </w:t>
      </w:r>
      <w:proofErr w:type="spellStart"/>
      <w:r>
        <w:rPr>
          <w:rFonts w:ascii="Times New Roman" w:hAnsi="Times New Roman"/>
        </w:rPr>
        <w:t>fibre</w:t>
      </w:r>
      <w:proofErr w:type="spellEnd"/>
      <w:r>
        <w:rPr>
          <w:rFonts w:ascii="Times New Roman" w:hAnsi="Times New Roman"/>
        </w:rPr>
        <w:t xml:space="preserve"> components during the drying process, resulting in greater retention of structural carbohydrates.</w:t>
      </w:r>
    </w:p>
    <w:p w14:paraId="77187ACE" w14:textId="77777777" w:rsidR="00C50FD8" w:rsidRDefault="00C50FD8" w:rsidP="00C50FD8">
      <w:pPr>
        <w:spacing w:line="480" w:lineRule="auto"/>
        <w:jc w:val="both"/>
        <w:rPr>
          <w:rFonts w:ascii="Times New Roman" w:hAnsi="Times New Roman"/>
        </w:rPr>
      </w:pPr>
      <w:r>
        <w:rPr>
          <w:rFonts w:ascii="Times New Roman" w:hAnsi="Times New Roman"/>
        </w:rPr>
        <w:t xml:space="preserve">The untreated control sample exhibited the highest </w:t>
      </w:r>
      <w:proofErr w:type="spellStart"/>
      <w:r>
        <w:rPr>
          <w:rFonts w:ascii="Times New Roman" w:hAnsi="Times New Roman"/>
        </w:rPr>
        <w:t>fibre</w:t>
      </w:r>
      <w:proofErr w:type="spellEnd"/>
      <w:r>
        <w:rPr>
          <w:rFonts w:ascii="Times New Roman" w:hAnsi="Times New Roman"/>
        </w:rPr>
        <w:t xml:space="preserve"> levels (</w:t>
      </w:r>
      <w:r>
        <w:rPr>
          <w:rFonts w:ascii="Times New Roman" w:hAnsi="Times New Roman"/>
          <w:bCs/>
        </w:rPr>
        <w:t xml:space="preserve">39.47 ± 0.50% crude </w:t>
      </w:r>
      <w:proofErr w:type="spellStart"/>
      <w:r>
        <w:rPr>
          <w:rFonts w:ascii="Times New Roman" w:hAnsi="Times New Roman"/>
          <w:bCs/>
        </w:rPr>
        <w:t>fibre</w:t>
      </w:r>
      <w:proofErr w:type="spellEnd"/>
      <w:r>
        <w:rPr>
          <w:rFonts w:ascii="Times New Roman" w:hAnsi="Times New Roman"/>
          <w:bCs/>
        </w:rPr>
        <w:t>, 7</w:t>
      </w:r>
      <w:r>
        <w:rPr>
          <w:rFonts w:ascii="Times New Roman" w:hAnsi="Times New Roman"/>
          <w:bCs/>
          <w:highlight w:val="yellow"/>
        </w:rPr>
        <w:t>2</w:t>
      </w:r>
      <w:r>
        <w:rPr>
          <w:rFonts w:ascii="Times New Roman" w:hAnsi="Times New Roman"/>
          <w:bCs/>
        </w:rPr>
        <w:t>.</w:t>
      </w:r>
      <w:r>
        <w:rPr>
          <w:rFonts w:ascii="Times New Roman" w:hAnsi="Times New Roman"/>
          <w:bCs/>
          <w:highlight w:val="yellow"/>
        </w:rPr>
        <w:t>4</w:t>
      </w:r>
      <w:r>
        <w:rPr>
          <w:rFonts w:ascii="Times New Roman" w:hAnsi="Times New Roman"/>
          <w:bCs/>
        </w:rPr>
        <w:t xml:space="preserve">3 ± </w:t>
      </w:r>
      <w:r>
        <w:rPr>
          <w:rFonts w:ascii="Times New Roman" w:hAnsi="Times New Roman"/>
          <w:bCs/>
          <w:highlight w:val="yellow"/>
        </w:rPr>
        <w:t>1</w:t>
      </w:r>
      <w:r>
        <w:rPr>
          <w:rFonts w:ascii="Times New Roman" w:hAnsi="Times New Roman"/>
          <w:bCs/>
        </w:rPr>
        <w:t>.</w:t>
      </w:r>
      <w:r>
        <w:rPr>
          <w:rFonts w:ascii="Times New Roman" w:hAnsi="Times New Roman"/>
          <w:bCs/>
          <w:highlight w:val="yellow"/>
        </w:rPr>
        <w:t>21</w:t>
      </w:r>
      <w:r>
        <w:rPr>
          <w:rFonts w:ascii="Times New Roman" w:hAnsi="Times New Roman"/>
          <w:bCs/>
        </w:rPr>
        <w:t>% NDF, and 4</w:t>
      </w:r>
      <w:r>
        <w:rPr>
          <w:rFonts w:ascii="Times New Roman" w:hAnsi="Times New Roman"/>
          <w:bCs/>
          <w:highlight w:val="yellow"/>
        </w:rPr>
        <w:t>8</w:t>
      </w:r>
      <w:r>
        <w:rPr>
          <w:rFonts w:ascii="Times New Roman" w:hAnsi="Times New Roman"/>
          <w:bCs/>
        </w:rPr>
        <w:t>.</w:t>
      </w:r>
      <w:r>
        <w:rPr>
          <w:rFonts w:ascii="Times New Roman" w:hAnsi="Times New Roman"/>
          <w:bCs/>
          <w:highlight w:val="yellow"/>
        </w:rPr>
        <w:t>2</w:t>
      </w:r>
      <w:r>
        <w:rPr>
          <w:rFonts w:ascii="Times New Roman" w:hAnsi="Times New Roman"/>
          <w:bCs/>
        </w:rPr>
        <w:t>6 ± 0.</w:t>
      </w:r>
      <w:r>
        <w:rPr>
          <w:rFonts w:ascii="Times New Roman" w:hAnsi="Times New Roman"/>
          <w:bCs/>
          <w:highlight w:val="yellow"/>
        </w:rPr>
        <w:t>98</w:t>
      </w:r>
      <w:r>
        <w:rPr>
          <w:rFonts w:ascii="Times New Roman" w:hAnsi="Times New Roman"/>
          <w:bCs/>
        </w:rPr>
        <w:t>% ADF</w:t>
      </w:r>
      <w:r>
        <w:rPr>
          <w:rFonts w:ascii="Times New Roman" w:hAnsi="Times New Roman"/>
        </w:rPr>
        <w:t>), indicating that unprocessed water hyacinth retained a greater proportion of its original cell wall constituents. The higher NDF and ADF values in the control reflect the presence of intact structural carbohydrates, which may limit nutrient availability and reduce digestibility when compared with processed samples. The consistent relationship observed across all treatments, where NDF values were higher than ADF values, indicates the presence of hemicellulose fractions within the cell wall structure.</w:t>
      </w:r>
    </w:p>
    <w:p w14:paraId="012C268D" w14:textId="77777777" w:rsidR="00C50FD8" w:rsidRDefault="006578BB" w:rsidP="00C50FD8">
      <w:pPr>
        <w:spacing w:before="100" w:beforeAutospacing="1" w:after="100" w:afterAutospacing="1"/>
        <w:outlineLvl w:val="2"/>
        <w:rPr>
          <w:rFonts w:ascii="Times New Roman" w:hAnsi="Times New Roman"/>
          <w:i/>
        </w:rPr>
      </w:pPr>
      <w:r>
        <w:rPr>
          <w:rFonts w:ascii="Times New Roman" w:hAnsi="Times New Roman"/>
          <w:b/>
        </w:rPr>
        <w:t>T</w:t>
      </w:r>
      <w:r w:rsidR="00C50FD8">
        <w:rPr>
          <w:rFonts w:ascii="Times New Roman" w:hAnsi="Times New Roman"/>
          <w:b/>
        </w:rPr>
        <w:t>able 2: Effect of processing on Crude fiber fractions in water hyacinth (</w:t>
      </w:r>
      <w:r w:rsidR="009E4DDC" w:rsidRPr="009E4DDC">
        <w:rPr>
          <w:rFonts w:ascii="Times New Roman" w:hAnsi="Times New Roman"/>
          <w:b/>
          <w:i/>
        </w:rPr>
        <w:t>Eichhornia crassipes</w:t>
      </w:r>
      <w:r w:rsidR="00C50FD8">
        <w:rPr>
          <w:rFonts w:ascii="Times New Roman" w:hAnsi="Times New Roman"/>
          <w:b/>
        </w:rPr>
        <w:t>)</w:t>
      </w:r>
      <w:r w:rsidR="00C50FD8">
        <w:rPr>
          <w:rFonts w:ascii="Times New Roman" w:hAnsi="Times New Roman"/>
          <w:i/>
        </w:rPr>
        <w:t xml:space="preserve"> </w:t>
      </w:r>
    </w:p>
    <w:tbl>
      <w:tblPr>
        <w:tblW w:w="8747" w:type="dxa"/>
        <w:tblCellSpacing w:w="15" w:type="dxa"/>
        <w:tblBorders>
          <w:top w:val="single" w:sz="4" w:space="0" w:color="auto"/>
          <w:bottom w:val="single" w:sz="4" w:space="0" w:color="auto"/>
        </w:tblBorders>
        <w:tblLook w:val="04A0" w:firstRow="1" w:lastRow="0" w:firstColumn="1" w:lastColumn="0" w:noHBand="0" w:noVBand="1"/>
      </w:tblPr>
      <w:tblGrid>
        <w:gridCol w:w="1473"/>
        <w:gridCol w:w="2843"/>
        <w:gridCol w:w="2045"/>
        <w:gridCol w:w="2386"/>
      </w:tblGrid>
      <w:tr w:rsidR="00C50FD8" w14:paraId="5402E1E2" w14:textId="77777777" w:rsidTr="00C50FD8">
        <w:trPr>
          <w:trHeight w:val="457"/>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5CFB07D" w14:textId="77777777" w:rsidR="00C50FD8" w:rsidRDefault="00C50FD8">
            <w:pPr>
              <w:jc w:val="center"/>
              <w:rPr>
                <w:rFonts w:ascii="Times New Roman" w:hAnsi="Times New Roman"/>
                <w:b/>
                <w:bCs/>
              </w:rPr>
            </w:pPr>
            <w:r>
              <w:rPr>
                <w:rFonts w:ascii="Times New Roman" w:hAnsi="Times New Roman"/>
                <w:b/>
                <w:bCs/>
              </w:rPr>
              <w:t>Treatment Group</w:t>
            </w:r>
          </w:p>
        </w:tc>
        <w:tc>
          <w:tcPr>
            <w:tcW w:w="2813" w:type="dxa"/>
            <w:tcBorders>
              <w:top w:val="nil"/>
              <w:left w:val="nil"/>
              <w:bottom w:val="single" w:sz="4" w:space="0" w:color="auto"/>
              <w:right w:val="nil"/>
            </w:tcBorders>
            <w:tcMar>
              <w:top w:w="15" w:type="dxa"/>
              <w:left w:w="15" w:type="dxa"/>
              <w:bottom w:w="15" w:type="dxa"/>
              <w:right w:w="15" w:type="dxa"/>
            </w:tcMar>
            <w:vAlign w:val="center"/>
            <w:hideMark/>
          </w:tcPr>
          <w:p w14:paraId="5BB266E7" w14:textId="77777777" w:rsidR="00C50FD8" w:rsidRDefault="00C50FD8">
            <w:pPr>
              <w:jc w:val="center"/>
              <w:rPr>
                <w:rFonts w:ascii="Times New Roman" w:hAnsi="Times New Roman"/>
                <w:b/>
                <w:bCs/>
              </w:rPr>
            </w:pPr>
            <w:r>
              <w:rPr>
                <w:rFonts w:ascii="Times New Roman" w:hAnsi="Times New Roman"/>
                <w:b/>
                <w:bCs/>
              </w:rPr>
              <w:t xml:space="preserve">Crude </w:t>
            </w:r>
            <w:proofErr w:type="spellStart"/>
            <w:r>
              <w:rPr>
                <w:rFonts w:ascii="Times New Roman" w:hAnsi="Times New Roman"/>
                <w:b/>
                <w:bCs/>
              </w:rPr>
              <w:t>Fibre</w:t>
            </w:r>
            <w:proofErr w:type="spellEnd"/>
            <w:r>
              <w:rPr>
                <w:rFonts w:ascii="Times New Roman" w:hAnsi="Times New Roman"/>
                <w:b/>
                <w:bCs/>
              </w:rPr>
              <w:t xml:space="preserve"> (%)</w:t>
            </w:r>
          </w:p>
        </w:tc>
        <w:tc>
          <w:tcPr>
            <w:tcW w:w="2015" w:type="dxa"/>
            <w:tcBorders>
              <w:top w:val="nil"/>
              <w:left w:val="nil"/>
              <w:bottom w:val="single" w:sz="4" w:space="0" w:color="auto"/>
              <w:right w:val="nil"/>
            </w:tcBorders>
            <w:tcMar>
              <w:top w:w="15" w:type="dxa"/>
              <w:left w:w="15" w:type="dxa"/>
              <w:bottom w:w="15" w:type="dxa"/>
              <w:right w:w="15" w:type="dxa"/>
            </w:tcMar>
            <w:vAlign w:val="center"/>
            <w:hideMark/>
          </w:tcPr>
          <w:p w14:paraId="662299CC" w14:textId="77777777" w:rsidR="00C50FD8" w:rsidRDefault="00C50FD8">
            <w:pPr>
              <w:jc w:val="center"/>
              <w:rPr>
                <w:rFonts w:ascii="Times New Roman" w:hAnsi="Times New Roman"/>
                <w:b/>
                <w:bCs/>
              </w:rPr>
            </w:pPr>
            <w:r>
              <w:rPr>
                <w:rFonts w:ascii="Times New Roman" w:hAnsi="Times New Roman"/>
                <w:b/>
                <w:bCs/>
              </w:rPr>
              <w:t>NDF (%)</w:t>
            </w:r>
          </w:p>
        </w:tc>
        <w:tc>
          <w:tcPr>
            <w:tcW w:w="2341" w:type="dxa"/>
            <w:tcBorders>
              <w:top w:val="nil"/>
              <w:left w:val="nil"/>
              <w:bottom w:val="single" w:sz="4" w:space="0" w:color="auto"/>
              <w:right w:val="nil"/>
            </w:tcBorders>
            <w:tcMar>
              <w:top w:w="15" w:type="dxa"/>
              <w:left w:w="15" w:type="dxa"/>
              <w:bottom w:w="15" w:type="dxa"/>
              <w:right w:w="15" w:type="dxa"/>
            </w:tcMar>
            <w:vAlign w:val="center"/>
            <w:hideMark/>
          </w:tcPr>
          <w:p w14:paraId="58732297" w14:textId="77777777" w:rsidR="00C50FD8" w:rsidRDefault="00C50FD8">
            <w:pPr>
              <w:jc w:val="center"/>
              <w:rPr>
                <w:rFonts w:ascii="Times New Roman" w:hAnsi="Times New Roman"/>
                <w:b/>
                <w:bCs/>
              </w:rPr>
            </w:pPr>
            <w:r>
              <w:rPr>
                <w:rFonts w:ascii="Times New Roman" w:hAnsi="Times New Roman"/>
                <w:b/>
                <w:bCs/>
              </w:rPr>
              <w:t>ADF (%)</w:t>
            </w:r>
          </w:p>
        </w:tc>
      </w:tr>
      <w:tr w:rsidR="00C50FD8" w14:paraId="41779554"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0DA06B94" w14:textId="77777777" w:rsidR="00C50FD8" w:rsidRDefault="00C50FD8">
            <w:pPr>
              <w:jc w:val="center"/>
              <w:rPr>
                <w:rFonts w:ascii="Times New Roman" w:hAnsi="Times New Roman"/>
              </w:rPr>
            </w:pPr>
            <w:r>
              <w:rPr>
                <w:rFonts w:ascii="Times New Roman" w:hAnsi="Times New Roman"/>
              </w:rPr>
              <w:t>Fermented</w:t>
            </w:r>
          </w:p>
        </w:tc>
        <w:tc>
          <w:tcPr>
            <w:tcW w:w="2813" w:type="dxa"/>
            <w:tcBorders>
              <w:top w:val="nil"/>
              <w:left w:val="nil"/>
              <w:bottom w:val="nil"/>
              <w:right w:val="nil"/>
            </w:tcBorders>
            <w:tcMar>
              <w:top w:w="15" w:type="dxa"/>
              <w:left w:w="15" w:type="dxa"/>
              <w:bottom w:w="15" w:type="dxa"/>
              <w:right w:w="15" w:type="dxa"/>
            </w:tcMar>
            <w:vAlign w:val="center"/>
            <w:hideMark/>
          </w:tcPr>
          <w:p w14:paraId="5E4BC363" w14:textId="77777777" w:rsidR="00C50FD8" w:rsidRDefault="00C50FD8">
            <w:pPr>
              <w:jc w:val="center"/>
              <w:rPr>
                <w:rFonts w:ascii="Times New Roman" w:hAnsi="Times New Roman"/>
              </w:rPr>
            </w:pPr>
            <w:r>
              <w:rPr>
                <w:rFonts w:ascii="Times New Roman" w:hAnsi="Times New Roman"/>
              </w:rPr>
              <w:t>31.70 ± 0.26</w:t>
            </w:r>
            <w:r w:rsidRPr="0062641B">
              <w:rPr>
                <w:rFonts w:ascii="Times New Roman" w:hAnsi="Times New Roman"/>
                <w:vertAlign w:val="superscript"/>
              </w:rPr>
              <w:t>a</w:t>
            </w:r>
          </w:p>
        </w:tc>
        <w:tc>
          <w:tcPr>
            <w:tcW w:w="2015" w:type="dxa"/>
            <w:tcBorders>
              <w:top w:val="nil"/>
              <w:left w:val="nil"/>
              <w:bottom w:val="nil"/>
              <w:right w:val="nil"/>
            </w:tcBorders>
            <w:tcMar>
              <w:top w:w="15" w:type="dxa"/>
              <w:left w:w="15" w:type="dxa"/>
              <w:bottom w:w="15" w:type="dxa"/>
              <w:right w:w="15" w:type="dxa"/>
            </w:tcMar>
            <w:vAlign w:val="center"/>
            <w:hideMark/>
          </w:tcPr>
          <w:p w14:paraId="1B9396C4" w14:textId="77777777" w:rsidR="00C50FD8" w:rsidRDefault="00C50FD8">
            <w:pPr>
              <w:jc w:val="center"/>
              <w:rPr>
                <w:rFonts w:ascii="Times New Roman" w:hAnsi="Times New Roman"/>
              </w:rPr>
            </w:pPr>
            <w:r>
              <w:rPr>
                <w:rFonts w:ascii="Times New Roman" w:hAnsi="Times New Roman"/>
              </w:rPr>
              <w:t>54.32 ± 0.86ᵃ</w:t>
            </w:r>
          </w:p>
        </w:tc>
        <w:tc>
          <w:tcPr>
            <w:tcW w:w="2341" w:type="dxa"/>
            <w:tcBorders>
              <w:top w:val="nil"/>
              <w:left w:val="nil"/>
              <w:bottom w:val="nil"/>
              <w:right w:val="nil"/>
            </w:tcBorders>
            <w:tcMar>
              <w:top w:w="15" w:type="dxa"/>
              <w:left w:w="15" w:type="dxa"/>
              <w:bottom w:w="15" w:type="dxa"/>
              <w:right w:w="15" w:type="dxa"/>
            </w:tcMar>
            <w:vAlign w:val="center"/>
            <w:hideMark/>
          </w:tcPr>
          <w:p w14:paraId="080BA2F7" w14:textId="77777777" w:rsidR="00C50FD8" w:rsidRDefault="00C50FD8">
            <w:pPr>
              <w:jc w:val="center"/>
              <w:rPr>
                <w:rFonts w:ascii="Times New Roman" w:hAnsi="Times New Roman"/>
              </w:rPr>
            </w:pPr>
            <w:r>
              <w:rPr>
                <w:rFonts w:ascii="Times New Roman" w:hAnsi="Times New Roman"/>
              </w:rPr>
              <w:t>33.84 ± 0.69ᵃ</w:t>
            </w:r>
          </w:p>
        </w:tc>
      </w:tr>
      <w:tr w:rsidR="00C50FD8" w14:paraId="7CAEAEEC"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23A888D1" w14:textId="77777777" w:rsidR="00C50FD8" w:rsidRDefault="00C50FD8">
            <w:pPr>
              <w:jc w:val="center"/>
              <w:rPr>
                <w:rFonts w:ascii="Times New Roman" w:hAnsi="Times New Roman"/>
              </w:rPr>
            </w:pPr>
            <w:r>
              <w:rPr>
                <w:rFonts w:ascii="Times New Roman" w:hAnsi="Times New Roman"/>
              </w:rPr>
              <w:t>Boiled</w:t>
            </w:r>
          </w:p>
        </w:tc>
        <w:tc>
          <w:tcPr>
            <w:tcW w:w="2813" w:type="dxa"/>
            <w:tcBorders>
              <w:top w:val="nil"/>
              <w:left w:val="nil"/>
              <w:bottom w:val="nil"/>
              <w:right w:val="nil"/>
            </w:tcBorders>
            <w:tcMar>
              <w:top w:w="15" w:type="dxa"/>
              <w:left w:w="15" w:type="dxa"/>
              <w:bottom w:w="15" w:type="dxa"/>
              <w:right w:w="15" w:type="dxa"/>
            </w:tcMar>
            <w:vAlign w:val="center"/>
            <w:hideMark/>
          </w:tcPr>
          <w:p w14:paraId="1395707A" w14:textId="77777777" w:rsidR="00C50FD8" w:rsidRDefault="00C50FD8">
            <w:pPr>
              <w:jc w:val="center"/>
              <w:rPr>
                <w:rFonts w:ascii="Times New Roman" w:hAnsi="Times New Roman"/>
              </w:rPr>
            </w:pPr>
            <w:r>
              <w:rPr>
                <w:rFonts w:ascii="Times New Roman" w:hAnsi="Times New Roman"/>
              </w:rPr>
              <w:t>34.57 ± 0.45</w:t>
            </w:r>
            <w:r w:rsidRPr="0062641B">
              <w:rPr>
                <w:rFonts w:ascii="Times New Roman" w:hAnsi="Times New Roman"/>
                <w:vertAlign w:val="superscript"/>
              </w:rPr>
              <w:t>b</w:t>
            </w:r>
          </w:p>
        </w:tc>
        <w:tc>
          <w:tcPr>
            <w:tcW w:w="2015" w:type="dxa"/>
            <w:tcBorders>
              <w:top w:val="nil"/>
              <w:left w:val="nil"/>
              <w:bottom w:val="nil"/>
              <w:right w:val="nil"/>
            </w:tcBorders>
            <w:tcMar>
              <w:top w:w="15" w:type="dxa"/>
              <w:left w:w="15" w:type="dxa"/>
              <w:bottom w:w="15" w:type="dxa"/>
              <w:right w:w="15" w:type="dxa"/>
            </w:tcMar>
            <w:vAlign w:val="center"/>
            <w:hideMark/>
          </w:tcPr>
          <w:p w14:paraId="6708B4C9" w14:textId="77777777" w:rsidR="00C50FD8" w:rsidRDefault="00C50FD8">
            <w:pPr>
              <w:jc w:val="center"/>
              <w:rPr>
                <w:rFonts w:ascii="Times New Roman" w:hAnsi="Times New Roman"/>
              </w:rPr>
            </w:pPr>
            <w:r>
              <w:rPr>
                <w:rFonts w:ascii="Times New Roman" w:hAnsi="Times New Roman"/>
              </w:rPr>
              <w:t>61.76 ± 0.94ᵇ</w:t>
            </w:r>
          </w:p>
        </w:tc>
        <w:tc>
          <w:tcPr>
            <w:tcW w:w="2341" w:type="dxa"/>
            <w:tcBorders>
              <w:top w:val="nil"/>
              <w:left w:val="nil"/>
              <w:bottom w:val="nil"/>
              <w:right w:val="nil"/>
            </w:tcBorders>
            <w:tcMar>
              <w:top w:w="15" w:type="dxa"/>
              <w:left w:w="15" w:type="dxa"/>
              <w:bottom w:w="15" w:type="dxa"/>
              <w:right w:w="15" w:type="dxa"/>
            </w:tcMar>
            <w:vAlign w:val="center"/>
            <w:hideMark/>
          </w:tcPr>
          <w:p w14:paraId="540C7343" w14:textId="77777777" w:rsidR="00C50FD8" w:rsidRDefault="00C50FD8">
            <w:pPr>
              <w:jc w:val="center"/>
              <w:rPr>
                <w:rFonts w:ascii="Times New Roman" w:hAnsi="Times New Roman"/>
              </w:rPr>
            </w:pPr>
            <w:r>
              <w:rPr>
                <w:rFonts w:ascii="Times New Roman" w:hAnsi="Times New Roman"/>
              </w:rPr>
              <w:t>39.68 ± 0.76ᵇ</w:t>
            </w:r>
          </w:p>
        </w:tc>
      </w:tr>
      <w:tr w:rsidR="00C50FD8" w14:paraId="3C0347EA" w14:textId="77777777" w:rsidTr="00C50FD8">
        <w:trPr>
          <w:trHeight w:val="662"/>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54798EEA" w14:textId="77777777" w:rsidR="00C50FD8" w:rsidRDefault="00C50FD8">
            <w:pPr>
              <w:jc w:val="center"/>
              <w:rPr>
                <w:rFonts w:ascii="Times New Roman" w:hAnsi="Times New Roman"/>
              </w:rPr>
            </w:pPr>
            <w:r>
              <w:rPr>
                <w:rFonts w:ascii="Times New Roman" w:hAnsi="Times New Roman"/>
              </w:rPr>
              <w:t>Oven dried</w:t>
            </w:r>
          </w:p>
        </w:tc>
        <w:tc>
          <w:tcPr>
            <w:tcW w:w="2813" w:type="dxa"/>
            <w:tcBorders>
              <w:top w:val="nil"/>
              <w:left w:val="nil"/>
              <w:bottom w:val="nil"/>
              <w:right w:val="nil"/>
            </w:tcBorders>
            <w:tcMar>
              <w:top w:w="15" w:type="dxa"/>
              <w:left w:w="15" w:type="dxa"/>
              <w:bottom w:w="15" w:type="dxa"/>
              <w:right w:w="15" w:type="dxa"/>
            </w:tcMar>
            <w:vAlign w:val="center"/>
            <w:hideMark/>
          </w:tcPr>
          <w:p w14:paraId="566C9886" w14:textId="77777777" w:rsidR="00C50FD8" w:rsidRDefault="00C50FD8">
            <w:pPr>
              <w:jc w:val="center"/>
              <w:rPr>
                <w:rFonts w:ascii="Times New Roman" w:hAnsi="Times New Roman"/>
              </w:rPr>
            </w:pPr>
            <w:r>
              <w:rPr>
                <w:rFonts w:ascii="Times New Roman" w:hAnsi="Times New Roman"/>
              </w:rPr>
              <w:t>37.40 ± 0.56</w:t>
            </w:r>
            <w:r w:rsidRPr="0062641B">
              <w:rPr>
                <w:rFonts w:ascii="Times New Roman" w:hAnsi="Times New Roman"/>
                <w:vertAlign w:val="superscript"/>
              </w:rPr>
              <w:t>c</w:t>
            </w:r>
          </w:p>
        </w:tc>
        <w:tc>
          <w:tcPr>
            <w:tcW w:w="2015" w:type="dxa"/>
            <w:tcBorders>
              <w:top w:val="nil"/>
              <w:left w:val="nil"/>
              <w:bottom w:val="nil"/>
              <w:right w:val="nil"/>
            </w:tcBorders>
            <w:tcMar>
              <w:top w:w="15" w:type="dxa"/>
              <w:left w:w="15" w:type="dxa"/>
              <w:bottom w:w="15" w:type="dxa"/>
              <w:right w:w="15" w:type="dxa"/>
            </w:tcMar>
            <w:vAlign w:val="center"/>
            <w:hideMark/>
          </w:tcPr>
          <w:p w14:paraId="1F242DA4" w14:textId="77777777" w:rsidR="00C50FD8" w:rsidRDefault="00C50FD8">
            <w:pPr>
              <w:jc w:val="center"/>
              <w:rPr>
                <w:rFonts w:ascii="Times New Roman" w:hAnsi="Times New Roman"/>
              </w:rPr>
            </w:pPr>
            <w:r>
              <w:rPr>
                <w:rFonts w:ascii="Times New Roman" w:hAnsi="Times New Roman"/>
              </w:rPr>
              <w:t>68.87 ± 1.05ᶜ</w:t>
            </w:r>
          </w:p>
        </w:tc>
        <w:tc>
          <w:tcPr>
            <w:tcW w:w="2341" w:type="dxa"/>
            <w:tcBorders>
              <w:top w:val="nil"/>
              <w:left w:val="nil"/>
              <w:bottom w:val="nil"/>
              <w:right w:val="nil"/>
            </w:tcBorders>
            <w:tcMar>
              <w:top w:w="15" w:type="dxa"/>
              <w:left w:w="15" w:type="dxa"/>
              <w:bottom w:w="15" w:type="dxa"/>
              <w:right w:w="15" w:type="dxa"/>
            </w:tcMar>
            <w:vAlign w:val="center"/>
            <w:hideMark/>
          </w:tcPr>
          <w:p w14:paraId="49F7A1B4" w14:textId="77777777" w:rsidR="00C50FD8" w:rsidRDefault="00C50FD8">
            <w:pPr>
              <w:jc w:val="center"/>
              <w:rPr>
                <w:rFonts w:ascii="Times New Roman" w:hAnsi="Times New Roman"/>
              </w:rPr>
            </w:pPr>
            <w:r>
              <w:rPr>
                <w:rFonts w:ascii="Times New Roman" w:hAnsi="Times New Roman"/>
              </w:rPr>
              <w:t>45.17 ± 0.83ᶜ</w:t>
            </w:r>
          </w:p>
        </w:tc>
      </w:tr>
      <w:tr w:rsidR="00C50FD8" w14:paraId="7A1B8D02" w14:textId="77777777" w:rsidTr="00C50FD8">
        <w:trPr>
          <w:trHeight w:val="687"/>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64EAA775" w14:textId="77777777" w:rsidR="00C50FD8" w:rsidRDefault="00C50FD8">
            <w:pPr>
              <w:jc w:val="center"/>
              <w:rPr>
                <w:rFonts w:ascii="Times New Roman" w:hAnsi="Times New Roman"/>
              </w:rPr>
            </w:pPr>
            <w:r>
              <w:rPr>
                <w:rFonts w:ascii="Times New Roman" w:hAnsi="Times New Roman"/>
              </w:rPr>
              <w:lastRenderedPageBreak/>
              <w:t>Control</w:t>
            </w:r>
          </w:p>
        </w:tc>
        <w:tc>
          <w:tcPr>
            <w:tcW w:w="2813" w:type="dxa"/>
            <w:tcBorders>
              <w:top w:val="nil"/>
              <w:left w:val="nil"/>
              <w:bottom w:val="nil"/>
              <w:right w:val="nil"/>
            </w:tcBorders>
            <w:tcMar>
              <w:top w:w="15" w:type="dxa"/>
              <w:left w:w="15" w:type="dxa"/>
              <w:bottom w:w="15" w:type="dxa"/>
              <w:right w:w="15" w:type="dxa"/>
            </w:tcMar>
            <w:vAlign w:val="center"/>
            <w:hideMark/>
          </w:tcPr>
          <w:p w14:paraId="19273056" w14:textId="77777777" w:rsidR="00C50FD8" w:rsidRDefault="00C50FD8">
            <w:pPr>
              <w:jc w:val="center"/>
              <w:rPr>
                <w:rFonts w:ascii="Times New Roman" w:hAnsi="Times New Roman"/>
              </w:rPr>
            </w:pPr>
            <w:r>
              <w:rPr>
                <w:rFonts w:ascii="Times New Roman" w:hAnsi="Times New Roman"/>
              </w:rPr>
              <w:t>39.47 ± 0.50</w:t>
            </w:r>
            <w:r w:rsidRPr="0062641B">
              <w:rPr>
                <w:rFonts w:ascii="Times New Roman" w:hAnsi="Times New Roman"/>
                <w:vertAlign w:val="superscript"/>
              </w:rPr>
              <w:t>d</w:t>
            </w:r>
          </w:p>
        </w:tc>
        <w:tc>
          <w:tcPr>
            <w:tcW w:w="2015" w:type="dxa"/>
            <w:tcBorders>
              <w:top w:val="nil"/>
              <w:left w:val="nil"/>
              <w:bottom w:val="nil"/>
              <w:right w:val="nil"/>
            </w:tcBorders>
            <w:tcMar>
              <w:top w:w="15" w:type="dxa"/>
              <w:left w:w="15" w:type="dxa"/>
              <w:bottom w:w="15" w:type="dxa"/>
              <w:right w:w="15" w:type="dxa"/>
            </w:tcMar>
            <w:vAlign w:val="center"/>
            <w:hideMark/>
          </w:tcPr>
          <w:p w14:paraId="0F761E40" w14:textId="77777777" w:rsidR="00C50FD8" w:rsidRDefault="00C50FD8">
            <w:pPr>
              <w:jc w:val="center"/>
              <w:rPr>
                <w:rFonts w:ascii="Times New Roman" w:hAnsi="Times New Roman"/>
              </w:rPr>
            </w:pPr>
            <w:r>
              <w:rPr>
                <w:rFonts w:ascii="Times New Roman" w:hAnsi="Times New Roman"/>
              </w:rPr>
              <w:t>72.43 ± 1.21ᵈ</w:t>
            </w:r>
          </w:p>
        </w:tc>
        <w:tc>
          <w:tcPr>
            <w:tcW w:w="2341" w:type="dxa"/>
            <w:tcBorders>
              <w:top w:val="nil"/>
              <w:left w:val="nil"/>
              <w:bottom w:val="nil"/>
              <w:right w:val="nil"/>
            </w:tcBorders>
            <w:tcMar>
              <w:top w:w="15" w:type="dxa"/>
              <w:left w:w="15" w:type="dxa"/>
              <w:bottom w:w="15" w:type="dxa"/>
              <w:right w:w="15" w:type="dxa"/>
            </w:tcMar>
            <w:vAlign w:val="center"/>
            <w:hideMark/>
          </w:tcPr>
          <w:p w14:paraId="417329E8" w14:textId="77777777" w:rsidR="00C50FD8" w:rsidRDefault="00C50FD8">
            <w:pPr>
              <w:jc w:val="center"/>
              <w:rPr>
                <w:rFonts w:ascii="Times New Roman" w:hAnsi="Times New Roman"/>
              </w:rPr>
            </w:pPr>
            <w:r>
              <w:rPr>
                <w:rFonts w:ascii="Times New Roman" w:hAnsi="Times New Roman"/>
              </w:rPr>
              <w:t>48.26 ± 0.98ᵈ</w:t>
            </w:r>
          </w:p>
        </w:tc>
      </w:tr>
    </w:tbl>
    <w:p w14:paraId="0DFD7CDE" w14:textId="77777777" w:rsidR="00C50FD8" w:rsidRDefault="00C50FD8" w:rsidP="00C50FD8">
      <w:pPr>
        <w:spacing w:before="100" w:beforeAutospacing="1" w:after="100" w:afterAutospacing="1"/>
        <w:outlineLvl w:val="2"/>
        <w:rPr>
          <w:rFonts w:ascii="Times New Roman" w:hAnsi="Times New Roman"/>
          <w:i/>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0FEA3352" w14:textId="77777777" w:rsidR="00C50FD8" w:rsidRPr="006578BB" w:rsidRDefault="00C50FD8" w:rsidP="00C50FD8">
      <w:pPr>
        <w:rPr>
          <w:rFonts w:ascii="Times New Roman" w:hAnsi="Times New Roman"/>
        </w:rPr>
      </w:pPr>
      <w:r w:rsidRPr="006578BB">
        <w:rPr>
          <w:rFonts w:ascii="Times New Roman" w:hAnsi="Times New Roman"/>
        </w:rPr>
        <w:t xml:space="preserve">Effect of processing on </w:t>
      </w:r>
      <w:r w:rsidRPr="006578BB">
        <w:rPr>
          <w:rFonts w:ascii="Times New Roman" w:hAnsi="Times New Roman"/>
          <w:highlight w:val="yellow"/>
        </w:rPr>
        <w:t>Free Amino Acid Levels</w:t>
      </w:r>
      <w:r w:rsidRPr="006578BB">
        <w:rPr>
          <w:rFonts w:ascii="Times New Roman" w:hAnsi="Times New Roman"/>
        </w:rPr>
        <w:t xml:space="preserve"> in Water hyacinth (</w:t>
      </w:r>
      <w:r w:rsidRPr="006578BB">
        <w:rPr>
          <w:rFonts w:ascii="Times New Roman" w:hAnsi="Times New Roman"/>
          <w:i/>
        </w:rPr>
        <w:t xml:space="preserve">Eichhornia </w:t>
      </w:r>
      <w:r w:rsidRPr="006578BB">
        <w:rPr>
          <w:rFonts w:ascii="Times New Roman" w:hAnsi="Times New Roman"/>
          <w:i/>
        </w:rPr>
        <w:tab/>
        <w:t>crassipes</w:t>
      </w:r>
      <w:r w:rsidRPr="006578BB">
        <w:rPr>
          <w:rFonts w:ascii="Times New Roman" w:hAnsi="Times New Roman"/>
        </w:rPr>
        <w:t>)</w:t>
      </w:r>
    </w:p>
    <w:p w14:paraId="26BF7DBF" w14:textId="77777777" w:rsidR="00C50FD8" w:rsidRDefault="00C50FD8" w:rsidP="00C50FD8">
      <w:pPr>
        <w:spacing w:line="480" w:lineRule="auto"/>
        <w:jc w:val="both"/>
        <w:rPr>
          <w:rFonts w:asciiTheme="minorHAnsi" w:hAnsiTheme="minorHAnsi" w:cstheme="minorBidi"/>
        </w:rPr>
      </w:pPr>
      <w:r>
        <w:rPr>
          <w:rFonts w:ascii="Times New Roman" w:hAnsi="Times New Roman"/>
        </w:rPr>
        <w:t xml:space="preserve">The free amino acid levels of </w:t>
      </w:r>
      <w:r w:rsidR="009E4DDC" w:rsidRPr="009E4DDC">
        <w:rPr>
          <w:rStyle w:val="Emphasis"/>
          <w:rFonts w:eastAsiaTheme="majorEastAsia"/>
          <w:highlight w:val="yellow"/>
        </w:rPr>
        <w:t>Eichhornia crassipes</w:t>
      </w:r>
      <w:r>
        <w:rPr>
          <w:rFonts w:ascii="Times New Roman" w:hAnsi="Times New Roman"/>
        </w:rPr>
        <w:t xml:space="preserve"> varied significantly among the different treatment groups. The control sample recorded the highest free amino acid concentration (1270.40 ± 0.97 mg/L), followed by the fermented sample (270.62 ± 0.35 mg/L) and the boiled sample (138.90 ± 0.56 mg/L), while the oven-dried sample had the lowest concentration (94.51 ± 0.29 mg/L). The results indicate a marked reduction in free amino acid levels following processing. Although fermentation retained a higher free amino acid concentration than the boiled and oven-dried samples, its value remained substantially lower than that of the control. Boiling further reduced the free amino acid concentration, while oven drying resulted in the lowest level among the processed samples. The different superscript letters (a-d) in the table indicate that the free amino acid concentrations of all treatment groups were significantly different from one another (</w:t>
      </w:r>
      <w:r>
        <w:rPr>
          <w:rStyle w:val="Emphasis"/>
          <w:rFonts w:eastAsiaTheme="majorEastAsia"/>
        </w:rPr>
        <w:t>p</w:t>
      </w:r>
      <w:r>
        <w:rPr>
          <w:rFonts w:ascii="Times New Roman" w:hAnsi="Times New Roman"/>
        </w:rPr>
        <w:t xml:space="preserve"> &lt; 0.05). This demonstrates that each processing method had a statistically significant effect on the free amino acid </w:t>
      </w:r>
      <w:r>
        <w:rPr>
          <w:rFonts w:ascii="Times New Roman" w:hAnsi="Times New Roman"/>
          <w:highlight w:val="yellow"/>
        </w:rPr>
        <w:t>levels of water hyacinth</w:t>
      </w:r>
      <w:r>
        <w:rPr>
          <w:rFonts w:ascii="Times New Roman" w:hAnsi="Times New Roman"/>
        </w:rPr>
        <w:t xml:space="preserve"> (</w:t>
      </w:r>
      <w:r w:rsidR="009E4DDC" w:rsidRPr="009E4DDC">
        <w:rPr>
          <w:rStyle w:val="Emphasis"/>
          <w:rFonts w:eastAsiaTheme="majorEastAsia"/>
          <w:highlight w:val="yellow"/>
        </w:rPr>
        <w:t>Eichhornia crassipes</w:t>
      </w:r>
      <w:r>
        <w:t>).</w:t>
      </w:r>
    </w:p>
    <w:p w14:paraId="1B47E1A1" w14:textId="77777777" w:rsidR="00C50FD8" w:rsidRPr="006578BB" w:rsidRDefault="00C50FD8" w:rsidP="00C50FD8">
      <w:pPr>
        <w:rPr>
          <w:rFonts w:ascii="Times New Roman" w:hAnsi="Times New Roman"/>
        </w:rPr>
      </w:pPr>
      <w:r w:rsidRPr="006578BB">
        <w:rPr>
          <w:rFonts w:ascii="Times New Roman" w:hAnsi="Times New Roman"/>
        </w:rPr>
        <w:t>Table 3: Effect of processing on Free Amino Acids level in Water hyacinth (</w:t>
      </w:r>
      <w:r w:rsidR="009E4DDC" w:rsidRPr="009E4DDC">
        <w:rPr>
          <w:rFonts w:ascii="Times New Roman" w:hAnsi="Times New Roman"/>
          <w:i/>
        </w:rPr>
        <w:t>Eichhornia crassipes</w:t>
      </w:r>
      <w:r w:rsidRPr="006578BB">
        <w:rPr>
          <w:rFonts w:ascii="Times New Roman" w:hAnsi="Times New Roman"/>
        </w:rPr>
        <w:t>)</w:t>
      </w:r>
    </w:p>
    <w:tbl>
      <w:tblPr>
        <w:tblW w:w="9378" w:type="dxa"/>
        <w:tblCellSpacing w:w="15" w:type="dxa"/>
        <w:tblBorders>
          <w:top w:val="single" w:sz="4" w:space="0" w:color="auto"/>
          <w:bottom w:val="single" w:sz="4" w:space="0" w:color="auto"/>
        </w:tblBorders>
        <w:tblLook w:val="04A0" w:firstRow="1" w:lastRow="0" w:firstColumn="1" w:lastColumn="0" w:noHBand="0" w:noVBand="1"/>
      </w:tblPr>
      <w:tblGrid>
        <w:gridCol w:w="4279"/>
        <w:gridCol w:w="5099"/>
      </w:tblGrid>
      <w:tr w:rsidR="00C50FD8" w14:paraId="1ABD751D" w14:textId="77777777" w:rsidTr="00C50FD8">
        <w:trPr>
          <w:trHeight w:val="462"/>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FA79DC7" w14:textId="77777777" w:rsidR="00C50FD8" w:rsidRDefault="00C50FD8">
            <w:pPr>
              <w:jc w:val="center"/>
              <w:rPr>
                <w:rFonts w:ascii="Times New Roman" w:hAnsi="Times New Roman"/>
                <w:b/>
                <w:bCs/>
              </w:rPr>
            </w:pPr>
            <w:r>
              <w:rPr>
                <w:rFonts w:ascii="Times New Roman" w:hAnsi="Times New Roman"/>
                <w:b/>
                <w:bCs/>
              </w:rPr>
              <w:t>Treatment Group</w:t>
            </w:r>
          </w:p>
        </w:tc>
        <w:tc>
          <w:tcPr>
            <w:tcW w:w="5054" w:type="dxa"/>
            <w:tcBorders>
              <w:top w:val="nil"/>
              <w:left w:val="nil"/>
              <w:bottom w:val="single" w:sz="4" w:space="0" w:color="auto"/>
              <w:right w:val="nil"/>
            </w:tcBorders>
            <w:tcMar>
              <w:top w:w="15" w:type="dxa"/>
              <w:left w:w="15" w:type="dxa"/>
              <w:bottom w:w="15" w:type="dxa"/>
              <w:right w:w="15" w:type="dxa"/>
            </w:tcMar>
            <w:hideMark/>
          </w:tcPr>
          <w:p w14:paraId="4C5CAF4A" w14:textId="77777777" w:rsidR="00C50FD8" w:rsidRDefault="00C50FD8">
            <w:pPr>
              <w:jc w:val="center"/>
              <w:rPr>
                <w:rFonts w:ascii="Times New Roman" w:hAnsi="Times New Roman"/>
                <w:b/>
                <w:bCs/>
              </w:rPr>
            </w:pPr>
            <w:r>
              <w:rPr>
                <w:rFonts w:ascii="Times New Roman" w:hAnsi="Times New Roman"/>
                <w:b/>
              </w:rPr>
              <w:t>Concentrations (mg/L</w:t>
            </w:r>
            <w:r>
              <w:rPr>
                <w:rFonts w:ascii="Times New Roman" w:hAnsi="Times New Roman"/>
                <w:b/>
                <w:vertAlign w:val="superscript"/>
              </w:rPr>
              <w:t>-1</w:t>
            </w:r>
            <w:r>
              <w:rPr>
                <w:rFonts w:ascii="Times New Roman" w:hAnsi="Times New Roman"/>
                <w:b/>
              </w:rPr>
              <w:t>)</w:t>
            </w:r>
          </w:p>
        </w:tc>
      </w:tr>
      <w:tr w:rsidR="00C50FD8" w14:paraId="25233ED3" w14:textId="77777777" w:rsidTr="00C50FD8">
        <w:trPr>
          <w:trHeight w:val="70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71429B18" w14:textId="77777777" w:rsidR="00C50FD8" w:rsidRDefault="00C50FD8">
            <w:pPr>
              <w:jc w:val="center"/>
              <w:rPr>
                <w:rFonts w:ascii="Times New Roman" w:hAnsi="Times New Roman"/>
              </w:rPr>
            </w:pPr>
            <w:r>
              <w:rPr>
                <w:rFonts w:ascii="Times New Roman" w:hAnsi="Times New Roman"/>
              </w:rPr>
              <w:t>Fermented</w:t>
            </w:r>
          </w:p>
        </w:tc>
        <w:tc>
          <w:tcPr>
            <w:tcW w:w="5054" w:type="dxa"/>
            <w:tcBorders>
              <w:top w:val="nil"/>
              <w:left w:val="nil"/>
              <w:bottom w:val="nil"/>
              <w:right w:val="nil"/>
            </w:tcBorders>
            <w:tcMar>
              <w:top w:w="15" w:type="dxa"/>
              <w:left w:w="15" w:type="dxa"/>
              <w:bottom w:w="15" w:type="dxa"/>
              <w:right w:w="15" w:type="dxa"/>
            </w:tcMar>
            <w:vAlign w:val="center"/>
            <w:hideMark/>
          </w:tcPr>
          <w:p w14:paraId="2344E573" w14:textId="77777777" w:rsidR="00C50FD8" w:rsidRDefault="00C50FD8">
            <w:pPr>
              <w:jc w:val="center"/>
              <w:rPr>
                <w:rFonts w:ascii="Times New Roman" w:hAnsi="Times New Roman"/>
              </w:rPr>
            </w:pPr>
            <w:r>
              <w:rPr>
                <w:rFonts w:ascii="Times New Roman" w:hAnsi="Times New Roman"/>
              </w:rPr>
              <w:t>270.62 ± 0.35</w:t>
            </w:r>
            <w:r w:rsidRPr="0062641B">
              <w:rPr>
                <w:rFonts w:ascii="Times New Roman" w:hAnsi="Times New Roman"/>
                <w:vertAlign w:val="superscript"/>
              </w:rPr>
              <w:t>b</w:t>
            </w:r>
          </w:p>
        </w:tc>
      </w:tr>
      <w:tr w:rsidR="00C50FD8" w14:paraId="64427799" w14:textId="77777777" w:rsidTr="00C50FD8">
        <w:trPr>
          <w:trHeight w:val="67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542DFA85" w14:textId="77777777" w:rsidR="00C50FD8" w:rsidRDefault="00C50FD8">
            <w:pPr>
              <w:jc w:val="center"/>
              <w:rPr>
                <w:rFonts w:ascii="Times New Roman" w:hAnsi="Times New Roman"/>
              </w:rPr>
            </w:pPr>
            <w:r>
              <w:rPr>
                <w:rFonts w:ascii="Times New Roman" w:hAnsi="Times New Roman"/>
              </w:rPr>
              <w:t>Boiled</w:t>
            </w:r>
          </w:p>
        </w:tc>
        <w:tc>
          <w:tcPr>
            <w:tcW w:w="5054" w:type="dxa"/>
            <w:tcBorders>
              <w:top w:val="nil"/>
              <w:left w:val="nil"/>
              <w:bottom w:val="nil"/>
              <w:right w:val="nil"/>
            </w:tcBorders>
            <w:tcMar>
              <w:top w:w="15" w:type="dxa"/>
              <w:left w:w="15" w:type="dxa"/>
              <w:bottom w:w="15" w:type="dxa"/>
              <w:right w:w="15" w:type="dxa"/>
            </w:tcMar>
            <w:vAlign w:val="center"/>
            <w:hideMark/>
          </w:tcPr>
          <w:p w14:paraId="02F0A04E" w14:textId="77777777" w:rsidR="00C50FD8" w:rsidRDefault="00C50FD8">
            <w:pPr>
              <w:jc w:val="center"/>
              <w:rPr>
                <w:rFonts w:ascii="Times New Roman" w:hAnsi="Times New Roman"/>
              </w:rPr>
            </w:pPr>
            <w:r>
              <w:rPr>
                <w:rFonts w:ascii="Times New Roman" w:hAnsi="Times New Roman"/>
              </w:rPr>
              <w:t>138.90 ± 0.56</w:t>
            </w:r>
            <w:r w:rsidRPr="0062641B">
              <w:rPr>
                <w:rFonts w:ascii="Times New Roman" w:hAnsi="Times New Roman"/>
                <w:vertAlign w:val="superscript"/>
              </w:rPr>
              <w:t>c</w:t>
            </w:r>
          </w:p>
        </w:tc>
      </w:tr>
      <w:tr w:rsidR="00C50FD8" w14:paraId="10BFB5E9" w14:textId="77777777" w:rsidTr="00C50FD8">
        <w:trPr>
          <w:trHeight w:val="670"/>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64F30951" w14:textId="77777777" w:rsidR="00C50FD8" w:rsidRDefault="00C50FD8">
            <w:pPr>
              <w:jc w:val="center"/>
              <w:rPr>
                <w:rFonts w:ascii="Times New Roman" w:hAnsi="Times New Roman"/>
              </w:rPr>
            </w:pPr>
            <w:r>
              <w:rPr>
                <w:rFonts w:ascii="Times New Roman" w:hAnsi="Times New Roman"/>
              </w:rPr>
              <w:t>Oven dried</w:t>
            </w:r>
          </w:p>
        </w:tc>
        <w:tc>
          <w:tcPr>
            <w:tcW w:w="5054" w:type="dxa"/>
            <w:tcBorders>
              <w:top w:val="nil"/>
              <w:left w:val="nil"/>
              <w:bottom w:val="nil"/>
              <w:right w:val="nil"/>
            </w:tcBorders>
            <w:tcMar>
              <w:top w:w="15" w:type="dxa"/>
              <w:left w:w="15" w:type="dxa"/>
              <w:bottom w:w="15" w:type="dxa"/>
              <w:right w:w="15" w:type="dxa"/>
            </w:tcMar>
            <w:vAlign w:val="center"/>
            <w:hideMark/>
          </w:tcPr>
          <w:p w14:paraId="5AB94603" w14:textId="77777777" w:rsidR="00C50FD8" w:rsidRDefault="00C50FD8">
            <w:pPr>
              <w:jc w:val="center"/>
              <w:rPr>
                <w:rFonts w:ascii="Times New Roman" w:hAnsi="Times New Roman"/>
              </w:rPr>
            </w:pPr>
            <w:r>
              <w:rPr>
                <w:rFonts w:ascii="Times New Roman" w:hAnsi="Times New Roman"/>
              </w:rPr>
              <w:t>94.51 ± 0.29</w:t>
            </w:r>
            <w:r w:rsidRPr="0062641B">
              <w:rPr>
                <w:rFonts w:ascii="Times New Roman" w:hAnsi="Times New Roman"/>
                <w:vertAlign w:val="superscript"/>
              </w:rPr>
              <w:t>d</w:t>
            </w:r>
          </w:p>
        </w:tc>
      </w:tr>
      <w:tr w:rsidR="00C50FD8" w14:paraId="5126D4AA" w14:textId="77777777" w:rsidTr="00C50FD8">
        <w:trPr>
          <w:trHeight w:val="425"/>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25B276CD" w14:textId="77777777" w:rsidR="00C50FD8" w:rsidRDefault="00C50FD8">
            <w:pPr>
              <w:jc w:val="center"/>
              <w:rPr>
                <w:rFonts w:ascii="Times New Roman" w:hAnsi="Times New Roman"/>
              </w:rPr>
            </w:pPr>
            <w:r>
              <w:rPr>
                <w:rFonts w:ascii="Times New Roman" w:hAnsi="Times New Roman"/>
              </w:rPr>
              <w:t>Control</w:t>
            </w:r>
          </w:p>
        </w:tc>
        <w:tc>
          <w:tcPr>
            <w:tcW w:w="5054" w:type="dxa"/>
            <w:tcBorders>
              <w:top w:val="nil"/>
              <w:left w:val="nil"/>
              <w:bottom w:val="nil"/>
              <w:right w:val="nil"/>
            </w:tcBorders>
            <w:tcMar>
              <w:top w:w="15" w:type="dxa"/>
              <w:left w:w="15" w:type="dxa"/>
              <w:bottom w:w="15" w:type="dxa"/>
              <w:right w:w="15" w:type="dxa"/>
            </w:tcMar>
            <w:vAlign w:val="center"/>
            <w:hideMark/>
          </w:tcPr>
          <w:p w14:paraId="4A845111" w14:textId="77777777" w:rsidR="00C50FD8" w:rsidRDefault="00C50FD8">
            <w:pPr>
              <w:jc w:val="center"/>
              <w:rPr>
                <w:rFonts w:ascii="Times New Roman" w:hAnsi="Times New Roman"/>
              </w:rPr>
            </w:pPr>
            <w:r>
              <w:rPr>
                <w:rFonts w:ascii="Times New Roman" w:hAnsi="Times New Roman"/>
              </w:rPr>
              <w:t>1270.40 ± 0.97</w:t>
            </w:r>
            <w:r w:rsidRPr="0062641B">
              <w:rPr>
                <w:rFonts w:ascii="Times New Roman" w:hAnsi="Times New Roman"/>
                <w:vertAlign w:val="superscript"/>
              </w:rPr>
              <w:t>a</w:t>
            </w:r>
          </w:p>
        </w:tc>
      </w:tr>
    </w:tbl>
    <w:p w14:paraId="59B94F47" w14:textId="77777777" w:rsidR="00C50FD8" w:rsidRDefault="00C50FD8" w:rsidP="00C50FD8">
      <w:pPr>
        <w:spacing w:before="100" w:beforeAutospacing="1" w:after="100" w:afterAutospacing="1"/>
        <w:outlineLvl w:val="2"/>
        <w:rPr>
          <w:rFonts w:ascii="Times New Roman" w:hAnsi="Times New Roman"/>
          <w:i/>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3523489C" w14:textId="07D7CAD1" w:rsidR="00FB17D4" w:rsidRPr="00FB17D4" w:rsidRDefault="00FB17D4" w:rsidP="00FB17D4">
      <w:pPr>
        <w:spacing w:before="100" w:beforeAutospacing="1" w:after="100" w:afterAutospacing="1"/>
        <w:jc w:val="center"/>
        <w:outlineLvl w:val="2"/>
        <w:rPr>
          <w:rFonts w:ascii="Times New Roman" w:eastAsiaTheme="minorEastAsia" w:hAnsi="Times New Roman"/>
          <w:kern w:val="2"/>
          <w14:ligatures w14:val="standardContextual"/>
        </w:rPr>
      </w:pPr>
    </w:p>
    <w:p w14:paraId="25A55F24" w14:textId="77777777" w:rsidR="00FB17D4" w:rsidRDefault="00FB17D4" w:rsidP="00C50FD8">
      <w:pPr>
        <w:jc w:val="both"/>
        <w:rPr>
          <w:rFonts w:ascii="Times New Roman" w:hAnsi="Times New Roman"/>
        </w:rPr>
      </w:pPr>
    </w:p>
    <w:p w14:paraId="543FB315" w14:textId="77777777" w:rsidR="00FB17D4" w:rsidRDefault="00FB17D4" w:rsidP="00C50FD8">
      <w:pPr>
        <w:jc w:val="both"/>
        <w:rPr>
          <w:rFonts w:ascii="Times New Roman" w:hAnsi="Times New Roman"/>
        </w:rPr>
      </w:pPr>
    </w:p>
    <w:p w14:paraId="2AC5FFA7" w14:textId="77777777" w:rsidR="00FB17D4" w:rsidRDefault="00FB17D4" w:rsidP="00C50FD8">
      <w:pPr>
        <w:jc w:val="both"/>
        <w:rPr>
          <w:rFonts w:ascii="Times New Roman" w:hAnsi="Times New Roman"/>
        </w:rPr>
      </w:pPr>
    </w:p>
    <w:p w14:paraId="08ED670A" w14:textId="77777777" w:rsidR="00FB17D4" w:rsidRDefault="00FB17D4" w:rsidP="00C50FD8">
      <w:pPr>
        <w:jc w:val="both"/>
        <w:rPr>
          <w:rFonts w:ascii="Times New Roman" w:hAnsi="Times New Roman"/>
        </w:rPr>
      </w:pPr>
    </w:p>
    <w:p w14:paraId="1696950C" w14:textId="77777777" w:rsidR="00C50FD8" w:rsidRPr="006578BB" w:rsidRDefault="00C50FD8" w:rsidP="00C50FD8">
      <w:pPr>
        <w:jc w:val="both"/>
        <w:rPr>
          <w:rFonts w:ascii="Times New Roman" w:hAnsi="Times New Roman"/>
        </w:rPr>
      </w:pPr>
      <w:r w:rsidRPr="006578BB">
        <w:rPr>
          <w:rFonts w:ascii="Times New Roman" w:hAnsi="Times New Roman"/>
        </w:rPr>
        <w:t xml:space="preserve">Effect of processing on </w:t>
      </w:r>
      <w:r w:rsidRPr="006578BB">
        <w:rPr>
          <w:rFonts w:ascii="Times New Roman" w:hAnsi="Times New Roman"/>
          <w:highlight w:val="yellow"/>
        </w:rPr>
        <w:t>the levels of selected anti-nutritional factors</w:t>
      </w:r>
      <w:r w:rsidRPr="006578BB">
        <w:rPr>
          <w:rFonts w:ascii="Times New Roman" w:hAnsi="Times New Roman"/>
        </w:rPr>
        <w:t xml:space="preserve"> in Water </w:t>
      </w:r>
      <w:r w:rsidRPr="006578BB">
        <w:rPr>
          <w:rFonts w:ascii="Times New Roman" w:hAnsi="Times New Roman"/>
        </w:rPr>
        <w:tab/>
        <w:t>hyacinth (</w:t>
      </w:r>
      <w:r w:rsidR="009E4DDC" w:rsidRPr="009E4DDC">
        <w:rPr>
          <w:rFonts w:ascii="Times New Roman" w:hAnsi="Times New Roman"/>
          <w:i/>
        </w:rPr>
        <w:t>Eichhornia crassipes</w:t>
      </w:r>
      <w:r w:rsidRPr="006578BB">
        <w:rPr>
          <w:rFonts w:ascii="Times New Roman" w:hAnsi="Times New Roman"/>
        </w:rPr>
        <w:t>)</w:t>
      </w:r>
    </w:p>
    <w:p w14:paraId="29E0997E" w14:textId="77777777" w:rsidR="00C50FD8" w:rsidRDefault="00C50FD8" w:rsidP="00C50FD8">
      <w:pPr>
        <w:pStyle w:val="pdq2pgselectionanchorcontainer"/>
        <w:spacing w:before="0" w:beforeAutospacing="0" w:after="0" w:afterAutospacing="0" w:line="480" w:lineRule="auto"/>
        <w:jc w:val="both"/>
      </w:pPr>
      <w:r>
        <w:t xml:space="preserve">The tannin content of </w:t>
      </w:r>
      <w:r w:rsidR="009E4DDC" w:rsidRPr="009E4DDC">
        <w:rPr>
          <w:rStyle w:val="Emphasis"/>
          <w:rFonts w:eastAsiaTheme="majorEastAsia"/>
          <w:highlight w:val="yellow"/>
        </w:rPr>
        <w:t>Eichhornia crassipes</w:t>
      </w:r>
      <w:r>
        <w:t xml:space="preserve"> varied among the different treatment groups. The control sample recorded the highest tannin concentration (64.52 ± 0.38 mg/m</w:t>
      </w:r>
      <w:r w:rsidR="00E0601A">
        <w:rPr>
          <w:highlight w:val="yellow"/>
        </w:rPr>
        <w:t>l</w:t>
      </w:r>
      <w:r>
        <w:t xml:space="preserve">), followed by the </w:t>
      </w:r>
      <w:r w:rsidR="00E0601A">
        <w:t xml:space="preserve">oven-dried sample (53.06 ± 0.39 </w:t>
      </w:r>
      <w:r>
        <w:lastRenderedPageBreak/>
        <w:t>mg/m</w:t>
      </w:r>
      <w:r w:rsidR="00E0601A">
        <w:rPr>
          <w:highlight w:val="yellow"/>
        </w:rPr>
        <w:t>l</w:t>
      </w:r>
      <w:r>
        <w:t>) and the fermented sample (48.20 ± 0.35 mg/m</w:t>
      </w:r>
      <w:r w:rsidR="00E0601A">
        <w:rPr>
          <w:highlight w:val="yellow"/>
        </w:rPr>
        <w:t>l</w:t>
      </w:r>
      <w:r>
        <w:t>), while the boiled sample had the lowest tannin concentration (24.58 ± 0.32 mg/m</w:t>
      </w:r>
      <w:r w:rsidR="00E0601A">
        <w:rPr>
          <w:highlight w:val="yellow"/>
        </w:rPr>
        <w:t>l</w:t>
      </w:r>
      <w:r>
        <w:t>). The results indicate that all processing methods reduced the tannin content relative to the control. Among the processed samples, boiling produced the greatest reduction in tannin concentration, whereas oven drying retained the highest tannin level. Fermentation also reduced the tannin content but to a lesser extent than boiling. The superscript letters in the table show that the control sample (a) differed significantly from all the processed samples (</w:t>
      </w:r>
      <w:r>
        <w:rPr>
          <w:rStyle w:val="Emphasis"/>
          <w:rFonts w:eastAsiaTheme="majorEastAsia"/>
        </w:rPr>
        <w:t>p</w:t>
      </w:r>
      <w:r>
        <w:t xml:space="preserve"> &lt; 0.05). The fermented and oven-dried samples shared the same superscript letter (b), indicating that there was no significant difference between their tannin concentrations. However, both differed significantly from the boiled sample (c), which recorded the lowest tannin concentration.</w:t>
      </w:r>
    </w:p>
    <w:p w14:paraId="286D5017" w14:textId="77777777" w:rsidR="00C50FD8" w:rsidRDefault="00C50FD8" w:rsidP="00C50FD8">
      <w:pPr>
        <w:pStyle w:val="pdq2pgselectionanchorcontainer"/>
        <w:spacing w:before="0" w:beforeAutospacing="0" w:after="0" w:afterAutospacing="0" w:line="480" w:lineRule="auto"/>
        <w:jc w:val="both"/>
      </w:pPr>
      <w:r>
        <w:t xml:space="preserve">The cyanogenic glycoside content of </w:t>
      </w:r>
      <w:r w:rsidR="009E4DDC" w:rsidRPr="009E4DDC">
        <w:rPr>
          <w:rStyle w:val="Emphasis"/>
          <w:rFonts w:eastAsiaTheme="majorEastAsia"/>
          <w:highlight w:val="yellow"/>
        </w:rPr>
        <w:t>Eichhornia crassipes</w:t>
      </w:r>
      <w:r>
        <w:t xml:space="preserve"> differed among the treatment groups. The control sample recorded the highest cyanogenic glycoside concentration (453.05 ± 0.49 mg/100g), whereas t</w:t>
      </w:r>
      <w:r>
        <w:rPr>
          <w:highlight w:val="yellow"/>
        </w:rPr>
        <w:t>he boiled sample recorded the lowest con</w:t>
      </w:r>
      <w:r w:rsidR="00E0601A">
        <w:rPr>
          <w:highlight w:val="yellow"/>
        </w:rPr>
        <w:t>centration (36.34 ± 0.33 mg/100</w:t>
      </w:r>
      <w:r>
        <w:rPr>
          <w:highlight w:val="yellow"/>
        </w:rPr>
        <w:t>g). T</w:t>
      </w:r>
      <w:r>
        <w:t xml:space="preserve">he fermented and oven-dried samples </w:t>
      </w:r>
      <w:r>
        <w:rPr>
          <w:highlight w:val="yellow"/>
        </w:rPr>
        <w:t xml:space="preserve">each </w:t>
      </w:r>
      <w:r>
        <w:t xml:space="preserve">had </w:t>
      </w:r>
      <w:r>
        <w:rPr>
          <w:highlight w:val="yellow"/>
        </w:rPr>
        <w:t>a</w:t>
      </w:r>
      <w:r>
        <w:t xml:space="preserve"> concentration of 38.62 ± 0.23 mg/100g. The results indicate a substantial reduction in cyanogenic glycoside content following all processing methods when compared with the control. The processed samples exhibited markedly lower concentrations, showing that processing greatly decreased the cyanogenic glycoside content of </w:t>
      </w:r>
      <w:r w:rsidR="009E4DDC" w:rsidRPr="009E4DDC">
        <w:rPr>
          <w:rStyle w:val="Emphasis"/>
          <w:rFonts w:eastAsiaTheme="majorEastAsia"/>
          <w:highlight w:val="yellow"/>
        </w:rPr>
        <w:t>Eichhornia crassipes</w:t>
      </w:r>
      <w:r>
        <w:t>. The superscript letters in the table indicate that the fermented and oven-dried samples shared the same superscript (a), demonstrating that there was no significant difference between their cyanogenic glycoside concentrations (</w:t>
      </w:r>
      <w:r>
        <w:rPr>
          <w:rStyle w:val="Emphasis"/>
          <w:rFonts w:eastAsiaTheme="majorEastAsia"/>
        </w:rPr>
        <w:t>p</w:t>
      </w:r>
      <w:r>
        <w:t xml:space="preserve"> &gt; 0.05). The boiled sample, with a different superscript (b), was significantly different from both the fermented and oven-dried samples, while the control sample (c) differed significantly from all the processed samples (</w:t>
      </w:r>
      <w:r>
        <w:rPr>
          <w:rStyle w:val="Emphasis"/>
          <w:rFonts w:eastAsiaTheme="majorEastAsia"/>
        </w:rPr>
        <w:t>p</w:t>
      </w:r>
      <w:r>
        <w:t xml:space="preserve"> &lt; 0.05).</w:t>
      </w:r>
    </w:p>
    <w:p w14:paraId="04A6499E" w14:textId="77777777" w:rsidR="00C50FD8" w:rsidRDefault="00C50FD8" w:rsidP="00C50FD8">
      <w:pPr>
        <w:pStyle w:val="pdq2pgselectionanchorcontainer"/>
        <w:spacing w:before="0" w:beforeAutospacing="0" w:after="0" w:afterAutospacing="0" w:line="480" w:lineRule="auto"/>
        <w:jc w:val="both"/>
      </w:pPr>
      <w:r>
        <w:t xml:space="preserve">The phytate content of </w:t>
      </w:r>
      <w:r w:rsidR="009E4DDC" w:rsidRPr="009E4DDC">
        <w:rPr>
          <w:rStyle w:val="Emphasis"/>
          <w:rFonts w:eastAsiaTheme="majorEastAsia"/>
          <w:highlight w:val="yellow"/>
        </w:rPr>
        <w:t>Eichhornia crassipes</w:t>
      </w:r>
      <w:r>
        <w:t xml:space="preserve"> varied among the different treatment groups. The oven-dried and control samples recorded the highest phytate concentration (33.25 ± 0.43 µg/m</w:t>
      </w:r>
      <w:r w:rsidR="00997642">
        <w:rPr>
          <w:highlight w:val="yellow"/>
        </w:rPr>
        <w:t>l</w:t>
      </w:r>
      <w:r>
        <w:t>), while the boiled sample had an intermediate concentration (23.05 ± 0.25 µg/m</w:t>
      </w:r>
      <w:r w:rsidR="00997642">
        <w:rPr>
          <w:highlight w:val="yellow"/>
        </w:rPr>
        <w:t>l</w:t>
      </w:r>
      <w:r>
        <w:t>). The fermented sample recorded the lowest phytate concentration (7.91 ± 0.08 µg/m</w:t>
      </w:r>
      <w:r w:rsidR="00997642">
        <w:rPr>
          <w:highlight w:val="yellow"/>
        </w:rPr>
        <w:t>l</w:t>
      </w:r>
      <w:r>
        <w:t xml:space="preserve">). The results indicate that fermentation produced the greatest reduction in phytate content among the processing methods evaluated. Boiling also reduced the phytate concentration relative to the control, whereas oven drying maintained the same phytate level as the control. The superscript letters in the table indicate </w:t>
      </w:r>
      <w:r>
        <w:lastRenderedPageBreak/>
        <w:t>that the fermented sample (a) differed significantly from the boiled (b), oven-dried (c), and control (c) samples (</w:t>
      </w:r>
      <w:r>
        <w:rPr>
          <w:rStyle w:val="Emphasis"/>
          <w:rFonts w:eastAsiaTheme="majorEastAsia"/>
        </w:rPr>
        <w:t>p</w:t>
      </w:r>
      <w:r>
        <w:t xml:space="preserve"> &lt; 0.05). The boiled sample was also significantly different from the fermented, oven-dried, and control samples. However, the oven-dried and control samples shared the same superscript letter (c), indicating that there was no significant difference in their phytate concentrations (</w:t>
      </w:r>
      <w:r>
        <w:rPr>
          <w:rStyle w:val="Emphasis"/>
          <w:rFonts w:eastAsiaTheme="majorEastAsia"/>
        </w:rPr>
        <w:t>p</w:t>
      </w:r>
      <w:r>
        <w:t xml:space="preserve"> &gt; 0.05).</w:t>
      </w:r>
    </w:p>
    <w:p w14:paraId="7A62DBE8" w14:textId="77777777" w:rsidR="00C50FD8" w:rsidRDefault="00C50FD8" w:rsidP="00C50FD8">
      <w:pPr>
        <w:spacing w:line="480" w:lineRule="auto"/>
        <w:jc w:val="both"/>
        <w:rPr>
          <w:rFonts w:ascii="Times New Roman" w:hAnsi="Times New Roman"/>
          <w:b/>
        </w:rPr>
      </w:pPr>
      <w:r>
        <w:rPr>
          <w:rFonts w:ascii="Times New Roman" w:hAnsi="Times New Roman"/>
        </w:rPr>
        <w:t xml:space="preserve">Table 4 shows that oxalate was </w:t>
      </w:r>
      <w:r>
        <w:rPr>
          <w:rStyle w:val="Strong"/>
          <w:rFonts w:ascii="Times New Roman" w:hAnsi="Times New Roman"/>
          <w:b w:val="0"/>
        </w:rPr>
        <w:t>not detected (ND)</w:t>
      </w:r>
      <w:r>
        <w:rPr>
          <w:rFonts w:ascii="Times New Roman" w:hAnsi="Times New Roman"/>
        </w:rPr>
        <w:t xml:space="preserve"> in the fermented, boiled, and oven-dried </w:t>
      </w:r>
      <w:r w:rsidR="009E4DDC" w:rsidRPr="009E4DDC">
        <w:rPr>
          <w:rFonts w:ascii="Times New Roman" w:hAnsi="Times New Roman"/>
          <w:i/>
        </w:rPr>
        <w:t>Eichhornia crassipes</w:t>
      </w:r>
      <w:r>
        <w:rPr>
          <w:rFonts w:ascii="Times New Roman" w:hAnsi="Times New Roman"/>
        </w:rPr>
        <w:t xml:space="preserve"> samples, whereas the unprocessed (control) sample contained </w:t>
      </w:r>
      <w:r>
        <w:rPr>
          <w:rStyle w:val="Strong"/>
          <w:rFonts w:ascii="Times New Roman" w:hAnsi="Times New Roman"/>
          <w:b w:val="0"/>
        </w:rPr>
        <w:t>4.06 ± 0.88 mg/100g</w:t>
      </w:r>
      <w:r>
        <w:rPr>
          <w:rFonts w:ascii="Times New Roman" w:hAnsi="Times New Roman"/>
        </w:rPr>
        <w:t xml:space="preserve"> of oxalate. This indicates that oxalate was present only in the raw sample and was below the detectable limit in all processed samples.</w:t>
      </w:r>
    </w:p>
    <w:p w14:paraId="3D9B453F" w14:textId="77777777" w:rsidR="00C50FD8" w:rsidRPr="006578BB" w:rsidRDefault="00C50FD8" w:rsidP="00C50FD8">
      <w:pPr>
        <w:jc w:val="both"/>
        <w:rPr>
          <w:rFonts w:ascii="Times New Roman" w:hAnsi="Times New Roman"/>
        </w:rPr>
      </w:pPr>
      <w:r w:rsidRPr="006578BB">
        <w:rPr>
          <w:rFonts w:ascii="Times New Roman" w:hAnsi="Times New Roman"/>
        </w:rPr>
        <w:t>Table 4: Effect of processing on the level of some selected Anti-nutritional factors in Water hyacinth (</w:t>
      </w:r>
      <w:r w:rsidR="009E4DDC" w:rsidRPr="009E4DDC">
        <w:rPr>
          <w:rFonts w:ascii="Times New Roman" w:hAnsi="Times New Roman"/>
          <w:i/>
        </w:rPr>
        <w:t>Eichhornia crassipes</w:t>
      </w:r>
      <w:r w:rsidRPr="006578BB">
        <w:rPr>
          <w:rFonts w:ascii="Times New Roman" w:hAnsi="Times New Roman"/>
        </w:rPr>
        <w:t>)</w:t>
      </w:r>
    </w:p>
    <w:tbl>
      <w:tblPr>
        <w:tblW w:w="9338" w:type="dxa"/>
        <w:tblCellSpacing w:w="15" w:type="dxa"/>
        <w:tblLook w:val="04A0" w:firstRow="1" w:lastRow="0" w:firstColumn="1" w:lastColumn="0" w:noHBand="0" w:noVBand="1"/>
      </w:tblPr>
      <w:tblGrid>
        <w:gridCol w:w="1792"/>
        <w:gridCol w:w="1578"/>
        <w:gridCol w:w="70"/>
        <w:gridCol w:w="1966"/>
        <w:gridCol w:w="1966"/>
        <w:gridCol w:w="1966"/>
      </w:tblGrid>
      <w:tr w:rsidR="00C50FD8" w14:paraId="12708747" w14:textId="77777777" w:rsidTr="00C50FD8">
        <w:trPr>
          <w:trHeight w:val="503"/>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8BC665F" w14:textId="77777777" w:rsidR="00C50FD8" w:rsidRDefault="00C50FD8">
            <w:pPr>
              <w:jc w:val="center"/>
              <w:rPr>
                <w:rFonts w:ascii="Times New Roman" w:hAnsi="Times New Roman"/>
                <w:b/>
                <w:bCs/>
              </w:rPr>
            </w:pPr>
            <w:r>
              <w:rPr>
                <w:rFonts w:ascii="Times New Roman" w:hAnsi="Times New Roman"/>
                <w:b/>
                <w:bCs/>
              </w:rPr>
              <w:t>Treatment Group</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EAFEDE1" w14:textId="77777777" w:rsidR="00C50FD8" w:rsidRDefault="00C50FD8">
            <w:pPr>
              <w:jc w:val="center"/>
              <w:rPr>
                <w:rFonts w:ascii="Times New Roman" w:hAnsi="Times New Roman"/>
                <w:b/>
                <w:bCs/>
              </w:rPr>
            </w:pPr>
            <w:r>
              <w:rPr>
                <w:rFonts w:ascii="Times New Roman" w:hAnsi="Times New Roman"/>
                <w:b/>
              </w:rPr>
              <w:t>Tannin (mg/ml)</w:t>
            </w:r>
          </w:p>
        </w:tc>
        <w:tc>
          <w:tcPr>
            <w:tcW w:w="0" w:type="auto"/>
            <w:tcBorders>
              <w:top w:val="single" w:sz="4" w:space="0" w:color="auto"/>
              <w:left w:val="nil"/>
              <w:bottom w:val="single" w:sz="4" w:space="0" w:color="auto"/>
              <w:right w:val="nil"/>
            </w:tcBorders>
            <w:tcMar>
              <w:top w:w="15" w:type="dxa"/>
              <w:left w:w="15" w:type="dxa"/>
              <w:bottom w:w="15" w:type="dxa"/>
              <w:right w:w="15" w:type="dxa"/>
            </w:tcMar>
          </w:tcPr>
          <w:p w14:paraId="7E45A062" w14:textId="77777777" w:rsidR="00C50FD8" w:rsidRDefault="00C50FD8">
            <w:pPr>
              <w:jc w:val="center"/>
              <w:rPr>
                <w:rFonts w:ascii="Times New Roman" w:eastAsiaTheme="minorEastAsia" w:hAnsi="Times New Roman"/>
                <w:b/>
              </w:rPr>
            </w:pPr>
          </w:p>
        </w:tc>
        <w:tc>
          <w:tcPr>
            <w:tcW w:w="193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026D306" w14:textId="77777777" w:rsidR="00C50FD8" w:rsidRDefault="00C50FD8">
            <w:pPr>
              <w:jc w:val="center"/>
              <w:rPr>
                <w:rFonts w:ascii="Times New Roman" w:hAnsi="Times New Roman"/>
                <w:b/>
              </w:rPr>
            </w:pPr>
            <w:r>
              <w:rPr>
                <w:rFonts w:ascii="Times New Roman" w:hAnsi="Times New Roman"/>
                <w:b/>
              </w:rPr>
              <w:t>Cyanogenic glycoside</w:t>
            </w:r>
            <w:r>
              <w:rPr>
                <w:rFonts w:ascii="Times New Roman" w:hAnsi="Times New Roman"/>
                <w:b/>
                <w:bCs/>
              </w:rPr>
              <w:t xml:space="preserve"> </w:t>
            </w:r>
            <w:r>
              <w:rPr>
                <w:rFonts w:ascii="Times New Roman" w:hAnsi="Times New Roman"/>
                <w:b/>
              </w:rPr>
              <w:t>(mg/100g)</w:t>
            </w:r>
          </w:p>
        </w:tc>
        <w:tc>
          <w:tcPr>
            <w:tcW w:w="193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C7A7E18" w14:textId="77777777" w:rsidR="00C50FD8" w:rsidRDefault="00C50FD8">
            <w:pPr>
              <w:jc w:val="center"/>
              <w:rPr>
                <w:rFonts w:ascii="Times New Roman" w:hAnsi="Times New Roman"/>
                <w:b/>
              </w:rPr>
            </w:pPr>
            <w:r>
              <w:rPr>
                <w:rFonts w:ascii="Times New Roman" w:hAnsi="Times New Roman"/>
                <w:b/>
              </w:rPr>
              <w:t>Phytate (µg/ml)</w:t>
            </w:r>
          </w:p>
        </w:tc>
        <w:tc>
          <w:tcPr>
            <w:tcW w:w="1921"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24454A9" w14:textId="77777777" w:rsidR="00C50FD8" w:rsidRDefault="00C50FD8">
            <w:pPr>
              <w:jc w:val="center"/>
              <w:rPr>
                <w:rFonts w:ascii="Times New Roman" w:hAnsi="Times New Roman"/>
                <w:b/>
              </w:rPr>
            </w:pPr>
            <w:r>
              <w:rPr>
                <w:rFonts w:ascii="Times New Roman" w:hAnsi="Times New Roman"/>
                <w:b/>
              </w:rPr>
              <w:t>Oxalate (mg/100g)</w:t>
            </w:r>
          </w:p>
        </w:tc>
      </w:tr>
      <w:tr w:rsidR="00C50FD8" w14:paraId="6102CACE" w14:textId="77777777" w:rsidTr="00C50FD8">
        <w:trPr>
          <w:trHeight w:val="827"/>
          <w:tblCellSpacing w:w="15" w:type="dxa"/>
        </w:trPr>
        <w:tc>
          <w:tcPr>
            <w:tcW w:w="0" w:type="auto"/>
            <w:tcMar>
              <w:top w:w="15" w:type="dxa"/>
              <w:left w:w="15" w:type="dxa"/>
              <w:bottom w:w="15" w:type="dxa"/>
              <w:right w:w="15" w:type="dxa"/>
            </w:tcMar>
            <w:vAlign w:val="center"/>
            <w:hideMark/>
          </w:tcPr>
          <w:p w14:paraId="020264E6" w14:textId="77777777" w:rsidR="00C50FD8" w:rsidRDefault="00C50FD8">
            <w:pPr>
              <w:jc w:val="center"/>
              <w:rPr>
                <w:rFonts w:ascii="Times New Roman" w:hAnsi="Times New Roman"/>
              </w:rPr>
            </w:pPr>
            <w:r>
              <w:rPr>
                <w:rFonts w:ascii="Times New Roman" w:hAnsi="Times New Roman"/>
              </w:rPr>
              <w:t>Fermented</w:t>
            </w:r>
          </w:p>
        </w:tc>
        <w:tc>
          <w:tcPr>
            <w:tcW w:w="0" w:type="auto"/>
            <w:tcMar>
              <w:top w:w="15" w:type="dxa"/>
              <w:left w:w="15" w:type="dxa"/>
              <w:bottom w:w="15" w:type="dxa"/>
              <w:right w:w="15" w:type="dxa"/>
            </w:tcMar>
            <w:vAlign w:val="center"/>
            <w:hideMark/>
          </w:tcPr>
          <w:p w14:paraId="30E57537" w14:textId="77777777" w:rsidR="00C50FD8" w:rsidRDefault="00C50FD8">
            <w:pPr>
              <w:jc w:val="center"/>
              <w:rPr>
                <w:rFonts w:ascii="Times New Roman" w:hAnsi="Times New Roman"/>
              </w:rPr>
            </w:pPr>
            <w:r>
              <w:rPr>
                <w:rFonts w:ascii="Times New Roman" w:hAnsi="Times New Roman"/>
              </w:rPr>
              <w:t>48.20 ± 0.35</w:t>
            </w:r>
            <w:r w:rsidRPr="0062641B">
              <w:rPr>
                <w:rFonts w:ascii="Times New Roman" w:hAnsi="Times New Roman"/>
                <w:vertAlign w:val="superscript"/>
              </w:rPr>
              <w:t>b</w:t>
            </w:r>
          </w:p>
        </w:tc>
        <w:tc>
          <w:tcPr>
            <w:tcW w:w="0" w:type="auto"/>
            <w:tcMar>
              <w:top w:w="15" w:type="dxa"/>
              <w:left w:w="15" w:type="dxa"/>
              <w:bottom w:w="15" w:type="dxa"/>
              <w:right w:w="15" w:type="dxa"/>
            </w:tcMar>
          </w:tcPr>
          <w:p w14:paraId="6DCE9885"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29BE197C" w14:textId="77777777" w:rsidR="00C50FD8" w:rsidRDefault="00C50FD8">
            <w:pPr>
              <w:jc w:val="center"/>
              <w:rPr>
                <w:rFonts w:ascii="Times New Roman" w:hAnsi="Times New Roman"/>
              </w:rPr>
            </w:pPr>
            <w:r>
              <w:rPr>
                <w:rFonts w:ascii="Times New Roman" w:hAnsi="Times New Roman"/>
              </w:rPr>
              <w:t>38.62 ± 0.23</w:t>
            </w:r>
            <w:r w:rsidRPr="0062641B">
              <w:rPr>
                <w:rFonts w:ascii="Times New Roman" w:hAnsi="Times New Roman"/>
                <w:vertAlign w:val="superscript"/>
              </w:rPr>
              <w:t>a</w:t>
            </w:r>
          </w:p>
        </w:tc>
        <w:tc>
          <w:tcPr>
            <w:tcW w:w="1936" w:type="dxa"/>
            <w:tcMar>
              <w:top w:w="15" w:type="dxa"/>
              <w:left w:w="15" w:type="dxa"/>
              <w:bottom w:w="15" w:type="dxa"/>
              <w:right w:w="15" w:type="dxa"/>
            </w:tcMar>
            <w:vAlign w:val="center"/>
            <w:hideMark/>
          </w:tcPr>
          <w:p w14:paraId="7CE46490" w14:textId="77777777" w:rsidR="00C50FD8" w:rsidRDefault="00C50FD8">
            <w:pPr>
              <w:jc w:val="center"/>
              <w:rPr>
                <w:rFonts w:ascii="Times New Roman" w:hAnsi="Times New Roman"/>
              </w:rPr>
            </w:pPr>
            <w:r>
              <w:rPr>
                <w:rFonts w:ascii="Times New Roman" w:hAnsi="Times New Roman"/>
              </w:rPr>
              <w:t>7.91 ± 0.08</w:t>
            </w:r>
            <w:r w:rsidRPr="0062641B">
              <w:rPr>
                <w:rFonts w:ascii="Times New Roman" w:hAnsi="Times New Roman"/>
                <w:vertAlign w:val="superscript"/>
              </w:rPr>
              <w:t>a</w:t>
            </w:r>
          </w:p>
        </w:tc>
        <w:tc>
          <w:tcPr>
            <w:tcW w:w="1921" w:type="dxa"/>
            <w:tcMar>
              <w:top w:w="15" w:type="dxa"/>
              <w:left w:w="15" w:type="dxa"/>
              <w:bottom w:w="15" w:type="dxa"/>
              <w:right w:w="15" w:type="dxa"/>
            </w:tcMar>
            <w:vAlign w:val="center"/>
            <w:hideMark/>
          </w:tcPr>
          <w:p w14:paraId="60F2E331" w14:textId="77777777" w:rsidR="00C50FD8" w:rsidRDefault="00C50FD8">
            <w:pPr>
              <w:jc w:val="center"/>
              <w:rPr>
                <w:rFonts w:ascii="Times New Roman" w:hAnsi="Times New Roman"/>
              </w:rPr>
            </w:pPr>
            <w:r>
              <w:rPr>
                <w:rFonts w:ascii="Times New Roman" w:hAnsi="Times New Roman"/>
              </w:rPr>
              <w:t>ND</w:t>
            </w:r>
          </w:p>
        </w:tc>
      </w:tr>
      <w:tr w:rsidR="00C50FD8" w14:paraId="6B246388" w14:textId="77777777" w:rsidTr="00C50FD8">
        <w:trPr>
          <w:trHeight w:val="793"/>
          <w:tblCellSpacing w:w="15" w:type="dxa"/>
        </w:trPr>
        <w:tc>
          <w:tcPr>
            <w:tcW w:w="0" w:type="auto"/>
            <w:tcMar>
              <w:top w:w="15" w:type="dxa"/>
              <w:left w:w="15" w:type="dxa"/>
              <w:bottom w:w="15" w:type="dxa"/>
              <w:right w:w="15" w:type="dxa"/>
            </w:tcMar>
            <w:vAlign w:val="center"/>
            <w:hideMark/>
          </w:tcPr>
          <w:p w14:paraId="432B3247" w14:textId="77777777" w:rsidR="00C50FD8" w:rsidRDefault="00C50FD8">
            <w:pPr>
              <w:jc w:val="center"/>
              <w:rPr>
                <w:rFonts w:ascii="Times New Roman" w:hAnsi="Times New Roman"/>
              </w:rPr>
            </w:pPr>
            <w:r>
              <w:rPr>
                <w:rFonts w:ascii="Times New Roman" w:hAnsi="Times New Roman"/>
              </w:rPr>
              <w:t>Boiled</w:t>
            </w:r>
          </w:p>
        </w:tc>
        <w:tc>
          <w:tcPr>
            <w:tcW w:w="0" w:type="auto"/>
            <w:tcMar>
              <w:top w:w="15" w:type="dxa"/>
              <w:left w:w="15" w:type="dxa"/>
              <w:bottom w:w="15" w:type="dxa"/>
              <w:right w:w="15" w:type="dxa"/>
            </w:tcMar>
            <w:vAlign w:val="center"/>
            <w:hideMark/>
          </w:tcPr>
          <w:p w14:paraId="6B34A7C8" w14:textId="77777777" w:rsidR="00C50FD8" w:rsidRDefault="00C50FD8">
            <w:pPr>
              <w:jc w:val="center"/>
              <w:rPr>
                <w:rFonts w:ascii="Times New Roman" w:hAnsi="Times New Roman"/>
              </w:rPr>
            </w:pPr>
            <w:r>
              <w:rPr>
                <w:rFonts w:ascii="Times New Roman" w:hAnsi="Times New Roman"/>
              </w:rPr>
              <w:t>24.58 ± 0.32</w:t>
            </w:r>
            <w:r w:rsidRPr="0062641B">
              <w:rPr>
                <w:rFonts w:ascii="Times New Roman" w:hAnsi="Times New Roman"/>
                <w:vertAlign w:val="superscript"/>
              </w:rPr>
              <w:t>c</w:t>
            </w:r>
          </w:p>
        </w:tc>
        <w:tc>
          <w:tcPr>
            <w:tcW w:w="0" w:type="auto"/>
            <w:tcMar>
              <w:top w:w="15" w:type="dxa"/>
              <w:left w:w="15" w:type="dxa"/>
              <w:bottom w:w="15" w:type="dxa"/>
              <w:right w:w="15" w:type="dxa"/>
            </w:tcMar>
          </w:tcPr>
          <w:p w14:paraId="5E158343"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7A5998D9" w14:textId="77777777" w:rsidR="00C50FD8" w:rsidRDefault="00C50FD8">
            <w:pPr>
              <w:jc w:val="center"/>
              <w:rPr>
                <w:rFonts w:ascii="Times New Roman" w:hAnsi="Times New Roman"/>
              </w:rPr>
            </w:pPr>
            <w:r>
              <w:rPr>
                <w:rFonts w:ascii="Times New Roman" w:hAnsi="Times New Roman"/>
              </w:rPr>
              <w:t>36.34 ± 0.33</w:t>
            </w:r>
            <w:r>
              <w:rPr>
                <w:rFonts w:ascii="Times New Roman" w:hAnsi="Times New Roman"/>
                <w:vertAlign w:val="subscript"/>
              </w:rPr>
              <w:t>b</w:t>
            </w:r>
          </w:p>
        </w:tc>
        <w:tc>
          <w:tcPr>
            <w:tcW w:w="1936" w:type="dxa"/>
            <w:tcMar>
              <w:top w:w="15" w:type="dxa"/>
              <w:left w:w="15" w:type="dxa"/>
              <w:bottom w:w="15" w:type="dxa"/>
              <w:right w:w="15" w:type="dxa"/>
            </w:tcMar>
            <w:vAlign w:val="center"/>
            <w:hideMark/>
          </w:tcPr>
          <w:p w14:paraId="5A49B22B" w14:textId="77777777" w:rsidR="00C50FD8" w:rsidRDefault="00C50FD8">
            <w:pPr>
              <w:jc w:val="center"/>
              <w:rPr>
                <w:rFonts w:ascii="Times New Roman" w:hAnsi="Times New Roman"/>
              </w:rPr>
            </w:pPr>
            <w:r>
              <w:rPr>
                <w:rFonts w:ascii="Times New Roman" w:hAnsi="Times New Roman"/>
              </w:rPr>
              <w:t>23.05 ± 0.25</w:t>
            </w:r>
            <w:r w:rsidRPr="0062641B">
              <w:rPr>
                <w:rFonts w:ascii="Times New Roman" w:hAnsi="Times New Roman"/>
                <w:vertAlign w:val="superscript"/>
              </w:rPr>
              <w:t>b</w:t>
            </w:r>
          </w:p>
        </w:tc>
        <w:tc>
          <w:tcPr>
            <w:tcW w:w="1921" w:type="dxa"/>
            <w:tcMar>
              <w:top w:w="15" w:type="dxa"/>
              <w:left w:w="15" w:type="dxa"/>
              <w:bottom w:w="15" w:type="dxa"/>
              <w:right w:w="15" w:type="dxa"/>
            </w:tcMar>
            <w:vAlign w:val="center"/>
            <w:hideMark/>
          </w:tcPr>
          <w:p w14:paraId="584506D8" w14:textId="77777777" w:rsidR="00C50FD8" w:rsidRDefault="00C50FD8">
            <w:pPr>
              <w:jc w:val="center"/>
              <w:rPr>
                <w:rFonts w:ascii="Times New Roman" w:hAnsi="Times New Roman"/>
              </w:rPr>
            </w:pPr>
            <w:r>
              <w:rPr>
                <w:rFonts w:ascii="Times New Roman" w:hAnsi="Times New Roman"/>
              </w:rPr>
              <w:t>ND</w:t>
            </w:r>
          </w:p>
        </w:tc>
      </w:tr>
      <w:tr w:rsidR="00C50FD8" w14:paraId="23C20F02" w14:textId="77777777" w:rsidTr="00C50FD8">
        <w:trPr>
          <w:trHeight w:val="793"/>
          <w:tblCellSpacing w:w="15" w:type="dxa"/>
        </w:trPr>
        <w:tc>
          <w:tcPr>
            <w:tcW w:w="0" w:type="auto"/>
            <w:tcMar>
              <w:top w:w="15" w:type="dxa"/>
              <w:left w:w="15" w:type="dxa"/>
              <w:bottom w:w="15" w:type="dxa"/>
              <w:right w:w="15" w:type="dxa"/>
            </w:tcMar>
            <w:vAlign w:val="center"/>
            <w:hideMark/>
          </w:tcPr>
          <w:p w14:paraId="6E0B5B27" w14:textId="77777777" w:rsidR="00C50FD8" w:rsidRDefault="00C50FD8">
            <w:pPr>
              <w:jc w:val="center"/>
              <w:rPr>
                <w:rFonts w:ascii="Times New Roman" w:hAnsi="Times New Roman"/>
              </w:rPr>
            </w:pPr>
            <w:r>
              <w:rPr>
                <w:rFonts w:ascii="Times New Roman" w:hAnsi="Times New Roman"/>
              </w:rPr>
              <w:t>Oven dried</w:t>
            </w:r>
          </w:p>
        </w:tc>
        <w:tc>
          <w:tcPr>
            <w:tcW w:w="0" w:type="auto"/>
            <w:tcMar>
              <w:top w:w="15" w:type="dxa"/>
              <w:left w:w="15" w:type="dxa"/>
              <w:bottom w:w="15" w:type="dxa"/>
              <w:right w:w="15" w:type="dxa"/>
            </w:tcMar>
            <w:vAlign w:val="center"/>
            <w:hideMark/>
          </w:tcPr>
          <w:p w14:paraId="44B4E606" w14:textId="77777777" w:rsidR="00C50FD8" w:rsidRDefault="00C50FD8">
            <w:pPr>
              <w:jc w:val="center"/>
              <w:rPr>
                <w:rFonts w:ascii="Times New Roman" w:hAnsi="Times New Roman"/>
              </w:rPr>
            </w:pPr>
            <w:r>
              <w:rPr>
                <w:rFonts w:ascii="Times New Roman" w:hAnsi="Times New Roman"/>
              </w:rPr>
              <w:t>53.06 ± 0.39</w:t>
            </w:r>
            <w:r w:rsidRPr="0062641B">
              <w:rPr>
                <w:rFonts w:ascii="Times New Roman" w:hAnsi="Times New Roman"/>
                <w:vertAlign w:val="superscript"/>
              </w:rPr>
              <w:t>b</w:t>
            </w:r>
          </w:p>
        </w:tc>
        <w:tc>
          <w:tcPr>
            <w:tcW w:w="0" w:type="auto"/>
            <w:tcMar>
              <w:top w:w="15" w:type="dxa"/>
              <w:left w:w="15" w:type="dxa"/>
              <w:bottom w:w="15" w:type="dxa"/>
              <w:right w:w="15" w:type="dxa"/>
            </w:tcMar>
          </w:tcPr>
          <w:p w14:paraId="6AE93B96" w14:textId="77777777" w:rsidR="00C50FD8" w:rsidRDefault="00C50FD8">
            <w:pPr>
              <w:jc w:val="center"/>
              <w:rPr>
                <w:rFonts w:ascii="Times New Roman" w:hAnsi="Times New Roman"/>
              </w:rPr>
            </w:pPr>
          </w:p>
        </w:tc>
        <w:tc>
          <w:tcPr>
            <w:tcW w:w="1936" w:type="dxa"/>
            <w:tcMar>
              <w:top w:w="15" w:type="dxa"/>
              <w:left w:w="15" w:type="dxa"/>
              <w:bottom w:w="15" w:type="dxa"/>
              <w:right w:w="15" w:type="dxa"/>
            </w:tcMar>
            <w:vAlign w:val="center"/>
            <w:hideMark/>
          </w:tcPr>
          <w:p w14:paraId="109FC74E" w14:textId="77777777" w:rsidR="00C50FD8" w:rsidRDefault="00C50FD8">
            <w:pPr>
              <w:jc w:val="center"/>
              <w:rPr>
                <w:rFonts w:ascii="Times New Roman" w:hAnsi="Times New Roman"/>
              </w:rPr>
            </w:pPr>
            <w:r>
              <w:rPr>
                <w:rFonts w:ascii="Times New Roman" w:hAnsi="Times New Roman"/>
              </w:rPr>
              <w:t>38.62 ± 0.23</w:t>
            </w:r>
            <w:r w:rsidRPr="0062641B">
              <w:rPr>
                <w:rFonts w:ascii="Times New Roman" w:hAnsi="Times New Roman"/>
                <w:vertAlign w:val="superscript"/>
              </w:rPr>
              <w:t>a</w:t>
            </w:r>
          </w:p>
        </w:tc>
        <w:tc>
          <w:tcPr>
            <w:tcW w:w="1936" w:type="dxa"/>
            <w:tcMar>
              <w:top w:w="15" w:type="dxa"/>
              <w:left w:w="15" w:type="dxa"/>
              <w:bottom w:w="15" w:type="dxa"/>
              <w:right w:w="15" w:type="dxa"/>
            </w:tcMar>
            <w:vAlign w:val="center"/>
            <w:hideMark/>
          </w:tcPr>
          <w:p w14:paraId="5CADBEB2" w14:textId="77777777" w:rsidR="00C50FD8" w:rsidRDefault="00C50FD8">
            <w:pPr>
              <w:jc w:val="center"/>
              <w:rPr>
                <w:rFonts w:ascii="Times New Roman" w:hAnsi="Times New Roman"/>
              </w:rPr>
            </w:pPr>
            <w:r>
              <w:rPr>
                <w:rFonts w:ascii="Times New Roman" w:hAnsi="Times New Roman"/>
              </w:rPr>
              <w:t>33.25 ± 0.43</w:t>
            </w:r>
            <w:r w:rsidRPr="0062641B">
              <w:rPr>
                <w:rFonts w:ascii="Times New Roman" w:hAnsi="Times New Roman"/>
                <w:vertAlign w:val="superscript"/>
              </w:rPr>
              <w:t>c</w:t>
            </w:r>
          </w:p>
        </w:tc>
        <w:tc>
          <w:tcPr>
            <w:tcW w:w="1921" w:type="dxa"/>
            <w:tcMar>
              <w:top w:w="15" w:type="dxa"/>
              <w:left w:w="15" w:type="dxa"/>
              <w:bottom w:w="15" w:type="dxa"/>
              <w:right w:w="15" w:type="dxa"/>
            </w:tcMar>
            <w:vAlign w:val="center"/>
            <w:hideMark/>
          </w:tcPr>
          <w:p w14:paraId="107997D2" w14:textId="77777777" w:rsidR="00C50FD8" w:rsidRDefault="00C50FD8">
            <w:pPr>
              <w:jc w:val="center"/>
              <w:rPr>
                <w:rFonts w:ascii="Times New Roman" w:hAnsi="Times New Roman"/>
              </w:rPr>
            </w:pPr>
            <w:r>
              <w:rPr>
                <w:rFonts w:ascii="Times New Roman" w:hAnsi="Times New Roman"/>
              </w:rPr>
              <w:t>ND</w:t>
            </w:r>
          </w:p>
        </w:tc>
      </w:tr>
      <w:tr w:rsidR="00C50FD8" w14:paraId="2FAD851A" w14:textId="77777777" w:rsidTr="00C50FD8">
        <w:trPr>
          <w:trHeight w:val="793"/>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6C690A6" w14:textId="77777777" w:rsidR="00C50FD8" w:rsidRDefault="00C50FD8">
            <w:pPr>
              <w:jc w:val="center"/>
              <w:rPr>
                <w:rFonts w:ascii="Times New Roman" w:hAnsi="Times New Roman"/>
              </w:rPr>
            </w:pPr>
            <w:r>
              <w:rPr>
                <w:rFonts w:ascii="Times New Roman" w:hAnsi="Times New Roman"/>
              </w:rPr>
              <w:t>Control</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AA810BC" w14:textId="77777777" w:rsidR="00C50FD8" w:rsidRDefault="00C50FD8">
            <w:pPr>
              <w:jc w:val="center"/>
              <w:rPr>
                <w:rFonts w:ascii="Times New Roman" w:hAnsi="Times New Roman"/>
              </w:rPr>
            </w:pPr>
            <w:r>
              <w:rPr>
                <w:rFonts w:ascii="Times New Roman" w:hAnsi="Times New Roman"/>
              </w:rPr>
              <w:t>64.52 ± 0.38</w:t>
            </w:r>
            <w:r w:rsidRPr="0062641B">
              <w:rPr>
                <w:rFonts w:ascii="Times New Roman" w:hAnsi="Times New Roman"/>
                <w:vertAlign w:val="superscript"/>
              </w:rPr>
              <w:t>a</w:t>
            </w:r>
          </w:p>
        </w:tc>
        <w:tc>
          <w:tcPr>
            <w:tcW w:w="0" w:type="auto"/>
            <w:tcBorders>
              <w:top w:val="nil"/>
              <w:left w:val="nil"/>
              <w:bottom w:val="single" w:sz="4" w:space="0" w:color="auto"/>
              <w:right w:val="nil"/>
            </w:tcBorders>
            <w:tcMar>
              <w:top w:w="15" w:type="dxa"/>
              <w:left w:w="15" w:type="dxa"/>
              <w:bottom w:w="15" w:type="dxa"/>
              <w:right w:w="15" w:type="dxa"/>
            </w:tcMar>
          </w:tcPr>
          <w:p w14:paraId="4C96F3BB" w14:textId="77777777" w:rsidR="00C50FD8" w:rsidRDefault="00C50FD8">
            <w:pPr>
              <w:jc w:val="center"/>
              <w:rPr>
                <w:rFonts w:ascii="Times New Roman" w:hAnsi="Times New Roman"/>
              </w:rPr>
            </w:pPr>
          </w:p>
        </w:tc>
        <w:tc>
          <w:tcPr>
            <w:tcW w:w="1936" w:type="dxa"/>
            <w:tcBorders>
              <w:top w:val="nil"/>
              <w:left w:val="nil"/>
              <w:bottom w:val="single" w:sz="4" w:space="0" w:color="auto"/>
              <w:right w:val="nil"/>
            </w:tcBorders>
            <w:tcMar>
              <w:top w:w="15" w:type="dxa"/>
              <w:left w:w="15" w:type="dxa"/>
              <w:bottom w:w="15" w:type="dxa"/>
              <w:right w:w="15" w:type="dxa"/>
            </w:tcMar>
            <w:vAlign w:val="center"/>
            <w:hideMark/>
          </w:tcPr>
          <w:p w14:paraId="56113B4D" w14:textId="77777777" w:rsidR="00C50FD8" w:rsidRDefault="00C50FD8">
            <w:pPr>
              <w:jc w:val="center"/>
              <w:rPr>
                <w:rFonts w:ascii="Times New Roman" w:hAnsi="Times New Roman"/>
              </w:rPr>
            </w:pPr>
            <w:r>
              <w:rPr>
                <w:rFonts w:ascii="Times New Roman" w:hAnsi="Times New Roman"/>
              </w:rPr>
              <w:t>453.05 ± 0.49</w:t>
            </w:r>
            <w:r w:rsidRPr="0062641B">
              <w:rPr>
                <w:rFonts w:ascii="Times New Roman" w:hAnsi="Times New Roman"/>
                <w:vertAlign w:val="superscript"/>
              </w:rPr>
              <w:t>c</w:t>
            </w:r>
          </w:p>
        </w:tc>
        <w:tc>
          <w:tcPr>
            <w:tcW w:w="1936" w:type="dxa"/>
            <w:tcBorders>
              <w:top w:val="nil"/>
              <w:left w:val="nil"/>
              <w:bottom w:val="single" w:sz="4" w:space="0" w:color="auto"/>
              <w:right w:val="nil"/>
            </w:tcBorders>
            <w:tcMar>
              <w:top w:w="15" w:type="dxa"/>
              <w:left w:w="15" w:type="dxa"/>
              <w:bottom w:w="15" w:type="dxa"/>
              <w:right w:w="15" w:type="dxa"/>
            </w:tcMar>
            <w:vAlign w:val="center"/>
            <w:hideMark/>
          </w:tcPr>
          <w:p w14:paraId="6E1CE82A" w14:textId="77777777" w:rsidR="00C50FD8" w:rsidRDefault="00C50FD8">
            <w:pPr>
              <w:jc w:val="center"/>
              <w:rPr>
                <w:rFonts w:ascii="Times New Roman" w:hAnsi="Times New Roman"/>
              </w:rPr>
            </w:pPr>
            <w:r>
              <w:rPr>
                <w:rFonts w:ascii="Times New Roman" w:hAnsi="Times New Roman"/>
              </w:rPr>
              <w:t>33.25 ± 0.43</w:t>
            </w:r>
            <w:r w:rsidRPr="0062641B">
              <w:rPr>
                <w:rFonts w:ascii="Times New Roman" w:hAnsi="Times New Roman"/>
                <w:vertAlign w:val="superscript"/>
              </w:rPr>
              <w:t>c</w:t>
            </w:r>
          </w:p>
        </w:tc>
        <w:tc>
          <w:tcPr>
            <w:tcW w:w="1921" w:type="dxa"/>
            <w:tcBorders>
              <w:top w:val="nil"/>
              <w:left w:val="nil"/>
              <w:bottom w:val="single" w:sz="4" w:space="0" w:color="auto"/>
              <w:right w:val="nil"/>
            </w:tcBorders>
            <w:tcMar>
              <w:top w:w="15" w:type="dxa"/>
              <w:left w:w="15" w:type="dxa"/>
              <w:bottom w:w="15" w:type="dxa"/>
              <w:right w:w="15" w:type="dxa"/>
            </w:tcMar>
            <w:vAlign w:val="center"/>
            <w:hideMark/>
          </w:tcPr>
          <w:p w14:paraId="66038260" w14:textId="77777777" w:rsidR="00C50FD8" w:rsidRDefault="00C50FD8">
            <w:pPr>
              <w:jc w:val="center"/>
              <w:rPr>
                <w:rFonts w:ascii="Times New Roman" w:hAnsi="Times New Roman"/>
              </w:rPr>
            </w:pPr>
            <w:r>
              <w:rPr>
                <w:rFonts w:ascii="Times New Roman" w:hAnsi="Times New Roman"/>
              </w:rPr>
              <w:t>4.06 ± 0.88</w:t>
            </w:r>
          </w:p>
        </w:tc>
      </w:tr>
    </w:tbl>
    <w:p w14:paraId="2ED80353" w14:textId="77777777" w:rsidR="00C50FD8" w:rsidRDefault="00C50FD8" w:rsidP="00C50FD8">
      <w:pPr>
        <w:spacing w:before="100" w:beforeAutospacing="1" w:after="100" w:afterAutospacing="1"/>
        <w:outlineLvl w:val="2"/>
        <w:rPr>
          <w:rFonts w:ascii="Times New Roman" w:hAnsi="Times New Roman"/>
          <w:i/>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 ND = Not Detected.</w:t>
      </w:r>
    </w:p>
    <w:p w14:paraId="30044891" w14:textId="268D8D84" w:rsidR="008940D6" w:rsidRPr="006B21D6" w:rsidRDefault="008940D6" w:rsidP="006B21D6">
      <w:pPr>
        <w:spacing w:before="100" w:beforeAutospacing="1" w:after="100" w:afterAutospacing="1"/>
        <w:outlineLvl w:val="2"/>
        <w:rPr>
          <w:rFonts w:ascii="Times New Roman" w:eastAsiaTheme="minorEastAsia" w:hAnsi="Times New Roman"/>
          <w:kern w:val="2"/>
          <w14:ligatures w14:val="standardContextual"/>
        </w:rPr>
      </w:pPr>
    </w:p>
    <w:p w14:paraId="2F60AC1B" w14:textId="77777777" w:rsidR="00C50FD8" w:rsidRPr="006578BB" w:rsidRDefault="00C50FD8" w:rsidP="00C50FD8">
      <w:pPr>
        <w:spacing w:before="240"/>
        <w:jc w:val="both"/>
        <w:rPr>
          <w:rFonts w:ascii="Times New Roman" w:eastAsiaTheme="minorEastAsia" w:hAnsi="Times New Roman"/>
          <w:kern w:val="2"/>
          <w14:ligatures w14:val="standardContextual"/>
        </w:rPr>
      </w:pPr>
      <w:r>
        <w:rPr>
          <w:rFonts w:ascii="Times New Roman" w:hAnsi="Times New Roman"/>
          <w:bCs/>
          <w:highlight w:val="yellow"/>
        </w:rPr>
        <w:t>in vitro</w:t>
      </w:r>
      <w:r>
        <w:rPr>
          <w:rFonts w:ascii="Times New Roman" w:hAnsi="Times New Roman"/>
          <w:bCs/>
        </w:rPr>
        <w:t xml:space="preserve"> protein digestibility of water hyacinth (</w:t>
      </w:r>
      <w:r w:rsidR="009E4DDC" w:rsidRPr="009E4DDC">
        <w:rPr>
          <w:rFonts w:ascii="Times New Roman" w:hAnsi="Times New Roman"/>
          <w:bCs/>
          <w:i/>
          <w:iCs/>
        </w:rPr>
        <w:t>Eichhornia crassipes</w:t>
      </w:r>
      <w:r>
        <w:rPr>
          <w:rFonts w:ascii="Times New Roman" w:hAnsi="Times New Roman"/>
          <w:bCs/>
        </w:rPr>
        <w:t xml:space="preserve">) following </w:t>
      </w:r>
      <w:r>
        <w:rPr>
          <w:rFonts w:ascii="Times New Roman" w:hAnsi="Times New Roman"/>
          <w:bCs/>
        </w:rPr>
        <w:tab/>
        <w:t>sequential pepsin–pancreatin digestion</w:t>
      </w:r>
    </w:p>
    <w:p w14:paraId="2AB761F3" w14:textId="77777777" w:rsidR="00C50FD8" w:rsidRDefault="00C50FD8" w:rsidP="00C50FD8">
      <w:pPr>
        <w:pStyle w:val="NormalWeb"/>
        <w:spacing w:before="0" w:beforeAutospacing="0" w:after="0" w:afterAutospacing="0" w:line="480" w:lineRule="auto"/>
        <w:jc w:val="both"/>
      </w:pPr>
      <w:r>
        <w:t xml:space="preserve">The final </w:t>
      </w:r>
      <w:r>
        <w:rPr>
          <w:highlight w:val="yellow"/>
        </w:rPr>
        <w:t>in vitro</w:t>
      </w:r>
      <w:r>
        <w:t xml:space="preserve"> protein digestibility of water hyacinth (</w:t>
      </w:r>
      <w:r w:rsidR="009E4DDC" w:rsidRPr="009E4DDC">
        <w:rPr>
          <w:rStyle w:val="Emphasis"/>
          <w:rFonts w:eastAsiaTheme="majorEastAsia"/>
          <w:highlight w:val="yellow"/>
        </w:rPr>
        <w:t>Eichhornia crassipes</w:t>
      </w:r>
      <w:r>
        <w:t>) varied significantly among the processing treatments. Fermented water hyacinth recorded the highest protein digestibility (</w:t>
      </w:r>
      <w:r>
        <w:rPr>
          <w:rStyle w:val="Strong"/>
          <w:rFonts w:eastAsiaTheme="majorEastAsia"/>
          <w:b w:val="0"/>
        </w:rPr>
        <w:t>74.63 ± 0.82%</w:t>
      </w:r>
      <w:r>
        <w:rPr>
          <w:b/>
        </w:rPr>
        <w:t>),</w:t>
      </w:r>
      <w:r>
        <w:t xml:space="preserve"> followed by boiled (</w:t>
      </w:r>
      <w:r>
        <w:rPr>
          <w:rStyle w:val="Strong"/>
          <w:rFonts w:eastAsiaTheme="majorEastAsia"/>
          <w:b w:val="0"/>
        </w:rPr>
        <w:t>68.47 ± 0.76%</w:t>
      </w:r>
      <w:r>
        <w:rPr>
          <w:b/>
        </w:rPr>
        <w:t>)</w:t>
      </w:r>
      <w:r>
        <w:t xml:space="preserve"> and oven-dried samples (</w:t>
      </w:r>
      <w:r>
        <w:rPr>
          <w:rStyle w:val="Strong"/>
          <w:rFonts w:eastAsiaTheme="majorEastAsia"/>
          <w:b w:val="0"/>
        </w:rPr>
        <w:t>62.83 ± 0.69%</w:t>
      </w:r>
      <w:r>
        <w:rPr>
          <w:b/>
        </w:rPr>
        <w:t>),</w:t>
      </w:r>
      <w:r>
        <w:t xml:space="preserve"> while the control recorded the lowest value (</w:t>
      </w:r>
      <w:r>
        <w:rPr>
          <w:rStyle w:val="Strong"/>
          <w:rFonts w:eastAsiaTheme="majorEastAsia"/>
          <w:b w:val="0"/>
        </w:rPr>
        <w:t>57.26 ± 0.73%</w:t>
      </w:r>
      <w:r>
        <w:rPr>
          <w:b/>
        </w:rPr>
        <w:t>).</w:t>
      </w:r>
      <w:r>
        <w:t xml:space="preserve"> The significantly higher digestibility observed in the fermented sample indicates that fermentation enhanced the susceptibility of water hyacinth proteins to enzymatic hydrolysis during the sequential pepsin-pancreatin digestion.</w:t>
      </w:r>
    </w:p>
    <w:p w14:paraId="58356E75" w14:textId="77777777" w:rsidR="00C50FD8" w:rsidRDefault="00C50FD8" w:rsidP="00C50FD8">
      <w:pPr>
        <w:pStyle w:val="NormalWeb"/>
        <w:spacing w:before="0" w:beforeAutospacing="0" w:after="0" w:afterAutospacing="0" w:line="480" w:lineRule="auto"/>
        <w:jc w:val="both"/>
      </w:pPr>
      <w:r>
        <w:t xml:space="preserve">The high digestibility recorded after fermentation may be associated with microbial degradation of complex plant structures and partial breakdown of protein-associated components during fermentation. This may have increased </w:t>
      </w:r>
      <w:r>
        <w:lastRenderedPageBreak/>
        <w:t xml:space="preserve">the accessibility of proteins to pepsin and pancreatic proteolytic enzymes. The boiled sample also showed improved protein digestibility </w:t>
      </w:r>
      <w:r w:rsidRPr="006578BB">
        <w:rPr>
          <w:b/>
        </w:rPr>
        <w:t>(</w:t>
      </w:r>
      <w:r w:rsidRPr="006578BB">
        <w:rPr>
          <w:rStyle w:val="Strong"/>
          <w:rFonts w:eastAsiaTheme="majorEastAsia"/>
          <w:b w:val="0"/>
        </w:rPr>
        <w:t>68.47 ± 0.76%</w:t>
      </w:r>
      <w:r w:rsidRPr="006578BB">
        <w:rPr>
          <w:b/>
        </w:rPr>
        <w:t>)</w:t>
      </w:r>
      <w:r>
        <w:t xml:space="preserve"> compared with the control, suggesting that heat treatment may have disrupted cellular structures and facilitated enzyme access to proteins. However, </w:t>
      </w:r>
      <w:r>
        <w:rPr>
          <w:highlight w:val="yellow"/>
        </w:rPr>
        <w:t>its effect was less pronounced than that of fermentation</w:t>
      </w:r>
      <w:r>
        <w:t>.</w:t>
      </w:r>
    </w:p>
    <w:p w14:paraId="14DB6DC6" w14:textId="77777777" w:rsidR="00C50FD8" w:rsidRDefault="00C50FD8" w:rsidP="00C50FD8">
      <w:pPr>
        <w:pStyle w:val="NormalWeb"/>
        <w:spacing w:before="0" w:beforeAutospacing="0" w:after="0" w:afterAutospacing="0" w:line="480" w:lineRule="auto"/>
        <w:jc w:val="both"/>
      </w:pPr>
      <w:r>
        <w:t xml:space="preserve">Oven drying resulted in a moderate increase in protein digestibility </w:t>
      </w:r>
      <w:r>
        <w:rPr>
          <w:b/>
        </w:rPr>
        <w:t>(</w:t>
      </w:r>
      <w:r>
        <w:rPr>
          <w:rStyle w:val="Strong"/>
          <w:rFonts w:eastAsiaTheme="majorEastAsia"/>
          <w:b w:val="0"/>
        </w:rPr>
        <w:t>62.83 ± 0.69%</w:t>
      </w:r>
      <w:r>
        <w:rPr>
          <w:b/>
        </w:rPr>
        <w:t>)</w:t>
      </w:r>
      <w:r>
        <w:t xml:space="preserve"> compared with the untreated control </w:t>
      </w:r>
      <w:r>
        <w:rPr>
          <w:b/>
        </w:rPr>
        <w:t>(</w:t>
      </w:r>
      <w:r>
        <w:rPr>
          <w:rStyle w:val="Strong"/>
          <w:rFonts w:eastAsiaTheme="majorEastAsia"/>
          <w:b w:val="0"/>
        </w:rPr>
        <w:t>57.26 ± 0.73%</w:t>
      </w:r>
      <w:r>
        <w:rPr>
          <w:b/>
        </w:rPr>
        <w:t>).</w:t>
      </w:r>
      <w:r>
        <w:t xml:space="preserve"> The relatively smaller improvement may indicate that drying mainly removed moisture without substantially modifying the structural components surrounding the proteins. The progressive increase in digestibility from control to oven drying, boiling and fermentation suggests that processing improved the accessibility and potential </w:t>
      </w:r>
      <w:proofErr w:type="spellStart"/>
      <w:r w:rsidR="0062641B">
        <w:rPr>
          <w:highlight w:val="yellow"/>
        </w:rPr>
        <w:t>utilisation</w:t>
      </w:r>
      <w:proofErr w:type="spellEnd"/>
      <w:r>
        <w:t xml:space="preserve"> of water hyacinth protein, with fermentation being the most effective treatment under the conditions of this study.</w:t>
      </w:r>
    </w:p>
    <w:p w14:paraId="410F14A7" w14:textId="77777777" w:rsidR="00C50FD8" w:rsidRPr="006578BB" w:rsidRDefault="00C50FD8" w:rsidP="00C50FD8">
      <w:pPr>
        <w:spacing w:before="240"/>
        <w:jc w:val="both"/>
        <w:rPr>
          <w:rFonts w:ascii="Times New Roman" w:eastAsiaTheme="minorEastAsia" w:hAnsi="Times New Roman"/>
          <w:kern w:val="2"/>
          <w14:ligatures w14:val="standardContextual"/>
        </w:rPr>
      </w:pPr>
      <w:r w:rsidRPr="006578BB">
        <w:rPr>
          <w:rFonts w:ascii="Times New Roman" w:hAnsi="Times New Roman"/>
          <w:bCs/>
        </w:rPr>
        <w:t>Table 5: In-vitro protein digestibility of water hyacinth (</w:t>
      </w:r>
      <w:r w:rsidR="009E4DDC" w:rsidRPr="009E4DDC">
        <w:rPr>
          <w:rFonts w:ascii="Times New Roman" w:hAnsi="Times New Roman"/>
          <w:bCs/>
          <w:i/>
          <w:iCs/>
        </w:rPr>
        <w:t>Eichhornia crassipes</w:t>
      </w:r>
      <w:r w:rsidRPr="006578BB">
        <w:rPr>
          <w:rFonts w:ascii="Times New Roman" w:hAnsi="Times New Roman"/>
          <w:bCs/>
        </w:rPr>
        <w:t>) following sequential pepsin-pancreatin digestion</w:t>
      </w:r>
    </w:p>
    <w:tbl>
      <w:tblPr>
        <w:tblW w:w="9238" w:type="dxa"/>
        <w:tblCellSpacing w:w="15" w:type="dxa"/>
        <w:tblBorders>
          <w:top w:val="single" w:sz="4" w:space="0" w:color="auto"/>
          <w:bottom w:val="single" w:sz="4" w:space="0" w:color="auto"/>
        </w:tblBorders>
        <w:tblLook w:val="04A0" w:firstRow="1" w:lastRow="0" w:firstColumn="1" w:lastColumn="0" w:noHBand="0" w:noVBand="1"/>
      </w:tblPr>
      <w:tblGrid>
        <w:gridCol w:w="2619"/>
        <w:gridCol w:w="2485"/>
        <w:gridCol w:w="4134"/>
      </w:tblGrid>
      <w:tr w:rsidR="00C50FD8" w:rsidRPr="006578BB" w14:paraId="0761DD76" w14:textId="77777777" w:rsidTr="00C50FD8">
        <w:trPr>
          <w:trHeight w:val="466"/>
          <w:tblHeader/>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A982EB2" w14:textId="77777777" w:rsidR="00C50FD8" w:rsidRPr="009B279C" w:rsidRDefault="00C50FD8">
            <w:pPr>
              <w:jc w:val="center"/>
              <w:rPr>
                <w:rFonts w:ascii="Times New Roman" w:hAnsi="Times New Roman"/>
                <w:b/>
                <w:bCs/>
              </w:rPr>
            </w:pPr>
            <w:r w:rsidRPr="009B279C">
              <w:rPr>
                <w:rFonts w:ascii="Times New Roman" w:hAnsi="Times New Roman"/>
                <w:b/>
                <w:bCs/>
              </w:rPr>
              <w:t>Treatment Group</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B444F50" w14:textId="77777777" w:rsidR="00C50FD8" w:rsidRPr="009B279C" w:rsidRDefault="00C50FD8">
            <w:pPr>
              <w:jc w:val="center"/>
              <w:rPr>
                <w:rFonts w:ascii="Times New Roman" w:hAnsi="Times New Roman"/>
                <w:b/>
                <w:bCs/>
              </w:rPr>
            </w:pPr>
            <w:r w:rsidRPr="009B279C">
              <w:rPr>
                <w:rFonts w:ascii="Times New Roman" w:hAnsi="Times New Roman"/>
                <w:b/>
                <w:bCs/>
              </w:rPr>
              <w:t>After Pepsin (%)</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6A37239" w14:textId="77777777" w:rsidR="00C50FD8" w:rsidRPr="009B279C" w:rsidRDefault="00C50FD8">
            <w:pPr>
              <w:jc w:val="center"/>
              <w:rPr>
                <w:rFonts w:ascii="Times New Roman" w:hAnsi="Times New Roman"/>
                <w:b/>
                <w:bCs/>
              </w:rPr>
            </w:pPr>
            <w:r w:rsidRPr="009B279C">
              <w:rPr>
                <w:rFonts w:ascii="Times New Roman" w:hAnsi="Times New Roman"/>
                <w:b/>
                <w:bCs/>
              </w:rPr>
              <w:t>Final Pepsin-Pancreatin (%)</w:t>
            </w:r>
          </w:p>
        </w:tc>
      </w:tr>
      <w:tr w:rsidR="00C50FD8" w14:paraId="5FCFAD6C" w14:textId="77777777" w:rsidTr="00C50FD8">
        <w:trPr>
          <w:trHeight w:val="601"/>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5079A8CB" w14:textId="77777777" w:rsidR="00C50FD8" w:rsidRDefault="00C50FD8">
            <w:pPr>
              <w:jc w:val="center"/>
              <w:rPr>
                <w:rFonts w:ascii="Times New Roman" w:hAnsi="Times New Roman"/>
              </w:rPr>
            </w:pPr>
            <w:r>
              <w:rPr>
                <w:rFonts w:ascii="Times New Roman" w:hAnsi="Times New Roman"/>
              </w:rPr>
              <w:t>Fermented</w:t>
            </w:r>
          </w:p>
        </w:tc>
        <w:tc>
          <w:tcPr>
            <w:tcW w:w="0" w:type="auto"/>
            <w:tcBorders>
              <w:top w:val="nil"/>
              <w:left w:val="nil"/>
              <w:bottom w:val="nil"/>
              <w:right w:val="nil"/>
            </w:tcBorders>
            <w:tcMar>
              <w:top w:w="15" w:type="dxa"/>
              <w:left w:w="15" w:type="dxa"/>
              <w:bottom w:w="15" w:type="dxa"/>
              <w:right w:w="15" w:type="dxa"/>
            </w:tcMar>
            <w:vAlign w:val="center"/>
            <w:hideMark/>
          </w:tcPr>
          <w:p w14:paraId="664D6509" w14:textId="77777777" w:rsidR="00C50FD8" w:rsidRDefault="00C50FD8">
            <w:pPr>
              <w:jc w:val="center"/>
              <w:rPr>
                <w:rFonts w:ascii="Times New Roman" w:hAnsi="Times New Roman"/>
              </w:rPr>
            </w:pPr>
            <w:r>
              <w:rPr>
                <w:rFonts w:ascii="Times New Roman" w:hAnsi="Times New Roman"/>
                <w:bCs/>
              </w:rPr>
              <w:t>58.42 ± 0.71ᵃ</w:t>
            </w:r>
          </w:p>
        </w:tc>
        <w:tc>
          <w:tcPr>
            <w:tcW w:w="0" w:type="auto"/>
            <w:tcBorders>
              <w:top w:val="nil"/>
              <w:left w:val="nil"/>
              <w:bottom w:val="nil"/>
              <w:right w:val="nil"/>
            </w:tcBorders>
            <w:tcMar>
              <w:top w:w="15" w:type="dxa"/>
              <w:left w:w="15" w:type="dxa"/>
              <w:bottom w:w="15" w:type="dxa"/>
              <w:right w:w="15" w:type="dxa"/>
            </w:tcMar>
            <w:vAlign w:val="center"/>
            <w:hideMark/>
          </w:tcPr>
          <w:p w14:paraId="4229FCAF" w14:textId="77777777" w:rsidR="00C50FD8" w:rsidRDefault="00C50FD8">
            <w:pPr>
              <w:jc w:val="center"/>
              <w:rPr>
                <w:rFonts w:ascii="Times New Roman" w:hAnsi="Times New Roman"/>
              </w:rPr>
            </w:pPr>
            <w:r>
              <w:rPr>
                <w:rFonts w:ascii="Times New Roman" w:hAnsi="Times New Roman"/>
                <w:bCs/>
              </w:rPr>
              <w:t>74.63 ± 0.82ᵃ</w:t>
            </w:r>
          </w:p>
        </w:tc>
      </w:tr>
      <w:tr w:rsidR="00C50FD8" w14:paraId="4BB66C3D"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3D3CFEFF" w14:textId="77777777" w:rsidR="00C50FD8" w:rsidRDefault="00C50FD8">
            <w:pPr>
              <w:jc w:val="center"/>
              <w:rPr>
                <w:rFonts w:ascii="Times New Roman" w:hAnsi="Times New Roman"/>
              </w:rPr>
            </w:pPr>
            <w:r>
              <w:rPr>
                <w:rFonts w:ascii="Times New Roman" w:hAnsi="Times New Roman"/>
              </w:rPr>
              <w:t>Boiled</w:t>
            </w:r>
          </w:p>
        </w:tc>
        <w:tc>
          <w:tcPr>
            <w:tcW w:w="0" w:type="auto"/>
            <w:tcBorders>
              <w:top w:val="nil"/>
              <w:left w:val="nil"/>
              <w:bottom w:val="nil"/>
              <w:right w:val="nil"/>
            </w:tcBorders>
            <w:tcMar>
              <w:top w:w="15" w:type="dxa"/>
              <w:left w:w="15" w:type="dxa"/>
              <w:bottom w:w="15" w:type="dxa"/>
              <w:right w:w="15" w:type="dxa"/>
            </w:tcMar>
            <w:vAlign w:val="center"/>
            <w:hideMark/>
          </w:tcPr>
          <w:p w14:paraId="680F52A7" w14:textId="77777777" w:rsidR="00C50FD8" w:rsidRDefault="00C50FD8">
            <w:pPr>
              <w:jc w:val="center"/>
              <w:rPr>
                <w:rFonts w:ascii="Times New Roman" w:hAnsi="Times New Roman"/>
              </w:rPr>
            </w:pPr>
            <w:r>
              <w:rPr>
                <w:rFonts w:ascii="Times New Roman" w:hAnsi="Times New Roman"/>
                <w:bCs/>
              </w:rPr>
              <w:t>53.17 ± 0.68ᵇ</w:t>
            </w:r>
          </w:p>
        </w:tc>
        <w:tc>
          <w:tcPr>
            <w:tcW w:w="0" w:type="auto"/>
            <w:tcBorders>
              <w:top w:val="nil"/>
              <w:left w:val="nil"/>
              <w:bottom w:val="nil"/>
              <w:right w:val="nil"/>
            </w:tcBorders>
            <w:tcMar>
              <w:top w:w="15" w:type="dxa"/>
              <w:left w:w="15" w:type="dxa"/>
              <w:bottom w:w="15" w:type="dxa"/>
              <w:right w:w="15" w:type="dxa"/>
            </w:tcMar>
            <w:vAlign w:val="center"/>
            <w:hideMark/>
          </w:tcPr>
          <w:p w14:paraId="2EE2BE97" w14:textId="77777777" w:rsidR="00C50FD8" w:rsidRDefault="00C50FD8">
            <w:pPr>
              <w:jc w:val="center"/>
              <w:rPr>
                <w:rFonts w:ascii="Times New Roman" w:hAnsi="Times New Roman"/>
              </w:rPr>
            </w:pPr>
            <w:r>
              <w:rPr>
                <w:rFonts w:ascii="Times New Roman" w:hAnsi="Times New Roman"/>
                <w:bCs/>
              </w:rPr>
              <w:t>68.47 ± 0.76ᵇ</w:t>
            </w:r>
          </w:p>
        </w:tc>
      </w:tr>
      <w:tr w:rsidR="00C50FD8" w14:paraId="6BD5525B"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306341A5" w14:textId="77777777" w:rsidR="00C50FD8" w:rsidRDefault="00C50FD8">
            <w:pPr>
              <w:jc w:val="center"/>
              <w:rPr>
                <w:rFonts w:ascii="Times New Roman" w:hAnsi="Times New Roman"/>
              </w:rPr>
            </w:pPr>
            <w:r>
              <w:rPr>
                <w:rFonts w:ascii="Times New Roman" w:hAnsi="Times New Roman"/>
              </w:rPr>
              <w:t>Oven dried</w:t>
            </w:r>
          </w:p>
        </w:tc>
        <w:tc>
          <w:tcPr>
            <w:tcW w:w="0" w:type="auto"/>
            <w:tcBorders>
              <w:top w:val="nil"/>
              <w:left w:val="nil"/>
              <w:bottom w:val="nil"/>
              <w:right w:val="nil"/>
            </w:tcBorders>
            <w:tcMar>
              <w:top w:w="15" w:type="dxa"/>
              <w:left w:w="15" w:type="dxa"/>
              <w:bottom w:w="15" w:type="dxa"/>
              <w:right w:w="15" w:type="dxa"/>
            </w:tcMar>
            <w:vAlign w:val="center"/>
            <w:hideMark/>
          </w:tcPr>
          <w:p w14:paraId="6ADA167A" w14:textId="77777777" w:rsidR="00C50FD8" w:rsidRDefault="00C50FD8">
            <w:pPr>
              <w:jc w:val="center"/>
              <w:rPr>
                <w:rFonts w:ascii="Times New Roman" w:hAnsi="Times New Roman"/>
              </w:rPr>
            </w:pPr>
            <w:r>
              <w:rPr>
                <w:rFonts w:ascii="Times New Roman" w:hAnsi="Times New Roman"/>
                <w:bCs/>
              </w:rPr>
              <w:t>48.36 ± 0.64ᶜ</w:t>
            </w:r>
          </w:p>
        </w:tc>
        <w:tc>
          <w:tcPr>
            <w:tcW w:w="0" w:type="auto"/>
            <w:tcBorders>
              <w:top w:val="nil"/>
              <w:left w:val="nil"/>
              <w:bottom w:val="nil"/>
              <w:right w:val="nil"/>
            </w:tcBorders>
            <w:tcMar>
              <w:top w:w="15" w:type="dxa"/>
              <w:left w:w="15" w:type="dxa"/>
              <w:bottom w:w="15" w:type="dxa"/>
              <w:right w:w="15" w:type="dxa"/>
            </w:tcMar>
            <w:vAlign w:val="center"/>
            <w:hideMark/>
          </w:tcPr>
          <w:p w14:paraId="4B9D47B9" w14:textId="77777777" w:rsidR="00C50FD8" w:rsidRDefault="00C50FD8">
            <w:pPr>
              <w:jc w:val="center"/>
              <w:rPr>
                <w:rFonts w:ascii="Times New Roman" w:hAnsi="Times New Roman"/>
              </w:rPr>
            </w:pPr>
            <w:r>
              <w:rPr>
                <w:rFonts w:ascii="Times New Roman" w:hAnsi="Times New Roman"/>
                <w:bCs/>
              </w:rPr>
              <w:t>62.83 ± 0.69ᶜ</w:t>
            </w:r>
          </w:p>
        </w:tc>
      </w:tr>
      <w:tr w:rsidR="00C50FD8" w14:paraId="3C696095" w14:textId="77777777" w:rsidTr="00C50FD8">
        <w:trPr>
          <w:trHeight w:val="578"/>
          <w:tblCellSpacing w:w="15" w:type="dxa"/>
        </w:trPr>
        <w:tc>
          <w:tcPr>
            <w:tcW w:w="0" w:type="auto"/>
            <w:tcBorders>
              <w:top w:val="nil"/>
              <w:left w:val="nil"/>
              <w:bottom w:val="nil"/>
              <w:right w:val="nil"/>
            </w:tcBorders>
            <w:tcMar>
              <w:top w:w="15" w:type="dxa"/>
              <w:left w:w="15" w:type="dxa"/>
              <w:bottom w:w="15" w:type="dxa"/>
              <w:right w:w="15" w:type="dxa"/>
            </w:tcMar>
            <w:vAlign w:val="center"/>
            <w:hideMark/>
          </w:tcPr>
          <w:p w14:paraId="71C55834" w14:textId="77777777" w:rsidR="00C50FD8" w:rsidRDefault="00C50FD8">
            <w:pPr>
              <w:jc w:val="center"/>
              <w:rPr>
                <w:rFonts w:ascii="Times New Roman" w:hAnsi="Times New Roman"/>
              </w:rPr>
            </w:pPr>
            <w:r>
              <w:rPr>
                <w:rFonts w:ascii="Times New Roman" w:hAnsi="Times New Roman"/>
              </w:rPr>
              <w:t>Control</w:t>
            </w:r>
          </w:p>
        </w:tc>
        <w:tc>
          <w:tcPr>
            <w:tcW w:w="0" w:type="auto"/>
            <w:tcBorders>
              <w:top w:val="nil"/>
              <w:left w:val="nil"/>
              <w:bottom w:val="nil"/>
              <w:right w:val="nil"/>
            </w:tcBorders>
            <w:tcMar>
              <w:top w:w="15" w:type="dxa"/>
              <w:left w:w="15" w:type="dxa"/>
              <w:bottom w:w="15" w:type="dxa"/>
              <w:right w:w="15" w:type="dxa"/>
            </w:tcMar>
            <w:vAlign w:val="center"/>
            <w:hideMark/>
          </w:tcPr>
          <w:p w14:paraId="3AD5B981" w14:textId="77777777" w:rsidR="00C50FD8" w:rsidRDefault="00C50FD8">
            <w:pPr>
              <w:jc w:val="center"/>
              <w:rPr>
                <w:rFonts w:ascii="Times New Roman" w:hAnsi="Times New Roman"/>
              </w:rPr>
            </w:pPr>
            <w:r>
              <w:rPr>
                <w:rFonts w:ascii="Times New Roman" w:hAnsi="Times New Roman"/>
                <w:bCs/>
              </w:rPr>
              <w:t>42.73 ± 0.59ᵈ</w:t>
            </w:r>
          </w:p>
        </w:tc>
        <w:tc>
          <w:tcPr>
            <w:tcW w:w="0" w:type="auto"/>
            <w:tcBorders>
              <w:top w:val="nil"/>
              <w:left w:val="nil"/>
              <w:bottom w:val="nil"/>
              <w:right w:val="nil"/>
            </w:tcBorders>
            <w:tcMar>
              <w:top w:w="15" w:type="dxa"/>
              <w:left w:w="15" w:type="dxa"/>
              <w:bottom w:w="15" w:type="dxa"/>
              <w:right w:w="15" w:type="dxa"/>
            </w:tcMar>
            <w:vAlign w:val="center"/>
            <w:hideMark/>
          </w:tcPr>
          <w:p w14:paraId="343A5205" w14:textId="77777777" w:rsidR="00C50FD8" w:rsidRDefault="00C50FD8">
            <w:pPr>
              <w:jc w:val="center"/>
              <w:rPr>
                <w:rFonts w:ascii="Times New Roman" w:hAnsi="Times New Roman"/>
              </w:rPr>
            </w:pPr>
            <w:r>
              <w:rPr>
                <w:rFonts w:ascii="Times New Roman" w:hAnsi="Times New Roman"/>
                <w:bCs/>
              </w:rPr>
              <w:t>57.26 ± 0.73ᵈ</w:t>
            </w:r>
          </w:p>
        </w:tc>
      </w:tr>
    </w:tbl>
    <w:p w14:paraId="31AB1B02" w14:textId="77777777" w:rsidR="00C50FD8" w:rsidRDefault="00C50FD8" w:rsidP="00C50FD8">
      <w:pPr>
        <w:spacing w:before="100" w:beforeAutospacing="1" w:after="100" w:afterAutospacing="1"/>
        <w:outlineLvl w:val="2"/>
        <w:rPr>
          <w:rFonts w:ascii="Times New Roman" w:hAnsi="Times New Roman"/>
          <w:i/>
        </w:rPr>
      </w:pPr>
      <w:r>
        <w:rPr>
          <w:rFonts w:ascii="Times New Roman" w:hAnsi="Times New Roman"/>
          <w:i/>
        </w:rPr>
        <w:t>Means with different superscript letters indicate significant differences, while means sharing the same letter indicate no significant difference at (</w:t>
      </w:r>
      <w:r>
        <w:rPr>
          <w:rStyle w:val="Emphasis"/>
          <w:rFonts w:ascii="Times New Roman" w:hAnsi="Times New Roman"/>
        </w:rPr>
        <w:t>p</w:t>
      </w:r>
      <w:r>
        <w:rPr>
          <w:rFonts w:ascii="Times New Roman" w:hAnsi="Times New Roman"/>
          <w:i/>
        </w:rPr>
        <w:t xml:space="preserve"> &lt; 0.05).</w:t>
      </w:r>
    </w:p>
    <w:p w14:paraId="0C37DE44" w14:textId="1F6E648B" w:rsidR="008940D6" w:rsidRPr="008940D6" w:rsidRDefault="008940D6" w:rsidP="00C50FD8">
      <w:pPr>
        <w:spacing w:before="100" w:beforeAutospacing="1" w:after="100" w:afterAutospacing="1"/>
        <w:outlineLvl w:val="2"/>
        <w:rPr>
          <w:rFonts w:ascii="Times New Roman" w:eastAsiaTheme="minorEastAsia" w:hAnsi="Times New Roman"/>
          <w:kern w:val="2"/>
          <w14:ligatures w14:val="standardContextual"/>
        </w:rPr>
      </w:pPr>
    </w:p>
    <w:p w14:paraId="56569591" w14:textId="77777777" w:rsidR="00C50FD8" w:rsidRPr="006578BB" w:rsidRDefault="00C50FD8" w:rsidP="00C50FD8">
      <w:pPr>
        <w:spacing w:before="240" w:after="100" w:afterAutospacing="1"/>
        <w:jc w:val="both"/>
        <w:outlineLvl w:val="2"/>
        <w:rPr>
          <w:rFonts w:ascii="Times New Roman" w:hAnsi="Times New Roman"/>
        </w:rPr>
      </w:pPr>
      <w:r>
        <w:rPr>
          <w:rFonts w:ascii="Times New Roman" w:hAnsi="Times New Roman"/>
        </w:rPr>
        <w:t xml:space="preserve">Pearson correlation between selected anti-nutritional factors and </w:t>
      </w:r>
      <w:r>
        <w:rPr>
          <w:rFonts w:ascii="Times New Roman" w:hAnsi="Times New Roman"/>
          <w:highlight w:val="yellow"/>
        </w:rPr>
        <w:t>in vitro</w:t>
      </w:r>
      <w:r>
        <w:rPr>
          <w:rFonts w:ascii="Times New Roman" w:hAnsi="Times New Roman"/>
        </w:rPr>
        <w:t xml:space="preserve"> protein </w:t>
      </w:r>
      <w:r>
        <w:rPr>
          <w:rFonts w:ascii="Times New Roman" w:hAnsi="Times New Roman"/>
        </w:rPr>
        <w:tab/>
        <w:t>digestibility of water hyacinth (</w:t>
      </w:r>
      <w:r w:rsidR="009E4DDC" w:rsidRPr="009E4DDC">
        <w:rPr>
          <w:rStyle w:val="Emphasis"/>
          <w:rFonts w:ascii="Times New Roman" w:hAnsi="Times New Roman"/>
          <w:highlight w:val="yellow"/>
        </w:rPr>
        <w:t>Eichhornia crassipes</w:t>
      </w:r>
      <w:r>
        <w:rPr>
          <w:rFonts w:ascii="Times New Roman" w:hAnsi="Times New Roman"/>
        </w:rPr>
        <w:t>)</w:t>
      </w:r>
    </w:p>
    <w:p w14:paraId="52B4C4B9" w14:textId="77777777" w:rsidR="00C50FD8" w:rsidRDefault="00C50FD8" w:rsidP="00C50FD8">
      <w:pPr>
        <w:pStyle w:val="NormalWeb"/>
        <w:spacing w:before="0" w:beforeAutospacing="0" w:after="0" w:afterAutospacing="0" w:line="480" w:lineRule="auto"/>
        <w:jc w:val="both"/>
      </w:pPr>
      <w:r>
        <w:t xml:space="preserve">The correlation analysis demonstrated very </w:t>
      </w:r>
      <w:r>
        <w:rPr>
          <w:rStyle w:val="Strong"/>
          <w:rFonts w:eastAsiaTheme="majorEastAsia"/>
          <w:b w:val="0"/>
        </w:rPr>
        <w:t>strong negative associations</w:t>
      </w:r>
      <w:r>
        <w:t xml:space="preserve"> between the anti-nutritional factors and final pepsin-pancreatin protein digestion across the treatment groups. The strongest inverse relationship was observed between tannin and final protein digestion in the oven-dried and control samples (r = -0.986), whereas the weakest relationship was observed between phytate and final protein digestion in the oven-dried and control samples (r = </w:t>
      </w:r>
      <w:r>
        <w:rPr>
          <w:highlight w:val="yellow"/>
        </w:rPr>
        <w:t>-</w:t>
      </w:r>
      <w:r>
        <w:t xml:space="preserve">0.899) in each case. Despite being the weakest correlation, the </w:t>
      </w:r>
      <w:proofErr w:type="spellStart"/>
      <w:r>
        <w:t>r-value</w:t>
      </w:r>
      <w:proofErr w:type="spellEnd"/>
      <w:r>
        <w:t xml:space="preserve"> of -0.899 indicates a very </w:t>
      </w:r>
      <w:r>
        <w:lastRenderedPageBreak/>
        <w:t xml:space="preserve">strong inverse association, suggesting that higher levels of phytate were associated with lower final protein digestion. These findings suggest that reductions in anti-nutritional factors following processing may be associated with improved protein accessibility and susceptibility to enzymatic digestion. </w:t>
      </w:r>
    </w:p>
    <w:p w14:paraId="7BEBE05E" w14:textId="77777777" w:rsidR="00C50FD8" w:rsidRPr="006578BB" w:rsidRDefault="00C50FD8" w:rsidP="00C50FD8">
      <w:pPr>
        <w:spacing w:line="360" w:lineRule="auto"/>
        <w:jc w:val="both"/>
        <w:rPr>
          <w:rFonts w:ascii="Times New Roman" w:hAnsi="Times New Roman"/>
        </w:rPr>
      </w:pPr>
      <w:r w:rsidRPr="006578BB">
        <w:rPr>
          <w:rFonts w:ascii="Times New Roman" w:hAnsi="Times New Roman"/>
        </w:rPr>
        <w:t>Table 6: Pearson Correlation Between Selected Anti-Nutritional Factors and In-Vitro Protein Digestibility of Water Hyacinth (</w:t>
      </w:r>
      <w:r w:rsidR="009E4DDC" w:rsidRPr="009E4DDC">
        <w:rPr>
          <w:rStyle w:val="Emphasis"/>
          <w:rFonts w:ascii="Times New Roman" w:hAnsi="Times New Roman"/>
        </w:rPr>
        <w:t>Eichhornia crassipes</w:t>
      </w:r>
      <w:r w:rsidRPr="006578BB">
        <w:rPr>
          <w:rFonts w:ascii="Times New Roman" w:hAnsi="Times New Roman"/>
        </w:rPr>
        <w:t>)</w:t>
      </w:r>
    </w:p>
    <w:tbl>
      <w:tblPr>
        <w:tblW w:w="9360" w:type="dxa"/>
        <w:tblCellSpacing w:w="15" w:type="dxa"/>
        <w:tblLook w:val="04A0" w:firstRow="1" w:lastRow="0" w:firstColumn="1" w:lastColumn="0" w:noHBand="0" w:noVBand="1"/>
      </w:tblPr>
      <w:tblGrid>
        <w:gridCol w:w="2950"/>
        <w:gridCol w:w="2255"/>
        <w:gridCol w:w="4155"/>
      </w:tblGrid>
      <w:tr w:rsidR="00C50FD8" w:rsidRPr="009B279C" w14:paraId="70C3FE36" w14:textId="77777777" w:rsidTr="00C50FD8">
        <w:trPr>
          <w:trHeight w:val="657"/>
          <w:tblCellSpacing w:w="15" w:type="dxa"/>
        </w:trPr>
        <w:tc>
          <w:tcPr>
            <w:tcW w:w="2905" w:type="dxa"/>
            <w:tcBorders>
              <w:top w:val="single" w:sz="4" w:space="0" w:color="auto"/>
              <w:left w:val="nil"/>
              <w:bottom w:val="nil"/>
              <w:right w:val="nil"/>
            </w:tcBorders>
            <w:tcMar>
              <w:top w:w="15" w:type="dxa"/>
              <w:left w:w="15" w:type="dxa"/>
              <w:bottom w:w="15" w:type="dxa"/>
              <w:right w:w="15" w:type="dxa"/>
            </w:tcMar>
            <w:vAlign w:val="center"/>
            <w:hideMark/>
          </w:tcPr>
          <w:p w14:paraId="230B7D52" w14:textId="77777777" w:rsidR="00C50FD8" w:rsidRPr="009B279C" w:rsidRDefault="00C50FD8">
            <w:pPr>
              <w:spacing w:line="360" w:lineRule="auto"/>
              <w:jc w:val="center"/>
              <w:rPr>
                <w:rFonts w:ascii="Times New Roman" w:hAnsi="Times New Roman"/>
                <w:b/>
              </w:rPr>
            </w:pPr>
            <w:r w:rsidRPr="009B279C">
              <w:rPr>
                <w:rFonts w:ascii="Times New Roman" w:hAnsi="Times New Roman"/>
                <w:b/>
              </w:rPr>
              <w:t>Treatment group</w:t>
            </w:r>
          </w:p>
        </w:tc>
        <w:tc>
          <w:tcPr>
            <w:tcW w:w="2225" w:type="dxa"/>
            <w:tcBorders>
              <w:top w:val="single" w:sz="4" w:space="0" w:color="auto"/>
              <w:left w:val="nil"/>
              <w:bottom w:val="nil"/>
              <w:right w:val="nil"/>
            </w:tcBorders>
            <w:tcMar>
              <w:top w:w="15" w:type="dxa"/>
              <w:left w:w="15" w:type="dxa"/>
              <w:bottom w:w="15" w:type="dxa"/>
              <w:right w:w="15" w:type="dxa"/>
            </w:tcMar>
            <w:vAlign w:val="center"/>
            <w:hideMark/>
          </w:tcPr>
          <w:p w14:paraId="0AD38058" w14:textId="77777777" w:rsidR="00C50FD8" w:rsidRPr="009B279C" w:rsidRDefault="00C50FD8">
            <w:pPr>
              <w:spacing w:line="360" w:lineRule="auto"/>
              <w:jc w:val="center"/>
              <w:rPr>
                <w:rFonts w:ascii="Times New Roman" w:hAnsi="Times New Roman"/>
                <w:b/>
              </w:rPr>
            </w:pPr>
            <w:r w:rsidRPr="009B279C">
              <w:rPr>
                <w:rFonts w:ascii="Times New Roman" w:hAnsi="Times New Roman"/>
                <w:b/>
              </w:rPr>
              <w:t>Anti-nutritional factors</w:t>
            </w:r>
          </w:p>
        </w:tc>
        <w:tc>
          <w:tcPr>
            <w:tcW w:w="4110" w:type="dxa"/>
            <w:tcBorders>
              <w:top w:val="single" w:sz="4" w:space="0" w:color="auto"/>
              <w:left w:val="nil"/>
              <w:bottom w:val="nil"/>
              <w:right w:val="nil"/>
            </w:tcBorders>
            <w:tcMar>
              <w:top w:w="15" w:type="dxa"/>
              <w:left w:w="15" w:type="dxa"/>
              <w:bottom w:w="15" w:type="dxa"/>
              <w:right w:w="15" w:type="dxa"/>
            </w:tcMar>
            <w:vAlign w:val="center"/>
            <w:hideMark/>
          </w:tcPr>
          <w:p w14:paraId="6EEF635E" w14:textId="77777777" w:rsidR="00C50FD8" w:rsidRPr="009B279C" w:rsidRDefault="00C50FD8">
            <w:pPr>
              <w:spacing w:line="360" w:lineRule="auto"/>
              <w:jc w:val="center"/>
              <w:rPr>
                <w:rFonts w:ascii="Times New Roman" w:hAnsi="Times New Roman"/>
                <w:b/>
              </w:rPr>
            </w:pPr>
            <w:r w:rsidRPr="009B279C">
              <w:rPr>
                <w:rFonts w:ascii="Times New Roman" w:hAnsi="Times New Roman"/>
                <w:b/>
              </w:rPr>
              <w:t>Final Pepsin-Pancreatin (r)</w:t>
            </w:r>
          </w:p>
        </w:tc>
      </w:tr>
      <w:tr w:rsidR="00C50FD8" w14:paraId="10AB34BC" w14:textId="77777777" w:rsidTr="00C50FD8">
        <w:trPr>
          <w:trHeight w:val="284"/>
          <w:tblCellSpacing w:w="15" w:type="dxa"/>
        </w:trPr>
        <w:tc>
          <w:tcPr>
            <w:tcW w:w="2905" w:type="dxa"/>
            <w:tcBorders>
              <w:top w:val="single" w:sz="4" w:space="0" w:color="auto"/>
              <w:left w:val="nil"/>
              <w:bottom w:val="nil"/>
              <w:right w:val="nil"/>
            </w:tcBorders>
            <w:tcMar>
              <w:top w:w="15" w:type="dxa"/>
              <w:left w:w="15" w:type="dxa"/>
              <w:bottom w:w="15" w:type="dxa"/>
              <w:right w:w="15" w:type="dxa"/>
            </w:tcMar>
            <w:vAlign w:val="center"/>
            <w:hideMark/>
          </w:tcPr>
          <w:p w14:paraId="29FC6191" w14:textId="77777777" w:rsidR="00C50FD8" w:rsidRDefault="00C50FD8">
            <w:pPr>
              <w:spacing w:line="360" w:lineRule="auto"/>
              <w:jc w:val="center"/>
              <w:rPr>
                <w:rFonts w:ascii="Times New Roman" w:hAnsi="Times New Roman"/>
              </w:rPr>
            </w:pPr>
            <w:r>
              <w:rPr>
                <w:rFonts w:ascii="Times New Roman" w:hAnsi="Times New Roman"/>
              </w:rPr>
              <w:t>Fermented</w:t>
            </w:r>
          </w:p>
        </w:tc>
        <w:tc>
          <w:tcPr>
            <w:tcW w:w="2225" w:type="dxa"/>
            <w:tcBorders>
              <w:top w:val="single" w:sz="4" w:space="0" w:color="auto"/>
              <w:left w:val="nil"/>
              <w:bottom w:val="nil"/>
              <w:right w:val="nil"/>
            </w:tcBorders>
            <w:tcMar>
              <w:top w:w="15" w:type="dxa"/>
              <w:left w:w="15" w:type="dxa"/>
              <w:bottom w:w="15" w:type="dxa"/>
              <w:right w:w="15" w:type="dxa"/>
            </w:tcMar>
            <w:vAlign w:val="center"/>
            <w:hideMark/>
          </w:tcPr>
          <w:p w14:paraId="5237CC92"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Borders>
              <w:top w:val="single" w:sz="4" w:space="0" w:color="auto"/>
              <w:left w:val="nil"/>
              <w:bottom w:val="nil"/>
              <w:right w:val="nil"/>
            </w:tcBorders>
            <w:tcMar>
              <w:top w:w="15" w:type="dxa"/>
              <w:left w:w="15" w:type="dxa"/>
              <w:bottom w:w="15" w:type="dxa"/>
              <w:right w:w="15" w:type="dxa"/>
            </w:tcMar>
            <w:vAlign w:val="center"/>
            <w:hideMark/>
          </w:tcPr>
          <w:p w14:paraId="41AFCF29" w14:textId="77777777" w:rsidR="00C50FD8" w:rsidRDefault="00C50FD8">
            <w:pPr>
              <w:spacing w:line="360" w:lineRule="auto"/>
              <w:jc w:val="center"/>
              <w:rPr>
                <w:rFonts w:ascii="Times New Roman" w:hAnsi="Times New Roman"/>
              </w:rPr>
            </w:pPr>
            <w:r>
              <w:rPr>
                <w:rFonts w:ascii="Times New Roman" w:hAnsi="Times New Roman"/>
              </w:rPr>
              <w:t>−0.94</w:t>
            </w:r>
          </w:p>
        </w:tc>
      </w:tr>
      <w:tr w:rsidR="00C50FD8" w14:paraId="5BBC33F1" w14:textId="77777777" w:rsidTr="00C50FD8">
        <w:trPr>
          <w:trHeight w:val="555"/>
          <w:tblCellSpacing w:w="15" w:type="dxa"/>
        </w:trPr>
        <w:tc>
          <w:tcPr>
            <w:tcW w:w="2905" w:type="dxa"/>
            <w:tcMar>
              <w:top w:w="15" w:type="dxa"/>
              <w:left w:w="15" w:type="dxa"/>
              <w:bottom w:w="15" w:type="dxa"/>
              <w:right w:w="15" w:type="dxa"/>
            </w:tcMar>
            <w:vAlign w:val="center"/>
            <w:hideMark/>
          </w:tcPr>
          <w:p w14:paraId="1312C5CC"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523AF11C"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3A409C62" w14:textId="77777777" w:rsidR="00C50FD8" w:rsidRDefault="00C50FD8">
            <w:pPr>
              <w:spacing w:line="360" w:lineRule="auto"/>
              <w:jc w:val="center"/>
              <w:rPr>
                <w:rFonts w:ascii="Times New Roman" w:hAnsi="Times New Roman"/>
              </w:rPr>
            </w:pPr>
            <w:r>
              <w:rPr>
                <w:rFonts w:ascii="Times New Roman" w:hAnsi="Times New Roman"/>
              </w:rPr>
              <w:t>−0.96</w:t>
            </w:r>
          </w:p>
        </w:tc>
      </w:tr>
      <w:tr w:rsidR="00C50FD8" w14:paraId="388B9393" w14:textId="77777777" w:rsidTr="00C50FD8">
        <w:trPr>
          <w:trHeight w:val="284"/>
          <w:tblCellSpacing w:w="15" w:type="dxa"/>
        </w:trPr>
        <w:tc>
          <w:tcPr>
            <w:tcW w:w="2905" w:type="dxa"/>
            <w:tcMar>
              <w:top w:w="15" w:type="dxa"/>
              <w:left w:w="15" w:type="dxa"/>
              <w:bottom w:w="15" w:type="dxa"/>
              <w:right w:w="15" w:type="dxa"/>
            </w:tcMar>
            <w:vAlign w:val="center"/>
            <w:hideMark/>
          </w:tcPr>
          <w:p w14:paraId="5E21844F"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46DDA9C8"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40C74AC1" w14:textId="77777777" w:rsidR="00C50FD8" w:rsidRDefault="00C50FD8">
            <w:pPr>
              <w:spacing w:line="360" w:lineRule="auto"/>
              <w:jc w:val="center"/>
              <w:rPr>
                <w:rFonts w:ascii="Times New Roman" w:hAnsi="Times New Roman"/>
              </w:rPr>
            </w:pPr>
            <w:r>
              <w:rPr>
                <w:rFonts w:ascii="Times New Roman" w:hAnsi="Times New Roman"/>
              </w:rPr>
              <w:t>−0.93</w:t>
            </w:r>
          </w:p>
        </w:tc>
      </w:tr>
      <w:tr w:rsidR="00C50FD8" w14:paraId="4886C489" w14:textId="77777777" w:rsidTr="00C50FD8">
        <w:trPr>
          <w:trHeight w:val="271"/>
          <w:tblCellSpacing w:w="15" w:type="dxa"/>
        </w:trPr>
        <w:tc>
          <w:tcPr>
            <w:tcW w:w="2905" w:type="dxa"/>
            <w:tcMar>
              <w:top w:w="15" w:type="dxa"/>
              <w:left w:w="15" w:type="dxa"/>
              <w:bottom w:w="15" w:type="dxa"/>
              <w:right w:w="15" w:type="dxa"/>
            </w:tcMar>
            <w:vAlign w:val="center"/>
            <w:hideMark/>
          </w:tcPr>
          <w:p w14:paraId="5DA9307D" w14:textId="77777777" w:rsidR="00C50FD8" w:rsidRDefault="00C50FD8">
            <w:pPr>
              <w:spacing w:line="360" w:lineRule="auto"/>
              <w:jc w:val="center"/>
              <w:rPr>
                <w:rFonts w:ascii="Times New Roman" w:hAnsi="Times New Roman"/>
              </w:rPr>
            </w:pPr>
            <w:r>
              <w:rPr>
                <w:rFonts w:ascii="Times New Roman" w:hAnsi="Times New Roman"/>
              </w:rPr>
              <w:t>Boiled</w:t>
            </w:r>
          </w:p>
        </w:tc>
        <w:tc>
          <w:tcPr>
            <w:tcW w:w="2225" w:type="dxa"/>
            <w:tcMar>
              <w:top w:w="15" w:type="dxa"/>
              <w:left w:w="15" w:type="dxa"/>
              <w:bottom w:w="15" w:type="dxa"/>
              <w:right w:w="15" w:type="dxa"/>
            </w:tcMar>
            <w:vAlign w:val="center"/>
            <w:hideMark/>
          </w:tcPr>
          <w:p w14:paraId="3EB60D31"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6924EC36" w14:textId="77777777" w:rsidR="00C50FD8" w:rsidRDefault="00C50FD8">
            <w:pPr>
              <w:spacing w:line="360" w:lineRule="auto"/>
              <w:jc w:val="center"/>
              <w:rPr>
                <w:rFonts w:ascii="Times New Roman" w:hAnsi="Times New Roman"/>
              </w:rPr>
            </w:pPr>
            <w:r>
              <w:rPr>
                <w:rFonts w:ascii="Times New Roman" w:hAnsi="Times New Roman"/>
              </w:rPr>
              <w:t>−0.902</w:t>
            </w:r>
          </w:p>
        </w:tc>
      </w:tr>
      <w:tr w:rsidR="00C50FD8" w14:paraId="60B7FBBD" w14:textId="77777777" w:rsidTr="00C50FD8">
        <w:trPr>
          <w:trHeight w:val="555"/>
          <w:tblCellSpacing w:w="15" w:type="dxa"/>
        </w:trPr>
        <w:tc>
          <w:tcPr>
            <w:tcW w:w="2905" w:type="dxa"/>
            <w:tcMar>
              <w:top w:w="15" w:type="dxa"/>
              <w:left w:w="15" w:type="dxa"/>
              <w:bottom w:w="15" w:type="dxa"/>
              <w:right w:w="15" w:type="dxa"/>
            </w:tcMar>
            <w:vAlign w:val="center"/>
            <w:hideMark/>
          </w:tcPr>
          <w:p w14:paraId="752E8B57"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15A48510"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63918569" w14:textId="77777777" w:rsidR="00C50FD8" w:rsidRDefault="00C50FD8">
            <w:pPr>
              <w:spacing w:line="360" w:lineRule="auto"/>
              <w:jc w:val="center"/>
              <w:rPr>
                <w:rFonts w:ascii="Times New Roman" w:hAnsi="Times New Roman"/>
              </w:rPr>
            </w:pPr>
            <w:r>
              <w:rPr>
                <w:rFonts w:ascii="Times New Roman" w:hAnsi="Times New Roman"/>
              </w:rPr>
              <w:t>−0.937</w:t>
            </w:r>
          </w:p>
        </w:tc>
      </w:tr>
      <w:tr w:rsidR="00C50FD8" w14:paraId="3DF04FA5" w14:textId="77777777" w:rsidTr="00C50FD8">
        <w:trPr>
          <w:trHeight w:val="284"/>
          <w:tblCellSpacing w:w="15" w:type="dxa"/>
        </w:trPr>
        <w:tc>
          <w:tcPr>
            <w:tcW w:w="2905" w:type="dxa"/>
            <w:tcMar>
              <w:top w:w="15" w:type="dxa"/>
              <w:left w:w="15" w:type="dxa"/>
              <w:bottom w:w="15" w:type="dxa"/>
              <w:right w:w="15" w:type="dxa"/>
            </w:tcMar>
            <w:vAlign w:val="center"/>
            <w:hideMark/>
          </w:tcPr>
          <w:p w14:paraId="0D415F66"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1FF58873"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298066B1" w14:textId="77777777" w:rsidR="00C50FD8" w:rsidRDefault="00C50FD8">
            <w:pPr>
              <w:spacing w:line="360" w:lineRule="auto"/>
              <w:jc w:val="center"/>
              <w:rPr>
                <w:rFonts w:ascii="Times New Roman" w:hAnsi="Times New Roman"/>
              </w:rPr>
            </w:pPr>
            <w:r>
              <w:rPr>
                <w:rFonts w:ascii="Times New Roman" w:hAnsi="Times New Roman"/>
              </w:rPr>
              <w:t>−0.912</w:t>
            </w:r>
          </w:p>
        </w:tc>
      </w:tr>
      <w:tr w:rsidR="00C50FD8" w14:paraId="1AB84EE9" w14:textId="77777777" w:rsidTr="00C50FD8">
        <w:trPr>
          <w:trHeight w:val="284"/>
          <w:tblCellSpacing w:w="15" w:type="dxa"/>
        </w:trPr>
        <w:tc>
          <w:tcPr>
            <w:tcW w:w="2905" w:type="dxa"/>
            <w:tcMar>
              <w:top w:w="15" w:type="dxa"/>
              <w:left w:w="15" w:type="dxa"/>
              <w:bottom w:w="15" w:type="dxa"/>
              <w:right w:w="15" w:type="dxa"/>
            </w:tcMar>
            <w:vAlign w:val="center"/>
            <w:hideMark/>
          </w:tcPr>
          <w:p w14:paraId="472C4163" w14:textId="77777777" w:rsidR="00C50FD8" w:rsidRDefault="00C50FD8">
            <w:pPr>
              <w:spacing w:line="360" w:lineRule="auto"/>
              <w:jc w:val="center"/>
              <w:rPr>
                <w:rFonts w:ascii="Times New Roman" w:hAnsi="Times New Roman"/>
              </w:rPr>
            </w:pPr>
            <w:r>
              <w:rPr>
                <w:rFonts w:ascii="Times New Roman" w:hAnsi="Times New Roman"/>
              </w:rPr>
              <w:t>Oven-dried</w:t>
            </w:r>
          </w:p>
        </w:tc>
        <w:tc>
          <w:tcPr>
            <w:tcW w:w="2225" w:type="dxa"/>
            <w:tcMar>
              <w:top w:w="15" w:type="dxa"/>
              <w:left w:w="15" w:type="dxa"/>
              <w:bottom w:w="15" w:type="dxa"/>
              <w:right w:w="15" w:type="dxa"/>
            </w:tcMar>
            <w:vAlign w:val="center"/>
            <w:hideMark/>
          </w:tcPr>
          <w:p w14:paraId="07D541A5"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1B43FFC8" w14:textId="77777777" w:rsidR="00C50FD8" w:rsidRDefault="00C50FD8">
            <w:pPr>
              <w:spacing w:line="360" w:lineRule="auto"/>
              <w:jc w:val="center"/>
              <w:rPr>
                <w:rFonts w:ascii="Times New Roman" w:hAnsi="Times New Roman"/>
              </w:rPr>
            </w:pPr>
            <w:r>
              <w:rPr>
                <w:rFonts w:ascii="Times New Roman" w:hAnsi="Times New Roman"/>
              </w:rPr>
              <w:t>−0.986</w:t>
            </w:r>
          </w:p>
        </w:tc>
      </w:tr>
      <w:tr w:rsidR="00C50FD8" w14:paraId="2A01115A" w14:textId="77777777" w:rsidTr="00C50FD8">
        <w:trPr>
          <w:trHeight w:val="555"/>
          <w:tblCellSpacing w:w="15" w:type="dxa"/>
        </w:trPr>
        <w:tc>
          <w:tcPr>
            <w:tcW w:w="2905" w:type="dxa"/>
            <w:tcMar>
              <w:top w:w="15" w:type="dxa"/>
              <w:left w:w="15" w:type="dxa"/>
              <w:bottom w:w="15" w:type="dxa"/>
              <w:right w:w="15" w:type="dxa"/>
            </w:tcMar>
            <w:vAlign w:val="center"/>
            <w:hideMark/>
          </w:tcPr>
          <w:p w14:paraId="2BB7FD6A"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4C818AE6"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20BA66A8" w14:textId="77777777" w:rsidR="00C50FD8" w:rsidRDefault="00C50FD8">
            <w:pPr>
              <w:spacing w:line="360" w:lineRule="auto"/>
              <w:jc w:val="center"/>
              <w:rPr>
                <w:rFonts w:ascii="Times New Roman" w:hAnsi="Times New Roman"/>
              </w:rPr>
            </w:pPr>
            <w:r>
              <w:rPr>
                <w:rFonts w:ascii="Times New Roman" w:hAnsi="Times New Roman"/>
              </w:rPr>
              <w:t>−0.908</w:t>
            </w:r>
          </w:p>
        </w:tc>
      </w:tr>
      <w:tr w:rsidR="00C50FD8" w14:paraId="1674876B" w14:textId="77777777" w:rsidTr="00C50FD8">
        <w:trPr>
          <w:trHeight w:val="271"/>
          <w:tblCellSpacing w:w="15" w:type="dxa"/>
        </w:trPr>
        <w:tc>
          <w:tcPr>
            <w:tcW w:w="2905" w:type="dxa"/>
            <w:tcMar>
              <w:top w:w="15" w:type="dxa"/>
              <w:left w:w="15" w:type="dxa"/>
              <w:bottom w:w="15" w:type="dxa"/>
              <w:right w:w="15" w:type="dxa"/>
            </w:tcMar>
            <w:vAlign w:val="center"/>
            <w:hideMark/>
          </w:tcPr>
          <w:p w14:paraId="060366C4"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4B8A221A"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Mar>
              <w:top w:w="15" w:type="dxa"/>
              <w:left w:w="15" w:type="dxa"/>
              <w:bottom w:w="15" w:type="dxa"/>
              <w:right w:w="15" w:type="dxa"/>
            </w:tcMar>
            <w:vAlign w:val="center"/>
            <w:hideMark/>
          </w:tcPr>
          <w:p w14:paraId="0D4B226E" w14:textId="77777777" w:rsidR="00C50FD8" w:rsidRDefault="00C50FD8">
            <w:pPr>
              <w:spacing w:line="360" w:lineRule="auto"/>
              <w:jc w:val="center"/>
              <w:rPr>
                <w:rFonts w:ascii="Times New Roman" w:hAnsi="Times New Roman"/>
              </w:rPr>
            </w:pPr>
            <w:r>
              <w:rPr>
                <w:rFonts w:ascii="Times New Roman" w:hAnsi="Times New Roman"/>
              </w:rPr>
              <w:t>−0.899</w:t>
            </w:r>
          </w:p>
        </w:tc>
      </w:tr>
      <w:tr w:rsidR="00C50FD8" w14:paraId="0BCDDC2D" w14:textId="77777777" w:rsidTr="00C50FD8">
        <w:trPr>
          <w:trHeight w:val="284"/>
          <w:tblCellSpacing w:w="15" w:type="dxa"/>
        </w:trPr>
        <w:tc>
          <w:tcPr>
            <w:tcW w:w="2905" w:type="dxa"/>
            <w:tcMar>
              <w:top w:w="15" w:type="dxa"/>
              <w:left w:w="15" w:type="dxa"/>
              <w:bottom w:w="15" w:type="dxa"/>
              <w:right w:w="15" w:type="dxa"/>
            </w:tcMar>
            <w:vAlign w:val="center"/>
            <w:hideMark/>
          </w:tcPr>
          <w:p w14:paraId="0F7BC2DB" w14:textId="77777777" w:rsidR="00C50FD8" w:rsidRDefault="00C50FD8">
            <w:pPr>
              <w:spacing w:line="360" w:lineRule="auto"/>
              <w:jc w:val="center"/>
              <w:rPr>
                <w:rFonts w:ascii="Times New Roman" w:hAnsi="Times New Roman"/>
              </w:rPr>
            </w:pPr>
            <w:r>
              <w:rPr>
                <w:rFonts w:ascii="Times New Roman" w:hAnsi="Times New Roman"/>
              </w:rPr>
              <w:t>Control</w:t>
            </w:r>
          </w:p>
        </w:tc>
        <w:tc>
          <w:tcPr>
            <w:tcW w:w="2225" w:type="dxa"/>
            <w:tcMar>
              <w:top w:w="15" w:type="dxa"/>
              <w:left w:w="15" w:type="dxa"/>
              <w:bottom w:w="15" w:type="dxa"/>
              <w:right w:w="15" w:type="dxa"/>
            </w:tcMar>
            <w:vAlign w:val="center"/>
            <w:hideMark/>
          </w:tcPr>
          <w:p w14:paraId="19EEFAC4" w14:textId="77777777" w:rsidR="00C50FD8" w:rsidRDefault="00C50FD8">
            <w:pPr>
              <w:spacing w:line="360" w:lineRule="auto"/>
              <w:jc w:val="center"/>
              <w:rPr>
                <w:rFonts w:ascii="Times New Roman" w:hAnsi="Times New Roman"/>
              </w:rPr>
            </w:pPr>
            <w:r>
              <w:rPr>
                <w:rFonts w:ascii="Times New Roman" w:hAnsi="Times New Roman"/>
              </w:rPr>
              <w:t>Tannin</w:t>
            </w:r>
          </w:p>
        </w:tc>
        <w:tc>
          <w:tcPr>
            <w:tcW w:w="4110" w:type="dxa"/>
            <w:tcMar>
              <w:top w:w="15" w:type="dxa"/>
              <w:left w:w="15" w:type="dxa"/>
              <w:bottom w:w="15" w:type="dxa"/>
              <w:right w:w="15" w:type="dxa"/>
            </w:tcMar>
            <w:vAlign w:val="center"/>
            <w:hideMark/>
          </w:tcPr>
          <w:p w14:paraId="0016F551" w14:textId="77777777" w:rsidR="00C50FD8" w:rsidRDefault="00C50FD8">
            <w:pPr>
              <w:spacing w:line="360" w:lineRule="auto"/>
              <w:jc w:val="center"/>
              <w:rPr>
                <w:rFonts w:ascii="Times New Roman" w:hAnsi="Times New Roman"/>
              </w:rPr>
            </w:pPr>
            <w:r>
              <w:rPr>
                <w:rFonts w:ascii="Times New Roman" w:hAnsi="Times New Roman"/>
              </w:rPr>
              <w:t>−0.960</w:t>
            </w:r>
          </w:p>
        </w:tc>
      </w:tr>
      <w:tr w:rsidR="00C50FD8" w14:paraId="291281CC" w14:textId="77777777" w:rsidTr="00C50FD8">
        <w:trPr>
          <w:trHeight w:val="555"/>
          <w:tblCellSpacing w:w="15" w:type="dxa"/>
        </w:trPr>
        <w:tc>
          <w:tcPr>
            <w:tcW w:w="2905" w:type="dxa"/>
            <w:tcMar>
              <w:top w:w="15" w:type="dxa"/>
              <w:left w:w="15" w:type="dxa"/>
              <w:bottom w:w="15" w:type="dxa"/>
              <w:right w:w="15" w:type="dxa"/>
            </w:tcMar>
            <w:vAlign w:val="center"/>
            <w:hideMark/>
          </w:tcPr>
          <w:p w14:paraId="73846338" w14:textId="77777777" w:rsidR="00C50FD8" w:rsidRDefault="00C50FD8">
            <w:pPr>
              <w:rPr>
                <w:rFonts w:ascii="Times New Roman" w:hAnsi="Times New Roman"/>
              </w:rPr>
            </w:pPr>
          </w:p>
        </w:tc>
        <w:tc>
          <w:tcPr>
            <w:tcW w:w="2225" w:type="dxa"/>
            <w:tcMar>
              <w:top w:w="15" w:type="dxa"/>
              <w:left w:w="15" w:type="dxa"/>
              <w:bottom w:w="15" w:type="dxa"/>
              <w:right w:w="15" w:type="dxa"/>
            </w:tcMar>
            <w:vAlign w:val="center"/>
            <w:hideMark/>
          </w:tcPr>
          <w:p w14:paraId="38DF3DAB"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Cyanogenic glycoside</w:t>
            </w:r>
          </w:p>
        </w:tc>
        <w:tc>
          <w:tcPr>
            <w:tcW w:w="4110" w:type="dxa"/>
            <w:tcMar>
              <w:top w:w="15" w:type="dxa"/>
              <w:left w:w="15" w:type="dxa"/>
              <w:bottom w:w="15" w:type="dxa"/>
              <w:right w:w="15" w:type="dxa"/>
            </w:tcMar>
            <w:vAlign w:val="center"/>
            <w:hideMark/>
          </w:tcPr>
          <w:p w14:paraId="674DA727" w14:textId="77777777" w:rsidR="00C50FD8" w:rsidRDefault="00C50FD8">
            <w:pPr>
              <w:spacing w:line="360" w:lineRule="auto"/>
              <w:jc w:val="center"/>
              <w:rPr>
                <w:rFonts w:ascii="Times New Roman" w:hAnsi="Times New Roman"/>
              </w:rPr>
            </w:pPr>
            <w:r>
              <w:rPr>
                <w:rFonts w:ascii="Times New Roman" w:hAnsi="Times New Roman"/>
              </w:rPr>
              <w:t>−0.953</w:t>
            </w:r>
          </w:p>
        </w:tc>
      </w:tr>
      <w:tr w:rsidR="00C50FD8" w14:paraId="137B1D83" w14:textId="77777777" w:rsidTr="00C50FD8">
        <w:trPr>
          <w:trHeight w:val="284"/>
          <w:tblCellSpacing w:w="15" w:type="dxa"/>
        </w:trPr>
        <w:tc>
          <w:tcPr>
            <w:tcW w:w="2905" w:type="dxa"/>
            <w:tcBorders>
              <w:top w:val="nil"/>
              <w:left w:val="nil"/>
              <w:bottom w:val="single" w:sz="4" w:space="0" w:color="auto"/>
              <w:right w:val="nil"/>
            </w:tcBorders>
            <w:tcMar>
              <w:top w:w="15" w:type="dxa"/>
              <w:left w:w="15" w:type="dxa"/>
              <w:bottom w:w="15" w:type="dxa"/>
              <w:right w:w="15" w:type="dxa"/>
            </w:tcMar>
            <w:vAlign w:val="center"/>
            <w:hideMark/>
          </w:tcPr>
          <w:p w14:paraId="460A47E6" w14:textId="77777777" w:rsidR="00C50FD8" w:rsidRDefault="00C50FD8">
            <w:pPr>
              <w:rPr>
                <w:rFonts w:ascii="Times New Roman" w:hAnsi="Times New Roman"/>
              </w:rPr>
            </w:pPr>
          </w:p>
        </w:tc>
        <w:tc>
          <w:tcPr>
            <w:tcW w:w="2225" w:type="dxa"/>
            <w:tcBorders>
              <w:top w:val="nil"/>
              <w:left w:val="nil"/>
              <w:bottom w:val="single" w:sz="4" w:space="0" w:color="auto"/>
              <w:right w:val="nil"/>
            </w:tcBorders>
            <w:tcMar>
              <w:top w:w="15" w:type="dxa"/>
              <w:left w:w="15" w:type="dxa"/>
              <w:bottom w:w="15" w:type="dxa"/>
              <w:right w:w="15" w:type="dxa"/>
            </w:tcMar>
            <w:vAlign w:val="center"/>
            <w:hideMark/>
          </w:tcPr>
          <w:p w14:paraId="137525C3" w14:textId="77777777" w:rsidR="00C50FD8" w:rsidRDefault="00C50FD8">
            <w:pPr>
              <w:spacing w:line="360" w:lineRule="auto"/>
              <w:jc w:val="center"/>
              <w:rPr>
                <w:rFonts w:ascii="Times New Roman" w:hAnsi="Times New Roman"/>
                <w:kern w:val="2"/>
                <w:sz w:val="24"/>
                <w:szCs w:val="24"/>
                <w14:ligatures w14:val="standardContextual"/>
              </w:rPr>
            </w:pPr>
            <w:r>
              <w:rPr>
                <w:rFonts w:ascii="Times New Roman" w:hAnsi="Times New Roman"/>
              </w:rPr>
              <w:t>Phytate</w:t>
            </w:r>
          </w:p>
        </w:tc>
        <w:tc>
          <w:tcPr>
            <w:tcW w:w="4110" w:type="dxa"/>
            <w:tcBorders>
              <w:top w:val="nil"/>
              <w:left w:val="nil"/>
              <w:bottom w:val="single" w:sz="4" w:space="0" w:color="auto"/>
              <w:right w:val="nil"/>
            </w:tcBorders>
            <w:tcMar>
              <w:top w:w="15" w:type="dxa"/>
              <w:left w:w="15" w:type="dxa"/>
              <w:bottom w:w="15" w:type="dxa"/>
              <w:right w:w="15" w:type="dxa"/>
            </w:tcMar>
            <w:vAlign w:val="center"/>
            <w:hideMark/>
          </w:tcPr>
          <w:p w14:paraId="10367033" w14:textId="77777777" w:rsidR="00C50FD8" w:rsidRDefault="00C50FD8">
            <w:pPr>
              <w:spacing w:line="360" w:lineRule="auto"/>
              <w:jc w:val="center"/>
              <w:rPr>
                <w:rFonts w:ascii="Times New Roman" w:hAnsi="Times New Roman"/>
              </w:rPr>
            </w:pPr>
            <w:r>
              <w:rPr>
                <w:rFonts w:ascii="Times New Roman" w:hAnsi="Times New Roman"/>
              </w:rPr>
              <w:t>−0.899</w:t>
            </w:r>
          </w:p>
        </w:tc>
      </w:tr>
    </w:tbl>
    <w:p w14:paraId="7527DAEA" w14:textId="77777777" w:rsidR="00C50FD8" w:rsidRDefault="00C50FD8" w:rsidP="00C50FD8">
      <w:pPr>
        <w:spacing w:after="100" w:afterAutospacing="1" w:line="480" w:lineRule="auto"/>
        <w:jc w:val="both"/>
        <w:outlineLvl w:val="2"/>
        <w:rPr>
          <w:rFonts w:ascii="Times New Roman" w:eastAsiaTheme="minorEastAsia" w:hAnsi="Times New Roman"/>
          <w:b/>
          <w:bCs/>
          <w:kern w:val="2"/>
          <w14:ligatures w14:val="standardContextual"/>
        </w:rPr>
      </w:pPr>
      <w:r>
        <w:rPr>
          <w:rStyle w:val="Emphasis"/>
        </w:rPr>
        <w:t>r</w:t>
      </w:r>
      <w:r>
        <w:rPr>
          <w:rFonts w:ascii="Times New Roman" w:hAnsi="Times New Roman"/>
        </w:rPr>
        <w:t xml:space="preserve"> = Pearson correlation coefficient. </w:t>
      </w:r>
    </w:p>
    <w:p w14:paraId="15064948" w14:textId="77777777" w:rsidR="00C50FD8" w:rsidRDefault="00C50FD8" w:rsidP="00C50FD8">
      <w:pPr>
        <w:spacing w:before="240"/>
        <w:rPr>
          <w:rFonts w:ascii="Times New Roman" w:hAnsi="Times New Roman"/>
          <w:b/>
          <w:bCs/>
        </w:rPr>
      </w:pPr>
      <w:r>
        <w:rPr>
          <w:rFonts w:ascii="Times New Roman" w:hAnsi="Times New Roman"/>
          <w:b/>
          <w:bCs/>
        </w:rPr>
        <w:t>Discussion</w:t>
      </w:r>
    </w:p>
    <w:p w14:paraId="2D3615D1" w14:textId="77777777" w:rsidR="00C50FD8" w:rsidRDefault="00C50FD8" w:rsidP="00C50FD8">
      <w:pPr>
        <w:spacing w:line="480" w:lineRule="auto"/>
        <w:jc w:val="both"/>
        <w:rPr>
          <w:rStyle w:val="Strong"/>
        </w:rPr>
      </w:pPr>
      <w:r>
        <w:rPr>
          <w:rFonts w:ascii="Times New Roman" w:hAnsi="Times New Roman"/>
        </w:rPr>
        <w:t xml:space="preserve">The increasing demand for sustainable and affordable livestock feed has encouraged the </w:t>
      </w:r>
      <w:proofErr w:type="spellStart"/>
      <w:r w:rsidR="0062641B">
        <w:rPr>
          <w:rFonts w:ascii="Times New Roman" w:hAnsi="Times New Roman"/>
          <w:highlight w:val="yellow"/>
        </w:rPr>
        <w:t>utilisation</w:t>
      </w:r>
      <w:proofErr w:type="spellEnd"/>
      <w:r>
        <w:rPr>
          <w:rFonts w:ascii="Times New Roman" w:hAnsi="Times New Roman"/>
        </w:rPr>
        <w:t xml:space="preserve"> of unconventional feed resources such as </w:t>
      </w:r>
      <w:r w:rsidR="009E4DDC" w:rsidRPr="009E4DDC">
        <w:rPr>
          <w:rStyle w:val="Emphasis"/>
          <w:rFonts w:ascii="Times New Roman" w:hAnsi="Times New Roman"/>
          <w:highlight w:val="yellow"/>
        </w:rPr>
        <w:t>Eichhornia crassipes</w:t>
      </w:r>
      <w:r>
        <w:rPr>
          <w:rFonts w:ascii="Times New Roman" w:hAnsi="Times New Roman"/>
        </w:rPr>
        <w:t>. Water hyacinth contains appreciable nutrients, particularly protein and minerals, and its rapid biomass production makes it a potential alternative feed resource when properly processed (</w:t>
      </w:r>
      <w:proofErr w:type="spellStart"/>
      <w:r>
        <w:rPr>
          <w:rFonts w:ascii="Times New Roman" w:hAnsi="Times New Roman"/>
        </w:rPr>
        <w:t>Nandiyanto</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2024; Rajan </w:t>
      </w:r>
      <w:r>
        <w:rPr>
          <w:rFonts w:ascii="Times New Roman" w:hAnsi="Times New Roman"/>
          <w:i/>
        </w:rPr>
        <w:t>et al</w:t>
      </w:r>
      <w:r>
        <w:rPr>
          <w:rFonts w:ascii="Times New Roman" w:hAnsi="Times New Roman"/>
        </w:rPr>
        <w:t xml:space="preserve">., 2023). However, its high moisture and </w:t>
      </w:r>
      <w:proofErr w:type="spellStart"/>
      <w:r>
        <w:rPr>
          <w:rFonts w:ascii="Times New Roman" w:hAnsi="Times New Roman"/>
        </w:rPr>
        <w:t>fibre</w:t>
      </w:r>
      <w:proofErr w:type="spellEnd"/>
      <w:r>
        <w:rPr>
          <w:rFonts w:ascii="Times New Roman" w:hAnsi="Times New Roman"/>
        </w:rPr>
        <w:t xml:space="preserve"> contents and the presence of anti-nutritional factors may limit nutrient </w:t>
      </w:r>
      <w:proofErr w:type="spellStart"/>
      <w:r w:rsidR="0062641B">
        <w:rPr>
          <w:rFonts w:ascii="Times New Roman" w:hAnsi="Times New Roman"/>
          <w:highlight w:val="yellow"/>
        </w:rPr>
        <w:t>utilisation</w:t>
      </w:r>
      <w:proofErr w:type="spellEnd"/>
      <w:r>
        <w:rPr>
          <w:rFonts w:ascii="Times New Roman" w:hAnsi="Times New Roman"/>
        </w:rPr>
        <w:t xml:space="preserve"> and overall feed value. Processing can therefore modify its </w:t>
      </w:r>
      <w:r>
        <w:rPr>
          <w:rStyle w:val="Strong"/>
          <w:rFonts w:ascii="Times New Roman" w:hAnsi="Times New Roman"/>
          <w:b w:val="0"/>
        </w:rPr>
        <w:t xml:space="preserve">protein and nitrogen contents, free amino acid availability, </w:t>
      </w:r>
      <w:proofErr w:type="spellStart"/>
      <w:r>
        <w:rPr>
          <w:rStyle w:val="Strong"/>
          <w:rFonts w:ascii="Times New Roman" w:hAnsi="Times New Roman"/>
          <w:b w:val="0"/>
        </w:rPr>
        <w:t>fibre</w:t>
      </w:r>
      <w:proofErr w:type="spellEnd"/>
      <w:r>
        <w:rPr>
          <w:rStyle w:val="Strong"/>
          <w:rFonts w:ascii="Times New Roman" w:hAnsi="Times New Roman"/>
          <w:b w:val="0"/>
        </w:rPr>
        <w:t xml:space="preserve"> fractions and anti-nutritional factors</w:t>
      </w:r>
      <w:r>
        <w:rPr>
          <w:rFonts w:ascii="Times New Roman" w:hAnsi="Times New Roman"/>
          <w:b/>
        </w:rPr>
        <w:t>,</w:t>
      </w:r>
      <w:r>
        <w:rPr>
          <w:rFonts w:ascii="Times New Roman" w:hAnsi="Times New Roman"/>
        </w:rPr>
        <w:t xml:space="preserve"> while potentially improving protein accessibility and digestibility (Ben Bakrim </w:t>
      </w:r>
      <w:r>
        <w:rPr>
          <w:rFonts w:ascii="Times New Roman" w:hAnsi="Times New Roman"/>
          <w:i/>
        </w:rPr>
        <w:t>et al</w:t>
      </w:r>
      <w:r>
        <w:rPr>
          <w:rFonts w:ascii="Times New Roman" w:hAnsi="Times New Roman"/>
        </w:rPr>
        <w:t xml:space="preserve">., 2022; Mako </w:t>
      </w:r>
      <w:r>
        <w:rPr>
          <w:rFonts w:ascii="Times New Roman" w:hAnsi="Times New Roman"/>
          <w:i/>
        </w:rPr>
        <w:t>et al</w:t>
      </w:r>
      <w:r>
        <w:rPr>
          <w:rFonts w:ascii="Times New Roman" w:hAnsi="Times New Roman"/>
        </w:rPr>
        <w:t>., 20</w:t>
      </w:r>
      <w:r w:rsidR="00D825A9">
        <w:rPr>
          <w:rFonts w:ascii="Times New Roman" w:hAnsi="Times New Roman"/>
        </w:rPr>
        <w:t>12</w:t>
      </w:r>
      <w:r>
        <w:rPr>
          <w:rFonts w:ascii="Times New Roman" w:hAnsi="Times New Roman"/>
        </w:rPr>
        <w:t>).</w:t>
      </w:r>
    </w:p>
    <w:p w14:paraId="0EEFB16B" w14:textId="77777777" w:rsidR="00C50FD8" w:rsidRDefault="00C50FD8" w:rsidP="00C50FD8">
      <w:pPr>
        <w:spacing w:line="480" w:lineRule="auto"/>
        <w:jc w:val="both"/>
      </w:pPr>
      <w:r>
        <w:rPr>
          <w:rFonts w:ascii="Times New Roman" w:hAnsi="Times New Roman"/>
        </w:rPr>
        <w:t xml:space="preserve">The results in Table 1 showed that processing significantly affected the protein and nitrogen contents of </w:t>
      </w:r>
      <w:r w:rsidR="009E4DDC" w:rsidRPr="009E4DDC">
        <w:rPr>
          <w:rFonts w:ascii="Times New Roman" w:hAnsi="Times New Roman"/>
          <w:i/>
          <w:iCs/>
        </w:rPr>
        <w:t>Eichhornia crassipes</w:t>
      </w:r>
      <w:r>
        <w:rPr>
          <w:rFonts w:ascii="Times New Roman" w:hAnsi="Times New Roman"/>
        </w:rPr>
        <w:t xml:space="preserve"> (</w:t>
      </w:r>
      <w:r>
        <w:rPr>
          <w:rFonts w:ascii="Times New Roman" w:hAnsi="Times New Roman"/>
          <w:i/>
        </w:rPr>
        <w:t>p &lt; 0.05</w:t>
      </w:r>
      <w:r>
        <w:rPr>
          <w:rFonts w:ascii="Times New Roman" w:hAnsi="Times New Roman"/>
        </w:rPr>
        <w:t>). The unprocessed control had the highest protein (</w:t>
      </w:r>
      <w:r>
        <w:rPr>
          <w:rFonts w:ascii="Times New Roman" w:hAnsi="Times New Roman"/>
          <w:bCs/>
        </w:rPr>
        <w:t>48.47 ± 0.47%</w:t>
      </w:r>
      <w:r>
        <w:rPr>
          <w:rFonts w:ascii="Times New Roman" w:hAnsi="Times New Roman"/>
        </w:rPr>
        <w:t>) and nitrogen (</w:t>
      </w:r>
      <w:r>
        <w:rPr>
          <w:rFonts w:ascii="Times New Roman" w:hAnsi="Times New Roman"/>
          <w:bCs/>
        </w:rPr>
        <w:t>7.76 ± 0.08%</w:t>
      </w:r>
      <w:r>
        <w:rPr>
          <w:rFonts w:ascii="Times New Roman" w:hAnsi="Times New Roman"/>
        </w:rPr>
        <w:t>), while oven drying retained relatively high concentrations (</w:t>
      </w:r>
      <w:r>
        <w:rPr>
          <w:rFonts w:ascii="Times New Roman" w:hAnsi="Times New Roman"/>
          <w:bCs/>
        </w:rPr>
        <w:t>46.93 ± 0.58% protein; 7.51 ± 0.09% nitrogen</w:t>
      </w:r>
      <w:r>
        <w:rPr>
          <w:rFonts w:ascii="Times New Roman" w:hAnsi="Times New Roman"/>
        </w:rPr>
        <w:t>). These were followed by boiling (</w:t>
      </w:r>
      <w:r>
        <w:rPr>
          <w:rFonts w:ascii="Times New Roman" w:hAnsi="Times New Roman"/>
          <w:bCs/>
        </w:rPr>
        <w:t xml:space="preserve">29.07 ± 0.31% protein; 4.65 ± </w:t>
      </w:r>
      <w:r>
        <w:rPr>
          <w:rFonts w:ascii="Times New Roman" w:hAnsi="Times New Roman"/>
          <w:bCs/>
        </w:rPr>
        <w:lastRenderedPageBreak/>
        <w:t>0.05% nitrogen</w:t>
      </w:r>
      <w:r>
        <w:rPr>
          <w:rFonts w:ascii="Times New Roman" w:hAnsi="Times New Roman"/>
        </w:rPr>
        <w:t>) and fermentation (</w:t>
      </w:r>
      <w:r>
        <w:rPr>
          <w:rFonts w:ascii="Times New Roman" w:hAnsi="Times New Roman"/>
          <w:bCs/>
        </w:rPr>
        <w:t>16.72 ± 0.10% protein; 2.68 ± 0.02% nitrogen</w:t>
      </w:r>
      <w:r>
        <w:rPr>
          <w:rFonts w:ascii="Times New Roman" w:hAnsi="Times New Roman"/>
        </w:rPr>
        <w:t>). The significant differences among all treatments indicate that the processing conditions produced distinct effects on the nitrogenous constituents of the plant. The corresponding pattern observed for protein and nitrogen is expected because nitrogen is an essential component of protein and is therefore commonly used in estimating crude protein concentration. The relatively high retention of protein and nitrogen after oven drying indicates that this treatment caused the least alteration of the nitrogenous composition among the processing methods. The slight reduction from (</w:t>
      </w:r>
      <w:r>
        <w:rPr>
          <w:rFonts w:ascii="Times New Roman" w:hAnsi="Times New Roman"/>
          <w:bCs/>
        </w:rPr>
        <w:t>48.47 ± 0.47% to 46.93 ± 0.58% protein)</w:t>
      </w:r>
      <w:r>
        <w:rPr>
          <w:rFonts w:ascii="Times New Roman" w:hAnsi="Times New Roman"/>
        </w:rPr>
        <w:t xml:space="preserve"> and from (</w:t>
      </w:r>
      <w:r>
        <w:rPr>
          <w:rFonts w:ascii="Times New Roman" w:hAnsi="Times New Roman"/>
          <w:bCs/>
        </w:rPr>
        <w:t>7.76 ±</w:t>
      </w:r>
      <w:r>
        <w:rPr>
          <w:rFonts w:ascii="Times New Roman" w:hAnsi="Times New Roman"/>
          <w:b/>
          <w:bCs/>
        </w:rPr>
        <w:t xml:space="preserve"> </w:t>
      </w:r>
      <w:r>
        <w:rPr>
          <w:rFonts w:ascii="Times New Roman" w:hAnsi="Times New Roman"/>
          <w:bCs/>
        </w:rPr>
        <w:t>0.08% to 7.51 ± 0.09% nitrogen)</w:t>
      </w:r>
      <w:r>
        <w:rPr>
          <w:rFonts w:ascii="Times New Roman" w:hAnsi="Times New Roman"/>
        </w:rPr>
        <w:t xml:space="preserve"> may be attributed mainly to moisture removal and possible thermal alteration of some nitrogen-containing compounds. Unlike boiling, oven drying does not expose the plant material to a water medium through which soluble nutrients can be lost. This makes drying particularly relevant for preserving nutrients in water hyacinth, whose high moisture content necessitates processing before storage and feed </w:t>
      </w:r>
      <w:proofErr w:type="spellStart"/>
      <w:r w:rsidR="0062641B">
        <w:rPr>
          <w:rFonts w:ascii="Times New Roman" w:hAnsi="Times New Roman"/>
          <w:highlight w:val="yellow"/>
        </w:rPr>
        <w:t>utilisation</w:t>
      </w:r>
      <w:proofErr w:type="spellEnd"/>
      <w:r>
        <w:rPr>
          <w:rFonts w:ascii="Times New Roman" w:hAnsi="Times New Roman"/>
        </w:rPr>
        <w:t xml:space="preserve">. </w:t>
      </w:r>
      <w:proofErr w:type="spellStart"/>
      <w:r>
        <w:rPr>
          <w:rFonts w:ascii="Times New Roman" w:hAnsi="Times New Roman"/>
        </w:rPr>
        <w:t>Nandiyanto</w:t>
      </w:r>
      <w:proofErr w:type="spellEnd"/>
      <w:r>
        <w:rPr>
          <w:rFonts w:ascii="Times New Roman" w:hAnsi="Times New Roman"/>
        </w:rPr>
        <w:t xml:space="preserve"> </w:t>
      </w:r>
      <w:r>
        <w:rPr>
          <w:rFonts w:ascii="Times New Roman" w:hAnsi="Times New Roman"/>
          <w:i/>
        </w:rPr>
        <w:t>et al</w:t>
      </w:r>
      <w:r>
        <w:rPr>
          <w:rFonts w:ascii="Times New Roman" w:hAnsi="Times New Roman"/>
        </w:rPr>
        <w:t xml:space="preserve">. (2024) </w:t>
      </w:r>
      <w:proofErr w:type="spellStart"/>
      <w:r>
        <w:rPr>
          <w:rFonts w:ascii="Times New Roman" w:hAnsi="Times New Roman"/>
          <w:highlight w:val="yellow"/>
        </w:rPr>
        <w:t>emphasised</w:t>
      </w:r>
      <w:proofErr w:type="spellEnd"/>
      <w:r>
        <w:rPr>
          <w:rFonts w:ascii="Times New Roman" w:hAnsi="Times New Roman"/>
        </w:rPr>
        <w:t xml:space="preserve"> that drying is an important processing approach for converting water hyacinth biomass into a more stable and useful material, although the final nutritional characteristics depend on the processing conditions employed.</w:t>
      </w:r>
    </w:p>
    <w:p w14:paraId="1C761C15" w14:textId="77777777" w:rsidR="00C50FD8" w:rsidRDefault="00C50FD8" w:rsidP="00C50FD8">
      <w:pPr>
        <w:spacing w:line="480" w:lineRule="auto"/>
        <w:jc w:val="both"/>
        <w:rPr>
          <w:rFonts w:ascii="Times New Roman" w:hAnsi="Times New Roman"/>
        </w:rPr>
      </w:pPr>
      <w:r>
        <w:rPr>
          <w:rFonts w:ascii="Times New Roman" w:hAnsi="Times New Roman"/>
        </w:rPr>
        <w:t>The greater reduction observed following boiling may be associated with the combined effects of heat and water on the plant matrix. The reduction in protein from (</w:t>
      </w:r>
      <w:r>
        <w:rPr>
          <w:rFonts w:ascii="Times New Roman" w:hAnsi="Times New Roman"/>
          <w:bCs/>
        </w:rPr>
        <w:t>48.47 ± 0.47%) in the control to (29.07 ± 0.31%)</w:t>
      </w:r>
      <w:r>
        <w:rPr>
          <w:rFonts w:ascii="Times New Roman" w:hAnsi="Times New Roman"/>
        </w:rPr>
        <w:t xml:space="preserve"> and nitrogen from (</w:t>
      </w:r>
      <w:r>
        <w:rPr>
          <w:rFonts w:ascii="Times New Roman" w:hAnsi="Times New Roman"/>
          <w:bCs/>
        </w:rPr>
        <w:t>7.76 ± 0.08% to 4.65 ± 0.05%)</w:t>
      </w:r>
      <w:r>
        <w:rPr>
          <w:rFonts w:ascii="Times New Roman" w:hAnsi="Times New Roman"/>
        </w:rPr>
        <w:t xml:space="preserve"> suggests a substantial alteration of the nitrogenous fraction. One possible explanation is the leaching of soluble nitrogen-containing compounds into the boiling water, particularly where the cooking liquor is discarded. Heat may also cause structural changes in proteins and other cellular components, thereby affecting their subsequent recovery during analysis. Mako </w:t>
      </w:r>
      <w:r>
        <w:rPr>
          <w:rFonts w:ascii="Times New Roman" w:hAnsi="Times New Roman"/>
          <w:i/>
        </w:rPr>
        <w:t>et al.</w:t>
      </w:r>
      <w:r>
        <w:rPr>
          <w:rFonts w:ascii="Times New Roman" w:hAnsi="Times New Roman"/>
        </w:rPr>
        <w:t xml:space="preserve"> (201</w:t>
      </w:r>
      <w:r w:rsidR="00D825A9">
        <w:rPr>
          <w:rFonts w:ascii="Times New Roman" w:hAnsi="Times New Roman"/>
        </w:rPr>
        <w:t>2</w:t>
      </w:r>
      <w:r>
        <w:rPr>
          <w:rFonts w:ascii="Times New Roman" w:hAnsi="Times New Roman"/>
        </w:rPr>
        <w:t xml:space="preserve">) similarly reported that processing methods significantly influenced the nutritional composition of water hyacinth, demonstrating that the method employed is an important determinant of its final feed characteristics. Fermentation produced the greatest reduction in both protein and nitrogen, </w:t>
      </w:r>
      <w:r>
        <w:rPr>
          <w:rFonts w:ascii="Times New Roman" w:hAnsi="Times New Roman"/>
          <w:highlight w:val="yellow"/>
        </w:rPr>
        <w:t>with values falling to 16.72 ± 0.10% and 2.68 ± 0.02%, respectively.</w:t>
      </w:r>
      <w:r>
        <w:rPr>
          <w:rFonts w:ascii="Times New Roman" w:hAnsi="Times New Roman"/>
        </w:rPr>
        <w:t xml:space="preserve"> This observation differs from studies in which fermentation increased the apparent protein concentration of water hyacinth. Emshaw </w:t>
      </w:r>
      <w:r>
        <w:rPr>
          <w:rFonts w:ascii="Times New Roman" w:hAnsi="Times New Roman"/>
          <w:i/>
        </w:rPr>
        <w:t>et al.</w:t>
      </w:r>
      <w:r>
        <w:rPr>
          <w:rFonts w:ascii="Times New Roman" w:hAnsi="Times New Roman"/>
        </w:rPr>
        <w:t xml:space="preserve"> (2021), for example, reported improved crude protein characteristics following fermentation of water hyacinth with </w:t>
      </w:r>
      <w:r>
        <w:rPr>
          <w:rFonts w:ascii="Times New Roman" w:hAnsi="Times New Roman"/>
          <w:i/>
          <w:iCs/>
        </w:rPr>
        <w:t xml:space="preserve">Aspergillus </w:t>
      </w:r>
      <w:proofErr w:type="spellStart"/>
      <w:r>
        <w:rPr>
          <w:rFonts w:ascii="Times New Roman" w:hAnsi="Times New Roman"/>
          <w:i/>
          <w:iCs/>
        </w:rPr>
        <w:t>niger</w:t>
      </w:r>
      <w:proofErr w:type="spellEnd"/>
      <w:r>
        <w:rPr>
          <w:rFonts w:ascii="Times New Roman" w:hAnsi="Times New Roman"/>
        </w:rPr>
        <w:t xml:space="preserve">. Such differences may arise from variations in the microorganisms involved, fermentation duration, moisture content, substrate composition, and other fermentation conditions. Microorganisms may utilize readily available nitrogenous substrates during growth, while proteins and other nitrogen-containing compounds may also undergo hydrolysis and redistribution during fermentation. Thus, the lower total nitrogen observed in the present fermented sample may reflect the specific fermentation conditions used rather than indicating that fermentation universally reduces the nutritional value of water hyacinth. From the perspective of livestock nutrition, the preservation of nitrogen and protein observed in the oven-dried sample is important because these nutrients contribute directly to the protein supply of an animal diet. However, the higher protein retention following oven drying should not be interpreted in isolation when selecting the most appropriate processing method. Fermentation and boiling may produce changes in other components of water hyacinth, particularly </w:t>
      </w:r>
      <w:proofErr w:type="spellStart"/>
      <w:r>
        <w:rPr>
          <w:rFonts w:ascii="Times New Roman" w:hAnsi="Times New Roman"/>
        </w:rPr>
        <w:t>fibre</w:t>
      </w:r>
      <w:proofErr w:type="spellEnd"/>
      <w:r>
        <w:rPr>
          <w:rFonts w:ascii="Times New Roman" w:hAnsi="Times New Roman"/>
        </w:rPr>
        <w:t xml:space="preserve"> and antinutritional factors, </w:t>
      </w:r>
      <w:r>
        <w:rPr>
          <w:rFonts w:ascii="Times New Roman" w:hAnsi="Times New Roman"/>
        </w:rPr>
        <w:lastRenderedPageBreak/>
        <w:t xml:space="preserve">which can influence nutrient </w:t>
      </w:r>
      <w:proofErr w:type="spellStart"/>
      <w:r w:rsidR="0062641B">
        <w:rPr>
          <w:rFonts w:ascii="Times New Roman" w:hAnsi="Times New Roman"/>
          <w:highlight w:val="yellow"/>
        </w:rPr>
        <w:t>utilisation</w:t>
      </w:r>
      <w:proofErr w:type="spellEnd"/>
      <w:r>
        <w:rPr>
          <w:rFonts w:ascii="Times New Roman" w:hAnsi="Times New Roman"/>
        </w:rPr>
        <w:t xml:space="preserve">. Thus, the findings suggest that </w:t>
      </w:r>
      <w:r>
        <w:rPr>
          <w:rStyle w:val="Strong"/>
          <w:rFonts w:ascii="Times New Roman" w:hAnsi="Times New Roman"/>
          <w:b w:val="0"/>
        </w:rPr>
        <w:t>oven drying was the most effective treatment for preserving the nitrogen and protein contents of</w:t>
      </w:r>
      <w:r>
        <w:rPr>
          <w:rStyle w:val="Strong"/>
          <w:rFonts w:ascii="Times New Roman" w:hAnsi="Times New Roman"/>
        </w:rPr>
        <w:t xml:space="preserve"> </w:t>
      </w:r>
      <w:r w:rsidR="009E4DDC" w:rsidRPr="009E4DDC">
        <w:rPr>
          <w:rFonts w:ascii="Times New Roman" w:hAnsi="Times New Roman"/>
          <w:i/>
          <w:iCs/>
        </w:rPr>
        <w:t>Eichhornia crassipes</w:t>
      </w:r>
      <w:r>
        <w:rPr>
          <w:rFonts w:ascii="Times New Roman" w:hAnsi="Times New Roman"/>
          <w:i/>
          <w:iCs/>
        </w:rPr>
        <w:t>.</w:t>
      </w:r>
    </w:p>
    <w:p w14:paraId="7A200CAB" w14:textId="77777777" w:rsidR="00C50FD8" w:rsidRDefault="00C50FD8" w:rsidP="00C50FD8">
      <w:pPr>
        <w:spacing w:after="100" w:afterAutospacing="1" w:line="480" w:lineRule="auto"/>
        <w:jc w:val="both"/>
        <w:rPr>
          <w:rFonts w:ascii="Times New Roman" w:hAnsi="Times New Roman"/>
        </w:rPr>
      </w:pPr>
      <w:r>
        <w:rPr>
          <w:rFonts w:ascii="Times New Roman" w:hAnsi="Times New Roman"/>
        </w:rPr>
        <w:t xml:space="preserve">The </w:t>
      </w:r>
      <w:proofErr w:type="spellStart"/>
      <w:r>
        <w:rPr>
          <w:rFonts w:ascii="Times New Roman" w:hAnsi="Times New Roman"/>
        </w:rPr>
        <w:t>fibre</w:t>
      </w:r>
      <w:proofErr w:type="spellEnd"/>
      <w:r>
        <w:rPr>
          <w:rFonts w:ascii="Times New Roman" w:hAnsi="Times New Roman"/>
        </w:rPr>
        <w:t xml:space="preserve"> results in Table 2 showed a clear reduction in crude </w:t>
      </w:r>
      <w:proofErr w:type="spellStart"/>
      <w:r>
        <w:rPr>
          <w:rFonts w:ascii="Times New Roman" w:hAnsi="Times New Roman"/>
        </w:rPr>
        <w:t>fibre</w:t>
      </w:r>
      <w:proofErr w:type="spellEnd"/>
      <w:r>
        <w:rPr>
          <w:rFonts w:ascii="Times New Roman" w:hAnsi="Times New Roman"/>
        </w:rPr>
        <w:t xml:space="preserve">, NDF and ADF following processing, with fermentation producing the greatest reduction. Crude </w:t>
      </w:r>
      <w:proofErr w:type="spellStart"/>
      <w:r>
        <w:rPr>
          <w:rFonts w:ascii="Times New Roman" w:hAnsi="Times New Roman"/>
        </w:rPr>
        <w:t>fibre</w:t>
      </w:r>
      <w:proofErr w:type="spellEnd"/>
      <w:r>
        <w:rPr>
          <w:rFonts w:ascii="Times New Roman" w:hAnsi="Times New Roman"/>
        </w:rPr>
        <w:t>, NDF and ADF decreased from (</w:t>
      </w:r>
      <w:r>
        <w:rPr>
          <w:rFonts w:ascii="Times New Roman" w:hAnsi="Times New Roman"/>
          <w:bCs/>
        </w:rPr>
        <w:t>39.47 ± 0.50%, 7</w:t>
      </w:r>
      <w:r>
        <w:rPr>
          <w:rFonts w:ascii="Times New Roman" w:hAnsi="Times New Roman"/>
          <w:bCs/>
          <w:highlight w:val="yellow"/>
        </w:rPr>
        <w:t>2</w:t>
      </w:r>
      <w:r>
        <w:rPr>
          <w:rFonts w:ascii="Times New Roman" w:hAnsi="Times New Roman"/>
          <w:bCs/>
        </w:rPr>
        <w:t>.</w:t>
      </w:r>
      <w:r>
        <w:rPr>
          <w:rFonts w:ascii="Times New Roman" w:hAnsi="Times New Roman"/>
          <w:bCs/>
          <w:highlight w:val="yellow"/>
        </w:rPr>
        <w:t>4</w:t>
      </w:r>
      <w:r>
        <w:rPr>
          <w:rFonts w:ascii="Times New Roman" w:hAnsi="Times New Roman"/>
          <w:bCs/>
        </w:rPr>
        <w:t xml:space="preserve">3 ± </w:t>
      </w:r>
      <w:r>
        <w:rPr>
          <w:rFonts w:ascii="Times New Roman" w:hAnsi="Times New Roman"/>
          <w:bCs/>
          <w:highlight w:val="yellow"/>
        </w:rPr>
        <w:t>1</w:t>
      </w:r>
      <w:r>
        <w:rPr>
          <w:rFonts w:ascii="Times New Roman" w:hAnsi="Times New Roman"/>
          <w:bCs/>
        </w:rPr>
        <w:t>.</w:t>
      </w:r>
      <w:r>
        <w:rPr>
          <w:rFonts w:ascii="Times New Roman" w:hAnsi="Times New Roman"/>
          <w:bCs/>
          <w:highlight w:val="yellow"/>
        </w:rPr>
        <w:t>21</w:t>
      </w:r>
      <w:r>
        <w:rPr>
          <w:rFonts w:ascii="Times New Roman" w:hAnsi="Times New Roman"/>
          <w:bCs/>
        </w:rPr>
        <w:t>% and 4</w:t>
      </w:r>
      <w:r>
        <w:rPr>
          <w:rFonts w:ascii="Times New Roman" w:hAnsi="Times New Roman"/>
          <w:bCs/>
          <w:highlight w:val="yellow"/>
        </w:rPr>
        <w:t>8</w:t>
      </w:r>
      <w:r>
        <w:rPr>
          <w:rFonts w:ascii="Times New Roman" w:hAnsi="Times New Roman"/>
          <w:bCs/>
        </w:rPr>
        <w:t>.</w:t>
      </w:r>
      <w:r>
        <w:rPr>
          <w:rFonts w:ascii="Times New Roman" w:hAnsi="Times New Roman"/>
          <w:bCs/>
          <w:highlight w:val="yellow"/>
        </w:rPr>
        <w:t>2</w:t>
      </w:r>
      <w:r>
        <w:rPr>
          <w:rFonts w:ascii="Times New Roman" w:hAnsi="Times New Roman"/>
          <w:bCs/>
        </w:rPr>
        <w:t>6 ± 0.</w:t>
      </w:r>
      <w:r>
        <w:rPr>
          <w:rFonts w:ascii="Times New Roman" w:hAnsi="Times New Roman"/>
          <w:bCs/>
          <w:highlight w:val="yellow"/>
        </w:rPr>
        <w:t>98</w:t>
      </w:r>
      <w:r>
        <w:rPr>
          <w:rFonts w:ascii="Times New Roman" w:hAnsi="Times New Roman"/>
          <w:bCs/>
        </w:rPr>
        <w:t>%)</w:t>
      </w:r>
      <w:r>
        <w:rPr>
          <w:rFonts w:ascii="Times New Roman" w:hAnsi="Times New Roman"/>
        </w:rPr>
        <w:t>, respectively, in the control to (</w:t>
      </w:r>
      <w:r>
        <w:rPr>
          <w:rFonts w:ascii="Times New Roman" w:hAnsi="Times New Roman"/>
          <w:bCs/>
        </w:rPr>
        <w:t xml:space="preserve">31.70 ± 0.26%, </w:t>
      </w:r>
      <w:r>
        <w:rPr>
          <w:rFonts w:ascii="Times New Roman" w:hAnsi="Times New Roman"/>
          <w:bCs/>
          <w:highlight w:val="yellow"/>
        </w:rPr>
        <w:t>5</w:t>
      </w:r>
      <w:r>
        <w:rPr>
          <w:rFonts w:ascii="Times New Roman" w:hAnsi="Times New Roman"/>
          <w:bCs/>
        </w:rPr>
        <w:t>4.3</w:t>
      </w:r>
      <w:r>
        <w:rPr>
          <w:rFonts w:ascii="Times New Roman" w:hAnsi="Times New Roman"/>
          <w:bCs/>
          <w:highlight w:val="yellow"/>
        </w:rPr>
        <w:t>2</w:t>
      </w:r>
      <w:r>
        <w:rPr>
          <w:rFonts w:ascii="Times New Roman" w:hAnsi="Times New Roman"/>
          <w:bCs/>
        </w:rPr>
        <w:t xml:space="preserve"> ± 0.</w:t>
      </w:r>
      <w:r>
        <w:rPr>
          <w:rFonts w:ascii="Times New Roman" w:hAnsi="Times New Roman"/>
          <w:bCs/>
          <w:highlight w:val="yellow"/>
        </w:rPr>
        <w:t>86</w:t>
      </w:r>
      <w:r>
        <w:rPr>
          <w:rFonts w:ascii="Times New Roman" w:hAnsi="Times New Roman"/>
          <w:bCs/>
        </w:rPr>
        <w:t>% and 3</w:t>
      </w:r>
      <w:r>
        <w:rPr>
          <w:rFonts w:ascii="Times New Roman" w:hAnsi="Times New Roman"/>
          <w:bCs/>
          <w:highlight w:val="yellow"/>
        </w:rPr>
        <w:t>3</w:t>
      </w:r>
      <w:r>
        <w:rPr>
          <w:rFonts w:ascii="Times New Roman" w:hAnsi="Times New Roman"/>
          <w:bCs/>
        </w:rPr>
        <w:t>.</w:t>
      </w:r>
      <w:r>
        <w:rPr>
          <w:rFonts w:ascii="Times New Roman" w:hAnsi="Times New Roman"/>
          <w:bCs/>
          <w:highlight w:val="yellow"/>
        </w:rPr>
        <w:t>8</w:t>
      </w:r>
      <w:r>
        <w:rPr>
          <w:rFonts w:ascii="Times New Roman" w:hAnsi="Times New Roman"/>
          <w:bCs/>
        </w:rPr>
        <w:t>4 ± 0.</w:t>
      </w:r>
      <w:r>
        <w:rPr>
          <w:rFonts w:ascii="Times New Roman" w:hAnsi="Times New Roman"/>
          <w:bCs/>
          <w:highlight w:val="yellow"/>
        </w:rPr>
        <w:t>69</w:t>
      </w:r>
      <w:r>
        <w:rPr>
          <w:rFonts w:ascii="Times New Roman" w:hAnsi="Times New Roman"/>
          <w:bCs/>
        </w:rPr>
        <w:t>%)</w:t>
      </w:r>
      <w:r>
        <w:rPr>
          <w:rFonts w:ascii="Times New Roman" w:hAnsi="Times New Roman"/>
        </w:rPr>
        <w:t xml:space="preserve">, respectively, in the fermented sample. This finding agrees with </w:t>
      </w:r>
      <w:r>
        <w:rPr>
          <w:rFonts w:ascii="Times New Roman" w:hAnsi="Times New Roman"/>
          <w:bCs/>
          <w:highlight w:val="yellow"/>
        </w:rPr>
        <w:t>Abiola-Olagunju et al. (2025), who</w:t>
      </w:r>
      <w:r>
        <w:rPr>
          <w:rFonts w:ascii="Times New Roman" w:hAnsi="Times New Roman"/>
        </w:rPr>
        <w:t xml:space="preserve"> reported significant reductions in crude </w:t>
      </w:r>
      <w:proofErr w:type="spellStart"/>
      <w:r>
        <w:rPr>
          <w:rFonts w:ascii="Times New Roman" w:hAnsi="Times New Roman"/>
        </w:rPr>
        <w:t>fibre</w:t>
      </w:r>
      <w:proofErr w:type="spellEnd"/>
      <w:r>
        <w:rPr>
          <w:rFonts w:ascii="Times New Roman" w:hAnsi="Times New Roman"/>
        </w:rPr>
        <w:t xml:space="preserve">, NDF and ADF of water hyacinth following solid-state fermentation with </w:t>
      </w:r>
      <w:r>
        <w:rPr>
          <w:rFonts w:ascii="Times New Roman" w:hAnsi="Times New Roman"/>
          <w:i/>
          <w:iCs/>
        </w:rPr>
        <w:t xml:space="preserve">Pleurotus </w:t>
      </w:r>
      <w:proofErr w:type="spellStart"/>
      <w:r>
        <w:rPr>
          <w:rFonts w:ascii="Times New Roman" w:hAnsi="Times New Roman"/>
          <w:i/>
          <w:iCs/>
        </w:rPr>
        <w:t>florida</w:t>
      </w:r>
      <w:proofErr w:type="spellEnd"/>
      <w:r>
        <w:rPr>
          <w:rFonts w:ascii="Times New Roman" w:hAnsi="Times New Roman"/>
        </w:rPr>
        <w:t xml:space="preserve"> and </w:t>
      </w:r>
      <w:r>
        <w:rPr>
          <w:rFonts w:ascii="Times New Roman" w:hAnsi="Times New Roman"/>
          <w:i/>
          <w:iCs/>
        </w:rPr>
        <w:t xml:space="preserve">Pleurotus </w:t>
      </w:r>
      <w:proofErr w:type="spellStart"/>
      <w:r>
        <w:rPr>
          <w:rFonts w:ascii="Times New Roman" w:hAnsi="Times New Roman"/>
          <w:i/>
          <w:iCs/>
        </w:rPr>
        <w:t>sajor-caju</w:t>
      </w:r>
      <w:proofErr w:type="spellEnd"/>
      <w:r>
        <w:rPr>
          <w:rFonts w:ascii="Times New Roman" w:hAnsi="Times New Roman"/>
        </w:rPr>
        <w:t xml:space="preserve">. Their untreated water hyacinth contained 21.23% crude </w:t>
      </w:r>
      <w:proofErr w:type="spellStart"/>
      <w:r>
        <w:rPr>
          <w:rFonts w:ascii="Times New Roman" w:hAnsi="Times New Roman"/>
        </w:rPr>
        <w:t>fibre</w:t>
      </w:r>
      <w:proofErr w:type="spellEnd"/>
      <w:r>
        <w:rPr>
          <w:rFonts w:ascii="Times New Roman" w:hAnsi="Times New Roman"/>
        </w:rPr>
        <w:t xml:space="preserve">, (66.80%) NDF and (36.90% ADF), while fungal treatment reduced these values, demonstrating the ability of fermentation to modify structural </w:t>
      </w:r>
      <w:proofErr w:type="spellStart"/>
      <w:r>
        <w:rPr>
          <w:rFonts w:ascii="Times New Roman" w:hAnsi="Times New Roman"/>
        </w:rPr>
        <w:t>fibre</w:t>
      </w:r>
      <w:proofErr w:type="spellEnd"/>
      <w:r>
        <w:rPr>
          <w:rFonts w:ascii="Times New Roman" w:hAnsi="Times New Roman"/>
        </w:rPr>
        <w:t xml:space="preserve"> components. The reduction in NDF and ADF observed in the fermented sample also agrees with the findings of </w:t>
      </w:r>
      <w:r>
        <w:rPr>
          <w:rFonts w:ascii="Times New Roman" w:hAnsi="Times New Roman"/>
          <w:bCs/>
          <w:highlight w:val="yellow"/>
        </w:rPr>
        <w:t>Armin et al. (2021), who</w:t>
      </w:r>
      <w:r>
        <w:rPr>
          <w:rFonts w:ascii="Times New Roman" w:hAnsi="Times New Roman"/>
        </w:rPr>
        <w:t xml:space="preserve"> reported that fermentation of water hyacinth-based complete feed resulted in the lowest NDF and ADF at the optimum fermentation period. However, their study found that differences in fermentation duration did not significantly affect NDF and ADF, whereas this study showed significant differences among processing treatments. This difference may be attributed to variations in fermentation substrates, microbial inoculum, fermentation duration and processing conditions. </w:t>
      </w:r>
    </w:p>
    <w:p w14:paraId="3A93016B" w14:textId="77777777" w:rsidR="00C50FD8" w:rsidRDefault="00C50FD8" w:rsidP="00C50FD8">
      <w:pPr>
        <w:spacing w:line="480" w:lineRule="auto"/>
        <w:jc w:val="both"/>
        <w:rPr>
          <w:rFonts w:ascii="Times New Roman" w:hAnsi="Times New Roman"/>
        </w:rPr>
      </w:pPr>
      <w:r>
        <w:rPr>
          <w:rFonts w:ascii="Times New Roman" w:hAnsi="Times New Roman"/>
        </w:rPr>
        <w:t>The NDF value of the control water hyacinth in the present study (</w:t>
      </w:r>
      <w:r>
        <w:rPr>
          <w:rFonts w:ascii="Times New Roman" w:hAnsi="Times New Roman"/>
          <w:bCs/>
        </w:rPr>
        <w:t>7</w:t>
      </w:r>
      <w:r>
        <w:rPr>
          <w:rFonts w:ascii="Times New Roman" w:hAnsi="Times New Roman"/>
          <w:bCs/>
          <w:highlight w:val="yellow"/>
        </w:rPr>
        <w:t>2</w:t>
      </w:r>
      <w:r>
        <w:rPr>
          <w:rFonts w:ascii="Times New Roman" w:hAnsi="Times New Roman"/>
          <w:bCs/>
        </w:rPr>
        <w:t>.</w:t>
      </w:r>
      <w:r>
        <w:rPr>
          <w:rFonts w:ascii="Times New Roman" w:hAnsi="Times New Roman"/>
          <w:bCs/>
          <w:highlight w:val="yellow"/>
        </w:rPr>
        <w:t>4</w:t>
      </w:r>
      <w:r>
        <w:rPr>
          <w:rFonts w:ascii="Times New Roman" w:hAnsi="Times New Roman"/>
          <w:bCs/>
        </w:rPr>
        <w:t xml:space="preserve">3 ± </w:t>
      </w:r>
      <w:r>
        <w:rPr>
          <w:rFonts w:ascii="Times New Roman" w:hAnsi="Times New Roman"/>
          <w:bCs/>
          <w:highlight w:val="yellow"/>
        </w:rPr>
        <w:t>1</w:t>
      </w:r>
      <w:r>
        <w:rPr>
          <w:rFonts w:ascii="Times New Roman" w:hAnsi="Times New Roman"/>
          <w:bCs/>
        </w:rPr>
        <w:t>.</w:t>
      </w:r>
      <w:r>
        <w:rPr>
          <w:rFonts w:ascii="Times New Roman" w:hAnsi="Times New Roman"/>
          <w:bCs/>
          <w:highlight w:val="yellow"/>
        </w:rPr>
        <w:t>21</w:t>
      </w:r>
      <w:r>
        <w:rPr>
          <w:rFonts w:ascii="Times New Roman" w:hAnsi="Times New Roman"/>
          <w:bCs/>
        </w:rPr>
        <w:t>%</w:t>
      </w:r>
      <w:r>
        <w:rPr>
          <w:rFonts w:ascii="Times New Roman" w:hAnsi="Times New Roman"/>
        </w:rPr>
        <w:t xml:space="preserve">) is within the range reported for water hyacinth in other feed studies. </w:t>
      </w:r>
      <w:r>
        <w:rPr>
          <w:rFonts w:ascii="Times New Roman" w:hAnsi="Times New Roman"/>
          <w:bCs/>
        </w:rPr>
        <w:t xml:space="preserve">Selim </w:t>
      </w:r>
      <w:r>
        <w:rPr>
          <w:rFonts w:ascii="Times New Roman" w:hAnsi="Times New Roman"/>
          <w:bCs/>
          <w:i/>
        </w:rPr>
        <w:t>et al.</w:t>
      </w:r>
      <w:r>
        <w:rPr>
          <w:rFonts w:ascii="Times New Roman" w:hAnsi="Times New Roman"/>
          <w:bCs/>
        </w:rPr>
        <w:t xml:space="preserve"> (2022)</w:t>
      </w:r>
      <w:r>
        <w:rPr>
          <w:rFonts w:ascii="Times New Roman" w:hAnsi="Times New Roman"/>
        </w:rPr>
        <w:t xml:space="preserve"> reported NDF values ranging from 16.5 to 75.6% among unconventional feed resources and identified water hyacinth as having appreciable </w:t>
      </w:r>
      <w:proofErr w:type="spellStart"/>
      <w:r>
        <w:rPr>
          <w:rFonts w:ascii="Times New Roman" w:hAnsi="Times New Roman"/>
        </w:rPr>
        <w:t>fibre</w:t>
      </w:r>
      <w:proofErr w:type="spellEnd"/>
      <w:r>
        <w:rPr>
          <w:rFonts w:ascii="Times New Roman" w:hAnsi="Times New Roman"/>
        </w:rPr>
        <w:t xml:space="preserve"> content. Their study further demonstrated that water hyacinth had measurable dry matter and organic matter degradation, indicating that despite its relatively high </w:t>
      </w:r>
      <w:proofErr w:type="spellStart"/>
      <w:r>
        <w:rPr>
          <w:rFonts w:ascii="Times New Roman" w:hAnsi="Times New Roman"/>
        </w:rPr>
        <w:t>fibre</w:t>
      </w:r>
      <w:proofErr w:type="spellEnd"/>
      <w:r>
        <w:rPr>
          <w:rFonts w:ascii="Times New Roman" w:hAnsi="Times New Roman"/>
        </w:rPr>
        <w:t xml:space="preserve"> content, it possesses potential as an unconventional feed resource.  Similarly, </w:t>
      </w:r>
      <w:r>
        <w:rPr>
          <w:rFonts w:ascii="Times New Roman" w:hAnsi="Times New Roman"/>
          <w:bCs/>
        </w:rPr>
        <w:t xml:space="preserve">Fanta </w:t>
      </w:r>
      <w:r>
        <w:rPr>
          <w:rFonts w:ascii="Times New Roman" w:hAnsi="Times New Roman"/>
          <w:bCs/>
          <w:i/>
        </w:rPr>
        <w:t>et al.</w:t>
      </w:r>
      <w:r>
        <w:rPr>
          <w:rFonts w:ascii="Times New Roman" w:hAnsi="Times New Roman"/>
          <w:bCs/>
        </w:rPr>
        <w:t xml:space="preserve"> (2024)</w:t>
      </w:r>
      <w:r>
        <w:rPr>
          <w:rFonts w:ascii="Times New Roman" w:hAnsi="Times New Roman"/>
        </w:rPr>
        <w:t xml:space="preserve"> reported NDF and ADF values of (</w:t>
      </w:r>
      <w:r>
        <w:rPr>
          <w:rFonts w:ascii="Times New Roman" w:hAnsi="Times New Roman"/>
          <w:bCs/>
        </w:rPr>
        <w:t>52.38% and 39.56%)</w:t>
      </w:r>
      <w:r>
        <w:rPr>
          <w:rFonts w:ascii="Times New Roman" w:hAnsi="Times New Roman"/>
        </w:rPr>
        <w:t>, respectively, for water hyacinth leaves. These values are close to the present study's boiled sample (</w:t>
      </w:r>
      <w:r>
        <w:rPr>
          <w:rFonts w:ascii="Times New Roman" w:hAnsi="Times New Roman"/>
          <w:bCs/>
          <w:highlight w:val="yellow"/>
        </w:rPr>
        <w:t>61</w:t>
      </w:r>
      <w:r>
        <w:rPr>
          <w:rFonts w:ascii="Times New Roman" w:hAnsi="Times New Roman"/>
          <w:bCs/>
        </w:rPr>
        <w:t>.7</w:t>
      </w:r>
      <w:r>
        <w:rPr>
          <w:rFonts w:ascii="Times New Roman" w:hAnsi="Times New Roman"/>
          <w:bCs/>
          <w:highlight w:val="yellow"/>
        </w:rPr>
        <w:t>6</w:t>
      </w:r>
      <w:r>
        <w:rPr>
          <w:rFonts w:ascii="Times New Roman" w:hAnsi="Times New Roman"/>
          <w:bCs/>
        </w:rPr>
        <w:t xml:space="preserve"> ± 0.</w:t>
      </w:r>
      <w:r>
        <w:rPr>
          <w:rFonts w:ascii="Times New Roman" w:hAnsi="Times New Roman"/>
          <w:bCs/>
          <w:highlight w:val="yellow"/>
        </w:rPr>
        <w:t>94</w:t>
      </w:r>
      <w:r>
        <w:rPr>
          <w:rFonts w:ascii="Times New Roman" w:hAnsi="Times New Roman"/>
          <w:bCs/>
        </w:rPr>
        <w:t>% NDF and 39.</w:t>
      </w:r>
      <w:r>
        <w:rPr>
          <w:rFonts w:ascii="Times New Roman" w:hAnsi="Times New Roman"/>
          <w:bCs/>
          <w:highlight w:val="yellow"/>
        </w:rPr>
        <w:t>68</w:t>
      </w:r>
      <w:r>
        <w:rPr>
          <w:rFonts w:ascii="Times New Roman" w:hAnsi="Times New Roman"/>
          <w:bCs/>
        </w:rPr>
        <w:t xml:space="preserve"> ± 0.</w:t>
      </w:r>
      <w:r>
        <w:rPr>
          <w:rFonts w:ascii="Times New Roman" w:hAnsi="Times New Roman"/>
          <w:bCs/>
          <w:highlight w:val="yellow"/>
        </w:rPr>
        <w:t>76</w:t>
      </w:r>
      <w:r>
        <w:rPr>
          <w:rFonts w:ascii="Times New Roman" w:hAnsi="Times New Roman"/>
          <w:bCs/>
        </w:rPr>
        <w:t>% ADF</w:t>
      </w:r>
      <w:r>
        <w:rPr>
          <w:rFonts w:ascii="Times New Roman" w:hAnsi="Times New Roman"/>
        </w:rPr>
        <w:t xml:space="preserve">) and are also comparable with the fermented and oven-dried samples. This similarity supports the plausibility of the present </w:t>
      </w:r>
      <w:proofErr w:type="spellStart"/>
      <w:r>
        <w:rPr>
          <w:rFonts w:ascii="Times New Roman" w:hAnsi="Times New Roman"/>
        </w:rPr>
        <w:t>fibre</w:t>
      </w:r>
      <w:proofErr w:type="spellEnd"/>
      <w:r>
        <w:rPr>
          <w:rFonts w:ascii="Times New Roman" w:hAnsi="Times New Roman"/>
        </w:rPr>
        <w:t xml:space="preserve"> values and indicates that the magnitude of NDF and ADF in water hyacinth can vary according to plant material, location, maturity, and processing history.</w:t>
      </w:r>
    </w:p>
    <w:p w14:paraId="34AA451B" w14:textId="77777777" w:rsidR="00C50FD8" w:rsidRDefault="00C50FD8" w:rsidP="00C50FD8">
      <w:pPr>
        <w:spacing w:line="480" w:lineRule="auto"/>
        <w:jc w:val="both"/>
        <w:rPr>
          <w:rFonts w:ascii="Times New Roman" w:hAnsi="Times New Roman"/>
        </w:rPr>
      </w:pPr>
      <w:r>
        <w:rPr>
          <w:rFonts w:ascii="Times New Roman" w:hAnsi="Times New Roman"/>
        </w:rPr>
        <w:t xml:space="preserve">The greater reduction produced by fermentation compared with boiling and oven drying is nutritionally important. </w:t>
      </w:r>
      <w:r>
        <w:rPr>
          <w:rFonts w:ascii="Times New Roman" w:hAnsi="Times New Roman"/>
          <w:bCs/>
        </w:rPr>
        <w:t xml:space="preserve">Hundal </w:t>
      </w:r>
      <w:r>
        <w:rPr>
          <w:rFonts w:ascii="Times New Roman" w:hAnsi="Times New Roman"/>
          <w:bCs/>
          <w:i/>
        </w:rPr>
        <w:t>et al.</w:t>
      </w:r>
      <w:r>
        <w:rPr>
          <w:rFonts w:ascii="Times New Roman" w:hAnsi="Times New Roman"/>
          <w:bCs/>
        </w:rPr>
        <w:t xml:space="preserve"> (2025)</w:t>
      </w:r>
      <w:r>
        <w:rPr>
          <w:rFonts w:ascii="Times New Roman" w:hAnsi="Times New Roman"/>
        </w:rPr>
        <w:t xml:space="preserve"> similarly demonstrated that ensiling treatments could reduce NDF and ADF in water hyacinth silage, while simultaneously improving digestibility-related parameters such as organic matter digestibility and NDF digestibility. Their findings </w:t>
      </w:r>
      <w:r>
        <w:rPr>
          <w:rFonts w:ascii="Times New Roman" w:hAnsi="Times New Roman"/>
          <w:highlight w:val="yellow"/>
        </w:rPr>
        <w:t>support the observation in this study</w:t>
      </w:r>
      <w:r>
        <w:rPr>
          <w:rFonts w:ascii="Times New Roman" w:hAnsi="Times New Roman"/>
        </w:rPr>
        <w:t xml:space="preserve"> that processing methods capable of modifying the </w:t>
      </w:r>
      <w:proofErr w:type="spellStart"/>
      <w:r>
        <w:rPr>
          <w:rFonts w:ascii="Times New Roman" w:hAnsi="Times New Roman"/>
        </w:rPr>
        <w:t>fibre</w:t>
      </w:r>
      <w:proofErr w:type="spellEnd"/>
      <w:r>
        <w:rPr>
          <w:rFonts w:ascii="Times New Roman" w:hAnsi="Times New Roman"/>
        </w:rPr>
        <w:t xml:space="preserve"> fraction may improve the potential feeding value of water hyacinth. In contrast, oven drying produced only a modest reduction in </w:t>
      </w:r>
      <w:proofErr w:type="spellStart"/>
      <w:r>
        <w:rPr>
          <w:rFonts w:ascii="Times New Roman" w:hAnsi="Times New Roman"/>
        </w:rPr>
        <w:t>fibre</w:t>
      </w:r>
      <w:proofErr w:type="spellEnd"/>
      <w:r>
        <w:rPr>
          <w:rFonts w:ascii="Times New Roman" w:hAnsi="Times New Roman"/>
        </w:rPr>
        <w:t xml:space="preserve"> relative to the control, with crude </w:t>
      </w:r>
      <w:proofErr w:type="spellStart"/>
      <w:r>
        <w:rPr>
          <w:rFonts w:ascii="Times New Roman" w:hAnsi="Times New Roman"/>
        </w:rPr>
        <w:t>fibre</w:t>
      </w:r>
      <w:proofErr w:type="spellEnd"/>
      <w:r>
        <w:rPr>
          <w:rFonts w:ascii="Times New Roman" w:hAnsi="Times New Roman"/>
        </w:rPr>
        <w:t>, NDF and ADF values of (</w:t>
      </w:r>
      <w:r>
        <w:rPr>
          <w:rFonts w:ascii="Times New Roman" w:hAnsi="Times New Roman"/>
          <w:bCs/>
        </w:rPr>
        <w:t xml:space="preserve">37.40 ± 0.56%, </w:t>
      </w:r>
      <w:r>
        <w:rPr>
          <w:rFonts w:ascii="Times New Roman" w:hAnsi="Times New Roman"/>
          <w:bCs/>
          <w:highlight w:val="yellow"/>
        </w:rPr>
        <w:t>68</w:t>
      </w:r>
      <w:r>
        <w:rPr>
          <w:rFonts w:ascii="Times New Roman" w:hAnsi="Times New Roman"/>
          <w:bCs/>
        </w:rPr>
        <w:t>.</w:t>
      </w:r>
      <w:r>
        <w:rPr>
          <w:rFonts w:ascii="Times New Roman" w:hAnsi="Times New Roman"/>
          <w:bCs/>
          <w:highlight w:val="yellow"/>
        </w:rPr>
        <w:t>87</w:t>
      </w:r>
      <w:r>
        <w:rPr>
          <w:rFonts w:ascii="Times New Roman" w:hAnsi="Times New Roman"/>
          <w:bCs/>
        </w:rPr>
        <w:t xml:space="preserve"> ± </w:t>
      </w:r>
      <w:r>
        <w:rPr>
          <w:rFonts w:ascii="Times New Roman" w:hAnsi="Times New Roman"/>
          <w:bCs/>
          <w:highlight w:val="yellow"/>
        </w:rPr>
        <w:t>1.</w:t>
      </w:r>
      <w:r>
        <w:rPr>
          <w:rFonts w:ascii="Times New Roman" w:hAnsi="Times New Roman"/>
          <w:bCs/>
        </w:rPr>
        <w:t>0</w:t>
      </w:r>
      <w:r>
        <w:rPr>
          <w:rFonts w:ascii="Times New Roman" w:hAnsi="Times New Roman"/>
          <w:bCs/>
          <w:highlight w:val="yellow"/>
        </w:rPr>
        <w:t>5</w:t>
      </w:r>
      <w:r>
        <w:rPr>
          <w:rFonts w:ascii="Times New Roman" w:hAnsi="Times New Roman"/>
          <w:bCs/>
        </w:rPr>
        <w:t>% and 4</w:t>
      </w:r>
      <w:r>
        <w:rPr>
          <w:rFonts w:ascii="Times New Roman" w:hAnsi="Times New Roman"/>
          <w:bCs/>
          <w:highlight w:val="yellow"/>
        </w:rPr>
        <w:t>5</w:t>
      </w:r>
      <w:r>
        <w:rPr>
          <w:rFonts w:ascii="Times New Roman" w:hAnsi="Times New Roman"/>
          <w:bCs/>
        </w:rPr>
        <w:t>.</w:t>
      </w:r>
      <w:r>
        <w:rPr>
          <w:rFonts w:ascii="Times New Roman" w:hAnsi="Times New Roman"/>
          <w:bCs/>
          <w:highlight w:val="yellow"/>
        </w:rPr>
        <w:t>1</w:t>
      </w:r>
      <w:r>
        <w:rPr>
          <w:rFonts w:ascii="Times New Roman" w:hAnsi="Times New Roman"/>
          <w:bCs/>
        </w:rPr>
        <w:t>7 ± 0.</w:t>
      </w:r>
      <w:r>
        <w:rPr>
          <w:rFonts w:ascii="Times New Roman" w:hAnsi="Times New Roman"/>
          <w:bCs/>
          <w:highlight w:val="yellow"/>
        </w:rPr>
        <w:t>83</w:t>
      </w:r>
      <w:r>
        <w:rPr>
          <w:rFonts w:ascii="Times New Roman" w:hAnsi="Times New Roman"/>
          <w:bCs/>
        </w:rPr>
        <w:t>%)</w:t>
      </w:r>
      <w:r>
        <w:rPr>
          <w:rFonts w:ascii="Times New Roman" w:hAnsi="Times New Roman"/>
        </w:rPr>
        <w:t>, respectively. This suggests that drying primarily removes moisture and may have less capacity to break down structural carbohydrates than microbial fermentation. Boiling produced an intermediate reduction (</w:t>
      </w:r>
      <w:r>
        <w:rPr>
          <w:rFonts w:ascii="Times New Roman" w:hAnsi="Times New Roman"/>
          <w:bCs/>
        </w:rPr>
        <w:t xml:space="preserve">34.57 ± 0.45% crude </w:t>
      </w:r>
      <w:proofErr w:type="spellStart"/>
      <w:r>
        <w:rPr>
          <w:rFonts w:ascii="Times New Roman" w:hAnsi="Times New Roman"/>
          <w:bCs/>
        </w:rPr>
        <w:t>fibre</w:t>
      </w:r>
      <w:proofErr w:type="spellEnd"/>
      <w:r>
        <w:rPr>
          <w:rFonts w:ascii="Times New Roman" w:hAnsi="Times New Roman"/>
          <w:bCs/>
        </w:rPr>
        <w:t xml:space="preserve">, </w:t>
      </w:r>
      <w:r>
        <w:rPr>
          <w:rFonts w:ascii="Times New Roman" w:hAnsi="Times New Roman"/>
          <w:bCs/>
          <w:highlight w:val="yellow"/>
        </w:rPr>
        <w:t>61</w:t>
      </w:r>
      <w:r>
        <w:rPr>
          <w:rFonts w:ascii="Times New Roman" w:hAnsi="Times New Roman"/>
          <w:bCs/>
        </w:rPr>
        <w:t>.7</w:t>
      </w:r>
      <w:r>
        <w:rPr>
          <w:rFonts w:ascii="Times New Roman" w:hAnsi="Times New Roman"/>
          <w:bCs/>
          <w:highlight w:val="yellow"/>
        </w:rPr>
        <w:t>6</w:t>
      </w:r>
      <w:r>
        <w:rPr>
          <w:rFonts w:ascii="Times New Roman" w:hAnsi="Times New Roman"/>
          <w:bCs/>
        </w:rPr>
        <w:t xml:space="preserve"> ± 0.</w:t>
      </w:r>
      <w:r>
        <w:rPr>
          <w:rFonts w:ascii="Times New Roman" w:hAnsi="Times New Roman"/>
          <w:bCs/>
          <w:highlight w:val="yellow"/>
        </w:rPr>
        <w:t>94</w:t>
      </w:r>
      <w:r>
        <w:rPr>
          <w:rFonts w:ascii="Times New Roman" w:hAnsi="Times New Roman"/>
          <w:bCs/>
        </w:rPr>
        <w:t>% NDF and 39.</w:t>
      </w:r>
      <w:r>
        <w:rPr>
          <w:rFonts w:ascii="Times New Roman" w:hAnsi="Times New Roman"/>
          <w:bCs/>
          <w:highlight w:val="yellow"/>
        </w:rPr>
        <w:t>68</w:t>
      </w:r>
      <w:r>
        <w:rPr>
          <w:rFonts w:ascii="Times New Roman" w:hAnsi="Times New Roman"/>
          <w:bCs/>
        </w:rPr>
        <w:t xml:space="preserve"> ± 0.</w:t>
      </w:r>
      <w:r>
        <w:rPr>
          <w:rFonts w:ascii="Times New Roman" w:hAnsi="Times New Roman"/>
          <w:bCs/>
          <w:highlight w:val="yellow"/>
        </w:rPr>
        <w:t>76</w:t>
      </w:r>
      <w:r>
        <w:rPr>
          <w:rFonts w:ascii="Times New Roman" w:hAnsi="Times New Roman"/>
          <w:bCs/>
        </w:rPr>
        <w:t>% ADF</w:t>
      </w:r>
      <w:r>
        <w:rPr>
          <w:rFonts w:ascii="Times New Roman" w:hAnsi="Times New Roman"/>
        </w:rPr>
        <w:t xml:space="preserve">), suggesting that heat and water exposure may promote some </w:t>
      </w:r>
      <w:proofErr w:type="spellStart"/>
      <w:r>
        <w:rPr>
          <w:rFonts w:ascii="Times New Roman" w:hAnsi="Times New Roman"/>
          <w:highlight w:val="yellow"/>
        </w:rPr>
        <w:t>solubilisation</w:t>
      </w:r>
      <w:proofErr w:type="spellEnd"/>
      <w:r>
        <w:rPr>
          <w:rFonts w:ascii="Times New Roman" w:hAnsi="Times New Roman"/>
        </w:rPr>
        <w:t xml:space="preserve"> or disruption of cell-wall components, although the effect was not as pronounced as fermentation.</w:t>
      </w:r>
    </w:p>
    <w:p w14:paraId="0329F17B" w14:textId="77777777" w:rsidR="00C50FD8" w:rsidRDefault="00C50FD8" w:rsidP="00C50FD8">
      <w:pPr>
        <w:pStyle w:val="pdq2pgselectionanchorcontainer"/>
        <w:spacing w:before="0" w:beforeAutospacing="0" w:after="0" w:afterAutospacing="0" w:line="480" w:lineRule="auto"/>
        <w:jc w:val="both"/>
      </w:pPr>
      <w:r>
        <w:rPr>
          <w:highlight w:val="yellow"/>
        </w:rPr>
        <w:lastRenderedPageBreak/>
        <w:t>The results in Table 3 showed</w:t>
      </w:r>
      <w:r>
        <w:t xml:space="preserve"> that processing significantly reduced the free amino acid content of </w:t>
      </w:r>
      <w:r w:rsidR="009E4DDC" w:rsidRPr="009E4DDC">
        <w:rPr>
          <w:rStyle w:val="Emphasis"/>
          <w:rFonts w:eastAsiaTheme="majorEastAsia"/>
          <w:highlight w:val="yellow"/>
        </w:rPr>
        <w:t>Eichhornia crassipes</w:t>
      </w:r>
      <w:r>
        <w:t xml:space="preserve"> compared with the unprocessed control. The control recorded the highest free amino acid concentration, followed by the fermented sample, while the boiled and oven-dried samples had significantly lower values, with oven drying </w:t>
      </w:r>
      <w:r>
        <w:rPr>
          <w:highlight w:val="yellow"/>
        </w:rPr>
        <w:t>recording the lowest concentration</w:t>
      </w:r>
      <w:r>
        <w:t xml:space="preserve">. This indicates that processing altered the availability of free amino acids, although fermentation retained more free amino acids than boiling and oven drying. The relatively higher free amino acid content observed in the fermented sample may be attributed to microbial proteolytic activity during fermentation. Microorganisms produce proteolytic enzymes that </w:t>
      </w:r>
      <w:proofErr w:type="spellStart"/>
      <w:r w:rsidR="0062641B">
        <w:rPr>
          <w:highlight w:val="yellow"/>
        </w:rPr>
        <w:t>hydrolyse</w:t>
      </w:r>
      <w:proofErr w:type="spellEnd"/>
      <w:r>
        <w:t xml:space="preserve"> proteins into smaller peptides and free amino acids, thereby increasing their availability despite an overall reduction compared to the control. Similar observations were reported by </w:t>
      </w:r>
      <w:r>
        <w:rPr>
          <w:rStyle w:val="Strong"/>
          <w:rFonts w:eastAsiaTheme="majorEastAsia"/>
          <w:b w:val="0"/>
        </w:rPr>
        <w:t xml:space="preserve">Nkhata </w:t>
      </w:r>
      <w:r>
        <w:rPr>
          <w:rStyle w:val="Strong"/>
          <w:rFonts w:eastAsiaTheme="majorEastAsia"/>
          <w:b w:val="0"/>
          <w:i/>
        </w:rPr>
        <w:t>et al</w:t>
      </w:r>
      <w:r>
        <w:rPr>
          <w:rStyle w:val="Strong"/>
          <w:rFonts w:eastAsiaTheme="majorEastAsia"/>
          <w:b w:val="0"/>
        </w:rPr>
        <w:t>. (2018)</w:t>
      </w:r>
      <w:r>
        <w:rPr>
          <w:b/>
        </w:rPr>
        <w:t>,</w:t>
      </w:r>
      <w:r>
        <w:t xml:space="preserve"> who noted that fermentation enhances protein breakdown and increases the availability of free amino acids in plant materials. Likewise, </w:t>
      </w:r>
      <w:r>
        <w:rPr>
          <w:rStyle w:val="Strong"/>
          <w:rFonts w:eastAsiaTheme="majorEastAsia"/>
          <w:b w:val="0"/>
        </w:rPr>
        <w:t xml:space="preserve">Marco </w:t>
      </w:r>
      <w:r>
        <w:rPr>
          <w:rStyle w:val="Strong"/>
          <w:rFonts w:eastAsiaTheme="majorEastAsia"/>
          <w:b w:val="0"/>
          <w:i/>
        </w:rPr>
        <w:t>et al</w:t>
      </w:r>
      <w:r>
        <w:rPr>
          <w:rStyle w:val="Strong"/>
          <w:rFonts w:eastAsiaTheme="majorEastAsia"/>
          <w:b w:val="0"/>
        </w:rPr>
        <w:t>. (2017)</w:t>
      </w:r>
      <w:r>
        <w:rPr>
          <w:b/>
        </w:rPr>
        <w:t xml:space="preserve"> </w:t>
      </w:r>
      <w:r>
        <w:t xml:space="preserve">reported that microbial fermentation improves the nutritional quality of foods by promoting the release of amino acids through enzymatic hydrolysis. The lower free amino acid contents observed in the boiled and oven-dried samples may be due to the effects of heat during processing. Boiling can result in the leaching of water-soluble amino acids into the cooking medium, while prolonged heating during oven drying may promote amino acid degradation or their involvement in non-enzymatic browning reactions, thereby reducing their concentration in the processed material. Thermal processing can alter the composition of plant tissues, with the magnitude and direction of changes depending on the compound and processing conditions (Moyo et al., 2018). Although processing reduced free amino acid levels compared with the fresh sample, the relatively higher concentration retained after fermentation suggests that this method is more effective in preserving readily available amino acids than boiling and oven drying. Since free amino acids contribute to protein </w:t>
      </w:r>
      <w:proofErr w:type="spellStart"/>
      <w:r w:rsidR="0062641B">
        <w:rPr>
          <w:highlight w:val="yellow"/>
        </w:rPr>
        <w:t>utilisation</w:t>
      </w:r>
      <w:proofErr w:type="spellEnd"/>
      <w:r>
        <w:t xml:space="preserve">, tissue growth, and metabolic functions in animals, their retention enhances the nutritional quality of feed ingredients. Therefore, fermentation appears to offer an additional advantage in improving the feed value of </w:t>
      </w:r>
      <w:r w:rsidR="009E4DDC" w:rsidRPr="009E4DDC">
        <w:rPr>
          <w:rStyle w:val="Emphasis"/>
          <w:rFonts w:eastAsiaTheme="majorEastAsia"/>
          <w:highlight w:val="yellow"/>
        </w:rPr>
        <w:t>Eichhornia crassipes</w:t>
      </w:r>
      <w:r>
        <w:t xml:space="preserve"> by maintaining a higher level of nutritionally important free amino acids while simultaneously improving other feed quality characteristics.</w:t>
      </w:r>
    </w:p>
    <w:p w14:paraId="7B21B8E6" w14:textId="77777777" w:rsidR="00C50FD8" w:rsidRDefault="00C50FD8" w:rsidP="00C50FD8">
      <w:pPr>
        <w:pStyle w:val="pdq2pgselectionanchorcontainer"/>
        <w:spacing w:before="0" w:beforeAutospacing="0" w:after="0" w:afterAutospacing="0" w:line="480" w:lineRule="auto"/>
        <w:jc w:val="both"/>
      </w:pPr>
      <w:r>
        <w:lastRenderedPageBreak/>
        <w:t xml:space="preserve">The </w:t>
      </w:r>
      <w:r w:rsidR="004C1DFF">
        <w:t>results</w:t>
      </w:r>
      <w:r>
        <w:t xml:space="preserve"> in </w:t>
      </w:r>
      <w:r w:rsidR="00D6001C">
        <w:rPr>
          <w:highlight w:val="yellow"/>
        </w:rPr>
        <w:t>Table</w:t>
      </w:r>
      <w:r>
        <w:t xml:space="preserve"> 4 showed that processing significantly reduced the tannin content of </w:t>
      </w:r>
      <w:r w:rsidR="009E4DDC" w:rsidRPr="009E4DDC">
        <w:rPr>
          <w:rStyle w:val="Emphasis"/>
          <w:rFonts w:eastAsiaTheme="majorEastAsia"/>
          <w:highlight w:val="yellow"/>
        </w:rPr>
        <w:t>Eichhornia crassipes</w:t>
      </w:r>
      <w:r>
        <w:t xml:space="preserve"> compared with the unprocessed control. The control recorded the highest tannin concentration, while the boiled sample had the lowest concentration. Fermented and oven-dried samples showed intermediate values and were not significantly different from each other. These findings indicate that boiling was the most effective method for reducing tannin content in the plant. The pronounced reduction in tannin content after boiling may be attributed to the water-soluble nature of tannins. During boiling, tannins are readily leached into the cooking water, while heat may also promote the breakdown of some tannin compounds. Similar findings were reported by </w:t>
      </w:r>
      <w:r>
        <w:rPr>
          <w:rStyle w:val="Strong"/>
          <w:rFonts w:eastAsiaTheme="majorEastAsia"/>
          <w:b w:val="0"/>
          <w:highlight w:val="yellow"/>
        </w:rPr>
        <w:t xml:space="preserve">Makinde and </w:t>
      </w:r>
      <w:proofErr w:type="spellStart"/>
      <w:r>
        <w:rPr>
          <w:rStyle w:val="Strong"/>
          <w:rFonts w:eastAsiaTheme="majorEastAsia"/>
          <w:b w:val="0"/>
          <w:highlight w:val="yellow"/>
        </w:rPr>
        <w:t>Akinoso</w:t>
      </w:r>
      <w:proofErr w:type="spellEnd"/>
      <w:r>
        <w:rPr>
          <w:rStyle w:val="Strong"/>
          <w:rFonts w:eastAsiaTheme="majorEastAsia"/>
          <w:b w:val="0"/>
          <w:highlight w:val="yellow"/>
        </w:rPr>
        <w:t xml:space="preserve"> (2013)</w:t>
      </w:r>
      <w:r>
        <w:rPr>
          <w:b/>
        </w:rPr>
        <w:t>,</w:t>
      </w:r>
      <w:r>
        <w:t xml:space="preserve"> who observed a significant reduction in tannin content after boiling legumes due to leaching into the cooking medium. Likewise, Moyo </w:t>
      </w:r>
      <w:r>
        <w:rPr>
          <w:i/>
        </w:rPr>
        <w:t>et</w:t>
      </w:r>
      <w:r>
        <w:t xml:space="preserve"> </w:t>
      </w:r>
      <w:r>
        <w:rPr>
          <w:i/>
        </w:rPr>
        <w:t>al.</w:t>
      </w:r>
      <w:r>
        <w:t xml:space="preserve"> (2018) reported that thermal processing effectively reduced tannin levels in tropical leafy vegetables by facilitating the removal of soluble phenolic compounds. The reduction in tannin content following fermentation may be due to the activity of microorganisms capable of producing enzymes such as </w:t>
      </w:r>
      <w:proofErr w:type="spellStart"/>
      <w:r>
        <w:t>tannase</w:t>
      </w:r>
      <w:proofErr w:type="spellEnd"/>
      <w:r>
        <w:t xml:space="preserve">, which </w:t>
      </w:r>
      <w:proofErr w:type="spellStart"/>
      <w:r w:rsidR="0062641B">
        <w:rPr>
          <w:highlight w:val="yellow"/>
        </w:rPr>
        <w:t>hydrolyse</w:t>
      </w:r>
      <w:proofErr w:type="spellEnd"/>
      <w:r>
        <w:t xml:space="preserve"> tannins into simpler compounds. This enzymatic degradation lowers the concentration of tannins and improves nutrient availability. </w:t>
      </w:r>
      <w:r>
        <w:rPr>
          <w:rStyle w:val="Strong"/>
          <w:rFonts w:eastAsiaTheme="majorEastAsia"/>
          <w:b w:val="0"/>
        </w:rPr>
        <w:t xml:space="preserve">Nkhata </w:t>
      </w:r>
      <w:r>
        <w:rPr>
          <w:rStyle w:val="Strong"/>
          <w:rFonts w:eastAsiaTheme="majorEastAsia"/>
          <w:b w:val="0"/>
          <w:i/>
        </w:rPr>
        <w:t>et al</w:t>
      </w:r>
      <w:r>
        <w:rPr>
          <w:rStyle w:val="Strong"/>
          <w:rFonts w:eastAsiaTheme="majorEastAsia"/>
          <w:b w:val="0"/>
        </w:rPr>
        <w:t>. (2018)</w:t>
      </w:r>
      <w:r>
        <w:t xml:space="preserve"> reported that fermentation reduces anti-nutritional factors, including tannins, through microbial enzymatic activity. Similarly, </w:t>
      </w:r>
      <w:r>
        <w:rPr>
          <w:rStyle w:val="Strong"/>
          <w:rFonts w:eastAsiaTheme="majorEastAsia"/>
          <w:b w:val="0"/>
        </w:rPr>
        <w:t xml:space="preserve">Hur </w:t>
      </w:r>
      <w:r>
        <w:rPr>
          <w:rStyle w:val="Strong"/>
          <w:rFonts w:eastAsiaTheme="majorEastAsia"/>
          <w:b w:val="0"/>
          <w:i/>
        </w:rPr>
        <w:t>et al.</w:t>
      </w:r>
      <w:r>
        <w:rPr>
          <w:rStyle w:val="Strong"/>
          <w:rFonts w:eastAsiaTheme="majorEastAsia"/>
          <w:b w:val="0"/>
        </w:rPr>
        <w:t xml:space="preserve"> (2014)</w:t>
      </w:r>
      <w:r>
        <w:t xml:space="preserve"> noted that microbial fermentation improves the nutritional quality of plant materials by degrading phenolic anti-nutritional compounds. Although oven drying reduced tannin content compared with the control, its effect was less pronounced than boiling. This is expected because drying mainly removes moisture and has a limited effect on the degradation or removal of tannins, especially in the absence of water that facilitates leaching. The reduction in tannin content observed in this study is nutritionally important because high tannin levels reduce protein digestibility by forming insoluble tannin-protein complexes and inhibiting digestive enzymes. Thus, lowering tannin concentration enhances protein </w:t>
      </w:r>
      <w:proofErr w:type="spellStart"/>
      <w:r w:rsidR="0062641B">
        <w:rPr>
          <w:highlight w:val="yellow"/>
        </w:rPr>
        <w:t>utilisation</w:t>
      </w:r>
      <w:proofErr w:type="spellEnd"/>
      <w:r>
        <w:t xml:space="preserve"> and improves the overall feeding value of </w:t>
      </w:r>
      <w:r w:rsidR="009E4DDC" w:rsidRPr="009E4DDC">
        <w:rPr>
          <w:rStyle w:val="Emphasis"/>
          <w:rFonts w:eastAsiaTheme="majorEastAsia"/>
          <w:highlight w:val="yellow"/>
        </w:rPr>
        <w:t>Eichhornia crassipes</w:t>
      </w:r>
      <w:r>
        <w:t>.</w:t>
      </w:r>
    </w:p>
    <w:p w14:paraId="57BF38C1" w14:textId="77777777" w:rsidR="00C50FD8" w:rsidRDefault="00C50FD8" w:rsidP="00C50FD8">
      <w:pPr>
        <w:pStyle w:val="pdq2pgselectionanchorcontainer"/>
        <w:spacing w:before="0" w:beforeAutospacing="0" w:after="0" w:afterAutospacing="0" w:line="480" w:lineRule="auto"/>
        <w:jc w:val="both"/>
      </w:pPr>
      <w:r>
        <w:t xml:space="preserve">The </w:t>
      </w:r>
      <w:r w:rsidR="00D6001C">
        <w:t>results</w:t>
      </w:r>
      <w:r>
        <w:t xml:space="preserve"> in </w:t>
      </w:r>
      <w:r w:rsidR="00D6001C">
        <w:rPr>
          <w:highlight w:val="yellow"/>
        </w:rPr>
        <w:t>Table</w:t>
      </w:r>
      <w:r>
        <w:t xml:space="preserve"> 4 showed that processing significantly reduced the cyanogenic glycoside content of </w:t>
      </w:r>
      <w:r w:rsidR="009E4DDC" w:rsidRPr="009E4DDC">
        <w:rPr>
          <w:rStyle w:val="Emphasis"/>
          <w:rFonts w:eastAsiaTheme="majorEastAsia"/>
          <w:highlight w:val="yellow"/>
        </w:rPr>
        <w:t>Eichhornia crassipes</w:t>
      </w:r>
      <w:r>
        <w:t xml:space="preserve"> compared with the unprocessed control. The control sample recorded the highest cyanogenic glycoside concentration, whereas the boiled sample had the lowest value. Fermented and oven-dried </w:t>
      </w:r>
      <w:r>
        <w:lastRenderedPageBreak/>
        <w:t xml:space="preserve">samples showed similar concentrations and were not significantly different from each other. This indicates that all processing methods reduced cyanogenic glycosides, with boiling being the most effective. The marked reduction observed after boiling may be attributed to the heat-labile and water-soluble nature of cyanogenic compounds. During boiling, cyanogenic glycosides may be </w:t>
      </w:r>
      <w:proofErr w:type="spellStart"/>
      <w:r w:rsidR="0062641B">
        <w:rPr>
          <w:highlight w:val="yellow"/>
        </w:rPr>
        <w:t>hydrolysed</w:t>
      </w:r>
      <w:proofErr w:type="spellEnd"/>
      <w:r>
        <w:t xml:space="preserve">, and the released cyanide or soluble compounds may diffuse into the boiling water, thereby lowering their concentration in the processed material. Similar observations were reported by </w:t>
      </w:r>
      <w:proofErr w:type="spellStart"/>
      <w:r>
        <w:t>Montagnac</w:t>
      </w:r>
      <w:proofErr w:type="spellEnd"/>
      <w:r>
        <w:t xml:space="preserve"> </w:t>
      </w:r>
      <w:r>
        <w:rPr>
          <w:i/>
        </w:rPr>
        <w:t xml:space="preserve">et al. </w:t>
      </w:r>
      <w:r>
        <w:t xml:space="preserve">(2009), who noted that boiling significantly reduced cyanogenic compounds in cassava products through leaching and thermal degradation. Likewise, Bradbury and Denton (2011) reported that heat treatment effectively lowers cyanogenic glycoside levels in plant materials. Fermentation also reduced cyanogenic glycosides compared with the control. This reduction may be due to microbial enzymatic activity, particularly the action of β-glucosidase enzymes, which </w:t>
      </w:r>
      <w:proofErr w:type="spellStart"/>
      <w:r w:rsidR="0062641B">
        <w:rPr>
          <w:highlight w:val="yellow"/>
        </w:rPr>
        <w:t>hydrolyse</w:t>
      </w:r>
      <w:proofErr w:type="spellEnd"/>
      <w:r>
        <w:t xml:space="preserve"> cyanogenic glycosides into simpler compounds. </w:t>
      </w:r>
      <w:r>
        <w:rPr>
          <w:rStyle w:val="Strong"/>
          <w:rFonts w:eastAsiaTheme="majorEastAsia"/>
          <w:b w:val="0"/>
        </w:rPr>
        <w:t>Nambisan (2011)</w:t>
      </w:r>
      <w:r>
        <w:t xml:space="preserve"> reported that fermentation is an effective method for reducing cyanogenic compounds in plant products due to microbial degradation. Similar findings were also reported by Amoa-</w:t>
      </w:r>
      <w:proofErr w:type="spellStart"/>
      <w:r>
        <w:t>Awua</w:t>
      </w:r>
      <w:proofErr w:type="spellEnd"/>
      <w:r>
        <w:t xml:space="preserve"> </w:t>
      </w:r>
      <w:r>
        <w:rPr>
          <w:i/>
        </w:rPr>
        <w:t>et al.</w:t>
      </w:r>
      <w:r>
        <w:t xml:space="preserve"> (1996), who observed substantial reductions in cyanogenic compounds following the fermentation of cassava products. The oven-dried sample also showed a considerable reduction in cyanogenic glycosides, although its effect was less pronounced than boiling. Heat generated during drying may promote partial decomposition of cyanogenic compounds, but the absence of water limits the extent of leaching compared with boiling. The reduction in cyanogenic glycosides observed in this study is important because high concentrations of these compounds can release toxic hydrogen cyanide, which interferes with cellular respiration and reduces feed safety. Therefore, reducing cyanogenic glycosides enhances the suitability of </w:t>
      </w:r>
      <w:r w:rsidR="009E4DDC" w:rsidRPr="009E4DDC">
        <w:rPr>
          <w:rStyle w:val="Emphasis"/>
          <w:rFonts w:eastAsiaTheme="majorEastAsia"/>
          <w:highlight w:val="yellow"/>
        </w:rPr>
        <w:t>Eichhornia crassipes</w:t>
      </w:r>
      <w:r>
        <w:t xml:space="preserve"> for livestock feeding.</w:t>
      </w:r>
    </w:p>
    <w:p w14:paraId="5DF135EE" w14:textId="77777777" w:rsidR="00C50FD8" w:rsidRDefault="0062641B" w:rsidP="00C50FD8">
      <w:pPr>
        <w:pStyle w:val="pdq2pgselectionanchorcontainer"/>
        <w:spacing w:before="0" w:beforeAutospacing="0" w:after="0" w:afterAutospacing="0" w:line="480" w:lineRule="auto"/>
        <w:jc w:val="both"/>
      </w:pPr>
      <w:r>
        <w:t xml:space="preserve">The </w:t>
      </w:r>
      <w:r w:rsidR="00D6001C">
        <w:t>results</w:t>
      </w:r>
      <w:r>
        <w:t xml:space="preserve"> in </w:t>
      </w:r>
      <w:r w:rsidR="00D6001C">
        <w:t>Table</w:t>
      </w:r>
      <w:r w:rsidR="00C50FD8">
        <w:t xml:space="preserve"> 4 showed that processing significantly reduced the phytate content of </w:t>
      </w:r>
      <w:r w:rsidR="009E4DDC" w:rsidRPr="009E4DDC">
        <w:rPr>
          <w:rStyle w:val="Emphasis"/>
          <w:rFonts w:eastAsiaTheme="majorEastAsia"/>
          <w:highlight w:val="yellow"/>
        </w:rPr>
        <w:t>Eichhornia crassipes</w:t>
      </w:r>
      <w:r w:rsidR="00C50FD8">
        <w:t xml:space="preserve"> compared with the unprocessed control. The fermented sample recorded the lowest phytate concentration, while the boiled sample showed a moderate reduction. The oven-dried sample did not differ significantly from the control, indicating that oven drying had little effect on phytate reduction. These findings suggest that fermentation was the most effective processing method for lowering phytate levels in water hyacinth. The significant reduction </w:t>
      </w:r>
      <w:r w:rsidR="00C50FD8">
        <w:lastRenderedPageBreak/>
        <w:t xml:space="preserve">in phytate content following fermentation may be attributed to the activity of microbial phytase enzymes, which </w:t>
      </w:r>
      <w:proofErr w:type="spellStart"/>
      <w:r>
        <w:rPr>
          <w:highlight w:val="yellow"/>
        </w:rPr>
        <w:t>hydrolyse</w:t>
      </w:r>
      <w:proofErr w:type="spellEnd"/>
      <w:r w:rsidR="00C50FD8">
        <w:t xml:space="preserve"> phytic acid into lower inositol phosphates and inorganic phosphate. This enzymatic degradation reduces the phytate content and improves the availability of minerals such as calcium, iron, zinc, and magnesium. Similar findings were reported by Nkhata </w:t>
      </w:r>
      <w:r w:rsidR="00C50FD8">
        <w:rPr>
          <w:i/>
        </w:rPr>
        <w:t>et al.</w:t>
      </w:r>
      <w:r w:rsidR="00C50FD8">
        <w:t xml:space="preserve"> (2018)</w:t>
      </w:r>
      <w:r w:rsidR="00D6001C">
        <w:t>,</w:t>
      </w:r>
      <w:r w:rsidR="00C50FD8">
        <w:t xml:space="preserve"> who observed that fermentation markedly reduced phytate levels in plant-based foods through phytase activity. Likewise, </w:t>
      </w:r>
      <w:r w:rsidR="00C50FD8">
        <w:rPr>
          <w:rStyle w:val="Strong"/>
          <w:rFonts w:eastAsiaTheme="majorEastAsia"/>
          <w:b w:val="0"/>
        </w:rPr>
        <w:t xml:space="preserve">Lei </w:t>
      </w:r>
      <w:r w:rsidR="00C50FD8">
        <w:rPr>
          <w:rStyle w:val="Strong"/>
          <w:rFonts w:eastAsiaTheme="majorEastAsia"/>
          <w:b w:val="0"/>
          <w:i/>
        </w:rPr>
        <w:t>et al</w:t>
      </w:r>
      <w:r w:rsidR="00C50FD8">
        <w:rPr>
          <w:rStyle w:val="Strong"/>
          <w:rFonts w:eastAsiaTheme="majorEastAsia"/>
          <w:b w:val="0"/>
        </w:rPr>
        <w:t>. (2013)</w:t>
      </w:r>
      <w:r w:rsidR="00C50FD8">
        <w:t xml:space="preserve"> reported that microbial phytases play an important role in degrading phytate and improving nutrient bioavailability in feed ingredients. Boiling also reduced phytate concentration, although the reduction was less pronounced than that observed with fermentation. This may be due to the partial dissolution of phytate into the boiling water and the effect of heat on phytate complexes. </w:t>
      </w:r>
      <w:proofErr w:type="spellStart"/>
      <w:r w:rsidR="00C50FD8">
        <w:t>Samtiya</w:t>
      </w:r>
      <w:proofErr w:type="spellEnd"/>
      <w:r w:rsidR="00C50FD8">
        <w:t xml:space="preserve"> </w:t>
      </w:r>
      <w:r w:rsidR="00C50FD8">
        <w:rPr>
          <w:i/>
        </w:rPr>
        <w:t>et al.</w:t>
      </w:r>
      <w:r w:rsidR="00C50FD8">
        <w:t xml:space="preserve"> (2020) reported that household processing methods, including boiling, can reduce phytate content, although the extent of reduction depends on the processing conditions and the nature of the plant material. In contrast, oven drying produced little or no reduction in phytate content compared with the control. This finding is expected because drying mainly removes moisture and does not provide the enzymatic or aqueous conditions required for substantial phytate degradation. As a result, much of the phytate remains unchanged after drying. The reduction in phytate content observed in this study is nutritionally beneficial because phytate binds essential minerals and proteins, thereby reducing their bioavailability and digestibility. Lower phytate levels improve mineral absorption and enhance the nutritional value of feed ingredients.</w:t>
      </w:r>
    </w:p>
    <w:p w14:paraId="09AEC1EF" w14:textId="77777777" w:rsidR="00C50FD8" w:rsidRDefault="00C50FD8" w:rsidP="00C50FD8">
      <w:pPr>
        <w:pStyle w:val="pdq2pgselectionanchorcontainer"/>
        <w:spacing w:before="0" w:beforeAutospacing="0" w:after="0" w:afterAutospacing="0" w:line="480" w:lineRule="auto"/>
        <w:jc w:val="both"/>
      </w:pPr>
      <w:r>
        <w:t xml:space="preserve">The </w:t>
      </w:r>
      <w:r w:rsidR="00D6001C">
        <w:t>results</w:t>
      </w:r>
      <w:r>
        <w:t xml:space="preserve"> in </w:t>
      </w:r>
      <w:r w:rsidR="00D6001C">
        <w:rPr>
          <w:highlight w:val="yellow"/>
        </w:rPr>
        <w:t>Table</w:t>
      </w:r>
      <w:r>
        <w:t xml:space="preserve"> 4 also showed that oxalate was </w:t>
      </w:r>
      <w:r>
        <w:rPr>
          <w:rStyle w:val="Strong"/>
          <w:rFonts w:eastAsiaTheme="majorEastAsia"/>
          <w:b w:val="0"/>
        </w:rPr>
        <w:t>not detected</w:t>
      </w:r>
      <w:r>
        <w:t xml:space="preserve"> in the fermented, boiled, and oven-dried water hyacinth samples, while the unprocessed sample contained </w:t>
      </w:r>
      <w:r>
        <w:rPr>
          <w:b/>
        </w:rPr>
        <w:t>(</w:t>
      </w:r>
      <w:r>
        <w:rPr>
          <w:rStyle w:val="Strong"/>
          <w:rFonts w:eastAsiaTheme="majorEastAsia"/>
          <w:b w:val="0"/>
        </w:rPr>
        <w:t>4.06 ± 0.88 mg/100g</w:t>
      </w:r>
      <w:r>
        <w:rPr>
          <w:b/>
        </w:rPr>
        <w:t>).</w:t>
      </w:r>
      <w:r>
        <w:t xml:space="preserve"> This indicates that all three processing methods effectively reduced the oxalate content to below the detectable limit. Boiling likely reduced oxalate through leaching into the cooking water, while fermentation may have promoted microbial degradation of oxalate. Oven drying also contributed to oxalate reduction through the effect of heat. The reduction of oxalate is beneficial because it improves mineral bioavailability and enhances the nutritional quality of water hyacinth for potential use as livestock feed (Huynh </w:t>
      </w:r>
      <w:r>
        <w:rPr>
          <w:i/>
        </w:rPr>
        <w:t>et al.,</w:t>
      </w:r>
      <w:r>
        <w:t xml:space="preserve"> 2022; Popova &amp; </w:t>
      </w:r>
      <w:proofErr w:type="spellStart"/>
      <w:r>
        <w:t>Mihaylova</w:t>
      </w:r>
      <w:proofErr w:type="spellEnd"/>
      <w:r>
        <w:t xml:space="preserve">, 2019; Abera </w:t>
      </w:r>
      <w:r>
        <w:rPr>
          <w:i/>
        </w:rPr>
        <w:t>et al.,</w:t>
      </w:r>
      <w:r>
        <w:t xml:space="preserve"> 2023).</w:t>
      </w:r>
    </w:p>
    <w:p w14:paraId="10529278" w14:textId="77777777" w:rsidR="00C50FD8" w:rsidRDefault="00C50FD8" w:rsidP="00C50FD8">
      <w:pPr>
        <w:spacing w:line="480" w:lineRule="auto"/>
        <w:jc w:val="both"/>
        <w:rPr>
          <w:rFonts w:ascii="Times New Roman" w:hAnsi="Times New Roman"/>
        </w:rPr>
      </w:pPr>
      <w:r>
        <w:rPr>
          <w:rFonts w:ascii="Times New Roman" w:hAnsi="Times New Roman"/>
        </w:rPr>
        <w:t xml:space="preserve">The </w:t>
      </w:r>
      <w:r w:rsidR="00D6001C">
        <w:rPr>
          <w:rFonts w:ascii="Times New Roman" w:hAnsi="Times New Roman"/>
        </w:rPr>
        <w:t>results</w:t>
      </w:r>
      <w:r w:rsidR="0062641B">
        <w:rPr>
          <w:rFonts w:ascii="Times New Roman" w:hAnsi="Times New Roman"/>
        </w:rPr>
        <w:t xml:space="preserve"> in </w:t>
      </w:r>
      <w:r w:rsidR="00D6001C">
        <w:rPr>
          <w:rFonts w:ascii="Times New Roman" w:hAnsi="Times New Roman"/>
        </w:rPr>
        <w:t>Table</w:t>
      </w:r>
      <w:r>
        <w:rPr>
          <w:rFonts w:ascii="Times New Roman" w:hAnsi="Times New Roman"/>
        </w:rPr>
        <w:t xml:space="preserve"> 5 showed that processing significantly improved the </w:t>
      </w:r>
      <w:r w:rsidR="00D6001C">
        <w:rPr>
          <w:rFonts w:ascii="Times New Roman" w:hAnsi="Times New Roman"/>
        </w:rPr>
        <w:t>in vitro</w:t>
      </w:r>
      <w:r>
        <w:rPr>
          <w:rFonts w:ascii="Times New Roman" w:hAnsi="Times New Roman"/>
        </w:rPr>
        <w:t xml:space="preserve"> protein digestibility of </w:t>
      </w:r>
      <w:r w:rsidR="009E4DDC" w:rsidRPr="009E4DDC">
        <w:rPr>
          <w:rFonts w:ascii="Times New Roman" w:hAnsi="Times New Roman"/>
          <w:i/>
          <w:iCs/>
        </w:rPr>
        <w:t>Eichhornia crassipes</w:t>
      </w:r>
      <w:r>
        <w:rPr>
          <w:rFonts w:ascii="Times New Roman" w:hAnsi="Times New Roman"/>
        </w:rPr>
        <w:t xml:space="preserve"> (</w:t>
      </w:r>
      <w:r>
        <w:rPr>
          <w:rFonts w:ascii="Times New Roman" w:hAnsi="Times New Roman"/>
          <w:i/>
          <w:iCs/>
        </w:rPr>
        <w:t>p</w:t>
      </w:r>
      <w:r>
        <w:rPr>
          <w:rFonts w:ascii="Times New Roman" w:hAnsi="Times New Roman"/>
        </w:rPr>
        <w:t xml:space="preserve"> &lt; </w:t>
      </w:r>
      <w:r>
        <w:rPr>
          <w:rFonts w:ascii="Times New Roman" w:hAnsi="Times New Roman"/>
          <w:i/>
        </w:rPr>
        <w:t>0.05</w:t>
      </w:r>
      <w:r>
        <w:rPr>
          <w:rFonts w:ascii="Times New Roman" w:hAnsi="Times New Roman"/>
        </w:rPr>
        <w:t>). After pepsin digestion, the fermented sample recorded the highest digestibility (</w:t>
      </w:r>
      <w:r>
        <w:rPr>
          <w:rFonts w:ascii="Times New Roman" w:hAnsi="Times New Roman"/>
          <w:bCs/>
        </w:rPr>
        <w:t>58.42 ± 0.71%</w:t>
      </w:r>
      <w:r>
        <w:rPr>
          <w:rFonts w:ascii="Times New Roman" w:hAnsi="Times New Roman"/>
        </w:rPr>
        <w:t>), followed by boiled (</w:t>
      </w:r>
      <w:r>
        <w:rPr>
          <w:rFonts w:ascii="Times New Roman" w:hAnsi="Times New Roman"/>
          <w:bCs/>
        </w:rPr>
        <w:t>53.17 ± 0.68%</w:t>
      </w:r>
      <w:r>
        <w:rPr>
          <w:rFonts w:ascii="Times New Roman" w:hAnsi="Times New Roman"/>
        </w:rPr>
        <w:t>), oven-dried (</w:t>
      </w:r>
      <w:r>
        <w:rPr>
          <w:rFonts w:ascii="Times New Roman" w:hAnsi="Times New Roman"/>
          <w:bCs/>
        </w:rPr>
        <w:t>48.36 ± 0.64%</w:t>
      </w:r>
      <w:r>
        <w:rPr>
          <w:rFonts w:ascii="Times New Roman" w:hAnsi="Times New Roman"/>
        </w:rPr>
        <w:t>)</w:t>
      </w:r>
      <w:r w:rsidR="004C1DFF">
        <w:rPr>
          <w:rFonts w:ascii="Times New Roman" w:hAnsi="Times New Roman"/>
        </w:rPr>
        <w:t>,</w:t>
      </w:r>
      <w:r>
        <w:rPr>
          <w:rFonts w:ascii="Times New Roman" w:hAnsi="Times New Roman"/>
        </w:rPr>
        <w:t xml:space="preserve"> and control (</w:t>
      </w:r>
      <w:r>
        <w:rPr>
          <w:rFonts w:ascii="Times New Roman" w:hAnsi="Times New Roman"/>
          <w:bCs/>
        </w:rPr>
        <w:t>42.73 ± 0.59%</w:t>
      </w:r>
      <w:r>
        <w:rPr>
          <w:rFonts w:ascii="Times New Roman" w:hAnsi="Times New Roman"/>
        </w:rPr>
        <w:t xml:space="preserve">) samples. A similar trend was observed after sequential pepsin–pancreatin </w:t>
      </w:r>
      <w:r>
        <w:rPr>
          <w:rFonts w:ascii="Times New Roman" w:hAnsi="Times New Roman"/>
        </w:rPr>
        <w:lastRenderedPageBreak/>
        <w:t>digestion, with fermented (</w:t>
      </w:r>
      <w:r>
        <w:rPr>
          <w:rFonts w:ascii="Times New Roman" w:hAnsi="Times New Roman"/>
          <w:bCs/>
        </w:rPr>
        <w:t>74.63 ± 0.82%</w:t>
      </w:r>
      <w:r>
        <w:rPr>
          <w:rFonts w:ascii="Times New Roman" w:hAnsi="Times New Roman"/>
        </w:rPr>
        <w:t>) &gt; boiled (</w:t>
      </w:r>
      <w:r>
        <w:rPr>
          <w:rFonts w:ascii="Times New Roman" w:hAnsi="Times New Roman"/>
          <w:bCs/>
        </w:rPr>
        <w:t>68.47 ±</w:t>
      </w:r>
      <w:r>
        <w:rPr>
          <w:rFonts w:ascii="Times New Roman" w:hAnsi="Times New Roman"/>
          <w:b/>
          <w:bCs/>
        </w:rPr>
        <w:t xml:space="preserve"> </w:t>
      </w:r>
      <w:r>
        <w:rPr>
          <w:rFonts w:ascii="Times New Roman" w:hAnsi="Times New Roman"/>
          <w:bCs/>
        </w:rPr>
        <w:t>0.76%</w:t>
      </w:r>
      <w:r>
        <w:rPr>
          <w:rFonts w:ascii="Times New Roman" w:hAnsi="Times New Roman"/>
        </w:rPr>
        <w:t xml:space="preserve">) &gt; </w:t>
      </w:r>
      <w:r>
        <w:rPr>
          <w:rFonts w:ascii="Times New Roman" w:hAnsi="Times New Roman"/>
          <w:highlight w:val="yellow"/>
        </w:rPr>
        <w:t>oven-dried</w:t>
      </w:r>
      <w:r>
        <w:rPr>
          <w:rFonts w:ascii="Times New Roman" w:hAnsi="Times New Roman"/>
        </w:rPr>
        <w:t xml:space="preserve"> (</w:t>
      </w:r>
      <w:r>
        <w:rPr>
          <w:rFonts w:ascii="Times New Roman" w:hAnsi="Times New Roman"/>
          <w:bCs/>
        </w:rPr>
        <w:t>62.83 ± 0.69%</w:t>
      </w:r>
      <w:r>
        <w:rPr>
          <w:rFonts w:ascii="Times New Roman" w:hAnsi="Times New Roman"/>
        </w:rPr>
        <w:t>) &gt; control (</w:t>
      </w:r>
      <w:r>
        <w:rPr>
          <w:rFonts w:ascii="Times New Roman" w:hAnsi="Times New Roman"/>
          <w:bCs/>
        </w:rPr>
        <w:t>57.26 ± 0.73%</w:t>
      </w:r>
      <w:r>
        <w:rPr>
          <w:rFonts w:ascii="Times New Roman" w:hAnsi="Times New Roman"/>
        </w:rPr>
        <w:t>). The significantly higher values in the processed samples indicate that processing enhanced the accessibility of water hyacinth protein to digestive enzymes, with fermentation producing the greatest improvement.</w:t>
      </w:r>
    </w:p>
    <w:p w14:paraId="4AC9B240" w14:textId="77777777" w:rsidR="00C50FD8" w:rsidRDefault="00C50FD8" w:rsidP="00C50FD8">
      <w:pPr>
        <w:spacing w:line="480" w:lineRule="auto"/>
        <w:jc w:val="both"/>
        <w:rPr>
          <w:rFonts w:ascii="Times New Roman" w:hAnsi="Times New Roman"/>
        </w:rPr>
      </w:pPr>
      <w:r>
        <w:rPr>
          <w:rFonts w:ascii="Times New Roman" w:hAnsi="Times New Roman"/>
        </w:rPr>
        <w:t xml:space="preserve">The superior digestibility observed in the fermented sample may be attributed to microbial degradation of structural components surrounding the protein, thereby increasing its accessibility to proteolytic enzymes. This agrees with Happy </w:t>
      </w:r>
      <w:r>
        <w:rPr>
          <w:rFonts w:ascii="Times New Roman" w:hAnsi="Times New Roman"/>
          <w:i/>
        </w:rPr>
        <w:t>et al.</w:t>
      </w:r>
      <w:r>
        <w:rPr>
          <w:rFonts w:ascii="Times New Roman" w:hAnsi="Times New Roman"/>
        </w:rPr>
        <w:t xml:space="preserve"> (2021)</w:t>
      </w:r>
      <w:r w:rsidR="004C1DFF">
        <w:rPr>
          <w:rFonts w:ascii="Times New Roman" w:hAnsi="Times New Roman"/>
        </w:rPr>
        <w:t>,</w:t>
      </w:r>
      <w:r>
        <w:rPr>
          <w:rFonts w:ascii="Times New Roman" w:hAnsi="Times New Roman"/>
        </w:rPr>
        <w:t xml:space="preserve"> who reported improved nutritional characteristics and digestibility following fermentation of water hyacinth leaf meal with cow rumen liquor.</w:t>
      </w:r>
    </w:p>
    <w:p w14:paraId="36C824FB" w14:textId="77777777" w:rsidR="00C50FD8" w:rsidRDefault="00C50FD8" w:rsidP="00C50FD8">
      <w:pPr>
        <w:spacing w:line="480" w:lineRule="auto"/>
        <w:jc w:val="both"/>
        <w:rPr>
          <w:rFonts w:ascii="Times New Roman" w:hAnsi="Times New Roman"/>
        </w:rPr>
      </w:pPr>
      <w:r>
        <w:rPr>
          <w:rFonts w:ascii="Times New Roman" w:hAnsi="Times New Roman"/>
        </w:rPr>
        <w:t xml:space="preserve">Boiling also improved protein digestibility relative to the control, while oven drying produced the lowest improvement among the processed samples. The increase following boiling may be associated with heat-induced disruption of plant tissues and alteration of protein structure, making proteins more susceptible to enzymatic hydrolysis. Mako </w:t>
      </w:r>
      <w:r>
        <w:rPr>
          <w:rFonts w:ascii="Times New Roman" w:hAnsi="Times New Roman"/>
          <w:i/>
        </w:rPr>
        <w:t>et al.</w:t>
      </w:r>
      <w:r>
        <w:rPr>
          <w:rFonts w:ascii="Times New Roman" w:hAnsi="Times New Roman"/>
        </w:rPr>
        <w:t xml:space="preserve"> (20</w:t>
      </w:r>
      <w:r w:rsidR="00D825A9">
        <w:rPr>
          <w:rFonts w:ascii="Times New Roman" w:hAnsi="Times New Roman"/>
        </w:rPr>
        <w:t>12</w:t>
      </w:r>
      <w:r>
        <w:rPr>
          <w:rFonts w:ascii="Times New Roman" w:hAnsi="Times New Roman"/>
        </w:rPr>
        <w:t xml:space="preserve">) similarly reported that processing significantly altered the nutritional characteristics of water hyacinth and improved its potential as an animal-feed resource. The comparatively lower digestibility of the oven-dried sample is noteworthy because oven drying retained the highest protein and nitrogen concentrations in Table 1, suggesting that </w:t>
      </w:r>
      <w:r>
        <w:rPr>
          <w:rFonts w:ascii="Times New Roman" w:hAnsi="Times New Roman"/>
          <w:bCs/>
        </w:rPr>
        <w:t>protein preservation does not necessarily correspond to protein digestibility</w:t>
      </w:r>
      <w:r>
        <w:rPr>
          <w:rFonts w:ascii="Times New Roman" w:hAnsi="Times New Roman"/>
        </w:rPr>
        <w:t>.</w:t>
      </w:r>
    </w:p>
    <w:p w14:paraId="373F81F5" w14:textId="77777777" w:rsidR="00C50FD8" w:rsidRDefault="00C50FD8" w:rsidP="00C50FD8">
      <w:pPr>
        <w:spacing w:line="480" w:lineRule="auto"/>
        <w:jc w:val="both"/>
        <w:rPr>
          <w:rFonts w:ascii="Times New Roman" w:hAnsi="Times New Roman"/>
          <w:bCs/>
        </w:rPr>
      </w:pPr>
      <w:r>
        <w:rPr>
          <w:rFonts w:ascii="Times New Roman" w:hAnsi="Times New Roman"/>
        </w:rPr>
        <w:t xml:space="preserve">Sequential pancreatin digestion further increased protein digestibility in all treatments. The fermented sample increased from </w:t>
      </w:r>
      <w:r>
        <w:rPr>
          <w:rFonts w:ascii="Times New Roman" w:hAnsi="Times New Roman"/>
          <w:bCs/>
        </w:rPr>
        <w:t>58.42 ± 0.71% after pepsin to 74.63 ± 0.82%</w:t>
      </w:r>
      <w:r>
        <w:rPr>
          <w:rFonts w:ascii="Times New Roman" w:hAnsi="Times New Roman"/>
        </w:rPr>
        <w:t xml:space="preserve"> after pancreatin, while corresponding increases were observed in the boiled, oven-dried</w:t>
      </w:r>
      <w:r w:rsidR="004C1DFF">
        <w:rPr>
          <w:rFonts w:ascii="Times New Roman" w:hAnsi="Times New Roman"/>
        </w:rPr>
        <w:t>,</w:t>
      </w:r>
      <w:r>
        <w:rPr>
          <w:rFonts w:ascii="Times New Roman" w:hAnsi="Times New Roman"/>
        </w:rPr>
        <w:t xml:space="preserve"> and control samples. This indicates that pancreatic proteolytic enzymes </w:t>
      </w:r>
      <w:proofErr w:type="spellStart"/>
      <w:r w:rsidR="0062641B">
        <w:rPr>
          <w:rFonts w:ascii="Times New Roman" w:hAnsi="Times New Roman"/>
          <w:highlight w:val="yellow"/>
        </w:rPr>
        <w:t>hydrolysed</w:t>
      </w:r>
      <w:proofErr w:type="spellEnd"/>
      <w:r>
        <w:rPr>
          <w:rFonts w:ascii="Times New Roman" w:hAnsi="Times New Roman"/>
        </w:rPr>
        <w:t xml:space="preserve"> protein fractions that remained after gastric digestion. The higher final digestibility values therefore demonstrate the importance of evaluating both gastric and intestinal phases when assessing the potential nutritional </w:t>
      </w:r>
      <w:proofErr w:type="spellStart"/>
      <w:r w:rsidR="0062641B">
        <w:rPr>
          <w:rFonts w:ascii="Times New Roman" w:hAnsi="Times New Roman"/>
          <w:highlight w:val="yellow"/>
        </w:rPr>
        <w:t>utilisation</w:t>
      </w:r>
      <w:proofErr w:type="spellEnd"/>
      <w:r>
        <w:rPr>
          <w:rFonts w:ascii="Times New Roman" w:hAnsi="Times New Roman"/>
        </w:rPr>
        <w:t xml:space="preserve"> of processed water hyacinth protein. F</w:t>
      </w:r>
      <w:r>
        <w:rPr>
          <w:rFonts w:ascii="Times New Roman" w:hAnsi="Times New Roman"/>
          <w:bCs/>
        </w:rPr>
        <w:t>ermentation was the most effective treatment for improving in</w:t>
      </w:r>
      <w:r>
        <w:rPr>
          <w:rFonts w:ascii="Times New Roman" w:hAnsi="Times New Roman"/>
          <w:bCs/>
          <w:highlight w:val="yellow"/>
        </w:rPr>
        <w:t xml:space="preserve"> </w:t>
      </w:r>
      <w:r>
        <w:rPr>
          <w:rFonts w:ascii="Times New Roman" w:hAnsi="Times New Roman"/>
          <w:bCs/>
        </w:rPr>
        <w:t>vitro protein digestibility</w:t>
      </w:r>
      <w:r>
        <w:rPr>
          <w:rFonts w:ascii="Times New Roman" w:hAnsi="Times New Roman"/>
        </w:rPr>
        <w:t xml:space="preserve">, followed by boiling and oven drying. Interestingly, fermentation recorded the lowest protein and nitrogen concentrations in Table 1 but the highest digestibility in Table 5. This suggests that the nutritional value of processed water hyacinth should not be assessed solely on the basis of total protein concentration, but also on the extent to which the protein is accessible for digestion. Thus, </w:t>
      </w:r>
      <w:r>
        <w:rPr>
          <w:rFonts w:ascii="Times New Roman" w:hAnsi="Times New Roman"/>
          <w:bCs/>
        </w:rPr>
        <w:t xml:space="preserve">fermentation appears more suitable where improved protein </w:t>
      </w:r>
      <w:proofErr w:type="spellStart"/>
      <w:r w:rsidR="0062641B">
        <w:rPr>
          <w:rFonts w:ascii="Times New Roman" w:hAnsi="Times New Roman"/>
          <w:bCs/>
          <w:highlight w:val="yellow"/>
        </w:rPr>
        <w:t>utilisation</w:t>
      </w:r>
      <w:proofErr w:type="spellEnd"/>
      <w:r>
        <w:rPr>
          <w:rFonts w:ascii="Times New Roman" w:hAnsi="Times New Roman"/>
          <w:bCs/>
        </w:rPr>
        <w:t xml:space="preserve"> is the objective.</w:t>
      </w:r>
    </w:p>
    <w:p w14:paraId="1A696681" w14:textId="77777777" w:rsidR="00C50FD8" w:rsidRDefault="00C50FD8" w:rsidP="00C50FD8">
      <w:pPr>
        <w:pStyle w:val="NormalWeb"/>
        <w:spacing w:before="0" w:beforeAutospacing="0" w:after="0" w:afterAutospacing="0" w:line="480" w:lineRule="auto"/>
        <w:jc w:val="both"/>
      </w:pPr>
      <w:r>
        <w:t xml:space="preserve">The correlation analysis results in Table 6 demonstrated very </w:t>
      </w:r>
      <w:r w:rsidRPr="00C50FD8">
        <w:rPr>
          <w:rStyle w:val="Strong"/>
          <w:rFonts w:eastAsiaTheme="majorEastAsia"/>
          <w:b w:val="0"/>
        </w:rPr>
        <w:t>strong</w:t>
      </w:r>
      <w:r>
        <w:rPr>
          <w:rStyle w:val="Strong"/>
          <w:rFonts w:eastAsiaTheme="majorEastAsia"/>
        </w:rPr>
        <w:t xml:space="preserve"> </w:t>
      </w:r>
      <w:r w:rsidRPr="00C50FD8">
        <w:rPr>
          <w:rStyle w:val="Strong"/>
          <w:rFonts w:eastAsiaTheme="majorEastAsia"/>
          <w:b w:val="0"/>
        </w:rPr>
        <w:t>negative</w:t>
      </w:r>
      <w:r>
        <w:rPr>
          <w:rStyle w:val="Strong"/>
          <w:rFonts w:eastAsiaTheme="majorEastAsia"/>
        </w:rPr>
        <w:t xml:space="preserve"> </w:t>
      </w:r>
      <w:r w:rsidRPr="00C50FD8">
        <w:rPr>
          <w:rStyle w:val="Strong"/>
          <w:rFonts w:eastAsiaTheme="majorEastAsia"/>
          <w:b w:val="0"/>
        </w:rPr>
        <w:t>associations</w:t>
      </w:r>
      <w:r>
        <w:t xml:space="preserve"> between the anti-nutritional factors and final pepsin-pancreatin protein digestion </w:t>
      </w:r>
      <w:r>
        <w:rPr>
          <w:highlight w:val="yellow"/>
        </w:rPr>
        <w:t>across the treatment groups, suggesting that</w:t>
      </w:r>
      <w:r>
        <w:t xml:space="preserve"> reductions in anti-nutritional factors following processing may be associated with improved protein accessibility and susceptibility to enzymatic digestion. </w:t>
      </w:r>
    </w:p>
    <w:p w14:paraId="588E15D0" w14:textId="77777777" w:rsidR="00C30A0F" w:rsidRPr="00640A0E" w:rsidRDefault="00C50FD8" w:rsidP="00640A0E">
      <w:pPr>
        <w:spacing w:after="100" w:afterAutospacing="1" w:line="480" w:lineRule="auto"/>
        <w:jc w:val="both"/>
        <w:rPr>
          <w:rFonts w:ascii="Times New Roman" w:hAnsi="Times New Roman"/>
          <w:bCs/>
        </w:rPr>
      </w:pPr>
      <w:r>
        <w:rPr>
          <w:rFonts w:ascii="Times New Roman" w:hAnsi="Times New Roman"/>
        </w:rPr>
        <w:t xml:space="preserve">The findings of this study demonstrate that processing substantially modified the nutritional quality and potential feed value of </w:t>
      </w:r>
      <w:r w:rsidR="009E4DDC" w:rsidRPr="009E4DDC">
        <w:rPr>
          <w:rStyle w:val="Emphasis"/>
          <w:rFonts w:eastAsiaTheme="majorEastAsia"/>
          <w:highlight w:val="yellow"/>
        </w:rPr>
        <w:t>Eichhornia crassipes</w:t>
      </w:r>
      <w:r>
        <w:rPr>
          <w:rFonts w:ascii="Times New Roman" w:hAnsi="Times New Roman"/>
        </w:rPr>
        <w:t xml:space="preserve">, although the magnitude and direction of the changes depended on the processing method and the parameter evaluated. No single processing treatment was superior across all the investigated characteristics, indicating that fermentation, boiling and oven drying produced distinct biochemical effects on the protein and nitrogen contents, free amino acids, </w:t>
      </w:r>
      <w:proofErr w:type="spellStart"/>
      <w:r>
        <w:rPr>
          <w:rFonts w:ascii="Times New Roman" w:hAnsi="Times New Roman"/>
        </w:rPr>
        <w:t>fibre</w:t>
      </w:r>
      <w:proofErr w:type="spellEnd"/>
      <w:r>
        <w:rPr>
          <w:rFonts w:ascii="Times New Roman" w:hAnsi="Times New Roman"/>
        </w:rPr>
        <w:t xml:space="preserve"> fractions, anti-nutritional factors and </w:t>
      </w:r>
      <w:r w:rsidR="004C1DFF">
        <w:rPr>
          <w:rFonts w:ascii="Times New Roman" w:hAnsi="Times New Roman"/>
        </w:rPr>
        <w:t>in vitro</w:t>
      </w:r>
      <w:r>
        <w:rPr>
          <w:rFonts w:ascii="Times New Roman" w:hAnsi="Times New Roman"/>
        </w:rPr>
        <w:t xml:space="preserve"> protein digestibility of the plant. Oven drying was the most effective method for preserving protein and </w:t>
      </w:r>
      <w:r>
        <w:rPr>
          <w:rFonts w:ascii="Times New Roman" w:hAnsi="Times New Roman"/>
        </w:rPr>
        <w:lastRenderedPageBreak/>
        <w:t xml:space="preserve">nitrogen contents, indicating better retention of nitrogen-containing nutrients. Fermentation, however, produced the greatest reduction in </w:t>
      </w:r>
      <w:proofErr w:type="spellStart"/>
      <w:r>
        <w:rPr>
          <w:rFonts w:ascii="Times New Roman" w:hAnsi="Times New Roman"/>
        </w:rPr>
        <w:t>fibre</w:t>
      </w:r>
      <w:proofErr w:type="spellEnd"/>
      <w:r>
        <w:rPr>
          <w:rFonts w:ascii="Times New Roman" w:hAnsi="Times New Roman"/>
        </w:rPr>
        <w:t xml:space="preserve"> fractions and phytate and resulted in the highest </w:t>
      </w:r>
      <w:r w:rsidR="004C1DFF">
        <w:rPr>
          <w:rFonts w:ascii="Times New Roman" w:hAnsi="Times New Roman"/>
        </w:rPr>
        <w:t>in vitro</w:t>
      </w:r>
      <w:r>
        <w:rPr>
          <w:rFonts w:ascii="Times New Roman" w:hAnsi="Times New Roman"/>
        </w:rPr>
        <w:t xml:space="preserve"> protein digestibility, while also </w:t>
      </w:r>
      <w:proofErr w:type="spellStart"/>
      <w:r w:rsidR="0062641B">
        <w:rPr>
          <w:rFonts w:ascii="Times New Roman" w:hAnsi="Times New Roman"/>
          <w:highlight w:val="yellow"/>
        </w:rPr>
        <w:t>favourably</w:t>
      </w:r>
      <w:proofErr w:type="spellEnd"/>
      <w:r>
        <w:rPr>
          <w:rFonts w:ascii="Times New Roman" w:hAnsi="Times New Roman"/>
        </w:rPr>
        <w:t xml:space="preserve"> influencing the free amino acid profile. These changes suggest improved accessibility and </w:t>
      </w:r>
      <w:proofErr w:type="spellStart"/>
      <w:r w:rsidR="0062641B">
        <w:rPr>
          <w:rFonts w:ascii="Times New Roman" w:hAnsi="Times New Roman"/>
          <w:highlight w:val="yellow"/>
        </w:rPr>
        <w:t>utilisation</w:t>
      </w:r>
      <w:proofErr w:type="spellEnd"/>
      <w:r>
        <w:rPr>
          <w:rFonts w:ascii="Times New Roman" w:hAnsi="Times New Roman"/>
        </w:rPr>
        <w:t xml:space="preserve"> of nutrients during digestion. Boiling was particularly effective in reducing tannins and cyanogenic glycosides, thereby improving the safety of the biomass for potential livestock consumption. The absence of detectable oxalate in the processed samples, together with its relatively low level in the control, further indicates that oxalate was not a major anti-nutritional limitation in the water hyacinth investigated. The progressive increase in protein digestibility following sequential pepsin-pancreatin digestion across the processed samples further demonstrates that processing enhanced the susceptibility of water hyacinth protein to enzymatic hydrolysis. Collectively, these findings indicate that the improvement in feed value of </w:t>
      </w:r>
      <w:r w:rsidR="009E4DDC" w:rsidRPr="009E4DDC">
        <w:rPr>
          <w:rStyle w:val="Emphasis"/>
          <w:rFonts w:eastAsiaTheme="majorEastAsia"/>
          <w:highlight w:val="yellow"/>
        </w:rPr>
        <w:t>Eichhornia crassipes</w:t>
      </w:r>
      <w:r>
        <w:rPr>
          <w:rFonts w:ascii="Times New Roman" w:hAnsi="Times New Roman"/>
        </w:rPr>
        <w:t xml:space="preserve"> is multidimensional and should be assessed based on nutrient retention, amino acid availability, </w:t>
      </w:r>
      <w:proofErr w:type="spellStart"/>
      <w:r>
        <w:rPr>
          <w:rFonts w:ascii="Times New Roman" w:hAnsi="Times New Roman"/>
        </w:rPr>
        <w:t>fibre</w:t>
      </w:r>
      <w:proofErr w:type="spellEnd"/>
      <w:r>
        <w:rPr>
          <w:rFonts w:ascii="Times New Roman" w:hAnsi="Times New Roman"/>
        </w:rPr>
        <w:t xml:space="preserve"> reduction, reduction of anti-nutritional factors, and protein digestibility rather than on a single nutritional parameter. </w:t>
      </w:r>
      <w:r>
        <w:rPr>
          <w:rStyle w:val="Strong"/>
          <w:rFonts w:eastAsiaTheme="majorEastAsia"/>
          <w:b w:val="0"/>
          <w:highlight w:val="yellow"/>
        </w:rPr>
        <w:t xml:space="preserve">Oven drying is therefore recommended where preservation of protein and nitrogen is the primary objective; fermentation is recommended where improvement of </w:t>
      </w:r>
      <w:proofErr w:type="spellStart"/>
      <w:r>
        <w:rPr>
          <w:rStyle w:val="Strong"/>
          <w:rFonts w:eastAsiaTheme="majorEastAsia"/>
          <w:b w:val="0"/>
          <w:highlight w:val="yellow"/>
        </w:rPr>
        <w:t>fibre</w:t>
      </w:r>
      <w:proofErr w:type="spellEnd"/>
      <w:r>
        <w:rPr>
          <w:rStyle w:val="Strong"/>
          <w:rFonts w:eastAsiaTheme="majorEastAsia"/>
          <w:b w:val="0"/>
          <w:highlight w:val="yellow"/>
        </w:rPr>
        <w:t xml:space="preserve"> characteristics, phytate reduction, free amino acid availability and protein digestibility is desired; while boiling is more appropriate where reduction of tannins and cyanogenic glycosides is the major objective.</w:t>
      </w:r>
      <w:r>
        <w:rPr>
          <w:rStyle w:val="Strong"/>
          <w:rFonts w:eastAsiaTheme="majorEastAsia"/>
          <w:b w:val="0"/>
        </w:rPr>
        <w:t xml:space="preserve"> Thus, this study provides evidence that processing can improve the nutritional quality, digestibility and safety of water hyacinth, thereby enhancing its potential </w:t>
      </w:r>
      <w:proofErr w:type="spellStart"/>
      <w:r w:rsidR="0062641B">
        <w:rPr>
          <w:rStyle w:val="Strong"/>
          <w:rFonts w:eastAsiaTheme="majorEastAsia"/>
          <w:b w:val="0"/>
          <w:highlight w:val="yellow"/>
        </w:rPr>
        <w:t>utilisation</w:t>
      </w:r>
      <w:proofErr w:type="spellEnd"/>
      <w:r>
        <w:rPr>
          <w:rStyle w:val="Strong"/>
          <w:rFonts w:eastAsiaTheme="majorEastAsia"/>
          <w:b w:val="0"/>
        </w:rPr>
        <w:t xml:space="preserve"> as an alternative feed resource for livestock.</w:t>
      </w:r>
    </w:p>
    <w:p w14:paraId="5DE7BA2E" w14:textId="77777777" w:rsidR="00790ADA" w:rsidRPr="00FB3A86" w:rsidRDefault="00B01FCD" w:rsidP="00441B6F">
      <w:pPr>
        <w:pStyle w:val="ConcHead"/>
        <w:spacing w:after="0"/>
        <w:jc w:val="both"/>
        <w:rPr>
          <w:rFonts w:ascii="Arial" w:hAnsi="Arial" w:cs="Arial"/>
        </w:rPr>
      </w:pPr>
      <w:r w:rsidRPr="00FB3A86">
        <w:rPr>
          <w:rFonts w:ascii="Arial" w:hAnsi="Arial" w:cs="Arial"/>
        </w:rPr>
        <w:t>Conclusion</w:t>
      </w:r>
    </w:p>
    <w:p w14:paraId="1DDE6CF3" w14:textId="77777777" w:rsidR="004C1DFF" w:rsidRDefault="004C1DFF" w:rsidP="00640A0E">
      <w:pPr>
        <w:keepNext/>
        <w:spacing w:before="100" w:beforeAutospacing="1"/>
        <w:jc w:val="both"/>
      </w:pPr>
      <w:r>
        <w:t xml:space="preserve">The study demonstrated that processing significantly altered the nutritional composition and potential feed value of </w:t>
      </w:r>
      <w:r>
        <w:rPr>
          <w:rStyle w:val="Emphasis"/>
        </w:rPr>
        <w:t>Eichhornia crassipes</w:t>
      </w:r>
      <w:r>
        <w:t xml:space="preserve">. Oven drying was most effective in retaining nitrogen and protein, while fermentation produced the greatest reductions in crude </w:t>
      </w:r>
      <w:proofErr w:type="spellStart"/>
      <w:r>
        <w:t>fibre</w:t>
      </w:r>
      <w:proofErr w:type="spellEnd"/>
      <w:r>
        <w:t xml:space="preserve">, NDF, ADF, and phytate and resulted in the highest </w:t>
      </w:r>
      <w:r>
        <w:rPr>
          <w:highlight w:val="yellow"/>
        </w:rPr>
        <w:t>in vitro</w:t>
      </w:r>
      <w:r>
        <w:t xml:space="preserve"> protein digestibility. Boiling was particularly effective in reducing tannin and cyanogenic glycoside contents, while oxalate was not detected in any processed sample. Processing also modified free amino acid levels, with fermentation retaining more free amino acids than boiling and oven drying. Overall, the findings show that no single processing method provided the most </w:t>
      </w:r>
      <w:proofErr w:type="spellStart"/>
      <w:r>
        <w:rPr>
          <w:highlight w:val="yellow"/>
        </w:rPr>
        <w:t>favourable</w:t>
      </w:r>
      <w:proofErr w:type="spellEnd"/>
      <w:r>
        <w:t xml:space="preserve"> outcome for all nutritional parameters. Instead, the suitability of each method depends on the desired nutritional objective. Fermentation demonstrated considerable potential for improving nutrient accessibility and protein </w:t>
      </w:r>
      <w:proofErr w:type="spellStart"/>
      <w:r>
        <w:rPr>
          <w:highlight w:val="yellow"/>
        </w:rPr>
        <w:t>utilisation</w:t>
      </w:r>
      <w:proofErr w:type="spellEnd"/>
      <w:r>
        <w:t xml:space="preserve">, whereas oven drying was more suitable for nutrient preservation. Therefore, appropriate processing can improve the nutritional quality, safety, and potential </w:t>
      </w:r>
      <w:proofErr w:type="spellStart"/>
      <w:r>
        <w:rPr>
          <w:highlight w:val="yellow"/>
        </w:rPr>
        <w:t>utilisation</w:t>
      </w:r>
      <w:proofErr w:type="spellEnd"/>
      <w:r>
        <w:t xml:space="preserve"> of </w:t>
      </w:r>
      <w:r>
        <w:rPr>
          <w:rStyle w:val="Emphasis"/>
        </w:rPr>
        <w:t xml:space="preserve">Eichhornia crassipes </w:t>
      </w:r>
      <w:r>
        <w:t xml:space="preserve">as an alternative livestock feed resource. </w:t>
      </w:r>
    </w:p>
    <w:p w14:paraId="790671E0" w14:textId="77777777" w:rsidR="00CB529A" w:rsidRPr="00CB529A" w:rsidRDefault="00CB529A" w:rsidP="00640A0E">
      <w:pPr>
        <w:keepNext/>
        <w:spacing w:before="100" w:beforeAutospacing="1"/>
        <w:jc w:val="both"/>
        <w:rPr>
          <w:b/>
          <w:bCs/>
        </w:rPr>
      </w:pPr>
      <w:r w:rsidRPr="00CB529A">
        <w:rPr>
          <w:b/>
          <w:bCs/>
        </w:rPr>
        <w:t>Limitations</w:t>
      </w:r>
    </w:p>
    <w:p w14:paraId="074BA925" w14:textId="77777777" w:rsidR="00CB529A" w:rsidRDefault="00CB529A" w:rsidP="00CB529A">
      <w:pPr>
        <w:pStyle w:val="pdq2pgselectionanchorcontainer"/>
        <w:jc w:val="both"/>
      </w:pPr>
      <w:r>
        <w:t xml:space="preserve">The study compared three processing methods and evaluated feed value through compositional analyses, selected anti-nutritional factors and sequential in vitro protein digestion. The findings therefore describe comparative responses under the tested processing conditions and measured laboratory endpoints. Because no single treatment </w:t>
      </w:r>
      <w:proofErr w:type="spellStart"/>
      <w:r>
        <w:t>optimised</w:t>
      </w:r>
      <w:proofErr w:type="spellEnd"/>
      <w:r>
        <w:t xml:space="preserve"> all measured characteristics, interpretation should remain parameter-specific. The results support evaluation of processed </w:t>
      </w:r>
      <w:r w:rsidR="009E4DDC" w:rsidRPr="009E4DDC">
        <w:rPr>
          <w:rStyle w:val="Emphasis"/>
        </w:rPr>
        <w:t>Eichhornia crassipes</w:t>
      </w:r>
      <w:r>
        <w:t xml:space="preserve"> as a feed resource but do not by themselves establish animal performance outcomes.</w:t>
      </w:r>
    </w:p>
    <w:p w14:paraId="7CA4B333" w14:textId="77777777" w:rsidR="00CB529A" w:rsidRDefault="00CB529A" w:rsidP="00640A0E">
      <w:pPr>
        <w:keepNext/>
        <w:spacing w:before="100" w:beforeAutospacing="1"/>
        <w:jc w:val="both"/>
      </w:pPr>
    </w:p>
    <w:p w14:paraId="557BA5A9" w14:textId="77777777" w:rsidR="00640A0E" w:rsidRPr="00640A0E" w:rsidRDefault="00640A0E" w:rsidP="00640A0E">
      <w:pPr>
        <w:keepNext/>
        <w:spacing w:before="100" w:beforeAutospacing="1"/>
        <w:jc w:val="both"/>
        <w:rPr>
          <w:rFonts w:ascii="Arial" w:hAnsi="Arial" w:cs="Arial"/>
          <w:b/>
          <w:bCs/>
          <w:caps/>
          <w:sz w:val="22"/>
          <w:szCs w:val="22"/>
        </w:rPr>
      </w:pPr>
      <w:r w:rsidRPr="00640A0E">
        <w:rPr>
          <w:rFonts w:ascii="Arial" w:hAnsi="Arial" w:cs="Arial"/>
          <w:b/>
          <w:bCs/>
          <w:caps/>
          <w:sz w:val="22"/>
          <w:szCs w:val="22"/>
        </w:rPr>
        <w:t>Competing interests</w:t>
      </w:r>
    </w:p>
    <w:p w14:paraId="038F213C" w14:textId="77777777" w:rsidR="00640A0E" w:rsidRDefault="00640A0E" w:rsidP="00640A0E">
      <w:pPr>
        <w:keepNext/>
        <w:spacing w:before="100" w:beforeAutospacing="1"/>
        <w:jc w:val="both"/>
        <w:rPr>
          <w:rFonts w:ascii="Arial" w:hAnsi="Arial" w:cs="Arial"/>
        </w:rPr>
      </w:pPr>
      <w:r w:rsidRPr="00640A0E">
        <w:rPr>
          <w:rFonts w:ascii="Arial" w:hAnsi="Arial" w:cs="Arial"/>
        </w:rPr>
        <w:t>The authors have declared that no competing interests exist.</w:t>
      </w:r>
    </w:p>
    <w:p w14:paraId="24FAB04C" w14:textId="77777777" w:rsidR="00D41DB1" w:rsidRDefault="00D41DB1" w:rsidP="00D41DB1">
      <w:pPr>
        <w:rPr>
          <w:rFonts w:ascii="Times New Roman" w:hAnsi="Times New Roman"/>
          <w:b/>
        </w:rPr>
      </w:pPr>
      <w:r w:rsidRPr="000839CE">
        <w:rPr>
          <w:rFonts w:ascii="Times New Roman" w:hAnsi="Times New Roman"/>
          <w:b/>
        </w:rPr>
        <w:t>Declaration of AI Use</w:t>
      </w:r>
    </w:p>
    <w:p w14:paraId="404A219C" w14:textId="77777777" w:rsidR="00D41DB1" w:rsidRDefault="00D41DB1" w:rsidP="00D41DB1">
      <w:pPr>
        <w:rPr>
          <w:rFonts w:ascii="Times New Roman" w:hAnsi="Times New Roman"/>
          <w:b/>
        </w:rPr>
      </w:pPr>
    </w:p>
    <w:p w14:paraId="76F83AE1" w14:textId="77777777" w:rsidR="00D41DB1" w:rsidRDefault="00D41DB1" w:rsidP="00D41DB1">
      <w:pPr>
        <w:rPr>
          <w:rFonts w:ascii="Times New Roman" w:hAnsi="Times New Roman"/>
          <w:b/>
        </w:rPr>
      </w:pPr>
    </w:p>
    <w:p w14:paraId="2BF7C872" w14:textId="77777777" w:rsidR="00D41DB1" w:rsidRDefault="00D41DB1" w:rsidP="00D41DB1">
      <w:pPr>
        <w:rPr>
          <w:rFonts w:ascii="Times New Roman" w:hAnsi="Times New Roman"/>
          <w:b/>
        </w:rPr>
      </w:pPr>
    </w:p>
    <w:p w14:paraId="5BD176E2" w14:textId="77777777" w:rsidR="00D41DB1" w:rsidRPr="002D08AC" w:rsidRDefault="00D41DB1" w:rsidP="00D41DB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DCAA228" w14:textId="77777777" w:rsidR="00D41DB1" w:rsidRPr="00640A0E" w:rsidRDefault="00D41DB1" w:rsidP="00640A0E">
      <w:pPr>
        <w:keepNext/>
        <w:spacing w:before="100" w:beforeAutospacing="1"/>
        <w:jc w:val="both"/>
        <w:rPr>
          <w:rFonts w:ascii="Arial" w:hAnsi="Arial" w:cs="Arial"/>
        </w:rPr>
      </w:pPr>
    </w:p>
    <w:p w14:paraId="31BB9B25" w14:textId="77777777" w:rsidR="00640A0E" w:rsidRDefault="00640A0E" w:rsidP="00640A0E">
      <w:pPr>
        <w:pStyle w:val="ReferHead"/>
        <w:spacing w:after="0"/>
        <w:jc w:val="both"/>
        <w:rPr>
          <w:rFonts w:ascii="Arial" w:hAnsi="Arial" w:cs="Arial"/>
        </w:rPr>
      </w:pPr>
    </w:p>
    <w:p w14:paraId="053BA047"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5B80825B"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Abera, S., Yohannes, W., &amp; </w:t>
      </w:r>
      <w:proofErr w:type="spellStart"/>
      <w:r w:rsidRPr="00D825A9">
        <w:rPr>
          <w:rFonts w:ascii="Times New Roman" w:hAnsi="Times New Roman"/>
          <w:sz w:val="24"/>
          <w:szCs w:val="24"/>
        </w:rPr>
        <w:t>Chandravanshi</w:t>
      </w:r>
      <w:proofErr w:type="spellEnd"/>
      <w:r w:rsidRPr="00D825A9">
        <w:rPr>
          <w:rFonts w:ascii="Times New Roman" w:hAnsi="Times New Roman"/>
          <w:sz w:val="24"/>
          <w:szCs w:val="24"/>
        </w:rPr>
        <w:t xml:space="preserve">, B. S. (2023). Effect of processing methods on antinutritional factors (oxalate, phytate, and tannin) and their interaction with minerals (calcium, iron, and zinc) in red, white, and black kidney beans. </w:t>
      </w:r>
      <w:r w:rsidRPr="00D825A9">
        <w:rPr>
          <w:rFonts w:ascii="Times New Roman" w:hAnsi="Times New Roman"/>
          <w:i/>
          <w:iCs/>
          <w:sz w:val="24"/>
          <w:szCs w:val="24"/>
        </w:rPr>
        <w:t>International Journal of Analytical Chemistry, 2023</w:t>
      </w:r>
      <w:r w:rsidRPr="00D825A9">
        <w:rPr>
          <w:rFonts w:ascii="Times New Roman" w:hAnsi="Times New Roman"/>
          <w:sz w:val="24"/>
          <w:szCs w:val="24"/>
        </w:rPr>
        <w:t xml:space="preserve">, 6762027. </w:t>
      </w:r>
      <w:hyperlink r:id="rId14" w:history="1">
        <w:r w:rsidRPr="00D825A9">
          <w:rPr>
            <w:rFonts w:ascii="Times New Roman" w:hAnsi="Times New Roman"/>
            <w:color w:val="0000FF"/>
            <w:sz w:val="24"/>
            <w:szCs w:val="24"/>
            <w:u w:val="single"/>
          </w:rPr>
          <w:t>https://doi.org/10.1155/2023/6762027</w:t>
        </w:r>
      </w:hyperlink>
    </w:p>
    <w:p w14:paraId="6C15D098"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Abiola-Olagunju, O., Mako, A. A., &amp; </w:t>
      </w:r>
      <w:proofErr w:type="spellStart"/>
      <w:r w:rsidRPr="00D825A9">
        <w:rPr>
          <w:rFonts w:ascii="Times New Roman" w:hAnsi="Times New Roman"/>
          <w:sz w:val="24"/>
          <w:szCs w:val="24"/>
        </w:rPr>
        <w:t>Ikusika</w:t>
      </w:r>
      <w:proofErr w:type="spellEnd"/>
      <w:r w:rsidRPr="00D825A9">
        <w:rPr>
          <w:rFonts w:ascii="Times New Roman" w:hAnsi="Times New Roman"/>
          <w:sz w:val="24"/>
          <w:szCs w:val="24"/>
        </w:rPr>
        <w:t>, O. O. (2025). Biodegradation of water hyacinth (</w:t>
      </w:r>
      <w:r w:rsidRPr="00D825A9">
        <w:rPr>
          <w:rFonts w:ascii="Times New Roman" w:hAnsi="Times New Roman"/>
          <w:i/>
          <w:iCs/>
          <w:sz w:val="24"/>
          <w:szCs w:val="24"/>
        </w:rPr>
        <w:t>Eichhornia crassipes</w:t>
      </w:r>
      <w:r w:rsidRPr="00D825A9">
        <w:rPr>
          <w:rFonts w:ascii="Times New Roman" w:hAnsi="Times New Roman"/>
          <w:sz w:val="24"/>
          <w:szCs w:val="24"/>
        </w:rPr>
        <w:t xml:space="preserve"> Mart. Solms-Laubach) into value-added ruminant feed using white rot fungi. </w:t>
      </w:r>
      <w:r w:rsidRPr="00D825A9">
        <w:rPr>
          <w:rFonts w:ascii="Times New Roman" w:hAnsi="Times New Roman"/>
          <w:i/>
          <w:iCs/>
          <w:sz w:val="24"/>
          <w:szCs w:val="24"/>
        </w:rPr>
        <w:t>Tropical Animal Production Investigations, 27</w:t>
      </w:r>
      <w:r w:rsidRPr="00D825A9">
        <w:rPr>
          <w:rFonts w:ascii="Times New Roman" w:hAnsi="Times New Roman"/>
          <w:sz w:val="24"/>
          <w:szCs w:val="24"/>
        </w:rPr>
        <w:t xml:space="preserve">(1), 1–5. </w:t>
      </w:r>
      <w:hyperlink r:id="rId15" w:history="1">
        <w:r w:rsidRPr="00D825A9">
          <w:rPr>
            <w:rFonts w:ascii="Times New Roman" w:hAnsi="Times New Roman"/>
            <w:color w:val="0000FF"/>
            <w:sz w:val="24"/>
            <w:szCs w:val="24"/>
            <w:u w:val="single"/>
          </w:rPr>
          <w:t>https://journals.ui.edu.ng/index.php/tapi/article/view/1652</w:t>
        </w:r>
      </w:hyperlink>
    </w:p>
    <w:p w14:paraId="1BF05ADF"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proofErr w:type="spellStart"/>
      <w:r w:rsidRPr="00D825A9">
        <w:rPr>
          <w:rFonts w:ascii="Times New Roman" w:hAnsi="Times New Roman"/>
          <w:sz w:val="24"/>
          <w:szCs w:val="24"/>
        </w:rPr>
        <w:t>Agbaire</w:t>
      </w:r>
      <w:proofErr w:type="spellEnd"/>
      <w:r w:rsidRPr="00D825A9">
        <w:rPr>
          <w:rFonts w:ascii="Times New Roman" w:hAnsi="Times New Roman"/>
          <w:sz w:val="24"/>
          <w:szCs w:val="24"/>
        </w:rPr>
        <w:t>, P. O. (2011). Nutritional and anti-nutritional levels of some local vegetables (</w:t>
      </w:r>
      <w:proofErr w:type="spellStart"/>
      <w:r w:rsidRPr="00D825A9">
        <w:rPr>
          <w:rFonts w:ascii="Times New Roman" w:hAnsi="Times New Roman"/>
          <w:i/>
          <w:iCs/>
          <w:sz w:val="24"/>
          <w:szCs w:val="24"/>
        </w:rPr>
        <w:t>Vernomia</w:t>
      </w:r>
      <w:proofErr w:type="spellEnd"/>
      <w:r w:rsidRPr="00D825A9">
        <w:rPr>
          <w:rFonts w:ascii="Times New Roman" w:hAnsi="Times New Roman"/>
          <w:i/>
          <w:iCs/>
          <w:sz w:val="24"/>
          <w:szCs w:val="24"/>
        </w:rPr>
        <w:t xml:space="preserve"> </w:t>
      </w:r>
      <w:proofErr w:type="spellStart"/>
      <w:r w:rsidRPr="00D825A9">
        <w:rPr>
          <w:rFonts w:ascii="Times New Roman" w:hAnsi="Times New Roman"/>
          <w:i/>
          <w:iCs/>
          <w:sz w:val="24"/>
          <w:szCs w:val="24"/>
        </w:rPr>
        <w:t>anydalira</w:t>
      </w:r>
      <w:proofErr w:type="spellEnd"/>
      <w:r w:rsidRPr="00D825A9">
        <w:rPr>
          <w:rFonts w:ascii="Times New Roman" w:hAnsi="Times New Roman"/>
          <w:i/>
          <w:iCs/>
          <w:sz w:val="24"/>
          <w:szCs w:val="24"/>
        </w:rPr>
        <w:t xml:space="preserve">, Manihot esculenta, </w:t>
      </w:r>
      <w:proofErr w:type="spellStart"/>
      <w:r w:rsidRPr="00D825A9">
        <w:rPr>
          <w:rFonts w:ascii="Times New Roman" w:hAnsi="Times New Roman"/>
          <w:i/>
          <w:iCs/>
          <w:sz w:val="24"/>
          <w:szCs w:val="24"/>
        </w:rPr>
        <w:t>Teiferia</w:t>
      </w:r>
      <w:proofErr w:type="spellEnd"/>
      <w:r w:rsidRPr="00D825A9">
        <w:rPr>
          <w:rFonts w:ascii="Times New Roman" w:hAnsi="Times New Roman"/>
          <w:i/>
          <w:iCs/>
          <w:sz w:val="24"/>
          <w:szCs w:val="24"/>
        </w:rPr>
        <w:t xml:space="preserve"> occidentalis, Talinum </w:t>
      </w:r>
      <w:proofErr w:type="spellStart"/>
      <w:r w:rsidRPr="00D825A9">
        <w:rPr>
          <w:rFonts w:ascii="Times New Roman" w:hAnsi="Times New Roman"/>
          <w:i/>
          <w:iCs/>
          <w:sz w:val="24"/>
          <w:szCs w:val="24"/>
        </w:rPr>
        <w:t>triangulare</w:t>
      </w:r>
      <w:proofErr w:type="spellEnd"/>
      <w:r w:rsidRPr="00D825A9">
        <w:rPr>
          <w:rFonts w:ascii="Times New Roman" w:hAnsi="Times New Roman"/>
          <w:i/>
          <w:iCs/>
          <w:sz w:val="24"/>
          <w:szCs w:val="24"/>
        </w:rPr>
        <w:t>, Amaranthus spinosus</w:t>
      </w:r>
      <w:r w:rsidRPr="00D825A9">
        <w:rPr>
          <w:rFonts w:ascii="Times New Roman" w:hAnsi="Times New Roman"/>
          <w:sz w:val="24"/>
          <w:szCs w:val="24"/>
        </w:rPr>
        <w:t xml:space="preserve">) from Delta State, Nigeria. </w:t>
      </w:r>
      <w:r w:rsidRPr="00D825A9">
        <w:rPr>
          <w:rFonts w:ascii="Times New Roman" w:hAnsi="Times New Roman"/>
          <w:i/>
          <w:iCs/>
          <w:sz w:val="24"/>
          <w:szCs w:val="24"/>
        </w:rPr>
        <w:t>Journal of Applied Sciences and Environmental Management, 15</w:t>
      </w:r>
      <w:r w:rsidRPr="00D825A9">
        <w:rPr>
          <w:rFonts w:ascii="Times New Roman" w:hAnsi="Times New Roman"/>
          <w:sz w:val="24"/>
          <w:szCs w:val="24"/>
        </w:rPr>
        <w:t xml:space="preserve">(4), 625–628. </w:t>
      </w:r>
      <w:hyperlink r:id="rId16" w:history="1">
        <w:r w:rsidRPr="00D825A9">
          <w:rPr>
            <w:rFonts w:ascii="Times New Roman" w:hAnsi="Times New Roman"/>
            <w:color w:val="0000FF"/>
            <w:sz w:val="24"/>
            <w:szCs w:val="24"/>
            <w:u w:val="single"/>
          </w:rPr>
          <w:t>https://agris.fao.org/search/en/providers/125092/records/6a96ddf48a202ccda1b6705b</w:t>
        </w:r>
      </w:hyperlink>
    </w:p>
    <w:p w14:paraId="6EDAD608"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Amoa-</w:t>
      </w:r>
      <w:proofErr w:type="spellStart"/>
      <w:r w:rsidRPr="00D825A9">
        <w:rPr>
          <w:rFonts w:ascii="Times New Roman" w:hAnsi="Times New Roman"/>
          <w:sz w:val="24"/>
          <w:szCs w:val="24"/>
        </w:rPr>
        <w:t>Awua</w:t>
      </w:r>
      <w:proofErr w:type="spellEnd"/>
      <w:r w:rsidRPr="00D825A9">
        <w:rPr>
          <w:rFonts w:ascii="Times New Roman" w:hAnsi="Times New Roman"/>
          <w:sz w:val="24"/>
          <w:szCs w:val="24"/>
        </w:rPr>
        <w:t xml:space="preserve">, W. K. A., Appoh, F. E., &amp; Jakobsen, M. (1996). Lactic acid fermentation of cassava dough into </w:t>
      </w:r>
      <w:proofErr w:type="spellStart"/>
      <w:r w:rsidRPr="00D825A9">
        <w:rPr>
          <w:rFonts w:ascii="Times New Roman" w:hAnsi="Times New Roman"/>
          <w:sz w:val="24"/>
          <w:szCs w:val="24"/>
        </w:rPr>
        <w:t>agbelima</w:t>
      </w:r>
      <w:proofErr w:type="spellEnd"/>
      <w:r w:rsidRPr="00D825A9">
        <w:rPr>
          <w:rFonts w:ascii="Times New Roman" w:hAnsi="Times New Roman"/>
          <w:sz w:val="24"/>
          <w:szCs w:val="24"/>
        </w:rPr>
        <w:t xml:space="preserve">. </w:t>
      </w:r>
      <w:r w:rsidRPr="00D825A9">
        <w:rPr>
          <w:rFonts w:ascii="Times New Roman" w:hAnsi="Times New Roman"/>
          <w:i/>
          <w:iCs/>
          <w:sz w:val="24"/>
          <w:szCs w:val="24"/>
        </w:rPr>
        <w:t>International Journal of Food Microbiology, 31</w:t>
      </w:r>
      <w:r w:rsidRPr="00D825A9">
        <w:rPr>
          <w:rFonts w:ascii="Times New Roman" w:hAnsi="Times New Roman"/>
          <w:sz w:val="24"/>
          <w:szCs w:val="24"/>
        </w:rPr>
        <w:t xml:space="preserve">(1–3), 87–98. </w:t>
      </w:r>
      <w:hyperlink r:id="rId17" w:history="1">
        <w:r w:rsidRPr="00D825A9">
          <w:rPr>
            <w:rFonts w:ascii="Times New Roman" w:hAnsi="Times New Roman"/>
            <w:color w:val="0000FF"/>
            <w:sz w:val="24"/>
            <w:szCs w:val="24"/>
            <w:u w:val="single"/>
          </w:rPr>
          <w:t>https://doi.org/10.1016/0168-1605(96)00967-1</w:t>
        </w:r>
      </w:hyperlink>
    </w:p>
    <w:p w14:paraId="5C51D383" w14:textId="77777777" w:rsidR="007D3874" w:rsidRDefault="001114AC">
      <w:pPr>
        <w:spacing w:before="100" w:beforeAutospacing="1" w:after="100" w:afterAutospacing="1"/>
        <w:ind w:left="540" w:hanging="540"/>
        <w:jc w:val="both"/>
        <w:rPr>
          <w:rFonts w:ascii="Times New Roman" w:hAnsi="Times New Roman"/>
          <w:sz w:val="24"/>
          <w:szCs w:val="24"/>
        </w:rPr>
      </w:pPr>
      <w:r>
        <w:rPr>
          <w:rFonts w:ascii="Times New Roman" w:hAnsi="Times New Roman"/>
          <w:b/>
          <w:highlight w:val="yellow"/>
        </w:rPr>
        <w:t xml:space="preserve">Antonio, J., </w:t>
      </w:r>
      <w:proofErr w:type="spellStart"/>
      <w:r>
        <w:rPr>
          <w:rFonts w:ascii="Times New Roman" w:hAnsi="Times New Roman"/>
          <w:b/>
          <w:highlight w:val="yellow"/>
        </w:rPr>
        <w:t>Mutibvu</w:t>
      </w:r>
      <w:proofErr w:type="spellEnd"/>
      <w:r>
        <w:rPr>
          <w:rFonts w:ascii="Times New Roman" w:hAnsi="Times New Roman"/>
          <w:b/>
          <w:highlight w:val="yellow"/>
        </w:rPr>
        <w:t xml:space="preserve">, T., Baloyi, J. J., &amp; </w:t>
      </w:r>
      <w:proofErr w:type="spellStart"/>
      <w:r>
        <w:rPr>
          <w:rFonts w:ascii="Times New Roman" w:hAnsi="Times New Roman"/>
          <w:b/>
          <w:highlight w:val="yellow"/>
        </w:rPr>
        <w:t>Nhara</w:t>
      </w:r>
      <w:proofErr w:type="spellEnd"/>
      <w:r>
        <w:rPr>
          <w:rFonts w:ascii="Times New Roman" w:hAnsi="Times New Roman"/>
          <w:b/>
          <w:highlight w:val="yellow"/>
        </w:rPr>
        <w:t>, R. B. (2025). Effects of supplementing fermented water hyacinth (</w:t>
      </w:r>
      <w:r>
        <w:rPr>
          <w:rFonts w:ascii="Times New Roman" w:hAnsi="Times New Roman"/>
          <w:b/>
          <w:i/>
          <w:highlight w:val="yellow"/>
        </w:rPr>
        <w:t>Eichhornia crassipes</w:t>
      </w:r>
      <w:r>
        <w:rPr>
          <w:rFonts w:ascii="Times New Roman" w:hAnsi="Times New Roman"/>
          <w:b/>
          <w:highlight w:val="yellow"/>
        </w:rPr>
        <w:t xml:space="preserve">) meal in Hy-Line brown hens on growth performance, protein utilization, </w:t>
      </w:r>
      <w:proofErr w:type="spellStart"/>
      <w:r>
        <w:rPr>
          <w:rFonts w:ascii="Times New Roman" w:hAnsi="Times New Roman"/>
          <w:b/>
          <w:highlight w:val="yellow"/>
        </w:rPr>
        <w:t>faecal</w:t>
      </w:r>
      <w:proofErr w:type="spellEnd"/>
      <w:r>
        <w:rPr>
          <w:rFonts w:ascii="Times New Roman" w:hAnsi="Times New Roman"/>
          <w:b/>
          <w:highlight w:val="yellow"/>
        </w:rPr>
        <w:t xml:space="preserve"> ammonia emission, and phosphorus excretion. </w:t>
      </w:r>
      <w:r>
        <w:rPr>
          <w:rFonts w:ascii="Times New Roman" w:hAnsi="Times New Roman"/>
          <w:b/>
          <w:i/>
          <w:highlight w:val="yellow"/>
        </w:rPr>
        <w:t xml:space="preserve">Acta </w:t>
      </w:r>
      <w:proofErr w:type="spellStart"/>
      <w:r>
        <w:rPr>
          <w:rFonts w:ascii="Times New Roman" w:hAnsi="Times New Roman"/>
          <w:b/>
          <w:i/>
          <w:highlight w:val="yellow"/>
        </w:rPr>
        <w:t>Agriculturae</w:t>
      </w:r>
      <w:proofErr w:type="spellEnd"/>
      <w:r>
        <w:rPr>
          <w:rFonts w:ascii="Times New Roman" w:hAnsi="Times New Roman"/>
          <w:b/>
          <w:i/>
          <w:highlight w:val="yellow"/>
        </w:rPr>
        <w:t xml:space="preserve"> Scandinavica, Section A—Animal Science, 74</w:t>
      </w:r>
      <w:r>
        <w:rPr>
          <w:rFonts w:ascii="Times New Roman" w:hAnsi="Times New Roman"/>
          <w:b/>
          <w:highlight w:val="yellow"/>
        </w:rPr>
        <w:t xml:space="preserve">(2–3), 128–138. </w:t>
      </w:r>
      <w:hyperlink r:id="rId18" w:history="1">
        <w:r>
          <w:rPr>
            <w:rFonts w:ascii="Times New Roman" w:hAnsi="Times New Roman"/>
            <w:b/>
            <w:bCs/>
            <w:color w:val="0000FF"/>
            <w:sz w:val="24"/>
            <w:szCs w:val="24"/>
            <w:highlight w:val="yellow"/>
            <w:u w:val="single"/>
          </w:rPr>
          <w:t>https://doi.org/10.1080/09064702.2025.2544263</w:t>
        </w:r>
      </w:hyperlink>
    </w:p>
    <w:p w14:paraId="4A2C23ED"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lang w:val="nl-BE"/>
        </w:rPr>
      </w:pPr>
      <w:r w:rsidRPr="00D825A9">
        <w:rPr>
          <w:rFonts w:ascii="Times New Roman" w:hAnsi="Times New Roman"/>
          <w:sz w:val="24"/>
          <w:szCs w:val="24"/>
        </w:rPr>
        <w:t xml:space="preserve">Armin, M., </w:t>
      </w:r>
      <w:proofErr w:type="spellStart"/>
      <w:r w:rsidRPr="00D825A9">
        <w:rPr>
          <w:rFonts w:ascii="Times New Roman" w:hAnsi="Times New Roman"/>
          <w:sz w:val="24"/>
          <w:szCs w:val="24"/>
        </w:rPr>
        <w:t>Mustabi</w:t>
      </w:r>
      <w:proofErr w:type="spellEnd"/>
      <w:r w:rsidRPr="00D825A9">
        <w:rPr>
          <w:rFonts w:ascii="Times New Roman" w:hAnsi="Times New Roman"/>
          <w:sz w:val="24"/>
          <w:szCs w:val="24"/>
        </w:rPr>
        <w:t xml:space="preserve">, J., &amp; </w:t>
      </w:r>
      <w:proofErr w:type="spellStart"/>
      <w:r w:rsidRPr="00D825A9">
        <w:rPr>
          <w:rFonts w:ascii="Times New Roman" w:hAnsi="Times New Roman"/>
          <w:sz w:val="24"/>
          <w:szCs w:val="24"/>
        </w:rPr>
        <w:t>Asriany</w:t>
      </w:r>
      <w:proofErr w:type="spellEnd"/>
      <w:r w:rsidRPr="00D825A9">
        <w:rPr>
          <w:rFonts w:ascii="Times New Roman" w:hAnsi="Times New Roman"/>
          <w:sz w:val="24"/>
          <w:szCs w:val="24"/>
        </w:rPr>
        <w:t xml:space="preserve">, A. (2021). </w:t>
      </w:r>
      <w:proofErr w:type="spellStart"/>
      <w:r w:rsidRPr="00D825A9">
        <w:rPr>
          <w:rFonts w:ascii="Times New Roman" w:hAnsi="Times New Roman"/>
          <w:sz w:val="24"/>
          <w:szCs w:val="24"/>
        </w:rPr>
        <w:t>Kandungan</w:t>
      </w:r>
      <w:proofErr w:type="spellEnd"/>
      <w:r w:rsidRPr="00D825A9">
        <w:rPr>
          <w:rFonts w:ascii="Times New Roman" w:hAnsi="Times New Roman"/>
          <w:sz w:val="24"/>
          <w:szCs w:val="24"/>
        </w:rPr>
        <w:t xml:space="preserve"> NDF dan ADF </w:t>
      </w:r>
      <w:proofErr w:type="spellStart"/>
      <w:r w:rsidRPr="00D825A9">
        <w:rPr>
          <w:rFonts w:ascii="Times New Roman" w:hAnsi="Times New Roman"/>
          <w:sz w:val="24"/>
          <w:szCs w:val="24"/>
        </w:rPr>
        <w:t>silase</w:t>
      </w:r>
      <w:proofErr w:type="spellEnd"/>
      <w:r w:rsidRPr="00D825A9">
        <w:rPr>
          <w:rFonts w:ascii="Times New Roman" w:hAnsi="Times New Roman"/>
          <w:sz w:val="24"/>
          <w:szCs w:val="24"/>
        </w:rPr>
        <w:t xml:space="preserve"> </w:t>
      </w:r>
      <w:proofErr w:type="spellStart"/>
      <w:r w:rsidRPr="00D825A9">
        <w:rPr>
          <w:rFonts w:ascii="Times New Roman" w:hAnsi="Times New Roman"/>
          <w:sz w:val="24"/>
          <w:szCs w:val="24"/>
        </w:rPr>
        <w:t>pakan</w:t>
      </w:r>
      <w:proofErr w:type="spellEnd"/>
      <w:r w:rsidRPr="00D825A9">
        <w:rPr>
          <w:rFonts w:ascii="Times New Roman" w:hAnsi="Times New Roman"/>
          <w:sz w:val="24"/>
          <w:szCs w:val="24"/>
        </w:rPr>
        <w:t xml:space="preserve"> </w:t>
      </w:r>
      <w:proofErr w:type="spellStart"/>
      <w:r w:rsidRPr="00D825A9">
        <w:rPr>
          <w:rFonts w:ascii="Times New Roman" w:hAnsi="Times New Roman"/>
          <w:sz w:val="24"/>
          <w:szCs w:val="24"/>
        </w:rPr>
        <w:t>komplit</w:t>
      </w:r>
      <w:proofErr w:type="spellEnd"/>
      <w:r w:rsidRPr="00D825A9">
        <w:rPr>
          <w:rFonts w:ascii="Times New Roman" w:hAnsi="Times New Roman"/>
          <w:sz w:val="24"/>
          <w:szCs w:val="24"/>
        </w:rPr>
        <w:t xml:space="preserve"> yang </w:t>
      </w:r>
      <w:proofErr w:type="spellStart"/>
      <w:r w:rsidRPr="00D825A9">
        <w:rPr>
          <w:rFonts w:ascii="Times New Roman" w:hAnsi="Times New Roman"/>
          <w:sz w:val="24"/>
          <w:szCs w:val="24"/>
        </w:rPr>
        <w:t>berbahan</w:t>
      </w:r>
      <w:proofErr w:type="spellEnd"/>
      <w:r w:rsidRPr="00D825A9">
        <w:rPr>
          <w:rFonts w:ascii="Times New Roman" w:hAnsi="Times New Roman"/>
          <w:sz w:val="24"/>
          <w:szCs w:val="24"/>
        </w:rPr>
        <w:t xml:space="preserve"> </w:t>
      </w:r>
      <w:proofErr w:type="spellStart"/>
      <w:r w:rsidRPr="00D825A9">
        <w:rPr>
          <w:rFonts w:ascii="Times New Roman" w:hAnsi="Times New Roman"/>
          <w:sz w:val="24"/>
          <w:szCs w:val="24"/>
        </w:rPr>
        <w:t>dasar</w:t>
      </w:r>
      <w:proofErr w:type="spellEnd"/>
      <w:r w:rsidRPr="00D825A9">
        <w:rPr>
          <w:rFonts w:ascii="Times New Roman" w:hAnsi="Times New Roman"/>
          <w:sz w:val="24"/>
          <w:szCs w:val="24"/>
        </w:rPr>
        <w:t xml:space="preserve"> </w:t>
      </w:r>
      <w:proofErr w:type="spellStart"/>
      <w:r w:rsidRPr="00D825A9">
        <w:rPr>
          <w:rFonts w:ascii="Times New Roman" w:hAnsi="Times New Roman"/>
          <w:sz w:val="24"/>
          <w:szCs w:val="24"/>
        </w:rPr>
        <w:t>eceng</w:t>
      </w:r>
      <w:proofErr w:type="spellEnd"/>
      <w:r w:rsidRPr="00D825A9">
        <w:rPr>
          <w:rFonts w:ascii="Times New Roman" w:hAnsi="Times New Roman"/>
          <w:sz w:val="24"/>
          <w:szCs w:val="24"/>
        </w:rPr>
        <w:t xml:space="preserve"> </w:t>
      </w:r>
      <w:proofErr w:type="spellStart"/>
      <w:r w:rsidRPr="00D825A9">
        <w:rPr>
          <w:rFonts w:ascii="Times New Roman" w:hAnsi="Times New Roman"/>
          <w:sz w:val="24"/>
          <w:szCs w:val="24"/>
        </w:rPr>
        <w:t>gondok</w:t>
      </w:r>
      <w:proofErr w:type="spellEnd"/>
      <w:r w:rsidRPr="00D825A9">
        <w:rPr>
          <w:rFonts w:ascii="Times New Roman" w:hAnsi="Times New Roman"/>
          <w:sz w:val="24"/>
          <w:szCs w:val="24"/>
        </w:rPr>
        <w:t xml:space="preserve"> (</w:t>
      </w:r>
      <w:proofErr w:type="spellStart"/>
      <w:r w:rsidRPr="00D825A9">
        <w:rPr>
          <w:rFonts w:ascii="Times New Roman" w:hAnsi="Times New Roman"/>
          <w:i/>
          <w:iCs/>
          <w:sz w:val="24"/>
          <w:szCs w:val="24"/>
        </w:rPr>
        <w:t>Eichornia</w:t>
      </w:r>
      <w:proofErr w:type="spellEnd"/>
      <w:r w:rsidRPr="00D825A9">
        <w:rPr>
          <w:rFonts w:ascii="Times New Roman" w:hAnsi="Times New Roman"/>
          <w:i/>
          <w:iCs/>
          <w:sz w:val="24"/>
          <w:szCs w:val="24"/>
        </w:rPr>
        <w:t xml:space="preserve"> crassipes</w:t>
      </w:r>
      <w:r w:rsidRPr="00D825A9">
        <w:rPr>
          <w:rFonts w:ascii="Times New Roman" w:hAnsi="Times New Roman"/>
          <w:sz w:val="24"/>
          <w:szCs w:val="24"/>
        </w:rPr>
        <w:t xml:space="preserve">) </w:t>
      </w:r>
      <w:proofErr w:type="spellStart"/>
      <w:r w:rsidRPr="00D825A9">
        <w:rPr>
          <w:rFonts w:ascii="Times New Roman" w:hAnsi="Times New Roman"/>
          <w:sz w:val="24"/>
          <w:szCs w:val="24"/>
        </w:rPr>
        <w:t>dengan</w:t>
      </w:r>
      <w:proofErr w:type="spellEnd"/>
      <w:r w:rsidRPr="00D825A9">
        <w:rPr>
          <w:rFonts w:ascii="Times New Roman" w:hAnsi="Times New Roman"/>
          <w:sz w:val="24"/>
          <w:szCs w:val="24"/>
        </w:rPr>
        <w:t xml:space="preserve"> lama </w:t>
      </w:r>
      <w:proofErr w:type="spellStart"/>
      <w:r w:rsidRPr="00D825A9">
        <w:rPr>
          <w:rFonts w:ascii="Times New Roman" w:hAnsi="Times New Roman"/>
          <w:sz w:val="24"/>
          <w:szCs w:val="24"/>
        </w:rPr>
        <w:t>fermentasi</w:t>
      </w:r>
      <w:proofErr w:type="spellEnd"/>
      <w:r w:rsidRPr="00D825A9">
        <w:rPr>
          <w:rFonts w:ascii="Times New Roman" w:hAnsi="Times New Roman"/>
          <w:sz w:val="24"/>
          <w:szCs w:val="24"/>
        </w:rPr>
        <w:t xml:space="preserve"> </w:t>
      </w:r>
      <w:proofErr w:type="spellStart"/>
      <w:r w:rsidRPr="00D825A9">
        <w:rPr>
          <w:rFonts w:ascii="Times New Roman" w:hAnsi="Times New Roman"/>
          <w:sz w:val="24"/>
          <w:szCs w:val="24"/>
        </w:rPr>
        <w:t>berbeda</w:t>
      </w:r>
      <w:proofErr w:type="spellEnd"/>
      <w:r w:rsidRPr="00D825A9">
        <w:rPr>
          <w:rFonts w:ascii="Times New Roman" w:hAnsi="Times New Roman"/>
          <w:sz w:val="24"/>
          <w:szCs w:val="24"/>
        </w:rPr>
        <w:t xml:space="preserve">. </w:t>
      </w:r>
      <w:r w:rsidRPr="00D825A9">
        <w:rPr>
          <w:rFonts w:ascii="Times New Roman" w:hAnsi="Times New Roman"/>
          <w:i/>
          <w:iCs/>
          <w:sz w:val="24"/>
          <w:szCs w:val="24"/>
          <w:lang w:val="nl-BE"/>
        </w:rPr>
        <w:t>Buletin Nutrisi dan Makanan Ternak, 15</w:t>
      </w:r>
      <w:r w:rsidRPr="00D825A9">
        <w:rPr>
          <w:rFonts w:ascii="Times New Roman" w:hAnsi="Times New Roman"/>
          <w:sz w:val="24"/>
          <w:szCs w:val="24"/>
          <w:lang w:val="nl-BE"/>
        </w:rPr>
        <w:t xml:space="preserve">(1). </w:t>
      </w:r>
      <w:hyperlink r:id="rId19" w:history="1">
        <w:r w:rsidRPr="00D825A9">
          <w:rPr>
            <w:rFonts w:ascii="Times New Roman" w:hAnsi="Times New Roman"/>
            <w:color w:val="0000FF"/>
            <w:sz w:val="24"/>
            <w:szCs w:val="24"/>
            <w:u w:val="single"/>
            <w:lang w:val="nl-BE"/>
          </w:rPr>
          <w:t>https://doi.org/10.20956/bnmt.v15i1.14464</w:t>
        </w:r>
      </w:hyperlink>
    </w:p>
    <w:p w14:paraId="1A6B250D"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lang w:val="nl-BE"/>
        </w:rPr>
        <w:t xml:space="preserve">Balchhaudi, A., Shrestha, A., Adhikari, A., Adhikari, S., Adhikari, A., &amp; Acharya, R. (2026). </w:t>
      </w:r>
      <w:r w:rsidRPr="00D825A9">
        <w:rPr>
          <w:rFonts w:ascii="Times New Roman" w:hAnsi="Times New Roman"/>
          <w:sz w:val="24"/>
          <w:szCs w:val="24"/>
        </w:rPr>
        <w:t>Nutrient composition and heavy metal accumulation in water hyacinth [</w:t>
      </w:r>
      <w:r w:rsidRPr="00D825A9">
        <w:rPr>
          <w:rFonts w:ascii="Times New Roman" w:hAnsi="Times New Roman"/>
          <w:i/>
          <w:iCs/>
          <w:sz w:val="24"/>
          <w:szCs w:val="24"/>
        </w:rPr>
        <w:t>Eichhornia crassipes</w:t>
      </w:r>
      <w:r w:rsidRPr="00D825A9">
        <w:rPr>
          <w:rFonts w:ascii="Times New Roman" w:hAnsi="Times New Roman"/>
          <w:sz w:val="24"/>
          <w:szCs w:val="24"/>
        </w:rPr>
        <w:t xml:space="preserve"> (Mart.) Solms] and water lettuce (</w:t>
      </w:r>
      <w:proofErr w:type="spellStart"/>
      <w:r w:rsidRPr="00D825A9">
        <w:rPr>
          <w:rFonts w:ascii="Times New Roman" w:hAnsi="Times New Roman"/>
          <w:i/>
          <w:iCs/>
          <w:sz w:val="24"/>
          <w:szCs w:val="24"/>
        </w:rPr>
        <w:t>Pistia</w:t>
      </w:r>
      <w:proofErr w:type="spellEnd"/>
      <w:r w:rsidRPr="00D825A9">
        <w:rPr>
          <w:rFonts w:ascii="Times New Roman" w:hAnsi="Times New Roman"/>
          <w:i/>
          <w:iCs/>
          <w:sz w:val="24"/>
          <w:szCs w:val="24"/>
        </w:rPr>
        <w:t xml:space="preserve"> stratiotes</w:t>
      </w:r>
      <w:r w:rsidRPr="00D825A9">
        <w:rPr>
          <w:rFonts w:ascii="Times New Roman" w:hAnsi="Times New Roman"/>
          <w:sz w:val="24"/>
          <w:szCs w:val="24"/>
        </w:rPr>
        <w:t xml:space="preserve"> L.) from the Dande River, Nepal: Implications for use as alternative feed resources. </w:t>
      </w:r>
      <w:r w:rsidRPr="00D825A9">
        <w:rPr>
          <w:rFonts w:ascii="Times New Roman" w:hAnsi="Times New Roman"/>
          <w:i/>
          <w:iCs/>
          <w:sz w:val="24"/>
          <w:szCs w:val="24"/>
        </w:rPr>
        <w:t>JSFA Reports, 6</w:t>
      </w:r>
      <w:r w:rsidRPr="00D825A9">
        <w:rPr>
          <w:rFonts w:ascii="Times New Roman" w:hAnsi="Times New Roman"/>
          <w:sz w:val="24"/>
          <w:szCs w:val="24"/>
        </w:rPr>
        <w:t xml:space="preserve">(9), 356–362. </w:t>
      </w:r>
      <w:hyperlink r:id="rId20" w:history="1">
        <w:r w:rsidRPr="00D825A9">
          <w:rPr>
            <w:rFonts w:ascii="Times New Roman" w:hAnsi="Times New Roman"/>
            <w:color w:val="0000FF"/>
            <w:sz w:val="24"/>
            <w:szCs w:val="24"/>
            <w:u w:val="single"/>
          </w:rPr>
          <w:t>https://doi.org/10.1002/jsf2.70063</w:t>
        </w:r>
      </w:hyperlink>
    </w:p>
    <w:p w14:paraId="1B79110F" w14:textId="77777777" w:rsidR="007D3874" w:rsidRDefault="001114AC">
      <w:pPr>
        <w:spacing w:before="100" w:beforeAutospacing="1" w:after="100" w:afterAutospacing="1"/>
        <w:ind w:left="540" w:hanging="540"/>
        <w:jc w:val="both"/>
        <w:rPr>
          <w:rFonts w:ascii="Times New Roman" w:hAnsi="Times New Roman"/>
          <w:sz w:val="24"/>
          <w:szCs w:val="24"/>
        </w:rPr>
      </w:pPr>
      <w:r>
        <w:rPr>
          <w:rFonts w:ascii="Times New Roman" w:hAnsi="Times New Roman"/>
          <w:b/>
          <w:highlight w:val="yellow"/>
        </w:rPr>
        <w:t xml:space="preserve">Belsare, S., Mane, A., &amp; Ghatge, S. S. (2026). Enriched fermented water hyacinth extract as a low-cost medium for </w:t>
      </w:r>
      <w:proofErr w:type="spellStart"/>
      <w:r>
        <w:rPr>
          <w:rFonts w:ascii="Times New Roman" w:hAnsi="Times New Roman"/>
          <w:b/>
          <w:i/>
          <w:highlight w:val="yellow"/>
        </w:rPr>
        <w:t>Arthrospira</w:t>
      </w:r>
      <w:proofErr w:type="spellEnd"/>
      <w:r>
        <w:rPr>
          <w:rFonts w:ascii="Times New Roman" w:hAnsi="Times New Roman"/>
          <w:b/>
          <w:i/>
          <w:highlight w:val="yellow"/>
        </w:rPr>
        <w:t xml:space="preserve"> platensis</w:t>
      </w:r>
      <w:r>
        <w:rPr>
          <w:rFonts w:ascii="Times New Roman" w:hAnsi="Times New Roman"/>
          <w:b/>
          <w:highlight w:val="yellow"/>
        </w:rPr>
        <w:t xml:space="preserve">: Effects on growth, pigments and cost efficiency. </w:t>
      </w:r>
      <w:r>
        <w:rPr>
          <w:rFonts w:ascii="Times New Roman" w:hAnsi="Times New Roman"/>
          <w:b/>
          <w:i/>
          <w:highlight w:val="yellow"/>
        </w:rPr>
        <w:t>Uttar Pradesh Journal of Zoology, 47</w:t>
      </w:r>
      <w:r>
        <w:rPr>
          <w:rFonts w:ascii="Times New Roman" w:hAnsi="Times New Roman"/>
          <w:b/>
          <w:highlight w:val="yellow"/>
        </w:rPr>
        <w:t xml:space="preserve">(6), 248–261. </w:t>
      </w:r>
      <w:hyperlink r:id="rId21" w:history="1">
        <w:r>
          <w:rPr>
            <w:rFonts w:ascii="Times New Roman" w:hAnsi="Times New Roman"/>
            <w:b/>
            <w:bCs/>
            <w:color w:val="0000FF"/>
            <w:sz w:val="24"/>
            <w:szCs w:val="24"/>
            <w:highlight w:val="yellow"/>
            <w:u w:val="single"/>
          </w:rPr>
          <w:t>https://doi.org/10.56557/upjoz/2026/v47i65578</w:t>
        </w:r>
      </w:hyperlink>
    </w:p>
    <w:p w14:paraId="0E901BCF"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lastRenderedPageBreak/>
        <w:t xml:space="preserve">Ben Bakrim, W., </w:t>
      </w:r>
      <w:proofErr w:type="spellStart"/>
      <w:r w:rsidRPr="00D825A9">
        <w:rPr>
          <w:rFonts w:ascii="Times New Roman" w:hAnsi="Times New Roman"/>
          <w:sz w:val="24"/>
          <w:szCs w:val="24"/>
        </w:rPr>
        <w:t>Ezzariai</w:t>
      </w:r>
      <w:proofErr w:type="spellEnd"/>
      <w:r w:rsidRPr="00D825A9">
        <w:rPr>
          <w:rFonts w:ascii="Times New Roman" w:hAnsi="Times New Roman"/>
          <w:sz w:val="24"/>
          <w:szCs w:val="24"/>
        </w:rPr>
        <w:t xml:space="preserve">, A., </w:t>
      </w:r>
      <w:proofErr w:type="spellStart"/>
      <w:r w:rsidRPr="00D825A9">
        <w:rPr>
          <w:rFonts w:ascii="Times New Roman" w:hAnsi="Times New Roman"/>
          <w:sz w:val="24"/>
          <w:szCs w:val="24"/>
        </w:rPr>
        <w:t>Karouach</w:t>
      </w:r>
      <w:proofErr w:type="spellEnd"/>
      <w:r w:rsidRPr="00D825A9">
        <w:rPr>
          <w:rFonts w:ascii="Times New Roman" w:hAnsi="Times New Roman"/>
          <w:sz w:val="24"/>
          <w:szCs w:val="24"/>
        </w:rPr>
        <w:t xml:space="preserve">, F., </w:t>
      </w:r>
      <w:proofErr w:type="spellStart"/>
      <w:r w:rsidRPr="00D825A9">
        <w:rPr>
          <w:rFonts w:ascii="Times New Roman" w:hAnsi="Times New Roman"/>
          <w:sz w:val="24"/>
          <w:szCs w:val="24"/>
        </w:rPr>
        <w:t>Sobeh</w:t>
      </w:r>
      <w:proofErr w:type="spellEnd"/>
      <w:r w:rsidRPr="00D825A9">
        <w:rPr>
          <w:rFonts w:ascii="Times New Roman" w:hAnsi="Times New Roman"/>
          <w:sz w:val="24"/>
          <w:szCs w:val="24"/>
        </w:rPr>
        <w:t xml:space="preserve">, M., </w:t>
      </w:r>
      <w:proofErr w:type="spellStart"/>
      <w:r w:rsidRPr="00D825A9">
        <w:rPr>
          <w:rFonts w:ascii="Times New Roman" w:hAnsi="Times New Roman"/>
          <w:sz w:val="24"/>
          <w:szCs w:val="24"/>
        </w:rPr>
        <w:t>Kibret</w:t>
      </w:r>
      <w:proofErr w:type="spellEnd"/>
      <w:r w:rsidRPr="00D825A9">
        <w:rPr>
          <w:rFonts w:ascii="Times New Roman" w:hAnsi="Times New Roman"/>
          <w:sz w:val="24"/>
          <w:szCs w:val="24"/>
        </w:rPr>
        <w:t xml:space="preserve">, M., Hafidi, M., </w:t>
      </w:r>
      <w:proofErr w:type="spellStart"/>
      <w:r w:rsidRPr="00D825A9">
        <w:rPr>
          <w:rFonts w:ascii="Times New Roman" w:hAnsi="Times New Roman"/>
          <w:sz w:val="24"/>
          <w:szCs w:val="24"/>
        </w:rPr>
        <w:t>Kouisni</w:t>
      </w:r>
      <w:proofErr w:type="spellEnd"/>
      <w:r w:rsidRPr="00D825A9">
        <w:rPr>
          <w:rFonts w:ascii="Times New Roman" w:hAnsi="Times New Roman"/>
          <w:sz w:val="24"/>
          <w:szCs w:val="24"/>
        </w:rPr>
        <w:t xml:space="preserve">, L., &amp; Yasri, A. (2022). </w:t>
      </w:r>
      <w:r w:rsidRPr="00D825A9">
        <w:rPr>
          <w:rFonts w:ascii="Times New Roman" w:hAnsi="Times New Roman"/>
          <w:i/>
          <w:iCs/>
          <w:sz w:val="24"/>
          <w:szCs w:val="24"/>
        </w:rPr>
        <w:t>Eichhornia crassipes</w:t>
      </w:r>
      <w:r w:rsidRPr="00D825A9">
        <w:rPr>
          <w:rFonts w:ascii="Times New Roman" w:hAnsi="Times New Roman"/>
          <w:sz w:val="24"/>
          <w:szCs w:val="24"/>
        </w:rPr>
        <w:t xml:space="preserve"> (Mart.) Solms: A comprehensive review of its chemical composition, traditional use, and value-added products. </w:t>
      </w:r>
      <w:r w:rsidRPr="00D825A9">
        <w:rPr>
          <w:rFonts w:ascii="Times New Roman" w:hAnsi="Times New Roman"/>
          <w:i/>
          <w:iCs/>
          <w:sz w:val="24"/>
          <w:szCs w:val="24"/>
        </w:rPr>
        <w:t>Frontiers in Pharmacology, 13</w:t>
      </w:r>
      <w:r w:rsidRPr="00D825A9">
        <w:rPr>
          <w:rFonts w:ascii="Times New Roman" w:hAnsi="Times New Roman"/>
          <w:sz w:val="24"/>
          <w:szCs w:val="24"/>
        </w:rPr>
        <w:t xml:space="preserve">, 842511. </w:t>
      </w:r>
      <w:hyperlink r:id="rId22" w:history="1">
        <w:r w:rsidRPr="00D825A9">
          <w:rPr>
            <w:rFonts w:ascii="Times New Roman" w:hAnsi="Times New Roman"/>
            <w:color w:val="0000FF"/>
            <w:sz w:val="24"/>
            <w:szCs w:val="24"/>
            <w:u w:val="single"/>
          </w:rPr>
          <w:t>https://doi.org/10.3389/fphar.2022.842511</w:t>
        </w:r>
      </w:hyperlink>
    </w:p>
    <w:p w14:paraId="49877FE2"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proofErr w:type="spellStart"/>
      <w:r w:rsidRPr="00D825A9">
        <w:rPr>
          <w:rFonts w:ascii="Times New Roman" w:hAnsi="Times New Roman"/>
          <w:sz w:val="24"/>
          <w:szCs w:val="24"/>
        </w:rPr>
        <w:t>Bohare</w:t>
      </w:r>
      <w:proofErr w:type="spellEnd"/>
      <w:r w:rsidRPr="00D825A9">
        <w:rPr>
          <w:rFonts w:ascii="Times New Roman" w:hAnsi="Times New Roman"/>
          <w:sz w:val="24"/>
          <w:szCs w:val="24"/>
        </w:rPr>
        <w:t>, H., Mahajan, S., Dubey, S., Singh, R. P., Shakya, P., Rai, S., &amp; Garg, A. (2024). Effects of water hyacinth (</w:t>
      </w:r>
      <w:r w:rsidRPr="00D825A9">
        <w:rPr>
          <w:rFonts w:ascii="Times New Roman" w:hAnsi="Times New Roman"/>
          <w:i/>
          <w:iCs/>
          <w:sz w:val="24"/>
          <w:szCs w:val="24"/>
        </w:rPr>
        <w:t>Eichhornia crassipes</w:t>
      </w:r>
      <w:r w:rsidRPr="00D825A9">
        <w:rPr>
          <w:rFonts w:ascii="Times New Roman" w:hAnsi="Times New Roman"/>
          <w:sz w:val="24"/>
          <w:szCs w:val="24"/>
        </w:rPr>
        <w:t>) leaf meal supplementation on growth and survivability of Pangasius catfish (</w:t>
      </w:r>
      <w:proofErr w:type="spellStart"/>
      <w:r w:rsidRPr="00D825A9">
        <w:rPr>
          <w:rFonts w:ascii="Times New Roman" w:hAnsi="Times New Roman"/>
          <w:i/>
          <w:iCs/>
          <w:sz w:val="24"/>
          <w:szCs w:val="24"/>
        </w:rPr>
        <w:t>Pangasianodon</w:t>
      </w:r>
      <w:proofErr w:type="spellEnd"/>
      <w:r w:rsidRPr="00D825A9">
        <w:rPr>
          <w:rFonts w:ascii="Times New Roman" w:hAnsi="Times New Roman"/>
          <w:i/>
          <w:iCs/>
          <w:sz w:val="24"/>
          <w:szCs w:val="24"/>
        </w:rPr>
        <w:t xml:space="preserve"> </w:t>
      </w:r>
      <w:proofErr w:type="spellStart"/>
      <w:r w:rsidRPr="00D825A9">
        <w:rPr>
          <w:rFonts w:ascii="Times New Roman" w:hAnsi="Times New Roman"/>
          <w:i/>
          <w:iCs/>
          <w:sz w:val="24"/>
          <w:szCs w:val="24"/>
        </w:rPr>
        <w:t>hypophthalmus</w:t>
      </w:r>
      <w:proofErr w:type="spellEnd"/>
      <w:r w:rsidRPr="00D825A9">
        <w:rPr>
          <w:rFonts w:ascii="Times New Roman" w:hAnsi="Times New Roman"/>
          <w:sz w:val="24"/>
          <w:szCs w:val="24"/>
        </w:rPr>
        <w:t xml:space="preserve">) juvenile. </w:t>
      </w:r>
      <w:r w:rsidRPr="00D825A9">
        <w:rPr>
          <w:rFonts w:ascii="Times New Roman" w:hAnsi="Times New Roman"/>
          <w:i/>
          <w:iCs/>
          <w:sz w:val="24"/>
          <w:szCs w:val="24"/>
        </w:rPr>
        <w:t>Uttar Pradesh Journal of Zoology, 45</w:t>
      </w:r>
      <w:r w:rsidRPr="00D825A9">
        <w:rPr>
          <w:rFonts w:ascii="Times New Roman" w:hAnsi="Times New Roman"/>
          <w:sz w:val="24"/>
          <w:szCs w:val="24"/>
        </w:rPr>
        <w:t xml:space="preserve">(18), 228–235. </w:t>
      </w:r>
      <w:hyperlink r:id="rId23" w:history="1">
        <w:r w:rsidRPr="00D825A9">
          <w:rPr>
            <w:rFonts w:ascii="Times New Roman" w:hAnsi="Times New Roman"/>
            <w:color w:val="0000FF"/>
            <w:sz w:val="24"/>
            <w:szCs w:val="24"/>
            <w:u w:val="single"/>
          </w:rPr>
          <w:t>https://doi.org/10.56557/upjoz/2024/v45i184441</w:t>
        </w:r>
      </w:hyperlink>
    </w:p>
    <w:p w14:paraId="6E41D6F8" w14:textId="77777777" w:rsidR="007D3874" w:rsidRDefault="001114AC">
      <w:pPr>
        <w:spacing w:before="100" w:beforeAutospacing="1" w:after="100" w:afterAutospacing="1"/>
        <w:ind w:left="540" w:hanging="540"/>
        <w:jc w:val="both"/>
        <w:rPr>
          <w:rFonts w:ascii="Times New Roman" w:hAnsi="Times New Roman"/>
          <w:sz w:val="24"/>
          <w:szCs w:val="24"/>
        </w:rPr>
      </w:pPr>
      <w:proofErr w:type="spellStart"/>
      <w:r>
        <w:rPr>
          <w:rFonts w:ascii="Times New Roman" w:hAnsi="Times New Roman"/>
          <w:b/>
          <w:highlight w:val="yellow"/>
        </w:rPr>
        <w:t>Bohare</w:t>
      </w:r>
      <w:proofErr w:type="spellEnd"/>
      <w:r>
        <w:rPr>
          <w:rFonts w:ascii="Times New Roman" w:hAnsi="Times New Roman"/>
          <w:b/>
          <w:highlight w:val="yellow"/>
        </w:rPr>
        <w:t>, H., Yadav, B., Mahajan, S. K., Dubey, S., Singh, R. P., &amp; Rai, S. (2025). Effect of water hyacinth leaf meal supplementation on water quality and flesh protein of Pangasius (</w:t>
      </w:r>
      <w:proofErr w:type="spellStart"/>
      <w:r>
        <w:rPr>
          <w:rFonts w:ascii="Times New Roman" w:hAnsi="Times New Roman"/>
          <w:b/>
          <w:i/>
          <w:highlight w:val="yellow"/>
        </w:rPr>
        <w:t>Pangasianodon</w:t>
      </w:r>
      <w:proofErr w:type="spellEnd"/>
      <w:r>
        <w:rPr>
          <w:rFonts w:ascii="Times New Roman" w:hAnsi="Times New Roman"/>
          <w:b/>
          <w:i/>
          <w:highlight w:val="yellow"/>
        </w:rPr>
        <w:t xml:space="preserve"> </w:t>
      </w:r>
      <w:proofErr w:type="spellStart"/>
      <w:r>
        <w:rPr>
          <w:rFonts w:ascii="Times New Roman" w:hAnsi="Times New Roman"/>
          <w:b/>
          <w:i/>
          <w:highlight w:val="yellow"/>
        </w:rPr>
        <w:t>hypophthalmus</w:t>
      </w:r>
      <w:proofErr w:type="spellEnd"/>
      <w:r>
        <w:rPr>
          <w:rFonts w:ascii="Times New Roman" w:hAnsi="Times New Roman"/>
          <w:b/>
          <w:highlight w:val="yellow"/>
        </w:rPr>
        <w:t xml:space="preserve">) catfish. </w:t>
      </w:r>
      <w:r>
        <w:rPr>
          <w:rFonts w:ascii="Times New Roman" w:hAnsi="Times New Roman"/>
          <w:b/>
          <w:i/>
          <w:highlight w:val="yellow"/>
        </w:rPr>
        <w:t>Journal of Advances in Biology &amp; Biotechnology, 28</w:t>
      </w:r>
      <w:r>
        <w:rPr>
          <w:rFonts w:ascii="Times New Roman" w:hAnsi="Times New Roman"/>
          <w:b/>
          <w:highlight w:val="yellow"/>
        </w:rPr>
        <w:t xml:space="preserve">(4), 456–463. </w:t>
      </w:r>
      <w:hyperlink r:id="rId24" w:history="1">
        <w:r>
          <w:rPr>
            <w:rFonts w:ascii="Times New Roman" w:hAnsi="Times New Roman"/>
            <w:b/>
            <w:bCs/>
            <w:color w:val="0000FF"/>
            <w:sz w:val="24"/>
            <w:szCs w:val="24"/>
            <w:highlight w:val="yellow"/>
            <w:u w:val="single"/>
          </w:rPr>
          <w:t>https://doi.org/10.9734/jabb/2025/v28i42205</w:t>
        </w:r>
      </w:hyperlink>
    </w:p>
    <w:p w14:paraId="6EE0C813"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Bradbury, J. H., &amp; Denton, I. C. (2011). Mild methods of processing cassava </w:t>
      </w:r>
      <w:proofErr w:type="gramStart"/>
      <w:r w:rsidRPr="00D825A9">
        <w:rPr>
          <w:rFonts w:ascii="Times New Roman" w:hAnsi="Times New Roman"/>
          <w:sz w:val="24"/>
          <w:szCs w:val="24"/>
        </w:rPr>
        <w:t>leaves</w:t>
      </w:r>
      <w:proofErr w:type="gramEnd"/>
      <w:r w:rsidRPr="00D825A9">
        <w:rPr>
          <w:rFonts w:ascii="Times New Roman" w:hAnsi="Times New Roman"/>
          <w:sz w:val="24"/>
          <w:szCs w:val="24"/>
        </w:rPr>
        <w:t xml:space="preserve"> to remove </w:t>
      </w:r>
      <w:proofErr w:type="spellStart"/>
      <w:r w:rsidRPr="00D825A9">
        <w:rPr>
          <w:rFonts w:ascii="Times New Roman" w:hAnsi="Times New Roman"/>
          <w:sz w:val="24"/>
          <w:szCs w:val="24"/>
        </w:rPr>
        <w:t>cyanogens</w:t>
      </w:r>
      <w:proofErr w:type="spellEnd"/>
      <w:r w:rsidRPr="00D825A9">
        <w:rPr>
          <w:rFonts w:ascii="Times New Roman" w:hAnsi="Times New Roman"/>
          <w:sz w:val="24"/>
          <w:szCs w:val="24"/>
        </w:rPr>
        <w:t xml:space="preserve"> and conserve key nutrients. </w:t>
      </w:r>
      <w:r w:rsidRPr="00D825A9">
        <w:rPr>
          <w:rFonts w:ascii="Times New Roman" w:hAnsi="Times New Roman"/>
          <w:i/>
          <w:iCs/>
          <w:sz w:val="24"/>
          <w:szCs w:val="24"/>
        </w:rPr>
        <w:t>Food Chemistry, 127</w:t>
      </w:r>
      <w:r w:rsidRPr="00D825A9">
        <w:rPr>
          <w:rFonts w:ascii="Times New Roman" w:hAnsi="Times New Roman"/>
          <w:sz w:val="24"/>
          <w:szCs w:val="24"/>
        </w:rPr>
        <w:t xml:space="preserve">(4), 1755–1759. </w:t>
      </w:r>
      <w:hyperlink r:id="rId25" w:history="1">
        <w:r w:rsidRPr="00D825A9">
          <w:rPr>
            <w:rFonts w:ascii="Times New Roman" w:hAnsi="Times New Roman"/>
            <w:color w:val="0000FF"/>
            <w:sz w:val="24"/>
            <w:szCs w:val="24"/>
            <w:u w:val="single"/>
          </w:rPr>
          <w:t>https://doi.org/10.1016/j.foodchem.2011.02.053</w:t>
        </w:r>
      </w:hyperlink>
    </w:p>
    <w:p w14:paraId="406874F7"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Emshaw, Y., Getahun, A., &amp; Geremew, A. (2021). Digestibility of fermented and unfermented water hyacinth meal in the diets of juvenile Nile tilapia (</w:t>
      </w:r>
      <w:r w:rsidRPr="00D825A9">
        <w:rPr>
          <w:rFonts w:ascii="Times New Roman" w:hAnsi="Times New Roman"/>
          <w:i/>
          <w:iCs/>
          <w:sz w:val="24"/>
          <w:szCs w:val="24"/>
        </w:rPr>
        <w:t>Oreochromis niloticus</w:t>
      </w:r>
      <w:r w:rsidRPr="00D825A9">
        <w:rPr>
          <w:rFonts w:ascii="Times New Roman" w:hAnsi="Times New Roman"/>
          <w:sz w:val="24"/>
          <w:szCs w:val="24"/>
        </w:rPr>
        <w:t xml:space="preserve">). </w:t>
      </w:r>
      <w:r w:rsidRPr="00D825A9">
        <w:rPr>
          <w:rFonts w:ascii="Times New Roman" w:hAnsi="Times New Roman"/>
          <w:i/>
          <w:iCs/>
          <w:sz w:val="24"/>
          <w:szCs w:val="24"/>
        </w:rPr>
        <w:t>Zoological and Entomological Letters, 1</w:t>
      </w:r>
      <w:r w:rsidRPr="00D825A9">
        <w:rPr>
          <w:rFonts w:ascii="Times New Roman" w:hAnsi="Times New Roman"/>
          <w:sz w:val="24"/>
          <w:szCs w:val="24"/>
        </w:rPr>
        <w:t xml:space="preserve">(2), 48–55. </w:t>
      </w:r>
      <w:hyperlink r:id="rId26" w:history="1">
        <w:r w:rsidRPr="00D825A9">
          <w:rPr>
            <w:rFonts w:ascii="Times New Roman" w:hAnsi="Times New Roman"/>
            <w:color w:val="0000FF"/>
            <w:sz w:val="24"/>
            <w:szCs w:val="24"/>
            <w:u w:val="single"/>
          </w:rPr>
          <w:t>https://www.zoologicaljournal.com/article/17/1-2-7-701.pdf</w:t>
        </w:r>
      </w:hyperlink>
    </w:p>
    <w:p w14:paraId="025C0F83"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Fanta, Y., </w:t>
      </w:r>
      <w:proofErr w:type="spellStart"/>
      <w:r w:rsidRPr="00D825A9">
        <w:rPr>
          <w:rFonts w:ascii="Times New Roman" w:hAnsi="Times New Roman"/>
          <w:sz w:val="24"/>
          <w:szCs w:val="24"/>
        </w:rPr>
        <w:t>Kechero</w:t>
      </w:r>
      <w:proofErr w:type="spellEnd"/>
      <w:r w:rsidRPr="00D825A9">
        <w:rPr>
          <w:rFonts w:ascii="Times New Roman" w:hAnsi="Times New Roman"/>
          <w:sz w:val="24"/>
          <w:szCs w:val="24"/>
        </w:rPr>
        <w:t>, Y., &amp; Yemane, N. (2024). Hematological parameters of sheep and goats fed diets containing various amounts of water hyacinth (</w:t>
      </w:r>
      <w:r w:rsidRPr="00D825A9">
        <w:rPr>
          <w:rFonts w:ascii="Times New Roman" w:hAnsi="Times New Roman"/>
          <w:i/>
          <w:iCs/>
          <w:sz w:val="24"/>
          <w:szCs w:val="24"/>
        </w:rPr>
        <w:t>Eichhornia crassipes</w:t>
      </w:r>
      <w:r w:rsidRPr="00D825A9">
        <w:rPr>
          <w:rFonts w:ascii="Times New Roman" w:hAnsi="Times New Roman"/>
          <w:sz w:val="24"/>
          <w:szCs w:val="24"/>
        </w:rPr>
        <w:t xml:space="preserve">). </w:t>
      </w:r>
      <w:r w:rsidRPr="00D825A9">
        <w:rPr>
          <w:rFonts w:ascii="Times New Roman" w:hAnsi="Times New Roman"/>
          <w:i/>
          <w:iCs/>
          <w:sz w:val="24"/>
          <w:szCs w:val="24"/>
        </w:rPr>
        <w:t>Frontiers in Veterinary Science, 11</w:t>
      </w:r>
      <w:r w:rsidRPr="00D825A9">
        <w:rPr>
          <w:rFonts w:ascii="Times New Roman" w:hAnsi="Times New Roman"/>
          <w:sz w:val="24"/>
          <w:szCs w:val="24"/>
        </w:rPr>
        <w:t xml:space="preserve">, 1286563. </w:t>
      </w:r>
      <w:hyperlink r:id="rId27" w:history="1">
        <w:r w:rsidRPr="00D825A9">
          <w:rPr>
            <w:rFonts w:ascii="Times New Roman" w:hAnsi="Times New Roman"/>
            <w:color w:val="0000FF"/>
            <w:sz w:val="24"/>
            <w:szCs w:val="24"/>
            <w:u w:val="single"/>
          </w:rPr>
          <w:t>https://doi.org/10.3389/fvets.2024.1286563</w:t>
        </w:r>
      </w:hyperlink>
    </w:p>
    <w:p w14:paraId="20CBB7A9"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lang w:val="nl-BE"/>
        </w:rPr>
      </w:pPr>
      <w:r w:rsidRPr="00D825A9">
        <w:rPr>
          <w:rFonts w:ascii="Times New Roman" w:hAnsi="Times New Roman"/>
          <w:sz w:val="24"/>
          <w:szCs w:val="24"/>
        </w:rPr>
        <w:t xml:space="preserve">Happy, S. N., </w:t>
      </w:r>
      <w:proofErr w:type="spellStart"/>
      <w:r w:rsidRPr="00D825A9">
        <w:rPr>
          <w:rFonts w:ascii="Times New Roman" w:hAnsi="Times New Roman"/>
          <w:sz w:val="24"/>
          <w:szCs w:val="24"/>
        </w:rPr>
        <w:t>Suharman</w:t>
      </w:r>
      <w:proofErr w:type="spellEnd"/>
      <w:r w:rsidRPr="00D825A9">
        <w:rPr>
          <w:rFonts w:ascii="Times New Roman" w:hAnsi="Times New Roman"/>
          <w:sz w:val="24"/>
          <w:szCs w:val="24"/>
        </w:rPr>
        <w:t xml:space="preserve">, I., &amp; Adelina, A. (2021). Improvement of water hyacinth </w:t>
      </w:r>
      <w:proofErr w:type="spellStart"/>
      <w:r w:rsidRPr="00D825A9">
        <w:rPr>
          <w:rFonts w:ascii="Times New Roman" w:hAnsi="Times New Roman"/>
          <w:sz w:val="24"/>
          <w:szCs w:val="24"/>
        </w:rPr>
        <w:t>leafes</w:t>
      </w:r>
      <w:proofErr w:type="spellEnd"/>
      <w:r w:rsidRPr="00D825A9">
        <w:rPr>
          <w:rFonts w:ascii="Times New Roman" w:hAnsi="Times New Roman"/>
          <w:sz w:val="24"/>
          <w:szCs w:val="24"/>
        </w:rPr>
        <w:t xml:space="preserve"> meal (</w:t>
      </w:r>
      <w:r w:rsidRPr="00D825A9">
        <w:rPr>
          <w:rFonts w:ascii="Times New Roman" w:hAnsi="Times New Roman"/>
          <w:i/>
          <w:iCs/>
          <w:sz w:val="24"/>
          <w:szCs w:val="24"/>
        </w:rPr>
        <w:t>Eichhornia crassipes</w:t>
      </w:r>
      <w:r w:rsidRPr="00D825A9">
        <w:rPr>
          <w:rFonts w:ascii="Times New Roman" w:hAnsi="Times New Roman"/>
          <w:sz w:val="24"/>
          <w:szCs w:val="24"/>
        </w:rPr>
        <w:t xml:space="preserve">) fermented with cow rumen </w:t>
      </w:r>
      <w:proofErr w:type="spellStart"/>
      <w:r w:rsidRPr="00D825A9">
        <w:rPr>
          <w:rFonts w:ascii="Times New Roman" w:hAnsi="Times New Roman"/>
          <w:sz w:val="24"/>
          <w:szCs w:val="24"/>
        </w:rPr>
        <w:t>liqour</w:t>
      </w:r>
      <w:proofErr w:type="spellEnd"/>
      <w:r w:rsidRPr="00D825A9">
        <w:rPr>
          <w:rFonts w:ascii="Times New Roman" w:hAnsi="Times New Roman"/>
          <w:sz w:val="24"/>
          <w:szCs w:val="24"/>
        </w:rPr>
        <w:t xml:space="preserve"> as feed ingredients for </w:t>
      </w:r>
      <w:proofErr w:type="spellStart"/>
      <w:r w:rsidRPr="00D825A9">
        <w:rPr>
          <w:rFonts w:ascii="Times New Roman" w:hAnsi="Times New Roman"/>
          <w:sz w:val="24"/>
          <w:szCs w:val="24"/>
        </w:rPr>
        <w:t>jelawat</w:t>
      </w:r>
      <w:proofErr w:type="spellEnd"/>
      <w:r w:rsidRPr="00D825A9">
        <w:rPr>
          <w:rFonts w:ascii="Times New Roman" w:hAnsi="Times New Roman"/>
          <w:sz w:val="24"/>
          <w:szCs w:val="24"/>
        </w:rPr>
        <w:t xml:space="preserve"> (</w:t>
      </w:r>
      <w:proofErr w:type="spellStart"/>
      <w:r w:rsidRPr="00D825A9">
        <w:rPr>
          <w:rFonts w:ascii="Times New Roman" w:hAnsi="Times New Roman"/>
          <w:i/>
          <w:iCs/>
          <w:sz w:val="24"/>
          <w:szCs w:val="24"/>
        </w:rPr>
        <w:t>Leptobarbus</w:t>
      </w:r>
      <w:proofErr w:type="spellEnd"/>
      <w:r w:rsidRPr="00D825A9">
        <w:rPr>
          <w:rFonts w:ascii="Times New Roman" w:hAnsi="Times New Roman"/>
          <w:i/>
          <w:iCs/>
          <w:sz w:val="24"/>
          <w:szCs w:val="24"/>
        </w:rPr>
        <w:t xml:space="preserve"> </w:t>
      </w:r>
      <w:proofErr w:type="spellStart"/>
      <w:r w:rsidRPr="00D825A9">
        <w:rPr>
          <w:rFonts w:ascii="Times New Roman" w:hAnsi="Times New Roman"/>
          <w:i/>
          <w:iCs/>
          <w:sz w:val="24"/>
          <w:szCs w:val="24"/>
        </w:rPr>
        <w:t>hoeveni</w:t>
      </w:r>
      <w:proofErr w:type="spellEnd"/>
      <w:r w:rsidRPr="00D825A9">
        <w:rPr>
          <w:rFonts w:ascii="Times New Roman" w:hAnsi="Times New Roman"/>
          <w:sz w:val="24"/>
          <w:szCs w:val="24"/>
        </w:rPr>
        <w:t xml:space="preserve">) seeds. </w:t>
      </w:r>
      <w:r w:rsidRPr="00D825A9">
        <w:rPr>
          <w:rFonts w:ascii="Times New Roman" w:hAnsi="Times New Roman"/>
          <w:i/>
          <w:iCs/>
          <w:sz w:val="24"/>
          <w:szCs w:val="24"/>
          <w:lang w:val="nl-BE"/>
        </w:rPr>
        <w:t>Jurnal Online Mahasiswa (JOM) Bidang Perikanan dan Ilmu Kelautan, 8</w:t>
      </w:r>
      <w:r w:rsidRPr="00D825A9">
        <w:rPr>
          <w:rFonts w:ascii="Times New Roman" w:hAnsi="Times New Roman"/>
          <w:sz w:val="24"/>
          <w:szCs w:val="24"/>
          <w:lang w:val="nl-BE"/>
        </w:rPr>
        <w:t xml:space="preserve">(1), 1–16. </w:t>
      </w:r>
      <w:hyperlink r:id="rId28" w:history="1">
        <w:r w:rsidRPr="00D825A9">
          <w:rPr>
            <w:rFonts w:ascii="Times New Roman" w:hAnsi="Times New Roman"/>
            <w:color w:val="0000FF"/>
            <w:sz w:val="24"/>
            <w:szCs w:val="24"/>
            <w:u w:val="single"/>
            <w:lang w:val="nl-BE"/>
          </w:rPr>
          <w:t>https://jom.unri.ac.id/index.php/JOMFAPERIKA/article/view/29555</w:t>
        </w:r>
      </w:hyperlink>
    </w:p>
    <w:p w14:paraId="4251822C"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Hundal, J. S., Singh, D., Ansal, M. D., Chahal, U. S., Kaur, V. I., &amp; Sharma, A. (2025). Quality parameters and fermentation characteristics of ensiled water hyacinth (</w:t>
      </w:r>
      <w:r w:rsidRPr="00D825A9">
        <w:rPr>
          <w:rFonts w:ascii="Times New Roman" w:hAnsi="Times New Roman"/>
          <w:i/>
          <w:iCs/>
          <w:sz w:val="24"/>
          <w:szCs w:val="24"/>
        </w:rPr>
        <w:t>Eichhornia crassipes</w:t>
      </w:r>
      <w:r w:rsidRPr="00D825A9">
        <w:rPr>
          <w:rFonts w:ascii="Times New Roman" w:hAnsi="Times New Roman"/>
          <w:sz w:val="24"/>
          <w:szCs w:val="24"/>
        </w:rPr>
        <w:t xml:space="preserve">). </w:t>
      </w:r>
      <w:r w:rsidRPr="00D825A9">
        <w:rPr>
          <w:rFonts w:ascii="Times New Roman" w:hAnsi="Times New Roman"/>
          <w:i/>
          <w:iCs/>
          <w:sz w:val="24"/>
          <w:szCs w:val="24"/>
        </w:rPr>
        <w:t>Indian Journal of Animal Nutrition, 42</w:t>
      </w:r>
      <w:r w:rsidRPr="00D825A9">
        <w:rPr>
          <w:rFonts w:ascii="Times New Roman" w:hAnsi="Times New Roman"/>
          <w:sz w:val="24"/>
          <w:szCs w:val="24"/>
        </w:rPr>
        <w:t xml:space="preserve">(2), 213–219. </w:t>
      </w:r>
      <w:hyperlink r:id="rId29" w:history="1">
        <w:r w:rsidRPr="00D825A9">
          <w:rPr>
            <w:rFonts w:ascii="Times New Roman" w:hAnsi="Times New Roman"/>
            <w:color w:val="0000FF"/>
            <w:sz w:val="24"/>
            <w:szCs w:val="24"/>
            <w:u w:val="single"/>
          </w:rPr>
          <w:t>https://doi.org/10.56093/ijan.v42i2.9</w:t>
        </w:r>
      </w:hyperlink>
    </w:p>
    <w:p w14:paraId="4BFBB02B"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Hur, S. J., Lee, S. Y., Kim, Y. C., Choi, I., &amp; Kim, G. B. (2014). Effect of fermentation on the antioxidant activity in plant-based foods. </w:t>
      </w:r>
      <w:r w:rsidRPr="00D825A9">
        <w:rPr>
          <w:rFonts w:ascii="Times New Roman" w:hAnsi="Times New Roman"/>
          <w:i/>
          <w:iCs/>
          <w:sz w:val="24"/>
          <w:szCs w:val="24"/>
        </w:rPr>
        <w:t>Food Chemistry, 160</w:t>
      </w:r>
      <w:r w:rsidRPr="00D825A9">
        <w:rPr>
          <w:rFonts w:ascii="Times New Roman" w:hAnsi="Times New Roman"/>
          <w:sz w:val="24"/>
          <w:szCs w:val="24"/>
        </w:rPr>
        <w:t xml:space="preserve">, 346–356. </w:t>
      </w:r>
      <w:hyperlink r:id="rId30" w:history="1">
        <w:r w:rsidRPr="00D825A9">
          <w:rPr>
            <w:rFonts w:ascii="Times New Roman" w:hAnsi="Times New Roman"/>
            <w:color w:val="0000FF"/>
            <w:sz w:val="24"/>
            <w:szCs w:val="24"/>
            <w:u w:val="single"/>
          </w:rPr>
          <w:t>https://doi.org/10.1016/j.foodchem.2014.03.112</w:t>
        </w:r>
      </w:hyperlink>
    </w:p>
    <w:p w14:paraId="11A247D4"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Huynh, N. K., Nguyen, D. H. M., &amp; Nguyen, H. V. H. (2022). Effects of processing on oxalate contents in plant foods: A review. </w:t>
      </w:r>
      <w:r w:rsidRPr="00D825A9">
        <w:rPr>
          <w:rFonts w:ascii="Times New Roman" w:hAnsi="Times New Roman"/>
          <w:i/>
          <w:iCs/>
          <w:sz w:val="24"/>
          <w:szCs w:val="24"/>
        </w:rPr>
        <w:t>Journal of Food Composition and Analysis, 112</w:t>
      </w:r>
      <w:r w:rsidRPr="00D825A9">
        <w:rPr>
          <w:rFonts w:ascii="Times New Roman" w:hAnsi="Times New Roman"/>
          <w:sz w:val="24"/>
          <w:szCs w:val="24"/>
        </w:rPr>
        <w:t xml:space="preserve">, 104685. </w:t>
      </w:r>
      <w:hyperlink r:id="rId31" w:history="1">
        <w:r w:rsidRPr="00D825A9">
          <w:rPr>
            <w:rFonts w:ascii="Times New Roman" w:hAnsi="Times New Roman"/>
            <w:color w:val="0000FF"/>
            <w:sz w:val="24"/>
            <w:szCs w:val="24"/>
            <w:u w:val="single"/>
          </w:rPr>
          <w:t>https://doi.org/10.1016/j.jfca.2022.104685</w:t>
        </w:r>
      </w:hyperlink>
    </w:p>
    <w:p w14:paraId="19AA3A34"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Kavitha Chandran, C. I., &amp; Indira, G. (2016). Quantitative estimation of total phenolic, flavonoids, tannin and chlorophyll content of leaves of </w:t>
      </w:r>
      <w:proofErr w:type="spellStart"/>
      <w:r w:rsidRPr="00D825A9">
        <w:rPr>
          <w:rFonts w:ascii="Times New Roman" w:hAnsi="Times New Roman"/>
          <w:i/>
          <w:iCs/>
          <w:sz w:val="24"/>
          <w:szCs w:val="24"/>
        </w:rPr>
        <w:t>Strobilanthes</w:t>
      </w:r>
      <w:proofErr w:type="spellEnd"/>
      <w:r w:rsidRPr="00D825A9">
        <w:rPr>
          <w:rFonts w:ascii="Times New Roman" w:hAnsi="Times New Roman"/>
          <w:i/>
          <w:iCs/>
          <w:sz w:val="24"/>
          <w:szCs w:val="24"/>
        </w:rPr>
        <w:t xml:space="preserve"> </w:t>
      </w:r>
      <w:proofErr w:type="spellStart"/>
      <w:r w:rsidRPr="00D825A9">
        <w:rPr>
          <w:rFonts w:ascii="Times New Roman" w:hAnsi="Times New Roman"/>
          <w:i/>
          <w:iCs/>
          <w:sz w:val="24"/>
          <w:szCs w:val="24"/>
        </w:rPr>
        <w:t>kunthiana</w:t>
      </w:r>
      <w:proofErr w:type="spellEnd"/>
      <w:r w:rsidRPr="00D825A9">
        <w:rPr>
          <w:rFonts w:ascii="Times New Roman" w:hAnsi="Times New Roman"/>
          <w:sz w:val="24"/>
          <w:szCs w:val="24"/>
        </w:rPr>
        <w:t xml:space="preserve"> (</w:t>
      </w:r>
      <w:proofErr w:type="spellStart"/>
      <w:r w:rsidRPr="00D825A9">
        <w:rPr>
          <w:rFonts w:ascii="Times New Roman" w:hAnsi="Times New Roman"/>
          <w:sz w:val="24"/>
          <w:szCs w:val="24"/>
        </w:rPr>
        <w:t>Neelakurinji</w:t>
      </w:r>
      <w:proofErr w:type="spellEnd"/>
      <w:r w:rsidRPr="00D825A9">
        <w:rPr>
          <w:rFonts w:ascii="Times New Roman" w:hAnsi="Times New Roman"/>
          <w:sz w:val="24"/>
          <w:szCs w:val="24"/>
        </w:rPr>
        <w:t xml:space="preserve">). </w:t>
      </w:r>
      <w:r w:rsidRPr="00D825A9">
        <w:rPr>
          <w:rFonts w:ascii="Times New Roman" w:hAnsi="Times New Roman"/>
          <w:i/>
          <w:iCs/>
          <w:sz w:val="24"/>
          <w:szCs w:val="24"/>
        </w:rPr>
        <w:t>Journal of Medicinal Plants Studies, 4</w:t>
      </w:r>
      <w:r w:rsidRPr="00D825A9">
        <w:rPr>
          <w:rFonts w:ascii="Times New Roman" w:hAnsi="Times New Roman"/>
          <w:sz w:val="24"/>
          <w:szCs w:val="24"/>
        </w:rPr>
        <w:t xml:space="preserve">(4), 282–286. </w:t>
      </w:r>
      <w:hyperlink r:id="rId32" w:history="1">
        <w:r w:rsidRPr="00D825A9">
          <w:rPr>
            <w:rFonts w:ascii="Times New Roman" w:hAnsi="Times New Roman"/>
            <w:color w:val="0000FF"/>
            <w:sz w:val="24"/>
            <w:szCs w:val="24"/>
            <w:u w:val="single"/>
          </w:rPr>
          <w:t>https://www.plantsjournal.com/archives/2016/vol4issue4/PartD/4-4-4-759.pdf</w:t>
        </w:r>
      </w:hyperlink>
    </w:p>
    <w:p w14:paraId="32879A7C"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Kumar, L., </w:t>
      </w:r>
      <w:proofErr w:type="spellStart"/>
      <w:r w:rsidRPr="00D825A9">
        <w:rPr>
          <w:rFonts w:ascii="Times New Roman" w:hAnsi="Times New Roman"/>
          <w:sz w:val="24"/>
          <w:szCs w:val="24"/>
        </w:rPr>
        <w:t>Zuyie</w:t>
      </w:r>
      <w:proofErr w:type="spellEnd"/>
      <w:r w:rsidRPr="00D825A9">
        <w:rPr>
          <w:rFonts w:ascii="Times New Roman" w:hAnsi="Times New Roman"/>
          <w:sz w:val="24"/>
          <w:szCs w:val="24"/>
        </w:rPr>
        <w:t>, R., Vidyarthi, V. K., Barman, S., Singh, R., Jakhar, R., Mina, S. K., Sanjay, &amp; Choudhary, S. K. (2026). Evaluation of dietary supplementation of water hyacinth (</w:t>
      </w:r>
      <w:r w:rsidRPr="00D825A9">
        <w:rPr>
          <w:rFonts w:ascii="Times New Roman" w:hAnsi="Times New Roman"/>
          <w:i/>
          <w:iCs/>
          <w:sz w:val="24"/>
          <w:szCs w:val="24"/>
        </w:rPr>
        <w:t>Eichhornia crassipes</w:t>
      </w:r>
      <w:r w:rsidRPr="00D825A9">
        <w:rPr>
          <w:rFonts w:ascii="Times New Roman" w:hAnsi="Times New Roman"/>
          <w:sz w:val="24"/>
          <w:szCs w:val="24"/>
        </w:rPr>
        <w:t xml:space="preserve">) meal on cell-mediated immunity and carcass traits in broiler chickens. </w:t>
      </w:r>
      <w:r w:rsidRPr="00D825A9">
        <w:rPr>
          <w:rFonts w:ascii="Times New Roman" w:hAnsi="Times New Roman"/>
          <w:i/>
          <w:iCs/>
          <w:sz w:val="24"/>
          <w:szCs w:val="24"/>
        </w:rPr>
        <w:t>Journal of Advances in Biology &amp; Biotechnology, 29</w:t>
      </w:r>
      <w:r w:rsidRPr="00D825A9">
        <w:rPr>
          <w:rFonts w:ascii="Times New Roman" w:hAnsi="Times New Roman"/>
          <w:sz w:val="24"/>
          <w:szCs w:val="24"/>
        </w:rPr>
        <w:t xml:space="preserve">(5), 1–7. </w:t>
      </w:r>
      <w:hyperlink r:id="rId33" w:history="1">
        <w:r w:rsidRPr="00D825A9">
          <w:rPr>
            <w:rFonts w:ascii="Times New Roman" w:hAnsi="Times New Roman"/>
            <w:color w:val="0000FF"/>
            <w:sz w:val="24"/>
            <w:szCs w:val="24"/>
            <w:u w:val="single"/>
          </w:rPr>
          <w:t>https://doi.org/10.9734/jabb/2026/v29i53884</w:t>
        </w:r>
      </w:hyperlink>
    </w:p>
    <w:p w14:paraId="173E465D"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lastRenderedPageBreak/>
        <w:t xml:space="preserve">Latimer, G. W., Jr. (Ed.). (2019). </w:t>
      </w:r>
      <w:r w:rsidRPr="00D825A9">
        <w:rPr>
          <w:rFonts w:ascii="Times New Roman" w:hAnsi="Times New Roman"/>
          <w:i/>
          <w:iCs/>
          <w:sz w:val="24"/>
          <w:szCs w:val="24"/>
        </w:rPr>
        <w:t>Official methods of analysis of AOAC International</w:t>
      </w:r>
      <w:r w:rsidRPr="00D825A9">
        <w:rPr>
          <w:rFonts w:ascii="Times New Roman" w:hAnsi="Times New Roman"/>
          <w:sz w:val="24"/>
          <w:szCs w:val="24"/>
        </w:rPr>
        <w:t xml:space="preserve"> (21st ed.). AOAC International. </w:t>
      </w:r>
      <w:hyperlink r:id="rId34" w:history="1">
        <w:r w:rsidRPr="00D825A9">
          <w:rPr>
            <w:rFonts w:ascii="Times New Roman" w:hAnsi="Times New Roman"/>
            <w:color w:val="0000FF"/>
            <w:sz w:val="24"/>
            <w:szCs w:val="24"/>
            <w:u w:val="single"/>
          </w:rPr>
          <w:t>https://www.aoac.org/scientific-solutions/standards-and-official-methods/</w:t>
        </w:r>
      </w:hyperlink>
    </w:p>
    <w:p w14:paraId="4B1E23EB"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Lei, X. G., Weaver, J. D., Mullaney, E., Ullah, A. H. J., &amp; </w:t>
      </w:r>
      <w:proofErr w:type="spellStart"/>
      <w:r w:rsidRPr="00D825A9">
        <w:rPr>
          <w:rFonts w:ascii="Times New Roman" w:hAnsi="Times New Roman"/>
          <w:sz w:val="24"/>
          <w:szCs w:val="24"/>
        </w:rPr>
        <w:t>Azain</w:t>
      </w:r>
      <w:proofErr w:type="spellEnd"/>
      <w:r w:rsidRPr="00D825A9">
        <w:rPr>
          <w:rFonts w:ascii="Times New Roman" w:hAnsi="Times New Roman"/>
          <w:sz w:val="24"/>
          <w:szCs w:val="24"/>
        </w:rPr>
        <w:t xml:space="preserve">, M. J. (2013). Phytase, a new life for an “old” enzyme. </w:t>
      </w:r>
      <w:r w:rsidRPr="00D825A9">
        <w:rPr>
          <w:rFonts w:ascii="Times New Roman" w:hAnsi="Times New Roman"/>
          <w:i/>
          <w:iCs/>
          <w:sz w:val="24"/>
          <w:szCs w:val="24"/>
        </w:rPr>
        <w:t>Annual Review of Animal Biosciences, 1</w:t>
      </w:r>
      <w:r w:rsidRPr="00D825A9">
        <w:rPr>
          <w:rFonts w:ascii="Times New Roman" w:hAnsi="Times New Roman"/>
          <w:sz w:val="24"/>
          <w:szCs w:val="24"/>
        </w:rPr>
        <w:t xml:space="preserve">, 283–309. </w:t>
      </w:r>
      <w:hyperlink r:id="rId35" w:history="1">
        <w:r w:rsidRPr="00D825A9">
          <w:rPr>
            <w:rFonts w:ascii="Times New Roman" w:hAnsi="Times New Roman"/>
            <w:color w:val="0000FF"/>
            <w:sz w:val="24"/>
            <w:szCs w:val="24"/>
            <w:u w:val="single"/>
          </w:rPr>
          <w:t>https://doi.org/10.1146/annurev-animal-031412-103717</w:t>
        </w:r>
      </w:hyperlink>
    </w:p>
    <w:p w14:paraId="5E54C8CF"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lang w:val="nl-BE"/>
        </w:rPr>
        <w:t xml:space="preserve">Makinde, F. M., &amp; Akinoso, R. (2013). </w:t>
      </w:r>
      <w:r w:rsidRPr="00D825A9">
        <w:rPr>
          <w:rFonts w:ascii="Times New Roman" w:hAnsi="Times New Roman"/>
          <w:sz w:val="24"/>
          <w:szCs w:val="24"/>
        </w:rPr>
        <w:t>Nutrient composition and effect of processing treatments on anti-nutritional factors of Nigerian sesame (</w:t>
      </w:r>
      <w:r w:rsidRPr="00D825A9">
        <w:rPr>
          <w:rFonts w:ascii="Times New Roman" w:hAnsi="Times New Roman"/>
          <w:i/>
          <w:iCs/>
          <w:sz w:val="24"/>
          <w:szCs w:val="24"/>
        </w:rPr>
        <w:t>Sesamum indicum</w:t>
      </w:r>
      <w:r w:rsidRPr="00D825A9">
        <w:rPr>
          <w:rFonts w:ascii="Times New Roman" w:hAnsi="Times New Roman"/>
          <w:sz w:val="24"/>
          <w:szCs w:val="24"/>
        </w:rPr>
        <w:t xml:space="preserve"> Linn.) cultivars. </w:t>
      </w:r>
      <w:r w:rsidRPr="00D825A9">
        <w:rPr>
          <w:rFonts w:ascii="Times New Roman" w:hAnsi="Times New Roman"/>
          <w:i/>
          <w:iCs/>
          <w:sz w:val="24"/>
          <w:szCs w:val="24"/>
        </w:rPr>
        <w:t>International Food Research Journal, 20</w:t>
      </w:r>
      <w:r w:rsidRPr="00D825A9">
        <w:rPr>
          <w:rFonts w:ascii="Times New Roman" w:hAnsi="Times New Roman"/>
          <w:sz w:val="24"/>
          <w:szCs w:val="24"/>
        </w:rPr>
        <w:t xml:space="preserve">(5), 2293–2300. </w:t>
      </w:r>
      <w:hyperlink r:id="rId36" w:history="1">
        <w:r w:rsidRPr="00D825A9">
          <w:rPr>
            <w:rFonts w:ascii="Times New Roman" w:hAnsi="Times New Roman"/>
            <w:color w:val="0000FF"/>
            <w:sz w:val="24"/>
            <w:szCs w:val="24"/>
            <w:u w:val="single"/>
          </w:rPr>
          <w:t>https://agris.fao.org/search/en/providers/122640/records/64747385425ec3c088f33f7a</w:t>
        </w:r>
      </w:hyperlink>
    </w:p>
    <w:p w14:paraId="75A89040"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Mako, A. A., Akinwande, V. O., Abiola-Olagunju, O. I., Babayemi, O. J., &amp; </w:t>
      </w:r>
      <w:proofErr w:type="spellStart"/>
      <w:r w:rsidRPr="00D825A9">
        <w:rPr>
          <w:rFonts w:ascii="Times New Roman" w:hAnsi="Times New Roman"/>
          <w:sz w:val="24"/>
          <w:szCs w:val="24"/>
        </w:rPr>
        <w:t>Akinsoyinu</w:t>
      </w:r>
      <w:proofErr w:type="spellEnd"/>
      <w:r w:rsidRPr="00D825A9">
        <w:rPr>
          <w:rFonts w:ascii="Times New Roman" w:hAnsi="Times New Roman"/>
          <w:sz w:val="24"/>
          <w:szCs w:val="24"/>
        </w:rPr>
        <w:t>, A. O. (2012). Variations in chemical nutrients and mineral concentrations of water hyacinth (</w:t>
      </w:r>
      <w:r w:rsidRPr="00D825A9">
        <w:rPr>
          <w:rFonts w:ascii="Times New Roman" w:hAnsi="Times New Roman"/>
          <w:i/>
          <w:iCs/>
          <w:sz w:val="24"/>
          <w:szCs w:val="24"/>
        </w:rPr>
        <w:t>Eichhornia crassipes</w:t>
      </w:r>
      <w:r w:rsidRPr="00D825A9">
        <w:rPr>
          <w:rFonts w:ascii="Times New Roman" w:hAnsi="Times New Roman"/>
          <w:sz w:val="24"/>
          <w:szCs w:val="24"/>
        </w:rPr>
        <w:t xml:space="preserve"> Mart. Solms-</w:t>
      </w:r>
      <w:proofErr w:type="spellStart"/>
      <w:r w:rsidRPr="00D825A9">
        <w:rPr>
          <w:rFonts w:ascii="Times New Roman" w:hAnsi="Times New Roman"/>
          <w:sz w:val="24"/>
          <w:szCs w:val="24"/>
        </w:rPr>
        <w:t>Labauch</w:t>
      </w:r>
      <w:proofErr w:type="spellEnd"/>
      <w:r w:rsidRPr="00D825A9">
        <w:rPr>
          <w:rFonts w:ascii="Times New Roman" w:hAnsi="Times New Roman"/>
          <w:sz w:val="24"/>
          <w:szCs w:val="24"/>
        </w:rPr>
        <w:t xml:space="preserve">). </w:t>
      </w:r>
      <w:r w:rsidRPr="00D825A9">
        <w:rPr>
          <w:rFonts w:ascii="Times New Roman" w:hAnsi="Times New Roman"/>
          <w:i/>
          <w:iCs/>
          <w:sz w:val="24"/>
          <w:szCs w:val="24"/>
        </w:rPr>
        <w:t>Nigerian Journal of Animal Production, 39</w:t>
      </w:r>
      <w:r w:rsidRPr="00D825A9">
        <w:rPr>
          <w:rFonts w:ascii="Times New Roman" w:hAnsi="Times New Roman"/>
          <w:sz w:val="24"/>
          <w:szCs w:val="24"/>
        </w:rPr>
        <w:t xml:space="preserve">(1), 199–205. </w:t>
      </w:r>
      <w:hyperlink r:id="rId37" w:history="1">
        <w:r w:rsidRPr="00D825A9">
          <w:rPr>
            <w:rFonts w:ascii="Times New Roman" w:hAnsi="Times New Roman"/>
            <w:color w:val="0000FF"/>
            <w:sz w:val="24"/>
            <w:szCs w:val="24"/>
            <w:u w:val="single"/>
          </w:rPr>
          <w:t>https://doi.org/10.51791/njap.v39i1.2277</w:t>
        </w:r>
      </w:hyperlink>
    </w:p>
    <w:p w14:paraId="5EB2EC65"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Malik, M. A., Sardar, P., Munilkumar, S., Varghese, T., Kumar, S., Gupta, G., Chandan, G. M., &amp; Bhat, N. M. (2024). Comparative evaluation of raw and fermented </w:t>
      </w:r>
      <w:r w:rsidRPr="00D825A9">
        <w:rPr>
          <w:rFonts w:ascii="Times New Roman" w:hAnsi="Times New Roman"/>
          <w:i/>
          <w:iCs/>
          <w:sz w:val="24"/>
          <w:szCs w:val="24"/>
        </w:rPr>
        <w:t>Eichhornia crassipes</w:t>
      </w:r>
      <w:r w:rsidRPr="00D825A9">
        <w:rPr>
          <w:rFonts w:ascii="Times New Roman" w:hAnsi="Times New Roman"/>
          <w:sz w:val="24"/>
          <w:szCs w:val="24"/>
        </w:rPr>
        <w:t xml:space="preserve"> leaf meal in the diet of </w:t>
      </w:r>
      <w:r w:rsidRPr="00D825A9">
        <w:rPr>
          <w:rFonts w:ascii="Times New Roman" w:hAnsi="Times New Roman"/>
          <w:i/>
          <w:iCs/>
          <w:sz w:val="24"/>
          <w:szCs w:val="24"/>
        </w:rPr>
        <w:t>Cyprinus carpio</w:t>
      </w:r>
      <w:r w:rsidRPr="00D825A9">
        <w:rPr>
          <w:rFonts w:ascii="Times New Roman" w:hAnsi="Times New Roman"/>
          <w:sz w:val="24"/>
          <w:szCs w:val="24"/>
        </w:rPr>
        <w:t xml:space="preserve"> fingerlings: Effects on growth performance, body composition and haemato-biochemical responses. </w:t>
      </w:r>
      <w:r w:rsidRPr="00D825A9">
        <w:rPr>
          <w:rFonts w:ascii="Times New Roman" w:hAnsi="Times New Roman"/>
          <w:i/>
          <w:iCs/>
          <w:sz w:val="24"/>
          <w:szCs w:val="24"/>
        </w:rPr>
        <w:t>Animal Feed Science and Technology, 310</w:t>
      </w:r>
      <w:r w:rsidRPr="00D825A9">
        <w:rPr>
          <w:rFonts w:ascii="Times New Roman" w:hAnsi="Times New Roman"/>
          <w:sz w:val="24"/>
          <w:szCs w:val="24"/>
        </w:rPr>
        <w:t xml:space="preserve">, 115947. </w:t>
      </w:r>
      <w:hyperlink r:id="rId38" w:history="1">
        <w:r w:rsidRPr="00D825A9">
          <w:rPr>
            <w:rFonts w:ascii="Times New Roman" w:hAnsi="Times New Roman"/>
            <w:color w:val="0000FF"/>
            <w:sz w:val="24"/>
            <w:szCs w:val="24"/>
            <w:u w:val="single"/>
          </w:rPr>
          <w:t>https://doi.org/10.1016/j.anifeedsci.2024.115947</w:t>
        </w:r>
      </w:hyperlink>
    </w:p>
    <w:p w14:paraId="1123D65B"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Marco, M. L., Heeney, D., Binda, S., Cifelli, C. J., Cotter, P. D., </w:t>
      </w:r>
      <w:proofErr w:type="spellStart"/>
      <w:r w:rsidRPr="00D825A9">
        <w:rPr>
          <w:rFonts w:ascii="Times New Roman" w:hAnsi="Times New Roman"/>
          <w:sz w:val="24"/>
          <w:szCs w:val="24"/>
        </w:rPr>
        <w:t>Foligné</w:t>
      </w:r>
      <w:proofErr w:type="spellEnd"/>
      <w:r w:rsidRPr="00D825A9">
        <w:rPr>
          <w:rFonts w:ascii="Times New Roman" w:hAnsi="Times New Roman"/>
          <w:sz w:val="24"/>
          <w:szCs w:val="24"/>
        </w:rPr>
        <w:t xml:space="preserve">, B., </w:t>
      </w:r>
      <w:proofErr w:type="spellStart"/>
      <w:r w:rsidRPr="00D825A9">
        <w:rPr>
          <w:rFonts w:ascii="Times New Roman" w:hAnsi="Times New Roman"/>
          <w:sz w:val="24"/>
          <w:szCs w:val="24"/>
        </w:rPr>
        <w:t>Gänzle</w:t>
      </w:r>
      <w:proofErr w:type="spellEnd"/>
      <w:r w:rsidRPr="00D825A9">
        <w:rPr>
          <w:rFonts w:ascii="Times New Roman" w:hAnsi="Times New Roman"/>
          <w:sz w:val="24"/>
          <w:szCs w:val="24"/>
        </w:rPr>
        <w:t xml:space="preserve">, M., Kort, R., Pasin, G., </w:t>
      </w:r>
      <w:proofErr w:type="spellStart"/>
      <w:r w:rsidRPr="00D825A9">
        <w:rPr>
          <w:rFonts w:ascii="Times New Roman" w:hAnsi="Times New Roman"/>
          <w:sz w:val="24"/>
          <w:szCs w:val="24"/>
        </w:rPr>
        <w:t>Pihlanto</w:t>
      </w:r>
      <w:proofErr w:type="spellEnd"/>
      <w:r w:rsidRPr="00D825A9">
        <w:rPr>
          <w:rFonts w:ascii="Times New Roman" w:hAnsi="Times New Roman"/>
          <w:sz w:val="24"/>
          <w:szCs w:val="24"/>
        </w:rPr>
        <w:t xml:space="preserve">, A., Smid, E. J., &amp; </w:t>
      </w:r>
      <w:proofErr w:type="spellStart"/>
      <w:r w:rsidRPr="00D825A9">
        <w:rPr>
          <w:rFonts w:ascii="Times New Roman" w:hAnsi="Times New Roman"/>
          <w:sz w:val="24"/>
          <w:szCs w:val="24"/>
        </w:rPr>
        <w:t>Hutkins</w:t>
      </w:r>
      <w:proofErr w:type="spellEnd"/>
      <w:r w:rsidRPr="00D825A9">
        <w:rPr>
          <w:rFonts w:ascii="Times New Roman" w:hAnsi="Times New Roman"/>
          <w:sz w:val="24"/>
          <w:szCs w:val="24"/>
        </w:rPr>
        <w:t xml:space="preserve">, R. (2017). Health benefits of fermented foods: Microbiota and beyond. </w:t>
      </w:r>
      <w:r w:rsidRPr="00D825A9">
        <w:rPr>
          <w:rFonts w:ascii="Times New Roman" w:hAnsi="Times New Roman"/>
          <w:i/>
          <w:iCs/>
          <w:sz w:val="24"/>
          <w:szCs w:val="24"/>
        </w:rPr>
        <w:t>Current Opinion in Biotechnology, 44</w:t>
      </w:r>
      <w:r w:rsidRPr="00D825A9">
        <w:rPr>
          <w:rFonts w:ascii="Times New Roman" w:hAnsi="Times New Roman"/>
          <w:sz w:val="24"/>
          <w:szCs w:val="24"/>
        </w:rPr>
        <w:t xml:space="preserve">, 94–102. </w:t>
      </w:r>
      <w:hyperlink r:id="rId39" w:history="1">
        <w:r w:rsidRPr="00D825A9">
          <w:rPr>
            <w:rFonts w:ascii="Times New Roman" w:hAnsi="Times New Roman"/>
            <w:color w:val="0000FF"/>
            <w:sz w:val="24"/>
            <w:szCs w:val="24"/>
            <w:u w:val="single"/>
          </w:rPr>
          <w:t>https://doi.org/10.1016/j.copbio.2016.11.010</w:t>
        </w:r>
      </w:hyperlink>
    </w:p>
    <w:p w14:paraId="26E3179C"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Matti-Alapafuja, A. O., Ahmed, E., da Costa Goncalves Noronha, A. M., Matti-Sanni, R. O., Hanada, M., </w:t>
      </w:r>
      <w:proofErr w:type="spellStart"/>
      <w:r w:rsidRPr="00D825A9">
        <w:rPr>
          <w:rFonts w:ascii="Times New Roman" w:hAnsi="Times New Roman"/>
          <w:sz w:val="24"/>
          <w:szCs w:val="24"/>
        </w:rPr>
        <w:t>Fukuma</w:t>
      </w:r>
      <w:proofErr w:type="spellEnd"/>
      <w:r w:rsidRPr="00D825A9">
        <w:rPr>
          <w:rFonts w:ascii="Times New Roman" w:hAnsi="Times New Roman"/>
          <w:sz w:val="24"/>
          <w:szCs w:val="24"/>
        </w:rPr>
        <w:t xml:space="preserve">, N., &amp; Nishida, T. (2026). Comparative evaluation of crushed almonds, peanut skins, and water hyacinth as alternative feed resources for ruminants: Fermentation responses and methane mitigation potential. </w:t>
      </w:r>
      <w:r w:rsidRPr="00D825A9">
        <w:rPr>
          <w:rFonts w:ascii="Times New Roman" w:hAnsi="Times New Roman"/>
          <w:i/>
          <w:iCs/>
          <w:sz w:val="24"/>
          <w:szCs w:val="24"/>
        </w:rPr>
        <w:t>Animals, 16</w:t>
      </w:r>
      <w:r w:rsidRPr="00D825A9">
        <w:rPr>
          <w:rFonts w:ascii="Times New Roman" w:hAnsi="Times New Roman"/>
          <w:sz w:val="24"/>
          <w:szCs w:val="24"/>
        </w:rPr>
        <w:t xml:space="preserve">(3), 489. </w:t>
      </w:r>
      <w:hyperlink r:id="rId40" w:history="1">
        <w:r w:rsidRPr="00D825A9">
          <w:rPr>
            <w:rFonts w:ascii="Times New Roman" w:hAnsi="Times New Roman"/>
            <w:color w:val="0000FF"/>
            <w:sz w:val="24"/>
            <w:szCs w:val="24"/>
            <w:u w:val="single"/>
          </w:rPr>
          <w:t>https://doi.org/10.3390/ani16030489</w:t>
        </w:r>
      </w:hyperlink>
    </w:p>
    <w:p w14:paraId="710D7823"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proofErr w:type="spellStart"/>
      <w:r w:rsidRPr="00D825A9">
        <w:rPr>
          <w:rFonts w:ascii="Times New Roman" w:hAnsi="Times New Roman"/>
          <w:sz w:val="24"/>
          <w:szCs w:val="24"/>
        </w:rPr>
        <w:t>Montagnac</w:t>
      </w:r>
      <w:proofErr w:type="spellEnd"/>
      <w:r w:rsidRPr="00D825A9">
        <w:rPr>
          <w:rFonts w:ascii="Times New Roman" w:hAnsi="Times New Roman"/>
          <w:sz w:val="24"/>
          <w:szCs w:val="24"/>
        </w:rPr>
        <w:t xml:space="preserve">, J. A., Davis, C. R., &amp; </w:t>
      </w:r>
      <w:proofErr w:type="spellStart"/>
      <w:r w:rsidRPr="00D825A9">
        <w:rPr>
          <w:rFonts w:ascii="Times New Roman" w:hAnsi="Times New Roman"/>
          <w:sz w:val="24"/>
          <w:szCs w:val="24"/>
        </w:rPr>
        <w:t>Tanumihardjo</w:t>
      </w:r>
      <w:proofErr w:type="spellEnd"/>
      <w:r w:rsidRPr="00D825A9">
        <w:rPr>
          <w:rFonts w:ascii="Times New Roman" w:hAnsi="Times New Roman"/>
          <w:sz w:val="24"/>
          <w:szCs w:val="24"/>
        </w:rPr>
        <w:t xml:space="preserve">, S. A. (2009). Processing techniques to reduce toxicity and antinutrients of cassava for use as a staple food. </w:t>
      </w:r>
      <w:r w:rsidRPr="00D825A9">
        <w:rPr>
          <w:rFonts w:ascii="Times New Roman" w:hAnsi="Times New Roman"/>
          <w:i/>
          <w:iCs/>
          <w:sz w:val="24"/>
          <w:szCs w:val="24"/>
        </w:rPr>
        <w:t>Comprehensive Reviews in Food Science and Food Safety, 8</w:t>
      </w:r>
      <w:r w:rsidRPr="00D825A9">
        <w:rPr>
          <w:rFonts w:ascii="Times New Roman" w:hAnsi="Times New Roman"/>
          <w:sz w:val="24"/>
          <w:szCs w:val="24"/>
        </w:rPr>
        <w:t xml:space="preserve">(1), 17–27. </w:t>
      </w:r>
      <w:hyperlink r:id="rId41" w:history="1">
        <w:r w:rsidRPr="00D825A9">
          <w:rPr>
            <w:rFonts w:ascii="Times New Roman" w:hAnsi="Times New Roman"/>
            <w:color w:val="0000FF"/>
            <w:sz w:val="24"/>
            <w:szCs w:val="24"/>
            <w:u w:val="single"/>
          </w:rPr>
          <w:t>https://doi.org/10.1111/j.1541-4337.2008.00064.x</w:t>
        </w:r>
      </w:hyperlink>
    </w:p>
    <w:p w14:paraId="2CC6C6F5"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Moyo, S. M., </w:t>
      </w:r>
      <w:proofErr w:type="spellStart"/>
      <w:r w:rsidRPr="00D825A9">
        <w:rPr>
          <w:rFonts w:ascii="Times New Roman" w:hAnsi="Times New Roman"/>
          <w:sz w:val="24"/>
          <w:szCs w:val="24"/>
        </w:rPr>
        <w:t>Mavumengwana</w:t>
      </w:r>
      <w:proofErr w:type="spellEnd"/>
      <w:r w:rsidRPr="00D825A9">
        <w:rPr>
          <w:rFonts w:ascii="Times New Roman" w:hAnsi="Times New Roman"/>
          <w:sz w:val="24"/>
          <w:szCs w:val="24"/>
        </w:rPr>
        <w:t xml:space="preserve">, V., &amp; </w:t>
      </w:r>
      <w:proofErr w:type="spellStart"/>
      <w:r w:rsidRPr="00D825A9">
        <w:rPr>
          <w:rFonts w:ascii="Times New Roman" w:hAnsi="Times New Roman"/>
          <w:sz w:val="24"/>
          <w:szCs w:val="24"/>
        </w:rPr>
        <w:t>Kayitesi</w:t>
      </w:r>
      <w:proofErr w:type="spellEnd"/>
      <w:r w:rsidRPr="00D825A9">
        <w:rPr>
          <w:rFonts w:ascii="Times New Roman" w:hAnsi="Times New Roman"/>
          <w:sz w:val="24"/>
          <w:szCs w:val="24"/>
        </w:rPr>
        <w:t xml:space="preserve">, E. (2018). Effects of cooking and drying on phenolic compounds and antioxidant activity of African green leafy vegetables. </w:t>
      </w:r>
      <w:r w:rsidRPr="00D825A9">
        <w:rPr>
          <w:rFonts w:ascii="Times New Roman" w:hAnsi="Times New Roman"/>
          <w:i/>
          <w:iCs/>
          <w:sz w:val="24"/>
          <w:szCs w:val="24"/>
        </w:rPr>
        <w:t>Food Reviews International, 34</w:t>
      </w:r>
      <w:r w:rsidRPr="00D825A9">
        <w:rPr>
          <w:rFonts w:ascii="Times New Roman" w:hAnsi="Times New Roman"/>
          <w:sz w:val="24"/>
          <w:szCs w:val="24"/>
        </w:rPr>
        <w:t xml:space="preserve">(3), 248–264. </w:t>
      </w:r>
      <w:hyperlink r:id="rId42" w:history="1">
        <w:r w:rsidRPr="00D825A9">
          <w:rPr>
            <w:rFonts w:ascii="Times New Roman" w:hAnsi="Times New Roman"/>
            <w:color w:val="0000FF"/>
            <w:sz w:val="24"/>
            <w:szCs w:val="24"/>
            <w:u w:val="single"/>
          </w:rPr>
          <w:t>https://doi.org/10.1080/87559129.2017.1289384</w:t>
        </w:r>
      </w:hyperlink>
    </w:p>
    <w:p w14:paraId="60CB82BD" w14:textId="77777777" w:rsidR="007D3874" w:rsidRDefault="001114AC">
      <w:pPr>
        <w:spacing w:before="100" w:beforeAutospacing="1" w:after="100" w:afterAutospacing="1"/>
        <w:ind w:left="540" w:hanging="540"/>
        <w:jc w:val="both"/>
        <w:rPr>
          <w:rFonts w:ascii="Times New Roman" w:hAnsi="Times New Roman"/>
          <w:sz w:val="24"/>
          <w:szCs w:val="24"/>
        </w:rPr>
      </w:pPr>
      <w:r>
        <w:rPr>
          <w:rFonts w:ascii="Times New Roman" w:hAnsi="Times New Roman"/>
          <w:b/>
          <w:highlight w:val="yellow"/>
        </w:rPr>
        <w:t xml:space="preserve">Mustari, A., Haque, M. I., Rashid, S., Khan, M. S., Alam, M., Miah, M. A., Azad, M. A. K., &amp; Chowdhury, E. H. (2025). Comparative assessment of growth performance and meat quality in water hyacinth and antibiotic (growth promoter) supplemented broilers. </w:t>
      </w:r>
      <w:r>
        <w:rPr>
          <w:rFonts w:ascii="Times New Roman" w:hAnsi="Times New Roman"/>
          <w:b/>
          <w:i/>
          <w:highlight w:val="yellow"/>
        </w:rPr>
        <w:t>Poultry Science, 104</w:t>
      </w:r>
      <w:r>
        <w:rPr>
          <w:rFonts w:ascii="Times New Roman" w:hAnsi="Times New Roman"/>
          <w:b/>
          <w:highlight w:val="yellow"/>
        </w:rPr>
        <w:t xml:space="preserve">(6), 105105. </w:t>
      </w:r>
      <w:hyperlink r:id="rId43" w:history="1">
        <w:r>
          <w:rPr>
            <w:rFonts w:ascii="Times New Roman" w:hAnsi="Times New Roman"/>
            <w:b/>
            <w:bCs/>
            <w:color w:val="0000FF"/>
            <w:sz w:val="24"/>
            <w:szCs w:val="24"/>
            <w:highlight w:val="yellow"/>
            <w:u w:val="single"/>
          </w:rPr>
          <w:t>https://doi.org/10.1016/j.psj.2025.105105</w:t>
        </w:r>
      </w:hyperlink>
    </w:p>
    <w:p w14:paraId="7A636F6A"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Nambisan, B. (2011). Strategies for elimination of </w:t>
      </w:r>
      <w:proofErr w:type="spellStart"/>
      <w:r w:rsidRPr="00D825A9">
        <w:rPr>
          <w:rFonts w:ascii="Times New Roman" w:hAnsi="Times New Roman"/>
          <w:sz w:val="24"/>
          <w:szCs w:val="24"/>
        </w:rPr>
        <w:t>cyanogens</w:t>
      </w:r>
      <w:proofErr w:type="spellEnd"/>
      <w:r w:rsidRPr="00D825A9">
        <w:rPr>
          <w:rFonts w:ascii="Times New Roman" w:hAnsi="Times New Roman"/>
          <w:sz w:val="24"/>
          <w:szCs w:val="24"/>
        </w:rPr>
        <w:t xml:space="preserve"> from cassava for reducing toxicity and improving food safety. </w:t>
      </w:r>
      <w:r w:rsidRPr="00D825A9">
        <w:rPr>
          <w:rFonts w:ascii="Times New Roman" w:hAnsi="Times New Roman"/>
          <w:i/>
          <w:iCs/>
          <w:sz w:val="24"/>
          <w:szCs w:val="24"/>
        </w:rPr>
        <w:t>Food and Chemical Toxicology, 49</w:t>
      </w:r>
      <w:r w:rsidRPr="00D825A9">
        <w:rPr>
          <w:rFonts w:ascii="Times New Roman" w:hAnsi="Times New Roman"/>
          <w:sz w:val="24"/>
          <w:szCs w:val="24"/>
        </w:rPr>
        <w:t xml:space="preserve">(3), 690–693. </w:t>
      </w:r>
      <w:hyperlink r:id="rId44" w:history="1">
        <w:r w:rsidRPr="00D825A9">
          <w:rPr>
            <w:rFonts w:ascii="Times New Roman" w:hAnsi="Times New Roman"/>
            <w:color w:val="0000FF"/>
            <w:sz w:val="24"/>
            <w:szCs w:val="24"/>
            <w:u w:val="single"/>
          </w:rPr>
          <w:t>https://doi.org/10.1016/j.fct.2010.10.035</w:t>
        </w:r>
      </w:hyperlink>
    </w:p>
    <w:p w14:paraId="53B61EC8"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proofErr w:type="spellStart"/>
      <w:r w:rsidRPr="00D825A9">
        <w:rPr>
          <w:rFonts w:ascii="Times New Roman" w:hAnsi="Times New Roman"/>
          <w:sz w:val="24"/>
          <w:szCs w:val="24"/>
        </w:rPr>
        <w:t>Nandiyanto</w:t>
      </w:r>
      <w:proofErr w:type="spellEnd"/>
      <w:r w:rsidRPr="00D825A9">
        <w:rPr>
          <w:rFonts w:ascii="Times New Roman" w:hAnsi="Times New Roman"/>
          <w:sz w:val="24"/>
          <w:szCs w:val="24"/>
        </w:rPr>
        <w:t xml:space="preserve">, A. B. D., </w:t>
      </w:r>
      <w:proofErr w:type="spellStart"/>
      <w:r w:rsidRPr="00D825A9">
        <w:rPr>
          <w:rFonts w:ascii="Times New Roman" w:hAnsi="Times New Roman"/>
          <w:sz w:val="24"/>
          <w:szCs w:val="24"/>
        </w:rPr>
        <w:t>Ragadhita</w:t>
      </w:r>
      <w:proofErr w:type="spellEnd"/>
      <w:r w:rsidRPr="00D825A9">
        <w:rPr>
          <w:rFonts w:ascii="Times New Roman" w:hAnsi="Times New Roman"/>
          <w:sz w:val="24"/>
          <w:szCs w:val="24"/>
        </w:rPr>
        <w:t xml:space="preserve">, R., Hofifah, S. N., Al Husaeni, D. F., Al Husaeni, D. N., </w:t>
      </w:r>
      <w:proofErr w:type="spellStart"/>
      <w:r w:rsidRPr="00D825A9">
        <w:rPr>
          <w:rFonts w:ascii="Times New Roman" w:hAnsi="Times New Roman"/>
          <w:sz w:val="24"/>
          <w:szCs w:val="24"/>
        </w:rPr>
        <w:t>Fiandini</w:t>
      </w:r>
      <w:proofErr w:type="spellEnd"/>
      <w:r w:rsidRPr="00D825A9">
        <w:rPr>
          <w:rFonts w:ascii="Times New Roman" w:hAnsi="Times New Roman"/>
          <w:sz w:val="24"/>
          <w:szCs w:val="24"/>
        </w:rPr>
        <w:t xml:space="preserve">, M., Luckiardi, S., Soegoto, E. S., Darmawan, A., &amp; Aziz, M. (2024). Progress in the utilization of water hyacinth as effective biomass material. </w:t>
      </w:r>
      <w:r w:rsidRPr="00D825A9">
        <w:rPr>
          <w:rFonts w:ascii="Times New Roman" w:hAnsi="Times New Roman"/>
          <w:i/>
          <w:iCs/>
          <w:sz w:val="24"/>
          <w:szCs w:val="24"/>
        </w:rPr>
        <w:t>Environment, Development and Sustainability, 26</w:t>
      </w:r>
      <w:r w:rsidRPr="00D825A9">
        <w:rPr>
          <w:rFonts w:ascii="Times New Roman" w:hAnsi="Times New Roman"/>
          <w:sz w:val="24"/>
          <w:szCs w:val="24"/>
        </w:rPr>
        <w:t xml:space="preserve">, 24521–24568. </w:t>
      </w:r>
      <w:hyperlink r:id="rId45" w:history="1">
        <w:r w:rsidRPr="00D825A9">
          <w:rPr>
            <w:rFonts w:ascii="Times New Roman" w:hAnsi="Times New Roman"/>
            <w:color w:val="0000FF"/>
            <w:sz w:val="24"/>
            <w:szCs w:val="24"/>
            <w:u w:val="single"/>
          </w:rPr>
          <w:t>https://doi.org/10.1007/s10668-023-03655-6</w:t>
        </w:r>
      </w:hyperlink>
    </w:p>
    <w:p w14:paraId="0CC7C071"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lastRenderedPageBreak/>
        <w:t xml:space="preserve">Nkhata, S. G., </w:t>
      </w:r>
      <w:proofErr w:type="spellStart"/>
      <w:r w:rsidRPr="00D825A9">
        <w:rPr>
          <w:rFonts w:ascii="Times New Roman" w:hAnsi="Times New Roman"/>
          <w:sz w:val="24"/>
          <w:szCs w:val="24"/>
        </w:rPr>
        <w:t>Ayua</w:t>
      </w:r>
      <w:proofErr w:type="spellEnd"/>
      <w:r w:rsidRPr="00D825A9">
        <w:rPr>
          <w:rFonts w:ascii="Times New Roman" w:hAnsi="Times New Roman"/>
          <w:sz w:val="24"/>
          <w:szCs w:val="24"/>
        </w:rPr>
        <w:t xml:space="preserve">, E., Kamau, E. H., &amp; </w:t>
      </w:r>
      <w:proofErr w:type="spellStart"/>
      <w:r w:rsidRPr="00D825A9">
        <w:rPr>
          <w:rFonts w:ascii="Times New Roman" w:hAnsi="Times New Roman"/>
          <w:sz w:val="24"/>
          <w:szCs w:val="24"/>
        </w:rPr>
        <w:t>Shingiro</w:t>
      </w:r>
      <w:proofErr w:type="spellEnd"/>
      <w:r w:rsidRPr="00D825A9">
        <w:rPr>
          <w:rFonts w:ascii="Times New Roman" w:hAnsi="Times New Roman"/>
          <w:sz w:val="24"/>
          <w:szCs w:val="24"/>
        </w:rPr>
        <w:t xml:space="preserve">, J. B. (2018). Fermentation and germination improve nutritional value of cereals and legumes through activation of endogenous enzymes. </w:t>
      </w:r>
      <w:r w:rsidRPr="00D825A9">
        <w:rPr>
          <w:rFonts w:ascii="Times New Roman" w:hAnsi="Times New Roman"/>
          <w:i/>
          <w:iCs/>
          <w:sz w:val="24"/>
          <w:szCs w:val="24"/>
        </w:rPr>
        <w:t>Food Science &amp; Nutrition, 6</w:t>
      </w:r>
      <w:r w:rsidRPr="00D825A9">
        <w:rPr>
          <w:rFonts w:ascii="Times New Roman" w:hAnsi="Times New Roman"/>
          <w:sz w:val="24"/>
          <w:szCs w:val="24"/>
        </w:rPr>
        <w:t xml:space="preserve">(8), 2446–2458. </w:t>
      </w:r>
      <w:hyperlink r:id="rId46" w:history="1">
        <w:r w:rsidRPr="00D825A9">
          <w:rPr>
            <w:rFonts w:ascii="Times New Roman" w:hAnsi="Times New Roman"/>
            <w:color w:val="0000FF"/>
            <w:sz w:val="24"/>
            <w:szCs w:val="24"/>
            <w:u w:val="single"/>
          </w:rPr>
          <w:t>https://doi.org/10.1002/fsn3.846</w:t>
        </w:r>
      </w:hyperlink>
    </w:p>
    <w:p w14:paraId="662E6419"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proofErr w:type="spellStart"/>
      <w:r w:rsidRPr="00D825A9">
        <w:rPr>
          <w:rFonts w:ascii="Times New Roman" w:hAnsi="Times New Roman"/>
          <w:sz w:val="24"/>
          <w:szCs w:val="24"/>
        </w:rPr>
        <w:t>Opazo</w:t>
      </w:r>
      <w:proofErr w:type="spellEnd"/>
      <w:r w:rsidRPr="00D825A9">
        <w:rPr>
          <w:rFonts w:ascii="Times New Roman" w:hAnsi="Times New Roman"/>
          <w:sz w:val="24"/>
          <w:szCs w:val="24"/>
        </w:rPr>
        <w:t xml:space="preserve">-Navarrete, M., Burgos-Díaz, C., Bravo-Reyes, C., Gajardo-Poblete, I., Chacón-Fuentes, M., Reyes, J. E., &amp; Mojica, L. (2025). Comprehensive review of plant protein digestibility: Challenges, assessment methods, and improvement strategies. </w:t>
      </w:r>
      <w:r w:rsidRPr="00D825A9">
        <w:rPr>
          <w:rFonts w:ascii="Times New Roman" w:hAnsi="Times New Roman"/>
          <w:i/>
          <w:iCs/>
          <w:sz w:val="24"/>
          <w:szCs w:val="24"/>
        </w:rPr>
        <w:t>Applied Sciences, 15</w:t>
      </w:r>
      <w:r w:rsidRPr="00D825A9">
        <w:rPr>
          <w:rFonts w:ascii="Times New Roman" w:hAnsi="Times New Roman"/>
          <w:sz w:val="24"/>
          <w:szCs w:val="24"/>
        </w:rPr>
        <w:t xml:space="preserve">(7), 3538. </w:t>
      </w:r>
      <w:hyperlink r:id="rId47" w:history="1">
        <w:r w:rsidRPr="00D825A9">
          <w:rPr>
            <w:rFonts w:ascii="Times New Roman" w:hAnsi="Times New Roman"/>
            <w:color w:val="0000FF"/>
            <w:sz w:val="24"/>
            <w:szCs w:val="24"/>
            <w:u w:val="single"/>
          </w:rPr>
          <w:t>https://doi.org/10.3390/app15073538</w:t>
        </w:r>
      </w:hyperlink>
    </w:p>
    <w:p w14:paraId="1CC30400"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Patel, S. (2012). Threats, management and envisaged utilizations of aquatic weed </w:t>
      </w:r>
      <w:r w:rsidRPr="00D825A9">
        <w:rPr>
          <w:rFonts w:ascii="Times New Roman" w:hAnsi="Times New Roman"/>
          <w:i/>
          <w:iCs/>
          <w:sz w:val="24"/>
          <w:szCs w:val="24"/>
        </w:rPr>
        <w:t>Eichhornia crassipes</w:t>
      </w:r>
      <w:r w:rsidRPr="00D825A9">
        <w:rPr>
          <w:rFonts w:ascii="Times New Roman" w:hAnsi="Times New Roman"/>
          <w:sz w:val="24"/>
          <w:szCs w:val="24"/>
        </w:rPr>
        <w:t xml:space="preserve">: An overview. </w:t>
      </w:r>
      <w:r w:rsidRPr="00D825A9">
        <w:rPr>
          <w:rFonts w:ascii="Times New Roman" w:hAnsi="Times New Roman"/>
          <w:i/>
          <w:iCs/>
          <w:sz w:val="24"/>
          <w:szCs w:val="24"/>
        </w:rPr>
        <w:t>Reviews in Environmental Science and Bio/Technology, 11</w:t>
      </w:r>
      <w:r w:rsidRPr="00D825A9">
        <w:rPr>
          <w:rFonts w:ascii="Times New Roman" w:hAnsi="Times New Roman"/>
          <w:sz w:val="24"/>
          <w:szCs w:val="24"/>
        </w:rPr>
        <w:t xml:space="preserve">(3), 249–259. </w:t>
      </w:r>
      <w:hyperlink r:id="rId48" w:history="1">
        <w:r w:rsidRPr="00D825A9">
          <w:rPr>
            <w:rFonts w:ascii="Times New Roman" w:hAnsi="Times New Roman"/>
            <w:color w:val="0000FF"/>
            <w:sz w:val="24"/>
            <w:szCs w:val="24"/>
            <w:u w:val="single"/>
          </w:rPr>
          <w:t>https://doi.org/10.1007/s11157-012-9289-4</w:t>
        </w:r>
      </w:hyperlink>
    </w:p>
    <w:p w14:paraId="007D4394"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Popova, A., &amp; </w:t>
      </w:r>
      <w:proofErr w:type="spellStart"/>
      <w:r w:rsidRPr="00D825A9">
        <w:rPr>
          <w:rFonts w:ascii="Times New Roman" w:hAnsi="Times New Roman"/>
          <w:sz w:val="24"/>
          <w:szCs w:val="24"/>
        </w:rPr>
        <w:t>Mihaylova</w:t>
      </w:r>
      <w:proofErr w:type="spellEnd"/>
      <w:r w:rsidRPr="00D825A9">
        <w:rPr>
          <w:rFonts w:ascii="Times New Roman" w:hAnsi="Times New Roman"/>
          <w:sz w:val="24"/>
          <w:szCs w:val="24"/>
        </w:rPr>
        <w:t xml:space="preserve">, D. (2019). Antinutrients in plant-based foods: A review. </w:t>
      </w:r>
      <w:r w:rsidRPr="00D825A9">
        <w:rPr>
          <w:rFonts w:ascii="Times New Roman" w:hAnsi="Times New Roman"/>
          <w:i/>
          <w:iCs/>
          <w:sz w:val="24"/>
          <w:szCs w:val="24"/>
        </w:rPr>
        <w:t>The Open Biotechnology Journal, 13</w:t>
      </w:r>
      <w:r w:rsidRPr="00D825A9">
        <w:rPr>
          <w:rFonts w:ascii="Times New Roman" w:hAnsi="Times New Roman"/>
          <w:sz w:val="24"/>
          <w:szCs w:val="24"/>
        </w:rPr>
        <w:t xml:space="preserve">, 68–76. </w:t>
      </w:r>
      <w:hyperlink r:id="rId49" w:history="1">
        <w:r w:rsidRPr="00D825A9">
          <w:rPr>
            <w:rFonts w:ascii="Times New Roman" w:hAnsi="Times New Roman"/>
            <w:color w:val="0000FF"/>
            <w:sz w:val="24"/>
            <w:szCs w:val="24"/>
            <w:u w:val="single"/>
          </w:rPr>
          <w:t>https://doi.org/10.2174/1874070701913010068</w:t>
        </w:r>
      </w:hyperlink>
    </w:p>
    <w:p w14:paraId="6096347E"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Rajan, R. G. P., Jona, S. E., Dhinakaran, S., Dinesh, J., Deepika, R., Aruna, S., &amp; </w:t>
      </w:r>
      <w:proofErr w:type="spellStart"/>
      <w:r w:rsidRPr="00D825A9">
        <w:rPr>
          <w:rFonts w:ascii="Times New Roman" w:hAnsi="Times New Roman"/>
          <w:sz w:val="24"/>
          <w:szCs w:val="24"/>
        </w:rPr>
        <w:t>Manikandavelu</w:t>
      </w:r>
      <w:proofErr w:type="spellEnd"/>
      <w:r w:rsidRPr="00D825A9">
        <w:rPr>
          <w:rFonts w:ascii="Times New Roman" w:hAnsi="Times New Roman"/>
          <w:sz w:val="24"/>
          <w:szCs w:val="24"/>
        </w:rPr>
        <w:t xml:space="preserve">, D. (2023). Water hyacinth a sustainable source of feed, manure and industrial products: A review. </w:t>
      </w:r>
      <w:r w:rsidRPr="00D825A9">
        <w:rPr>
          <w:rFonts w:ascii="Times New Roman" w:hAnsi="Times New Roman"/>
          <w:i/>
          <w:iCs/>
          <w:sz w:val="24"/>
          <w:szCs w:val="24"/>
        </w:rPr>
        <w:t>Agricultural Reviews, 44</w:t>
      </w:r>
      <w:r w:rsidRPr="00D825A9">
        <w:rPr>
          <w:rFonts w:ascii="Times New Roman" w:hAnsi="Times New Roman"/>
          <w:sz w:val="24"/>
          <w:szCs w:val="24"/>
        </w:rPr>
        <w:t xml:space="preserve">(3), 389–392. </w:t>
      </w:r>
      <w:hyperlink r:id="rId50" w:history="1">
        <w:r w:rsidRPr="00D825A9">
          <w:rPr>
            <w:rFonts w:ascii="Times New Roman" w:hAnsi="Times New Roman"/>
            <w:color w:val="0000FF"/>
            <w:sz w:val="24"/>
            <w:szCs w:val="24"/>
            <w:u w:val="single"/>
          </w:rPr>
          <w:t>https://doi.org/10.18805/ag.R-2181</w:t>
        </w:r>
      </w:hyperlink>
    </w:p>
    <w:p w14:paraId="7D68BAA9"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proofErr w:type="spellStart"/>
      <w:r w:rsidRPr="00D825A9">
        <w:rPr>
          <w:rFonts w:ascii="Times New Roman" w:hAnsi="Times New Roman"/>
          <w:sz w:val="24"/>
          <w:szCs w:val="24"/>
        </w:rPr>
        <w:t>Ralinala</w:t>
      </w:r>
      <w:proofErr w:type="spellEnd"/>
      <w:r w:rsidRPr="00D825A9">
        <w:rPr>
          <w:rFonts w:ascii="Times New Roman" w:hAnsi="Times New Roman"/>
          <w:sz w:val="24"/>
          <w:szCs w:val="24"/>
        </w:rPr>
        <w:t xml:space="preserve">, K. M., </w:t>
      </w:r>
      <w:proofErr w:type="spellStart"/>
      <w:r w:rsidRPr="00D825A9">
        <w:rPr>
          <w:rFonts w:ascii="Times New Roman" w:hAnsi="Times New Roman"/>
          <w:sz w:val="24"/>
          <w:szCs w:val="24"/>
        </w:rPr>
        <w:t>Netshirovha</w:t>
      </w:r>
      <w:proofErr w:type="spellEnd"/>
      <w:r w:rsidRPr="00D825A9">
        <w:rPr>
          <w:rFonts w:ascii="Times New Roman" w:hAnsi="Times New Roman"/>
          <w:sz w:val="24"/>
          <w:szCs w:val="24"/>
        </w:rPr>
        <w:t xml:space="preserve">, T. R., </w:t>
      </w:r>
      <w:proofErr w:type="spellStart"/>
      <w:r w:rsidRPr="00D825A9">
        <w:rPr>
          <w:rFonts w:ascii="Times New Roman" w:hAnsi="Times New Roman"/>
          <w:sz w:val="24"/>
          <w:szCs w:val="24"/>
        </w:rPr>
        <w:t>Nesengani</w:t>
      </w:r>
      <w:proofErr w:type="spellEnd"/>
      <w:r w:rsidRPr="00D825A9">
        <w:rPr>
          <w:rFonts w:ascii="Times New Roman" w:hAnsi="Times New Roman"/>
          <w:sz w:val="24"/>
          <w:szCs w:val="24"/>
        </w:rPr>
        <w:t xml:space="preserve">, T. L., </w:t>
      </w:r>
      <w:proofErr w:type="spellStart"/>
      <w:r w:rsidRPr="00D825A9">
        <w:rPr>
          <w:rFonts w:ascii="Times New Roman" w:hAnsi="Times New Roman"/>
          <w:sz w:val="24"/>
          <w:szCs w:val="24"/>
        </w:rPr>
        <w:t>Mapholi</w:t>
      </w:r>
      <w:proofErr w:type="spellEnd"/>
      <w:r w:rsidRPr="00D825A9">
        <w:rPr>
          <w:rFonts w:ascii="Times New Roman" w:hAnsi="Times New Roman"/>
          <w:sz w:val="24"/>
          <w:szCs w:val="24"/>
        </w:rPr>
        <w:t xml:space="preserve">, N. O., &amp; </w:t>
      </w:r>
      <w:proofErr w:type="spellStart"/>
      <w:r w:rsidRPr="00D825A9">
        <w:rPr>
          <w:rFonts w:ascii="Times New Roman" w:hAnsi="Times New Roman"/>
          <w:sz w:val="24"/>
          <w:szCs w:val="24"/>
        </w:rPr>
        <w:t>Chimonyo</w:t>
      </w:r>
      <w:proofErr w:type="spellEnd"/>
      <w:r w:rsidRPr="00D825A9">
        <w:rPr>
          <w:rFonts w:ascii="Times New Roman" w:hAnsi="Times New Roman"/>
          <w:sz w:val="24"/>
          <w:szCs w:val="24"/>
        </w:rPr>
        <w:t xml:space="preserve">, M. (2026). A review on the potential of water hyacinth to enhance ruminant performance. </w:t>
      </w:r>
      <w:r w:rsidRPr="00D825A9">
        <w:rPr>
          <w:rFonts w:ascii="Times New Roman" w:hAnsi="Times New Roman"/>
          <w:i/>
          <w:iCs/>
          <w:sz w:val="24"/>
          <w:szCs w:val="24"/>
        </w:rPr>
        <w:t>Animals, 16</w:t>
      </w:r>
      <w:r w:rsidRPr="00D825A9">
        <w:rPr>
          <w:rFonts w:ascii="Times New Roman" w:hAnsi="Times New Roman"/>
          <w:sz w:val="24"/>
          <w:szCs w:val="24"/>
        </w:rPr>
        <w:t xml:space="preserve">(11), 1590. </w:t>
      </w:r>
      <w:hyperlink r:id="rId51" w:history="1">
        <w:r w:rsidRPr="00D825A9">
          <w:rPr>
            <w:rFonts w:ascii="Times New Roman" w:hAnsi="Times New Roman"/>
            <w:color w:val="0000FF"/>
            <w:sz w:val="24"/>
            <w:szCs w:val="24"/>
            <w:u w:val="single"/>
          </w:rPr>
          <w:t>https://doi.org/10.3390/ani16111590</w:t>
        </w:r>
      </w:hyperlink>
    </w:p>
    <w:p w14:paraId="35CDD87C"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Rousta, N., &amp; </w:t>
      </w:r>
      <w:proofErr w:type="spellStart"/>
      <w:r w:rsidRPr="00D825A9">
        <w:rPr>
          <w:rFonts w:ascii="Times New Roman" w:hAnsi="Times New Roman"/>
          <w:sz w:val="24"/>
          <w:szCs w:val="24"/>
        </w:rPr>
        <w:t>Taherzadeh</w:t>
      </w:r>
      <w:proofErr w:type="spellEnd"/>
      <w:r w:rsidRPr="00D825A9">
        <w:rPr>
          <w:rFonts w:ascii="Times New Roman" w:hAnsi="Times New Roman"/>
          <w:sz w:val="24"/>
          <w:szCs w:val="24"/>
        </w:rPr>
        <w:t xml:space="preserve">, M. J. (2026). Measuring phytic acid in complex and fermented food matrices: Modified protocol using enzymatic analysis. </w:t>
      </w:r>
      <w:r w:rsidRPr="00D825A9">
        <w:rPr>
          <w:rFonts w:ascii="Times New Roman" w:hAnsi="Times New Roman"/>
          <w:i/>
          <w:iCs/>
          <w:sz w:val="24"/>
          <w:szCs w:val="24"/>
        </w:rPr>
        <w:t>JSFA Reports, 6</w:t>
      </w:r>
      <w:r w:rsidRPr="00D825A9">
        <w:rPr>
          <w:rFonts w:ascii="Times New Roman" w:hAnsi="Times New Roman"/>
          <w:sz w:val="24"/>
          <w:szCs w:val="24"/>
        </w:rPr>
        <w:t xml:space="preserve">(1), 4–13. </w:t>
      </w:r>
      <w:hyperlink r:id="rId52" w:history="1">
        <w:r w:rsidRPr="00D825A9">
          <w:rPr>
            <w:rFonts w:ascii="Times New Roman" w:hAnsi="Times New Roman"/>
            <w:color w:val="0000FF"/>
            <w:sz w:val="24"/>
            <w:szCs w:val="24"/>
            <w:u w:val="single"/>
          </w:rPr>
          <w:t>https://doi.org/10.1002/jsf2.70020</w:t>
        </w:r>
      </w:hyperlink>
    </w:p>
    <w:p w14:paraId="34F6E6E3"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proofErr w:type="spellStart"/>
      <w:r w:rsidRPr="00D825A9">
        <w:rPr>
          <w:rFonts w:ascii="Times New Roman" w:hAnsi="Times New Roman"/>
          <w:sz w:val="24"/>
          <w:szCs w:val="24"/>
        </w:rPr>
        <w:t>Samtiya</w:t>
      </w:r>
      <w:proofErr w:type="spellEnd"/>
      <w:r w:rsidRPr="00D825A9">
        <w:rPr>
          <w:rFonts w:ascii="Times New Roman" w:hAnsi="Times New Roman"/>
          <w:sz w:val="24"/>
          <w:szCs w:val="24"/>
        </w:rPr>
        <w:t xml:space="preserve">, M., Aluko, R. E., &amp; Dhewa, T. (2020). Plant food anti-nutritional factors and their reduction strategies: An overview. </w:t>
      </w:r>
      <w:r w:rsidRPr="00D825A9">
        <w:rPr>
          <w:rFonts w:ascii="Times New Roman" w:hAnsi="Times New Roman"/>
          <w:i/>
          <w:iCs/>
          <w:sz w:val="24"/>
          <w:szCs w:val="24"/>
        </w:rPr>
        <w:t>Food Production, Processing and Nutrition, 2</w:t>
      </w:r>
      <w:r w:rsidRPr="00D825A9">
        <w:rPr>
          <w:rFonts w:ascii="Times New Roman" w:hAnsi="Times New Roman"/>
          <w:sz w:val="24"/>
          <w:szCs w:val="24"/>
        </w:rPr>
        <w:t xml:space="preserve">, 6. </w:t>
      </w:r>
      <w:hyperlink r:id="rId53" w:history="1">
        <w:r w:rsidRPr="00D825A9">
          <w:rPr>
            <w:rFonts w:ascii="Times New Roman" w:hAnsi="Times New Roman"/>
            <w:color w:val="0000FF"/>
            <w:sz w:val="24"/>
            <w:szCs w:val="24"/>
            <w:u w:val="single"/>
          </w:rPr>
          <w:t>https://doi.org/10.1186/s43014-020-0020-5</w:t>
        </w:r>
      </w:hyperlink>
    </w:p>
    <w:p w14:paraId="7F046422"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lang w:val="nl-BE"/>
        </w:rPr>
      </w:pPr>
      <w:r w:rsidRPr="00D825A9">
        <w:rPr>
          <w:rFonts w:ascii="Times New Roman" w:hAnsi="Times New Roman"/>
          <w:sz w:val="24"/>
          <w:szCs w:val="24"/>
        </w:rPr>
        <w:t xml:space="preserve">Selim, A. S. M., Hasan, M. N., Rahman, M. A., Rahman, M. M., Islam, M. R., </w:t>
      </w:r>
      <w:proofErr w:type="spellStart"/>
      <w:r w:rsidRPr="00D825A9">
        <w:rPr>
          <w:rFonts w:ascii="Times New Roman" w:hAnsi="Times New Roman"/>
          <w:sz w:val="24"/>
          <w:szCs w:val="24"/>
        </w:rPr>
        <w:t>Bostami</w:t>
      </w:r>
      <w:proofErr w:type="spellEnd"/>
      <w:r w:rsidRPr="00D825A9">
        <w:rPr>
          <w:rFonts w:ascii="Times New Roman" w:hAnsi="Times New Roman"/>
          <w:sz w:val="24"/>
          <w:szCs w:val="24"/>
        </w:rPr>
        <w:t xml:space="preserve">, A. B. M. R., Islam, S., &amp; Tedeschi, L. O. (2022). Nutrient content and in vitro degradation study of some unconventional feed resources of Bangladesh. </w:t>
      </w:r>
      <w:r w:rsidRPr="00D825A9">
        <w:rPr>
          <w:rFonts w:ascii="Times New Roman" w:hAnsi="Times New Roman"/>
          <w:i/>
          <w:iCs/>
          <w:sz w:val="24"/>
          <w:szCs w:val="24"/>
          <w:lang w:val="nl-BE"/>
        </w:rPr>
        <w:t>Heliyon, 8</w:t>
      </w:r>
      <w:r w:rsidRPr="00D825A9">
        <w:rPr>
          <w:rFonts w:ascii="Times New Roman" w:hAnsi="Times New Roman"/>
          <w:sz w:val="24"/>
          <w:szCs w:val="24"/>
          <w:lang w:val="nl-BE"/>
        </w:rPr>
        <w:t xml:space="preserve">(5), e09496. </w:t>
      </w:r>
      <w:hyperlink r:id="rId54" w:history="1">
        <w:r w:rsidRPr="00D825A9">
          <w:rPr>
            <w:rFonts w:ascii="Times New Roman" w:hAnsi="Times New Roman"/>
            <w:color w:val="0000FF"/>
            <w:sz w:val="24"/>
            <w:szCs w:val="24"/>
            <w:u w:val="single"/>
            <w:lang w:val="nl-BE"/>
          </w:rPr>
          <w:t>https://doi.org/10.1016/j.heliyon.2022.e09496</w:t>
        </w:r>
      </w:hyperlink>
    </w:p>
    <w:p w14:paraId="66826C1A"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lang w:val="nl-BE"/>
        </w:rPr>
        <w:t xml:space="preserve">Song, Y. S., Kim, H., &amp; Kim, B. G. (2024). </w:t>
      </w:r>
      <w:r w:rsidRPr="00D825A9">
        <w:rPr>
          <w:rFonts w:ascii="Times New Roman" w:hAnsi="Times New Roman"/>
          <w:sz w:val="24"/>
          <w:szCs w:val="24"/>
        </w:rPr>
        <w:t xml:space="preserve">Estimation of dry matter and crude protein residues originating from exogenous digestive enzymes based on the amounts of pepsin and pancreatin used in 2-step in vitro digestibility procedures for non-ruminants. </w:t>
      </w:r>
      <w:r w:rsidRPr="00D825A9">
        <w:rPr>
          <w:rFonts w:ascii="Times New Roman" w:hAnsi="Times New Roman"/>
          <w:i/>
          <w:iCs/>
          <w:sz w:val="24"/>
          <w:szCs w:val="24"/>
        </w:rPr>
        <w:t>Animal Feed Science and Technology, 309</w:t>
      </w:r>
      <w:r w:rsidRPr="00D825A9">
        <w:rPr>
          <w:rFonts w:ascii="Times New Roman" w:hAnsi="Times New Roman"/>
          <w:sz w:val="24"/>
          <w:szCs w:val="24"/>
        </w:rPr>
        <w:t xml:space="preserve">, 115895. </w:t>
      </w:r>
      <w:hyperlink r:id="rId55" w:history="1">
        <w:r w:rsidRPr="00D825A9">
          <w:rPr>
            <w:rFonts w:ascii="Times New Roman" w:hAnsi="Times New Roman"/>
            <w:color w:val="0000FF"/>
            <w:sz w:val="24"/>
            <w:szCs w:val="24"/>
            <w:u w:val="single"/>
          </w:rPr>
          <w:t>https://doi.org/10.1016/j.anifeedsci.2024.115895</w:t>
        </w:r>
      </w:hyperlink>
    </w:p>
    <w:p w14:paraId="347A161C"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lang w:val="nl-BE"/>
        </w:rPr>
      </w:pPr>
      <w:proofErr w:type="spellStart"/>
      <w:r w:rsidRPr="00D825A9">
        <w:rPr>
          <w:rFonts w:ascii="Times New Roman" w:hAnsi="Times New Roman"/>
          <w:sz w:val="24"/>
          <w:szCs w:val="24"/>
        </w:rPr>
        <w:t>Stauß</w:t>
      </w:r>
      <w:proofErr w:type="spellEnd"/>
      <w:r w:rsidRPr="00D825A9">
        <w:rPr>
          <w:rFonts w:ascii="Times New Roman" w:hAnsi="Times New Roman"/>
          <w:sz w:val="24"/>
          <w:szCs w:val="24"/>
        </w:rPr>
        <w:t xml:space="preserve">, A. C., Fuchs, C., Jansen, P., </w:t>
      </w:r>
      <w:proofErr w:type="spellStart"/>
      <w:r w:rsidRPr="00D825A9">
        <w:rPr>
          <w:rFonts w:ascii="Times New Roman" w:hAnsi="Times New Roman"/>
          <w:sz w:val="24"/>
          <w:szCs w:val="24"/>
        </w:rPr>
        <w:t>Repert</w:t>
      </w:r>
      <w:proofErr w:type="spellEnd"/>
      <w:r w:rsidRPr="00D825A9">
        <w:rPr>
          <w:rFonts w:ascii="Times New Roman" w:hAnsi="Times New Roman"/>
          <w:sz w:val="24"/>
          <w:szCs w:val="24"/>
        </w:rPr>
        <w:t xml:space="preserve">, S., Alcock, K., Ludewig, S., &amp; Rozhon, W. (2024). The ninhydrin reaction revisited: </w:t>
      </w:r>
      <w:proofErr w:type="spellStart"/>
      <w:r w:rsidRPr="00D825A9">
        <w:rPr>
          <w:rFonts w:ascii="Times New Roman" w:hAnsi="Times New Roman"/>
          <w:sz w:val="24"/>
          <w:szCs w:val="24"/>
        </w:rPr>
        <w:t>Optimisation</w:t>
      </w:r>
      <w:proofErr w:type="spellEnd"/>
      <w:r w:rsidRPr="00D825A9">
        <w:rPr>
          <w:rFonts w:ascii="Times New Roman" w:hAnsi="Times New Roman"/>
          <w:sz w:val="24"/>
          <w:szCs w:val="24"/>
        </w:rPr>
        <w:t xml:space="preserve"> and application for quantification of free amino acids. </w:t>
      </w:r>
      <w:r w:rsidRPr="00D825A9">
        <w:rPr>
          <w:rFonts w:ascii="Times New Roman" w:hAnsi="Times New Roman"/>
          <w:i/>
          <w:iCs/>
          <w:sz w:val="24"/>
          <w:szCs w:val="24"/>
          <w:lang w:val="nl-BE"/>
        </w:rPr>
        <w:t>Molecules, 29</w:t>
      </w:r>
      <w:r w:rsidRPr="00D825A9">
        <w:rPr>
          <w:rFonts w:ascii="Times New Roman" w:hAnsi="Times New Roman"/>
          <w:sz w:val="24"/>
          <w:szCs w:val="24"/>
          <w:lang w:val="nl-BE"/>
        </w:rPr>
        <w:t xml:space="preserve">(14), 3262. </w:t>
      </w:r>
      <w:hyperlink r:id="rId56" w:history="1">
        <w:r w:rsidRPr="00D825A9">
          <w:rPr>
            <w:rFonts w:ascii="Times New Roman" w:hAnsi="Times New Roman"/>
            <w:color w:val="0000FF"/>
            <w:sz w:val="24"/>
            <w:szCs w:val="24"/>
            <w:u w:val="single"/>
            <w:lang w:val="nl-BE"/>
          </w:rPr>
          <w:t>https://doi.org/10.3390/molecules29143262</w:t>
        </w:r>
      </w:hyperlink>
    </w:p>
    <w:p w14:paraId="4AAF02E4"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lang w:val="nl-BE"/>
        </w:rPr>
        <w:t xml:space="preserve">Tivana, L. D., Francisco, J. D. C., Zelder, F., Bergenståhl, B., &amp; Dejmek, P. (2014). </w:t>
      </w:r>
      <w:r w:rsidRPr="00D825A9">
        <w:rPr>
          <w:rFonts w:ascii="Times New Roman" w:hAnsi="Times New Roman"/>
          <w:sz w:val="24"/>
          <w:szCs w:val="24"/>
        </w:rPr>
        <w:t xml:space="preserve">Straightforward rapid spectrophotometric quantification of total cyanogenic glycosides in fresh and processed cassava products. </w:t>
      </w:r>
      <w:r w:rsidRPr="00D825A9">
        <w:rPr>
          <w:rFonts w:ascii="Times New Roman" w:hAnsi="Times New Roman"/>
          <w:i/>
          <w:iCs/>
          <w:sz w:val="24"/>
          <w:szCs w:val="24"/>
        </w:rPr>
        <w:t>Food Chemistry, 158</w:t>
      </w:r>
      <w:r w:rsidRPr="00D825A9">
        <w:rPr>
          <w:rFonts w:ascii="Times New Roman" w:hAnsi="Times New Roman"/>
          <w:sz w:val="24"/>
          <w:szCs w:val="24"/>
        </w:rPr>
        <w:t xml:space="preserve">, 20–27. </w:t>
      </w:r>
      <w:hyperlink r:id="rId57" w:history="1">
        <w:r w:rsidRPr="00D825A9">
          <w:rPr>
            <w:rFonts w:ascii="Times New Roman" w:hAnsi="Times New Roman"/>
            <w:color w:val="0000FF"/>
            <w:sz w:val="24"/>
            <w:szCs w:val="24"/>
            <w:u w:val="single"/>
          </w:rPr>
          <w:t>https://doi.org/10.1016/j.foodchem.2014.02.066</w:t>
        </w:r>
      </w:hyperlink>
    </w:p>
    <w:p w14:paraId="370ED30C"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t xml:space="preserve">Van Soest, P. J., Robertson, J. B., &amp; Lewis, B. A. (1991). Methods for dietary fiber, neutral detergent fiber, and </w:t>
      </w:r>
      <w:proofErr w:type="spellStart"/>
      <w:r w:rsidRPr="00D825A9">
        <w:rPr>
          <w:rFonts w:ascii="Times New Roman" w:hAnsi="Times New Roman"/>
          <w:sz w:val="24"/>
          <w:szCs w:val="24"/>
        </w:rPr>
        <w:t>nonstarch</w:t>
      </w:r>
      <w:proofErr w:type="spellEnd"/>
      <w:r w:rsidRPr="00D825A9">
        <w:rPr>
          <w:rFonts w:ascii="Times New Roman" w:hAnsi="Times New Roman"/>
          <w:sz w:val="24"/>
          <w:szCs w:val="24"/>
        </w:rPr>
        <w:t xml:space="preserve"> polysaccharides in relation to animal nutrition. </w:t>
      </w:r>
      <w:r w:rsidRPr="00D825A9">
        <w:rPr>
          <w:rFonts w:ascii="Times New Roman" w:hAnsi="Times New Roman"/>
          <w:i/>
          <w:iCs/>
          <w:sz w:val="24"/>
          <w:szCs w:val="24"/>
        </w:rPr>
        <w:t>Journal of Dairy Science, 74</w:t>
      </w:r>
      <w:r w:rsidRPr="00D825A9">
        <w:rPr>
          <w:rFonts w:ascii="Times New Roman" w:hAnsi="Times New Roman"/>
          <w:sz w:val="24"/>
          <w:szCs w:val="24"/>
        </w:rPr>
        <w:t xml:space="preserve">(10), 3583–3597. </w:t>
      </w:r>
      <w:hyperlink r:id="rId58" w:history="1">
        <w:r w:rsidRPr="00D825A9">
          <w:rPr>
            <w:rFonts w:ascii="Times New Roman" w:hAnsi="Times New Roman"/>
            <w:color w:val="0000FF"/>
            <w:sz w:val="24"/>
            <w:szCs w:val="24"/>
            <w:u w:val="single"/>
          </w:rPr>
          <w:t>https://doi.org/10.3168/jds.S0022-0302(91)78551-2</w:t>
        </w:r>
      </w:hyperlink>
    </w:p>
    <w:p w14:paraId="4EC3549E" w14:textId="77777777" w:rsidR="00D825A9" w:rsidRPr="00D825A9" w:rsidRDefault="00D825A9" w:rsidP="00D825A9">
      <w:pPr>
        <w:spacing w:before="100" w:beforeAutospacing="1" w:after="100" w:afterAutospacing="1"/>
        <w:ind w:left="540" w:hanging="540"/>
        <w:jc w:val="both"/>
        <w:rPr>
          <w:rFonts w:ascii="Times New Roman" w:hAnsi="Times New Roman"/>
          <w:sz w:val="24"/>
          <w:szCs w:val="24"/>
        </w:rPr>
      </w:pPr>
      <w:r w:rsidRPr="00D825A9">
        <w:rPr>
          <w:rFonts w:ascii="Times New Roman" w:hAnsi="Times New Roman"/>
          <w:sz w:val="24"/>
          <w:szCs w:val="24"/>
        </w:rPr>
        <w:lastRenderedPageBreak/>
        <w:t>Yan, S. H., Song, W., &amp; Guo, J. Y. (2017). Advances in management and utilization of invasive water hyacinth (</w:t>
      </w:r>
      <w:r w:rsidRPr="00D825A9">
        <w:rPr>
          <w:rFonts w:ascii="Times New Roman" w:hAnsi="Times New Roman"/>
          <w:i/>
          <w:iCs/>
          <w:sz w:val="24"/>
          <w:szCs w:val="24"/>
        </w:rPr>
        <w:t>Eichhornia crassipes</w:t>
      </w:r>
      <w:r w:rsidRPr="00D825A9">
        <w:rPr>
          <w:rFonts w:ascii="Times New Roman" w:hAnsi="Times New Roman"/>
          <w:sz w:val="24"/>
          <w:szCs w:val="24"/>
        </w:rPr>
        <w:t xml:space="preserve">) in aquatic ecosystems: A review. </w:t>
      </w:r>
      <w:r w:rsidRPr="00D825A9">
        <w:rPr>
          <w:rFonts w:ascii="Times New Roman" w:hAnsi="Times New Roman"/>
          <w:i/>
          <w:iCs/>
          <w:sz w:val="24"/>
          <w:szCs w:val="24"/>
        </w:rPr>
        <w:t>Critical Reviews in Biotechnology, 37</w:t>
      </w:r>
      <w:r w:rsidRPr="00D825A9">
        <w:rPr>
          <w:rFonts w:ascii="Times New Roman" w:hAnsi="Times New Roman"/>
          <w:sz w:val="24"/>
          <w:szCs w:val="24"/>
        </w:rPr>
        <w:t xml:space="preserve">(2), 218–228. </w:t>
      </w:r>
      <w:hyperlink r:id="rId59" w:history="1">
        <w:r w:rsidRPr="00D825A9">
          <w:rPr>
            <w:rFonts w:ascii="Times New Roman" w:hAnsi="Times New Roman"/>
            <w:color w:val="0000FF"/>
            <w:sz w:val="24"/>
            <w:szCs w:val="24"/>
            <w:u w:val="single"/>
          </w:rPr>
          <w:t>https://doi.org/10.3109/07388551.2015.1132406</w:t>
        </w:r>
      </w:hyperlink>
    </w:p>
    <w:p w14:paraId="36920266" w14:textId="77777777" w:rsidR="00A66473" w:rsidRDefault="00A66473" w:rsidP="00D825A9">
      <w:pPr>
        <w:pStyle w:val="NormalWeb"/>
        <w:spacing w:before="0" w:after="0"/>
        <w:ind w:left="720" w:hanging="720"/>
      </w:pPr>
    </w:p>
    <w:sectPr w:rsidR="00A66473" w:rsidSect="00861410">
      <w:headerReference w:type="even" r:id="rId60"/>
      <w:headerReference w:type="default" r:id="rId61"/>
      <w:footerReference w:type="default" r:id="rId62"/>
      <w:headerReference w:type="first" r:id="rId6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FD460" w14:textId="77777777" w:rsidR="00BC68D8" w:rsidRDefault="00BC68D8" w:rsidP="00C37E61">
      <w:r>
        <w:separator/>
      </w:r>
    </w:p>
  </w:endnote>
  <w:endnote w:type="continuationSeparator" w:id="0">
    <w:p w14:paraId="417523F9" w14:textId="77777777" w:rsidR="00BC68D8" w:rsidRDefault="00BC68D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2C93" w14:textId="77777777" w:rsidR="009E4DDC" w:rsidRDefault="009E4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1AB" w14:textId="77777777" w:rsidR="009E4DDC" w:rsidRDefault="009E4D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3E37" w14:textId="77777777" w:rsidR="009E4DDC" w:rsidRPr="00A34D14" w:rsidRDefault="009E4DDC" w:rsidP="00A34D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1B7C" w14:textId="77777777" w:rsidR="009E4DDC" w:rsidRPr="00C37E61" w:rsidRDefault="009E4DDC"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44A61" w14:textId="77777777" w:rsidR="00BC68D8" w:rsidRDefault="00BC68D8" w:rsidP="00C37E61">
      <w:r>
        <w:separator/>
      </w:r>
    </w:p>
  </w:footnote>
  <w:footnote w:type="continuationSeparator" w:id="0">
    <w:p w14:paraId="57C5944D" w14:textId="77777777" w:rsidR="00BC68D8" w:rsidRDefault="00BC68D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C722" w14:textId="77777777" w:rsidR="009E4DDC" w:rsidRDefault="00000000">
    <w:pPr>
      <w:pStyle w:val="Header"/>
    </w:pPr>
    <w:r>
      <w:rPr>
        <w:noProof/>
      </w:rPr>
      <w:pict w14:anchorId="662C40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1" o:spid="_x0000_s1026" type="#_x0000_t136" style="position:absolute;margin-left:0;margin-top:0;width:411.15pt;height:45.65pt;rotation:315;z-index:-25165619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A96EE" w14:textId="77777777" w:rsidR="009E4DDC" w:rsidRDefault="00000000">
    <w:pPr>
      <w:pStyle w:val="Header"/>
    </w:pPr>
    <w:r>
      <w:rPr>
        <w:noProof/>
      </w:rPr>
      <w:pict w14:anchorId="33D376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2" o:spid="_x0000_s1027" type="#_x0000_t136" style="position:absolute;margin-left:0;margin-top:0;width:411.15pt;height:45.6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F4C6E" w14:textId="77777777" w:rsidR="009E4DDC" w:rsidRPr="00296529" w:rsidRDefault="00000000" w:rsidP="00296529">
    <w:pPr>
      <w:ind w:left="2160"/>
      <w:jc w:val="center"/>
      <w:rPr>
        <w:rFonts w:ascii="Times New Roman" w:eastAsia="Calibri" w:hAnsi="Times New Roman"/>
        <w:i/>
        <w:sz w:val="18"/>
        <w:szCs w:val="22"/>
      </w:rPr>
    </w:pPr>
    <w:r>
      <w:rPr>
        <w:noProof/>
      </w:rPr>
      <w:pict w14:anchorId="3C7FE3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0" o:spid="_x0000_s1025" type="#_x0000_t136" style="position:absolute;left:0;text-align:left;margin-left:0;margin-top:0;width:411.15pt;height:45.65pt;rotation:315;z-index:-25165824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9E3E908" w14:textId="77777777" w:rsidR="009E4DDC" w:rsidRPr="00296529" w:rsidRDefault="009E4DD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76FC647" w14:textId="77777777" w:rsidR="009E4DDC" w:rsidRPr="00296529" w:rsidRDefault="009E4DD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6165AA0" w14:textId="77777777" w:rsidR="009E4DDC" w:rsidRPr="00296529" w:rsidRDefault="009E4DD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29F74E2" w14:textId="77777777" w:rsidR="009E4DDC" w:rsidRDefault="009E4DD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A53C3E4" w14:textId="77777777" w:rsidR="009E4DDC" w:rsidRDefault="009E4DD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8EC7BC" w14:textId="77777777" w:rsidR="009E4DDC" w:rsidRDefault="009E4DDC">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AA4C" w14:textId="77777777" w:rsidR="009E4DDC" w:rsidRDefault="00000000">
    <w:pPr>
      <w:pStyle w:val="Header"/>
    </w:pPr>
    <w:r>
      <w:rPr>
        <w:noProof/>
      </w:rPr>
      <w:pict w14:anchorId="3A9E72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4" o:spid="_x0000_s1031" type="#_x0000_t136" style="position:absolute;margin-left:0;margin-top:0;width:411.15pt;height:45.6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468027E">
        <v:shape id="_x0000_s1030" type="#_x0000_t136" style="position:absolute;margin-left:0;margin-top:0;width:411.15pt;height:45.65pt;rotation:315;z-index:-25165209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96A4" w14:textId="77777777" w:rsidR="009E4DDC" w:rsidRDefault="00000000">
    <w:pPr>
      <w:pStyle w:val="Header"/>
    </w:pPr>
    <w:r>
      <w:rPr>
        <w:noProof/>
      </w:rPr>
      <w:pict w14:anchorId="2A5F2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5" o:spid="_x0000_s1033" type="#_x0000_t136" style="position:absolute;margin-left:0;margin-top:0;width:411.15pt;height:45.6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72263D0">
        <v:shape id="_x0000_s1032" type="#_x0000_t136" style="position:absolute;margin-left:0;margin-top:0;width:411.15pt;height:45.65pt;rotation:315;z-index:-25165004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5B9A5" w14:textId="77777777" w:rsidR="009E4DDC" w:rsidRPr="00296529" w:rsidRDefault="00000000" w:rsidP="00296529">
    <w:pPr>
      <w:ind w:left="2160"/>
      <w:jc w:val="center"/>
      <w:rPr>
        <w:rFonts w:ascii="Times New Roman" w:eastAsia="Calibri" w:hAnsi="Times New Roman"/>
        <w:i/>
        <w:sz w:val="18"/>
        <w:szCs w:val="22"/>
      </w:rPr>
    </w:pPr>
    <w:r>
      <w:rPr>
        <w:noProof/>
      </w:rPr>
      <w:pict w14:anchorId="61AEB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083143" o:spid="_x0000_s1029" type="#_x0000_t136" style="position:absolute;left:0;text-align:left;margin-left:0;margin-top:0;width:411.15pt;height:45.6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83B620C">
        <v:shape id="_x0000_s1028" type="#_x0000_t136" style="position:absolute;left:0;text-align:left;margin-left:0;margin-top:0;width:411.15pt;height:45.65pt;rotation:315;z-index:-25165414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97FEF97" w14:textId="77777777" w:rsidR="009E4DDC" w:rsidRPr="00296529" w:rsidRDefault="009E4DD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C176F69" w14:textId="77777777" w:rsidR="009E4DDC" w:rsidRPr="00296529" w:rsidRDefault="009E4DD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A19FD23" w14:textId="77777777" w:rsidR="009E4DDC" w:rsidRPr="00296529" w:rsidRDefault="009E4DD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2111A6E" w14:textId="77777777" w:rsidR="009E4DDC" w:rsidRDefault="009E4DD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52FCB52" w14:textId="77777777" w:rsidR="009E4DDC" w:rsidRDefault="009E4DD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597EF11" w14:textId="77777777" w:rsidR="009E4DDC" w:rsidRDefault="009E4DD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7847D1"/>
    <w:multiLevelType w:val="multilevel"/>
    <w:tmpl w:val="C2B2DF3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8A58D1"/>
    <w:multiLevelType w:val="multilevel"/>
    <w:tmpl w:val="26F04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FE8433A"/>
    <w:multiLevelType w:val="hybridMultilevel"/>
    <w:tmpl w:val="B658B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9454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05566073">
    <w:abstractNumId w:val="16"/>
  </w:num>
  <w:num w:numId="3" w16cid:durableId="888153819">
    <w:abstractNumId w:val="25"/>
  </w:num>
  <w:num w:numId="4" w16cid:durableId="4930557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25923091">
    <w:abstractNumId w:val="8"/>
  </w:num>
  <w:num w:numId="6" w16cid:durableId="460921522">
    <w:abstractNumId w:val="7"/>
  </w:num>
  <w:num w:numId="7" w16cid:durableId="580991888">
    <w:abstractNumId w:val="1"/>
  </w:num>
  <w:num w:numId="8" w16cid:durableId="607857754">
    <w:abstractNumId w:val="13"/>
  </w:num>
  <w:num w:numId="9" w16cid:durableId="789208165">
    <w:abstractNumId w:val="27"/>
  </w:num>
  <w:num w:numId="10" w16cid:durableId="191655296">
    <w:abstractNumId w:val="2"/>
  </w:num>
  <w:num w:numId="11" w16cid:durableId="364064378">
    <w:abstractNumId w:val="19"/>
  </w:num>
  <w:num w:numId="12" w16cid:durableId="1655909989">
    <w:abstractNumId w:val="4"/>
  </w:num>
  <w:num w:numId="13" w16cid:durableId="62221850">
    <w:abstractNumId w:val="18"/>
  </w:num>
  <w:num w:numId="14" w16cid:durableId="1590503285">
    <w:abstractNumId w:val="9"/>
  </w:num>
  <w:num w:numId="15" w16cid:durableId="1689867508">
    <w:abstractNumId w:val="23"/>
  </w:num>
  <w:num w:numId="16" w16cid:durableId="483357020">
    <w:abstractNumId w:val="6"/>
  </w:num>
  <w:num w:numId="17" w16cid:durableId="863787151">
    <w:abstractNumId w:val="24"/>
  </w:num>
  <w:num w:numId="18" w16cid:durableId="1008631255">
    <w:abstractNumId w:val="15"/>
  </w:num>
  <w:num w:numId="19" w16cid:durableId="328676567">
    <w:abstractNumId w:val="30"/>
  </w:num>
  <w:num w:numId="20" w16cid:durableId="383138121">
    <w:abstractNumId w:val="12"/>
  </w:num>
  <w:num w:numId="21" w16cid:durableId="1692801798">
    <w:abstractNumId w:val="10"/>
  </w:num>
  <w:num w:numId="22" w16cid:durableId="1803226417">
    <w:abstractNumId w:val="14"/>
  </w:num>
  <w:num w:numId="23" w16cid:durableId="865364740">
    <w:abstractNumId w:val="20"/>
  </w:num>
  <w:num w:numId="24" w16cid:durableId="1089353079">
    <w:abstractNumId w:val="28"/>
  </w:num>
  <w:num w:numId="25" w16cid:durableId="692849528">
    <w:abstractNumId w:val="5"/>
  </w:num>
  <w:num w:numId="26" w16cid:durableId="1696148005">
    <w:abstractNumId w:val="17"/>
  </w:num>
  <w:num w:numId="27" w16cid:durableId="319044662">
    <w:abstractNumId w:val="22"/>
  </w:num>
  <w:num w:numId="28" w16cid:durableId="1894777506">
    <w:abstractNumId w:val="29"/>
  </w:num>
  <w:num w:numId="29" w16cid:durableId="2060323914">
    <w:abstractNumId w:val="26"/>
  </w:num>
  <w:num w:numId="30" w16cid:durableId="971903818">
    <w:abstractNumId w:val="11"/>
  </w:num>
  <w:num w:numId="31" w16cid:durableId="775446717">
    <w:abstractNumId w:val="21"/>
  </w:num>
  <w:num w:numId="32" w16cid:durableId="137916570">
    <w:abstractNumId w:val="3"/>
  </w:num>
  <w:num w:numId="33" w16cid:durableId="170879627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19"/>
    <w:rsid w:val="00000F8F"/>
    <w:rsid w:val="00017366"/>
    <w:rsid w:val="00030174"/>
    <w:rsid w:val="0004579C"/>
    <w:rsid w:val="00046EDE"/>
    <w:rsid w:val="00075EDD"/>
    <w:rsid w:val="000A47FA"/>
    <w:rsid w:val="000A65D3"/>
    <w:rsid w:val="000B1E33"/>
    <w:rsid w:val="000B5625"/>
    <w:rsid w:val="000D689F"/>
    <w:rsid w:val="000E7B7B"/>
    <w:rsid w:val="000E7D62"/>
    <w:rsid w:val="00103357"/>
    <w:rsid w:val="001114AC"/>
    <w:rsid w:val="00123C9F"/>
    <w:rsid w:val="00126190"/>
    <w:rsid w:val="00130F17"/>
    <w:rsid w:val="001320BF"/>
    <w:rsid w:val="00163BC4"/>
    <w:rsid w:val="00191062"/>
    <w:rsid w:val="001924F7"/>
    <w:rsid w:val="00192B72"/>
    <w:rsid w:val="00196C4F"/>
    <w:rsid w:val="001A29D8"/>
    <w:rsid w:val="001A5CAA"/>
    <w:rsid w:val="001B0427"/>
    <w:rsid w:val="001C47BA"/>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0A5B"/>
    <w:rsid w:val="00296529"/>
    <w:rsid w:val="002B27FB"/>
    <w:rsid w:val="002B685A"/>
    <w:rsid w:val="002B75CF"/>
    <w:rsid w:val="002C2A60"/>
    <w:rsid w:val="002C2BC7"/>
    <w:rsid w:val="002C57D2"/>
    <w:rsid w:val="002D5097"/>
    <w:rsid w:val="002E0D56"/>
    <w:rsid w:val="002F2291"/>
    <w:rsid w:val="00315186"/>
    <w:rsid w:val="0033343E"/>
    <w:rsid w:val="0034401B"/>
    <w:rsid w:val="003512C2"/>
    <w:rsid w:val="00371FB6"/>
    <w:rsid w:val="003763C1"/>
    <w:rsid w:val="00376BBE"/>
    <w:rsid w:val="0039224F"/>
    <w:rsid w:val="003A43A4"/>
    <w:rsid w:val="003A7E18"/>
    <w:rsid w:val="003C4C86"/>
    <w:rsid w:val="003C6258"/>
    <w:rsid w:val="003E2904"/>
    <w:rsid w:val="00401927"/>
    <w:rsid w:val="0040444D"/>
    <w:rsid w:val="0041027F"/>
    <w:rsid w:val="00412475"/>
    <w:rsid w:val="00423789"/>
    <w:rsid w:val="00440F43"/>
    <w:rsid w:val="00441B6F"/>
    <w:rsid w:val="00446221"/>
    <w:rsid w:val="00450E62"/>
    <w:rsid w:val="004539DB"/>
    <w:rsid w:val="00455B4D"/>
    <w:rsid w:val="00471A80"/>
    <w:rsid w:val="004C1DFF"/>
    <w:rsid w:val="004D305E"/>
    <w:rsid w:val="004D4277"/>
    <w:rsid w:val="004E004A"/>
    <w:rsid w:val="004F1B0E"/>
    <w:rsid w:val="00502516"/>
    <w:rsid w:val="00505F06"/>
    <w:rsid w:val="00506828"/>
    <w:rsid w:val="005129F8"/>
    <w:rsid w:val="0053056E"/>
    <w:rsid w:val="00532EB1"/>
    <w:rsid w:val="005352F6"/>
    <w:rsid w:val="00554FDA"/>
    <w:rsid w:val="005C784C"/>
    <w:rsid w:val="005D17F6"/>
    <w:rsid w:val="005E5539"/>
    <w:rsid w:val="00602BF5"/>
    <w:rsid w:val="00617FDD"/>
    <w:rsid w:val="0062641B"/>
    <w:rsid w:val="006329DE"/>
    <w:rsid w:val="00633614"/>
    <w:rsid w:val="00633F68"/>
    <w:rsid w:val="00636EB2"/>
    <w:rsid w:val="006375B8"/>
    <w:rsid w:val="00640706"/>
    <w:rsid w:val="00640A0E"/>
    <w:rsid w:val="00643A9C"/>
    <w:rsid w:val="006578BB"/>
    <w:rsid w:val="0066510A"/>
    <w:rsid w:val="00673F9F"/>
    <w:rsid w:val="00686953"/>
    <w:rsid w:val="00687DEA"/>
    <w:rsid w:val="00687E67"/>
    <w:rsid w:val="00692F01"/>
    <w:rsid w:val="006967F7"/>
    <w:rsid w:val="006A250C"/>
    <w:rsid w:val="006B21D3"/>
    <w:rsid w:val="006B21D6"/>
    <w:rsid w:val="006B3273"/>
    <w:rsid w:val="006B57D0"/>
    <w:rsid w:val="006D30FF"/>
    <w:rsid w:val="006D6940"/>
    <w:rsid w:val="006F11EC"/>
    <w:rsid w:val="0070082C"/>
    <w:rsid w:val="007045DC"/>
    <w:rsid w:val="007102BF"/>
    <w:rsid w:val="007369E6"/>
    <w:rsid w:val="00746E59"/>
    <w:rsid w:val="00747FE1"/>
    <w:rsid w:val="00751AD3"/>
    <w:rsid w:val="00754C9A"/>
    <w:rsid w:val="0075599A"/>
    <w:rsid w:val="00761D52"/>
    <w:rsid w:val="0077749E"/>
    <w:rsid w:val="00790ADA"/>
    <w:rsid w:val="007C55B9"/>
    <w:rsid w:val="007D1261"/>
    <w:rsid w:val="007D2288"/>
    <w:rsid w:val="007D3874"/>
    <w:rsid w:val="007E088F"/>
    <w:rsid w:val="007F7B32"/>
    <w:rsid w:val="00804BC2"/>
    <w:rsid w:val="00811E53"/>
    <w:rsid w:val="0081431A"/>
    <w:rsid w:val="0083216F"/>
    <w:rsid w:val="00860000"/>
    <w:rsid w:val="00861410"/>
    <w:rsid w:val="00863BD3"/>
    <w:rsid w:val="008641ED"/>
    <w:rsid w:val="00866D66"/>
    <w:rsid w:val="008671C6"/>
    <w:rsid w:val="00875803"/>
    <w:rsid w:val="008940D6"/>
    <w:rsid w:val="008A141F"/>
    <w:rsid w:val="008B459E"/>
    <w:rsid w:val="008E13AE"/>
    <w:rsid w:val="008E1506"/>
    <w:rsid w:val="008E710C"/>
    <w:rsid w:val="008F69D6"/>
    <w:rsid w:val="00902823"/>
    <w:rsid w:val="00910CCF"/>
    <w:rsid w:val="00915CA6"/>
    <w:rsid w:val="00927834"/>
    <w:rsid w:val="00930C8E"/>
    <w:rsid w:val="00931F6A"/>
    <w:rsid w:val="009500A6"/>
    <w:rsid w:val="00955AF9"/>
    <w:rsid w:val="00957C18"/>
    <w:rsid w:val="009659BA"/>
    <w:rsid w:val="00983040"/>
    <w:rsid w:val="00997642"/>
    <w:rsid w:val="009B279C"/>
    <w:rsid w:val="009B3FB9"/>
    <w:rsid w:val="009C2465"/>
    <w:rsid w:val="009D35A0"/>
    <w:rsid w:val="009D7EB7"/>
    <w:rsid w:val="009E048A"/>
    <w:rsid w:val="009E08E9"/>
    <w:rsid w:val="009E3DB9"/>
    <w:rsid w:val="009E4DDC"/>
    <w:rsid w:val="009E6E35"/>
    <w:rsid w:val="009F0EDA"/>
    <w:rsid w:val="00A03B96"/>
    <w:rsid w:val="00A05B19"/>
    <w:rsid w:val="00A1134E"/>
    <w:rsid w:val="00A24E7E"/>
    <w:rsid w:val="00A258C3"/>
    <w:rsid w:val="00A347C0"/>
    <w:rsid w:val="00A34D14"/>
    <w:rsid w:val="00A51431"/>
    <w:rsid w:val="00A539AD"/>
    <w:rsid w:val="00A66473"/>
    <w:rsid w:val="00A94063"/>
    <w:rsid w:val="00AA6219"/>
    <w:rsid w:val="00AA74E0"/>
    <w:rsid w:val="00AB703F"/>
    <w:rsid w:val="00AC6BB8"/>
    <w:rsid w:val="00AE008F"/>
    <w:rsid w:val="00B01FCD"/>
    <w:rsid w:val="00B1776C"/>
    <w:rsid w:val="00B44AB5"/>
    <w:rsid w:val="00B52583"/>
    <w:rsid w:val="00B52896"/>
    <w:rsid w:val="00B763A1"/>
    <w:rsid w:val="00B95236"/>
    <w:rsid w:val="00B96BD9"/>
    <w:rsid w:val="00BA1B01"/>
    <w:rsid w:val="00BA2641"/>
    <w:rsid w:val="00BB37AA"/>
    <w:rsid w:val="00BC398C"/>
    <w:rsid w:val="00BC53A0"/>
    <w:rsid w:val="00BC68D8"/>
    <w:rsid w:val="00BE51F6"/>
    <w:rsid w:val="00BE62AD"/>
    <w:rsid w:val="00BF121F"/>
    <w:rsid w:val="00BF1F80"/>
    <w:rsid w:val="00C068DF"/>
    <w:rsid w:val="00C166EF"/>
    <w:rsid w:val="00C17EB0"/>
    <w:rsid w:val="00C27F5F"/>
    <w:rsid w:val="00C30A0F"/>
    <w:rsid w:val="00C37E61"/>
    <w:rsid w:val="00C50C63"/>
    <w:rsid w:val="00C50FD8"/>
    <w:rsid w:val="00C6062C"/>
    <w:rsid w:val="00C70F1B"/>
    <w:rsid w:val="00C71A47"/>
    <w:rsid w:val="00C7464C"/>
    <w:rsid w:val="00C85588"/>
    <w:rsid w:val="00CB2255"/>
    <w:rsid w:val="00CB529A"/>
    <w:rsid w:val="00CD6755"/>
    <w:rsid w:val="00CD6856"/>
    <w:rsid w:val="00CE0089"/>
    <w:rsid w:val="00CE793C"/>
    <w:rsid w:val="00CF193C"/>
    <w:rsid w:val="00D10F2D"/>
    <w:rsid w:val="00D1113C"/>
    <w:rsid w:val="00D17059"/>
    <w:rsid w:val="00D173F1"/>
    <w:rsid w:val="00D41DB1"/>
    <w:rsid w:val="00D6001C"/>
    <w:rsid w:val="00D74CB0"/>
    <w:rsid w:val="00D825A9"/>
    <w:rsid w:val="00D8295D"/>
    <w:rsid w:val="00D967AC"/>
    <w:rsid w:val="00DA2118"/>
    <w:rsid w:val="00DC271F"/>
    <w:rsid w:val="00DC2A65"/>
    <w:rsid w:val="00DE15F0"/>
    <w:rsid w:val="00DE5663"/>
    <w:rsid w:val="00DE78AA"/>
    <w:rsid w:val="00E053D0"/>
    <w:rsid w:val="00E0601A"/>
    <w:rsid w:val="00E15994"/>
    <w:rsid w:val="00E2738D"/>
    <w:rsid w:val="00E3114E"/>
    <w:rsid w:val="00E31A70"/>
    <w:rsid w:val="00E35B02"/>
    <w:rsid w:val="00E66496"/>
    <w:rsid w:val="00E66B35"/>
    <w:rsid w:val="00E66E10"/>
    <w:rsid w:val="00E769F6"/>
    <w:rsid w:val="00E83D5C"/>
    <w:rsid w:val="00E8407C"/>
    <w:rsid w:val="00E84F3C"/>
    <w:rsid w:val="00EA012C"/>
    <w:rsid w:val="00EC6A55"/>
    <w:rsid w:val="00ED0288"/>
    <w:rsid w:val="00EE52CB"/>
    <w:rsid w:val="00EF132F"/>
    <w:rsid w:val="00EF581D"/>
    <w:rsid w:val="00EF7FD8"/>
    <w:rsid w:val="00F06F59"/>
    <w:rsid w:val="00F17988"/>
    <w:rsid w:val="00F21024"/>
    <w:rsid w:val="00F469F0"/>
    <w:rsid w:val="00F53273"/>
    <w:rsid w:val="00F755E4"/>
    <w:rsid w:val="00F77D02"/>
    <w:rsid w:val="00F90D3C"/>
    <w:rsid w:val="00FA32DE"/>
    <w:rsid w:val="00FB17D4"/>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4D1D3"/>
  <w15:docId w15:val="{126445E1-A6DA-47D8-ACFB-A80E3A34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0444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40444D"/>
    <w:rPr>
      <w:b/>
      <w:bCs/>
    </w:rPr>
  </w:style>
  <w:style w:type="character" w:customStyle="1" w:styleId="Heading2Char">
    <w:name w:val="Heading 2 Char"/>
    <w:basedOn w:val="DefaultParagraphFont"/>
    <w:link w:val="Heading2"/>
    <w:semiHidden/>
    <w:rsid w:val="0040444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40444D"/>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40444D"/>
    <w:pPr>
      <w:spacing w:after="160" w:line="276" w:lineRule="auto"/>
      <w:ind w:left="720"/>
      <w:contextualSpacing/>
    </w:pPr>
    <w:rPr>
      <w:rFonts w:asciiTheme="minorHAnsi" w:eastAsiaTheme="minorEastAsia" w:hAnsiTheme="minorHAnsi" w:cstheme="minorBidi"/>
      <w:kern w:val="2"/>
      <w:sz w:val="24"/>
      <w:szCs w:val="24"/>
      <w14:ligatures w14:val="standardContextual"/>
    </w:rPr>
  </w:style>
  <w:style w:type="paragraph" w:customStyle="1" w:styleId="isselectedend">
    <w:name w:val="isselectedend"/>
    <w:basedOn w:val="Normal"/>
    <w:uiPriority w:val="99"/>
    <w:rsid w:val="0040444D"/>
    <w:pPr>
      <w:spacing w:before="100" w:beforeAutospacing="1" w:after="100" w:afterAutospacing="1"/>
    </w:pPr>
    <w:rPr>
      <w:rFonts w:ascii="Times New Roman" w:hAnsi="Times New Roman"/>
      <w:sz w:val="24"/>
      <w:szCs w:val="24"/>
    </w:rPr>
  </w:style>
  <w:style w:type="character" w:customStyle="1" w:styleId="mord">
    <w:name w:val="mord"/>
    <w:basedOn w:val="DefaultParagraphFont"/>
    <w:rsid w:val="0040444D"/>
  </w:style>
  <w:style w:type="character" w:customStyle="1" w:styleId="mbin">
    <w:name w:val="mbin"/>
    <w:basedOn w:val="DefaultParagraphFont"/>
    <w:rsid w:val="0040444D"/>
  </w:style>
  <w:style w:type="character" w:customStyle="1" w:styleId="author0">
    <w:name w:val="author"/>
    <w:basedOn w:val="DefaultParagraphFont"/>
    <w:rsid w:val="0040444D"/>
  </w:style>
  <w:style w:type="character" w:customStyle="1" w:styleId="pubyear">
    <w:name w:val="pubyear"/>
    <w:basedOn w:val="DefaultParagraphFont"/>
    <w:rsid w:val="0040444D"/>
  </w:style>
  <w:style w:type="paragraph" w:customStyle="1" w:styleId="pdq2pgselectionanchorcontainer">
    <w:name w:val="pdq2pg_selectionanchorcontainer"/>
    <w:basedOn w:val="Normal"/>
    <w:rsid w:val="00C50FD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71329344">
      <w:bodyDiv w:val="1"/>
      <w:marLeft w:val="0"/>
      <w:marRight w:val="0"/>
      <w:marTop w:val="0"/>
      <w:marBottom w:val="0"/>
      <w:divBdr>
        <w:top w:val="none" w:sz="0" w:space="0" w:color="auto"/>
        <w:left w:val="none" w:sz="0" w:space="0" w:color="auto"/>
        <w:bottom w:val="none" w:sz="0" w:space="0" w:color="auto"/>
        <w:right w:val="none" w:sz="0" w:space="0" w:color="auto"/>
      </w:divBdr>
    </w:div>
    <w:div w:id="463696325">
      <w:bodyDiv w:val="1"/>
      <w:marLeft w:val="0"/>
      <w:marRight w:val="0"/>
      <w:marTop w:val="0"/>
      <w:marBottom w:val="0"/>
      <w:divBdr>
        <w:top w:val="none" w:sz="0" w:space="0" w:color="auto"/>
        <w:left w:val="none" w:sz="0" w:space="0" w:color="auto"/>
        <w:bottom w:val="none" w:sz="0" w:space="0" w:color="auto"/>
        <w:right w:val="none" w:sz="0" w:space="0" w:color="auto"/>
      </w:divBdr>
    </w:div>
    <w:div w:id="533228129">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830951361">
      <w:bodyDiv w:val="1"/>
      <w:marLeft w:val="0"/>
      <w:marRight w:val="0"/>
      <w:marTop w:val="0"/>
      <w:marBottom w:val="0"/>
      <w:divBdr>
        <w:top w:val="none" w:sz="0" w:space="0" w:color="auto"/>
        <w:left w:val="none" w:sz="0" w:space="0" w:color="auto"/>
        <w:bottom w:val="none" w:sz="0" w:space="0" w:color="auto"/>
        <w:right w:val="none" w:sz="0" w:space="0" w:color="auto"/>
      </w:divBdr>
    </w:div>
    <w:div w:id="936475514">
      <w:bodyDiv w:val="1"/>
      <w:marLeft w:val="0"/>
      <w:marRight w:val="0"/>
      <w:marTop w:val="0"/>
      <w:marBottom w:val="0"/>
      <w:divBdr>
        <w:top w:val="none" w:sz="0" w:space="0" w:color="auto"/>
        <w:left w:val="none" w:sz="0" w:space="0" w:color="auto"/>
        <w:bottom w:val="none" w:sz="0" w:space="0" w:color="auto"/>
        <w:right w:val="none" w:sz="0" w:space="0" w:color="auto"/>
      </w:divBdr>
    </w:div>
    <w:div w:id="944968362">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8920258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9768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oologicaljournal.com/article/17/1-2-7-701.pdf" TargetMode="External"/><Relationship Id="rId21" Type="http://schemas.openxmlformats.org/officeDocument/2006/relationships/hyperlink" Target="https://doi.org/10.56557/upjoz/2026/v47i65578" TargetMode="External"/><Relationship Id="rId34" Type="http://schemas.openxmlformats.org/officeDocument/2006/relationships/hyperlink" Target="https://www.aoac.org/scientific-solutions/standards-and-official-methods/" TargetMode="External"/><Relationship Id="rId42" Type="http://schemas.openxmlformats.org/officeDocument/2006/relationships/hyperlink" Target="https://doi.org/10.1080/87559129.2017.1289384" TargetMode="External"/><Relationship Id="rId47" Type="http://schemas.openxmlformats.org/officeDocument/2006/relationships/hyperlink" Target="https://doi.org/10.3390/app15073538" TargetMode="External"/><Relationship Id="rId50" Type="http://schemas.openxmlformats.org/officeDocument/2006/relationships/hyperlink" Target="https://doi.org/10.18805/ag.R-2181" TargetMode="External"/><Relationship Id="rId55" Type="http://schemas.openxmlformats.org/officeDocument/2006/relationships/hyperlink" Target="https://doi.org/10.1016/j.anifeedsci.2024.115895" TargetMode="External"/><Relationship Id="rId63"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gris.fao.org/search/en/providers/125092/records/6a96ddf48a202ccda1b6705b" TargetMode="External"/><Relationship Id="rId29" Type="http://schemas.openxmlformats.org/officeDocument/2006/relationships/hyperlink" Target="https://doi.org/10.56093/ijan.v42i2.9" TargetMode="External"/><Relationship Id="rId11" Type="http://schemas.openxmlformats.org/officeDocument/2006/relationships/footer" Target="footer2.xml"/><Relationship Id="rId24" Type="http://schemas.openxmlformats.org/officeDocument/2006/relationships/hyperlink" Target="https://doi.org/10.9734/jabb/2025/v28i42205" TargetMode="External"/><Relationship Id="rId32" Type="http://schemas.openxmlformats.org/officeDocument/2006/relationships/hyperlink" Target="https://www.plantsjournal.com/archives/2016/vol4issue4/PartD/4-4-4-759.pdf" TargetMode="External"/><Relationship Id="rId37" Type="http://schemas.openxmlformats.org/officeDocument/2006/relationships/hyperlink" Target="https://doi.org/10.51791/njap.v39i1.2277" TargetMode="External"/><Relationship Id="rId40" Type="http://schemas.openxmlformats.org/officeDocument/2006/relationships/hyperlink" Target="https://doi.org/10.3390/ani16030489" TargetMode="External"/><Relationship Id="rId45" Type="http://schemas.openxmlformats.org/officeDocument/2006/relationships/hyperlink" Target="https://doi.org/10.1007/s10668-023-03655-6" TargetMode="External"/><Relationship Id="rId53" Type="http://schemas.openxmlformats.org/officeDocument/2006/relationships/hyperlink" Target="https://doi.org/10.1186/s43014-020-0020-5" TargetMode="External"/><Relationship Id="rId58" Type="http://schemas.openxmlformats.org/officeDocument/2006/relationships/hyperlink" Target="https://doi.org/10.3168/jds.S0022-0302(91)78551-2" TargetMode="External"/><Relationship Id="rId5" Type="http://schemas.openxmlformats.org/officeDocument/2006/relationships/webSettings" Target="webSettings.xml"/><Relationship Id="rId61" Type="http://schemas.openxmlformats.org/officeDocument/2006/relationships/header" Target="header5.xml"/><Relationship Id="rId19" Type="http://schemas.openxmlformats.org/officeDocument/2006/relationships/hyperlink" Target="https://doi.org/10.20956/bnmt.v15i1.14464" TargetMode="External"/><Relationship Id="rId14" Type="http://schemas.openxmlformats.org/officeDocument/2006/relationships/hyperlink" Target="https://doi.org/10.1155/2023/6762027" TargetMode="External"/><Relationship Id="rId22" Type="http://schemas.openxmlformats.org/officeDocument/2006/relationships/hyperlink" Target="https://doi.org/10.3389/fphar.2022.842511" TargetMode="External"/><Relationship Id="rId27" Type="http://schemas.openxmlformats.org/officeDocument/2006/relationships/hyperlink" Target="https://doi.org/10.3389/fvets.2024.1286563" TargetMode="External"/><Relationship Id="rId30" Type="http://schemas.openxmlformats.org/officeDocument/2006/relationships/hyperlink" Target="https://doi.org/10.1016/j.foodchem.2014.03.112" TargetMode="External"/><Relationship Id="rId35" Type="http://schemas.openxmlformats.org/officeDocument/2006/relationships/hyperlink" Target="https://doi.org/10.1146/annurev-animal-031412-103717" TargetMode="External"/><Relationship Id="rId43" Type="http://schemas.openxmlformats.org/officeDocument/2006/relationships/hyperlink" Target="https://doi.org/10.1016/j.psj.2025.105105" TargetMode="External"/><Relationship Id="rId48" Type="http://schemas.openxmlformats.org/officeDocument/2006/relationships/hyperlink" Target="https://doi.org/10.1007/s11157-012-9289-4" TargetMode="External"/><Relationship Id="rId56" Type="http://schemas.openxmlformats.org/officeDocument/2006/relationships/hyperlink" Target="https://doi.org/10.3390/molecules29143262"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doi.org/10.3390/ani16111590"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16/0168-1605(96)00967-1" TargetMode="External"/><Relationship Id="rId25" Type="http://schemas.openxmlformats.org/officeDocument/2006/relationships/hyperlink" Target="https://doi.org/10.1016/j.foodchem.2011.02.053" TargetMode="External"/><Relationship Id="rId33" Type="http://schemas.openxmlformats.org/officeDocument/2006/relationships/hyperlink" Target="https://doi.org/10.9734/jabb/2026/v29i53884" TargetMode="External"/><Relationship Id="rId38" Type="http://schemas.openxmlformats.org/officeDocument/2006/relationships/hyperlink" Target="https://doi.org/10.1016/j.anifeedsci.2024.115947" TargetMode="External"/><Relationship Id="rId46" Type="http://schemas.openxmlformats.org/officeDocument/2006/relationships/hyperlink" Target="https://doi.org/10.1002/fsn3.846" TargetMode="External"/><Relationship Id="rId59" Type="http://schemas.openxmlformats.org/officeDocument/2006/relationships/hyperlink" Target="https://doi.org/10.3109/07388551.2015.1132406" TargetMode="External"/><Relationship Id="rId20" Type="http://schemas.openxmlformats.org/officeDocument/2006/relationships/hyperlink" Target="https://doi.org/10.1002/jsf2.70063" TargetMode="External"/><Relationship Id="rId41" Type="http://schemas.openxmlformats.org/officeDocument/2006/relationships/hyperlink" Target="https://doi.org/10.1111/j.1541-4337.2008.00064.x" TargetMode="External"/><Relationship Id="rId54" Type="http://schemas.openxmlformats.org/officeDocument/2006/relationships/hyperlink" Target="https://doi.org/10.1016/j.heliyon.2022.e09496" TargetMode="External"/><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ournals.ui.edu.ng/index.php/tapi/article/view/1652" TargetMode="External"/><Relationship Id="rId23" Type="http://schemas.openxmlformats.org/officeDocument/2006/relationships/hyperlink" Target="https://doi.org/10.56557/upjoz/2024/v45i184441" TargetMode="External"/><Relationship Id="rId28" Type="http://schemas.openxmlformats.org/officeDocument/2006/relationships/hyperlink" Target="https://jom.unri.ac.id/index.php/JOMFAPERIKA/article/view/29555" TargetMode="External"/><Relationship Id="rId36" Type="http://schemas.openxmlformats.org/officeDocument/2006/relationships/hyperlink" Target="https://agris.fao.org/search/en/providers/122640/records/64747385425ec3c088f33f7a" TargetMode="External"/><Relationship Id="rId49" Type="http://schemas.openxmlformats.org/officeDocument/2006/relationships/hyperlink" Target="https://doi.org/10.2174/1874070701913010068" TargetMode="External"/><Relationship Id="rId57" Type="http://schemas.openxmlformats.org/officeDocument/2006/relationships/hyperlink" Target="https://doi.org/10.1016/j.foodchem.2014.02.066" TargetMode="External"/><Relationship Id="rId10" Type="http://schemas.openxmlformats.org/officeDocument/2006/relationships/footer" Target="footer1.xml"/><Relationship Id="rId31" Type="http://schemas.openxmlformats.org/officeDocument/2006/relationships/hyperlink" Target="https://doi.org/10.1016/j.jfca.2022.104685" TargetMode="External"/><Relationship Id="rId44" Type="http://schemas.openxmlformats.org/officeDocument/2006/relationships/hyperlink" Target="https://doi.org/10.1016/j.fct.2010.10.035" TargetMode="External"/><Relationship Id="rId52" Type="http://schemas.openxmlformats.org/officeDocument/2006/relationships/hyperlink" Target="https://doi.org/10.1002/jsf2.70020" TargetMode="External"/><Relationship Id="rId60" Type="http://schemas.openxmlformats.org/officeDocument/2006/relationships/header" Target="header4.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doi.org/10.1080/09064702.2025.2544263" TargetMode="External"/><Relationship Id="rId39" Type="http://schemas.openxmlformats.org/officeDocument/2006/relationships/hyperlink" Target="https://doi.org/10.1016/j.copbio.2016.11.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1779F-623C-49DC-9E7C-DC8CDA1E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281</TotalTime>
  <Pages>1</Pages>
  <Words>13660</Words>
  <Characters>77867</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91345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SDI CPU 1117</cp:lastModifiedBy>
  <cp:revision>9</cp:revision>
  <cp:lastPrinted>1999-07-06T11:00:00Z</cp:lastPrinted>
  <dcterms:created xsi:type="dcterms:W3CDTF">2026-09-21T11:05:00Z</dcterms:created>
  <dcterms:modified xsi:type="dcterms:W3CDTF">2026-09-24T09:10:00Z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adecc05c-a87e-4c6f-ae0f-8a77d3e5942f</vt:lpwstr>
  </property>
</Properties>
</file>