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6D360" w14:textId="77777777" w:rsidR="00A258C3" w:rsidRPr="00790ADA" w:rsidRDefault="001C47BA" w:rsidP="00441B6F">
      <w:pPr>
        <w:pStyle w:val="Author"/>
        <w:spacing w:line="240" w:lineRule="auto"/>
        <w:jc w:val="both"/>
        <w:rPr>
          <w:rFonts w:ascii="Arial" w:hAnsi="Arial" w:cs="Arial"/>
          <w:sz w:val="36"/>
        </w:rPr>
      </w:pPr>
      <w:r>
        <w:rPr>
          <w:rFonts w:ascii="Arial" w:hAnsi="Arial" w:cs="Arial"/>
          <w:bCs/>
          <w:iCs/>
          <w:kern w:val="28"/>
          <w:sz w:val="36"/>
        </w:rPr>
        <w:t xml:space="preserve">Enhancing the Feed Value of </w:t>
      </w:r>
      <w:r>
        <w:rPr>
          <w:rFonts w:ascii="Arial" w:hAnsi="Arial" w:cs="Arial"/>
          <w:bCs/>
          <w:i/>
          <w:iCs/>
          <w:kern w:val="28"/>
          <w:sz w:val="36"/>
          <w:highlight w:val="yellow"/>
        </w:rPr>
        <w:t>Eichhornia crassipes</w:t>
      </w:r>
      <w:r>
        <w:rPr>
          <w:rFonts w:ascii="Arial" w:hAnsi="Arial" w:cs="Arial"/>
          <w:bCs/>
          <w:iCs/>
          <w:kern w:val="28"/>
          <w:sz w:val="36"/>
        </w:rPr>
        <w:t xml:space="preserve"> Through Processing: Nutritional Composition, Anti-Nutritional Factors and In Vitro Protein Digestibility</w:t>
      </w:r>
    </w:p>
    <w:p w14:paraId="2B07D93A" w14:textId="77777777" w:rsidR="00A34D14" w:rsidRDefault="00A34D14" w:rsidP="00441B6F">
      <w:pPr>
        <w:pStyle w:val="Copyright"/>
        <w:spacing w:after="0" w:line="240" w:lineRule="auto"/>
        <w:jc w:val="both"/>
        <w:rPr>
          <w:rFonts w:ascii="Arial" w:hAnsi="Arial" w:cs="Arial"/>
        </w:rPr>
      </w:pPr>
    </w:p>
    <w:p w14:paraId="67254742" w14:textId="77777777" w:rsidR="00A34D14" w:rsidRDefault="00A34D14" w:rsidP="00441B6F">
      <w:pPr>
        <w:pStyle w:val="Copyright"/>
        <w:spacing w:after="0" w:line="240" w:lineRule="auto"/>
        <w:jc w:val="both"/>
        <w:rPr>
          <w:rFonts w:ascii="Arial" w:hAnsi="Arial" w:cs="Arial"/>
        </w:rPr>
      </w:pPr>
    </w:p>
    <w:p w14:paraId="1C2B89DE" w14:textId="77777777" w:rsidR="00B01FCD" w:rsidRPr="00FB3A86" w:rsidRDefault="00F90D3C" w:rsidP="00441B6F">
      <w:pPr>
        <w:pStyle w:val="Copyright"/>
        <w:spacing w:after="0" w:line="240" w:lineRule="auto"/>
        <w:jc w:val="both"/>
        <w:rPr>
          <w:rFonts w:ascii="Arial" w:hAnsi="Arial" w:cs="Arial"/>
        </w:rPr>
        <w:sectPr w:rsidR="00B01FCD" w:rsidRPr="00FB3A86" w:rsidSect="00861410">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3953DEAC" wp14:editId="6192420D">
                <wp:extent cx="5303520" cy="635"/>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E38FE7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FB3A86">
        <w:rPr>
          <w:rFonts w:ascii="Arial" w:hAnsi="Arial" w:cs="Arial"/>
        </w:rPr>
        <w:t>.</w:t>
      </w:r>
    </w:p>
    <w:p w14:paraId="4D54C9C9"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r w:rsidR="00F90D3C">
        <w:rPr>
          <w:rFonts w:ascii="Arial" w:hAnsi="Arial" w:cs="Arial"/>
        </w:rPr>
        <w:t xml:space="preserve"> </w:t>
      </w:r>
    </w:p>
    <w:p w14:paraId="124DF686" w14:textId="77777777" w:rsidR="00CB529A" w:rsidRDefault="00CB529A" w:rsidP="00CB529A">
      <w:pPr>
        <w:jc w:val="both"/>
        <w:rPr>
          <w:highlight w:val="yellow"/>
        </w:rPr>
      </w:pPr>
      <w:r w:rsidRPr="00CB529A">
        <w:rPr>
          <w:highlight w:val="yellow"/>
        </w:rPr>
        <w:t>Water hyacinth (</w:t>
      </w:r>
      <w:r w:rsidRPr="00CB529A">
        <w:rPr>
          <w:rStyle w:val="Emphasis"/>
          <w:highlight w:val="yellow"/>
        </w:rPr>
        <w:t>Eichhornia crassipes</w:t>
      </w:r>
      <w:r w:rsidRPr="00CB529A">
        <w:rPr>
          <w:highlight w:val="yellow"/>
        </w:rPr>
        <w:t>) is a potential livestock feed resource, but its utilisation is constrained by high fibre content and anti-nutritional factors. This study evaluated the effects of fermentation, boiling and oven drying on nutritional composition, anti-nutritional factors and in vitro protein digestibility following sequential pepsin–pancreatin digestion. Data were analysed using one-way analysis of variance, with mean separation by Tukey’s HSD test at p &lt; 0.05. Processing significantly affected the measured nutritional and anti-nutritional characteristics except oxalate. Among processed samples, oven drying retained the highest protein (46.93 ± 0.58%) and nitrogen (7.51 ± 0.09%) contents. Fermentation produced the lowest crude fibre (31.70 ± 0.26%), neutral detergent fibre (54.32 ± 0.86%) and acid detergent fibre (33.84 ± 0.69%), reduced phytate to 7.91 ± 0.08 µg/mL, and retained the highest free amino acid concentration among processed samples (270.62 ± 0.35 mg/L). Boiling produced the lowest tannin (24.58 ± 0.32 mg/mL) and cyanogenic glycoside (36.34 ± 0.33 mg/100 g) concentrations. Oxalate was not detected in processed samples. Fermentation yielded the highest final in vitro protein digestibility (74.63 ± 0.82%), compared with 57.26 ± 0.73% in the control. Overall, processing effects were parameter-specific, with oven drying favouring protein retention, fermentation favouring fibre reduction and digestibility, and boiling favouring reduction of selected anti-nutritional factors.</w:t>
      </w:r>
    </w:p>
    <w:p w14:paraId="1B4E8D13" w14:textId="77777777" w:rsidR="00CB529A" w:rsidRDefault="00CB529A" w:rsidP="00CB529A">
      <w:pPr>
        <w:jc w:val="both"/>
        <w:rPr>
          <w:highlight w:val="yellow"/>
        </w:rPr>
      </w:pPr>
    </w:p>
    <w:p w14:paraId="643CFEA5" w14:textId="2B38C112" w:rsidR="00CB529A" w:rsidRDefault="00CB529A" w:rsidP="00CB529A">
      <w:pPr>
        <w:jc w:val="both"/>
        <w:rPr>
          <w:highlight w:val="yellow"/>
        </w:rPr>
      </w:pPr>
      <w:r w:rsidRPr="00CB529A">
        <w:rPr>
          <w:b/>
          <w:bCs/>
          <w:highlight w:val="yellow"/>
        </w:rPr>
        <w:t>Keywords</w:t>
      </w:r>
      <w:r>
        <w:rPr>
          <w:highlight w:val="yellow"/>
        </w:rPr>
        <w:t xml:space="preserve">: </w:t>
      </w:r>
      <w:r>
        <w:t xml:space="preserve">Water hyacinth; </w:t>
      </w:r>
      <w:r>
        <w:rPr>
          <w:rStyle w:val="Emphasis"/>
        </w:rPr>
        <w:t>Eichhornia crassipes</w:t>
      </w:r>
      <w:r>
        <w:t xml:space="preserve">; feed value; fermentation; boiling; oven drying; anti-nutritional factors; </w:t>
      </w:r>
      <w:proofErr w:type="spellStart"/>
      <w:r>
        <w:t>fibre</w:t>
      </w:r>
      <w:proofErr w:type="spellEnd"/>
      <w:r>
        <w:t xml:space="preserve"> fractions; protein digestibility; free amino acids</w:t>
      </w:r>
    </w:p>
    <w:p w14:paraId="4E4E3DDF" w14:textId="77777777" w:rsidR="00CB529A" w:rsidRDefault="00CB529A" w:rsidP="00CB529A">
      <w:pPr>
        <w:rPr>
          <w:highlight w:val="yellow"/>
        </w:rPr>
      </w:pPr>
    </w:p>
    <w:p w14:paraId="24599286" w14:textId="53F738E3" w:rsidR="00790ADA" w:rsidRPr="00CB529A" w:rsidRDefault="00B01FCD" w:rsidP="00CB529A">
      <w:pPr>
        <w:rPr>
          <w:rFonts w:ascii="Arial" w:hAnsi="Arial" w:cs="Arial"/>
          <w:b/>
          <w:bCs/>
        </w:rPr>
      </w:pPr>
      <w:r w:rsidRPr="00CB529A">
        <w:rPr>
          <w:rFonts w:ascii="Arial" w:hAnsi="Arial" w:cs="Arial"/>
          <w:b/>
          <w:bCs/>
          <w:highlight w:val="yellow"/>
        </w:rPr>
        <w:t>INTRODUCTION</w:t>
      </w:r>
    </w:p>
    <w:p w14:paraId="1B56DF7F" w14:textId="77777777" w:rsidR="0040444D" w:rsidRDefault="0040444D" w:rsidP="0040444D">
      <w:pPr>
        <w:spacing w:line="480" w:lineRule="auto"/>
        <w:jc w:val="both"/>
        <w:rPr>
          <w:rFonts w:ascii="Times New Roman" w:hAnsi="Times New Roman"/>
        </w:rPr>
      </w:pPr>
      <w:r>
        <w:rPr>
          <w:rFonts w:ascii="Times New Roman" w:hAnsi="Times New Roman"/>
        </w:rPr>
        <w:t xml:space="preserve">The rapid growth of the global human population, increasing competition for conventional feed resources, and the rising cost of livestock production have intensified the search for alternative feed ingredients that are inexpensive, readily available, nutritionally valuable, and environmentally sustainable (Yan </w:t>
      </w:r>
      <w:r>
        <w:rPr>
          <w:rFonts w:ascii="Times New Roman" w:hAnsi="Times New Roman"/>
          <w:i/>
        </w:rPr>
        <w:t>et al.,</w:t>
      </w:r>
      <w:r>
        <w:rPr>
          <w:rFonts w:ascii="Times New Roman" w:hAnsi="Times New Roman"/>
        </w:rPr>
        <w:t xml:space="preserve"> 2017). Feed accounts for a substantial proportion of the total cost of livestock production, and the dependence on conventional feedstuffs such as maize, soybean meal, and other cereal grains has continued to place pressure on the livestock industry. </w:t>
      </w:r>
      <w:r>
        <w:rPr>
          <w:rFonts w:ascii="Times New Roman" w:hAnsi="Times New Roman"/>
          <w:highlight w:val="yellow"/>
        </w:rPr>
        <w:t>R</w:t>
      </w:r>
      <w:r>
        <w:rPr>
          <w:rFonts w:ascii="Times New Roman" w:hAnsi="Times New Roman"/>
        </w:rPr>
        <w:t xml:space="preserve">esearchers have increasingly focused on unconventional plant resources that can supplement or partially replace conventional feed ingredients without compromising animal performance (Ralinala </w:t>
      </w:r>
      <w:r>
        <w:rPr>
          <w:rFonts w:ascii="Times New Roman" w:hAnsi="Times New Roman"/>
          <w:i/>
        </w:rPr>
        <w:t>et al.,</w:t>
      </w:r>
      <w:r>
        <w:rPr>
          <w:rFonts w:ascii="Times New Roman" w:hAnsi="Times New Roman"/>
        </w:rPr>
        <w:t xml:space="preserve"> 202</w:t>
      </w:r>
      <w:r>
        <w:rPr>
          <w:rFonts w:ascii="Times New Roman" w:hAnsi="Times New Roman"/>
          <w:highlight w:val="yellow"/>
        </w:rPr>
        <w:t>6</w:t>
      </w:r>
      <w:r>
        <w:rPr>
          <w:rFonts w:ascii="Times New Roman" w:hAnsi="Times New Roman"/>
        </w:rPr>
        <w:t>).</w:t>
      </w:r>
    </w:p>
    <w:p w14:paraId="6EC8C32E" w14:textId="77777777" w:rsidR="0040444D" w:rsidRDefault="0040444D" w:rsidP="0040444D">
      <w:pPr>
        <w:spacing w:line="480" w:lineRule="auto"/>
        <w:jc w:val="both"/>
        <w:rPr>
          <w:rFonts w:ascii="Times New Roman" w:hAnsi="Times New Roman"/>
        </w:rPr>
      </w:pPr>
      <w:r>
        <w:rPr>
          <w:rFonts w:ascii="Times New Roman" w:hAnsi="Times New Roman"/>
        </w:rPr>
        <w:t xml:space="preserve">Among the unconventional feed resources receiving considerable attention is </w:t>
      </w:r>
      <w:r>
        <w:rPr>
          <w:rFonts w:ascii="Times New Roman" w:hAnsi="Times New Roman"/>
          <w:i/>
        </w:rPr>
        <w:t>Eichhornia crassipes</w:t>
      </w:r>
      <w:r>
        <w:rPr>
          <w:rFonts w:ascii="Times New Roman" w:hAnsi="Times New Roman"/>
        </w:rPr>
        <w:t xml:space="preserve">, commonly known as water hyacinth. Water hyacinth is a free-floating perennial aquatic macrophyte belonging to the family </w:t>
      </w:r>
      <w:r>
        <w:rPr>
          <w:rFonts w:ascii="Times New Roman" w:hAnsi="Times New Roman"/>
          <w:i/>
        </w:rPr>
        <w:t xml:space="preserve">Pontederiaceae </w:t>
      </w:r>
      <w:r>
        <w:rPr>
          <w:rFonts w:ascii="Times New Roman" w:hAnsi="Times New Roman"/>
        </w:rPr>
        <w:t>(</w:t>
      </w:r>
      <w:r>
        <w:rPr>
          <w:rFonts w:ascii="Times New Roman" w:hAnsi="Times New Roman"/>
          <w:highlight w:val="yellow"/>
        </w:rPr>
        <w:t>Ben Bakrim et a</w:t>
      </w:r>
      <w:r>
        <w:rPr>
          <w:rFonts w:ascii="Times New Roman" w:hAnsi="Times New Roman"/>
        </w:rPr>
        <w:t>l</w:t>
      </w:r>
      <w:r>
        <w:rPr>
          <w:rFonts w:ascii="Times New Roman" w:hAnsi="Times New Roman"/>
          <w:highlight w:val="yellow"/>
        </w:rPr>
        <w:t>.</w:t>
      </w:r>
      <w:r>
        <w:rPr>
          <w:rFonts w:ascii="Times New Roman" w:hAnsi="Times New Roman"/>
        </w:rPr>
        <w:t>, 2022).  Native to the Amazon Basin of South America, the plant has spread rapidly throughout tropical and subtropical regions of the world, including many African countries such as Nigeria, Ghana, Kenya, Uganda, Ethiopia, Zimbabwe, and South Africa. Owing to its remarkable adaptability and extremely rapid vegetative reproduction, water hyacinth has been recognized as one of the world’s most invasive aquatic plant</w:t>
      </w:r>
      <w:r>
        <w:rPr>
          <w:rFonts w:ascii="Times New Roman" w:hAnsi="Times New Roman"/>
          <w:highlight w:val="yellow"/>
        </w:rPr>
        <w:t>s</w:t>
      </w:r>
      <w:r>
        <w:rPr>
          <w:rFonts w:ascii="Times New Roman" w:hAnsi="Times New Roman"/>
        </w:rPr>
        <w:t xml:space="preserve"> (</w:t>
      </w:r>
      <w:r>
        <w:rPr>
          <w:rFonts w:ascii="Times New Roman" w:hAnsi="Times New Roman"/>
          <w:highlight w:val="yellow"/>
        </w:rPr>
        <w:t>Ben B</w:t>
      </w:r>
      <w:r>
        <w:rPr>
          <w:rFonts w:ascii="Times New Roman" w:hAnsi="Times New Roman"/>
        </w:rPr>
        <w:t>a</w:t>
      </w:r>
      <w:r>
        <w:rPr>
          <w:rFonts w:ascii="Times New Roman" w:hAnsi="Times New Roman"/>
          <w:highlight w:val="yellow"/>
        </w:rPr>
        <w:t>krim</w:t>
      </w:r>
      <w:r>
        <w:rPr>
          <w:rFonts w:ascii="Times New Roman" w:hAnsi="Times New Roman"/>
        </w:rPr>
        <w:t xml:space="preserve"> </w:t>
      </w:r>
      <w:r>
        <w:rPr>
          <w:rFonts w:ascii="Times New Roman" w:hAnsi="Times New Roman"/>
          <w:i/>
        </w:rPr>
        <w:t>et al.,</w:t>
      </w:r>
      <w:r>
        <w:rPr>
          <w:rFonts w:ascii="Times New Roman" w:hAnsi="Times New Roman"/>
        </w:rPr>
        <w:t xml:space="preserve"> 2022). The uncontrolled proliferation of water hyacinth poses serious ecological, economic, and social </w:t>
      </w:r>
      <w:r>
        <w:rPr>
          <w:rFonts w:ascii="Times New Roman" w:hAnsi="Times New Roman"/>
        </w:rPr>
        <w:lastRenderedPageBreak/>
        <w:t xml:space="preserve">challenges as dense mats formed by the plant obstruct waterways, interfere with navigation, reduce water quality, impede fishing activities, block irrigation canals, and decrease biodiversity by limiting light penetration and dissolved oxygen levels in aquatic ecosystems (Yan </w:t>
      </w:r>
      <w:r>
        <w:rPr>
          <w:rFonts w:ascii="Times New Roman" w:hAnsi="Times New Roman"/>
          <w:i/>
        </w:rPr>
        <w:t>et al.,</w:t>
      </w:r>
      <w:r>
        <w:rPr>
          <w:rFonts w:ascii="Times New Roman" w:hAnsi="Times New Roman"/>
        </w:rPr>
        <w:t xml:space="preserve"> 2017). Furthermore, the plant provides breeding habitats for disease vectors such as mosquitoes and snails, thereby contributing to public health concerns (</w:t>
      </w:r>
      <w:r>
        <w:rPr>
          <w:rFonts w:ascii="Times New Roman" w:hAnsi="Times New Roman"/>
          <w:highlight w:val="yellow"/>
        </w:rPr>
        <w:t>Ben Bakrim et a</w:t>
      </w:r>
      <w:r>
        <w:rPr>
          <w:rFonts w:ascii="Times New Roman" w:hAnsi="Times New Roman"/>
        </w:rPr>
        <w:t>l</w:t>
      </w:r>
      <w:r>
        <w:rPr>
          <w:rFonts w:ascii="Times New Roman" w:hAnsi="Times New Roman"/>
          <w:highlight w:val="yellow"/>
        </w:rPr>
        <w:t>.</w:t>
      </w:r>
      <w:r>
        <w:rPr>
          <w:rFonts w:ascii="Times New Roman" w:hAnsi="Times New Roman"/>
        </w:rPr>
        <w:t xml:space="preserve">, 2022). Rajan </w:t>
      </w:r>
      <w:r>
        <w:rPr>
          <w:rFonts w:ascii="Times New Roman" w:hAnsi="Times New Roman"/>
          <w:i/>
        </w:rPr>
        <w:t>et al.</w:t>
      </w:r>
      <w:r>
        <w:rPr>
          <w:rFonts w:ascii="Times New Roman" w:hAnsi="Times New Roman"/>
        </w:rPr>
        <w:t xml:space="preserve"> (2023)</w:t>
      </w:r>
      <w:r>
        <w:rPr>
          <w:rFonts w:ascii="Times New Roman" w:hAnsi="Times New Roman"/>
          <w:highlight w:val="yellow"/>
        </w:rPr>
        <w:t xml:space="preserve"> and</w:t>
      </w:r>
      <w:r>
        <w:rPr>
          <w:rFonts w:ascii="Times New Roman" w:hAnsi="Times New Roman"/>
        </w:rPr>
        <w:t xml:space="preserve"> Nandiyanto </w:t>
      </w:r>
      <w:r>
        <w:rPr>
          <w:rFonts w:ascii="Times New Roman" w:hAnsi="Times New Roman"/>
          <w:i/>
        </w:rPr>
        <w:t>et al.</w:t>
      </w:r>
      <w:r>
        <w:rPr>
          <w:rFonts w:ascii="Times New Roman" w:hAnsi="Times New Roman"/>
        </w:rPr>
        <w:t xml:space="preserve"> (2024) also described the plant as a valuable agricultural resource when properly utili</w:t>
      </w:r>
      <w:r>
        <w:rPr>
          <w:rFonts w:ascii="Times New Roman" w:hAnsi="Times New Roman"/>
          <w:highlight w:val="yellow"/>
        </w:rPr>
        <w:t>s</w:t>
      </w:r>
      <w:r>
        <w:rPr>
          <w:rFonts w:ascii="Times New Roman" w:hAnsi="Times New Roman"/>
        </w:rPr>
        <w:t xml:space="preserve">ed, while </w:t>
      </w:r>
      <w:r>
        <w:rPr>
          <w:rStyle w:val="Strong"/>
          <w:rFonts w:eastAsiaTheme="majorEastAsia"/>
          <w:b w:val="0"/>
        </w:rPr>
        <w:t>Patel (2012)</w:t>
      </w:r>
      <w:r>
        <w:rPr>
          <w:rFonts w:ascii="Times New Roman" w:hAnsi="Times New Roman"/>
        </w:rPr>
        <w:t xml:space="preserve"> emphasi</w:t>
      </w:r>
      <w:r>
        <w:rPr>
          <w:rFonts w:ascii="Times New Roman" w:hAnsi="Times New Roman"/>
          <w:highlight w:val="yellow"/>
        </w:rPr>
        <w:t>s</w:t>
      </w:r>
      <w:r>
        <w:rPr>
          <w:rFonts w:ascii="Times New Roman" w:hAnsi="Times New Roman"/>
        </w:rPr>
        <w:t>ed that its abundant biomass can be converted into useful livestock feed rather than remaining an environmental nuisance.</w:t>
      </w:r>
    </w:p>
    <w:p w14:paraId="26F4B6D2" w14:textId="77777777" w:rsidR="0040444D" w:rsidRPr="00CB529A" w:rsidRDefault="0040444D" w:rsidP="0040444D">
      <w:pPr>
        <w:spacing w:line="480" w:lineRule="auto"/>
        <w:jc w:val="both"/>
        <w:rPr>
          <w:rFonts w:ascii="Times New Roman" w:hAnsi="Times New Roman"/>
        </w:rPr>
      </w:pPr>
      <w:r>
        <w:rPr>
          <w:rFonts w:ascii="Times New Roman" w:hAnsi="Times New Roman"/>
        </w:rPr>
        <w:t>Despite its invasive nature, water hyacinth possesses several characteristics that make it attractive as a potential livestock feed resource. The plant produces enormous quantities of biomass within a short period and is available throughout most of the year in freshwater ecosystems (</w:t>
      </w:r>
      <w:r>
        <w:rPr>
          <w:rFonts w:ascii="Times New Roman" w:hAnsi="Times New Roman"/>
          <w:highlight w:val="yellow"/>
        </w:rPr>
        <w:t>Ben B</w:t>
      </w:r>
      <w:r>
        <w:rPr>
          <w:rFonts w:ascii="Times New Roman" w:hAnsi="Times New Roman"/>
        </w:rPr>
        <w:t>a</w:t>
      </w:r>
      <w:r>
        <w:rPr>
          <w:rFonts w:ascii="Times New Roman" w:hAnsi="Times New Roman"/>
          <w:highlight w:val="yellow"/>
        </w:rPr>
        <w:t>krim</w:t>
      </w:r>
      <w:r>
        <w:rPr>
          <w:rFonts w:ascii="Times New Roman" w:hAnsi="Times New Roman"/>
        </w:rPr>
        <w:t xml:space="preserve"> </w:t>
      </w:r>
      <w:r>
        <w:rPr>
          <w:rFonts w:ascii="Times New Roman" w:hAnsi="Times New Roman"/>
          <w:i/>
        </w:rPr>
        <w:t>et al.,</w:t>
      </w:r>
      <w:r>
        <w:rPr>
          <w:rFonts w:ascii="Times New Roman" w:hAnsi="Times New Roman"/>
        </w:rPr>
        <w:t xml:space="preserve"> 2022). Ralinala </w:t>
      </w:r>
      <w:r>
        <w:rPr>
          <w:rFonts w:ascii="Times New Roman" w:hAnsi="Times New Roman"/>
          <w:i/>
        </w:rPr>
        <w:t>et al.</w:t>
      </w:r>
      <w:r>
        <w:rPr>
          <w:rFonts w:ascii="Times New Roman" w:hAnsi="Times New Roman"/>
        </w:rPr>
        <w:t xml:space="preserve"> (202</w:t>
      </w:r>
      <w:r>
        <w:rPr>
          <w:rFonts w:ascii="Times New Roman" w:hAnsi="Times New Roman"/>
          <w:highlight w:val="yellow"/>
        </w:rPr>
        <w:t>6</w:t>
      </w:r>
      <w:r>
        <w:rPr>
          <w:rFonts w:ascii="Times New Roman" w:hAnsi="Times New Roman"/>
        </w:rPr>
        <w:t>) show</w:t>
      </w:r>
      <w:r>
        <w:rPr>
          <w:rFonts w:ascii="Times New Roman" w:hAnsi="Times New Roman"/>
          <w:highlight w:val="yellow"/>
        </w:rPr>
        <w:t>ed</w:t>
      </w:r>
      <w:r>
        <w:rPr>
          <w:rFonts w:ascii="Times New Roman" w:hAnsi="Times New Roman"/>
        </w:rPr>
        <w:t xml:space="preserve"> that its dry matter contains appreciable amounts of crude protein, minerals, essential amino acids, and structural carbohydrates, indicating its potential nutritional value for ruminants and non-ruminant animals when properly processed and incorporated into balanced diets. However, the direct utili</w:t>
      </w:r>
      <w:r>
        <w:rPr>
          <w:rFonts w:ascii="Times New Roman" w:hAnsi="Times New Roman"/>
          <w:highlight w:val="yellow"/>
        </w:rPr>
        <w:t>s</w:t>
      </w:r>
      <w:r>
        <w:rPr>
          <w:rFonts w:ascii="Times New Roman" w:hAnsi="Times New Roman"/>
        </w:rPr>
        <w:t xml:space="preserve">ation of fresh water hyacinth as animal feed is limited by several factors </w:t>
      </w:r>
      <w:r>
        <w:rPr>
          <w:rFonts w:ascii="Times New Roman" w:hAnsi="Times New Roman"/>
          <w:highlight w:val="yellow"/>
        </w:rPr>
        <w:t>bec</w:t>
      </w:r>
      <w:r>
        <w:rPr>
          <w:rFonts w:ascii="Times New Roman" w:hAnsi="Times New Roman"/>
        </w:rPr>
        <w:t>a</w:t>
      </w:r>
      <w:r>
        <w:rPr>
          <w:rFonts w:ascii="Times New Roman" w:hAnsi="Times New Roman"/>
          <w:highlight w:val="yellow"/>
        </w:rPr>
        <w:t>u</w:t>
      </w:r>
      <w:r>
        <w:rPr>
          <w:rFonts w:ascii="Times New Roman" w:hAnsi="Times New Roman"/>
        </w:rPr>
        <w:t>s</w:t>
      </w:r>
      <w:r>
        <w:rPr>
          <w:rFonts w:ascii="Times New Roman" w:hAnsi="Times New Roman"/>
          <w:highlight w:val="yellow"/>
        </w:rPr>
        <w:t>e</w:t>
      </w:r>
      <w:r>
        <w:rPr>
          <w:rFonts w:ascii="Times New Roman" w:hAnsi="Times New Roman"/>
        </w:rPr>
        <w:t xml:space="preserve"> the plant </w:t>
      </w:r>
      <w:r>
        <w:rPr>
          <w:rFonts w:ascii="Times New Roman" w:hAnsi="Times New Roman"/>
          <w:highlight w:val="yellow"/>
        </w:rPr>
        <w:t>h</w:t>
      </w:r>
      <w:r>
        <w:rPr>
          <w:rFonts w:ascii="Times New Roman" w:hAnsi="Times New Roman"/>
        </w:rPr>
        <w:t>as</w:t>
      </w:r>
      <w:r>
        <w:rPr>
          <w:rFonts w:ascii="Times New Roman" w:hAnsi="Times New Roman"/>
          <w:highlight w:val="yellow"/>
        </w:rPr>
        <w:t xml:space="preserve"> a</w:t>
      </w:r>
      <w:r>
        <w:rPr>
          <w:rFonts w:ascii="Times New Roman" w:hAnsi="Times New Roman"/>
        </w:rPr>
        <w:t xml:space="preserve"> high moisture content, relatively high fibre fractions, variable nitrogen concentration, and several anti-nutritional compounds that reduce nutrient digestibility, palatability, and voluntary feed intake (</w:t>
      </w:r>
      <w:r>
        <w:rPr>
          <w:rFonts w:ascii="Times New Roman" w:hAnsi="Times New Roman"/>
          <w:highlight w:val="yellow"/>
        </w:rPr>
        <w:t>Ben Bakrim et a</w:t>
      </w:r>
      <w:r>
        <w:rPr>
          <w:rFonts w:ascii="Times New Roman" w:hAnsi="Times New Roman"/>
        </w:rPr>
        <w:t>l</w:t>
      </w:r>
      <w:r>
        <w:rPr>
          <w:rFonts w:ascii="Times New Roman" w:hAnsi="Times New Roman"/>
          <w:highlight w:val="yellow"/>
        </w:rPr>
        <w:t>.</w:t>
      </w:r>
      <w:r>
        <w:rPr>
          <w:rFonts w:ascii="Times New Roman" w:hAnsi="Times New Roman"/>
        </w:rPr>
        <w:t xml:space="preserve">, 2022). In </w:t>
      </w:r>
      <w:r w:rsidRPr="00CB529A">
        <w:rPr>
          <w:rFonts w:ascii="Times New Roman" w:hAnsi="Times New Roman"/>
        </w:rPr>
        <w:t xml:space="preserve">addition, because water hyacinth readily absorbs minerals, heavy metals, and other contaminants from polluted water bodies, the safety and nutritional quality of harvested plants depend largely on their source and subsequent processing methods (Ralinala </w:t>
      </w:r>
      <w:r w:rsidRPr="00CB529A">
        <w:rPr>
          <w:rFonts w:ascii="Times New Roman" w:hAnsi="Times New Roman"/>
          <w:i/>
        </w:rPr>
        <w:t>et al.,</w:t>
      </w:r>
      <w:r w:rsidRPr="00CB529A">
        <w:rPr>
          <w:rFonts w:ascii="Times New Roman" w:hAnsi="Times New Roman"/>
        </w:rPr>
        <w:t xml:space="preserve"> 202</w:t>
      </w:r>
      <w:r w:rsidRPr="00CB529A">
        <w:rPr>
          <w:rFonts w:ascii="Times New Roman" w:hAnsi="Times New Roman"/>
          <w:highlight w:val="yellow"/>
        </w:rPr>
        <w:t>6</w:t>
      </w:r>
      <w:r w:rsidRPr="00CB529A">
        <w:rPr>
          <w:rFonts w:ascii="Times New Roman" w:hAnsi="Times New Roman"/>
        </w:rPr>
        <w:t>).</w:t>
      </w:r>
      <w:r w:rsidRPr="00CB529A">
        <w:rPr>
          <w:highlight w:val="yellow"/>
        </w:rPr>
        <w:t xml:space="preserve"> Recent feeding studies have further evaluated water hyacinth meal in fish and poultry diets, supporting its continued assessment as an unconventional feed ingredient under defined inclusion conditions (Bohare </w:t>
      </w:r>
      <w:r w:rsidRPr="00CB529A">
        <w:rPr>
          <w:i/>
          <w:highlight w:val="yellow"/>
        </w:rPr>
        <w:t>et al.</w:t>
      </w:r>
      <w:r w:rsidRPr="00CB529A">
        <w:rPr>
          <w:highlight w:val="yellow"/>
        </w:rPr>
        <w:t xml:space="preserve">, 2024; Kumar </w:t>
      </w:r>
      <w:r w:rsidRPr="00CB529A">
        <w:rPr>
          <w:i/>
          <w:highlight w:val="yellow"/>
        </w:rPr>
        <w:t>et al.</w:t>
      </w:r>
      <w:r w:rsidRPr="00CB529A">
        <w:rPr>
          <w:highlight w:val="yellow"/>
        </w:rPr>
        <w:t xml:space="preserve">, 2026). Recent evidence also indicates that assessment of water hyacinth as feed biomass should consider both its nutritional composition and the possibility of source-dependent contaminant accumulation (Balchhaudi </w:t>
      </w:r>
      <w:r w:rsidRPr="00CB529A">
        <w:rPr>
          <w:i/>
          <w:highlight w:val="yellow"/>
        </w:rPr>
        <w:t>et al.</w:t>
      </w:r>
      <w:r w:rsidRPr="00CB529A">
        <w:rPr>
          <w:highlight w:val="yellow"/>
        </w:rPr>
        <w:t>, 2026).</w:t>
      </w:r>
    </w:p>
    <w:p w14:paraId="15165A8D" w14:textId="77777777" w:rsidR="0040444D" w:rsidRPr="00CB529A" w:rsidRDefault="0040444D" w:rsidP="0040444D">
      <w:pPr>
        <w:spacing w:line="480" w:lineRule="auto"/>
        <w:jc w:val="both"/>
        <w:rPr>
          <w:rFonts w:ascii="Times New Roman" w:hAnsi="Times New Roman"/>
        </w:rPr>
      </w:pPr>
      <w:r w:rsidRPr="00CB529A">
        <w:rPr>
          <w:rFonts w:ascii="Times New Roman" w:hAnsi="Times New Roman"/>
        </w:rPr>
        <w:t xml:space="preserve">Processing has therefore become an important strategy for improving the feeding value of water hyacinth. Various processing techniques including sun-drying, oven-drying, ensiling, fermentation, chopping, grinding, and chemical or biological treatments have been investigated to improve nutrient availability while reducing moisture content, fibre fractions, and anti-nutritional factors. Thus, proper processing enhances storage stability, improves digestibility, increases palatability, and facilitates the incorporation of water hyacinth into formulated livestock feeds (Ralinala </w:t>
      </w:r>
      <w:r w:rsidRPr="00CB529A">
        <w:rPr>
          <w:rFonts w:ascii="Times New Roman" w:hAnsi="Times New Roman"/>
          <w:i/>
        </w:rPr>
        <w:t>et al.,</w:t>
      </w:r>
      <w:r w:rsidRPr="00CB529A">
        <w:rPr>
          <w:rFonts w:ascii="Times New Roman" w:hAnsi="Times New Roman"/>
        </w:rPr>
        <w:t xml:space="preserve"> 202</w:t>
      </w:r>
      <w:r w:rsidRPr="00CB529A">
        <w:rPr>
          <w:rFonts w:ascii="Times New Roman" w:hAnsi="Times New Roman"/>
          <w:highlight w:val="yellow"/>
        </w:rPr>
        <w:t>6</w:t>
      </w:r>
      <w:r w:rsidRPr="00CB529A">
        <w:rPr>
          <w:rFonts w:ascii="Times New Roman" w:hAnsi="Times New Roman"/>
        </w:rPr>
        <w:t>).</w:t>
      </w:r>
      <w:r w:rsidRPr="00CB529A">
        <w:rPr>
          <w:highlight w:val="yellow"/>
        </w:rPr>
        <w:t xml:space="preserve"> Recent experimental evidence further indicates that fermentation can modify the nutritional and anti-nutritional characteristics of water hyacinth leaf meal, reinforcing the importance of evaluating processing-specific responses (Malik </w:t>
      </w:r>
      <w:r w:rsidRPr="00CB529A">
        <w:rPr>
          <w:i/>
          <w:highlight w:val="yellow"/>
        </w:rPr>
        <w:t>et al.</w:t>
      </w:r>
      <w:r w:rsidRPr="00CB529A">
        <w:rPr>
          <w:highlight w:val="yellow"/>
        </w:rPr>
        <w:t xml:space="preserve">, 2024). Recent in vitro ruminant research has also evaluated water hyacinth as an alternative feed resource, supporting the assessment of digestibility and fermentation responses alongside chemical composition (Matti-Alapafuja </w:t>
      </w:r>
      <w:r w:rsidRPr="00CB529A">
        <w:rPr>
          <w:i/>
          <w:highlight w:val="yellow"/>
        </w:rPr>
        <w:t>et al.</w:t>
      </w:r>
      <w:r w:rsidRPr="00CB529A">
        <w:rPr>
          <w:highlight w:val="yellow"/>
        </w:rPr>
        <w:t>, 2026).</w:t>
      </w:r>
    </w:p>
    <w:p w14:paraId="159C98E9" w14:textId="77777777" w:rsidR="0040444D" w:rsidRPr="00CB529A" w:rsidRDefault="0040444D" w:rsidP="0040444D">
      <w:pPr>
        <w:spacing w:line="480" w:lineRule="auto"/>
        <w:jc w:val="both"/>
        <w:rPr>
          <w:rFonts w:ascii="Times New Roman" w:hAnsi="Times New Roman"/>
        </w:rPr>
      </w:pPr>
      <w:r w:rsidRPr="00CB529A">
        <w:rPr>
          <w:rFonts w:ascii="Times New Roman" w:hAnsi="Times New Roman"/>
        </w:rPr>
        <w:t xml:space="preserve">Nitrogen content is an important indicator of the protein value of feed materials because nitrogen serves as the principal component of amino acids and proteins required for growth, tissue development, enzyme synthesis, and numerous metabolic processes in animals </w:t>
      </w:r>
      <w:r w:rsidRPr="00CB529A">
        <w:rPr>
          <w:rFonts w:ascii="Times New Roman" w:hAnsi="Times New Roman"/>
        </w:rPr>
        <w:lastRenderedPageBreak/>
        <w:t xml:space="preserve">(Ralinala </w:t>
      </w:r>
      <w:r w:rsidRPr="00CB529A">
        <w:rPr>
          <w:rFonts w:ascii="Times New Roman" w:hAnsi="Times New Roman"/>
          <w:i/>
        </w:rPr>
        <w:t>et al.,</w:t>
      </w:r>
      <w:r w:rsidRPr="00CB529A">
        <w:rPr>
          <w:rFonts w:ascii="Times New Roman" w:hAnsi="Times New Roman"/>
        </w:rPr>
        <w:t xml:space="preserve"> 202</w:t>
      </w:r>
      <w:r w:rsidRPr="00CB529A">
        <w:rPr>
          <w:rFonts w:ascii="Times New Roman" w:hAnsi="Times New Roman"/>
          <w:highlight w:val="yellow"/>
        </w:rPr>
        <w:t>6</w:t>
      </w:r>
      <w:r w:rsidRPr="00CB529A">
        <w:rPr>
          <w:rFonts w:ascii="Times New Roman" w:hAnsi="Times New Roman"/>
        </w:rPr>
        <w:t xml:space="preserve">). </w:t>
      </w:r>
      <w:r w:rsidRPr="00CB529A">
        <w:rPr>
          <w:rFonts w:ascii="Times New Roman" w:hAnsi="Times New Roman"/>
          <w:highlight w:val="yellow"/>
        </w:rPr>
        <w:t>N</w:t>
      </w:r>
      <w:r w:rsidRPr="00CB529A">
        <w:rPr>
          <w:rFonts w:ascii="Times New Roman" w:hAnsi="Times New Roman"/>
        </w:rPr>
        <w:t xml:space="preserve">itrogen concentration is commonly used to estimate crude protein using </w:t>
      </w:r>
      <w:r w:rsidRPr="00CB529A">
        <w:rPr>
          <w:rFonts w:ascii="Times New Roman" w:hAnsi="Times New Roman"/>
          <w:highlight w:val="yellow"/>
        </w:rPr>
        <w:t>a</w:t>
      </w:r>
      <w:r w:rsidRPr="00CB529A">
        <w:rPr>
          <w:rFonts w:ascii="Times New Roman" w:hAnsi="Times New Roman"/>
        </w:rPr>
        <w:t xml:space="preserve"> conversion factor </w:t>
      </w:r>
      <w:r w:rsidRPr="00CB529A">
        <w:rPr>
          <w:rFonts w:ascii="Times New Roman" w:hAnsi="Times New Roman"/>
          <w:highlight w:val="yellow"/>
        </w:rPr>
        <w:t xml:space="preserve">of </w:t>
      </w:r>
      <w:r w:rsidRPr="00CB529A">
        <w:rPr>
          <w:rFonts w:ascii="Times New Roman" w:hAnsi="Times New Roman"/>
        </w:rPr>
        <w:t xml:space="preserve">6.25. However, total nitrogen does not necessarily represent true protein because nitrogen may occur as proteins, peptides, free amino acids, and other non-protein nitrogenous compounds. Consequently, determination of total nitrogen alone may provide an incomplete assessment of the protein value of water hyacinth (Ralinala </w:t>
      </w:r>
      <w:r w:rsidRPr="00CB529A">
        <w:rPr>
          <w:rFonts w:ascii="Times New Roman" w:hAnsi="Times New Roman"/>
          <w:i/>
        </w:rPr>
        <w:t>et al.,</w:t>
      </w:r>
      <w:r w:rsidRPr="00CB529A">
        <w:rPr>
          <w:rFonts w:ascii="Times New Roman" w:hAnsi="Times New Roman"/>
        </w:rPr>
        <w:t xml:space="preserve"> 202</w:t>
      </w:r>
      <w:r w:rsidRPr="00CB529A">
        <w:rPr>
          <w:rFonts w:ascii="Times New Roman" w:hAnsi="Times New Roman"/>
          <w:highlight w:val="yellow"/>
        </w:rPr>
        <w:t>6</w:t>
      </w:r>
      <w:r w:rsidRPr="00CB529A">
        <w:rPr>
          <w:rFonts w:ascii="Times New Roman" w:hAnsi="Times New Roman"/>
        </w:rPr>
        <w:t>).</w:t>
      </w:r>
    </w:p>
    <w:p w14:paraId="33A2D346" w14:textId="77777777" w:rsidR="0040444D" w:rsidRDefault="0040444D" w:rsidP="0040444D">
      <w:pPr>
        <w:spacing w:line="480" w:lineRule="auto"/>
        <w:jc w:val="both"/>
        <w:rPr>
          <w:rFonts w:ascii="Times New Roman" w:hAnsi="Times New Roman"/>
        </w:rPr>
      </w:pPr>
      <w:r w:rsidRPr="00CB529A">
        <w:rPr>
          <w:rFonts w:ascii="Times New Roman" w:hAnsi="Times New Roman"/>
        </w:rPr>
        <w:t>Similarly, free amino acids influence protein quality and determine the biological value of feed ingredients</w:t>
      </w:r>
      <w:r>
        <w:rPr>
          <w:rFonts w:ascii="Times New Roman" w:hAnsi="Times New Roman"/>
        </w:rPr>
        <w:t xml:space="preserve"> by supplying readily available building blocks for protein synthesis. Amino acids are required for tissue synthesis, enzyme production, immune functions, and other physiological processes (Ralinala </w:t>
      </w:r>
      <w:r>
        <w:rPr>
          <w:rFonts w:ascii="Times New Roman" w:hAnsi="Times New Roman"/>
          <w:i/>
        </w:rPr>
        <w:t>et al.,</w:t>
      </w:r>
      <w:r>
        <w:rPr>
          <w:rFonts w:ascii="Times New Roman" w:hAnsi="Times New Roman"/>
        </w:rPr>
        <w:t xml:space="preserve"> 202</w:t>
      </w:r>
      <w:r>
        <w:rPr>
          <w:rFonts w:ascii="Times New Roman" w:hAnsi="Times New Roman"/>
          <w:highlight w:val="yellow"/>
        </w:rPr>
        <w:t>6</w:t>
      </w:r>
      <w:r>
        <w:rPr>
          <w:rFonts w:ascii="Times New Roman" w:hAnsi="Times New Roman"/>
        </w:rPr>
        <w:t>).</w:t>
      </w:r>
    </w:p>
    <w:p w14:paraId="088FF9DA" w14:textId="77777777" w:rsidR="0040444D" w:rsidRDefault="0040444D" w:rsidP="0040444D">
      <w:pPr>
        <w:spacing w:line="480" w:lineRule="auto"/>
        <w:jc w:val="both"/>
        <w:rPr>
          <w:rFonts w:ascii="Times New Roman" w:hAnsi="Times New Roman"/>
        </w:rPr>
      </w:pPr>
      <w:r>
        <w:rPr>
          <w:rFonts w:ascii="Times New Roman" w:hAnsi="Times New Roman"/>
        </w:rPr>
        <w:t>Fibre content also plays a critical role in determining the nutritional quality of feed resources. Although structural carbohydrates such as cellulose and hemicellulose are beneficial to ruminants in moderate quantities, excessive fibre reduces feed digestibility, nutrient utili</w:t>
      </w:r>
      <w:r>
        <w:rPr>
          <w:rFonts w:ascii="Times New Roman" w:hAnsi="Times New Roman"/>
          <w:highlight w:val="yellow"/>
        </w:rPr>
        <w:t>s</w:t>
      </w:r>
      <w:r>
        <w:rPr>
          <w:rFonts w:ascii="Times New Roman" w:hAnsi="Times New Roman"/>
        </w:rPr>
        <w:t xml:space="preserve">ation, and energy availability (Yan </w:t>
      </w:r>
      <w:r>
        <w:rPr>
          <w:rFonts w:ascii="Times New Roman" w:hAnsi="Times New Roman"/>
          <w:i/>
        </w:rPr>
        <w:t>et al.,</w:t>
      </w:r>
      <w:r>
        <w:rPr>
          <w:rFonts w:ascii="Times New Roman" w:hAnsi="Times New Roman"/>
        </w:rPr>
        <w:t xml:space="preserve"> 2017). Plant cell-wall components, particularly neutral detergent fibre (NDF), acid detergent fibre (ADF) and acid detergent lignin (ADL), can influence feed intake and nutrient digestibility. Lignin is particularly resistant to enzymatic degradation and can restrict the accessibility of other nutrients within plant tissues (Yan </w:t>
      </w:r>
      <w:r>
        <w:rPr>
          <w:rFonts w:ascii="Times New Roman" w:hAnsi="Times New Roman"/>
          <w:i/>
        </w:rPr>
        <w:t>et al.,</w:t>
      </w:r>
      <w:r>
        <w:rPr>
          <w:rFonts w:ascii="Times New Roman" w:hAnsi="Times New Roman"/>
        </w:rPr>
        <w:t xml:space="preserve"> 2017).</w:t>
      </w:r>
    </w:p>
    <w:p w14:paraId="1670D65F" w14:textId="77777777" w:rsidR="0040444D" w:rsidRPr="00CB529A" w:rsidRDefault="0040444D" w:rsidP="0040444D">
      <w:pPr>
        <w:spacing w:line="480" w:lineRule="auto"/>
        <w:jc w:val="both"/>
        <w:rPr>
          <w:rFonts w:ascii="Times New Roman" w:hAnsi="Times New Roman"/>
        </w:rPr>
      </w:pPr>
      <w:r>
        <w:rPr>
          <w:rFonts w:ascii="Times New Roman" w:hAnsi="Times New Roman"/>
        </w:rPr>
        <w:t>Another major limitation to the utili</w:t>
      </w:r>
      <w:r>
        <w:rPr>
          <w:rFonts w:ascii="Times New Roman" w:hAnsi="Times New Roman"/>
          <w:highlight w:val="yellow"/>
        </w:rPr>
        <w:t>s</w:t>
      </w:r>
      <w:r>
        <w:rPr>
          <w:rFonts w:ascii="Times New Roman" w:hAnsi="Times New Roman"/>
        </w:rPr>
        <w:t>ation of water hyacinth is the presence of anti-nutritional factors such as tannins, oxalates, phytates, saponins, and alkaloids. These compounds interfere with nutrient digestion and mineral bioavailability and may adversely affect animal health when consumed in excessive quantities. Appropriate processing techniques have been shown to reduce the concentration of these anti-nutritional constituents, thereby improving the nutritional quality and safety of the plant for livestock feeding (</w:t>
      </w:r>
      <w:r>
        <w:rPr>
          <w:rFonts w:ascii="Times New Roman" w:hAnsi="Times New Roman"/>
          <w:highlight w:val="yellow"/>
        </w:rPr>
        <w:t>Ben Bakrim et a</w:t>
      </w:r>
      <w:r>
        <w:rPr>
          <w:rFonts w:ascii="Times New Roman" w:hAnsi="Times New Roman"/>
        </w:rPr>
        <w:t>l</w:t>
      </w:r>
      <w:r>
        <w:rPr>
          <w:rFonts w:ascii="Times New Roman" w:hAnsi="Times New Roman"/>
          <w:highlight w:val="yellow"/>
        </w:rPr>
        <w:t>.</w:t>
      </w:r>
      <w:r>
        <w:rPr>
          <w:rFonts w:ascii="Times New Roman" w:hAnsi="Times New Roman"/>
        </w:rPr>
        <w:t xml:space="preserve">, 2022). However, crude protein concentration and conventional chemical composition do not provide complete information about the availability of protein to </w:t>
      </w:r>
      <w:r>
        <w:rPr>
          <w:rFonts w:ascii="Times New Roman" w:hAnsi="Times New Roman"/>
          <w:highlight w:val="yellow"/>
        </w:rPr>
        <w:t>l</w:t>
      </w:r>
      <w:r>
        <w:rPr>
          <w:rFonts w:ascii="Times New Roman" w:hAnsi="Times New Roman"/>
        </w:rPr>
        <w:t>ivestock. A feed ingredient may contain substantial protein but have relatively poor protein digestibility because of fibre-protein interactions, protein structure</w:t>
      </w:r>
      <w:r>
        <w:rPr>
          <w:rFonts w:ascii="Times New Roman" w:hAnsi="Times New Roman"/>
          <w:highlight w:val="yellow"/>
        </w:rPr>
        <w:t>,</w:t>
      </w:r>
      <w:r>
        <w:rPr>
          <w:rFonts w:ascii="Times New Roman" w:hAnsi="Times New Roman"/>
        </w:rPr>
        <w:t xml:space="preserve"> or anti-nutritional </w:t>
      </w:r>
      <w:r w:rsidRPr="00CB529A">
        <w:rPr>
          <w:rFonts w:ascii="Times New Roman" w:hAnsi="Times New Roman"/>
        </w:rPr>
        <w:t>compounds (</w:t>
      </w:r>
      <w:r w:rsidRPr="00CB529A">
        <w:rPr>
          <w:rFonts w:ascii="Times New Roman" w:hAnsi="Times New Roman"/>
          <w:highlight w:val="yellow"/>
        </w:rPr>
        <w:t>Ben Bakrim et a</w:t>
      </w:r>
      <w:r w:rsidRPr="00CB529A">
        <w:rPr>
          <w:rFonts w:ascii="Times New Roman" w:hAnsi="Times New Roman"/>
        </w:rPr>
        <w:t>l</w:t>
      </w:r>
      <w:r w:rsidRPr="00CB529A">
        <w:rPr>
          <w:rFonts w:ascii="Times New Roman" w:hAnsi="Times New Roman"/>
          <w:highlight w:val="yellow"/>
        </w:rPr>
        <w:t>.</w:t>
      </w:r>
      <w:r w:rsidRPr="00CB529A">
        <w:rPr>
          <w:rFonts w:ascii="Times New Roman" w:hAnsi="Times New Roman"/>
        </w:rPr>
        <w:t>, 2022).</w:t>
      </w:r>
    </w:p>
    <w:p w14:paraId="01DCBA81" w14:textId="77777777" w:rsidR="00790ADA" w:rsidRPr="00CB529A" w:rsidRDefault="0040444D" w:rsidP="0040444D">
      <w:pPr>
        <w:pStyle w:val="Body"/>
        <w:spacing w:after="0"/>
        <w:rPr>
          <w:rFonts w:ascii="Times New Roman" w:hAnsi="Times New Roman"/>
        </w:rPr>
      </w:pPr>
      <w:r w:rsidRPr="00CB529A">
        <w:rPr>
          <w:rFonts w:ascii="Times New Roman" w:hAnsi="Times New Roman"/>
        </w:rPr>
        <w:t>In</w:t>
      </w:r>
      <w:r w:rsidRPr="00CB529A">
        <w:rPr>
          <w:rFonts w:ascii="Times New Roman" w:hAnsi="Times New Roman"/>
          <w:highlight w:val="yellow"/>
        </w:rPr>
        <w:t xml:space="preserve"> </w:t>
      </w:r>
      <w:r w:rsidRPr="00CB529A">
        <w:rPr>
          <w:rFonts w:ascii="Times New Roman" w:hAnsi="Times New Roman"/>
        </w:rPr>
        <w:t xml:space="preserve">vitro digestion techniques provide a useful method for evaluating the susceptibility of food or feed proteins to gastrointestinal enzymes. Thus, a sequential pepsin-pancreatin digestion system can simulate the major stages of gastrointestinal protein digestion. Pepsin is used under acidic conditions to represent gastric digestion, while pancreatin is subsequently used under near-neutral or mildly alkaline conditions to represent intestinal digestion. Such sequential digestion systems have been used in studies of plant protein digestibility (Opazo-Navarrete </w:t>
      </w:r>
      <w:r w:rsidRPr="00CB529A">
        <w:rPr>
          <w:rFonts w:ascii="Times New Roman" w:hAnsi="Times New Roman"/>
          <w:i/>
        </w:rPr>
        <w:t xml:space="preserve">et al., </w:t>
      </w:r>
      <w:r w:rsidRPr="00CB529A">
        <w:rPr>
          <w:rFonts w:ascii="Times New Roman" w:hAnsi="Times New Roman"/>
        </w:rPr>
        <w:t>2025). The inclusion of in</w:t>
      </w:r>
      <w:r w:rsidRPr="00CB529A">
        <w:rPr>
          <w:rFonts w:ascii="Times New Roman" w:hAnsi="Times New Roman"/>
          <w:highlight w:val="yellow"/>
        </w:rPr>
        <w:t xml:space="preserve"> </w:t>
      </w:r>
      <w:r w:rsidRPr="00CB529A">
        <w:rPr>
          <w:rFonts w:ascii="Times New Roman" w:hAnsi="Times New Roman"/>
        </w:rPr>
        <w:t xml:space="preserve">vitro digestibility in this study therefore provides an important improvement, as it allows the investigation to determine not only whether processing changes the amount of protein present but also whether the protein becomes more accessible to digestive enzymes. </w:t>
      </w:r>
      <w:r w:rsidRPr="00CB529A">
        <w:rPr>
          <w:highlight w:val="yellow"/>
        </w:rPr>
        <w:t xml:space="preserve"> Nevertheless, the cited literature addresses individual aspects of water hyacinth utilisation, leaving a need for an integrated comparison of selected processing methods across nutritional composition, anti-nutritional factors, and sequential pepsin-pancreatin protein digestibility within the same study (Malik </w:t>
      </w:r>
      <w:r w:rsidRPr="00CB529A">
        <w:rPr>
          <w:i/>
          <w:highlight w:val="yellow"/>
        </w:rPr>
        <w:t>et al.</w:t>
      </w:r>
      <w:r w:rsidRPr="00CB529A">
        <w:rPr>
          <w:highlight w:val="yellow"/>
        </w:rPr>
        <w:t xml:space="preserve">, 2024; Matti-Alapafuja </w:t>
      </w:r>
      <w:r w:rsidRPr="00CB529A">
        <w:rPr>
          <w:i/>
          <w:highlight w:val="yellow"/>
        </w:rPr>
        <w:t>et al.</w:t>
      </w:r>
      <w:r w:rsidRPr="00CB529A">
        <w:rPr>
          <w:highlight w:val="yellow"/>
        </w:rPr>
        <w:t xml:space="preserve">, 2026). </w:t>
      </w:r>
      <w:r w:rsidRPr="00CB529A">
        <w:rPr>
          <w:rFonts w:ascii="Times New Roman" w:hAnsi="Times New Roman"/>
        </w:rPr>
        <w:t>This study consequently evaluate</w:t>
      </w:r>
      <w:r w:rsidRPr="00CB529A">
        <w:rPr>
          <w:rFonts w:ascii="Times New Roman" w:hAnsi="Times New Roman"/>
          <w:highlight w:val="yellow"/>
        </w:rPr>
        <w:t>d</w:t>
      </w:r>
      <w:r w:rsidRPr="00CB529A">
        <w:rPr>
          <w:rFonts w:ascii="Times New Roman" w:hAnsi="Times New Roman"/>
        </w:rPr>
        <w:t xml:space="preserve"> the effects of selected processing methods on the feed value of water hyacinth by determining changes in the nutritional composition, anti-nutritional factors, and in</w:t>
      </w:r>
      <w:r w:rsidRPr="00CB529A">
        <w:rPr>
          <w:rFonts w:ascii="Times New Roman" w:hAnsi="Times New Roman"/>
          <w:highlight w:val="yellow"/>
        </w:rPr>
        <w:t xml:space="preserve"> </w:t>
      </w:r>
      <w:r w:rsidRPr="00CB529A">
        <w:rPr>
          <w:rFonts w:ascii="Times New Roman" w:hAnsi="Times New Roman"/>
        </w:rPr>
        <w:t>vitro protein digestibility following sequential pepsin-pancreatin digestion.</w:t>
      </w:r>
    </w:p>
    <w:p w14:paraId="13EB8BD8" w14:textId="77777777" w:rsidR="00CB529A" w:rsidRPr="00FB3A86" w:rsidRDefault="00CB529A" w:rsidP="0040444D">
      <w:pPr>
        <w:pStyle w:val="Body"/>
        <w:spacing w:after="0"/>
        <w:rPr>
          <w:rFonts w:ascii="Arial" w:hAnsi="Arial" w:cs="Arial"/>
        </w:rPr>
      </w:pPr>
    </w:p>
    <w:p w14:paraId="0BEB9EFD" w14:textId="04C7E249" w:rsidR="007F7B32" w:rsidRDefault="00902823" w:rsidP="00441B6F">
      <w:pPr>
        <w:pStyle w:val="AbstHead"/>
        <w:spacing w:after="0"/>
        <w:jc w:val="both"/>
        <w:rPr>
          <w:rFonts w:ascii="Arial" w:hAnsi="Arial" w:cs="Arial"/>
        </w:rPr>
      </w:pPr>
      <w:r>
        <w:rPr>
          <w:rFonts w:ascii="Arial" w:hAnsi="Arial" w:cs="Arial"/>
        </w:rPr>
        <w:t>material</w:t>
      </w:r>
      <w:r w:rsidR="00CB529A">
        <w:rPr>
          <w:rFonts w:ascii="Arial" w:hAnsi="Arial" w:cs="Arial"/>
        </w:rPr>
        <w:t>S</w:t>
      </w:r>
      <w:r>
        <w:rPr>
          <w:rFonts w:ascii="Arial" w:hAnsi="Arial" w:cs="Arial"/>
        </w:rPr>
        <w:t xml:space="preserve"> and method</w:t>
      </w:r>
      <w:r w:rsidR="00000F8F">
        <w:rPr>
          <w:rFonts w:ascii="Arial" w:hAnsi="Arial" w:cs="Arial"/>
        </w:rPr>
        <w:t xml:space="preserve">s </w:t>
      </w:r>
    </w:p>
    <w:p w14:paraId="693F0542" w14:textId="77777777" w:rsidR="0040444D" w:rsidRPr="002B75CF" w:rsidRDefault="0040444D" w:rsidP="0040444D">
      <w:pPr>
        <w:jc w:val="both"/>
        <w:rPr>
          <w:rFonts w:ascii="Times New Roman" w:hAnsi="Times New Roman"/>
          <w:bCs/>
        </w:rPr>
      </w:pPr>
      <w:r w:rsidRPr="002B75CF">
        <w:rPr>
          <w:rFonts w:ascii="Times New Roman" w:hAnsi="Times New Roman"/>
          <w:bCs/>
        </w:rPr>
        <w:t>Materials</w:t>
      </w:r>
    </w:p>
    <w:p w14:paraId="31B9B266" w14:textId="77777777" w:rsidR="0040444D" w:rsidRPr="002B75CF" w:rsidRDefault="0040444D" w:rsidP="0040444D">
      <w:pPr>
        <w:jc w:val="both"/>
        <w:rPr>
          <w:rFonts w:ascii="Times New Roman" w:hAnsi="Times New Roman"/>
          <w:bCs/>
        </w:rPr>
      </w:pPr>
      <w:r w:rsidRPr="002B75CF">
        <w:rPr>
          <w:rFonts w:ascii="Times New Roman" w:hAnsi="Times New Roman"/>
          <w:bCs/>
        </w:rPr>
        <w:t>Chemicals and Reagents</w:t>
      </w:r>
    </w:p>
    <w:p w14:paraId="3BFDC028" w14:textId="77777777" w:rsidR="0040444D" w:rsidRDefault="0040444D" w:rsidP="0040444D">
      <w:pPr>
        <w:pStyle w:val="NormalWeb"/>
        <w:spacing w:before="0" w:beforeAutospacing="0" w:line="480" w:lineRule="auto"/>
        <w:jc w:val="both"/>
      </w:pPr>
      <w:r>
        <w:t>All chemicals and reagents used in this study were of analytical grade and were used without further purification. The reagents used include Concentrated sulfuric acid (H</w:t>
      </w:r>
      <w:r>
        <w:rPr>
          <w:vertAlign w:val="subscript"/>
        </w:rPr>
        <w:t>2</w:t>
      </w:r>
      <w:r>
        <w:t>SO</w:t>
      </w:r>
      <w:r>
        <w:rPr>
          <w:vertAlign w:val="subscript"/>
        </w:rPr>
        <w:t>4</w:t>
      </w:r>
      <w:r>
        <w:t>), Sodium hydroxide (NaOH), Boric acid solution, Hydrochloric acid (HCl), Potassium permanganate (KMnO</w:t>
      </w:r>
      <w:r>
        <w:rPr>
          <w:vertAlign w:val="subscript"/>
        </w:rPr>
        <w:t>4</w:t>
      </w:r>
      <w:r>
        <w:t>), Ethanol, Silver nitrate (AgNo</w:t>
      </w:r>
      <w:r>
        <w:rPr>
          <w:vertAlign w:val="subscript"/>
        </w:rPr>
        <w:t>3</w:t>
      </w:r>
      <w:r>
        <w:t xml:space="preserve">), Acetone, Sodium </w:t>
      </w:r>
      <w:r>
        <w:lastRenderedPageBreak/>
        <w:t>carbonate (Na</w:t>
      </w:r>
      <w:r>
        <w:rPr>
          <w:vertAlign w:val="subscript"/>
        </w:rPr>
        <w:t>2</w:t>
      </w:r>
      <w:r>
        <w:t>Co</w:t>
      </w:r>
      <w:r>
        <w:rPr>
          <w:vertAlign w:val="subscript"/>
        </w:rPr>
        <w:t>3</w:t>
      </w:r>
      <w:r>
        <w:t>), Ammonium hydroxide, Folin-Denis reagent, Ninhydrin reagent, Phenolphthalein indicator, Mixed indicator (bromocresol green and methyl red), Glacial acetic acid, Calcium chloride (CaCl</w:t>
      </w:r>
      <w:r>
        <w:rPr>
          <w:vertAlign w:val="subscript"/>
        </w:rPr>
        <w:t>2</w:t>
      </w:r>
      <w:r>
        <w:t>), Potassium iodide (KI), Catalyst mixtures (Na</w:t>
      </w:r>
      <w:r>
        <w:rPr>
          <w:vertAlign w:val="subscript"/>
        </w:rPr>
        <w:t>2</w:t>
      </w:r>
      <w:r>
        <w:t>SO</w:t>
      </w:r>
      <w:r>
        <w:rPr>
          <w:vertAlign w:val="subscript"/>
        </w:rPr>
        <w:t>4</w:t>
      </w:r>
      <w:r>
        <w:t xml:space="preserve"> and CuSO</w:t>
      </w:r>
      <w:r>
        <w:rPr>
          <w:vertAlign w:val="subscript"/>
        </w:rPr>
        <w:t>4</w:t>
      </w:r>
      <w:r>
        <w:t xml:space="preserve">), Buffer solution (sodium citrate and citric acid), Distilled water, </w:t>
      </w:r>
      <w:r>
        <w:rPr>
          <w:rFonts w:eastAsia="Calibri"/>
        </w:rPr>
        <w:t>De-ionized water</w:t>
      </w:r>
      <w:r>
        <w:t>, Tannic acid, Leucine, N-butanol, Wade Reagent, N-propanol, Acid detergent solution, Neutral detergent solution, sodium-</w:t>
      </w:r>
      <w:proofErr w:type="spellStart"/>
      <w:r>
        <w:t>sulphite</w:t>
      </w:r>
      <w:proofErr w:type="spellEnd"/>
      <w:r>
        <w:t>, heat-stable α-amylase, Pepsin, Pancreatin.</w:t>
      </w:r>
    </w:p>
    <w:p w14:paraId="10C194DA" w14:textId="77777777" w:rsidR="0040444D" w:rsidRPr="002B75CF" w:rsidRDefault="0040444D" w:rsidP="0040444D">
      <w:pPr>
        <w:pStyle w:val="NormalWeb"/>
        <w:spacing w:before="240" w:beforeAutospacing="0"/>
        <w:jc w:val="both"/>
      </w:pPr>
      <w:r>
        <w:rPr>
          <w:bCs/>
        </w:rPr>
        <w:t>Equipment and Apparatus</w:t>
      </w:r>
    </w:p>
    <w:p w14:paraId="6D782C42" w14:textId="77777777" w:rsidR="0040444D" w:rsidRDefault="0040444D" w:rsidP="0040444D">
      <w:pPr>
        <w:pStyle w:val="NormalWeb"/>
        <w:spacing w:before="0" w:beforeAutospacing="0" w:after="0" w:afterAutospacing="0" w:line="480" w:lineRule="auto"/>
        <w:jc w:val="both"/>
      </w:pPr>
      <w:r>
        <w:t>Cutlasses, Gloves, Polythene bags, Buckets, Analytical balance, Washing containers, Drying trays, Hot air oven (DHG-9053A Electric Thermostatic Drying Oven, Shanghai Yiheng Scientific Instrument Co., China), Electrical blender (BLG-450 Blender, Binatone Electronics International Ltd.), Sieve, Stainless steel pots, Hot plates, Gas burners, Thermometer, Fume cupboard, Fermentation containers (plastic buckets), Kjeldahl digestion and distillation unit, UV-Visible Spectrophotometer (UV-1800, Shimadzu Corporation, Japan), Centrifuge (80-2B Centrifuge, Changsha Xiangyi Centrifuge Instrument Co., China), Water bath, pH meter, Muffle furnace, Desiccator, Crucibles, Litmus paper, Test tubes, Volumetric flasks, Measuring cylinder, Burettes, Conical flasks, Round bottom flask, Digestion flask, Reflux apparatus, Retort stand, Heating mantle, Beakers, Pipettes, Reflux apparatus, Filter papers, Funnels, Centrifuge tubes, Wash bottles, Spatula, Glass stirring rods. All equipment w</w:t>
      </w:r>
      <w:r>
        <w:rPr>
          <w:highlight w:val="yellow"/>
        </w:rPr>
        <w:t>as</w:t>
      </w:r>
      <w:r>
        <w:t xml:space="preserve"> properly calibrated and used according to standard laboratory procedures to ensure accuracy and reliability of results.</w:t>
      </w:r>
    </w:p>
    <w:p w14:paraId="3646E19A" w14:textId="77777777" w:rsidR="0040444D" w:rsidRPr="002B75CF" w:rsidRDefault="0040444D" w:rsidP="0040444D">
      <w:pPr>
        <w:pStyle w:val="NormalWeb"/>
        <w:spacing w:before="0" w:beforeAutospacing="0" w:after="240" w:afterAutospacing="0"/>
        <w:jc w:val="both"/>
      </w:pPr>
      <w:r w:rsidRPr="002B75CF">
        <w:t>Methodology</w:t>
      </w:r>
    </w:p>
    <w:p w14:paraId="5849B413" w14:textId="77777777" w:rsidR="0040444D" w:rsidRPr="002B75CF" w:rsidRDefault="0040444D" w:rsidP="0040444D">
      <w:pPr>
        <w:pStyle w:val="NormalWeb"/>
        <w:spacing w:before="0" w:beforeAutospacing="0" w:after="240" w:afterAutospacing="0"/>
        <w:jc w:val="both"/>
      </w:pPr>
      <w:r w:rsidRPr="002B75CF">
        <w:rPr>
          <w:bCs/>
        </w:rPr>
        <w:t>Experimental Design</w:t>
      </w:r>
    </w:p>
    <w:p w14:paraId="1E8E22A8" w14:textId="77777777" w:rsidR="0040444D" w:rsidRDefault="0040444D" w:rsidP="0040444D">
      <w:pPr>
        <w:spacing w:line="480" w:lineRule="auto"/>
        <w:jc w:val="both"/>
        <w:rPr>
          <w:rFonts w:ascii="Times New Roman" w:hAnsi="Times New Roman"/>
        </w:rPr>
      </w:pPr>
      <w:r>
        <w:rPr>
          <w:rFonts w:ascii="Times New Roman" w:hAnsi="Times New Roman"/>
        </w:rPr>
        <w:t xml:space="preserve">Fresh </w:t>
      </w:r>
      <w:r>
        <w:rPr>
          <w:rFonts w:ascii="Times New Roman" w:hAnsi="Times New Roman"/>
          <w:i/>
        </w:rPr>
        <w:t>Eichhornia crassipes</w:t>
      </w:r>
      <w:r>
        <w:rPr>
          <w:rFonts w:ascii="Times New Roman" w:hAnsi="Times New Roman"/>
        </w:rPr>
        <w:t xml:space="preserve"> samples were subjected to three different processing methods (boiling, oven drying, and fermentation). Each treatment was replicated to ensure statistical validity and to minimize experimental error. The processed samples were subsequently analy</w:t>
      </w:r>
      <w:r>
        <w:rPr>
          <w:rFonts w:ascii="Times New Roman" w:hAnsi="Times New Roman"/>
          <w:highlight w:val="yellow"/>
        </w:rPr>
        <w:t>s</w:t>
      </w:r>
      <w:r>
        <w:rPr>
          <w:rFonts w:ascii="Times New Roman" w:hAnsi="Times New Roman"/>
        </w:rPr>
        <w:t xml:space="preserve">ed for nitrogen content, free amino acids, crude fibre, and anti-nutritional factors. The data obtained were used to compare the effects of the different processing methods on the nutritional quality of </w:t>
      </w:r>
      <w:r>
        <w:rPr>
          <w:rFonts w:ascii="Times New Roman" w:hAnsi="Times New Roman"/>
          <w:i/>
        </w:rPr>
        <w:t>Eichhornia crassipes</w:t>
      </w:r>
      <w:r>
        <w:rPr>
          <w:rFonts w:ascii="Times New Roman" w:hAnsi="Times New Roman"/>
        </w:rPr>
        <w:t>.</w:t>
      </w:r>
    </w:p>
    <w:p w14:paraId="4DD45422" w14:textId="77777777" w:rsidR="0040444D" w:rsidRPr="002B75CF" w:rsidRDefault="0040444D" w:rsidP="0040444D">
      <w:pPr>
        <w:spacing w:line="480" w:lineRule="auto"/>
        <w:jc w:val="both"/>
        <w:rPr>
          <w:rFonts w:ascii="Times New Roman" w:hAnsi="Times New Roman"/>
          <w:bCs/>
        </w:rPr>
      </w:pPr>
      <w:r w:rsidRPr="002B75CF">
        <w:rPr>
          <w:rFonts w:ascii="Times New Roman" w:hAnsi="Times New Roman"/>
          <w:bCs/>
        </w:rPr>
        <w:t>Collection and Preparation of Sample</w:t>
      </w:r>
    </w:p>
    <w:p w14:paraId="65AC72AB" w14:textId="77777777" w:rsidR="0040444D" w:rsidRDefault="0040444D" w:rsidP="0040444D">
      <w:pPr>
        <w:spacing w:line="480" w:lineRule="auto"/>
        <w:jc w:val="both"/>
        <w:rPr>
          <w:rFonts w:ascii="Times New Roman" w:hAnsi="Times New Roman"/>
        </w:rPr>
      </w:pPr>
      <w:r>
        <w:rPr>
          <w:rFonts w:ascii="Times New Roman" w:hAnsi="Times New Roman"/>
        </w:rPr>
        <w:t xml:space="preserve">Fresh samples of </w:t>
      </w:r>
      <w:r>
        <w:rPr>
          <w:rFonts w:ascii="Times New Roman" w:hAnsi="Times New Roman"/>
          <w:i/>
        </w:rPr>
        <w:t>Eichhornia crassipes</w:t>
      </w:r>
      <w:r>
        <w:rPr>
          <w:rFonts w:ascii="Times New Roman" w:hAnsi="Times New Roman"/>
        </w:rPr>
        <w:t xml:space="preserve"> were collected from freshwater bodies at </w:t>
      </w:r>
      <w:proofErr w:type="spellStart"/>
      <w:r>
        <w:rPr>
          <w:rFonts w:ascii="Times New Roman" w:hAnsi="Times New Roman"/>
        </w:rPr>
        <w:t>Anantigha</w:t>
      </w:r>
      <w:proofErr w:type="spellEnd"/>
      <w:r>
        <w:rPr>
          <w:rFonts w:ascii="Times New Roman" w:hAnsi="Times New Roman"/>
        </w:rPr>
        <w:t xml:space="preserve"> LGA in Cross River State, Nigeria, </w:t>
      </w:r>
      <w:r>
        <w:rPr>
          <w:rFonts w:ascii="Times New Roman" w:hAnsi="Times New Roman"/>
          <w:color w:val="000000" w:themeColor="text1"/>
        </w:rPr>
        <w:t>and authenticated by a plant taxonomist at the Department of Plant Science and Biotechnology, UNICROSS, Calabar</w:t>
      </w:r>
      <w:r>
        <w:rPr>
          <w:color w:val="000000" w:themeColor="text1"/>
        </w:rPr>
        <w:t>.</w:t>
      </w:r>
      <w:r>
        <w:rPr>
          <w:rFonts w:ascii="Times New Roman" w:hAnsi="Times New Roman"/>
        </w:rPr>
        <w:t xml:space="preserve"> The plants were </w:t>
      </w:r>
      <w:r>
        <w:rPr>
          <w:rFonts w:ascii="Times New Roman" w:hAnsi="Times New Roman"/>
        </w:rPr>
        <w:lastRenderedPageBreak/>
        <w:t>carefully uprooted to ensure intact leaf, root</w:t>
      </w:r>
      <w:r w:rsidR="002B75CF">
        <w:rPr>
          <w:rFonts w:ascii="Times New Roman" w:hAnsi="Times New Roman"/>
        </w:rPr>
        <w:t>,</w:t>
      </w:r>
      <w:r>
        <w:rPr>
          <w:rFonts w:ascii="Times New Roman" w:hAnsi="Times New Roman"/>
        </w:rPr>
        <w:t xml:space="preserve"> and stem portions. Collected samples were washed thoroughly with clean water to remove dirt, debris, and attached foreign materials. After washing, the samples were drained and sorted to remove damaged or decayed portions. The fresh biomass was then divided into equal portions for different processing treatments. A portion of the fresh sample was retained for baseline analysis, while the remaining portions were subjected to boiling, oven drying, and fermentation, respectively.</w:t>
      </w:r>
    </w:p>
    <w:p w14:paraId="23B7ED8E" w14:textId="77777777" w:rsidR="0040444D" w:rsidRPr="002B75CF" w:rsidRDefault="0040444D" w:rsidP="0040444D">
      <w:pPr>
        <w:jc w:val="both"/>
        <w:rPr>
          <w:rFonts w:ascii="Times New Roman" w:hAnsi="Times New Roman"/>
          <w:bCs/>
        </w:rPr>
      </w:pPr>
      <w:r w:rsidRPr="002B75CF">
        <w:rPr>
          <w:rFonts w:ascii="Times New Roman" w:hAnsi="Times New Roman"/>
          <w:bCs/>
        </w:rPr>
        <w:t>Processing Methods</w:t>
      </w:r>
    </w:p>
    <w:p w14:paraId="6221157C" w14:textId="77777777" w:rsidR="0040444D" w:rsidRPr="002B75CF" w:rsidRDefault="0040444D" w:rsidP="0040444D">
      <w:pPr>
        <w:jc w:val="both"/>
        <w:rPr>
          <w:rFonts w:ascii="Times New Roman" w:hAnsi="Times New Roman"/>
          <w:bCs/>
        </w:rPr>
      </w:pPr>
      <w:r w:rsidRPr="002B75CF">
        <w:rPr>
          <w:rFonts w:ascii="Times New Roman" w:hAnsi="Times New Roman"/>
          <w:bCs/>
        </w:rPr>
        <w:t>Boiling</w:t>
      </w:r>
    </w:p>
    <w:p w14:paraId="2A421907" w14:textId="77777777" w:rsidR="0040444D" w:rsidRPr="0040444D" w:rsidRDefault="0040444D" w:rsidP="0040444D">
      <w:pPr>
        <w:spacing w:line="480" w:lineRule="auto"/>
        <w:jc w:val="both"/>
        <w:rPr>
          <w:rFonts w:ascii="Times New Roman" w:hAnsi="Times New Roman"/>
        </w:rPr>
      </w:pPr>
      <w:r>
        <w:rPr>
          <w:rFonts w:ascii="Times New Roman" w:hAnsi="Times New Roman"/>
        </w:rPr>
        <w:t xml:space="preserve">A portion of fresh </w:t>
      </w:r>
      <w:r>
        <w:rPr>
          <w:rFonts w:ascii="Times New Roman" w:hAnsi="Times New Roman"/>
          <w:i/>
        </w:rPr>
        <w:t>Eichhornia crassipes</w:t>
      </w:r>
      <w:r>
        <w:rPr>
          <w:rFonts w:ascii="Times New Roman" w:hAnsi="Times New Roman"/>
        </w:rPr>
        <w:t xml:space="preserve"> was boiled in water at 100°C for 2</w:t>
      </w:r>
      <w:r>
        <w:rPr>
          <w:rFonts w:ascii="Times New Roman" w:hAnsi="Times New Roman"/>
          <w:highlight w:val="yellow"/>
        </w:rPr>
        <w:t xml:space="preserve"> </w:t>
      </w:r>
      <w:r>
        <w:rPr>
          <w:rFonts w:ascii="Times New Roman" w:hAnsi="Times New Roman"/>
        </w:rPr>
        <w:t>hours. The boiling process was carried out to soften the plant tissues. After boiling, the samples were drained and allowed to cool before further analysis.</w:t>
      </w:r>
    </w:p>
    <w:p w14:paraId="44C6F95C" w14:textId="77777777" w:rsidR="0040444D" w:rsidRPr="002B75CF" w:rsidRDefault="0040444D" w:rsidP="0040444D">
      <w:pPr>
        <w:jc w:val="both"/>
        <w:rPr>
          <w:rFonts w:ascii="Times New Roman" w:hAnsi="Times New Roman"/>
          <w:bCs/>
        </w:rPr>
      </w:pPr>
      <w:r w:rsidRPr="002B75CF">
        <w:rPr>
          <w:rFonts w:ascii="Times New Roman" w:hAnsi="Times New Roman"/>
          <w:bCs/>
        </w:rPr>
        <w:t>Oven Drying</w:t>
      </w:r>
    </w:p>
    <w:p w14:paraId="205913C4" w14:textId="77777777" w:rsidR="0040444D" w:rsidRDefault="0040444D" w:rsidP="0040444D">
      <w:pPr>
        <w:spacing w:line="480" w:lineRule="auto"/>
        <w:jc w:val="both"/>
        <w:rPr>
          <w:rFonts w:ascii="Times New Roman" w:hAnsi="Times New Roman"/>
        </w:rPr>
      </w:pPr>
      <w:r>
        <w:rPr>
          <w:rFonts w:ascii="Times New Roman" w:hAnsi="Times New Roman"/>
        </w:rPr>
        <w:t xml:space="preserve">A portion of fresh </w:t>
      </w:r>
      <w:r>
        <w:rPr>
          <w:rFonts w:ascii="Times New Roman" w:hAnsi="Times New Roman"/>
          <w:i/>
        </w:rPr>
        <w:t>Eichhornia crassipes</w:t>
      </w:r>
      <w:r>
        <w:rPr>
          <w:rFonts w:ascii="Times New Roman" w:hAnsi="Times New Roman"/>
        </w:rPr>
        <w:t xml:space="preserve"> was dried in a hot air oven at 100°C for 2</w:t>
      </w:r>
      <w:r>
        <w:rPr>
          <w:rFonts w:ascii="Times New Roman" w:hAnsi="Times New Roman"/>
          <w:highlight w:val="yellow"/>
        </w:rPr>
        <w:t xml:space="preserve"> </w:t>
      </w:r>
      <w:r>
        <w:rPr>
          <w:rFonts w:ascii="Times New Roman" w:hAnsi="Times New Roman"/>
        </w:rPr>
        <w:t>hours. This process was used to reduce moisture content and to preserve the sample for subsequent analysis. After drying, the sample was cooled in a desiccator to prevent moisture absorption before being ground into fine powder for analysis.</w:t>
      </w:r>
    </w:p>
    <w:p w14:paraId="14581BC6" w14:textId="77777777" w:rsidR="0040444D" w:rsidRPr="002B75CF" w:rsidRDefault="0040444D" w:rsidP="0040444D">
      <w:pPr>
        <w:jc w:val="both"/>
        <w:rPr>
          <w:rFonts w:ascii="Times New Roman" w:hAnsi="Times New Roman"/>
          <w:bCs/>
        </w:rPr>
      </w:pPr>
      <w:r w:rsidRPr="002B75CF">
        <w:rPr>
          <w:rFonts w:ascii="Times New Roman" w:hAnsi="Times New Roman"/>
          <w:bCs/>
        </w:rPr>
        <w:t>Fermentation</w:t>
      </w:r>
    </w:p>
    <w:p w14:paraId="132E3F0B" w14:textId="77777777" w:rsidR="0040444D" w:rsidRDefault="0040444D" w:rsidP="0040444D">
      <w:pPr>
        <w:spacing w:line="480" w:lineRule="auto"/>
        <w:jc w:val="both"/>
        <w:rPr>
          <w:rFonts w:ascii="Times New Roman" w:hAnsi="Times New Roman"/>
        </w:rPr>
      </w:pPr>
      <w:r>
        <w:rPr>
          <w:rFonts w:ascii="Times New Roman" w:hAnsi="Times New Roman"/>
        </w:rPr>
        <w:t xml:space="preserve">A portion of fresh </w:t>
      </w:r>
      <w:r>
        <w:rPr>
          <w:rFonts w:ascii="Times New Roman" w:hAnsi="Times New Roman"/>
          <w:i/>
        </w:rPr>
        <w:t>Eichhornia crassipes</w:t>
      </w:r>
      <w:r>
        <w:rPr>
          <w:rFonts w:ascii="Times New Roman" w:hAnsi="Times New Roman"/>
        </w:rPr>
        <w:t xml:space="preserve"> was subjected to solid-state fermentation. The sample was placed in a clean fermentation container and allowed to ferment for 48</w:t>
      </w:r>
      <w:r>
        <w:rPr>
          <w:rFonts w:ascii="Times New Roman" w:hAnsi="Times New Roman"/>
          <w:highlight w:val="yellow"/>
        </w:rPr>
        <w:t xml:space="preserve"> </w:t>
      </w:r>
      <w:r>
        <w:rPr>
          <w:rFonts w:ascii="Times New Roman" w:hAnsi="Times New Roman"/>
        </w:rPr>
        <w:t xml:space="preserve">hours </w:t>
      </w:r>
      <w:r>
        <w:rPr>
          <w:rFonts w:ascii="Times New Roman" w:hAnsi="Times New Roman"/>
          <w:highlight w:val="yellow"/>
        </w:rPr>
        <w:t>at</w:t>
      </w:r>
      <w:r>
        <w:rPr>
          <w:rFonts w:ascii="Times New Roman" w:hAnsi="Times New Roman"/>
        </w:rPr>
        <w:t xml:space="preserve"> ambient temperature. At the end of the fermentation period, the sample was removed, dried, and prepared for further laboratory analysis.</w:t>
      </w:r>
    </w:p>
    <w:p w14:paraId="703540BD" w14:textId="77777777" w:rsidR="0040444D" w:rsidRPr="002B75CF" w:rsidRDefault="0040444D" w:rsidP="0040444D">
      <w:pPr>
        <w:jc w:val="both"/>
        <w:rPr>
          <w:rFonts w:ascii="Times New Roman" w:hAnsi="Times New Roman"/>
          <w:bCs/>
        </w:rPr>
      </w:pPr>
      <w:r>
        <w:rPr>
          <w:rFonts w:ascii="Times New Roman" w:hAnsi="Times New Roman"/>
          <w:bCs/>
        </w:rPr>
        <w:t>Determination of Nitrogen and Protein Content (</w:t>
      </w:r>
      <w:r>
        <w:rPr>
          <w:rFonts w:ascii="Times New Roman" w:hAnsi="Times New Roman"/>
        </w:rPr>
        <w:t>A</w:t>
      </w:r>
      <w:r>
        <w:rPr>
          <w:rFonts w:ascii="Times New Roman" w:hAnsi="Times New Roman"/>
          <w:highlight w:val="yellow"/>
        </w:rPr>
        <w:t>ssociation of Official Analytical Chemists [A</w:t>
      </w:r>
      <w:r>
        <w:rPr>
          <w:rFonts w:ascii="Times New Roman" w:hAnsi="Times New Roman"/>
        </w:rPr>
        <w:t>OAC</w:t>
      </w:r>
      <w:r>
        <w:rPr>
          <w:rFonts w:ascii="Times New Roman" w:hAnsi="Times New Roman"/>
          <w:highlight w:val="yellow"/>
        </w:rPr>
        <w:t>]</w:t>
      </w:r>
      <w:r>
        <w:rPr>
          <w:rFonts w:ascii="Times New Roman" w:hAnsi="Times New Roman"/>
        </w:rPr>
        <w:t xml:space="preserve">, 2019) </w:t>
      </w:r>
    </w:p>
    <w:p w14:paraId="46019842" w14:textId="77777777" w:rsidR="0040444D" w:rsidRDefault="0040444D" w:rsidP="0040444D">
      <w:pPr>
        <w:spacing w:line="480" w:lineRule="auto"/>
        <w:jc w:val="both"/>
        <w:rPr>
          <w:rFonts w:ascii="Times New Roman" w:eastAsia="Calibri" w:hAnsi="Times New Roman" w:cstheme="minorBidi"/>
        </w:rPr>
      </w:pPr>
      <w:r>
        <w:rPr>
          <w:rFonts w:ascii="Times New Roman" w:eastAsia="Calibri" w:hAnsi="Times New Roman"/>
          <w:bCs/>
        </w:rPr>
        <w:t>Digestion:</w:t>
      </w:r>
      <w:r>
        <w:rPr>
          <w:rFonts w:ascii="Times New Roman" w:eastAsia="Calibri" w:hAnsi="Times New Roman"/>
        </w:rPr>
        <w:t xml:space="preserve">  </w:t>
      </w:r>
      <w:r>
        <w:rPr>
          <w:rFonts w:ascii="Times New Roman" w:hAnsi="Times New Roman"/>
        </w:rPr>
        <w:t>0.5</w:t>
      </w:r>
      <w:r>
        <w:rPr>
          <w:rFonts w:ascii="Times New Roman" w:hAnsi="Times New Roman"/>
          <w:highlight w:val="yellow"/>
        </w:rPr>
        <w:t xml:space="preserve"> </w:t>
      </w:r>
      <w:r>
        <w:rPr>
          <w:rFonts w:ascii="Times New Roman" w:hAnsi="Times New Roman"/>
        </w:rPr>
        <w:t>g of each processed sample was p</w:t>
      </w:r>
      <w:r>
        <w:rPr>
          <w:rFonts w:ascii="Times New Roman" w:hAnsi="Times New Roman"/>
          <w:highlight w:val="yellow"/>
        </w:rPr>
        <w:t>laced</w:t>
      </w:r>
      <w:r>
        <w:rPr>
          <w:rFonts w:ascii="Times New Roman" w:hAnsi="Times New Roman"/>
        </w:rPr>
        <w:t xml:space="preserve"> </w:t>
      </w:r>
      <w:r>
        <w:rPr>
          <w:rFonts w:ascii="Times New Roman" w:eastAsia="Calibri" w:hAnsi="Times New Roman"/>
        </w:rPr>
        <w:t xml:space="preserve">in a clean and dry digestion flask, </w:t>
      </w:r>
      <w:r>
        <w:rPr>
          <w:rFonts w:ascii="Times New Roman" w:eastAsia="Calibri" w:hAnsi="Times New Roman"/>
          <w:highlight w:val="yellow"/>
        </w:rPr>
        <w:t>ensur</w:t>
      </w:r>
      <w:r>
        <w:rPr>
          <w:rFonts w:ascii="Times New Roman" w:eastAsia="Calibri" w:hAnsi="Times New Roman"/>
        </w:rPr>
        <w:t>ing that no sample</w:t>
      </w:r>
      <w:r>
        <w:rPr>
          <w:rFonts w:ascii="Times New Roman" w:eastAsia="Calibri" w:hAnsi="Times New Roman"/>
          <w:highlight w:val="yellow"/>
        </w:rPr>
        <w:t xml:space="preserve"> </w:t>
      </w:r>
      <w:r>
        <w:rPr>
          <w:rFonts w:ascii="Times New Roman" w:eastAsia="Calibri" w:hAnsi="Times New Roman"/>
        </w:rPr>
        <w:t>particles adhered to the sides of the flask. 20</w:t>
      </w:r>
      <w:r>
        <w:rPr>
          <w:rFonts w:ascii="Times New Roman" w:eastAsia="Calibri" w:hAnsi="Times New Roman"/>
          <w:highlight w:val="yellow"/>
        </w:rPr>
        <w:t xml:space="preserve"> </w:t>
      </w:r>
      <w:r>
        <w:rPr>
          <w:rFonts w:ascii="Times New Roman" w:eastAsia="Calibri" w:hAnsi="Times New Roman"/>
        </w:rPr>
        <w:t>m</w:t>
      </w:r>
      <w:r>
        <w:rPr>
          <w:rFonts w:ascii="Times New Roman" w:eastAsia="Calibri" w:hAnsi="Times New Roman"/>
          <w:highlight w:val="yellow"/>
        </w:rPr>
        <w:t>L</w:t>
      </w:r>
      <w:r>
        <w:rPr>
          <w:rFonts w:ascii="Times New Roman" w:eastAsia="Calibri" w:hAnsi="Times New Roman"/>
        </w:rPr>
        <w:t xml:space="preserve"> of concentrated sulphuric acid was added and mixed gently. 10</w:t>
      </w:r>
      <w:r>
        <w:rPr>
          <w:rFonts w:ascii="Times New Roman" w:eastAsia="Calibri" w:hAnsi="Times New Roman"/>
          <w:highlight w:val="yellow"/>
        </w:rPr>
        <w:t xml:space="preserve"> </w:t>
      </w:r>
      <w:r>
        <w:rPr>
          <w:rFonts w:ascii="Times New Roman" w:eastAsia="Calibri" w:hAnsi="Times New Roman"/>
        </w:rPr>
        <w:t xml:space="preserve">g of </w:t>
      </w:r>
      <w:r>
        <w:rPr>
          <w:rFonts w:ascii="Times New Roman" w:hAnsi="Times New Roman"/>
        </w:rPr>
        <w:t>Na</w:t>
      </w:r>
      <w:r>
        <w:rPr>
          <w:rFonts w:ascii="Times New Roman" w:hAnsi="Times New Roman"/>
          <w:vertAlign w:val="subscript"/>
        </w:rPr>
        <w:t>2</w:t>
      </w:r>
      <w:r>
        <w:rPr>
          <w:rFonts w:ascii="Times New Roman" w:hAnsi="Times New Roman"/>
        </w:rPr>
        <w:t>SO</w:t>
      </w:r>
      <w:r>
        <w:rPr>
          <w:rFonts w:ascii="Times New Roman" w:hAnsi="Times New Roman"/>
          <w:vertAlign w:val="subscript"/>
        </w:rPr>
        <w:t>4</w:t>
      </w:r>
      <w:r>
        <w:rPr>
          <w:rFonts w:ascii="Times New Roman" w:hAnsi="Times New Roman"/>
        </w:rPr>
        <w:t xml:space="preserve"> </w:t>
      </w:r>
      <w:r>
        <w:rPr>
          <w:rFonts w:ascii="Times New Roman" w:eastAsia="Calibri" w:hAnsi="Times New Roman"/>
        </w:rPr>
        <w:t>and 1</w:t>
      </w:r>
      <w:r>
        <w:rPr>
          <w:rFonts w:ascii="Times New Roman" w:eastAsia="Calibri" w:hAnsi="Times New Roman"/>
          <w:highlight w:val="yellow"/>
        </w:rPr>
        <w:t xml:space="preserve"> </w:t>
      </w:r>
      <w:r>
        <w:rPr>
          <w:rFonts w:ascii="Times New Roman" w:eastAsia="Calibri" w:hAnsi="Times New Roman"/>
        </w:rPr>
        <w:t xml:space="preserve">g of </w:t>
      </w:r>
      <w:r>
        <w:rPr>
          <w:rFonts w:ascii="Times New Roman" w:hAnsi="Times New Roman"/>
        </w:rPr>
        <w:t>CuSO</w:t>
      </w:r>
      <w:r>
        <w:rPr>
          <w:rFonts w:ascii="Times New Roman" w:hAnsi="Times New Roman"/>
          <w:vertAlign w:val="subscript"/>
        </w:rPr>
        <w:t xml:space="preserve">4 </w:t>
      </w:r>
      <w:r>
        <w:rPr>
          <w:rFonts w:ascii="Times New Roman" w:eastAsia="Calibri" w:hAnsi="Times New Roman"/>
        </w:rPr>
        <w:t>were mixed together, and 3</w:t>
      </w:r>
      <w:r>
        <w:rPr>
          <w:rFonts w:ascii="Times New Roman" w:eastAsia="Calibri" w:hAnsi="Times New Roman"/>
          <w:highlight w:val="yellow"/>
        </w:rPr>
        <w:t xml:space="preserve"> </w:t>
      </w:r>
      <w:r>
        <w:rPr>
          <w:rFonts w:ascii="Times New Roman" w:eastAsia="Calibri" w:hAnsi="Times New Roman"/>
        </w:rPr>
        <w:t xml:space="preserve">g of the mixture was added to the flask. Also, a few anti-bumping chips were added to the mixture. The </w:t>
      </w:r>
      <w:r>
        <w:rPr>
          <w:rFonts w:ascii="Times New Roman" w:hAnsi="Times New Roman"/>
        </w:rPr>
        <w:t>Na</w:t>
      </w:r>
      <w:r>
        <w:rPr>
          <w:rFonts w:ascii="Times New Roman" w:hAnsi="Times New Roman"/>
          <w:vertAlign w:val="subscript"/>
        </w:rPr>
        <w:t>2</w:t>
      </w:r>
      <w:r>
        <w:rPr>
          <w:rFonts w:ascii="Times New Roman" w:hAnsi="Times New Roman"/>
        </w:rPr>
        <w:t>SO</w:t>
      </w:r>
      <w:r>
        <w:rPr>
          <w:rFonts w:ascii="Times New Roman" w:hAnsi="Times New Roman"/>
          <w:vertAlign w:val="subscript"/>
        </w:rPr>
        <w:t xml:space="preserve">4 </w:t>
      </w:r>
      <w:r>
        <w:rPr>
          <w:rFonts w:ascii="Times New Roman" w:eastAsia="Calibri" w:hAnsi="Times New Roman"/>
        </w:rPr>
        <w:t xml:space="preserve">and </w:t>
      </w:r>
      <w:r>
        <w:rPr>
          <w:rFonts w:ascii="Times New Roman" w:hAnsi="Times New Roman"/>
        </w:rPr>
        <w:t>CuSO</w:t>
      </w:r>
      <w:r>
        <w:rPr>
          <w:rFonts w:ascii="Times New Roman" w:hAnsi="Times New Roman"/>
          <w:vertAlign w:val="subscript"/>
        </w:rPr>
        <w:t xml:space="preserve">4 </w:t>
      </w:r>
      <w:r>
        <w:rPr>
          <w:rFonts w:ascii="Times New Roman" w:eastAsia="Calibri" w:hAnsi="Times New Roman"/>
        </w:rPr>
        <w:t xml:space="preserve">mixture </w:t>
      </w:r>
      <w:r>
        <w:rPr>
          <w:rFonts w:ascii="Times New Roman" w:eastAsia="Calibri" w:hAnsi="Times New Roman"/>
          <w:highlight w:val="yellow"/>
        </w:rPr>
        <w:t>served a</w:t>
      </w:r>
      <w:r>
        <w:rPr>
          <w:rFonts w:ascii="Times New Roman" w:eastAsia="Calibri" w:hAnsi="Times New Roman"/>
        </w:rPr>
        <w:t xml:space="preserve">s the Kjeldahl catalyst. The entire mixture was boiled gently in the Kjeldahl flask in a fume cupboard until charred particles disappeared and a clear green solution was obtained. The digest was allowed to cool and then added to distilled water. The digest was shaken carefully since the reaction was exothermic, and after </w:t>
      </w:r>
      <w:r>
        <w:rPr>
          <w:rFonts w:ascii="Times New Roman" w:eastAsia="Calibri" w:hAnsi="Times New Roman"/>
          <w:highlight w:val="yellow"/>
        </w:rPr>
        <w:t>re</w:t>
      </w:r>
      <w:r>
        <w:rPr>
          <w:rFonts w:ascii="Times New Roman" w:eastAsia="Calibri" w:hAnsi="Times New Roman"/>
        </w:rPr>
        <w:t>a</w:t>
      </w:r>
      <w:r>
        <w:rPr>
          <w:rFonts w:ascii="Times New Roman" w:eastAsia="Calibri" w:hAnsi="Times New Roman"/>
          <w:highlight w:val="yellow"/>
        </w:rPr>
        <w:t>ch</w:t>
      </w:r>
      <w:r>
        <w:rPr>
          <w:rFonts w:ascii="Times New Roman" w:eastAsia="Calibri" w:hAnsi="Times New Roman"/>
        </w:rPr>
        <w:t>ing room temperature, it was carefully transferred into a 50-100</w:t>
      </w:r>
      <w:r>
        <w:rPr>
          <w:rFonts w:ascii="Times New Roman" w:eastAsia="Calibri" w:hAnsi="Times New Roman"/>
          <w:highlight w:val="yellow"/>
        </w:rPr>
        <w:t xml:space="preserve"> </w:t>
      </w:r>
      <w:r>
        <w:rPr>
          <w:rFonts w:ascii="Times New Roman" w:eastAsia="Calibri" w:hAnsi="Times New Roman"/>
        </w:rPr>
        <w:t>m</w:t>
      </w:r>
      <w:r>
        <w:rPr>
          <w:rFonts w:ascii="Times New Roman" w:eastAsia="Calibri" w:hAnsi="Times New Roman"/>
          <w:highlight w:val="yellow"/>
        </w:rPr>
        <w:t>L</w:t>
      </w:r>
      <w:r>
        <w:rPr>
          <w:rFonts w:ascii="Times New Roman" w:eastAsia="Calibri" w:hAnsi="Times New Roman"/>
        </w:rPr>
        <w:t xml:space="preserve"> conical flask. The digestion flask was washed several times with a small portion of distilled water, and the washings were transferred into the same conical flask. It was shaken carefully, the volume was made up, and it was shaken again for uniform concentration.</w:t>
      </w:r>
    </w:p>
    <w:p w14:paraId="463AF0B8" w14:textId="77777777" w:rsidR="0040444D" w:rsidRDefault="0040444D" w:rsidP="0040444D">
      <w:pPr>
        <w:spacing w:line="480" w:lineRule="auto"/>
        <w:jc w:val="both"/>
        <w:rPr>
          <w:rFonts w:ascii="Times New Roman" w:eastAsia="Calibri" w:hAnsi="Times New Roman"/>
        </w:rPr>
      </w:pPr>
      <w:r>
        <w:rPr>
          <w:rFonts w:ascii="Times New Roman" w:eastAsia="Calibri" w:hAnsi="Times New Roman"/>
          <w:bCs/>
        </w:rPr>
        <w:t>Distillation and titration</w:t>
      </w:r>
      <w:r>
        <w:rPr>
          <w:rFonts w:ascii="Times New Roman" w:eastAsia="Calibri" w:hAnsi="Times New Roman"/>
          <w:b/>
          <w:bCs/>
        </w:rPr>
        <w:t xml:space="preserve">: </w:t>
      </w:r>
      <w:r>
        <w:rPr>
          <w:rFonts w:ascii="Times New Roman" w:eastAsia="Calibri" w:hAnsi="Times New Roman"/>
        </w:rPr>
        <w:t>10</w:t>
      </w:r>
      <w:r>
        <w:rPr>
          <w:rFonts w:ascii="Times New Roman" w:eastAsia="Calibri" w:hAnsi="Times New Roman"/>
          <w:highlight w:val="yellow"/>
        </w:rPr>
        <w:t xml:space="preserve"> </w:t>
      </w:r>
      <w:r>
        <w:rPr>
          <w:rFonts w:ascii="Times New Roman" w:eastAsia="Calibri" w:hAnsi="Times New Roman"/>
        </w:rPr>
        <w:t>m</w:t>
      </w:r>
      <w:r>
        <w:rPr>
          <w:rFonts w:ascii="Times New Roman" w:eastAsia="Calibri" w:hAnsi="Times New Roman"/>
          <w:highlight w:val="yellow"/>
        </w:rPr>
        <w:t>L</w:t>
      </w:r>
      <w:r>
        <w:rPr>
          <w:rFonts w:ascii="Times New Roman" w:eastAsia="Calibri" w:hAnsi="Times New Roman"/>
        </w:rPr>
        <w:t xml:space="preserve"> of 2% boric acid was measured into a 500</w:t>
      </w:r>
      <w:r>
        <w:rPr>
          <w:rFonts w:ascii="Times New Roman" w:eastAsia="Calibri" w:hAnsi="Times New Roman"/>
          <w:highlight w:val="yellow"/>
        </w:rPr>
        <w:t xml:space="preserve"> </w:t>
      </w:r>
      <w:r>
        <w:rPr>
          <w:rFonts w:ascii="Times New Roman" w:eastAsia="Calibri" w:hAnsi="Times New Roman"/>
        </w:rPr>
        <w:t>m</w:t>
      </w:r>
      <w:r>
        <w:rPr>
          <w:rFonts w:ascii="Times New Roman" w:eastAsia="Calibri" w:hAnsi="Times New Roman"/>
          <w:highlight w:val="yellow"/>
        </w:rPr>
        <w:t>L</w:t>
      </w:r>
      <w:r>
        <w:rPr>
          <w:rFonts w:ascii="Times New Roman" w:eastAsia="Calibri" w:hAnsi="Times New Roman"/>
        </w:rPr>
        <w:t xml:space="preserve"> beaker, and 2-3 drops of the mixed indicator (Bromocresol green and Methyl red) were added. The beaker was placed under the condenser, taking care to ensure that the end of the condenser </w:t>
      </w:r>
      <w:r>
        <w:rPr>
          <w:rFonts w:ascii="Times New Roman" w:eastAsia="Calibri" w:hAnsi="Times New Roman"/>
          <w:highlight w:val="yellow"/>
        </w:rPr>
        <w:t>wa</w:t>
      </w:r>
      <w:r>
        <w:rPr>
          <w:rFonts w:ascii="Times New Roman" w:eastAsia="Calibri" w:hAnsi="Times New Roman"/>
        </w:rPr>
        <w:t xml:space="preserve">s </w:t>
      </w:r>
      <w:r>
        <w:rPr>
          <w:rFonts w:ascii="Times New Roman" w:eastAsia="Calibri" w:hAnsi="Times New Roman"/>
          <w:highlight w:val="yellow"/>
        </w:rPr>
        <w:t>immerse</w:t>
      </w:r>
      <w:r>
        <w:rPr>
          <w:rFonts w:ascii="Times New Roman" w:eastAsia="Calibri" w:hAnsi="Times New Roman"/>
        </w:rPr>
        <w:t>d in the boric acid solution. 10</w:t>
      </w:r>
      <w:r>
        <w:rPr>
          <w:rFonts w:ascii="Times New Roman" w:eastAsia="Calibri" w:hAnsi="Times New Roman"/>
          <w:highlight w:val="yellow"/>
        </w:rPr>
        <w:t xml:space="preserve"> </w:t>
      </w:r>
      <w:r>
        <w:rPr>
          <w:rFonts w:ascii="Times New Roman" w:eastAsia="Calibri" w:hAnsi="Times New Roman"/>
        </w:rPr>
        <w:t>m</w:t>
      </w:r>
      <w:r>
        <w:rPr>
          <w:rFonts w:ascii="Times New Roman" w:eastAsia="Calibri" w:hAnsi="Times New Roman"/>
          <w:highlight w:val="yellow"/>
        </w:rPr>
        <w:t>L</w:t>
      </w:r>
      <w:r>
        <w:rPr>
          <w:rFonts w:ascii="Times New Roman" w:eastAsia="Calibri" w:hAnsi="Times New Roman"/>
        </w:rPr>
        <w:t xml:space="preserve"> of the digest was added to 30</w:t>
      </w:r>
      <w:r>
        <w:rPr>
          <w:rFonts w:ascii="Times New Roman" w:eastAsia="Calibri" w:hAnsi="Times New Roman"/>
          <w:highlight w:val="yellow"/>
        </w:rPr>
        <w:t xml:space="preserve"> </w:t>
      </w:r>
      <w:r>
        <w:rPr>
          <w:rFonts w:ascii="Times New Roman" w:eastAsia="Calibri" w:hAnsi="Times New Roman"/>
        </w:rPr>
        <w:t>m</w:t>
      </w:r>
      <w:r>
        <w:rPr>
          <w:rFonts w:ascii="Times New Roman" w:eastAsia="Calibri" w:hAnsi="Times New Roman"/>
          <w:highlight w:val="yellow"/>
        </w:rPr>
        <w:t>L</w:t>
      </w:r>
      <w:r>
        <w:rPr>
          <w:rFonts w:ascii="Times New Roman" w:eastAsia="Calibri" w:hAnsi="Times New Roman"/>
        </w:rPr>
        <w:t xml:space="preserve"> of 40% NaOH in the distilling portion. The heating system was switched on for 30</w:t>
      </w:r>
      <w:r>
        <w:rPr>
          <w:rFonts w:ascii="Times New Roman" w:eastAsia="Calibri" w:hAnsi="Times New Roman"/>
          <w:highlight w:val="yellow"/>
        </w:rPr>
        <w:t xml:space="preserve"> </w:t>
      </w:r>
      <w:r>
        <w:rPr>
          <w:rFonts w:ascii="Times New Roman" w:eastAsia="Calibri" w:hAnsi="Times New Roman"/>
        </w:rPr>
        <w:t>minutes. After the distillation was complete, the receiving beaker was removed, and the distillate was titrated with 0.1 N HCl until the endpoint (light pink colo</w:t>
      </w:r>
      <w:r>
        <w:rPr>
          <w:rFonts w:ascii="Times New Roman" w:eastAsia="Calibri" w:hAnsi="Times New Roman"/>
          <w:highlight w:val="yellow"/>
        </w:rPr>
        <w:t>u</w:t>
      </w:r>
      <w:r>
        <w:rPr>
          <w:rFonts w:ascii="Times New Roman" w:eastAsia="Calibri" w:hAnsi="Times New Roman"/>
        </w:rPr>
        <w:t xml:space="preserve">ration) was achieved. </w:t>
      </w:r>
      <w:r>
        <w:rPr>
          <w:rFonts w:ascii="Times New Roman" w:eastAsia="Calibri" w:hAnsi="Times New Roman"/>
          <w:highlight w:val="yellow"/>
        </w:rPr>
        <w:t>A</w:t>
      </w:r>
      <w:r>
        <w:rPr>
          <w:rFonts w:ascii="Times New Roman" w:eastAsia="Calibri" w:hAnsi="Times New Roman"/>
        </w:rPr>
        <w:t xml:space="preserve"> blank preparation was </w:t>
      </w:r>
      <w:r>
        <w:rPr>
          <w:rFonts w:ascii="Times New Roman" w:eastAsia="Calibri" w:hAnsi="Times New Roman"/>
          <w:highlight w:val="yellow"/>
        </w:rPr>
        <w:t>ru</w:t>
      </w:r>
      <w:r>
        <w:rPr>
          <w:rFonts w:ascii="Times New Roman" w:eastAsia="Calibri" w:hAnsi="Times New Roman"/>
        </w:rPr>
        <w:t>n identically</w:t>
      </w:r>
      <w:r>
        <w:rPr>
          <w:rFonts w:ascii="Times New Roman" w:eastAsia="Calibri" w:hAnsi="Times New Roman"/>
          <w:highlight w:val="yellow"/>
        </w:rPr>
        <w:t>,</w:t>
      </w:r>
      <w:r>
        <w:rPr>
          <w:rFonts w:ascii="Times New Roman" w:eastAsia="Calibri" w:hAnsi="Times New Roman"/>
        </w:rPr>
        <w:t xml:space="preserve"> except that it d</w:t>
      </w:r>
      <w:r>
        <w:rPr>
          <w:rFonts w:ascii="Times New Roman" w:eastAsia="Calibri" w:hAnsi="Times New Roman"/>
          <w:highlight w:val="yellow"/>
        </w:rPr>
        <w:t>id</w:t>
      </w:r>
      <w:r>
        <w:rPr>
          <w:rFonts w:ascii="Times New Roman" w:eastAsia="Calibri" w:hAnsi="Times New Roman"/>
        </w:rPr>
        <w:t xml:space="preserve"> not contain the sample. (Where DF is the dilution factor - 100/10).</w:t>
      </w:r>
    </w:p>
    <w:p w14:paraId="5E31AD64" w14:textId="77777777" w:rsidR="0040444D" w:rsidRPr="002B75CF" w:rsidRDefault="0040444D" w:rsidP="0040444D">
      <w:pPr>
        <w:spacing w:line="480" w:lineRule="auto"/>
        <w:jc w:val="center"/>
        <w:rPr>
          <w:rFonts w:ascii="Times New Roman" w:eastAsiaTheme="minorEastAsia" w:hAnsi="Times New Roman"/>
        </w:rPr>
      </w:pPr>
      <w:r w:rsidRPr="002B75CF">
        <w:rPr>
          <w:rFonts w:ascii="Times New Roman" w:hAnsi="Times New Roman"/>
        </w:rPr>
        <w:lastRenderedPageBreak/>
        <w:t xml:space="preserve">Calculation: </w:t>
      </w:r>
      <w:r w:rsidRPr="002B75CF">
        <w:rPr>
          <w:rFonts w:ascii="Times New Roman" w:hAnsi="Times New Roman"/>
          <w:bCs/>
        </w:rPr>
        <w:t xml:space="preserve">%Nitrogen = </w:t>
      </w:r>
      <m:oMath>
        <m:f>
          <m:fPr>
            <m:ctrlPr>
              <w:rPr>
                <w:rFonts w:ascii="Cambria Math" w:hAnsi="Cambria Math"/>
                <w:bCs/>
                <w:kern w:val="2"/>
                <w:sz w:val="28"/>
                <w:szCs w:val="28"/>
                <w14:ligatures w14:val="standardContextual"/>
              </w:rPr>
            </m:ctrlPr>
          </m:fPr>
          <m:num>
            <m:r>
              <m:rPr>
                <m:sty m:val="p"/>
              </m:rPr>
              <w:rPr>
                <w:rFonts w:ascii="Cambria Math" w:hAnsi="Cambria Math"/>
                <w:sz w:val="28"/>
              </w:rPr>
              <m:t>1.4 × TV × D.F</m:t>
            </m:r>
          </m:num>
          <m:den>
            <m:r>
              <m:rPr>
                <m:sty m:val="p"/>
              </m:rPr>
              <w:rPr>
                <w:rFonts w:ascii="Cambria Math" w:hAnsi="Cambria Math"/>
                <w:sz w:val="28"/>
              </w:rPr>
              <m:t>Original weight of sample</m:t>
            </m:r>
          </m:den>
        </m:f>
      </m:oMath>
      <w:r w:rsidRPr="002B75CF">
        <w:rPr>
          <w:rFonts w:ascii="Times New Roman" w:hAnsi="Times New Roman"/>
          <w:bCs/>
          <w:sz w:val="28"/>
        </w:rPr>
        <w:t xml:space="preserve"> </w:t>
      </w:r>
      <w:r w:rsidRPr="002B75CF">
        <w:rPr>
          <w:rFonts w:ascii="Times New Roman" w:hAnsi="Times New Roman"/>
          <w:bCs/>
        </w:rPr>
        <w:t>× 100</w:t>
      </w:r>
    </w:p>
    <w:p w14:paraId="32D5BA68" w14:textId="77777777" w:rsidR="0040444D" w:rsidRPr="002B75CF" w:rsidRDefault="0040444D" w:rsidP="0040444D">
      <w:pPr>
        <w:tabs>
          <w:tab w:val="left" w:pos="6439"/>
        </w:tabs>
        <w:jc w:val="center"/>
        <w:rPr>
          <w:rFonts w:ascii="Times New Roman" w:hAnsi="Times New Roman"/>
        </w:rPr>
      </w:pPr>
      <w:r w:rsidRPr="002B75CF">
        <w:rPr>
          <w:rFonts w:ascii="Times New Roman" w:hAnsi="Times New Roman"/>
        </w:rPr>
        <w:t>% Protein = % nitrogen × 6.25</w:t>
      </w:r>
    </w:p>
    <w:p w14:paraId="4C5D02E5" w14:textId="77777777" w:rsidR="0040444D" w:rsidRPr="002B75CF" w:rsidRDefault="0040444D" w:rsidP="0040444D">
      <w:pPr>
        <w:jc w:val="both"/>
        <w:rPr>
          <w:rFonts w:ascii="Times New Roman" w:hAnsi="Times New Roman"/>
          <w:bCs/>
        </w:rPr>
      </w:pPr>
      <w:r w:rsidRPr="002B75CF">
        <w:rPr>
          <w:rFonts w:ascii="Times New Roman" w:hAnsi="Times New Roman"/>
          <w:bCs/>
        </w:rPr>
        <w:t>Determination of Free Amino Acids (</w:t>
      </w:r>
      <w:proofErr w:type="spellStart"/>
      <w:r w:rsidRPr="002B75CF">
        <w:rPr>
          <w:rFonts w:ascii="Times New Roman" w:hAnsi="Times New Roman"/>
          <w:color w:val="1B1B1B"/>
          <w:shd w:val="clear" w:color="auto" w:fill="FFFFFF"/>
        </w:rPr>
        <w:t>Stauß</w:t>
      </w:r>
      <w:proofErr w:type="spellEnd"/>
      <w:r w:rsidRPr="002B75CF">
        <w:rPr>
          <w:rFonts w:ascii="Times New Roman" w:hAnsi="Times New Roman"/>
          <w:color w:val="1B1B1B"/>
          <w:shd w:val="clear" w:color="auto" w:fill="FFFFFF"/>
        </w:rPr>
        <w:t xml:space="preserve"> </w:t>
      </w:r>
      <w:r w:rsidRPr="002B75CF">
        <w:rPr>
          <w:rFonts w:ascii="Times New Roman" w:hAnsi="Times New Roman"/>
          <w:i/>
          <w:color w:val="1B1B1B"/>
          <w:shd w:val="clear" w:color="auto" w:fill="FFFFFF"/>
        </w:rPr>
        <w:t xml:space="preserve">et al., </w:t>
      </w:r>
      <w:r w:rsidRPr="002B75CF">
        <w:rPr>
          <w:rFonts w:ascii="Times New Roman" w:hAnsi="Times New Roman"/>
          <w:color w:val="1B1B1B"/>
          <w:shd w:val="clear" w:color="auto" w:fill="FFFFFF"/>
        </w:rPr>
        <w:t>2024</w:t>
      </w:r>
      <w:r w:rsidRPr="002B75CF">
        <w:rPr>
          <w:rFonts w:ascii="Times New Roman" w:hAnsi="Times New Roman"/>
          <w:bCs/>
        </w:rPr>
        <w:t>)</w:t>
      </w:r>
    </w:p>
    <w:p w14:paraId="2744E03D" w14:textId="77777777" w:rsidR="0040444D" w:rsidRDefault="0040444D" w:rsidP="0040444D">
      <w:pPr>
        <w:spacing w:before="240" w:line="480" w:lineRule="auto"/>
        <w:jc w:val="both"/>
        <w:rPr>
          <w:rFonts w:ascii="Times New Roman" w:hAnsi="Times New Roman"/>
        </w:rPr>
      </w:pPr>
      <w:r>
        <w:rPr>
          <w:rFonts w:ascii="Times New Roman" w:hAnsi="Times New Roman"/>
        </w:rPr>
        <w:t>0.2, 0.4, 0.6, 0.8, and 1</w:t>
      </w:r>
      <w:r>
        <w:rPr>
          <w:rFonts w:ascii="Times New Roman" w:hAnsi="Times New Roman"/>
          <w:highlight w:val="yellow"/>
        </w:rPr>
        <w:t xml:space="preserve"> </w:t>
      </w:r>
      <w:r>
        <w:rPr>
          <w:rFonts w:ascii="Times New Roman" w:hAnsi="Times New Roman"/>
        </w:rPr>
        <w:t>m</w:t>
      </w:r>
      <w:r>
        <w:rPr>
          <w:rFonts w:ascii="Times New Roman" w:hAnsi="Times New Roman"/>
          <w:highlight w:val="yellow"/>
        </w:rPr>
        <w:t>L</w:t>
      </w:r>
      <w:r>
        <w:rPr>
          <w:rFonts w:ascii="Times New Roman" w:hAnsi="Times New Roman"/>
        </w:rPr>
        <w:t xml:space="preserve"> of the standard amino acid solution were pipetted into their respective labelled test tubes. Distilled water was added to all the test tubes to make up the volume to 1</w:t>
      </w:r>
      <w:r>
        <w:rPr>
          <w:rFonts w:ascii="Times New Roman" w:hAnsi="Times New Roman"/>
          <w:highlight w:val="yellow"/>
        </w:rPr>
        <w:t xml:space="preserve"> </w:t>
      </w:r>
      <w:r>
        <w:rPr>
          <w:rFonts w:ascii="Times New Roman" w:hAnsi="Times New Roman"/>
        </w:rPr>
        <w:t>m</w:t>
      </w:r>
      <w:r>
        <w:rPr>
          <w:rFonts w:ascii="Times New Roman" w:hAnsi="Times New Roman"/>
          <w:highlight w:val="yellow"/>
        </w:rPr>
        <w:t>L</w:t>
      </w:r>
      <w:r>
        <w:rPr>
          <w:rFonts w:ascii="Times New Roman" w:hAnsi="Times New Roman"/>
        </w:rPr>
        <w:t>.   For the test tube labelled ‘Blank’, 1</w:t>
      </w:r>
      <w:r>
        <w:rPr>
          <w:rFonts w:ascii="Times New Roman" w:hAnsi="Times New Roman"/>
          <w:highlight w:val="yellow"/>
        </w:rPr>
        <w:t xml:space="preserve"> </w:t>
      </w:r>
      <w:r>
        <w:rPr>
          <w:rFonts w:ascii="Times New Roman" w:hAnsi="Times New Roman"/>
        </w:rPr>
        <w:t>m</w:t>
      </w:r>
      <w:r>
        <w:rPr>
          <w:rFonts w:ascii="Times New Roman" w:hAnsi="Times New Roman"/>
          <w:highlight w:val="yellow"/>
        </w:rPr>
        <w:t>L</w:t>
      </w:r>
      <w:r>
        <w:rPr>
          <w:rFonts w:ascii="Times New Roman" w:hAnsi="Times New Roman"/>
        </w:rPr>
        <w:t xml:space="preserve"> of distilled water was added to it. Then 1</w:t>
      </w:r>
      <w:r>
        <w:rPr>
          <w:rFonts w:ascii="Times New Roman" w:hAnsi="Times New Roman"/>
          <w:highlight w:val="yellow"/>
        </w:rPr>
        <w:t xml:space="preserve"> </w:t>
      </w:r>
      <w:r>
        <w:rPr>
          <w:rFonts w:ascii="Times New Roman" w:hAnsi="Times New Roman"/>
        </w:rPr>
        <w:t>m</w:t>
      </w:r>
      <w:r>
        <w:rPr>
          <w:rFonts w:ascii="Times New Roman" w:hAnsi="Times New Roman"/>
          <w:highlight w:val="yellow"/>
        </w:rPr>
        <w:t>L</w:t>
      </w:r>
      <w:r>
        <w:rPr>
          <w:rFonts w:ascii="Times New Roman" w:hAnsi="Times New Roman"/>
        </w:rPr>
        <w:t xml:space="preserve"> of ninhydrin reagent was added to all the test tubes, including those labelled ‘blank’ and ‘unknown’. The contents of each tube were mixed thoroughly by shaking. All the test tubes were covered with paper and placed in a boiling water bath for 15 min. After heating, the test tubes were cooled in cold water, and then 5</w:t>
      </w:r>
      <w:r>
        <w:rPr>
          <w:rFonts w:ascii="Times New Roman" w:hAnsi="Times New Roman"/>
          <w:highlight w:val="yellow"/>
        </w:rPr>
        <w:t xml:space="preserve"> </w:t>
      </w:r>
      <w:r>
        <w:rPr>
          <w:rFonts w:ascii="Times New Roman" w:hAnsi="Times New Roman"/>
        </w:rPr>
        <w:t>m</w:t>
      </w:r>
      <w:r>
        <w:rPr>
          <w:rFonts w:ascii="Times New Roman" w:hAnsi="Times New Roman"/>
          <w:highlight w:val="yellow"/>
        </w:rPr>
        <w:t>L</w:t>
      </w:r>
      <w:r>
        <w:rPr>
          <w:rFonts w:ascii="Times New Roman" w:hAnsi="Times New Roman"/>
        </w:rPr>
        <w:t xml:space="preserve"> of the diluent solvent was added to each test tube and mixed well. The absorbance was measured and recorded for each solution at 570</w:t>
      </w:r>
      <w:r>
        <w:rPr>
          <w:rFonts w:ascii="Times New Roman" w:hAnsi="Times New Roman"/>
          <w:highlight w:val="yellow"/>
        </w:rPr>
        <w:t xml:space="preserve"> </w:t>
      </w:r>
      <w:r>
        <w:rPr>
          <w:rFonts w:ascii="Times New Roman" w:hAnsi="Times New Roman"/>
        </w:rPr>
        <w:t>nm using a UV-Vis spectrophotometer.  A standard curve was plotted with concentration on the X-axis and absorbance at 570</w:t>
      </w:r>
      <w:r>
        <w:rPr>
          <w:rFonts w:ascii="Times New Roman" w:hAnsi="Times New Roman"/>
          <w:highlight w:val="yellow"/>
        </w:rPr>
        <w:t xml:space="preserve"> </w:t>
      </w:r>
      <w:r>
        <w:rPr>
          <w:rFonts w:ascii="Times New Roman" w:hAnsi="Times New Roman"/>
        </w:rPr>
        <w:t>nm on the Y-axis.</w:t>
      </w:r>
    </w:p>
    <w:p w14:paraId="185B3DDC" w14:textId="77777777" w:rsidR="0040444D" w:rsidRPr="002B75CF" w:rsidRDefault="0040444D" w:rsidP="0040444D">
      <w:pPr>
        <w:jc w:val="both"/>
        <w:rPr>
          <w:rFonts w:ascii="Times New Roman" w:hAnsi="Times New Roman"/>
          <w:bCs/>
        </w:rPr>
      </w:pPr>
      <w:r w:rsidRPr="002B75CF">
        <w:rPr>
          <w:rFonts w:ascii="Times New Roman" w:hAnsi="Times New Roman"/>
          <w:bCs/>
        </w:rPr>
        <w:t xml:space="preserve">Determination of Crude </w:t>
      </w:r>
      <w:proofErr w:type="spellStart"/>
      <w:r w:rsidRPr="002B75CF">
        <w:rPr>
          <w:rFonts w:ascii="Times New Roman" w:hAnsi="Times New Roman"/>
          <w:bCs/>
        </w:rPr>
        <w:t>Fibre</w:t>
      </w:r>
      <w:proofErr w:type="spellEnd"/>
      <w:r w:rsidRPr="002B75CF">
        <w:rPr>
          <w:rFonts w:ascii="Times New Roman" w:hAnsi="Times New Roman"/>
          <w:bCs/>
        </w:rPr>
        <w:t xml:space="preserve"> (</w:t>
      </w:r>
      <w:r w:rsidRPr="002B75CF">
        <w:rPr>
          <w:rFonts w:ascii="Times New Roman" w:hAnsi="Times New Roman"/>
        </w:rPr>
        <w:t>AOAC, 2019)</w:t>
      </w:r>
    </w:p>
    <w:p w14:paraId="7F60CF26" w14:textId="77777777" w:rsidR="0040444D" w:rsidRDefault="0040444D" w:rsidP="0040444D">
      <w:pPr>
        <w:spacing w:line="480" w:lineRule="auto"/>
        <w:jc w:val="both"/>
        <w:rPr>
          <w:rFonts w:ascii="Times New Roman" w:eastAsia="Calibri" w:hAnsi="Times New Roman" w:cstheme="minorBidi"/>
        </w:rPr>
      </w:pPr>
      <w:r>
        <w:rPr>
          <w:rFonts w:ascii="Times New Roman" w:eastAsia="Calibri" w:hAnsi="Times New Roman"/>
        </w:rPr>
        <w:t>2</w:t>
      </w:r>
      <w:r>
        <w:rPr>
          <w:rFonts w:ascii="Times New Roman" w:eastAsia="Calibri" w:hAnsi="Times New Roman"/>
          <w:highlight w:val="yellow"/>
        </w:rPr>
        <w:t xml:space="preserve"> </w:t>
      </w:r>
      <w:r>
        <w:rPr>
          <w:rFonts w:ascii="Times New Roman" w:eastAsia="Calibri" w:hAnsi="Times New Roman"/>
        </w:rPr>
        <w:t xml:space="preserve">g </w:t>
      </w:r>
      <w:r>
        <w:rPr>
          <w:rFonts w:ascii="Times New Roman" w:hAnsi="Times New Roman"/>
        </w:rPr>
        <w:t>of each processed sample was p</w:t>
      </w:r>
      <w:r>
        <w:rPr>
          <w:rFonts w:ascii="Times New Roman" w:hAnsi="Times New Roman"/>
          <w:highlight w:val="yellow"/>
        </w:rPr>
        <w:t>laced</w:t>
      </w:r>
      <w:r>
        <w:rPr>
          <w:rFonts w:ascii="Times New Roman" w:hAnsi="Times New Roman"/>
        </w:rPr>
        <w:t xml:space="preserve"> in</w:t>
      </w:r>
      <w:r>
        <w:rPr>
          <w:rFonts w:ascii="Times New Roman" w:hAnsi="Times New Roman"/>
          <w:highlight w:val="yellow"/>
        </w:rPr>
        <w:t xml:space="preserve"> separa</w:t>
      </w:r>
      <w:r>
        <w:rPr>
          <w:rFonts w:ascii="Times New Roman" w:hAnsi="Times New Roman"/>
        </w:rPr>
        <w:t>t</w:t>
      </w:r>
      <w:r>
        <w:rPr>
          <w:rFonts w:ascii="Times New Roman" w:eastAsia="Calibri" w:hAnsi="Times New Roman"/>
        </w:rPr>
        <w:t>e beakers, 150</w:t>
      </w:r>
      <w:r>
        <w:rPr>
          <w:rFonts w:ascii="Times New Roman" w:eastAsia="Calibri" w:hAnsi="Times New Roman"/>
          <w:highlight w:val="yellow"/>
        </w:rPr>
        <w:t xml:space="preserve"> </w:t>
      </w:r>
      <w:r>
        <w:rPr>
          <w:rFonts w:ascii="Times New Roman" w:eastAsia="Calibri" w:hAnsi="Times New Roman"/>
        </w:rPr>
        <w:t>m</w:t>
      </w:r>
      <w:r>
        <w:rPr>
          <w:rFonts w:ascii="Times New Roman" w:eastAsia="Calibri" w:hAnsi="Times New Roman"/>
          <w:highlight w:val="yellow"/>
        </w:rPr>
        <w:t>L</w:t>
      </w:r>
      <w:r>
        <w:rPr>
          <w:rFonts w:ascii="Times New Roman" w:eastAsia="Calibri" w:hAnsi="Times New Roman"/>
        </w:rPr>
        <w:t xml:space="preserve"> of 2.50% H</w:t>
      </w:r>
      <w:r>
        <w:rPr>
          <w:rFonts w:ascii="Times New Roman" w:eastAsia="Calibri" w:hAnsi="Times New Roman"/>
          <w:vertAlign w:val="subscript"/>
        </w:rPr>
        <w:t>2</w:t>
      </w:r>
      <w:r>
        <w:rPr>
          <w:rFonts w:ascii="Times New Roman" w:eastAsia="Calibri" w:hAnsi="Times New Roman"/>
        </w:rPr>
        <w:t>SO</w:t>
      </w:r>
      <w:r>
        <w:rPr>
          <w:rFonts w:ascii="Times New Roman" w:eastAsia="Calibri" w:hAnsi="Times New Roman"/>
          <w:vertAlign w:val="subscript"/>
        </w:rPr>
        <w:t xml:space="preserve">4 </w:t>
      </w:r>
      <w:r>
        <w:rPr>
          <w:rFonts w:ascii="Times New Roman" w:eastAsia="Calibri" w:hAnsi="Times New Roman"/>
        </w:rPr>
        <w:t>was added, and 3-5 drops of N-butanol as an antifoam agent were added, and placed on a hot plate to boil for 30 min at 65</w:t>
      </w:r>
      <w:r>
        <w:rPr>
          <w:rFonts w:ascii="Times New Roman" w:eastAsia="Calibri" w:hAnsi="Times New Roman"/>
          <w:vertAlign w:val="superscript"/>
        </w:rPr>
        <w:t xml:space="preserve"> O</w:t>
      </w:r>
      <w:r>
        <w:rPr>
          <w:rFonts w:ascii="Times New Roman" w:eastAsia="Calibri" w:hAnsi="Times New Roman"/>
        </w:rPr>
        <w:t>C. It was then filtered to drain the H</w:t>
      </w:r>
      <w:r>
        <w:rPr>
          <w:rFonts w:ascii="Times New Roman" w:eastAsia="Calibri" w:hAnsi="Times New Roman"/>
          <w:vertAlign w:val="subscript"/>
        </w:rPr>
        <w:t>2</w:t>
      </w:r>
      <w:r>
        <w:rPr>
          <w:rFonts w:ascii="Times New Roman" w:eastAsia="Calibri" w:hAnsi="Times New Roman"/>
        </w:rPr>
        <w:t>SO</w:t>
      </w:r>
      <w:r>
        <w:rPr>
          <w:rFonts w:ascii="Times New Roman" w:eastAsia="Calibri" w:hAnsi="Times New Roman"/>
          <w:vertAlign w:val="subscript"/>
        </w:rPr>
        <w:t>4</w:t>
      </w:r>
      <w:r>
        <w:rPr>
          <w:rFonts w:ascii="Times New Roman" w:eastAsia="Calibri" w:hAnsi="Times New Roman"/>
        </w:rPr>
        <w:t xml:space="preserve"> and washed 3-5 times with de-ionized water. After draining the last wash, 150</w:t>
      </w:r>
      <w:r>
        <w:rPr>
          <w:rFonts w:ascii="Times New Roman" w:eastAsia="Calibri" w:hAnsi="Times New Roman"/>
          <w:highlight w:val="yellow"/>
        </w:rPr>
        <w:t xml:space="preserve"> </w:t>
      </w:r>
      <w:r>
        <w:rPr>
          <w:rFonts w:ascii="Times New Roman" w:eastAsia="Calibri" w:hAnsi="Times New Roman"/>
        </w:rPr>
        <w:t>m</w:t>
      </w:r>
      <w:r>
        <w:rPr>
          <w:rFonts w:ascii="Times New Roman" w:eastAsia="Calibri" w:hAnsi="Times New Roman"/>
          <w:highlight w:val="yellow"/>
        </w:rPr>
        <w:t>L</w:t>
      </w:r>
      <w:r>
        <w:rPr>
          <w:rFonts w:ascii="Times New Roman" w:eastAsia="Calibri" w:hAnsi="Times New Roman"/>
        </w:rPr>
        <w:t xml:space="preserve"> of 2.50% NaOH was added, 3-5 drops of n-butanol were added as an antifoaming agent, and boiled for 30 min at 65</w:t>
      </w:r>
      <w:r>
        <w:rPr>
          <w:rFonts w:ascii="Times New Roman" w:eastAsia="Calibri" w:hAnsi="Times New Roman"/>
          <w:vertAlign w:val="superscript"/>
        </w:rPr>
        <w:t xml:space="preserve"> O</w:t>
      </w:r>
      <w:r>
        <w:rPr>
          <w:rFonts w:ascii="Times New Roman" w:eastAsia="Calibri" w:hAnsi="Times New Roman"/>
        </w:rPr>
        <w:t>C. It was then filtered and washed as described above to drain the NaOH. The last washing was performed with cold de-ionized water to cool the crucible, and then washed 3 times with 25</w:t>
      </w:r>
      <w:r>
        <w:rPr>
          <w:rFonts w:ascii="Times New Roman" w:eastAsia="Calibri" w:hAnsi="Times New Roman"/>
          <w:highlight w:val="yellow"/>
        </w:rPr>
        <w:t xml:space="preserve"> </w:t>
      </w:r>
      <w:r>
        <w:rPr>
          <w:rFonts w:ascii="Times New Roman" w:eastAsia="Calibri" w:hAnsi="Times New Roman"/>
        </w:rPr>
        <w:t>m</w:t>
      </w:r>
      <w:r>
        <w:rPr>
          <w:rFonts w:ascii="Times New Roman" w:eastAsia="Calibri" w:hAnsi="Times New Roman"/>
          <w:highlight w:val="yellow"/>
        </w:rPr>
        <w:t>L</w:t>
      </w:r>
      <w:r>
        <w:rPr>
          <w:rFonts w:ascii="Times New Roman" w:eastAsia="Calibri" w:hAnsi="Times New Roman"/>
        </w:rPr>
        <w:t xml:space="preserve"> of acetone. The content was put in the crucible and transferred to an oven to dry at a temperature of 105</w:t>
      </w:r>
      <w:r>
        <w:rPr>
          <w:rFonts w:ascii="Times New Roman" w:eastAsia="Calibri" w:hAnsi="Times New Roman"/>
          <w:vertAlign w:val="superscript"/>
        </w:rPr>
        <w:t>O</w:t>
      </w:r>
      <w:r>
        <w:rPr>
          <w:rFonts w:ascii="Times New Roman" w:eastAsia="Calibri" w:hAnsi="Times New Roman"/>
        </w:rPr>
        <w:t>C to constant weight (W</w:t>
      </w:r>
      <w:r>
        <w:rPr>
          <w:rFonts w:ascii="Times New Roman" w:eastAsia="Calibri" w:hAnsi="Times New Roman"/>
          <w:vertAlign w:val="subscript"/>
        </w:rPr>
        <w:t>1</w:t>
      </w:r>
      <w:r>
        <w:rPr>
          <w:rFonts w:ascii="Times New Roman" w:eastAsia="Calibri" w:hAnsi="Times New Roman"/>
        </w:rPr>
        <w:t>) for 1</w:t>
      </w:r>
      <w:r>
        <w:rPr>
          <w:rFonts w:ascii="Times New Roman" w:eastAsia="Calibri" w:hAnsi="Times New Roman"/>
          <w:highlight w:val="yellow"/>
        </w:rPr>
        <w:t xml:space="preserve"> </w:t>
      </w:r>
      <w:r>
        <w:rPr>
          <w:rFonts w:ascii="Times New Roman" w:eastAsia="Calibri" w:hAnsi="Times New Roman"/>
        </w:rPr>
        <w:t>hour. Afterwards, the crucible was transferred to the muffle furnace for 4hours to ash, cooled in a desiccator, and weighed to determine (W</w:t>
      </w:r>
      <w:r>
        <w:rPr>
          <w:rFonts w:ascii="Times New Roman" w:eastAsia="Calibri" w:hAnsi="Times New Roman"/>
          <w:vertAlign w:val="subscript"/>
        </w:rPr>
        <w:t>2</w:t>
      </w:r>
      <w:r>
        <w:rPr>
          <w:rFonts w:ascii="Times New Roman" w:eastAsia="Calibri" w:hAnsi="Times New Roman"/>
        </w:rPr>
        <w:t>). The formula for calculating percentage crude fibre is:</w:t>
      </w:r>
    </w:p>
    <w:p w14:paraId="3FF7E7C8" w14:textId="77777777" w:rsidR="0040444D" w:rsidRPr="002B75CF" w:rsidRDefault="0040444D" w:rsidP="0040444D">
      <w:pPr>
        <w:spacing w:line="480" w:lineRule="auto"/>
        <w:ind w:firstLine="720"/>
        <w:jc w:val="center"/>
        <w:rPr>
          <w:rFonts w:ascii="Times New Roman" w:eastAsiaTheme="minorEastAsia" w:hAnsi="Times New Roman"/>
        </w:rPr>
      </w:pPr>
      <w:r w:rsidRPr="002B75CF">
        <w:rPr>
          <w:rFonts w:ascii="Times New Roman" w:hAnsi="Times New Roman"/>
        </w:rPr>
        <w:t xml:space="preserve">% Crude </w:t>
      </w:r>
      <w:proofErr w:type="spellStart"/>
      <w:r w:rsidRPr="002B75CF">
        <w:rPr>
          <w:rFonts w:ascii="Times New Roman" w:hAnsi="Times New Roman"/>
        </w:rPr>
        <w:t>fibre</w:t>
      </w:r>
      <w:proofErr w:type="spellEnd"/>
      <w:r w:rsidRPr="002B75CF">
        <w:rPr>
          <w:rFonts w:ascii="Times New Roman" w:hAnsi="Times New Roman"/>
        </w:rPr>
        <w:t xml:space="preserve">  =</w:t>
      </w:r>
      <m:oMath>
        <m:r>
          <w:rPr>
            <w:rFonts w:ascii="Cambria Math" w:hAnsi="Cambria Math"/>
          </w:rPr>
          <m:t xml:space="preserve">  </m:t>
        </m:r>
        <m:f>
          <m:fPr>
            <m:ctrlPr>
              <w:rPr>
                <w:rFonts w:ascii="Cambria Math" w:hAnsi="Cambria Math"/>
                <w:kern w:val="2"/>
                <w:sz w:val="24"/>
                <w:szCs w:val="24"/>
                <w14:ligatures w14:val="standardContextual"/>
              </w:rPr>
            </m:ctrlPr>
          </m:fPr>
          <m:num>
            <m:r>
              <m:rPr>
                <m:sty m:val="p"/>
              </m:rPr>
              <w:rPr>
                <w:rFonts w:ascii="Cambria Math" w:hAnsi="Cambria Math"/>
              </w:rPr>
              <m:t>W1-W2</m:t>
            </m:r>
          </m:num>
          <m:den>
            <m:r>
              <m:rPr>
                <m:sty m:val="p"/>
              </m:rPr>
              <w:rPr>
                <w:rFonts w:ascii="Cambria Math" w:hAnsi="Cambria Math"/>
              </w:rPr>
              <m:t>Weight of sample</m:t>
            </m:r>
          </m:den>
        </m:f>
        <m:r>
          <m:rPr>
            <m:sty m:val="p"/>
          </m:rPr>
          <w:rPr>
            <w:rFonts w:ascii="Cambria Math" w:hAnsi="Cambria Math"/>
          </w:rPr>
          <m:t xml:space="preserve"> X 10</m:t>
        </m:r>
        <m:r>
          <w:rPr>
            <w:rFonts w:ascii="Cambria Math" w:hAnsi="Cambria Math"/>
          </w:rPr>
          <m:t>0</m:t>
        </m:r>
      </m:oMath>
    </w:p>
    <w:p w14:paraId="2483AA9E" w14:textId="77777777" w:rsidR="0040444D" w:rsidRPr="002B75CF" w:rsidRDefault="0040444D" w:rsidP="0040444D">
      <w:pPr>
        <w:pStyle w:val="Heading2"/>
        <w:spacing w:before="0"/>
        <w:jc w:val="both"/>
        <w:rPr>
          <w:rFonts w:ascii="Times New Roman" w:hAnsi="Times New Roman" w:cs="Times New Roman"/>
          <w:color w:val="auto"/>
          <w:sz w:val="24"/>
          <w:szCs w:val="24"/>
        </w:rPr>
      </w:pPr>
      <w:r>
        <w:rPr>
          <w:rFonts w:ascii="Times New Roman" w:hAnsi="Times New Roman" w:cs="Times New Roman"/>
          <w:color w:val="000000" w:themeColor="text1"/>
          <w:sz w:val="24"/>
          <w:szCs w:val="24"/>
        </w:rPr>
        <w:t xml:space="preserve">Determination of Neutral Detergent Fibre (NDF) </w:t>
      </w:r>
      <w:r>
        <w:rPr>
          <w:rFonts w:ascii="Times New Roman" w:hAnsi="Times New Roman" w:cs="Times New Roman"/>
          <w:color w:val="auto"/>
          <w:sz w:val="24"/>
          <w:szCs w:val="24"/>
        </w:rPr>
        <w:t>(Van</w:t>
      </w:r>
      <w:r>
        <w:rPr>
          <w:rFonts w:ascii="Times New Roman" w:hAnsi="Times New Roman" w:cs="Times New Roman"/>
          <w:color w:val="auto"/>
          <w:sz w:val="24"/>
          <w:szCs w:val="24"/>
          <w:highlight w:val="yellow"/>
        </w:rPr>
        <w:t xml:space="preserve"> </w:t>
      </w:r>
      <w:r>
        <w:rPr>
          <w:rFonts w:ascii="Times New Roman" w:hAnsi="Times New Roman" w:cs="Times New Roman"/>
          <w:color w:val="auto"/>
          <w:sz w:val="24"/>
          <w:szCs w:val="24"/>
        </w:rPr>
        <w:t xml:space="preserve">Soest </w:t>
      </w:r>
      <w:r>
        <w:rPr>
          <w:rFonts w:ascii="Times New Roman" w:hAnsi="Times New Roman" w:cs="Times New Roman"/>
          <w:i/>
          <w:color w:val="auto"/>
          <w:sz w:val="24"/>
          <w:szCs w:val="24"/>
        </w:rPr>
        <w:t xml:space="preserve">et al., </w:t>
      </w:r>
      <w:r>
        <w:rPr>
          <w:rFonts w:ascii="Times New Roman" w:hAnsi="Times New Roman" w:cs="Times New Roman"/>
          <w:color w:val="auto"/>
          <w:sz w:val="24"/>
          <w:szCs w:val="24"/>
        </w:rPr>
        <w:t>1991)</w:t>
      </w:r>
    </w:p>
    <w:p w14:paraId="6A352365" w14:textId="77777777" w:rsidR="0040444D" w:rsidRDefault="0040444D" w:rsidP="0040444D">
      <w:pPr>
        <w:spacing w:line="480" w:lineRule="auto"/>
        <w:jc w:val="both"/>
        <w:rPr>
          <w:rStyle w:val="mord"/>
        </w:rPr>
      </w:pPr>
      <w:r>
        <w:rPr>
          <w:rFonts w:ascii="Times New Roman" w:hAnsi="Times New Roman"/>
        </w:rPr>
        <w:t xml:space="preserve">NDF represents the major cell-wall components, including </w:t>
      </w:r>
      <w:r>
        <w:rPr>
          <w:rStyle w:val="Strong"/>
          <w:rFonts w:ascii="Times New Roman" w:hAnsi="Times New Roman"/>
          <w:b w:val="0"/>
        </w:rPr>
        <w:t>hemicellulose</w:t>
      </w:r>
      <w:r>
        <w:rPr>
          <w:rStyle w:val="Strong"/>
          <w:rFonts w:ascii="Times New Roman" w:hAnsi="Times New Roman"/>
        </w:rPr>
        <w:t xml:space="preserve">, </w:t>
      </w:r>
      <w:r>
        <w:rPr>
          <w:rStyle w:val="Strong"/>
          <w:rFonts w:ascii="Times New Roman" w:hAnsi="Times New Roman"/>
          <w:b w:val="0"/>
        </w:rPr>
        <w:t>cellulose</w:t>
      </w:r>
      <w:r>
        <w:rPr>
          <w:rStyle w:val="Strong"/>
          <w:rFonts w:ascii="Times New Roman" w:hAnsi="Times New Roman"/>
        </w:rPr>
        <w:t xml:space="preserve">, </w:t>
      </w:r>
      <w:r>
        <w:rPr>
          <w:rStyle w:val="Strong"/>
          <w:rFonts w:ascii="Times New Roman" w:hAnsi="Times New Roman"/>
          <w:b w:val="0"/>
        </w:rPr>
        <w:t>and</w:t>
      </w:r>
      <w:r>
        <w:rPr>
          <w:rStyle w:val="Strong"/>
          <w:rFonts w:ascii="Times New Roman" w:hAnsi="Times New Roman"/>
        </w:rPr>
        <w:t xml:space="preserve"> </w:t>
      </w:r>
      <w:r>
        <w:rPr>
          <w:rStyle w:val="Strong"/>
          <w:rFonts w:ascii="Times New Roman" w:hAnsi="Times New Roman"/>
          <w:b w:val="0"/>
        </w:rPr>
        <w:t>lignin</w:t>
      </w:r>
      <w:r>
        <w:rPr>
          <w:rFonts w:ascii="Times New Roman" w:hAnsi="Times New Roman"/>
          <w:b/>
        </w:rPr>
        <w:t xml:space="preserve">. </w:t>
      </w:r>
      <w:r>
        <w:rPr>
          <w:rFonts w:ascii="Times New Roman" w:hAnsi="Times New Roman"/>
        </w:rPr>
        <w:t xml:space="preserve">It was determined using the neutral detergent solution. </w:t>
      </w:r>
      <w:r>
        <w:rPr>
          <w:rStyle w:val="Strong"/>
          <w:rFonts w:eastAsiaTheme="majorEastAsia"/>
          <w:b w:val="0"/>
        </w:rPr>
        <w:t>2</w:t>
      </w:r>
      <w:r>
        <w:rPr>
          <w:rStyle w:val="Strong"/>
          <w:rFonts w:eastAsiaTheme="majorEastAsia"/>
          <w:b w:val="0"/>
          <w:highlight w:val="yellow"/>
        </w:rPr>
        <w:t xml:space="preserve"> </w:t>
      </w:r>
      <w:r>
        <w:rPr>
          <w:rStyle w:val="Strong"/>
          <w:rFonts w:eastAsiaTheme="majorEastAsia"/>
          <w:b w:val="0"/>
        </w:rPr>
        <w:t>g</w:t>
      </w:r>
      <w:r>
        <w:rPr>
          <w:rStyle w:val="Strong"/>
          <w:rFonts w:eastAsiaTheme="majorEastAsia"/>
        </w:rPr>
        <w:t xml:space="preserve"> </w:t>
      </w:r>
      <w:r>
        <w:rPr>
          <w:rFonts w:ascii="Times New Roman" w:hAnsi="Times New Roman"/>
        </w:rPr>
        <w:t xml:space="preserve">of each processed sample was accurately weighed into a digestion flask. </w:t>
      </w:r>
      <w:r>
        <w:rPr>
          <w:rStyle w:val="Strong"/>
          <w:rFonts w:eastAsiaTheme="majorEastAsia"/>
          <w:b w:val="0"/>
        </w:rPr>
        <w:t>100</w:t>
      </w:r>
      <w:r>
        <w:rPr>
          <w:rStyle w:val="Strong"/>
          <w:rFonts w:eastAsiaTheme="majorEastAsia"/>
          <w:b w:val="0"/>
          <w:highlight w:val="yellow"/>
        </w:rPr>
        <w:t xml:space="preserve"> </w:t>
      </w:r>
      <w:r>
        <w:rPr>
          <w:rStyle w:val="Strong"/>
          <w:rFonts w:eastAsiaTheme="majorEastAsia"/>
          <w:b w:val="0"/>
        </w:rPr>
        <w:t>m</w:t>
      </w:r>
      <w:r>
        <w:rPr>
          <w:rStyle w:val="Strong"/>
          <w:rFonts w:eastAsiaTheme="majorEastAsia"/>
          <w:b w:val="0"/>
          <w:highlight w:val="yellow"/>
        </w:rPr>
        <w:t>L</w:t>
      </w:r>
      <w:r>
        <w:rPr>
          <w:rStyle w:val="Strong"/>
          <w:rFonts w:eastAsiaTheme="majorEastAsia"/>
        </w:rPr>
        <w:t xml:space="preserve"> </w:t>
      </w:r>
      <w:r>
        <w:rPr>
          <w:rStyle w:val="Strong"/>
          <w:rFonts w:eastAsiaTheme="majorEastAsia"/>
          <w:b w:val="0"/>
        </w:rPr>
        <w:t>of neutral detergent solution</w:t>
      </w:r>
      <w:r>
        <w:rPr>
          <w:rFonts w:ascii="Times New Roman" w:hAnsi="Times New Roman"/>
        </w:rPr>
        <w:t xml:space="preserve"> was added to the sample. (A heat-stable α-amylase was added to facilitate the removal of starch, while sodium sulphite was included to assist in removing protein contamination from the residue). The mixture was heated to boiling and refluxed for approximately </w:t>
      </w:r>
      <w:r>
        <w:rPr>
          <w:rStyle w:val="Strong"/>
          <w:rFonts w:eastAsiaTheme="majorEastAsia"/>
          <w:b w:val="0"/>
        </w:rPr>
        <w:t>60 minutes</w:t>
      </w:r>
      <w:r>
        <w:rPr>
          <w:rFonts w:ascii="Times New Roman" w:hAnsi="Times New Roman"/>
        </w:rPr>
        <w:t xml:space="preserve">. At the end of digestion, the contents were filtered through a pre-weighed filter crucible. The residue was washed thoroughly with hot distilled water until detergent residues were removed, followed by washing with acetone. The crucible containing the residue was dried in an oven at </w:t>
      </w:r>
      <w:r>
        <w:rPr>
          <w:rStyle w:val="Strong"/>
          <w:rFonts w:eastAsiaTheme="majorEastAsia"/>
          <w:b w:val="0"/>
        </w:rPr>
        <w:t>105°C to constant weight</w:t>
      </w:r>
      <w:r>
        <w:rPr>
          <w:rFonts w:ascii="Times New Roman" w:hAnsi="Times New Roman"/>
        </w:rPr>
        <w:t>, cooled in a desiccator, and weighed. The neutral detergent fibre content was calculated as:</w:t>
      </w:r>
    </w:p>
    <w:p w14:paraId="139BDC25" w14:textId="77777777" w:rsidR="0040444D" w:rsidRPr="002B75CF" w:rsidRDefault="0040444D" w:rsidP="0040444D">
      <w:pPr>
        <w:spacing w:line="480" w:lineRule="auto"/>
        <w:ind w:firstLine="720"/>
        <w:jc w:val="center"/>
        <w:rPr>
          <w:rFonts w:cstheme="minorBidi"/>
        </w:rPr>
      </w:pPr>
      <w:r w:rsidRPr="002B75CF">
        <w:rPr>
          <w:rStyle w:val="mord"/>
        </w:rPr>
        <w:t>%</w:t>
      </w:r>
      <w:r w:rsidRPr="002B75CF">
        <w:rPr>
          <w:rStyle w:val="mord"/>
          <w:rFonts w:ascii="Times New Roman" w:hAnsi="Times New Roman"/>
        </w:rPr>
        <w:t>NDF</w:t>
      </w:r>
      <m:oMath>
        <m:r>
          <m:rPr>
            <m:sty m:val="p"/>
          </m:rPr>
          <w:rPr>
            <w:rFonts w:ascii="Cambria Math" w:hAnsi="Cambria Math"/>
          </w:rPr>
          <m:t xml:space="preserve">  =</m:t>
        </m:r>
        <m:r>
          <w:rPr>
            <w:rFonts w:ascii="Cambria Math" w:hAnsi="Cambria Math"/>
          </w:rPr>
          <m:t xml:space="preserve">  </m:t>
        </m:r>
        <m:f>
          <m:fPr>
            <m:ctrlPr>
              <w:rPr>
                <w:rFonts w:ascii="Cambria Math" w:hAnsi="Cambria Math"/>
                <w:kern w:val="2"/>
                <w:sz w:val="24"/>
                <w:szCs w:val="24"/>
                <w14:ligatures w14:val="standardContextual"/>
              </w:rPr>
            </m:ctrlPr>
          </m:fPr>
          <m:num>
            <m:r>
              <m:rPr>
                <m:sty m:val="p"/>
              </m:rPr>
              <w:rPr>
                <w:rFonts w:ascii="Cambria Math" w:hAnsi="Cambria Math"/>
              </w:rPr>
              <m:t>Weight of dried NDF residue</m:t>
            </m:r>
          </m:num>
          <m:den>
            <m:r>
              <m:rPr>
                <m:sty m:val="p"/>
              </m:rPr>
              <w:rPr>
                <w:rFonts w:ascii="Cambria Math" w:hAnsi="Cambria Math"/>
              </w:rPr>
              <m:t>Weight of sample</m:t>
            </m:r>
          </m:den>
        </m:f>
        <m:r>
          <w:rPr>
            <w:rFonts w:ascii="Cambria Math" w:hAnsi="Cambria Math"/>
          </w:rPr>
          <m:t xml:space="preserve"> </m:t>
        </m:r>
        <m:r>
          <m:rPr>
            <m:sty m:val="p"/>
          </m:rPr>
          <w:rPr>
            <w:rFonts w:ascii="Cambria Math" w:hAnsi="Cambria Math"/>
          </w:rPr>
          <m:t>X 10</m:t>
        </m:r>
        <m:r>
          <w:rPr>
            <w:rFonts w:ascii="Cambria Math" w:hAnsi="Cambria Math"/>
          </w:rPr>
          <m:t>0</m:t>
        </m:r>
      </m:oMath>
    </w:p>
    <w:p w14:paraId="5D5933FB" w14:textId="77777777" w:rsidR="0040444D" w:rsidRPr="002B75CF" w:rsidRDefault="0040444D" w:rsidP="0040444D">
      <w:pPr>
        <w:pStyle w:val="Heading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Determination of Acid Detergent Fibre (ADF) </w:t>
      </w:r>
      <w:r>
        <w:rPr>
          <w:rFonts w:ascii="Times New Roman" w:hAnsi="Times New Roman" w:cs="Times New Roman"/>
          <w:color w:val="auto"/>
          <w:sz w:val="24"/>
          <w:szCs w:val="24"/>
        </w:rPr>
        <w:t>(Van</w:t>
      </w:r>
      <w:r>
        <w:rPr>
          <w:rFonts w:ascii="Times New Roman" w:hAnsi="Times New Roman" w:cs="Times New Roman"/>
          <w:color w:val="auto"/>
          <w:sz w:val="24"/>
          <w:szCs w:val="24"/>
          <w:highlight w:val="yellow"/>
        </w:rPr>
        <w:t xml:space="preserve"> </w:t>
      </w:r>
      <w:r>
        <w:rPr>
          <w:rFonts w:ascii="Times New Roman" w:hAnsi="Times New Roman" w:cs="Times New Roman"/>
          <w:color w:val="auto"/>
          <w:sz w:val="24"/>
          <w:szCs w:val="24"/>
        </w:rPr>
        <w:t xml:space="preserve">Soest </w:t>
      </w:r>
      <w:r>
        <w:rPr>
          <w:rFonts w:ascii="Times New Roman" w:hAnsi="Times New Roman" w:cs="Times New Roman"/>
          <w:i/>
          <w:color w:val="auto"/>
          <w:sz w:val="24"/>
          <w:szCs w:val="24"/>
        </w:rPr>
        <w:t xml:space="preserve">et al., </w:t>
      </w:r>
      <w:r>
        <w:rPr>
          <w:rFonts w:ascii="Times New Roman" w:hAnsi="Times New Roman" w:cs="Times New Roman"/>
          <w:color w:val="auto"/>
          <w:sz w:val="24"/>
          <w:szCs w:val="24"/>
        </w:rPr>
        <w:t>1991)</w:t>
      </w:r>
    </w:p>
    <w:p w14:paraId="422C1B65" w14:textId="77777777" w:rsidR="0040444D" w:rsidRDefault="0040444D" w:rsidP="0040444D">
      <w:pPr>
        <w:spacing w:line="480" w:lineRule="auto"/>
        <w:jc w:val="both"/>
        <w:rPr>
          <w:rFonts w:ascii="Times New Roman" w:hAnsi="Times New Roman"/>
          <w:b/>
          <w:sz w:val="24"/>
          <w:szCs w:val="24"/>
        </w:rPr>
      </w:pPr>
      <w:r>
        <w:rPr>
          <w:rFonts w:ascii="Times New Roman" w:hAnsi="Times New Roman"/>
        </w:rPr>
        <w:t xml:space="preserve">Acid detergent fibre represents the </w:t>
      </w:r>
      <w:r>
        <w:rPr>
          <w:rStyle w:val="Strong"/>
          <w:rFonts w:ascii="Times New Roman" w:hAnsi="Times New Roman"/>
          <w:b w:val="0"/>
        </w:rPr>
        <w:t>cellulose and lignin fractions</w:t>
      </w:r>
      <w:r>
        <w:rPr>
          <w:rFonts w:ascii="Times New Roman" w:hAnsi="Times New Roman"/>
        </w:rPr>
        <w:t xml:space="preserve"> of the plant material. The acid detergent fibre content was determined using acid detergent solution. </w:t>
      </w:r>
      <w:r>
        <w:rPr>
          <w:rStyle w:val="Strong"/>
          <w:rFonts w:eastAsiaTheme="majorEastAsia"/>
          <w:b w:val="0"/>
        </w:rPr>
        <w:t>2</w:t>
      </w:r>
      <w:r>
        <w:rPr>
          <w:rStyle w:val="Strong"/>
          <w:rFonts w:eastAsiaTheme="majorEastAsia"/>
          <w:b w:val="0"/>
          <w:highlight w:val="yellow"/>
        </w:rPr>
        <w:t xml:space="preserve"> </w:t>
      </w:r>
      <w:r>
        <w:rPr>
          <w:rStyle w:val="Strong"/>
          <w:rFonts w:eastAsiaTheme="majorEastAsia"/>
          <w:b w:val="0"/>
        </w:rPr>
        <w:t>g</w:t>
      </w:r>
      <w:r>
        <w:rPr>
          <w:rStyle w:val="Strong"/>
          <w:rFonts w:eastAsiaTheme="majorEastAsia"/>
        </w:rPr>
        <w:t xml:space="preserve"> </w:t>
      </w:r>
      <w:r>
        <w:rPr>
          <w:rFonts w:ascii="Times New Roman" w:hAnsi="Times New Roman"/>
        </w:rPr>
        <w:t xml:space="preserve">of each processed sample was weighed into a digestion flask, after which </w:t>
      </w:r>
      <w:r>
        <w:rPr>
          <w:rStyle w:val="Strong"/>
          <w:rFonts w:eastAsiaTheme="majorEastAsia"/>
          <w:b w:val="0"/>
        </w:rPr>
        <w:t>100</w:t>
      </w:r>
      <w:r>
        <w:rPr>
          <w:rStyle w:val="Strong"/>
          <w:rFonts w:eastAsiaTheme="majorEastAsia"/>
          <w:b w:val="0"/>
          <w:highlight w:val="yellow"/>
        </w:rPr>
        <w:t xml:space="preserve"> </w:t>
      </w:r>
      <w:r>
        <w:rPr>
          <w:rStyle w:val="Strong"/>
          <w:rFonts w:eastAsiaTheme="majorEastAsia"/>
          <w:b w:val="0"/>
        </w:rPr>
        <w:t>m</w:t>
      </w:r>
      <w:r>
        <w:rPr>
          <w:rStyle w:val="Strong"/>
          <w:rFonts w:eastAsiaTheme="majorEastAsia"/>
          <w:b w:val="0"/>
          <w:highlight w:val="yellow"/>
        </w:rPr>
        <w:t>L</w:t>
      </w:r>
      <w:r>
        <w:rPr>
          <w:rStyle w:val="Strong"/>
          <w:rFonts w:eastAsiaTheme="majorEastAsia"/>
          <w:b w:val="0"/>
        </w:rPr>
        <w:t xml:space="preserve"> of acid detergent solution</w:t>
      </w:r>
      <w:r>
        <w:rPr>
          <w:rFonts w:ascii="Times New Roman" w:hAnsi="Times New Roman"/>
        </w:rPr>
        <w:t xml:space="preserve"> was added. The mixture was heated and refluxed for approximately </w:t>
      </w:r>
      <w:r>
        <w:rPr>
          <w:rStyle w:val="Strong"/>
          <w:rFonts w:eastAsiaTheme="majorEastAsia"/>
          <w:b w:val="0"/>
        </w:rPr>
        <w:t>1</w:t>
      </w:r>
      <w:r>
        <w:rPr>
          <w:rStyle w:val="Strong"/>
          <w:rFonts w:eastAsiaTheme="majorEastAsia"/>
          <w:b w:val="0"/>
          <w:highlight w:val="yellow"/>
        </w:rPr>
        <w:t xml:space="preserve"> </w:t>
      </w:r>
      <w:r>
        <w:rPr>
          <w:rStyle w:val="Strong"/>
          <w:rFonts w:eastAsiaTheme="majorEastAsia"/>
          <w:b w:val="0"/>
        </w:rPr>
        <w:t>hour</w:t>
      </w:r>
      <w:r>
        <w:rPr>
          <w:rFonts w:ascii="Times New Roman" w:hAnsi="Times New Roman"/>
        </w:rPr>
        <w:t xml:space="preserve">. After digestion, the contents were filtered through a pre-weighed crucible. The residue was washed repeatedly with hot distilled water until acid residues were removed and subsequently washed with acetone. The residue was oven-dried at </w:t>
      </w:r>
      <w:r>
        <w:rPr>
          <w:rStyle w:val="Strong"/>
          <w:rFonts w:eastAsiaTheme="majorEastAsia"/>
          <w:b w:val="0"/>
        </w:rPr>
        <w:t>105°C to constant weight</w:t>
      </w:r>
      <w:r>
        <w:rPr>
          <w:rFonts w:ascii="Times New Roman" w:hAnsi="Times New Roman"/>
        </w:rPr>
        <w:t>, cooled in a desiccator and weighed. The percentage ADF was calculated as:</w:t>
      </w:r>
    </w:p>
    <w:p w14:paraId="3123CB28" w14:textId="77777777" w:rsidR="0040444D" w:rsidRPr="002B75CF" w:rsidRDefault="0040444D" w:rsidP="0040444D">
      <w:pPr>
        <w:spacing w:line="480" w:lineRule="auto"/>
        <w:ind w:firstLine="720"/>
        <w:jc w:val="center"/>
        <w:rPr>
          <w:rFonts w:ascii="Times New Roman" w:hAnsi="Times New Roman"/>
        </w:rPr>
      </w:pPr>
      <w:r w:rsidRPr="002B75CF">
        <w:rPr>
          <w:rStyle w:val="mord"/>
        </w:rPr>
        <w:t>%</w:t>
      </w:r>
      <w:r w:rsidRPr="002B75CF">
        <w:rPr>
          <w:rStyle w:val="mord"/>
          <w:rFonts w:ascii="Times New Roman" w:hAnsi="Times New Roman"/>
        </w:rPr>
        <w:t>NDF</w:t>
      </w:r>
      <m:oMath>
        <m:r>
          <m:rPr>
            <m:sty m:val="p"/>
          </m:rPr>
          <w:rPr>
            <w:rFonts w:ascii="Cambria Math" w:hAnsi="Cambria Math"/>
          </w:rPr>
          <m:t xml:space="preserve">  =</m:t>
        </m:r>
        <m:r>
          <w:rPr>
            <w:rFonts w:ascii="Cambria Math" w:hAnsi="Cambria Math"/>
          </w:rPr>
          <m:t xml:space="preserve">  </m:t>
        </m:r>
        <m:f>
          <m:fPr>
            <m:ctrlPr>
              <w:rPr>
                <w:rFonts w:ascii="Cambria Math" w:hAnsi="Cambria Math"/>
                <w:kern w:val="2"/>
                <w:sz w:val="24"/>
                <w:szCs w:val="24"/>
                <w14:ligatures w14:val="standardContextual"/>
              </w:rPr>
            </m:ctrlPr>
          </m:fPr>
          <m:num>
            <m:r>
              <m:rPr>
                <m:sty m:val="p"/>
              </m:rPr>
              <w:rPr>
                <w:rFonts w:ascii="Cambria Math" w:hAnsi="Cambria Math"/>
              </w:rPr>
              <m:t>Weight of dried ADF residue</m:t>
            </m:r>
          </m:num>
          <m:den>
            <m:r>
              <m:rPr>
                <m:sty m:val="p"/>
              </m:rPr>
              <w:rPr>
                <w:rFonts w:ascii="Cambria Math" w:hAnsi="Cambria Math"/>
              </w:rPr>
              <m:t>Weight of sample</m:t>
            </m:r>
          </m:den>
        </m:f>
        <m:r>
          <w:rPr>
            <w:rFonts w:ascii="Cambria Math" w:hAnsi="Cambria Math"/>
          </w:rPr>
          <m:t xml:space="preserve"> </m:t>
        </m:r>
        <m:r>
          <m:rPr>
            <m:sty m:val="p"/>
          </m:rPr>
          <w:rPr>
            <w:rFonts w:ascii="Cambria Math" w:hAnsi="Cambria Math"/>
          </w:rPr>
          <m:t>X 10</m:t>
        </m:r>
        <m:r>
          <w:rPr>
            <w:rFonts w:ascii="Cambria Math" w:hAnsi="Cambria Math"/>
          </w:rPr>
          <m:t>0</m:t>
        </m:r>
      </m:oMath>
    </w:p>
    <w:p w14:paraId="453592BA" w14:textId="77777777" w:rsidR="0040444D" w:rsidRPr="002B75CF" w:rsidRDefault="0040444D" w:rsidP="0040444D">
      <w:pPr>
        <w:jc w:val="both"/>
        <w:rPr>
          <w:rFonts w:ascii="Times New Roman" w:hAnsi="Times New Roman"/>
          <w:bCs/>
        </w:rPr>
      </w:pPr>
      <w:r w:rsidRPr="002B75CF">
        <w:rPr>
          <w:rFonts w:ascii="Times New Roman" w:hAnsi="Times New Roman"/>
          <w:bCs/>
        </w:rPr>
        <w:t>Determination of Anti-Nutritional Factors</w:t>
      </w:r>
    </w:p>
    <w:p w14:paraId="334AB134" w14:textId="77777777" w:rsidR="0040444D" w:rsidRPr="002B75CF" w:rsidRDefault="0040444D" w:rsidP="0040444D">
      <w:pPr>
        <w:spacing w:line="480" w:lineRule="auto"/>
        <w:jc w:val="both"/>
        <w:rPr>
          <w:rFonts w:ascii="Times New Roman" w:hAnsi="Times New Roman" w:cstheme="minorBidi"/>
        </w:rPr>
      </w:pPr>
      <w:r w:rsidRPr="002B75CF">
        <w:rPr>
          <w:rFonts w:ascii="Times New Roman" w:hAnsi="Times New Roman"/>
        </w:rPr>
        <w:t xml:space="preserve">Determination of </w:t>
      </w:r>
      <w:r w:rsidRPr="002B75CF">
        <w:rPr>
          <w:rFonts w:ascii="Times New Roman" w:hAnsi="Times New Roman"/>
          <w:bCs/>
        </w:rPr>
        <w:t xml:space="preserve">Tannin </w:t>
      </w:r>
      <w:r w:rsidRPr="002B75CF">
        <w:rPr>
          <w:rFonts w:ascii="Times New Roman" w:hAnsi="Times New Roman"/>
          <w:color w:val="1B1B1B"/>
          <w:shd w:val="clear" w:color="auto" w:fill="FFFFFF"/>
        </w:rPr>
        <w:t>(Chandran &amp; Kavitha-Chandran, 2016)</w:t>
      </w:r>
    </w:p>
    <w:p w14:paraId="537CE43E" w14:textId="77777777" w:rsidR="0040444D" w:rsidRDefault="00EF132F" w:rsidP="0040444D">
      <w:pPr>
        <w:spacing w:line="480" w:lineRule="auto"/>
        <w:jc w:val="both"/>
        <w:rPr>
          <w:rFonts w:ascii="Times New Roman" w:eastAsia="Calibri" w:hAnsi="Times New Roman"/>
          <w:b/>
        </w:rPr>
      </w:pPr>
      <w:r>
        <w:rPr>
          <w:rFonts w:ascii="Times New Roman" w:hAnsi="Times New Roman"/>
          <w:highlight w:val="yellow"/>
        </w:rPr>
        <w:t>For t</w:t>
      </w:r>
      <w:r>
        <w:rPr>
          <w:rFonts w:ascii="Times New Roman" w:hAnsi="Times New Roman"/>
        </w:rPr>
        <w:t>he quantitative determination of tannin</w:t>
      </w:r>
      <w:r>
        <w:rPr>
          <w:rFonts w:ascii="Times New Roman" w:hAnsi="Times New Roman"/>
          <w:highlight w:val="yellow"/>
        </w:rPr>
        <w:t>, Folin-Denis reagent</w:t>
      </w:r>
      <w:r>
        <w:rPr>
          <w:rFonts w:ascii="Times New Roman" w:hAnsi="Times New Roman"/>
        </w:rPr>
        <w:t xml:space="preserve"> was </w:t>
      </w:r>
      <w:r>
        <w:rPr>
          <w:rFonts w:ascii="Times New Roman" w:hAnsi="Times New Roman"/>
          <w:highlight w:val="yellow"/>
        </w:rPr>
        <w:t>pr</w:t>
      </w:r>
      <w:r>
        <w:rPr>
          <w:rFonts w:ascii="Times New Roman" w:hAnsi="Times New Roman"/>
        </w:rPr>
        <w:t>e</w:t>
      </w:r>
      <w:r>
        <w:rPr>
          <w:rFonts w:ascii="Times New Roman" w:hAnsi="Times New Roman"/>
          <w:highlight w:val="yellow"/>
        </w:rPr>
        <w:t>pa</w:t>
      </w:r>
      <w:r>
        <w:rPr>
          <w:rFonts w:ascii="Times New Roman" w:hAnsi="Times New Roman"/>
        </w:rPr>
        <w:t>red by dissolving 50</w:t>
      </w:r>
      <w:r>
        <w:rPr>
          <w:rFonts w:ascii="Times New Roman" w:hAnsi="Times New Roman"/>
          <w:highlight w:val="yellow"/>
        </w:rPr>
        <w:t xml:space="preserve"> </w:t>
      </w:r>
      <w:r>
        <w:rPr>
          <w:rFonts w:ascii="Times New Roman" w:hAnsi="Times New Roman"/>
        </w:rPr>
        <w:t>g of sodium tungstate (Na</w:t>
      </w:r>
      <w:r>
        <w:rPr>
          <w:rFonts w:ascii="Times New Roman" w:hAnsi="Times New Roman"/>
          <w:vertAlign w:val="subscript"/>
        </w:rPr>
        <w:t>2</w:t>
      </w:r>
      <w:r>
        <w:rPr>
          <w:rFonts w:ascii="Times New Roman" w:hAnsi="Times New Roman"/>
        </w:rPr>
        <w:t>WO</w:t>
      </w:r>
      <w:r>
        <w:rPr>
          <w:rFonts w:ascii="Times New Roman" w:hAnsi="Times New Roman"/>
          <w:vertAlign w:val="subscript"/>
        </w:rPr>
        <w:t>4</w:t>
      </w:r>
      <w:r>
        <w:rPr>
          <w:rFonts w:ascii="Times New Roman" w:hAnsi="Times New Roman"/>
        </w:rPr>
        <w:t>) in 37</w:t>
      </w:r>
      <w:r>
        <w:rPr>
          <w:rFonts w:ascii="Times New Roman" w:hAnsi="Times New Roman"/>
          <w:highlight w:val="yellow"/>
        </w:rPr>
        <w:t xml:space="preserve"> </w:t>
      </w:r>
      <w:r>
        <w:rPr>
          <w:rFonts w:ascii="Times New Roman" w:hAnsi="Times New Roman"/>
        </w:rPr>
        <w:t>cm3 of distilled water. To the reagent prepared above, 10</w:t>
      </w:r>
      <w:r>
        <w:rPr>
          <w:rFonts w:ascii="Times New Roman" w:hAnsi="Times New Roman"/>
          <w:highlight w:val="yellow"/>
        </w:rPr>
        <w:t xml:space="preserve"> </w:t>
      </w:r>
      <w:r>
        <w:rPr>
          <w:rFonts w:ascii="Times New Roman" w:hAnsi="Times New Roman"/>
        </w:rPr>
        <w:t>g of phosphomolybdic acid (H</w:t>
      </w:r>
      <w:r>
        <w:rPr>
          <w:rFonts w:ascii="Times New Roman" w:hAnsi="Times New Roman"/>
          <w:vertAlign w:val="subscript"/>
        </w:rPr>
        <w:t>3</w:t>
      </w:r>
      <w:r>
        <w:rPr>
          <w:rFonts w:ascii="Times New Roman" w:hAnsi="Times New Roman"/>
        </w:rPr>
        <w:t>PMO</w:t>
      </w:r>
      <w:r>
        <w:rPr>
          <w:rFonts w:ascii="Times New Roman" w:hAnsi="Times New Roman"/>
          <w:vertAlign w:val="subscript"/>
        </w:rPr>
        <w:t>12</w:t>
      </w:r>
      <w:r>
        <w:rPr>
          <w:rFonts w:ascii="Times New Roman" w:hAnsi="Times New Roman"/>
        </w:rPr>
        <w:t>O</w:t>
      </w:r>
      <w:r>
        <w:rPr>
          <w:rFonts w:ascii="Times New Roman" w:hAnsi="Times New Roman"/>
          <w:vertAlign w:val="subscript"/>
        </w:rPr>
        <w:t>40</w:t>
      </w:r>
      <w:r>
        <w:rPr>
          <w:rFonts w:ascii="Times New Roman" w:hAnsi="Times New Roman"/>
        </w:rPr>
        <w:t>) and 25</w:t>
      </w:r>
      <w:r>
        <w:rPr>
          <w:rFonts w:ascii="Times New Roman" w:hAnsi="Times New Roman"/>
          <w:highlight w:val="yellow"/>
        </w:rPr>
        <w:t xml:space="preserve"> </w:t>
      </w:r>
      <w:r>
        <w:rPr>
          <w:rFonts w:ascii="Times New Roman" w:hAnsi="Times New Roman"/>
        </w:rPr>
        <w:t>cm3 of orthophosphoric acid (H</w:t>
      </w:r>
      <w:r>
        <w:rPr>
          <w:rFonts w:ascii="Times New Roman" w:hAnsi="Times New Roman"/>
          <w:vertAlign w:val="subscript"/>
        </w:rPr>
        <w:t>3</w:t>
      </w:r>
      <w:r>
        <w:rPr>
          <w:rFonts w:ascii="Times New Roman" w:hAnsi="Times New Roman"/>
        </w:rPr>
        <w:t>PO</w:t>
      </w:r>
      <w:r>
        <w:rPr>
          <w:rFonts w:ascii="Times New Roman" w:hAnsi="Times New Roman"/>
          <w:vertAlign w:val="subscript"/>
        </w:rPr>
        <w:t>4</w:t>
      </w:r>
      <w:r>
        <w:rPr>
          <w:rFonts w:ascii="Times New Roman" w:hAnsi="Times New Roman"/>
        </w:rPr>
        <w:t xml:space="preserve">) were added. </w:t>
      </w:r>
      <w:r>
        <w:rPr>
          <w:rFonts w:ascii="Times New Roman" w:hAnsi="Times New Roman"/>
          <w:highlight w:val="yellow"/>
        </w:rPr>
        <w:t>T</w:t>
      </w:r>
      <w:r>
        <w:rPr>
          <w:rFonts w:ascii="Times New Roman" w:hAnsi="Times New Roman"/>
        </w:rPr>
        <w:t>he mixture was r</w:t>
      </w:r>
      <w:r>
        <w:rPr>
          <w:rFonts w:ascii="Times New Roman" w:hAnsi="Times New Roman"/>
          <w:highlight w:val="yellow"/>
        </w:rPr>
        <w:t>eflux</w:t>
      </w:r>
      <w:r>
        <w:rPr>
          <w:rFonts w:ascii="Times New Roman" w:hAnsi="Times New Roman"/>
        </w:rPr>
        <w:t xml:space="preserve">ed </w:t>
      </w:r>
      <w:r>
        <w:rPr>
          <w:rFonts w:ascii="Times New Roman" w:hAnsi="Times New Roman"/>
          <w:highlight w:val="yellow"/>
        </w:rPr>
        <w:t>for 2 h</w:t>
      </w:r>
      <w:r>
        <w:rPr>
          <w:rFonts w:ascii="Times New Roman" w:hAnsi="Times New Roman"/>
        </w:rPr>
        <w:t>ou</w:t>
      </w:r>
      <w:r>
        <w:rPr>
          <w:rFonts w:ascii="Times New Roman" w:hAnsi="Times New Roman"/>
          <w:highlight w:val="yellow"/>
        </w:rPr>
        <w:t>rs</w:t>
      </w:r>
      <w:r>
        <w:rPr>
          <w:rFonts w:ascii="Times New Roman" w:hAnsi="Times New Roman"/>
        </w:rPr>
        <w:t>, cooled, and diluted to 500cm3 with distilled water. 1</w:t>
      </w:r>
      <w:r>
        <w:rPr>
          <w:rFonts w:ascii="Times New Roman" w:hAnsi="Times New Roman"/>
          <w:highlight w:val="yellow"/>
        </w:rPr>
        <w:t xml:space="preserve"> </w:t>
      </w:r>
      <w:r>
        <w:rPr>
          <w:rFonts w:ascii="Times New Roman" w:hAnsi="Times New Roman"/>
        </w:rPr>
        <w:t>g of each processed sample was p</w:t>
      </w:r>
      <w:r>
        <w:rPr>
          <w:rFonts w:ascii="Times New Roman" w:hAnsi="Times New Roman"/>
          <w:highlight w:val="yellow"/>
        </w:rPr>
        <w:t>laced</w:t>
      </w:r>
      <w:r>
        <w:rPr>
          <w:rFonts w:ascii="Times New Roman" w:hAnsi="Times New Roman"/>
        </w:rPr>
        <w:t xml:space="preserve"> in a </w:t>
      </w:r>
      <w:r>
        <w:rPr>
          <w:rFonts w:ascii="Times New Roman" w:hAnsi="Times New Roman"/>
          <w:highlight w:val="yellow"/>
        </w:rPr>
        <w:t>s</w:t>
      </w:r>
      <w:r>
        <w:rPr>
          <w:rFonts w:ascii="Times New Roman" w:hAnsi="Times New Roman"/>
        </w:rPr>
        <w:t>e</w:t>
      </w:r>
      <w:r>
        <w:rPr>
          <w:rFonts w:ascii="Times New Roman" w:hAnsi="Times New Roman"/>
          <w:highlight w:val="yellow"/>
        </w:rPr>
        <w:t>pa</w:t>
      </w:r>
      <w:r>
        <w:rPr>
          <w:rFonts w:ascii="Times New Roman" w:hAnsi="Times New Roman"/>
        </w:rPr>
        <w:t>r</w:t>
      </w:r>
      <w:r>
        <w:rPr>
          <w:rFonts w:ascii="Times New Roman" w:hAnsi="Times New Roman"/>
          <w:highlight w:val="yellow"/>
        </w:rPr>
        <w:t>at</w:t>
      </w:r>
      <w:r>
        <w:rPr>
          <w:rFonts w:ascii="Times New Roman" w:hAnsi="Times New Roman"/>
        </w:rPr>
        <w:t>e conical flask, and 100</w:t>
      </w:r>
      <w:r>
        <w:rPr>
          <w:rFonts w:ascii="Times New Roman" w:hAnsi="Times New Roman"/>
          <w:highlight w:val="yellow"/>
        </w:rPr>
        <w:t xml:space="preserve"> </w:t>
      </w:r>
      <w:r>
        <w:rPr>
          <w:rFonts w:ascii="Times New Roman" w:hAnsi="Times New Roman"/>
        </w:rPr>
        <w:t>cm3 of distilled water was added to it. This was boiled gently for 1hour on an electric hot plate and filtered using No.42 (125mm) Whatman filter paper into a 100</w:t>
      </w:r>
      <w:r>
        <w:rPr>
          <w:rFonts w:ascii="Times New Roman" w:hAnsi="Times New Roman"/>
          <w:highlight w:val="yellow"/>
        </w:rPr>
        <w:t xml:space="preserve"> </w:t>
      </w:r>
      <w:r>
        <w:rPr>
          <w:rFonts w:ascii="Times New Roman" w:hAnsi="Times New Roman"/>
        </w:rPr>
        <w:t>cm3 conical flask. The addition of 5</w:t>
      </w:r>
      <w:r>
        <w:rPr>
          <w:rFonts w:ascii="Times New Roman" w:hAnsi="Times New Roman"/>
          <w:highlight w:val="yellow"/>
        </w:rPr>
        <w:t xml:space="preserve"> </w:t>
      </w:r>
      <w:r>
        <w:rPr>
          <w:rFonts w:ascii="Times New Roman" w:hAnsi="Times New Roman"/>
        </w:rPr>
        <w:t>cm3 Folin-Denis reagent and 10</w:t>
      </w:r>
      <w:r>
        <w:rPr>
          <w:rFonts w:ascii="Times New Roman" w:hAnsi="Times New Roman"/>
          <w:highlight w:val="yellow"/>
        </w:rPr>
        <w:t xml:space="preserve"> </w:t>
      </w:r>
      <w:r>
        <w:rPr>
          <w:rFonts w:ascii="Times New Roman" w:hAnsi="Times New Roman"/>
        </w:rPr>
        <w:t>cm3 of saturated Na</w:t>
      </w:r>
      <w:r>
        <w:rPr>
          <w:rFonts w:ascii="Times New Roman" w:hAnsi="Times New Roman"/>
          <w:vertAlign w:val="subscript"/>
        </w:rPr>
        <w:t>2</w:t>
      </w:r>
      <w:r>
        <w:rPr>
          <w:rFonts w:ascii="Times New Roman" w:hAnsi="Times New Roman"/>
        </w:rPr>
        <w:t>CO</w:t>
      </w:r>
      <w:r>
        <w:rPr>
          <w:rFonts w:ascii="Times New Roman" w:hAnsi="Times New Roman"/>
          <w:vertAlign w:val="subscript"/>
        </w:rPr>
        <w:t>3</w:t>
      </w:r>
      <w:r>
        <w:rPr>
          <w:rFonts w:ascii="Times New Roman" w:hAnsi="Times New Roman"/>
        </w:rPr>
        <w:t xml:space="preserve"> solution into 50</w:t>
      </w:r>
      <w:r>
        <w:rPr>
          <w:rFonts w:ascii="Times New Roman" w:hAnsi="Times New Roman"/>
          <w:highlight w:val="yellow"/>
        </w:rPr>
        <w:t xml:space="preserve"> </w:t>
      </w:r>
      <w:r>
        <w:rPr>
          <w:rFonts w:ascii="Times New Roman" w:hAnsi="Times New Roman"/>
        </w:rPr>
        <w:t>cm3 of distilled water and 10</w:t>
      </w:r>
      <w:r>
        <w:rPr>
          <w:rFonts w:ascii="Times New Roman" w:hAnsi="Times New Roman"/>
          <w:highlight w:val="yellow"/>
        </w:rPr>
        <w:t xml:space="preserve"> </w:t>
      </w:r>
      <w:r>
        <w:rPr>
          <w:rFonts w:ascii="Times New Roman" w:hAnsi="Times New Roman"/>
        </w:rPr>
        <w:t>cm3 of diluted extract (aliquot volume) was carried out after being pipetted into a 100</w:t>
      </w:r>
      <w:r>
        <w:rPr>
          <w:rFonts w:ascii="Times New Roman" w:hAnsi="Times New Roman"/>
          <w:highlight w:val="yellow"/>
        </w:rPr>
        <w:t xml:space="preserve"> </w:t>
      </w:r>
      <w:r>
        <w:rPr>
          <w:rFonts w:ascii="Times New Roman" w:hAnsi="Times New Roman"/>
        </w:rPr>
        <w:t>cm3 conical flask for colo</w:t>
      </w:r>
      <w:r>
        <w:rPr>
          <w:rFonts w:ascii="Times New Roman" w:hAnsi="Times New Roman"/>
          <w:highlight w:val="yellow"/>
        </w:rPr>
        <w:t>u</w:t>
      </w:r>
      <w:r>
        <w:rPr>
          <w:rFonts w:ascii="Times New Roman" w:hAnsi="Times New Roman"/>
        </w:rPr>
        <w:t>r development. The solution was allowed to stand for 30 min in a water bath at a temperature of 25</w:t>
      </w:r>
      <w:r>
        <w:rPr>
          <w:rFonts w:ascii="Cambria Math" w:hAnsi="Cambria Math" w:cs="Cambria Math"/>
          <w:vertAlign w:val="superscript"/>
        </w:rPr>
        <w:t>°</w:t>
      </w:r>
      <w:r>
        <w:rPr>
          <w:rFonts w:ascii="Times New Roman" w:hAnsi="Times New Roman"/>
        </w:rPr>
        <w:t>C after thorough agitation. With the aid of a spectrophotometer, optical density was measured at 700nm and compared with a standard tannic acid curve. Dissolution of 0.2</w:t>
      </w:r>
      <w:r>
        <w:rPr>
          <w:rFonts w:ascii="Times New Roman" w:hAnsi="Times New Roman"/>
          <w:highlight w:val="yellow"/>
        </w:rPr>
        <w:t xml:space="preserve"> </w:t>
      </w:r>
      <w:r>
        <w:rPr>
          <w:rFonts w:ascii="Times New Roman" w:hAnsi="Times New Roman"/>
        </w:rPr>
        <w:t>g of tannic acid in distilled water and dilution to 200</w:t>
      </w:r>
      <w:r>
        <w:rPr>
          <w:rFonts w:ascii="Times New Roman" w:hAnsi="Times New Roman"/>
          <w:highlight w:val="yellow"/>
        </w:rPr>
        <w:t xml:space="preserve"> </w:t>
      </w:r>
      <w:r>
        <w:rPr>
          <w:rFonts w:ascii="Times New Roman" w:hAnsi="Times New Roman"/>
        </w:rPr>
        <w:t>cm3 mark (1</w:t>
      </w:r>
      <w:r>
        <w:rPr>
          <w:rFonts w:ascii="Times New Roman" w:hAnsi="Times New Roman"/>
          <w:highlight w:val="yellow"/>
        </w:rPr>
        <w:t xml:space="preserve"> </w:t>
      </w:r>
      <w:r>
        <w:rPr>
          <w:rFonts w:ascii="Times New Roman" w:hAnsi="Times New Roman"/>
        </w:rPr>
        <w:t>mg/cm3) were used to obtain the tannic standard curve. Varying concentrations (0.2-1</w:t>
      </w:r>
      <w:r>
        <w:rPr>
          <w:rFonts w:ascii="Times New Roman" w:hAnsi="Times New Roman"/>
          <w:highlight w:val="yellow"/>
        </w:rPr>
        <w:t xml:space="preserve"> </w:t>
      </w:r>
      <w:r>
        <w:rPr>
          <w:rFonts w:ascii="Times New Roman" w:hAnsi="Times New Roman"/>
        </w:rPr>
        <w:t>mg/cm3) of the standard tannic acid solution were pipetted into five different test tubes, to which Folin-Denis reagent (5</w:t>
      </w:r>
      <w:r>
        <w:rPr>
          <w:rFonts w:ascii="Times New Roman" w:hAnsi="Times New Roman"/>
          <w:highlight w:val="yellow"/>
        </w:rPr>
        <w:t xml:space="preserve"> </w:t>
      </w:r>
      <w:r>
        <w:rPr>
          <w:rFonts w:ascii="Times New Roman" w:hAnsi="Times New Roman"/>
        </w:rPr>
        <w:t>cm3) and saturated Na2CO3 (10</w:t>
      </w:r>
      <w:r>
        <w:rPr>
          <w:rFonts w:ascii="Times New Roman" w:hAnsi="Times New Roman"/>
          <w:highlight w:val="yellow"/>
        </w:rPr>
        <w:t xml:space="preserve"> </w:t>
      </w:r>
      <w:r>
        <w:rPr>
          <w:rFonts w:ascii="Times New Roman" w:hAnsi="Times New Roman"/>
        </w:rPr>
        <w:t>cm3) solution were added and made up to the 100</w:t>
      </w:r>
      <w:r>
        <w:rPr>
          <w:rFonts w:ascii="Times New Roman" w:hAnsi="Times New Roman"/>
          <w:highlight w:val="yellow"/>
        </w:rPr>
        <w:t xml:space="preserve"> </w:t>
      </w:r>
      <w:r>
        <w:rPr>
          <w:rFonts w:ascii="Times New Roman" w:hAnsi="Times New Roman"/>
        </w:rPr>
        <w:t>cm3 mark with distilled water. The solution was left to stand for 30 min in a water bath at 25</w:t>
      </w:r>
      <w:r>
        <w:rPr>
          <w:rFonts w:ascii="Cambria Math" w:hAnsi="Cambria Math" w:cs="Cambria Math"/>
          <w:vertAlign w:val="superscript"/>
        </w:rPr>
        <w:t>°</w:t>
      </w:r>
      <w:r>
        <w:rPr>
          <w:rFonts w:ascii="Times New Roman" w:hAnsi="Times New Roman"/>
        </w:rPr>
        <w:t xml:space="preserve">C. Optical </w:t>
      </w:r>
      <w:r>
        <w:rPr>
          <w:rFonts w:ascii="Times New Roman" w:hAnsi="Times New Roman"/>
          <w:highlight w:val="yellow"/>
        </w:rPr>
        <w:t>d</w:t>
      </w:r>
      <w:r>
        <w:rPr>
          <w:rFonts w:ascii="Times New Roman" w:hAnsi="Times New Roman"/>
        </w:rPr>
        <w:t xml:space="preserve">ensity was </w:t>
      </w:r>
      <w:r>
        <w:rPr>
          <w:rFonts w:ascii="Times New Roman" w:hAnsi="Times New Roman"/>
          <w:highlight w:val="yellow"/>
        </w:rPr>
        <w:t>me</w:t>
      </w:r>
      <w:r>
        <w:rPr>
          <w:rFonts w:ascii="Times New Roman" w:hAnsi="Times New Roman"/>
        </w:rPr>
        <w:t>as</w:t>
      </w:r>
      <w:r>
        <w:rPr>
          <w:rFonts w:ascii="Times New Roman" w:hAnsi="Times New Roman"/>
          <w:highlight w:val="yellow"/>
        </w:rPr>
        <w:t>u</w:t>
      </w:r>
      <w:r>
        <w:rPr>
          <w:rFonts w:ascii="Times New Roman" w:hAnsi="Times New Roman"/>
        </w:rPr>
        <w:t xml:space="preserve">red at 700nm with the aid of a spectrophotometer. Optical density (absorbance) versus tannic acid concentration was plotted. </w:t>
      </w:r>
      <w:r>
        <w:rPr>
          <w:rFonts w:ascii="Times New Roman" w:eastAsia="Calibri" w:hAnsi="Times New Roman"/>
          <w:b/>
        </w:rPr>
        <w:t xml:space="preserve"> </w:t>
      </w:r>
      <w:r>
        <w:rPr>
          <w:rFonts w:ascii="Times New Roman" w:hAnsi="Times New Roman"/>
        </w:rPr>
        <w:t>The following formula was used in the calculation</w:t>
      </w:r>
      <w:r>
        <w:rPr>
          <w:rFonts w:ascii="Times New Roman" w:hAnsi="Times New Roman"/>
          <w:highlight w:val="yellow"/>
        </w:rPr>
        <w:t>:</w:t>
      </w:r>
    </w:p>
    <w:p w14:paraId="794CFBE2" w14:textId="77777777" w:rsidR="0040444D" w:rsidRPr="00EF132F" w:rsidRDefault="0040444D" w:rsidP="0040444D">
      <w:pPr>
        <w:pStyle w:val="ListParagraph"/>
        <w:spacing w:line="480" w:lineRule="auto"/>
        <w:jc w:val="both"/>
        <w:rPr>
          <w:rFonts w:ascii="Times New Roman" w:hAnsi="Times New Roman"/>
          <w:bCs/>
        </w:rPr>
      </w:pPr>
      <w:r w:rsidRPr="00EF132F">
        <w:rPr>
          <w:rFonts w:ascii="Times New Roman" w:hAnsi="Times New Roman"/>
          <w:bCs/>
        </w:rPr>
        <w:t>Tannic acid</w:t>
      </w:r>
      <m:oMath>
        <m:r>
          <w:rPr>
            <w:rFonts w:ascii="Cambria Math" w:hAnsi="Cambria Math" w:cs="Times New Roman"/>
          </w:rPr>
          <m:t xml:space="preserve"> </m:t>
        </m:r>
        <m:r>
          <m:rPr>
            <m:sty m:val="p"/>
          </m:rPr>
          <w:rPr>
            <w:rFonts w:ascii="Cambria Math" w:hAnsi="Cambria Math" w:cs="Times New Roman"/>
          </w:rPr>
          <m:t xml:space="preserve">(  </m:t>
        </m:r>
        <m:f>
          <m:fPr>
            <m:ctrlPr>
              <w:rPr>
                <w:rFonts w:ascii="Cambria Math" w:hAnsi="Cambria Math" w:cs="Times New Roman"/>
                <w:bCs/>
              </w:rPr>
            </m:ctrlPr>
          </m:fPr>
          <m:num>
            <m:r>
              <m:rPr>
                <m:sty m:val="p"/>
              </m:rPr>
              <w:rPr>
                <w:rFonts w:ascii="Cambria Math" w:hAnsi="Cambria Math" w:cs="Times New Roman"/>
              </w:rPr>
              <m:t>mg</m:t>
            </m:r>
          </m:num>
          <m:den>
            <m:r>
              <m:rPr>
                <m:sty m:val="p"/>
              </m:rPr>
              <w:rPr>
                <w:rFonts w:ascii="Cambria Math" w:hAnsi="Cambria Math" w:cs="Times New Roman"/>
              </w:rPr>
              <m:t>100g</m:t>
            </m:r>
          </m:den>
        </m:f>
        <m:r>
          <m:rPr>
            <m:sty m:val="p"/>
          </m:rPr>
          <w:rPr>
            <w:rFonts w:ascii="Cambria Math" w:hAnsi="Cambria Math" w:cs="Times New Roman"/>
          </w:rPr>
          <m:t xml:space="preserve"> </m:t>
        </m:r>
      </m:oMath>
      <w:r w:rsidRPr="00EF132F">
        <w:rPr>
          <w:rFonts w:ascii="Times New Roman" w:hAnsi="Times New Roman" w:cs="Times New Roman"/>
          <w:bCs/>
        </w:rPr>
        <w:t>)  =</w:t>
      </w:r>
      <m:oMath>
        <m:r>
          <m:rPr>
            <m:sty m:val="p"/>
          </m:rPr>
          <w:rPr>
            <w:rFonts w:ascii="Cambria Math" w:hAnsi="Cambria Math" w:cs="Times New Roman"/>
          </w:rPr>
          <m:t xml:space="preserve">       </m:t>
        </m:r>
        <m:f>
          <m:fPr>
            <m:ctrlPr>
              <w:rPr>
                <w:rFonts w:ascii="Cambria Math" w:hAnsi="Cambria Math" w:cs="Times New Roman"/>
                <w:bCs/>
              </w:rPr>
            </m:ctrlPr>
          </m:fPr>
          <m:num>
            <m:r>
              <m:rPr>
                <m:sty m:val="p"/>
              </m:rPr>
              <w:rPr>
                <w:rFonts w:ascii="Cambria Math" w:hAnsi="Cambria Math" w:cs="Times New Roman"/>
              </w:rPr>
              <m:t>C X extract volume X 100</m:t>
            </m:r>
          </m:num>
          <m:den>
            <m:r>
              <m:rPr>
                <m:sty m:val="p"/>
              </m:rPr>
              <w:rPr>
                <w:rFonts w:ascii="Cambria Math" w:hAnsi="Cambria Math" w:cs="Times New Roman"/>
              </w:rPr>
              <m:t>Aliquot volume X Weight of sample</m:t>
            </m:r>
          </m:den>
        </m:f>
      </m:oMath>
      <w:r w:rsidRPr="00EF132F">
        <w:rPr>
          <w:rFonts w:ascii="Times New Roman" w:hAnsi="Times New Roman"/>
          <w:bCs/>
        </w:rPr>
        <w:t xml:space="preserve">   </w:t>
      </w:r>
    </w:p>
    <w:p w14:paraId="1967F362" w14:textId="77777777" w:rsidR="0040444D" w:rsidRDefault="0040444D" w:rsidP="0040444D">
      <w:pPr>
        <w:pStyle w:val="ListParagraph"/>
        <w:spacing w:line="480" w:lineRule="auto"/>
        <w:jc w:val="both"/>
        <w:rPr>
          <w:rFonts w:ascii="Times New Roman" w:hAnsi="Times New Roman"/>
        </w:rPr>
      </w:pPr>
      <w:r>
        <w:rPr>
          <w:rFonts w:ascii="Times New Roman" w:hAnsi="Times New Roman" w:cs="Times New Roman"/>
          <w:highlight w:val="yellow"/>
        </w:rPr>
        <w:t>w</w:t>
      </w:r>
      <w:r>
        <w:rPr>
          <w:rFonts w:ascii="Times New Roman" w:hAnsi="Times New Roman" w:cs="Times New Roman"/>
        </w:rPr>
        <w:t xml:space="preserve">here </w:t>
      </w:r>
      <w:r>
        <w:rPr>
          <w:rFonts w:ascii="Cambria Math" w:hAnsi="Cambria Math" w:cs="Cambria Math"/>
        </w:rPr>
        <w:t>𝐶</w:t>
      </w:r>
      <w:r>
        <w:rPr>
          <w:rFonts w:ascii="Times New Roman" w:hAnsi="Times New Roman" w:cs="Times New Roman"/>
        </w:rPr>
        <w:t xml:space="preserve"> is the concentration of tannic acid read off the graph</w:t>
      </w:r>
      <w:r>
        <w:rPr>
          <w:rFonts w:ascii="Times New Roman" w:hAnsi="Times New Roman"/>
        </w:rPr>
        <w:t>.</w:t>
      </w:r>
    </w:p>
    <w:p w14:paraId="43F0A7D4" w14:textId="77777777" w:rsidR="0040444D" w:rsidRPr="00EF132F" w:rsidRDefault="0040444D" w:rsidP="0040444D">
      <w:pPr>
        <w:rPr>
          <w:rFonts w:ascii="Times New Roman" w:hAnsi="Times New Roman"/>
          <w:bCs/>
        </w:rPr>
      </w:pPr>
      <w:r w:rsidRPr="00EF132F">
        <w:rPr>
          <w:rFonts w:ascii="Times New Roman" w:hAnsi="Times New Roman"/>
          <w:bCs/>
        </w:rPr>
        <w:t xml:space="preserve">Determination of Cyanogenic Glycoside </w:t>
      </w:r>
      <w:r w:rsidRPr="00EF132F">
        <w:rPr>
          <w:rFonts w:ascii="Times New Roman" w:hAnsi="Times New Roman"/>
          <w:color w:val="1B1B1B"/>
          <w:sz w:val="26"/>
          <w:szCs w:val="26"/>
          <w:shd w:val="clear" w:color="auto" w:fill="FFFFFF"/>
        </w:rPr>
        <w:t xml:space="preserve">(Lucas </w:t>
      </w:r>
      <w:r w:rsidRPr="00EF132F">
        <w:rPr>
          <w:rFonts w:ascii="Times New Roman" w:hAnsi="Times New Roman"/>
          <w:i/>
          <w:color w:val="1B1B1B"/>
          <w:sz w:val="26"/>
          <w:szCs w:val="26"/>
          <w:shd w:val="clear" w:color="auto" w:fill="FFFFFF"/>
        </w:rPr>
        <w:t>et al.,</w:t>
      </w:r>
      <w:r w:rsidRPr="00EF132F">
        <w:rPr>
          <w:rFonts w:ascii="Times New Roman" w:hAnsi="Times New Roman"/>
          <w:color w:val="1B1B1B"/>
          <w:sz w:val="26"/>
          <w:szCs w:val="26"/>
          <w:shd w:val="clear" w:color="auto" w:fill="FFFFFF"/>
        </w:rPr>
        <w:t xml:space="preserve"> 2014)</w:t>
      </w:r>
    </w:p>
    <w:p w14:paraId="026356D2" w14:textId="77777777" w:rsidR="0040444D" w:rsidRDefault="0040444D" w:rsidP="0040444D">
      <w:pPr>
        <w:spacing w:line="480" w:lineRule="auto"/>
        <w:jc w:val="both"/>
        <w:rPr>
          <w:rFonts w:ascii="Times New Roman" w:hAnsi="Times New Roman"/>
          <w:b/>
        </w:rPr>
      </w:pPr>
      <w:r>
        <w:rPr>
          <w:rFonts w:ascii="Times New Roman" w:hAnsi="Times New Roman"/>
          <w:highlight w:val="yellow"/>
        </w:rPr>
        <w:t>For</w:t>
      </w:r>
      <w:r>
        <w:rPr>
          <w:rFonts w:ascii="Times New Roman" w:hAnsi="Times New Roman"/>
        </w:rPr>
        <w:t xml:space="preserve"> the quantitative determination o</w:t>
      </w:r>
      <w:r>
        <w:rPr>
          <w:rFonts w:ascii="Times New Roman" w:hAnsi="Times New Roman"/>
          <w:highlight w:val="yellow"/>
        </w:rPr>
        <w:t>f cyan</w:t>
      </w:r>
      <w:r>
        <w:rPr>
          <w:rFonts w:ascii="Times New Roman" w:hAnsi="Times New Roman"/>
        </w:rPr>
        <w:t>og</w:t>
      </w:r>
      <w:r>
        <w:rPr>
          <w:rFonts w:ascii="Times New Roman" w:hAnsi="Times New Roman"/>
          <w:highlight w:val="yellow"/>
        </w:rPr>
        <w:t>enic gl</w:t>
      </w:r>
      <w:r>
        <w:rPr>
          <w:rFonts w:ascii="Times New Roman" w:hAnsi="Times New Roman"/>
        </w:rPr>
        <w:t>y</w:t>
      </w:r>
      <w:r>
        <w:rPr>
          <w:rFonts w:ascii="Times New Roman" w:hAnsi="Times New Roman"/>
          <w:highlight w:val="yellow"/>
        </w:rPr>
        <w:t>coside</w:t>
      </w:r>
      <w:r>
        <w:rPr>
          <w:rFonts w:ascii="Times New Roman" w:hAnsi="Times New Roman"/>
        </w:rPr>
        <w:t>, the processed sample (1</w:t>
      </w:r>
      <w:r>
        <w:rPr>
          <w:rFonts w:ascii="Times New Roman" w:hAnsi="Times New Roman"/>
          <w:highlight w:val="yellow"/>
        </w:rPr>
        <w:t xml:space="preserve"> </w:t>
      </w:r>
      <w:r>
        <w:rPr>
          <w:rFonts w:ascii="Times New Roman" w:hAnsi="Times New Roman"/>
        </w:rPr>
        <w:t>g) was weighed into a 250</w:t>
      </w:r>
      <w:r>
        <w:rPr>
          <w:rFonts w:ascii="Times New Roman" w:hAnsi="Times New Roman"/>
          <w:highlight w:val="yellow"/>
        </w:rPr>
        <w:t xml:space="preserve"> </w:t>
      </w:r>
      <w:r>
        <w:rPr>
          <w:rFonts w:ascii="Times New Roman" w:hAnsi="Times New Roman"/>
        </w:rPr>
        <w:t>cm3 round bottom flask, and about 200</w:t>
      </w:r>
      <w:r>
        <w:rPr>
          <w:rFonts w:ascii="Times New Roman" w:hAnsi="Times New Roman"/>
          <w:highlight w:val="yellow"/>
        </w:rPr>
        <w:t xml:space="preserve"> </w:t>
      </w:r>
      <w:r>
        <w:rPr>
          <w:rFonts w:ascii="Times New Roman" w:hAnsi="Times New Roman"/>
        </w:rPr>
        <w:t>cm3 of distilled water was added to it and allowed to stand for 2</w:t>
      </w:r>
      <w:r>
        <w:rPr>
          <w:rFonts w:ascii="Times New Roman" w:hAnsi="Times New Roman"/>
          <w:highlight w:val="yellow"/>
        </w:rPr>
        <w:t xml:space="preserve"> </w:t>
      </w:r>
      <w:r>
        <w:rPr>
          <w:rFonts w:ascii="Times New Roman" w:hAnsi="Times New Roman"/>
        </w:rPr>
        <w:t>hours for autolysis to occur. Full distillation was carried out in a distillation flask containing 20</w:t>
      </w:r>
      <w:r>
        <w:rPr>
          <w:rFonts w:ascii="Times New Roman" w:hAnsi="Times New Roman"/>
          <w:highlight w:val="yellow"/>
        </w:rPr>
        <w:t xml:space="preserve"> </w:t>
      </w:r>
      <w:r>
        <w:rPr>
          <w:rFonts w:ascii="Times New Roman" w:hAnsi="Times New Roman"/>
        </w:rPr>
        <w:t xml:space="preserve">cm3 of 2.5% NaOH (sodium hydroxide) in the sample after adding an antifoaming agent (tannic </w:t>
      </w:r>
      <w:r>
        <w:rPr>
          <w:rFonts w:ascii="Times New Roman" w:hAnsi="Times New Roman"/>
        </w:rPr>
        <w:lastRenderedPageBreak/>
        <w:t>acid). Cyanogenic glycoside (100</w:t>
      </w:r>
      <w:r>
        <w:rPr>
          <w:rFonts w:ascii="Times New Roman" w:hAnsi="Times New Roman"/>
          <w:highlight w:val="yellow"/>
        </w:rPr>
        <w:t xml:space="preserve"> </w:t>
      </w:r>
      <w:r>
        <w:rPr>
          <w:rFonts w:ascii="Times New Roman" w:hAnsi="Times New Roman"/>
        </w:rPr>
        <w:t>cm3), 8</w:t>
      </w:r>
      <w:r>
        <w:rPr>
          <w:rFonts w:ascii="Times New Roman" w:hAnsi="Times New Roman"/>
          <w:highlight w:val="yellow"/>
        </w:rPr>
        <w:t xml:space="preserve"> </w:t>
      </w:r>
      <w:r>
        <w:rPr>
          <w:rFonts w:ascii="Times New Roman" w:hAnsi="Times New Roman"/>
        </w:rPr>
        <w:t>cm3 of 6M NH</w:t>
      </w:r>
      <w:r>
        <w:rPr>
          <w:rFonts w:ascii="Times New Roman" w:hAnsi="Times New Roman"/>
          <w:vertAlign w:val="subscript"/>
        </w:rPr>
        <w:t>4</w:t>
      </w:r>
      <w:r>
        <w:rPr>
          <w:rFonts w:ascii="Times New Roman" w:hAnsi="Times New Roman"/>
        </w:rPr>
        <w:t>OH (ammonium hydroxide), and 2</w:t>
      </w:r>
      <w:r>
        <w:rPr>
          <w:rFonts w:ascii="Times New Roman" w:hAnsi="Times New Roman"/>
          <w:highlight w:val="yellow"/>
        </w:rPr>
        <w:t xml:space="preserve"> </w:t>
      </w:r>
      <w:r>
        <w:rPr>
          <w:rFonts w:ascii="Times New Roman" w:hAnsi="Times New Roman"/>
        </w:rPr>
        <w:t>cm3 of 5% KI (potassium iodide) were added to the distillate(s), mixed, and titrated with 0.02 M AgNO</w:t>
      </w:r>
      <w:r>
        <w:rPr>
          <w:rFonts w:ascii="Times New Roman" w:hAnsi="Times New Roman"/>
          <w:vertAlign w:val="subscript"/>
        </w:rPr>
        <w:t>3</w:t>
      </w:r>
      <w:r>
        <w:rPr>
          <w:rFonts w:ascii="Times New Roman" w:hAnsi="Times New Roman"/>
        </w:rPr>
        <w:t xml:space="preserve"> (silver nitrate) using a microburette against a black background. Turbidity, which was continuous, indicated the endpoint.</w:t>
      </w:r>
      <w:r>
        <w:rPr>
          <w:rFonts w:ascii="Times New Roman" w:hAnsi="Times New Roman"/>
          <w:b/>
        </w:rPr>
        <w:t xml:space="preserve"> </w:t>
      </w:r>
      <w:r>
        <w:rPr>
          <w:rFonts w:ascii="Times New Roman" w:hAnsi="Times New Roman"/>
          <w:highlight w:val="yellow"/>
        </w:rPr>
        <w:t>Th</w:t>
      </w:r>
      <w:r>
        <w:rPr>
          <w:rFonts w:ascii="Times New Roman" w:hAnsi="Times New Roman"/>
        </w:rPr>
        <w:t xml:space="preserve">e cyanogenic glycoside </w:t>
      </w:r>
      <w:r>
        <w:rPr>
          <w:rFonts w:ascii="Times New Roman" w:hAnsi="Times New Roman"/>
          <w:highlight w:val="yellow"/>
        </w:rPr>
        <w:t>co</w:t>
      </w:r>
      <w:r>
        <w:rPr>
          <w:rFonts w:ascii="Times New Roman" w:hAnsi="Times New Roman"/>
        </w:rPr>
        <w:t>n</w:t>
      </w:r>
      <w:r>
        <w:rPr>
          <w:rFonts w:ascii="Times New Roman" w:hAnsi="Times New Roman"/>
          <w:highlight w:val="yellow"/>
        </w:rPr>
        <w:t>tent of</w:t>
      </w:r>
      <w:r>
        <w:rPr>
          <w:rFonts w:ascii="Times New Roman" w:hAnsi="Times New Roman"/>
        </w:rPr>
        <w:t xml:space="preserve"> the sample was calculated as </w:t>
      </w:r>
    </w:p>
    <w:p w14:paraId="380671DC" w14:textId="77777777" w:rsidR="0040444D" w:rsidRPr="00EF132F" w:rsidRDefault="0040444D" w:rsidP="0040444D">
      <w:pPr>
        <w:pStyle w:val="ListParagraph"/>
        <w:spacing w:line="480" w:lineRule="auto"/>
        <w:jc w:val="both"/>
        <w:rPr>
          <w:rFonts w:ascii="Times New Roman" w:hAnsi="Times New Roman"/>
        </w:rPr>
      </w:pPr>
      <w:r w:rsidRPr="00EF132F">
        <w:rPr>
          <w:rFonts w:ascii="Times New Roman" w:hAnsi="Times New Roman"/>
          <w:bCs/>
        </w:rPr>
        <w:t>Cyanogenic glycoside</w:t>
      </w:r>
      <m:oMath>
        <m:r>
          <w:rPr>
            <w:rFonts w:ascii="Cambria Math" w:hAnsi="Cambria Math" w:cs="Times New Roman"/>
          </w:rPr>
          <m:t xml:space="preserve"> </m:t>
        </m:r>
        <m:d>
          <m:dPr>
            <m:ctrlPr>
              <w:rPr>
                <w:rFonts w:ascii="Cambria Math" w:hAnsi="Cambria Math" w:cs="Times New Roman"/>
                <w:bCs/>
              </w:rPr>
            </m:ctrlPr>
          </m:dPr>
          <m:e>
            <m:f>
              <m:fPr>
                <m:ctrlPr>
                  <w:rPr>
                    <w:rFonts w:ascii="Cambria Math" w:hAnsi="Cambria Math" w:cs="Times New Roman"/>
                    <w:bCs/>
                  </w:rPr>
                </m:ctrlPr>
              </m:fPr>
              <m:num>
                <m:r>
                  <m:rPr>
                    <m:sty m:val="p"/>
                  </m:rPr>
                  <w:rPr>
                    <w:rFonts w:ascii="Cambria Math" w:hAnsi="Cambria Math" w:cs="Times New Roman"/>
                  </w:rPr>
                  <m:t>Mg</m:t>
                </m:r>
              </m:num>
              <m:den>
                <m:r>
                  <m:rPr>
                    <m:sty m:val="p"/>
                  </m:rPr>
                  <w:rPr>
                    <w:rFonts w:ascii="Cambria Math" w:hAnsi="Cambria Math" w:cs="Times New Roman"/>
                  </w:rPr>
                  <m:t>100g</m:t>
                </m:r>
              </m:den>
            </m:f>
          </m:e>
        </m:d>
      </m:oMath>
      <w:r w:rsidRPr="00EF132F">
        <w:rPr>
          <w:rFonts w:ascii="Times New Roman" w:hAnsi="Times New Roman" w:cs="Times New Roman"/>
        </w:rPr>
        <w:t>=</w:t>
      </w:r>
      <m:oMath>
        <m:r>
          <m:rPr>
            <m:sty m:val="p"/>
          </m:rPr>
          <w:rPr>
            <w:rFonts w:ascii="Cambria Math" w:hAnsi="Cambria Math" w:cs="Times New Roman"/>
          </w:rPr>
          <m:t xml:space="preserve">    </m:t>
        </m:r>
        <m:f>
          <m:fPr>
            <m:ctrlPr>
              <w:rPr>
                <w:rFonts w:ascii="Cambria Math" w:hAnsi="Cambria Math" w:cs="Times New Roman"/>
              </w:rPr>
            </m:ctrlPr>
          </m:fPr>
          <m:num>
            <m:r>
              <m:rPr>
                <m:sty m:val="p"/>
              </m:rPr>
              <w:rPr>
                <w:rFonts w:ascii="Cambria Math" w:hAnsi="Cambria Math" w:cs="Times New Roman"/>
              </w:rPr>
              <m:t xml:space="preserve">Titre value </m:t>
            </m:r>
            <m:d>
              <m:dPr>
                <m:ctrlPr>
                  <w:rPr>
                    <w:rFonts w:ascii="Cambria Math" w:hAnsi="Cambria Math" w:cs="Times New Roman"/>
                  </w:rPr>
                </m:ctrlPr>
              </m:dPr>
              <m:e>
                <m:r>
                  <m:rPr>
                    <m:sty m:val="p"/>
                  </m:rPr>
                  <w:rPr>
                    <w:rFonts w:ascii="Cambria Math" w:hAnsi="Cambria Math" w:cs="Times New Roman"/>
                  </w:rPr>
                  <m:t>cm3</m:t>
                </m:r>
              </m:e>
            </m:d>
            <m:r>
              <m:rPr>
                <m:sty m:val="p"/>
              </m:rPr>
              <w:rPr>
                <w:rFonts w:ascii="Cambria Math" w:hAnsi="Cambria Math" w:cs="Times New Roman"/>
              </w:rPr>
              <m:t>X 1.08 X extract volume</m:t>
            </m:r>
          </m:num>
          <m:den>
            <m:r>
              <m:rPr>
                <m:sty m:val="p"/>
              </m:rPr>
              <w:rPr>
                <w:rFonts w:ascii="Cambria Math" w:hAnsi="Cambria Math" w:cs="Times New Roman"/>
              </w:rPr>
              <m:t xml:space="preserve">Aliquot volume </m:t>
            </m:r>
            <m:d>
              <m:dPr>
                <m:ctrlPr>
                  <w:rPr>
                    <w:rFonts w:ascii="Cambria Math" w:hAnsi="Cambria Math" w:cs="Times New Roman"/>
                  </w:rPr>
                </m:ctrlPr>
              </m:dPr>
              <m:e>
                <m:r>
                  <m:rPr>
                    <m:sty m:val="p"/>
                  </m:rPr>
                  <w:rPr>
                    <w:rFonts w:ascii="Cambria Math" w:hAnsi="Cambria Math" w:cs="Times New Roman"/>
                  </w:rPr>
                  <m:t>cm3</m:t>
                </m:r>
              </m:e>
            </m:d>
            <m:r>
              <m:rPr>
                <m:sty m:val="p"/>
              </m:rPr>
              <w:rPr>
                <w:rFonts w:ascii="Cambria Math" w:hAnsi="Cambria Math" w:cs="Times New Roman"/>
              </w:rPr>
              <m:t xml:space="preserve"> X Sample weight (g)</m:t>
            </m:r>
          </m:den>
        </m:f>
        <m:r>
          <m:rPr>
            <m:sty m:val="p"/>
          </m:rPr>
          <w:rPr>
            <w:rFonts w:ascii="Cambria Math" w:hAnsi="Cambria Math" w:cs="Times New Roman"/>
          </w:rPr>
          <m:t xml:space="preserve"> X 100</m:t>
        </m:r>
      </m:oMath>
      <w:r w:rsidRPr="00EF132F">
        <w:rPr>
          <w:rFonts w:ascii="Times New Roman" w:hAnsi="Times New Roman" w:cs="Times New Roman"/>
        </w:rPr>
        <w:t xml:space="preserve"> </w:t>
      </w:r>
    </w:p>
    <w:p w14:paraId="6A4AC7E8" w14:textId="77777777" w:rsidR="0040444D" w:rsidRPr="00EF132F" w:rsidRDefault="0040444D" w:rsidP="0040444D">
      <w:pPr>
        <w:spacing w:line="480" w:lineRule="auto"/>
        <w:jc w:val="both"/>
        <w:rPr>
          <w:rFonts w:ascii="Times New Roman" w:hAnsi="Times New Roman"/>
        </w:rPr>
      </w:pPr>
      <w:r w:rsidRPr="00EF132F">
        <w:rPr>
          <w:rFonts w:ascii="Times New Roman" w:hAnsi="Times New Roman"/>
          <w:bCs/>
        </w:rPr>
        <w:t>Determination of Phytate (</w:t>
      </w:r>
      <w:r w:rsidRPr="00EF132F">
        <w:rPr>
          <w:rStyle w:val="author0"/>
          <w:rFonts w:ascii="Times New Roman" w:hAnsi="Times New Roman"/>
        </w:rPr>
        <w:t>Rousta</w:t>
      </w:r>
      <w:r w:rsidRPr="00EF132F">
        <w:rPr>
          <w:rFonts w:ascii="Times New Roman" w:hAnsi="Times New Roman"/>
        </w:rPr>
        <w:t xml:space="preserve"> &amp; </w:t>
      </w:r>
      <w:proofErr w:type="spellStart"/>
      <w:r w:rsidRPr="00EF132F">
        <w:rPr>
          <w:rStyle w:val="author0"/>
          <w:rFonts w:ascii="Times New Roman" w:hAnsi="Times New Roman"/>
        </w:rPr>
        <w:t>Taherzadeh</w:t>
      </w:r>
      <w:proofErr w:type="spellEnd"/>
      <w:r w:rsidRPr="00EF132F">
        <w:rPr>
          <w:rStyle w:val="author0"/>
          <w:rFonts w:ascii="Times New Roman" w:hAnsi="Times New Roman"/>
        </w:rPr>
        <w:t xml:space="preserve">, </w:t>
      </w:r>
      <w:r w:rsidRPr="00EF132F">
        <w:rPr>
          <w:rStyle w:val="pubyear"/>
          <w:rFonts w:ascii="Times New Roman" w:hAnsi="Times New Roman"/>
        </w:rPr>
        <w:t>2026</w:t>
      </w:r>
      <w:r w:rsidRPr="00EF132F">
        <w:rPr>
          <w:rFonts w:ascii="Times New Roman" w:hAnsi="Times New Roman"/>
        </w:rPr>
        <w:t xml:space="preserve">) </w:t>
      </w:r>
    </w:p>
    <w:p w14:paraId="51E40EF5" w14:textId="77777777" w:rsidR="0040444D" w:rsidRDefault="0040444D" w:rsidP="0040444D">
      <w:pPr>
        <w:spacing w:line="480" w:lineRule="auto"/>
        <w:jc w:val="both"/>
        <w:rPr>
          <w:rFonts w:ascii="Times New Roman" w:hAnsi="Times New Roman"/>
        </w:rPr>
      </w:pPr>
      <w:r>
        <w:rPr>
          <w:rFonts w:ascii="Times New Roman" w:hAnsi="Times New Roman"/>
        </w:rPr>
        <w:t>This method is based on the reaction between ferric iron and sulfosalicylic acid to form a colo</w:t>
      </w:r>
      <w:r>
        <w:rPr>
          <w:rFonts w:ascii="Times New Roman" w:hAnsi="Times New Roman"/>
          <w:highlight w:val="yellow"/>
        </w:rPr>
        <w:t>u</w:t>
      </w:r>
      <w:r>
        <w:rPr>
          <w:rFonts w:ascii="Times New Roman" w:hAnsi="Times New Roman"/>
        </w:rPr>
        <w:t>red complex. Phytate in the sample chelates the iron and reduces the colo</w:t>
      </w:r>
      <w:r>
        <w:rPr>
          <w:rFonts w:ascii="Times New Roman" w:hAnsi="Times New Roman"/>
          <w:highlight w:val="yellow"/>
        </w:rPr>
        <w:t>u</w:t>
      </w:r>
      <w:r>
        <w:rPr>
          <w:rFonts w:ascii="Times New Roman" w:hAnsi="Times New Roman"/>
        </w:rPr>
        <w:t>r intensity, which is then measured spectrophotometrically.</w:t>
      </w:r>
      <w:r>
        <w:rPr>
          <w:rFonts w:ascii="Times New Roman" w:hAnsi="Times New Roman"/>
          <w:b/>
        </w:rPr>
        <w:t xml:space="preserve"> </w:t>
      </w:r>
      <w:r>
        <w:rPr>
          <w:rFonts w:ascii="Times New Roman" w:hAnsi="Times New Roman"/>
        </w:rPr>
        <w:t>A series of phytate standard solutions was prepared using sodium phytate dissolved in deionized water.</w:t>
      </w:r>
      <w:r>
        <w:rPr>
          <w:rFonts w:ascii="Times New Roman" w:hAnsi="Times New Roman"/>
          <w:b/>
        </w:rPr>
        <w:t xml:space="preserve"> </w:t>
      </w:r>
      <w:r>
        <w:rPr>
          <w:rFonts w:ascii="Times New Roman" w:hAnsi="Times New Roman"/>
        </w:rPr>
        <w:t>0.5</w:t>
      </w:r>
      <w:r>
        <w:rPr>
          <w:rFonts w:ascii="Times New Roman" w:hAnsi="Times New Roman"/>
          <w:highlight w:val="yellow"/>
        </w:rPr>
        <w:t xml:space="preserve"> </w:t>
      </w:r>
      <w:r>
        <w:rPr>
          <w:rFonts w:ascii="Times New Roman" w:hAnsi="Times New Roman"/>
        </w:rPr>
        <w:t xml:space="preserve">g of each processed sample was extracted using 5% trichloroacetic acid (TCA). </w:t>
      </w:r>
      <w:r>
        <w:rPr>
          <w:rFonts w:ascii="Times New Roman" w:hAnsi="Times New Roman"/>
          <w:highlight w:val="yellow"/>
        </w:rPr>
        <w:t>The mix</w:t>
      </w:r>
      <w:r>
        <w:rPr>
          <w:rFonts w:ascii="Times New Roman" w:hAnsi="Times New Roman"/>
        </w:rPr>
        <w:t>t</w:t>
      </w:r>
      <w:r>
        <w:rPr>
          <w:rFonts w:ascii="Times New Roman" w:hAnsi="Times New Roman"/>
          <w:highlight w:val="yellow"/>
        </w:rPr>
        <w:t>ure</w:t>
      </w:r>
      <w:r>
        <w:rPr>
          <w:rFonts w:ascii="Times New Roman" w:hAnsi="Times New Roman"/>
        </w:rPr>
        <w:t xml:space="preserve"> was agitated con</w:t>
      </w:r>
      <w:r>
        <w:rPr>
          <w:rFonts w:ascii="Times New Roman" w:hAnsi="Times New Roman"/>
          <w:highlight w:val="yellow"/>
        </w:rPr>
        <w:t>tinuou</w:t>
      </w:r>
      <w:r>
        <w:rPr>
          <w:rFonts w:ascii="Times New Roman" w:hAnsi="Times New Roman"/>
        </w:rPr>
        <w:t>sly for 2</w:t>
      </w:r>
      <w:r>
        <w:rPr>
          <w:rFonts w:ascii="Times New Roman" w:hAnsi="Times New Roman"/>
          <w:highlight w:val="yellow"/>
        </w:rPr>
        <w:t xml:space="preserve"> </w:t>
      </w:r>
      <w:r>
        <w:rPr>
          <w:rFonts w:ascii="Times New Roman" w:hAnsi="Times New Roman"/>
        </w:rPr>
        <w:t xml:space="preserve">hours. The mixture was filtered and </w:t>
      </w:r>
      <w:r>
        <w:rPr>
          <w:rFonts w:ascii="Times New Roman" w:hAnsi="Times New Roman"/>
          <w:highlight w:val="yellow"/>
        </w:rPr>
        <w:t xml:space="preserve">subsequently </w:t>
      </w:r>
      <w:r>
        <w:rPr>
          <w:rFonts w:ascii="Times New Roman" w:hAnsi="Times New Roman"/>
        </w:rPr>
        <w:t>centrifuged and the supernatant was collected for analysis. To an aliquot volume of the sample extract and standard solution, the Wade reagent was added. The colo</w:t>
      </w:r>
      <w:r>
        <w:rPr>
          <w:rFonts w:ascii="Times New Roman" w:hAnsi="Times New Roman"/>
          <w:highlight w:val="yellow"/>
        </w:rPr>
        <w:t>u</w:t>
      </w:r>
      <w:r>
        <w:rPr>
          <w:rFonts w:ascii="Times New Roman" w:hAnsi="Times New Roman"/>
        </w:rPr>
        <w:t>r was allowed to develop for about 15</w:t>
      </w:r>
      <w:r>
        <w:rPr>
          <w:rFonts w:ascii="Times New Roman" w:hAnsi="Times New Roman"/>
          <w:highlight w:val="yellow"/>
        </w:rPr>
        <w:t xml:space="preserve"> </w:t>
      </w:r>
      <w:r>
        <w:rPr>
          <w:rFonts w:ascii="Times New Roman" w:hAnsi="Times New Roman"/>
        </w:rPr>
        <w:t>min. The absorbance was measured for each solution at 500</w:t>
      </w:r>
      <w:r>
        <w:rPr>
          <w:rFonts w:ascii="Times New Roman" w:hAnsi="Times New Roman"/>
          <w:highlight w:val="yellow"/>
        </w:rPr>
        <w:t xml:space="preserve"> </w:t>
      </w:r>
      <w:r>
        <w:rPr>
          <w:rFonts w:ascii="Times New Roman" w:hAnsi="Times New Roman"/>
        </w:rPr>
        <w:t>nm using a UV-Vis spectrophotometer. A standard curve was constructed by plotting the absorbance of the standard solutions against their concentrations. The phytate concentration was determined in the sample by interpolating its absorbance value on the standard curve.</w:t>
      </w:r>
    </w:p>
    <w:p w14:paraId="351EBAA0" w14:textId="77777777" w:rsidR="0040444D" w:rsidRPr="00EF132F" w:rsidRDefault="0040444D" w:rsidP="0040444D">
      <w:pPr>
        <w:spacing w:line="480" w:lineRule="auto"/>
        <w:contextualSpacing/>
        <w:jc w:val="both"/>
        <w:rPr>
          <w:rFonts w:ascii="Times New Roman" w:hAnsi="Times New Roman" w:cstheme="minorBidi"/>
          <w:bCs/>
        </w:rPr>
      </w:pPr>
      <w:r w:rsidRPr="00EF132F">
        <w:rPr>
          <w:rFonts w:ascii="Times New Roman" w:hAnsi="Times New Roman"/>
          <w:bCs/>
        </w:rPr>
        <w:t xml:space="preserve">Determination of Oxalate </w:t>
      </w:r>
      <w:r w:rsidRPr="00EF132F">
        <w:rPr>
          <w:rFonts w:ascii="Times New Roman" w:hAnsi="Times New Roman"/>
          <w:color w:val="1B1B1B"/>
          <w:shd w:val="clear" w:color="auto" w:fill="FFFFFF"/>
        </w:rPr>
        <w:t>(</w:t>
      </w:r>
      <w:proofErr w:type="spellStart"/>
      <w:r w:rsidRPr="00EF132F">
        <w:rPr>
          <w:rFonts w:ascii="Times New Roman" w:hAnsi="Times New Roman"/>
          <w:color w:val="1B1B1B"/>
          <w:shd w:val="clear" w:color="auto" w:fill="FFFFFF"/>
        </w:rPr>
        <w:t>Agbaire</w:t>
      </w:r>
      <w:proofErr w:type="spellEnd"/>
      <w:r w:rsidRPr="00EF132F">
        <w:rPr>
          <w:rFonts w:ascii="Times New Roman" w:hAnsi="Times New Roman"/>
          <w:color w:val="1B1B1B"/>
          <w:shd w:val="clear" w:color="auto" w:fill="FFFFFF"/>
        </w:rPr>
        <w:t>, 2011)</w:t>
      </w:r>
    </w:p>
    <w:p w14:paraId="76EA5BFF" w14:textId="77777777" w:rsidR="0040444D" w:rsidRDefault="0040444D" w:rsidP="0040444D">
      <w:pPr>
        <w:spacing w:line="480" w:lineRule="auto"/>
        <w:contextualSpacing/>
        <w:jc w:val="both"/>
        <w:rPr>
          <w:rFonts w:ascii="Times New Roman" w:hAnsi="Times New Roman"/>
          <w:b/>
        </w:rPr>
      </w:pPr>
      <w:r>
        <w:rPr>
          <w:rFonts w:ascii="Times New Roman" w:hAnsi="Times New Roman"/>
          <w:highlight w:val="yellow"/>
        </w:rPr>
        <w:t>Q</w:t>
      </w:r>
      <w:r>
        <w:rPr>
          <w:rFonts w:ascii="Times New Roman" w:hAnsi="Times New Roman"/>
        </w:rPr>
        <w:t>uantitative determination</w:t>
      </w:r>
      <w:r>
        <w:rPr>
          <w:rFonts w:ascii="Times New Roman" w:hAnsi="Times New Roman"/>
          <w:highlight w:val="yellow"/>
        </w:rPr>
        <w:t xml:space="preserve"> of oxalate</w:t>
      </w:r>
      <w:r>
        <w:rPr>
          <w:rFonts w:ascii="Times New Roman" w:hAnsi="Times New Roman"/>
        </w:rPr>
        <w:t xml:space="preserve"> was carried out by dissolving exactly 20</w:t>
      </w:r>
      <w:r>
        <w:rPr>
          <w:rFonts w:ascii="Times New Roman" w:hAnsi="Times New Roman"/>
          <w:highlight w:val="yellow"/>
        </w:rPr>
        <w:t xml:space="preserve"> </w:t>
      </w:r>
      <w:r>
        <w:rPr>
          <w:rFonts w:ascii="Times New Roman" w:hAnsi="Times New Roman"/>
        </w:rPr>
        <w:t>cm3 of 0.3 M HCl in each of the processed samples (1</w:t>
      </w:r>
      <w:r>
        <w:rPr>
          <w:rFonts w:ascii="Times New Roman" w:hAnsi="Times New Roman"/>
          <w:highlight w:val="yellow"/>
        </w:rPr>
        <w:t xml:space="preserve"> </w:t>
      </w:r>
      <w:r>
        <w:rPr>
          <w:rFonts w:ascii="Times New Roman" w:hAnsi="Times New Roman"/>
        </w:rPr>
        <w:t>g) and was extracted 3 times by warming at a temperature of 50</w:t>
      </w:r>
      <w:r>
        <w:rPr>
          <w:rFonts w:ascii="Cambria Math" w:hAnsi="Cambria Math" w:cs="Cambria Math"/>
          <w:vertAlign w:val="superscript"/>
        </w:rPr>
        <w:t>°</w:t>
      </w:r>
      <w:r>
        <w:rPr>
          <w:rFonts w:ascii="Times New Roman" w:hAnsi="Times New Roman"/>
        </w:rPr>
        <w:t>C for 1</w:t>
      </w:r>
      <w:r>
        <w:rPr>
          <w:rFonts w:ascii="Times New Roman" w:hAnsi="Times New Roman"/>
          <w:highlight w:val="yellow"/>
        </w:rPr>
        <w:t xml:space="preserve"> </w:t>
      </w:r>
      <w:r>
        <w:rPr>
          <w:rFonts w:ascii="Times New Roman" w:hAnsi="Times New Roman"/>
        </w:rPr>
        <w:t>hour with constant stirring using a magnetic stirrer. For oxalate estimation, 1</w:t>
      </w:r>
      <w:r>
        <w:rPr>
          <w:rFonts w:ascii="Times New Roman" w:hAnsi="Times New Roman"/>
          <w:highlight w:val="yellow"/>
        </w:rPr>
        <w:t xml:space="preserve"> </w:t>
      </w:r>
      <w:r>
        <w:rPr>
          <w:rFonts w:ascii="Times New Roman" w:hAnsi="Times New Roman"/>
        </w:rPr>
        <w:t>cm3 of 5M ammonium hydroxide was added to 5</w:t>
      </w:r>
      <w:r>
        <w:rPr>
          <w:rFonts w:ascii="Times New Roman" w:hAnsi="Times New Roman"/>
          <w:highlight w:val="yellow"/>
        </w:rPr>
        <w:t xml:space="preserve"> </w:t>
      </w:r>
      <w:r>
        <w:rPr>
          <w:rFonts w:ascii="Times New Roman" w:hAnsi="Times New Roman"/>
        </w:rPr>
        <w:t>cm3 of the extract to ensure alkalinity. Addition of 2 drops of phenolphthalein indicator, 3 drops of glacial acetic acid, and 1</w:t>
      </w:r>
      <w:r>
        <w:rPr>
          <w:rFonts w:ascii="Times New Roman" w:hAnsi="Times New Roman"/>
          <w:highlight w:val="yellow"/>
        </w:rPr>
        <w:t xml:space="preserve"> </w:t>
      </w:r>
      <w:r>
        <w:rPr>
          <w:rFonts w:ascii="Times New Roman" w:hAnsi="Times New Roman"/>
        </w:rPr>
        <w:t>cm3 of 5% calcium chloride to make the mixture acidic before standing for 3</w:t>
      </w:r>
      <w:r>
        <w:rPr>
          <w:rFonts w:ascii="Times New Roman" w:hAnsi="Times New Roman"/>
          <w:highlight w:val="yellow"/>
        </w:rPr>
        <w:t xml:space="preserve"> </w:t>
      </w:r>
      <w:r>
        <w:rPr>
          <w:rFonts w:ascii="Times New Roman" w:hAnsi="Times New Roman"/>
        </w:rPr>
        <w:t>hours was followed by centrifugation at 3000</w:t>
      </w:r>
      <w:r>
        <w:rPr>
          <w:rFonts w:ascii="Times New Roman" w:hAnsi="Times New Roman"/>
          <w:highlight w:val="yellow"/>
        </w:rPr>
        <w:t xml:space="preserve"> </w:t>
      </w:r>
      <w:r>
        <w:rPr>
          <w:rFonts w:ascii="Times New Roman" w:hAnsi="Times New Roman"/>
        </w:rPr>
        <w:t>rpm for 15 min. After discarding the supernatant, the precipitate was washed three times using hot water</w:t>
      </w:r>
      <w:r>
        <w:rPr>
          <w:rFonts w:ascii="Times New Roman" w:hAnsi="Times New Roman"/>
          <w:highlight w:val="yellow"/>
        </w:rPr>
        <w:t>,</w:t>
      </w:r>
      <w:r>
        <w:rPr>
          <w:rFonts w:ascii="Times New Roman" w:hAnsi="Times New Roman"/>
        </w:rPr>
        <w:t xml:space="preserve"> </w:t>
      </w:r>
      <w:r>
        <w:rPr>
          <w:rFonts w:ascii="Times New Roman" w:hAnsi="Times New Roman"/>
          <w:highlight w:val="yellow"/>
        </w:rPr>
        <w:t>with thorough</w:t>
      </w:r>
      <w:r>
        <w:rPr>
          <w:rFonts w:ascii="Times New Roman" w:hAnsi="Times New Roman"/>
        </w:rPr>
        <w:t xml:space="preserve"> mixing after</w:t>
      </w:r>
      <w:r>
        <w:rPr>
          <w:rFonts w:ascii="Times New Roman" w:hAnsi="Times New Roman"/>
          <w:highlight w:val="yellow"/>
        </w:rPr>
        <w:t xml:space="preserve"> each</w:t>
      </w:r>
      <w:r>
        <w:rPr>
          <w:rFonts w:ascii="Times New Roman" w:hAnsi="Times New Roman"/>
        </w:rPr>
        <w:t xml:space="preserve"> centrifugation. Then, to each test tube, 2</w:t>
      </w:r>
      <w:r>
        <w:rPr>
          <w:rFonts w:ascii="Times New Roman" w:hAnsi="Times New Roman"/>
          <w:highlight w:val="yellow"/>
        </w:rPr>
        <w:t xml:space="preserve"> </w:t>
      </w:r>
      <w:r>
        <w:rPr>
          <w:rFonts w:ascii="Times New Roman" w:hAnsi="Times New Roman"/>
        </w:rPr>
        <w:t>cm3 of 3M tetraoxosulphate (VI) acid was added and the precipitate was dissolved by warming in a water bath at 70</w:t>
      </w:r>
      <w:r>
        <w:rPr>
          <w:rFonts w:ascii="Cambria Math" w:hAnsi="Cambria Math" w:cs="Cambria Math"/>
          <w:vertAlign w:val="superscript"/>
        </w:rPr>
        <w:t>°</w:t>
      </w:r>
      <w:r>
        <w:rPr>
          <w:rFonts w:ascii="Times New Roman" w:hAnsi="Times New Roman"/>
        </w:rPr>
        <w:t>C. Freshly prepared 0.01M potassium permanganate (KMnO4) was titrated against the contents of each tube at room temperature until the first pink colo</w:t>
      </w:r>
      <w:r>
        <w:rPr>
          <w:rFonts w:ascii="Times New Roman" w:hAnsi="Times New Roman"/>
          <w:highlight w:val="yellow"/>
        </w:rPr>
        <w:t>u</w:t>
      </w:r>
      <w:r>
        <w:rPr>
          <w:rFonts w:ascii="Times New Roman" w:hAnsi="Times New Roman"/>
        </w:rPr>
        <w:t>r appeared throughout the solution. The solution was allowed to stand until it returned to colo</w:t>
      </w:r>
      <w:r>
        <w:rPr>
          <w:rFonts w:ascii="Times New Roman" w:hAnsi="Times New Roman"/>
          <w:highlight w:val="yellow"/>
        </w:rPr>
        <w:t>u</w:t>
      </w:r>
      <w:r>
        <w:rPr>
          <w:rFonts w:ascii="Times New Roman" w:hAnsi="Times New Roman"/>
        </w:rPr>
        <w:t>rless, after which it was warmed on an electric hot plate at 70</w:t>
      </w:r>
      <w:r>
        <w:rPr>
          <w:rFonts w:ascii="Cambria Math" w:hAnsi="Cambria Math" w:cs="Cambria Math"/>
          <w:vertAlign w:val="superscript"/>
        </w:rPr>
        <w:t>°</w:t>
      </w:r>
      <w:r>
        <w:rPr>
          <w:rFonts w:ascii="Times New Roman" w:hAnsi="Times New Roman"/>
        </w:rPr>
        <w:t>C for 3 min and re-titrated until a pink colo</w:t>
      </w:r>
      <w:r>
        <w:rPr>
          <w:rFonts w:ascii="Times New Roman" w:hAnsi="Times New Roman"/>
          <w:highlight w:val="yellow"/>
        </w:rPr>
        <w:t>u</w:t>
      </w:r>
      <w:r>
        <w:rPr>
          <w:rFonts w:ascii="Times New Roman" w:hAnsi="Times New Roman"/>
        </w:rPr>
        <w:t>r appear</w:t>
      </w:r>
      <w:r>
        <w:rPr>
          <w:rFonts w:ascii="Times New Roman" w:hAnsi="Times New Roman"/>
          <w:highlight w:val="yellow"/>
        </w:rPr>
        <w:t>ed</w:t>
      </w:r>
      <w:r>
        <w:rPr>
          <w:rFonts w:ascii="Times New Roman" w:hAnsi="Times New Roman"/>
        </w:rPr>
        <w:t xml:space="preserve"> and persisted for at least 30</w:t>
      </w:r>
      <w:r>
        <w:rPr>
          <w:rFonts w:ascii="Times New Roman" w:hAnsi="Times New Roman"/>
          <w:highlight w:val="yellow"/>
        </w:rPr>
        <w:t xml:space="preserve"> </w:t>
      </w:r>
      <w:r>
        <w:rPr>
          <w:rFonts w:ascii="Times New Roman" w:hAnsi="Times New Roman"/>
        </w:rPr>
        <w:t>s. The titration reaction of oxalate in the sample was calculated as</w:t>
      </w:r>
      <w:r>
        <w:rPr>
          <w:rFonts w:ascii="Times New Roman" w:hAnsi="Times New Roman"/>
          <w:highlight w:val="yellow"/>
        </w:rPr>
        <w:t>:</w:t>
      </w:r>
    </w:p>
    <w:p w14:paraId="17D8379B" w14:textId="77777777" w:rsidR="0040444D" w:rsidRPr="00EF132F" w:rsidRDefault="0040444D" w:rsidP="0040444D">
      <w:pPr>
        <w:spacing w:line="480" w:lineRule="auto"/>
        <w:jc w:val="center"/>
        <w:rPr>
          <w:rFonts w:ascii="Times New Roman" w:hAnsi="Times New Roman"/>
          <w:bCs/>
        </w:rPr>
      </w:pPr>
      <w:r w:rsidRPr="00EF132F">
        <w:rPr>
          <w:rFonts w:ascii="Times New Roman" w:hAnsi="Times New Roman"/>
          <w:bCs/>
        </w:rPr>
        <w:t xml:space="preserve">% oxalate composition g/100 g </w:t>
      </w:r>
      <w:r w:rsidRPr="00EF132F">
        <w:rPr>
          <w:rFonts w:ascii="Times New Roman" w:hAnsi="Times New Roman"/>
          <w:bCs/>
          <w:i/>
        </w:rPr>
        <w:t xml:space="preserve">= </w:t>
      </w:r>
      <m:oMath>
        <m:f>
          <m:fPr>
            <m:ctrlPr>
              <w:rPr>
                <w:rFonts w:ascii="Cambria Math" w:hAnsi="Cambria Math"/>
                <w:bCs/>
                <w:kern w:val="2"/>
                <w:sz w:val="24"/>
                <w:szCs w:val="24"/>
                <w14:ligatures w14:val="standardContextual"/>
              </w:rPr>
            </m:ctrlPr>
          </m:fPr>
          <m:num>
            <m:r>
              <m:rPr>
                <m:sty m:val="p"/>
              </m:rPr>
              <w:rPr>
                <w:rFonts w:ascii="Cambria Math" w:hAnsi="Cambria Math"/>
              </w:rPr>
              <m:t>W</m:t>
            </m:r>
          </m:num>
          <m:den>
            <m:r>
              <m:rPr>
                <m:sty m:val="p"/>
              </m:rPr>
              <w:rPr>
                <w:rFonts w:ascii="Cambria Math" w:hAnsi="Cambria Math"/>
              </w:rPr>
              <m:t>2.5</m:t>
            </m:r>
          </m:den>
        </m:f>
        <m:r>
          <m:rPr>
            <m:sty m:val="p"/>
          </m:rPr>
          <w:rPr>
            <w:rFonts w:ascii="Cambria Math" w:hAnsi="Cambria Math"/>
          </w:rPr>
          <m:t xml:space="preserve"> X   </m:t>
        </m:r>
        <m:f>
          <m:fPr>
            <m:ctrlPr>
              <w:rPr>
                <w:rFonts w:ascii="Cambria Math" w:hAnsi="Cambria Math"/>
                <w:bCs/>
                <w:kern w:val="2"/>
                <w:sz w:val="24"/>
                <w:szCs w:val="24"/>
                <w14:ligatures w14:val="standardContextual"/>
              </w:rPr>
            </m:ctrlPr>
          </m:fPr>
          <m:num>
            <m:r>
              <m:rPr>
                <m:sty m:val="p"/>
              </m:rPr>
              <w:rPr>
                <w:rFonts w:ascii="Cambria Math" w:hAnsi="Cambria Math"/>
              </w:rPr>
              <m:t>100</m:t>
            </m:r>
          </m:num>
          <m:den>
            <m:r>
              <m:rPr>
                <m:sty m:val="p"/>
              </m:rPr>
              <w:rPr>
                <w:rFonts w:ascii="Cambria Math" w:hAnsi="Cambria Math"/>
              </w:rPr>
              <m:t>1</m:t>
            </m:r>
          </m:den>
        </m:f>
      </m:oMath>
    </w:p>
    <w:p w14:paraId="5CD9F36C" w14:textId="77777777" w:rsidR="0040444D" w:rsidRPr="00EF132F" w:rsidRDefault="0040444D" w:rsidP="0040444D">
      <w:pPr>
        <w:jc w:val="both"/>
        <w:rPr>
          <w:rFonts w:ascii="Times New Roman" w:hAnsi="Times New Roman"/>
          <w:bCs/>
          <w:kern w:val="36"/>
        </w:rPr>
      </w:pPr>
      <w:r w:rsidRPr="00EF132F">
        <w:rPr>
          <w:rFonts w:ascii="Times New Roman" w:hAnsi="Times New Roman"/>
        </w:rPr>
        <w:t xml:space="preserve">Determination of </w:t>
      </w:r>
      <w:r>
        <w:rPr>
          <w:rFonts w:ascii="Times New Roman" w:hAnsi="Times New Roman"/>
          <w:highlight w:val="yellow"/>
        </w:rPr>
        <w:t>In Vitro</w:t>
      </w:r>
      <w:r>
        <w:rPr>
          <w:rFonts w:ascii="Times New Roman" w:hAnsi="Times New Roman"/>
        </w:rPr>
        <w:t>Protein Digestibility by Sequential Pepsin-Pancreatin</w:t>
      </w:r>
      <w:r w:rsidRPr="00EF132F">
        <w:rPr>
          <w:rFonts w:ascii="Times New Roman" w:hAnsi="Times New Roman"/>
        </w:rPr>
        <w:tab/>
        <w:t>Digestion</w:t>
      </w:r>
      <w:r w:rsidRPr="00EF132F">
        <w:rPr>
          <w:rFonts w:ascii="Times New Roman" w:hAnsi="Times New Roman"/>
          <w:bCs/>
          <w:kern w:val="36"/>
        </w:rPr>
        <w:t xml:space="preserve"> </w:t>
      </w:r>
      <w:r w:rsidRPr="00EF132F">
        <w:rPr>
          <w:rFonts w:ascii="Times New Roman" w:hAnsi="Times New Roman"/>
        </w:rPr>
        <w:t xml:space="preserve">(Song </w:t>
      </w:r>
      <w:r w:rsidRPr="00EF132F">
        <w:rPr>
          <w:rFonts w:ascii="Times New Roman" w:hAnsi="Times New Roman"/>
          <w:i/>
        </w:rPr>
        <w:t>et al.,</w:t>
      </w:r>
      <w:r w:rsidRPr="00EF132F">
        <w:rPr>
          <w:rFonts w:ascii="Times New Roman" w:hAnsi="Times New Roman"/>
        </w:rPr>
        <w:t xml:space="preserve"> 2024)</w:t>
      </w:r>
    </w:p>
    <w:p w14:paraId="305C6654" w14:textId="77777777" w:rsidR="0040444D" w:rsidRDefault="0040444D" w:rsidP="0040444D">
      <w:pPr>
        <w:pStyle w:val="NormalWeb"/>
        <w:spacing w:before="0" w:beforeAutospacing="0" w:after="0" w:afterAutospacing="0" w:line="480" w:lineRule="auto"/>
        <w:jc w:val="both"/>
      </w:pPr>
      <w:r>
        <w:t>In</w:t>
      </w:r>
      <w:r>
        <w:rPr>
          <w:highlight w:val="yellow"/>
        </w:rPr>
        <w:t xml:space="preserve"> </w:t>
      </w:r>
      <w:r>
        <w:t xml:space="preserve">vitro protein digestibility (IVPD) of </w:t>
      </w:r>
      <w:r>
        <w:rPr>
          <w:rStyle w:val="Emphasis"/>
          <w:rFonts w:eastAsiaTheme="majorEastAsia"/>
          <w:highlight w:val="yellow"/>
        </w:rPr>
        <w:t>Eichhornia crassipes</w:t>
      </w:r>
      <w:r>
        <w:t xml:space="preserve"> samples was determined using a two-stage sequential enzymatic digestion procedure involving simulated gastric digestion with pepsin followed by simulated intestinal </w:t>
      </w:r>
      <w:r>
        <w:lastRenderedPageBreak/>
        <w:t>digestion with pancreatin. The procedure was carried out at 37°C to simulate physiological gastrointestinal conditions.  The in</w:t>
      </w:r>
      <w:r>
        <w:rPr>
          <w:highlight w:val="yellow"/>
        </w:rPr>
        <w:t xml:space="preserve"> </w:t>
      </w:r>
      <w:r>
        <w:t>vitro protein digestibility method is based on the sequential enzymatic hydrolysis of proteins under simulated gastrointestinal conditions. The sample is first subjected to digestion with pepsin under acidic conditions to simulate gastric protein digestion. Following adjustment of the pH to conditions suitable for pancreatic enzymes, the digest is subsequently treated with pancreatin to simulate intestinal digestion. At the completion of the sequential digestion process, the undigested residue is recovered and its residual nitrogen or protein content is determined. The difference between the initial nitrogen or protein content of the sample and the residual nitrogen or protein remaining after digestion is used to estimate the proportion of protein that was hydrolysed and is expressed as in</w:t>
      </w:r>
      <w:r>
        <w:rPr>
          <w:highlight w:val="yellow"/>
        </w:rPr>
        <w:t xml:space="preserve"> </w:t>
      </w:r>
      <w:r>
        <w:t>vitro protein digestibility (IVPD).</w:t>
      </w:r>
    </w:p>
    <w:p w14:paraId="63CE742A" w14:textId="77777777" w:rsidR="0040444D" w:rsidRPr="00EF132F" w:rsidRDefault="0040444D" w:rsidP="0040444D">
      <w:pPr>
        <w:pStyle w:val="NormalWeb"/>
        <w:spacing w:before="0" w:beforeAutospacing="0"/>
        <w:jc w:val="both"/>
      </w:pPr>
      <w:r w:rsidRPr="00EF132F">
        <w:t>Stage I: Gastric Digestion with Pepsin</w:t>
      </w:r>
    </w:p>
    <w:p w14:paraId="024B4C53" w14:textId="77777777" w:rsidR="0040444D" w:rsidRDefault="0040444D" w:rsidP="0040444D">
      <w:pPr>
        <w:pStyle w:val="NormalWeb"/>
        <w:spacing w:before="240" w:beforeAutospacing="0" w:after="0" w:afterAutospacing="0" w:line="480" w:lineRule="auto"/>
        <w:jc w:val="both"/>
      </w:pPr>
      <w:r>
        <w:rPr>
          <w:rStyle w:val="Strong"/>
          <w:rFonts w:eastAsiaTheme="majorEastAsia"/>
          <w:b w:val="0"/>
        </w:rPr>
        <w:t>0.5</w:t>
      </w:r>
      <w:r>
        <w:rPr>
          <w:rStyle w:val="Strong"/>
          <w:rFonts w:eastAsiaTheme="majorEastAsia"/>
          <w:b w:val="0"/>
          <w:highlight w:val="yellow"/>
        </w:rPr>
        <w:t xml:space="preserve"> </w:t>
      </w:r>
      <w:r>
        <w:rPr>
          <w:rStyle w:val="Strong"/>
          <w:rFonts w:eastAsiaTheme="majorEastAsia"/>
          <w:b w:val="0"/>
        </w:rPr>
        <w:t>g</w:t>
      </w:r>
      <w:r>
        <w:rPr>
          <w:rStyle w:val="Strong"/>
          <w:rFonts w:eastAsiaTheme="majorEastAsia"/>
        </w:rPr>
        <w:t xml:space="preserve"> </w:t>
      </w:r>
      <w:r>
        <w:t xml:space="preserve">of each processed water hyacinth sample was accurately weighed into labelled digestion tubes. </w:t>
      </w:r>
      <w:r>
        <w:rPr>
          <w:rStyle w:val="Strong"/>
          <w:rFonts w:eastAsiaTheme="majorEastAsia"/>
          <w:b w:val="0"/>
        </w:rPr>
        <w:t>10</w:t>
      </w:r>
      <w:r>
        <w:rPr>
          <w:rStyle w:val="Strong"/>
          <w:rFonts w:eastAsiaTheme="majorEastAsia"/>
          <w:b w:val="0"/>
          <w:highlight w:val="yellow"/>
        </w:rPr>
        <w:t xml:space="preserve"> </w:t>
      </w:r>
      <w:r>
        <w:rPr>
          <w:rStyle w:val="Strong"/>
          <w:rFonts w:eastAsiaTheme="majorEastAsia"/>
          <w:b w:val="0"/>
        </w:rPr>
        <w:t>m</w:t>
      </w:r>
      <w:r>
        <w:rPr>
          <w:rStyle w:val="Strong"/>
          <w:rFonts w:eastAsiaTheme="majorEastAsia"/>
          <w:b w:val="0"/>
          <w:highlight w:val="yellow"/>
        </w:rPr>
        <w:t>L</w:t>
      </w:r>
      <w:r>
        <w:rPr>
          <w:rStyle w:val="Strong"/>
          <w:rFonts w:eastAsiaTheme="majorEastAsia"/>
          <w:b w:val="0"/>
        </w:rPr>
        <w:t xml:space="preserve"> of 0.1</w:t>
      </w:r>
      <w:r>
        <w:rPr>
          <w:rStyle w:val="Strong"/>
          <w:rFonts w:eastAsiaTheme="majorEastAsia"/>
          <w:b w:val="0"/>
          <w:highlight w:val="yellow"/>
        </w:rPr>
        <w:t xml:space="preserve"> </w:t>
      </w:r>
      <w:r>
        <w:rPr>
          <w:rStyle w:val="Strong"/>
          <w:rFonts w:eastAsiaTheme="majorEastAsia"/>
          <w:b w:val="0"/>
        </w:rPr>
        <w:t>M hydrochloric acid (HCl)</w:t>
      </w:r>
      <w:r>
        <w:t xml:space="preserve"> was added to each tube, and the contents were mixed thoroughly. The pH of the suspension was adjusted to approximately </w:t>
      </w:r>
      <w:r>
        <w:rPr>
          <w:rStyle w:val="Strong"/>
          <w:rFonts w:eastAsiaTheme="majorEastAsia"/>
          <w:b w:val="0"/>
        </w:rPr>
        <w:t>2.0</w:t>
      </w:r>
      <w:r>
        <w:t xml:space="preserve"> using sodium hydroxide solution.</w:t>
      </w:r>
      <w:r>
        <w:rPr>
          <w:b/>
        </w:rPr>
        <w:t xml:space="preserve"> </w:t>
      </w:r>
      <w:r>
        <w:t xml:space="preserve">A freshly prepared pepsin solution was then added to each sample at the required enzyme-to-substrate ratio. The tubes were tightly covered and incubated at </w:t>
      </w:r>
      <w:r>
        <w:rPr>
          <w:rStyle w:val="Strong"/>
          <w:rFonts w:eastAsiaTheme="majorEastAsia"/>
          <w:b w:val="0"/>
        </w:rPr>
        <w:t>37°C for 2</w:t>
      </w:r>
      <w:r>
        <w:rPr>
          <w:rStyle w:val="Strong"/>
          <w:rFonts w:eastAsiaTheme="majorEastAsia"/>
          <w:b w:val="0"/>
          <w:highlight w:val="yellow"/>
        </w:rPr>
        <w:t xml:space="preserve"> </w:t>
      </w:r>
      <w:r>
        <w:rPr>
          <w:rStyle w:val="Strong"/>
          <w:rFonts w:eastAsiaTheme="majorEastAsia"/>
          <w:b w:val="0"/>
        </w:rPr>
        <w:t>hours</w:t>
      </w:r>
      <w:r>
        <w:rPr>
          <w:b/>
        </w:rPr>
        <w:t xml:space="preserve"> </w:t>
      </w:r>
      <w:r>
        <w:t xml:space="preserve">in a water bath with gentle agitation to ensure adequate contact between the enzyme and the sample. At the end of the incubation period, the samples were removed and immediately prepared for the intestinal digestion stage. </w:t>
      </w:r>
      <w:r>
        <w:rPr>
          <w:highlight w:val="yellow"/>
        </w:rPr>
        <w:t>P</w:t>
      </w:r>
      <w:r>
        <w:t>epsin activity w</w:t>
      </w:r>
      <w:r>
        <w:rPr>
          <w:highlight w:val="yellow"/>
        </w:rPr>
        <w:t>as</w:t>
      </w:r>
      <w:r>
        <w:t xml:space="preserve"> subsequently stopped by raising the pH using sodium hydroxide as a neutralizing solution.</w:t>
      </w:r>
    </w:p>
    <w:p w14:paraId="1DBBB032" w14:textId="77777777" w:rsidR="0040444D" w:rsidRPr="002B75CF" w:rsidRDefault="0040444D" w:rsidP="0040444D">
      <w:pPr>
        <w:pStyle w:val="NormalWeb"/>
        <w:spacing w:before="0" w:beforeAutospacing="0" w:after="0" w:afterAutospacing="0"/>
        <w:jc w:val="both"/>
      </w:pPr>
      <w:r w:rsidRPr="002B75CF">
        <w:t>Stage II: Intestinal Digestion with Pancreatin</w:t>
      </w:r>
    </w:p>
    <w:p w14:paraId="44632FCE" w14:textId="77777777" w:rsidR="0040444D" w:rsidRDefault="0040444D" w:rsidP="0040444D">
      <w:pPr>
        <w:pStyle w:val="isselectedend"/>
        <w:spacing w:before="240" w:beforeAutospacing="0" w:after="240" w:afterAutospacing="0" w:line="480" w:lineRule="auto"/>
        <w:jc w:val="both"/>
      </w:pPr>
      <w:r>
        <w:t>Following the gastric digestion, the acidic digest was gradually neutrali</w:t>
      </w:r>
      <w:r>
        <w:rPr>
          <w:highlight w:val="yellow"/>
        </w:rPr>
        <w:t>s</w:t>
      </w:r>
      <w:r>
        <w:t xml:space="preserve">ed using </w:t>
      </w:r>
      <w:r>
        <w:rPr>
          <w:rStyle w:val="Strong"/>
          <w:rFonts w:eastAsiaTheme="majorEastAsia"/>
          <w:b w:val="0"/>
        </w:rPr>
        <w:t>sodium hydroxide (NaOH) solution</w:t>
      </w:r>
      <w:r>
        <w:t xml:space="preserve"> until a pH of approximately </w:t>
      </w:r>
      <w:r>
        <w:rPr>
          <w:rStyle w:val="Strong"/>
          <w:rFonts w:eastAsiaTheme="majorEastAsia"/>
          <w:b w:val="0"/>
        </w:rPr>
        <w:t>7.0-7.5</w:t>
      </w:r>
      <w:r>
        <w:t xml:space="preserve"> was attained. This neutrali</w:t>
      </w:r>
      <w:r>
        <w:rPr>
          <w:highlight w:val="yellow"/>
        </w:rPr>
        <w:t>s</w:t>
      </w:r>
      <w:r>
        <w:t>ation step was necessary to provide a suitable pH for pancreatin activity. Pancreatin solution was subsequently added to each neutrali</w:t>
      </w:r>
      <w:r>
        <w:rPr>
          <w:highlight w:val="yellow"/>
        </w:rPr>
        <w:t>s</w:t>
      </w:r>
      <w:r>
        <w:t xml:space="preserve">ed digest at the required enzyme-to-substrate ratio. The mixtures were incubated at </w:t>
      </w:r>
      <w:r>
        <w:rPr>
          <w:rStyle w:val="Strong"/>
          <w:rFonts w:eastAsiaTheme="majorEastAsia"/>
          <w:b w:val="0"/>
        </w:rPr>
        <w:t>37°C for 4</w:t>
      </w:r>
      <w:r>
        <w:rPr>
          <w:rStyle w:val="Strong"/>
          <w:rFonts w:eastAsiaTheme="majorEastAsia"/>
          <w:b w:val="0"/>
          <w:highlight w:val="yellow"/>
        </w:rPr>
        <w:t xml:space="preserve"> </w:t>
      </w:r>
      <w:r>
        <w:rPr>
          <w:rStyle w:val="Strong"/>
          <w:rFonts w:eastAsiaTheme="majorEastAsia"/>
          <w:b w:val="0"/>
        </w:rPr>
        <w:t>hours</w:t>
      </w:r>
      <w:r>
        <w:t xml:space="preserve"> in a water bath with continuous gentle agitation to simulate intestinal digestion. After the digestion period, enzymatic activity was terminated by heating the digest at </w:t>
      </w:r>
      <w:r>
        <w:rPr>
          <w:rStyle w:val="Strong"/>
          <w:rFonts w:eastAsiaTheme="majorEastAsia"/>
          <w:b w:val="0"/>
        </w:rPr>
        <w:t>95°C for 10</w:t>
      </w:r>
      <w:r>
        <w:rPr>
          <w:rStyle w:val="Strong"/>
          <w:rFonts w:eastAsiaTheme="majorEastAsia"/>
          <w:b w:val="0"/>
          <w:highlight w:val="yellow"/>
        </w:rPr>
        <w:t xml:space="preserve"> </w:t>
      </w:r>
      <w:r>
        <w:rPr>
          <w:rStyle w:val="Strong"/>
          <w:rFonts w:eastAsiaTheme="majorEastAsia"/>
          <w:b w:val="0"/>
        </w:rPr>
        <w:t>min</w:t>
      </w:r>
      <w:r>
        <w:rPr>
          <w:b/>
        </w:rPr>
        <w:t>.</w:t>
      </w:r>
      <w:r>
        <w:t xml:space="preserve"> The digested samples were allowed to cool and were </w:t>
      </w:r>
      <w:r>
        <w:lastRenderedPageBreak/>
        <w:t>centrifuged at an appropriate speed to separate the soluble digested fraction from the undigested residue. The resulting residue was recovered and washed to remove soluble digestion products. The washed residue was subsequently dried to constant weight and analy</w:t>
      </w:r>
      <w:r>
        <w:rPr>
          <w:highlight w:val="yellow"/>
        </w:rPr>
        <w:t>s</w:t>
      </w:r>
      <w:r>
        <w:t>ed for its residual nitrogen content using the same nitrogen determination procedure employed for the samples before digestion.</w:t>
      </w:r>
    </w:p>
    <w:p w14:paraId="2C2DC0D0" w14:textId="77777777" w:rsidR="0040444D" w:rsidRDefault="0040444D" w:rsidP="0040444D">
      <w:pPr>
        <w:pStyle w:val="isselectedend"/>
        <w:spacing w:before="240" w:beforeAutospacing="0" w:after="240" w:afterAutospacing="0" w:line="480" w:lineRule="auto"/>
        <w:jc w:val="both"/>
      </w:pPr>
      <w:r>
        <w:rPr>
          <w:bCs/>
        </w:rPr>
        <w:t>Enzyme Blank</w:t>
      </w:r>
      <w:r>
        <w:rPr>
          <w:b/>
          <w:bCs/>
        </w:rPr>
        <w:t xml:space="preserve">: </w:t>
      </w:r>
      <w:r>
        <w:t xml:space="preserve">An enzyme blank containing the digestive enzymes without water-hyacinth sample was included, which </w:t>
      </w:r>
      <w:r>
        <w:rPr>
          <w:highlight w:val="yellow"/>
        </w:rPr>
        <w:t>wa</w:t>
      </w:r>
      <w:r>
        <w:t>s necessary to correct for nitrogen or protein contributed by the enzyme preparation.</w:t>
      </w:r>
    </w:p>
    <w:p w14:paraId="724AB045" w14:textId="77777777" w:rsidR="0040444D" w:rsidRDefault="0040444D" w:rsidP="0040444D">
      <w:pPr>
        <w:spacing w:before="100" w:beforeAutospacing="1" w:after="100" w:afterAutospacing="1" w:line="480" w:lineRule="auto"/>
        <w:outlineLvl w:val="1"/>
        <w:rPr>
          <w:rFonts w:ascii="Times New Roman" w:hAnsi="Times New Roman"/>
          <w:b/>
          <w:bCs/>
        </w:rPr>
      </w:pPr>
      <w:r>
        <w:rPr>
          <w:rFonts w:ascii="Times New Roman" w:hAnsi="Times New Roman"/>
          <w:bCs/>
        </w:rPr>
        <w:t>Calculation</w:t>
      </w:r>
      <w:r>
        <w:rPr>
          <w:rFonts w:ascii="Times New Roman" w:hAnsi="Times New Roman"/>
          <w:b/>
          <w:bCs/>
        </w:rPr>
        <w:t xml:space="preserve">: </w:t>
      </w:r>
      <w:r>
        <w:rPr>
          <w:rFonts w:ascii="Times New Roman" w:hAnsi="Times New Roman"/>
        </w:rPr>
        <w:t>The general expression is</w:t>
      </w:r>
      <w:r>
        <w:rPr>
          <w:rFonts w:ascii="Times New Roman" w:hAnsi="Times New Roman"/>
          <w:highlight w:val="yellow"/>
        </w:rPr>
        <w:t>:</w:t>
      </w:r>
    </w:p>
    <w:p w14:paraId="36593690" w14:textId="77777777" w:rsidR="0040444D" w:rsidRPr="002B75CF" w:rsidRDefault="0040444D" w:rsidP="0040444D">
      <w:pPr>
        <w:spacing w:line="480" w:lineRule="auto"/>
        <w:ind w:firstLine="720"/>
        <w:jc w:val="center"/>
        <w:rPr>
          <w:rFonts w:ascii="Times New Roman" w:eastAsiaTheme="minorEastAsia" w:hAnsi="Times New Roman"/>
        </w:rPr>
      </w:pPr>
      <w:r w:rsidRPr="002B75CF">
        <w:rPr>
          <w:rFonts w:ascii="Times New Roman" w:hAnsi="Times New Roman"/>
        </w:rPr>
        <w:t xml:space="preserve">PD (%) =  </w:t>
      </w:r>
      <m:oMath>
        <m:f>
          <m:fPr>
            <m:ctrlPr>
              <w:rPr>
                <w:rFonts w:ascii="Cambria Math" w:hAnsi="Cambria Math"/>
                <w:kern w:val="2"/>
                <w:sz w:val="24"/>
                <w:szCs w:val="24"/>
                <w14:ligatures w14:val="standardContextual"/>
              </w:rPr>
            </m:ctrlPr>
          </m:fPr>
          <m:num>
            <m:r>
              <w:rPr>
                <w:rFonts w:ascii="Cambria Math" w:hAnsi="Cambria Math"/>
              </w:rPr>
              <m:t xml:space="preserve">Pi </m:t>
            </m:r>
            <m:r>
              <m:rPr>
                <m:sty m:val="p"/>
              </m:rPr>
              <w:rPr>
                <w:rFonts w:ascii="Cambria Math" w:hAnsi="Cambria Math"/>
              </w:rPr>
              <m:t xml:space="preserve">​- </m:t>
            </m:r>
            <m:r>
              <w:rPr>
                <w:rFonts w:ascii="Cambria Math" w:hAnsi="Cambria Math"/>
              </w:rPr>
              <m:t>Pr</m:t>
            </m:r>
            <m:r>
              <m:rPr>
                <m:sty m:val="p"/>
              </m:rPr>
              <w:rPr>
                <w:rFonts w:ascii="Cambria Math" w:hAnsi="Cambria Math"/>
              </w:rPr>
              <m:t xml:space="preserve">​ </m:t>
            </m:r>
          </m:num>
          <m:den>
            <m:r>
              <w:rPr>
                <w:rFonts w:ascii="Cambria Math" w:hAnsi="Cambria Math"/>
              </w:rPr>
              <m:t>Pi</m:t>
            </m:r>
          </m:den>
        </m:f>
        <m:r>
          <w:rPr>
            <w:rFonts w:ascii="Cambria Math" w:hAnsi="Cambria Math"/>
          </w:rPr>
          <m:t xml:space="preserve"> </m:t>
        </m:r>
        <m:r>
          <m:rPr>
            <m:sty m:val="p"/>
          </m:rPr>
          <w:rPr>
            <w:rFonts w:ascii="Cambria Math" w:hAnsi="Cambria Math"/>
          </w:rPr>
          <m:t>X 10</m:t>
        </m:r>
        <m:r>
          <w:rPr>
            <w:rFonts w:ascii="Cambria Math" w:hAnsi="Cambria Math"/>
          </w:rPr>
          <m:t>0</m:t>
        </m:r>
      </m:oMath>
    </w:p>
    <w:p w14:paraId="178EF095" w14:textId="77777777" w:rsidR="0040444D" w:rsidRDefault="0040444D" w:rsidP="0040444D">
      <w:pPr>
        <w:spacing w:before="100" w:beforeAutospacing="1" w:after="100" w:afterAutospacing="1" w:line="480" w:lineRule="auto"/>
        <w:rPr>
          <w:rFonts w:ascii="Times New Roman" w:hAnsi="Times New Roman"/>
        </w:rPr>
      </w:pPr>
      <w:r>
        <w:rPr>
          <w:rFonts w:ascii="Times New Roman" w:hAnsi="Times New Roman"/>
          <w:highlight w:val="yellow"/>
        </w:rPr>
        <w:t>w</w:t>
      </w:r>
      <w:r>
        <w:rPr>
          <w:rFonts w:ascii="Times New Roman" w:hAnsi="Times New Roman"/>
        </w:rPr>
        <w:t>here PD = protein digestibility, Pi​ = initial sample protein, Pr​ = corrected residual protein after digestion. The residual protein was corrected using blank values.</w:t>
      </w:r>
    </w:p>
    <w:p w14:paraId="61B0356E" w14:textId="77777777" w:rsidR="0040444D" w:rsidRDefault="0040444D" w:rsidP="0040444D">
      <w:pPr>
        <w:spacing w:before="100" w:beforeAutospacing="1" w:after="100" w:afterAutospacing="1" w:line="480" w:lineRule="auto"/>
        <w:outlineLvl w:val="1"/>
        <w:rPr>
          <w:rFonts w:ascii="Times New Roman" w:hAnsi="Times New Roman"/>
        </w:rPr>
      </w:pPr>
      <w:r w:rsidRPr="002B75CF">
        <w:rPr>
          <w:rFonts w:ascii="Times New Roman" w:hAnsi="Times New Roman"/>
          <w:bCs/>
        </w:rPr>
        <w:t>Gastric Digestibility</w:t>
      </w:r>
      <w:r>
        <w:rPr>
          <w:rFonts w:ascii="Times New Roman" w:hAnsi="Times New Roman"/>
          <w:b/>
          <w:bCs/>
        </w:rPr>
        <w:t xml:space="preserve">: </w:t>
      </w:r>
      <w:r>
        <w:rPr>
          <w:rFonts w:ascii="Times New Roman" w:hAnsi="Times New Roman"/>
        </w:rPr>
        <w:t>Gastric digestibility was calculated after the pepsin phase.</w:t>
      </w:r>
    </w:p>
    <w:p w14:paraId="3FFEAABB" w14:textId="77777777" w:rsidR="0040444D" w:rsidRPr="002B75CF" w:rsidRDefault="0040444D" w:rsidP="0040444D">
      <w:pPr>
        <w:spacing w:line="480" w:lineRule="auto"/>
        <w:ind w:firstLine="720"/>
        <w:jc w:val="center"/>
        <w:rPr>
          <w:rFonts w:ascii="Times New Roman" w:eastAsiaTheme="minorEastAsia" w:hAnsi="Times New Roman"/>
        </w:rPr>
      </w:pPr>
      <w:r w:rsidRPr="002B75CF">
        <w:rPr>
          <w:rFonts w:ascii="Times New Roman" w:hAnsi="Times New Roman"/>
        </w:rPr>
        <w:t xml:space="preserve">GD (%) =  </w:t>
      </w:r>
      <m:oMath>
        <m:f>
          <m:fPr>
            <m:ctrlPr>
              <w:rPr>
                <w:rFonts w:ascii="Cambria Math" w:hAnsi="Cambria Math"/>
                <w:kern w:val="2"/>
                <w:sz w:val="24"/>
                <w:szCs w:val="24"/>
                <w14:ligatures w14:val="standardContextual"/>
              </w:rPr>
            </m:ctrlPr>
          </m:fPr>
          <m:num>
            <m:r>
              <w:rPr>
                <w:rFonts w:ascii="Cambria Math" w:hAnsi="Cambria Math"/>
              </w:rPr>
              <m:t xml:space="preserve">Pi </m:t>
            </m:r>
            <m:r>
              <m:rPr>
                <m:sty m:val="p"/>
              </m:rPr>
              <w:rPr>
                <w:rFonts w:ascii="Cambria Math" w:hAnsi="Cambria Math"/>
              </w:rPr>
              <m:t xml:space="preserve">​- Ppepsin​ </m:t>
            </m:r>
          </m:num>
          <m:den>
            <m:r>
              <w:rPr>
                <w:rFonts w:ascii="Cambria Math" w:hAnsi="Cambria Math"/>
              </w:rPr>
              <m:t>Pi</m:t>
            </m:r>
          </m:den>
        </m:f>
        <m:r>
          <w:rPr>
            <w:rFonts w:ascii="Cambria Math" w:hAnsi="Cambria Math"/>
          </w:rPr>
          <m:t xml:space="preserve"> </m:t>
        </m:r>
        <m:r>
          <m:rPr>
            <m:sty m:val="p"/>
          </m:rPr>
          <w:rPr>
            <w:rFonts w:ascii="Cambria Math" w:hAnsi="Cambria Math"/>
          </w:rPr>
          <m:t>X 10</m:t>
        </m:r>
        <m:r>
          <w:rPr>
            <w:rFonts w:ascii="Cambria Math" w:hAnsi="Cambria Math"/>
          </w:rPr>
          <m:t>0</m:t>
        </m:r>
      </m:oMath>
    </w:p>
    <w:p w14:paraId="27E8A5BF" w14:textId="77777777" w:rsidR="0040444D" w:rsidRPr="002B75CF" w:rsidRDefault="0040444D" w:rsidP="0040444D">
      <w:pPr>
        <w:pStyle w:val="NormalWeb"/>
        <w:spacing w:line="480" w:lineRule="auto"/>
        <w:jc w:val="both"/>
      </w:pPr>
      <w:r>
        <w:t>The percentage in</w:t>
      </w:r>
      <w:r>
        <w:rPr>
          <w:highlight w:val="yellow"/>
        </w:rPr>
        <w:t xml:space="preserve"> </w:t>
      </w:r>
      <w:r>
        <w:t>vitro protein digestibility was calculated as</w:t>
      </w:r>
      <w:r>
        <w:rPr>
          <w:highlight w:val="yellow"/>
        </w:rPr>
        <w:t>:</w:t>
      </w:r>
    </w:p>
    <w:p w14:paraId="232B53C0" w14:textId="77777777" w:rsidR="002B75CF" w:rsidRDefault="0040444D" w:rsidP="002B75CF">
      <w:pPr>
        <w:spacing w:line="480" w:lineRule="auto"/>
        <w:ind w:firstLine="720"/>
        <w:jc w:val="center"/>
        <w:rPr>
          <w:rFonts w:ascii="Times New Roman" w:hAnsi="Times New Roman"/>
        </w:rPr>
      </w:pPr>
      <w:r w:rsidRPr="002B75CF">
        <w:rPr>
          <w:rFonts w:ascii="Times New Roman" w:hAnsi="Times New Roman"/>
        </w:rPr>
        <w:t>(%)</w:t>
      </w:r>
      <w:r w:rsidRPr="002B75CF">
        <w:rPr>
          <w:rStyle w:val="mord"/>
          <w:rFonts w:ascii="Times New Roman" w:hAnsi="Times New Roman"/>
        </w:rPr>
        <w:t xml:space="preserve"> IVPD</w:t>
      </w:r>
      <m:oMath>
        <m:r>
          <w:rPr>
            <w:rStyle w:val="mord"/>
            <w:rFonts w:ascii="Cambria Math" w:hAnsi="Cambria Math"/>
          </w:rPr>
          <m:t xml:space="preserve"> </m:t>
        </m:r>
        <m:r>
          <m:rPr>
            <m:sty m:val="p"/>
          </m:rPr>
          <w:rPr>
            <w:rFonts w:ascii="Cambria Math" w:hAnsi="Cambria Math"/>
          </w:rPr>
          <m:t>=</m:t>
        </m:r>
        <m:r>
          <w:rPr>
            <w:rFonts w:ascii="Cambria Math" w:hAnsi="Cambria Math"/>
          </w:rPr>
          <m:t xml:space="preserve">  </m:t>
        </m:r>
        <m:f>
          <m:fPr>
            <m:ctrlPr>
              <w:rPr>
                <w:rFonts w:ascii="Cambria Math" w:hAnsi="Cambria Math"/>
                <w:kern w:val="2"/>
                <w:sz w:val="24"/>
                <w:szCs w:val="24"/>
                <w14:ligatures w14:val="standardContextual"/>
              </w:rPr>
            </m:ctrlPr>
          </m:fPr>
          <m:num>
            <m:r>
              <m:rPr>
                <m:sty m:val="p"/>
              </m:rPr>
              <w:rPr>
                <w:rStyle w:val="mord"/>
                <w:rFonts w:ascii="Cambria Math" w:hAnsi="Cambria Math"/>
              </w:rPr>
              <m:t>Protein in sample</m:t>
            </m:r>
            <m:r>
              <w:rPr>
                <w:rStyle w:val="mbin"/>
                <w:rFonts w:ascii="Cambria Math" w:hAnsi="Cambria Math"/>
              </w:rPr>
              <m:t>-</m:t>
            </m:r>
            <m:r>
              <m:rPr>
                <m:sty m:val="p"/>
              </m:rPr>
              <w:rPr>
                <w:rStyle w:val="mord"/>
                <w:rFonts w:ascii="Cambria Math" w:hAnsi="Cambria Math"/>
              </w:rPr>
              <m:t>Undigested residual protein</m:t>
            </m:r>
          </m:num>
          <m:den>
            <m:r>
              <m:rPr>
                <m:sty m:val="p"/>
              </m:rPr>
              <w:rPr>
                <w:rFonts w:ascii="Cambria Math" w:hAnsi="Cambria Math"/>
              </w:rPr>
              <m:t>Protein in sample</m:t>
            </m:r>
          </m:den>
        </m:f>
        <m:r>
          <w:rPr>
            <w:rFonts w:ascii="Cambria Math" w:hAnsi="Cambria Math"/>
          </w:rPr>
          <m:t xml:space="preserve"> </m:t>
        </m:r>
        <m:r>
          <m:rPr>
            <m:sty m:val="p"/>
          </m:rPr>
          <w:rPr>
            <w:rFonts w:ascii="Cambria Math" w:hAnsi="Cambria Math"/>
          </w:rPr>
          <m:t>X 10</m:t>
        </m:r>
        <m:r>
          <w:rPr>
            <w:rFonts w:ascii="Cambria Math" w:hAnsi="Cambria Math"/>
          </w:rPr>
          <m:t>0</m:t>
        </m:r>
      </m:oMath>
    </w:p>
    <w:p w14:paraId="5038AB8A" w14:textId="77777777" w:rsidR="0040444D" w:rsidRPr="002B75CF" w:rsidRDefault="0040444D" w:rsidP="002B75CF">
      <w:pPr>
        <w:spacing w:line="480" w:lineRule="auto"/>
        <w:ind w:firstLine="720"/>
        <w:rPr>
          <w:rFonts w:ascii="Times New Roman" w:hAnsi="Times New Roman"/>
        </w:rPr>
      </w:pPr>
      <w:r w:rsidRPr="002B75CF">
        <w:rPr>
          <w:rFonts w:ascii="Times New Roman" w:hAnsi="Times New Roman"/>
          <w:bCs/>
        </w:rPr>
        <w:t>Statistical Analysis</w:t>
      </w:r>
    </w:p>
    <w:p w14:paraId="2919AF37" w14:textId="77777777" w:rsidR="0040444D" w:rsidRDefault="0040444D" w:rsidP="0040444D">
      <w:pPr>
        <w:spacing w:line="480" w:lineRule="auto"/>
        <w:jc w:val="both"/>
        <w:rPr>
          <w:rFonts w:ascii="Times New Roman" w:hAnsi="Times New Roman"/>
        </w:rPr>
      </w:pPr>
      <w:r>
        <w:rPr>
          <w:rFonts w:ascii="Times New Roman" w:hAnsi="Times New Roman"/>
        </w:rPr>
        <w:t>The data obtained from all analys</w:t>
      </w:r>
      <w:r>
        <w:rPr>
          <w:rFonts w:ascii="Times New Roman" w:hAnsi="Times New Roman"/>
          <w:highlight w:val="yellow"/>
        </w:rPr>
        <w:t>e</w:t>
      </w:r>
      <w:r>
        <w:rPr>
          <w:rFonts w:ascii="Times New Roman" w:hAnsi="Times New Roman"/>
        </w:rPr>
        <w:t xml:space="preserve">s </w:t>
      </w:r>
      <w:r>
        <w:rPr>
          <w:rFonts w:ascii="Times New Roman" w:hAnsi="Times New Roman"/>
          <w:highlight w:val="yellow"/>
        </w:rPr>
        <w:t>we</w:t>
      </w:r>
      <w:r>
        <w:rPr>
          <w:rFonts w:ascii="Times New Roman" w:hAnsi="Times New Roman"/>
        </w:rPr>
        <w:t xml:space="preserve">re expressed as mean ± standard deviation. Statistical analysis was performed using </w:t>
      </w:r>
      <w:r>
        <w:rPr>
          <w:rFonts w:ascii="Times New Roman" w:hAnsi="Times New Roman"/>
          <w:highlight w:val="yellow"/>
        </w:rPr>
        <w:t>o</w:t>
      </w:r>
      <w:r>
        <w:rPr>
          <w:rFonts w:ascii="Times New Roman" w:hAnsi="Times New Roman"/>
        </w:rPr>
        <w:t xml:space="preserve">ne-way analysis of variance (ANOVA) to determine significant differences among </w:t>
      </w:r>
      <w:r>
        <w:rPr>
          <w:rFonts w:ascii="Times New Roman" w:hAnsi="Times New Roman"/>
          <w:highlight w:val="yellow"/>
        </w:rPr>
        <w:t>t</w:t>
      </w:r>
      <w:r>
        <w:rPr>
          <w:rFonts w:ascii="Times New Roman" w:hAnsi="Times New Roman"/>
        </w:rPr>
        <w:t>re</w:t>
      </w:r>
      <w:r>
        <w:rPr>
          <w:rFonts w:ascii="Times New Roman" w:hAnsi="Times New Roman"/>
          <w:highlight w:val="yellow"/>
        </w:rPr>
        <w:t>atm</w:t>
      </w:r>
      <w:r>
        <w:rPr>
          <w:rFonts w:ascii="Times New Roman" w:hAnsi="Times New Roman"/>
        </w:rPr>
        <w:t>e</w:t>
      </w:r>
      <w:r>
        <w:rPr>
          <w:rFonts w:ascii="Times New Roman" w:hAnsi="Times New Roman"/>
          <w:highlight w:val="yellow"/>
        </w:rPr>
        <w:t>nt</w:t>
      </w:r>
      <w:r>
        <w:rPr>
          <w:rFonts w:ascii="Times New Roman" w:hAnsi="Times New Roman"/>
        </w:rPr>
        <w:t xml:space="preserve"> means. Where significant differences were observed, means were separated using Tukey</w:t>
      </w:r>
      <w:r>
        <w:rPr>
          <w:rFonts w:ascii="Times New Roman" w:hAnsi="Times New Roman"/>
          <w:highlight w:val="yellow"/>
        </w:rPr>
        <w:t>’s</w:t>
      </w:r>
      <w:r>
        <w:rPr>
          <w:rFonts w:ascii="Times New Roman" w:hAnsi="Times New Roman"/>
        </w:rPr>
        <w:t xml:space="preserve"> HSD post</w:t>
      </w:r>
      <w:r>
        <w:rPr>
          <w:rFonts w:ascii="Times New Roman" w:hAnsi="Times New Roman"/>
          <w:highlight w:val="yellow"/>
        </w:rPr>
        <w:t xml:space="preserve"> </w:t>
      </w:r>
      <w:r>
        <w:rPr>
          <w:rFonts w:ascii="Times New Roman" w:hAnsi="Times New Roman"/>
        </w:rPr>
        <w:t xml:space="preserve">hoc test at </w:t>
      </w:r>
      <w:r>
        <w:rPr>
          <w:rFonts w:ascii="Times New Roman" w:hAnsi="Times New Roman"/>
          <w:i/>
        </w:rPr>
        <w:t>p &lt;</w:t>
      </w:r>
      <w:r>
        <w:rPr>
          <w:rFonts w:ascii="Times New Roman" w:hAnsi="Times New Roman"/>
        </w:rPr>
        <w:t xml:space="preserve"> </w:t>
      </w:r>
      <w:r>
        <w:rPr>
          <w:rFonts w:ascii="Times New Roman" w:hAnsi="Times New Roman"/>
          <w:i/>
        </w:rPr>
        <w:t>0.05</w:t>
      </w:r>
      <w:r>
        <w:rPr>
          <w:rFonts w:ascii="Times New Roman" w:hAnsi="Times New Roman"/>
        </w:rPr>
        <w:t xml:space="preserve">. </w:t>
      </w:r>
    </w:p>
    <w:p w14:paraId="5963A1E7" w14:textId="77777777" w:rsidR="00902823" w:rsidRDefault="00000F8F" w:rsidP="00441B6F">
      <w:pPr>
        <w:pStyle w:val="Head1"/>
        <w:spacing w:after="0"/>
        <w:jc w:val="both"/>
        <w:rPr>
          <w:rFonts w:ascii="Arial" w:hAnsi="Arial" w:cs="Arial"/>
        </w:rPr>
      </w:pPr>
      <w:r>
        <w:rPr>
          <w:rFonts w:ascii="Arial" w:hAnsi="Arial" w:cs="Arial"/>
        </w:rPr>
        <w:t>results and discussion</w:t>
      </w:r>
    </w:p>
    <w:p w14:paraId="5E46FB59" w14:textId="77777777" w:rsidR="00C50FD8" w:rsidRPr="006578BB" w:rsidRDefault="00C50FD8" w:rsidP="00C50FD8">
      <w:pPr>
        <w:jc w:val="both"/>
        <w:rPr>
          <w:rFonts w:ascii="Times New Roman" w:hAnsi="Times New Roman"/>
        </w:rPr>
      </w:pPr>
      <w:r w:rsidRPr="006578BB">
        <w:rPr>
          <w:rFonts w:ascii="Times New Roman" w:hAnsi="Times New Roman"/>
        </w:rPr>
        <w:t xml:space="preserve">Effect of processing on Nitrogen and Protein contents in water hyacinth </w:t>
      </w:r>
      <w:r w:rsidRPr="006578BB">
        <w:rPr>
          <w:rFonts w:ascii="Times New Roman" w:hAnsi="Times New Roman"/>
        </w:rPr>
        <w:tab/>
        <w:t>(</w:t>
      </w:r>
      <w:r w:rsidRPr="006578BB">
        <w:rPr>
          <w:rFonts w:ascii="Times New Roman" w:hAnsi="Times New Roman"/>
          <w:i/>
        </w:rPr>
        <w:t>Eichhornia crassipes</w:t>
      </w:r>
      <w:r w:rsidRPr="006578BB">
        <w:rPr>
          <w:rFonts w:ascii="Times New Roman" w:hAnsi="Times New Roman"/>
        </w:rPr>
        <w:t>)</w:t>
      </w:r>
    </w:p>
    <w:p w14:paraId="64257CC4" w14:textId="77777777" w:rsidR="00C50FD8" w:rsidRDefault="00C50FD8" w:rsidP="006578BB">
      <w:pPr>
        <w:spacing w:line="480" w:lineRule="auto"/>
        <w:jc w:val="both"/>
        <w:rPr>
          <w:rFonts w:ascii="Times New Roman" w:hAnsi="Times New Roman"/>
          <w:b/>
        </w:rPr>
      </w:pPr>
      <w:r>
        <w:rPr>
          <w:rFonts w:ascii="Times New Roman" w:hAnsi="Times New Roman"/>
        </w:rPr>
        <w:t xml:space="preserve">The nitrogen and protein contents of </w:t>
      </w:r>
      <w:r>
        <w:rPr>
          <w:rStyle w:val="Emphasis"/>
          <w:rFonts w:ascii="Times New Roman" w:hAnsi="Times New Roman"/>
          <w:highlight w:val="yellow"/>
        </w:rPr>
        <w:t>Eichhornia crassipes</w:t>
      </w:r>
      <w:r>
        <w:rPr>
          <w:rFonts w:ascii="Times New Roman" w:hAnsi="Times New Roman"/>
        </w:rPr>
        <w:t xml:space="preserve"> varied considerably across the different processing methods. The control sample recorded the highest protein and nitrogen contents </w:t>
      </w:r>
      <w:r>
        <w:rPr>
          <w:rFonts w:ascii="Times New Roman" w:hAnsi="Times New Roman"/>
          <w:b/>
        </w:rPr>
        <w:t>(</w:t>
      </w:r>
      <w:r>
        <w:rPr>
          <w:rStyle w:val="Strong"/>
          <w:rFonts w:ascii="Times New Roman" w:hAnsi="Times New Roman"/>
          <w:b w:val="0"/>
        </w:rPr>
        <w:t>48.47 ± 0.47%</w:t>
      </w:r>
      <w:r>
        <w:rPr>
          <w:rFonts w:ascii="Times New Roman" w:hAnsi="Times New Roman"/>
          <w:b/>
        </w:rPr>
        <w:t xml:space="preserve"> </w:t>
      </w:r>
      <w:r>
        <w:rPr>
          <w:rFonts w:ascii="Times New Roman" w:hAnsi="Times New Roman"/>
        </w:rPr>
        <w:t>and</w:t>
      </w:r>
      <w:r>
        <w:rPr>
          <w:rFonts w:ascii="Times New Roman" w:hAnsi="Times New Roman"/>
          <w:b/>
        </w:rPr>
        <w:t xml:space="preserve"> </w:t>
      </w:r>
      <w:r>
        <w:rPr>
          <w:rStyle w:val="Strong"/>
          <w:rFonts w:ascii="Times New Roman" w:hAnsi="Times New Roman"/>
          <w:b w:val="0"/>
        </w:rPr>
        <w:t>7.76 ± 0.08%</w:t>
      </w:r>
      <w:r>
        <w:rPr>
          <w:rFonts w:ascii="Times New Roman" w:hAnsi="Times New Roman"/>
          <w:b/>
        </w:rPr>
        <w:t>,</w:t>
      </w:r>
      <w:r>
        <w:rPr>
          <w:rFonts w:ascii="Times New Roman" w:hAnsi="Times New Roman"/>
        </w:rPr>
        <w:t xml:space="preserve"> respectively), followed by the oven-dried sample </w:t>
      </w:r>
      <w:r>
        <w:rPr>
          <w:rFonts w:ascii="Times New Roman" w:hAnsi="Times New Roman"/>
          <w:b/>
        </w:rPr>
        <w:t>(</w:t>
      </w:r>
      <w:r>
        <w:rPr>
          <w:rStyle w:val="Strong"/>
          <w:rFonts w:ascii="Times New Roman" w:hAnsi="Times New Roman"/>
          <w:b w:val="0"/>
        </w:rPr>
        <w:t>46.93 ± 0.58%</w:t>
      </w:r>
      <w:r>
        <w:rPr>
          <w:rFonts w:ascii="Times New Roman" w:hAnsi="Times New Roman"/>
        </w:rPr>
        <w:t xml:space="preserve"> and </w:t>
      </w:r>
      <w:r>
        <w:rPr>
          <w:rStyle w:val="Strong"/>
          <w:rFonts w:ascii="Times New Roman" w:hAnsi="Times New Roman"/>
        </w:rPr>
        <w:t>7</w:t>
      </w:r>
      <w:r>
        <w:rPr>
          <w:rStyle w:val="Strong"/>
          <w:rFonts w:ascii="Times New Roman" w:hAnsi="Times New Roman"/>
          <w:b w:val="0"/>
        </w:rPr>
        <w:t>.51</w:t>
      </w:r>
      <w:r>
        <w:rPr>
          <w:rStyle w:val="Strong"/>
          <w:rFonts w:ascii="Times New Roman" w:hAnsi="Times New Roman"/>
        </w:rPr>
        <w:t xml:space="preserve"> ± </w:t>
      </w:r>
      <w:r>
        <w:rPr>
          <w:rStyle w:val="Strong"/>
          <w:rFonts w:ascii="Times New Roman" w:hAnsi="Times New Roman"/>
          <w:b w:val="0"/>
        </w:rPr>
        <w:t>0.09%</w:t>
      </w:r>
      <w:r>
        <w:rPr>
          <w:rFonts w:ascii="Times New Roman" w:hAnsi="Times New Roman"/>
          <w:b/>
        </w:rPr>
        <w:t>,</w:t>
      </w:r>
      <w:r>
        <w:rPr>
          <w:rFonts w:ascii="Times New Roman" w:hAnsi="Times New Roman"/>
        </w:rPr>
        <w:t xml:space="preserve"> respectively) and the boiled sample </w:t>
      </w:r>
      <w:r>
        <w:rPr>
          <w:rFonts w:ascii="Times New Roman" w:hAnsi="Times New Roman"/>
          <w:b/>
        </w:rPr>
        <w:t>(</w:t>
      </w:r>
      <w:r>
        <w:rPr>
          <w:rStyle w:val="Strong"/>
          <w:rFonts w:ascii="Times New Roman" w:hAnsi="Times New Roman"/>
          <w:b w:val="0"/>
        </w:rPr>
        <w:t>29.07 ± 0.31%</w:t>
      </w:r>
      <w:r>
        <w:rPr>
          <w:rFonts w:ascii="Times New Roman" w:hAnsi="Times New Roman"/>
          <w:b/>
        </w:rPr>
        <w:t xml:space="preserve"> </w:t>
      </w:r>
      <w:r>
        <w:rPr>
          <w:rFonts w:ascii="Times New Roman" w:hAnsi="Times New Roman"/>
        </w:rPr>
        <w:t>and</w:t>
      </w:r>
      <w:r>
        <w:rPr>
          <w:rFonts w:ascii="Times New Roman" w:hAnsi="Times New Roman"/>
          <w:b/>
        </w:rPr>
        <w:t xml:space="preserve"> </w:t>
      </w:r>
      <w:r>
        <w:rPr>
          <w:rStyle w:val="Strong"/>
          <w:rFonts w:ascii="Times New Roman" w:hAnsi="Times New Roman"/>
          <w:b w:val="0"/>
        </w:rPr>
        <w:t>4.65 ± 0.05%</w:t>
      </w:r>
      <w:r>
        <w:rPr>
          <w:rFonts w:ascii="Times New Roman" w:hAnsi="Times New Roman"/>
          <w:b/>
        </w:rPr>
        <w:t>,</w:t>
      </w:r>
      <w:r>
        <w:rPr>
          <w:rFonts w:ascii="Times New Roman" w:hAnsi="Times New Roman"/>
        </w:rPr>
        <w:t xml:space="preserve"> respectively), while the fermented sample had the lowest values </w:t>
      </w:r>
      <w:r>
        <w:rPr>
          <w:rFonts w:ascii="Times New Roman" w:hAnsi="Times New Roman"/>
          <w:b/>
        </w:rPr>
        <w:t>(</w:t>
      </w:r>
      <w:r>
        <w:rPr>
          <w:rStyle w:val="Strong"/>
          <w:rFonts w:ascii="Times New Roman" w:hAnsi="Times New Roman"/>
          <w:b w:val="0"/>
        </w:rPr>
        <w:t>16.72 ± 0.10%</w:t>
      </w:r>
      <w:r>
        <w:rPr>
          <w:rFonts w:ascii="Times New Roman" w:hAnsi="Times New Roman"/>
          <w:b/>
        </w:rPr>
        <w:t xml:space="preserve"> </w:t>
      </w:r>
      <w:r>
        <w:rPr>
          <w:rFonts w:ascii="Times New Roman" w:hAnsi="Times New Roman"/>
        </w:rPr>
        <w:t>protein and</w:t>
      </w:r>
      <w:r>
        <w:rPr>
          <w:rFonts w:ascii="Times New Roman" w:hAnsi="Times New Roman"/>
          <w:b/>
        </w:rPr>
        <w:t xml:space="preserve"> </w:t>
      </w:r>
      <w:r>
        <w:rPr>
          <w:rStyle w:val="Strong"/>
          <w:rFonts w:ascii="Times New Roman" w:hAnsi="Times New Roman"/>
          <w:b w:val="0"/>
        </w:rPr>
        <w:t>2.68 ± 0.02%</w:t>
      </w:r>
      <w:r>
        <w:rPr>
          <w:rFonts w:ascii="Times New Roman" w:hAnsi="Times New Roman"/>
        </w:rPr>
        <w:t xml:space="preserve"> nitrogen). The results indicate a progressive </w:t>
      </w:r>
      <w:r>
        <w:rPr>
          <w:rFonts w:ascii="Times New Roman" w:hAnsi="Times New Roman"/>
        </w:rPr>
        <w:lastRenderedPageBreak/>
        <w:t xml:space="preserve">reduction in both protein and nitrogen contents from the control to the fermented sample. Oven drying resulted in only a slight reduction in protein and nitrogen contents relative to the control, whereas boiling caused a more pronounced decrease. Fermentation produced the greatest reduction in both parameters among all the processing methods evaluated. The close correspondence between the protein and nitrogen values suggests that the reduction in protein concentration was associated with a corresponding decline in nitrogen-containing constituents. The different superscripts </w:t>
      </w:r>
      <w:r>
        <w:rPr>
          <w:rFonts w:ascii="Times New Roman" w:hAnsi="Times New Roman"/>
          <w:b/>
        </w:rPr>
        <w:t>(</w:t>
      </w:r>
      <w:r>
        <w:rPr>
          <w:rStyle w:val="Strong"/>
          <w:rFonts w:ascii="Times New Roman" w:hAnsi="Times New Roman"/>
          <w:b w:val="0"/>
        </w:rPr>
        <w:t>a-d</w:t>
      </w:r>
      <w:r>
        <w:rPr>
          <w:rFonts w:ascii="Times New Roman" w:hAnsi="Times New Roman"/>
          <w:b/>
        </w:rPr>
        <w:t>)</w:t>
      </w:r>
      <w:r>
        <w:rPr>
          <w:rFonts w:ascii="Times New Roman" w:hAnsi="Times New Roman"/>
        </w:rPr>
        <w:t xml:space="preserve"> indicate that the protein and nitrogen contents of all treatment groups were significantly different from one another (</w:t>
      </w:r>
      <w:r>
        <w:rPr>
          <w:rStyle w:val="Emphasis"/>
          <w:rFonts w:ascii="Times New Roman" w:hAnsi="Times New Roman"/>
        </w:rPr>
        <w:t>p</w:t>
      </w:r>
      <w:r>
        <w:rPr>
          <w:rFonts w:ascii="Times New Roman" w:hAnsi="Times New Roman"/>
        </w:rPr>
        <w:t xml:space="preserve"> &lt; 0.05), demonstrating that each processing method had a distinct effect on the protein and nitrogen composition of water hyacinth (</w:t>
      </w:r>
      <w:r>
        <w:rPr>
          <w:rStyle w:val="Emphasis"/>
          <w:rFonts w:ascii="Times New Roman" w:hAnsi="Times New Roman"/>
          <w:highlight w:val="yellow"/>
        </w:rPr>
        <w:t>Eichhornia crassipes</w:t>
      </w:r>
      <w:r>
        <w:rPr>
          <w:rFonts w:ascii="Times New Roman" w:hAnsi="Times New Roman"/>
        </w:rPr>
        <w:t>).</w:t>
      </w:r>
    </w:p>
    <w:p w14:paraId="0D305993" w14:textId="77777777" w:rsidR="00C50FD8" w:rsidRDefault="00C50FD8" w:rsidP="00C50FD8">
      <w:pPr>
        <w:jc w:val="both"/>
        <w:rPr>
          <w:rFonts w:ascii="Times New Roman" w:hAnsi="Times New Roman"/>
          <w:b/>
        </w:rPr>
      </w:pPr>
      <w:r>
        <w:rPr>
          <w:rFonts w:ascii="Times New Roman" w:hAnsi="Times New Roman"/>
          <w:b/>
        </w:rPr>
        <w:t>Table 1: Effect of processing on Nitrogen and Protein contents in Water hyacinth (</w:t>
      </w:r>
      <w:r>
        <w:rPr>
          <w:rFonts w:ascii="Times New Roman" w:hAnsi="Times New Roman"/>
          <w:b/>
          <w:i/>
        </w:rPr>
        <w:t>Eichhornia crassipes</w:t>
      </w:r>
      <w:r>
        <w:rPr>
          <w:rFonts w:ascii="Times New Roman" w:hAnsi="Times New Roman"/>
          <w:b/>
        </w:rPr>
        <w:t>)</w:t>
      </w:r>
    </w:p>
    <w:tbl>
      <w:tblPr>
        <w:tblW w:w="8492" w:type="dxa"/>
        <w:jc w:val="center"/>
        <w:tblCellSpacing w:w="15" w:type="dxa"/>
        <w:tblBorders>
          <w:top w:val="single" w:sz="4" w:space="0" w:color="auto"/>
          <w:bottom w:val="single" w:sz="4" w:space="0" w:color="auto"/>
        </w:tblBorders>
        <w:tblLook w:val="04A0" w:firstRow="1" w:lastRow="0" w:firstColumn="1" w:lastColumn="0" w:noHBand="0" w:noVBand="1"/>
      </w:tblPr>
      <w:tblGrid>
        <w:gridCol w:w="2344"/>
        <w:gridCol w:w="3074"/>
        <w:gridCol w:w="3074"/>
      </w:tblGrid>
      <w:tr w:rsidR="00C50FD8" w14:paraId="178A9CC9" w14:textId="77777777" w:rsidTr="00C50FD8">
        <w:trPr>
          <w:trHeight w:val="318"/>
          <w:tblHeader/>
          <w:tblCellSpacing w:w="15" w:type="dxa"/>
          <w:jc w:val="center"/>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2E9253C" w14:textId="77777777" w:rsidR="00C50FD8" w:rsidRDefault="00C50FD8">
            <w:pPr>
              <w:jc w:val="center"/>
              <w:rPr>
                <w:rFonts w:ascii="Times New Roman" w:hAnsi="Times New Roman"/>
                <w:b/>
                <w:bCs/>
              </w:rPr>
            </w:pPr>
            <w:r>
              <w:rPr>
                <w:rFonts w:ascii="Times New Roman" w:hAnsi="Times New Roman"/>
                <w:b/>
                <w:bCs/>
              </w:rPr>
              <w:t>Treatment Group</w:t>
            </w:r>
          </w:p>
        </w:tc>
        <w:tc>
          <w:tcPr>
            <w:tcW w:w="3044" w:type="dxa"/>
            <w:tcBorders>
              <w:top w:val="nil"/>
              <w:left w:val="nil"/>
              <w:bottom w:val="single" w:sz="4" w:space="0" w:color="auto"/>
              <w:right w:val="nil"/>
            </w:tcBorders>
            <w:tcMar>
              <w:top w:w="15" w:type="dxa"/>
              <w:left w:w="15" w:type="dxa"/>
              <w:bottom w:w="15" w:type="dxa"/>
              <w:right w:w="15" w:type="dxa"/>
            </w:tcMar>
            <w:hideMark/>
          </w:tcPr>
          <w:p w14:paraId="1546378E" w14:textId="77777777" w:rsidR="00C50FD8" w:rsidRDefault="00C50FD8">
            <w:pPr>
              <w:jc w:val="center"/>
              <w:rPr>
                <w:rFonts w:ascii="Times New Roman" w:hAnsi="Times New Roman"/>
                <w:b/>
                <w:bCs/>
              </w:rPr>
            </w:pPr>
            <w:r>
              <w:rPr>
                <w:rFonts w:ascii="Times New Roman" w:hAnsi="Times New Roman"/>
                <w:b/>
                <w:bCs/>
              </w:rPr>
              <w:t xml:space="preserve">Nitrogen </w:t>
            </w:r>
            <w:r>
              <w:rPr>
                <w:rFonts w:ascii="Times New Roman" w:hAnsi="Times New Roman"/>
                <w:b/>
              </w:rPr>
              <w:t>(%)</w:t>
            </w:r>
          </w:p>
        </w:tc>
        <w:tc>
          <w:tcPr>
            <w:tcW w:w="3029" w:type="dxa"/>
            <w:tcBorders>
              <w:top w:val="nil"/>
              <w:left w:val="nil"/>
              <w:bottom w:val="single" w:sz="4" w:space="0" w:color="auto"/>
              <w:right w:val="nil"/>
            </w:tcBorders>
            <w:tcMar>
              <w:top w:w="15" w:type="dxa"/>
              <w:left w:w="15" w:type="dxa"/>
              <w:bottom w:w="15" w:type="dxa"/>
              <w:right w:w="15" w:type="dxa"/>
            </w:tcMar>
            <w:vAlign w:val="center"/>
            <w:hideMark/>
          </w:tcPr>
          <w:p w14:paraId="41CE0460" w14:textId="77777777" w:rsidR="00C50FD8" w:rsidRDefault="00C50FD8">
            <w:pPr>
              <w:jc w:val="center"/>
              <w:rPr>
                <w:rFonts w:ascii="Times New Roman" w:hAnsi="Times New Roman"/>
                <w:b/>
                <w:bCs/>
              </w:rPr>
            </w:pPr>
            <w:r>
              <w:rPr>
                <w:rFonts w:ascii="Times New Roman" w:hAnsi="Times New Roman"/>
                <w:b/>
                <w:bCs/>
              </w:rPr>
              <w:t xml:space="preserve">Protein </w:t>
            </w:r>
            <w:r>
              <w:rPr>
                <w:rFonts w:ascii="Times New Roman" w:hAnsi="Times New Roman"/>
                <w:b/>
              </w:rPr>
              <w:t>(%)</w:t>
            </w:r>
          </w:p>
        </w:tc>
      </w:tr>
      <w:tr w:rsidR="00C50FD8" w14:paraId="5CE86CF2" w14:textId="77777777" w:rsidTr="00C50FD8">
        <w:trPr>
          <w:trHeight w:val="691"/>
          <w:tblCellSpacing w:w="15" w:type="dxa"/>
          <w:jc w:val="center"/>
        </w:trPr>
        <w:tc>
          <w:tcPr>
            <w:tcW w:w="0" w:type="auto"/>
            <w:tcBorders>
              <w:top w:val="nil"/>
              <w:left w:val="nil"/>
              <w:bottom w:val="nil"/>
              <w:right w:val="nil"/>
            </w:tcBorders>
            <w:tcMar>
              <w:top w:w="15" w:type="dxa"/>
              <w:left w:w="15" w:type="dxa"/>
              <w:bottom w:w="15" w:type="dxa"/>
              <w:right w:w="15" w:type="dxa"/>
            </w:tcMar>
            <w:vAlign w:val="center"/>
            <w:hideMark/>
          </w:tcPr>
          <w:p w14:paraId="3BAD908E" w14:textId="77777777" w:rsidR="00C50FD8" w:rsidRDefault="00C50FD8">
            <w:pPr>
              <w:jc w:val="center"/>
              <w:rPr>
                <w:rFonts w:ascii="Times New Roman" w:hAnsi="Times New Roman"/>
              </w:rPr>
            </w:pPr>
            <w:r>
              <w:rPr>
                <w:rFonts w:ascii="Times New Roman" w:hAnsi="Times New Roman"/>
              </w:rPr>
              <w:t>Fermented</w:t>
            </w:r>
          </w:p>
        </w:tc>
        <w:tc>
          <w:tcPr>
            <w:tcW w:w="3044" w:type="dxa"/>
            <w:tcBorders>
              <w:top w:val="nil"/>
              <w:left w:val="nil"/>
              <w:bottom w:val="nil"/>
              <w:right w:val="nil"/>
            </w:tcBorders>
            <w:tcMar>
              <w:top w:w="15" w:type="dxa"/>
              <w:left w:w="15" w:type="dxa"/>
              <w:bottom w:w="15" w:type="dxa"/>
              <w:right w:w="15" w:type="dxa"/>
            </w:tcMar>
            <w:hideMark/>
          </w:tcPr>
          <w:p w14:paraId="0C8F60A5" w14:textId="77777777" w:rsidR="00C50FD8" w:rsidRDefault="00C50FD8">
            <w:pPr>
              <w:jc w:val="center"/>
              <w:rPr>
                <w:rFonts w:ascii="Times New Roman" w:hAnsi="Times New Roman"/>
              </w:rPr>
            </w:pPr>
            <w:r>
              <w:rPr>
                <w:rFonts w:ascii="Times New Roman" w:hAnsi="Times New Roman"/>
              </w:rPr>
              <w:t>2.68 ± 0.02</w:t>
            </w:r>
            <w:r>
              <w:rPr>
                <w:rFonts w:ascii="Times New Roman" w:hAnsi="Times New Roman"/>
                <w:vertAlign w:val="subscript"/>
              </w:rPr>
              <w:t>a</w:t>
            </w:r>
          </w:p>
        </w:tc>
        <w:tc>
          <w:tcPr>
            <w:tcW w:w="3029" w:type="dxa"/>
            <w:tcBorders>
              <w:top w:val="nil"/>
              <w:left w:val="nil"/>
              <w:bottom w:val="nil"/>
              <w:right w:val="nil"/>
            </w:tcBorders>
            <w:tcMar>
              <w:top w:w="15" w:type="dxa"/>
              <w:left w:w="15" w:type="dxa"/>
              <w:bottom w:w="15" w:type="dxa"/>
              <w:right w:w="15" w:type="dxa"/>
            </w:tcMar>
            <w:vAlign w:val="center"/>
            <w:hideMark/>
          </w:tcPr>
          <w:p w14:paraId="737B513C" w14:textId="77777777" w:rsidR="00C50FD8" w:rsidRDefault="00C50FD8">
            <w:pPr>
              <w:jc w:val="center"/>
              <w:rPr>
                <w:rFonts w:ascii="Times New Roman" w:hAnsi="Times New Roman"/>
              </w:rPr>
            </w:pPr>
            <w:r>
              <w:rPr>
                <w:rFonts w:ascii="Times New Roman" w:hAnsi="Times New Roman"/>
              </w:rPr>
              <w:t>16.72 ± 0.10</w:t>
            </w:r>
            <w:r>
              <w:rPr>
                <w:rFonts w:ascii="Times New Roman" w:hAnsi="Times New Roman"/>
                <w:vertAlign w:val="subscript"/>
              </w:rPr>
              <w:t>a</w:t>
            </w:r>
          </w:p>
        </w:tc>
      </w:tr>
      <w:tr w:rsidR="00C50FD8" w14:paraId="0CC2D97F" w14:textId="77777777" w:rsidTr="00C50FD8">
        <w:trPr>
          <w:trHeight w:val="573"/>
          <w:tblCellSpacing w:w="15" w:type="dxa"/>
          <w:jc w:val="center"/>
        </w:trPr>
        <w:tc>
          <w:tcPr>
            <w:tcW w:w="0" w:type="auto"/>
            <w:tcBorders>
              <w:top w:val="nil"/>
              <w:left w:val="nil"/>
              <w:bottom w:val="nil"/>
              <w:right w:val="nil"/>
            </w:tcBorders>
            <w:tcMar>
              <w:top w:w="15" w:type="dxa"/>
              <w:left w:w="15" w:type="dxa"/>
              <w:bottom w:w="15" w:type="dxa"/>
              <w:right w:w="15" w:type="dxa"/>
            </w:tcMar>
            <w:vAlign w:val="center"/>
            <w:hideMark/>
          </w:tcPr>
          <w:p w14:paraId="5BA86D62" w14:textId="77777777" w:rsidR="00C50FD8" w:rsidRDefault="00C50FD8">
            <w:pPr>
              <w:jc w:val="center"/>
              <w:rPr>
                <w:rFonts w:ascii="Times New Roman" w:hAnsi="Times New Roman"/>
              </w:rPr>
            </w:pPr>
            <w:r>
              <w:rPr>
                <w:rFonts w:ascii="Times New Roman" w:hAnsi="Times New Roman"/>
              </w:rPr>
              <w:t>Boiled</w:t>
            </w:r>
          </w:p>
        </w:tc>
        <w:tc>
          <w:tcPr>
            <w:tcW w:w="3044" w:type="dxa"/>
            <w:tcBorders>
              <w:top w:val="nil"/>
              <w:left w:val="nil"/>
              <w:bottom w:val="nil"/>
              <w:right w:val="nil"/>
            </w:tcBorders>
            <w:tcMar>
              <w:top w:w="15" w:type="dxa"/>
              <w:left w:w="15" w:type="dxa"/>
              <w:bottom w:w="15" w:type="dxa"/>
              <w:right w:w="15" w:type="dxa"/>
            </w:tcMar>
            <w:hideMark/>
          </w:tcPr>
          <w:p w14:paraId="677930E6" w14:textId="77777777" w:rsidR="00C50FD8" w:rsidRDefault="00C50FD8">
            <w:pPr>
              <w:jc w:val="center"/>
              <w:rPr>
                <w:rFonts w:ascii="Times New Roman" w:hAnsi="Times New Roman"/>
              </w:rPr>
            </w:pPr>
            <w:r>
              <w:rPr>
                <w:rFonts w:ascii="Times New Roman" w:hAnsi="Times New Roman"/>
              </w:rPr>
              <w:t>4.65 ± 0.05</w:t>
            </w:r>
            <w:r>
              <w:rPr>
                <w:rFonts w:ascii="Times New Roman" w:hAnsi="Times New Roman"/>
                <w:vertAlign w:val="subscript"/>
              </w:rPr>
              <w:t>b</w:t>
            </w:r>
          </w:p>
        </w:tc>
        <w:tc>
          <w:tcPr>
            <w:tcW w:w="3029" w:type="dxa"/>
            <w:tcBorders>
              <w:top w:val="nil"/>
              <w:left w:val="nil"/>
              <w:bottom w:val="nil"/>
              <w:right w:val="nil"/>
            </w:tcBorders>
            <w:tcMar>
              <w:top w:w="15" w:type="dxa"/>
              <w:left w:w="15" w:type="dxa"/>
              <w:bottom w:w="15" w:type="dxa"/>
              <w:right w:w="15" w:type="dxa"/>
            </w:tcMar>
            <w:vAlign w:val="center"/>
            <w:hideMark/>
          </w:tcPr>
          <w:p w14:paraId="2F55E1C4" w14:textId="77777777" w:rsidR="00C50FD8" w:rsidRDefault="00C50FD8">
            <w:pPr>
              <w:jc w:val="center"/>
              <w:rPr>
                <w:rFonts w:ascii="Times New Roman" w:hAnsi="Times New Roman"/>
              </w:rPr>
            </w:pPr>
            <w:r>
              <w:rPr>
                <w:rFonts w:ascii="Times New Roman" w:hAnsi="Times New Roman"/>
              </w:rPr>
              <w:t>29.07 ± 0.31</w:t>
            </w:r>
            <w:r>
              <w:rPr>
                <w:rFonts w:ascii="Times New Roman" w:hAnsi="Times New Roman"/>
                <w:vertAlign w:val="subscript"/>
              </w:rPr>
              <w:t>b</w:t>
            </w:r>
          </w:p>
        </w:tc>
      </w:tr>
      <w:tr w:rsidR="00C50FD8" w14:paraId="6DFD132A" w14:textId="77777777" w:rsidTr="00C50FD8">
        <w:trPr>
          <w:trHeight w:val="573"/>
          <w:tblCellSpacing w:w="15" w:type="dxa"/>
          <w:jc w:val="center"/>
        </w:trPr>
        <w:tc>
          <w:tcPr>
            <w:tcW w:w="0" w:type="auto"/>
            <w:tcBorders>
              <w:top w:val="nil"/>
              <w:left w:val="nil"/>
              <w:bottom w:val="nil"/>
              <w:right w:val="nil"/>
            </w:tcBorders>
            <w:tcMar>
              <w:top w:w="15" w:type="dxa"/>
              <w:left w:w="15" w:type="dxa"/>
              <w:bottom w:w="15" w:type="dxa"/>
              <w:right w:w="15" w:type="dxa"/>
            </w:tcMar>
            <w:vAlign w:val="center"/>
            <w:hideMark/>
          </w:tcPr>
          <w:p w14:paraId="2A1EA6F1" w14:textId="77777777" w:rsidR="00C50FD8" w:rsidRDefault="00C50FD8">
            <w:pPr>
              <w:jc w:val="center"/>
              <w:rPr>
                <w:rFonts w:ascii="Times New Roman" w:hAnsi="Times New Roman"/>
              </w:rPr>
            </w:pPr>
            <w:r>
              <w:rPr>
                <w:rFonts w:ascii="Times New Roman" w:hAnsi="Times New Roman"/>
              </w:rPr>
              <w:t>Oven dried</w:t>
            </w:r>
          </w:p>
        </w:tc>
        <w:tc>
          <w:tcPr>
            <w:tcW w:w="3044" w:type="dxa"/>
            <w:tcBorders>
              <w:top w:val="nil"/>
              <w:left w:val="nil"/>
              <w:bottom w:val="nil"/>
              <w:right w:val="nil"/>
            </w:tcBorders>
            <w:tcMar>
              <w:top w:w="15" w:type="dxa"/>
              <w:left w:w="15" w:type="dxa"/>
              <w:bottom w:w="15" w:type="dxa"/>
              <w:right w:w="15" w:type="dxa"/>
            </w:tcMar>
            <w:hideMark/>
          </w:tcPr>
          <w:p w14:paraId="74F7422A" w14:textId="77777777" w:rsidR="00C50FD8" w:rsidRDefault="00C50FD8">
            <w:pPr>
              <w:jc w:val="center"/>
              <w:rPr>
                <w:rFonts w:ascii="Times New Roman" w:hAnsi="Times New Roman"/>
              </w:rPr>
            </w:pPr>
            <w:r>
              <w:rPr>
                <w:rFonts w:ascii="Times New Roman" w:hAnsi="Times New Roman"/>
              </w:rPr>
              <w:t>7.51 ± 0.09</w:t>
            </w:r>
            <w:r>
              <w:rPr>
                <w:rFonts w:ascii="Times New Roman" w:hAnsi="Times New Roman"/>
                <w:vertAlign w:val="subscript"/>
              </w:rPr>
              <w:t>c</w:t>
            </w:r>
          </w:p>
        </w:tc>
        <w:tc>
          <w:tcPr>
            <w:tcW w:w="3029" w:type="dxa"/>
            <w:tcBorders>
              <w:top w:val="nil"/>
              <w:left w:val="nil"/>
              <w:bottom w:val="nil"/>
              <w:right w:val="nil"/>
            </w:tcBorders>
            <w:tcMar>
              <w:top w:w="15" w:type="dxa"/>
              <w:left w:w="15" w:type="dxa"/>
              <w:bottom w:w="15" w:type="dxa"/>
              <w:right w:w="15" w:type="dxa"/>
            </w:tcMar>
            <w:vAlign w:val="center"/>
            <w:hideMark/>
          </w:tcPr>
          <w:p w14:paraId="4CB2448F" w14:textId="77777777" w:rsidR="00C50FD8" w:rsidRDefault="00C50FD8">
            <w:pPr>
              <w:jc w:val="center"/>
              <w:rPr>
                <w:rFonts w:ascii="Times New Roman" w:hAnsi="Times New Roman"/>
              </w:rPr>
            </w:pPr>
            <w:r>
              <w:rPr>
                <w:rFonts w:ascii="Times New Roman" w:hAnsi="Times New Roman"/>
              </w:rPr>
              <w:t>46.93 ± 0.58</w:t>
            </w:r>
            <w:r>
              <w:rPr>
                <w:rFonts w:ascii="Times New Roman" w:hAnsi="Times New Roman"/>
                <w:vertAlign w:val="subscript"/>
              </w:rPr>
              <w:t>c</w:t>
            </w:r>
          </w:p>
        </w:tc>
      </w:tr>
      <w:tr w:rsidR="00C50FD8" w14:paraId="73FF7384" w14:textId="77777777" w:rsidTr="00C50FD8">
        <w:trPr>
          <w:trHeight w:val="429"/>
          <w:tblCellSpacing w:w="15" w:type="dxa"/>
          <w:jc w:val="center"/>
        </w:trPr>
        <w:tc>
          <w:tcPr>
            <w:tcW w:w="0" w:type="auto"/>
            <w:tcBorders>
              <w:top w:val="nil"/>
              <w:left w:val="nil"/>
              <w:bottom w:val="nil"/>
              <w:right w:val="nil"/>
            </w:tcBorders>
            <w:tcMar>
              <w:top w:w="15" w:type="dxa"/>
              <w:left w:w="15" w:type="dxa"/>
              <w:bottom w:w="15" w:type="dxa"/>
              <w:right w:w="15" w:type="dxa"/>
            </w:tcMar>
            <w:vAlign w:val="center"/>
            <w:hideMark/>
          </w:tcPr>
          <w:p w14:paraId="20D51DB5" w14:textId="77777777" w:rsidR="00C50FD8" w:rsidRDefault="00C50FD8">
            <w:pPr>
              <w:jc w:val="center"/>
              <w:rPr>
                <w:rFonts w:ascii="Times New Roman" w:hAnsi="Times New Roman"/>
              </w:rPr>
            </w:pPr>
            <w:r>
              <w:rPr>
                <w:rFonts w:ascii="Times New Roman" w:hAnsi="Times New Roman"/>
              </w:rPr>
              <w:t>Control</w:t>
            </w:r>
          </w:p>
        </w:tc>
        <w:tc>
          <w:tcPr>
            <w:tcW w:w="3044" w:type="dxa"/>
            <w:tcBorders>
              <w:top w:val="nil"/>
              <w:left w:val="nil"/>
              <w:bottom w:val="nil"/>
              <w:right w:val="nil"/>
            </w:tcBorders>
            <w:tcMar>
              <w:top w:w="15" w:type="dxa"/>
              <w:left w:w="15" w:type="dxa"/>
              <w:bottom w:w="15" w:type="dxa"/>
              <w:right w:w="15" w:type="dxa"/>
            </w:tcMar>
            <w:hideMark/>
          </w:tcPr>
          <w:p w14:paraId="2AE16E84" w14:textId="77777777" w:rsidR="00C50FD8" w:rsidRDefault="00C50FD8">
            <w:pPr>
              <w:jc w:val="center"/>
              <w:rPr>
                <w:rFonts w:ascii="Times New Roman" w:hAnsi="Times New Roman"/>
              </w:rPr>
            </w:pPr>
            <w:r>
              <w:rPr>
                <w:rFonts w:ascii="Times New Roman" w:hAnsi="Times New Roman"/>
              </w:rPr>
              <w:t>7.76 ± 0.08</w:t>
            </w:r>
            <w:r>
              <w:rPr>
                <w:rFonts w:ascii="Times New Roman" w:hAnsi="Times New Roman"/>
                <w:vertAlign w:val="subscript"/>
              </w:rPr>
              <w:t>d</w:t>
            </w:r>
          </w:p>
        </w:tc>
        <w:tc>
          <w:tcPr>
            <w:tcW w:w="3029" w:type="dxa"/>
            <w:tcBorders>
              <w:top w:val="nil"/>
              <w:left w:val="nil"/>
              <w:bottom w:val="nil"/>
              <w:right w:val="nil"/>
            </w:tcBorders>
            <w:tcMar>
              <w:top w:w="15" w:type="dxa"/>
              <w:left w:w="15" w:type="dxa"/>
              <w:bottom w:w="15" w:type="dxa"/>
              <w:right w:w="15" w:type="dxa"/>
            </w:tcMar>
            <w:vAlign w:val="center"/>
            <w:hideMark/>
          </w:tcPr>
          <w:p w14:paraId="2559758D" w14:textId="77777777" w:rsidR="00C50FD8" w:rsidRDefault="00C50FD8">
            <w:pPr>
              <w:jc w:val="center"/>
              <w:rPr>
                <w:rFonts w:ascii="Times New Roman" w:hAnsi="Times New Roman"/>
              </w:rPr>
            </w:pPr>
            <w:r>
              <w:rPr>
                <w:rFonts w:ascii="Times New Roman" w:hAnsi="Times New Roman"/>
              </w:rPr>
              <w:t>48.47 ± 0.47</w:t>
            </w:r>
            <w:r>
              <w:rPr>
                <w:rFonts w:ascii="Times New Roman" w:hAnsi="Times New Roman"/>
                <w:vertAlign w:val="subscript"/>
              </w:rPr>
              <w:t>d</w:t>
            </w:r>
          </w:p>
        </w:tc>
      </w:tr>
    </w:tbl>
    <w:p w14:paraId="29FF923B" w14:textId="77777777" w:rsidR="00C50FD8" w:rsidRPr="006578BB" w:rsidRDefault="00C50FD8" w:rsidP="006578BB">
      <w:pPr>
        <w:spacing w:before="100" w:beforeAutospacing="1" w:after="100" w:afterAutospacing="1"/>
        <w:outlineLvl w:val="2"/>
        <w:rPr>
          <w:rFonts w:ascii="Times New Roman" w:eastAsiaTheme="minorEastAsia" w:hAnsi="Times New Roman"/>
          <w:i/>
          <w:kern w:val="2"/>
          <w14:ligatures w14:val="standardContextual"/>
        </w:rPr>
      </w:pPr>
      <w:r>
        <w:rPr>
          <w:rFonts w:ascii="Times New Roman" w:hAnsi="Times New Roman"/>
          <w:i/>
        </w:rPr>
        <w:t>Means with different superscript letters indicate significant differences, while means sharing the same letter indicate no significant difference (</w:t>
      </w:r>
      <w:r>
        <w:rPr>
          <w:rStyle w:val="Emphasis"/>
          <w:rFonts w:ascii="Times New Roman" w:hAnsi="Times New Roman"/>
        </w:rPr>
        <w:t>p</w:t>
      </w:r>
      <w:r>
        <w:rPr>
          <w:rFonts w:ascii="Times New Roman" w:hAnsi="Times New Roman"/>
          <w:i/>
        </w:rPr>
        <w:t xml:space="preserve"> &lt; 0.05).</w:t>
      </w:r>
      <w:r>
        <w:rPr>
          <w:rFonts w:ascii="Times New Roman" w:hAnsi="Times New Roman"/>
          <w:b/>
        </w:rPr>
        <w:br w:type="page"/>
      </w:r>
    </w:p>
    <w:p w14:paraId="4C999DE6" w14:textId="77777777" w:rsidR="00C50FD8" w:rsidRPr="006578BB" w:rsidRDefault="00C50FD8" w:rsidP="00C50FD8">
      <w:pPr>
        <w:jc w:val="both"/>
        <w:rPr>
          <w:rFonts w:ascii="Times New Roman" w:hAnsi="Times New Roman"/>
          <w:bCs/>
        </w:rPr>
      </w:pPr>
      <w:r>
        <w:rPr>
          <w:rFonts w:ascii="Times New Roman" w:hAnsi="Times New Roman"/>
        </w:rPr>
        <w:lastRenderedPageBreak/>
        <w:t>Effect of processing on Crude fib</w:t>
      </w:r>
      <w:r>
        <w:rPr>
          <w:rFonts w:ascii="Times New Roman" w:hAnsi="Times New Roman"/>
          <w:highlight w:val="yellow"/>
        </w:rPr>
        <w:t>r</w:t>
      </w:r>
      <w:r>
        <w:rPr>
          <w:rFonts w:ascii="Times New Roman" w:hAnsi="Times New Roman"/>
        </w:rPr>
        <w:t>e fractions in Water hyacinth (</w:t>
      </w:r>
      <w:r>
        <w:rPr>
          <w:rFonts w:ascii="Times New Roman" w:hAnsi="Times New Roman"/>
          <w:i/>
        </w:rPr>
        <w:t xml:space="preserve">Eichhornia </w:t>
      </w:r>
      <w:r>
        <w:rPr>
          <w:rFonts w:ascii="Times New Roman" w:hAnsi="Times New Roman"/>
          <w:i/>
        </w:rPr>
        <w:tab/>
        <w:t>crassipes</w:t>
      </w:r>
      <w:r>
        <w:rPr>
          <w:rFonts w:ascii="Times New Roman" w:hAnsi="Times New Roman"/>
        </w:rPr>
        <w:t>)</w:t>
      </w:r>
    </w:p>
    <w:p w14:paraId="3C4B70CC" w14:textId="77777777" w:rsidR="00C50FD8" w:rsidRDefault="00C50FD8" w:rsidP="00C50FD8">
      <w:pPr>
        <w:spacing w:line="480" w:lineRule="auto"/>
        <w:jc w:val="both"/>
        <w:rPr>
          <w:rFonts w:ascii="Times New Roman" w:hAnsi="Times New Roman"/>
        </w:rPr>
      </w:pPr>
      <w:r>
        <w:rPr>
          <w:rFonts w:ascii="Times New Roman" w:hAnsi="Times New Roman"/>
        </w:rPr>
        <w:t xml:space="preserve">The crude </w:t>
      </w:r>
      <w:proofErr w:type="spellStart"/>
      <w:r>
        <w:rPr>
          <w:rFonts w:ascii="Times New Roman" w:hAnsi="Times New Roman"/>
        </w:rPr>
        <w:t>fibre</w:t>
      </w:r>
      <w:proofErr w:type="spellEnd"/>
      <w:r>
        <w:rPr>
          <w:rFonts w:ascii="Times New Roman" w:hAnsi="Times New Roman"/>
        </w:rPr>
        <w:t xml:space="preserve">, neutral detergent </w:t>
      </w:r>
      <w:proofErr w:type="spellStart"/>
      <w:r>
        <w:rPr>
          <w:rFonts w:ascii="Times New Roman" w:hAnsi="Times New Roman"/>
        </w:rPr>
        <w:t>fibre</w:t>
      </w:r>
      <w:proofErr w:type="spellEnd"/>
      <w:r>
        <w:rPr>
          <w:rFonts w:ascii="Times New Roman" w:hAnsi="Times New Roman"/>
        </w:rPr>
        <w:t xml:space="preserve"> (NDF), and acid detergent </w:t>
      </w:r>
      <w:proofErr w:type="spellStart"/>
      <w:r>
        <w:rPr>
          <w:rFonts w:ascii="Times New Roman" w:hAnsi="Times New Roman"/>
        </w:rPr>
        <w:t>fibre</w:t>
      </w:r>
      <w:proofErr w:type="spellEnd"/>
      <w:r>
        <w:rPr>
          <w:rFonts w:ascii="Times New Roman" w:hAnsi="Times New Roman"/>
        </w:rPr>
        <w:t xml:space="preserve"> (ADF) contents of water hyacinth (</w:t>
      </w:r>
      <w:r>
        <w:rPr>
          <w:rFonts w:ascii="Times New Roman" w:hAnsi="Times New Roman"/>
          <w:i/>
          <w:iCs/>
        </w:rPr>
        <w:t>Eichhornia crassipes</w:t>
      </w:r>
      <w:r>
        <w:rPr>
          <w:rFonts w:ascii="Times New Roman" w:hAnsi="Times New Roman"/>
        </w:rPr>
        <w:t xml:space="preserve">) varied significantly among the different processing treatments. Processing resulted in a general reduction in </w:t>
      </w:r>
      <w:proofErr w:type="spellStart"/>
      <w:r>
        <w:rPr>
          <w:rFonts w:ascii="Times New Roman" w:hAnsi="Times New Roman"/>
        </w:rPr>
        <w:t>fibre</w:t>
      </w:r>
      <w:proofErr w:type="spellEnd"/>
      <w:r>
        <w:rPr>
          <w:rFonts w:ascii="Times New Roman" w:hAnsi="Times New Roman"/>
        </w:rPr>
        <w:t xml:space="preserve"> fractions compared with the untreated control, indicating that the applied treatments influenced the structural carbohydrate composition of the plant material.</w:t>
      </w:r>
    </w:p>
    <w:p w14:paraId="35331FB2" w14:textId="77777777" w:rsidR="00C50FD8" w:rsidRDefault="00C50FD8" w:rsidP="00C50FD8">
      <w:pPr>
        <w:spacing w:line="480" w:lineRule="auto"/>
        <w:jc w:val="both"/>
        <w:rPr>
          <w:rFonts w:ascii="Times New Roman" w:hAnsi="Times New Roman"/>
        </w:rPr>
      </w:pPr>
      <w:r>
        <w:rPr>
          <w:rFonts w:ascii="Times New Roman" w:hAnsi="Times New Roman"/>
        </w:rPr>
        <w:t>Fermentation recorded the lowest crude fibre, NDF, and ADF values (</w:t>
      </w:r>
      <w:r>
        <w:rPr>
          <w:rFonts w:ascii="Times New Roman" w:hAnsi="Times New Roman"/>
          <w:bCs/>
        </w:rPr>
        <w:t xml:space="preserve">31.70 ± 0.26%, </w:t>
      </w:r>
      <w:r>
        <w:rPr>
          <w:rFonts w:ascii="Times New Roman" w:hAnsi="Times New Roman"/>
          <w:bCs/>
          <w:highlight w:val="yellow"/>
        </w:rPr>
        <w:t>5</w:t>
      </w:r>
      <w:r>
        <w:rPr>
          <w:rFonts w:ascii="Times New Roman" w:hAnsi="Times New Roman"/>
          <w:bCs/>
        </w:rPr>
        <w:t>4.3</w:t>
      </w:r>
      <w:r>
        <w:rPr>
          <w:rFonts w:ascii="Times New Roman" w:hAnsi="Times New Roman"/>
          <w:bCs/>
          <w:highlight w:val="yellow"/>
        </w:rPr>
        <w:t>2</w:t>
      </w:r>
      <w:r>
        <w:rPr>
          <w:rFonts w:ascii="Times New Roman" w:hAnsi="Times New Roman"/>
          <w:bCs/>
        </w:rPr>
        <w:t xml:space="preserve"> ± 0.</w:t>
      </w:r>
      <w:r>
        <w:rPr>
          <w:rFonts w:ascii="Times New Roman" w:hAnsi="Times New Roman"/>
          <w:bCs/>
          <w:highlight w:val="yellow"/>
        </w:rPr>
        <w:t>86</w:t>
      </w:r>
      <w:r>
        <w:rPr>
          <w:rFonts w:ascii="Times New Roman" w:hAnsi="Times New Roman"/>
          <w:bCs/>
        </w:rPr>
        <w:t>%, and 3</w:t>
      </w:r>
      <w:r>
        <w:rPr>
          <w:rFonts w:ascii="Times New Roman" w:hAnsi="Times New Roman"/>
          <w:bCs/>
          <w:highlight w:val="yellow"/>
        </w:rPr>
        <w:t>3</w:t>
      </w:r>
      <w:r>
        <w:rPr>
          <w:rFonts w:ascii="Times New Roman" w:hAnsi="Times New Roman"/>
          <w:bCs/>
        </w:rPr>
        <w:t>.</w:t>
      </w:r>
      <w:r>
        <w:rPr>
          <w:rFonts w:ascii="Times New Roman" w:hAnsi="Times New Roman"/>
          <w:bCs/>
          <w:highlight w:val="yellow"/>
        </w:rPr>
        <w:t>8</w:t>
      </w:r>
      <w:r>
        <w:rPr>
          <w:rFonts w:ascii="Times New Roman" w:hAnsi="Times New Roman"/>
          <w:bCs/>
        </w:rPr>
        <w:t>4 ± 0.</w:t>
      </w:r>
      <w:r>
        <w:rPr>
          <w:rFonts w:ascii="Times New Roman" w:hAnsi="Times New Roman"/>
          <w:bCs/>
          <w:highlight w:val="yellow"/>
        </w:rPr>
        <w:t>69</w:t>
      </w:r>
      <w:r>
        <w:rPr>
          <w:rFonts w:ascii="Times New Roman" w:hAnsi="Times New Roman"/>
          <w:bCs/>
        </w:rPr>
        <w:t>%, respectively</w:t>
      </w:r>
      <w:r>
        <w:rPr>
          <w:rFonts w:ascii="Times New Roman" w:hAnsi="Times New Roman"/>
        </w:rPr>
        <w:t>) among all the treatments. The reduction observed in fermented samples suggests that microbial activity during fermentation enhanced the breakdown of structural components of the plant cell wall. The lower NDF content indicates a reduction in the overall cell wall fraction, including hemicellulose, cellulose, and lignin-associated components, while the decreased ADF value suggests partial degradation of the more resistant fibre components, particularly cellulose and lignin fractions. This reduction in fibre content may improve the accessibility of nutrients and enhance the potential utili</w:t>
      </w:r>
      <w:r>
        <w:rPr>
          <w:rFonts w:ascii="Times New Roman" w:hAnsi="Times New Roman"/>
          <w:highlight w:val="yellow"/>
        </w:rPr>
        <w:t>s</w:t>
      </w:r>
      <w:r>
        <w:rPr>
          <w:rFonts w:ascii="Times New Roman" w:hAnsi="Times New Roman"/>
        </w:rPr>
        <w:t>ation of water hyacinth as a feed ingredient.</w:t>
      </w:r>
    </w:p>
    <w:p w14:paraId="0553C47D" w14:textId="77777777" w:rsidR="00C50FD8" w:rsidRDefault="00C50FD8" w:rsidP="00C50FD8">
      <w:pPr>
        <w:spacing w:line="480" w:lineRule="auto"/>
        <w:jc w:val="both"/>
        <w:rPr>
          <w:rFonts w:ascii="Times New Roman" w:hAnsi="Times New Roman"/>
        </w:rPr>
      </w:pPr>
      <w:r>
        <w:rPr>
          <w:rFonts w:ascii="Times New Roman" w:hAnsi="Times New Roman"/>
        </w:rPr>
        <w:t xml:space="preserve">Boiling also reduced the fibre fractions compared with the control, with values of </w:t>
      </w:r>
      <w:r>
        <w:rPr>
          <w:rFonts w:ascii="Times New Roman" w:hAnsi="Times New Roman"/>
          <w:bCs/>
        </w:rPr>
        <w:t xml:space="preserve">34.57 ± 0.45% crude fibre, </w:t>
      </w:r>
      <w:r>
        <w:rPr>
          <w:rFonts w:ascii="Times New Roman" w:hAnsi="Times New Roman"/>
          <w:bCs/>
          <w:highlight w:val="yellow"/>
        </w:rPr>
        <w:t>61</w:t>
      </w:r>
      <w:r>
        <w:rPr>
          <w:rFonts w:ascii="Times New Roman" w:hAnsi="Times New Roman"/>
          <w:bCs/>
        </w:rPr>
        <w:t>.7</w:t>
      </w:r>
      <w:r>
        <w:rPr>
          <w:rFonts w:ascii="Times New Roman" w:hAnsi="Times New Roman"/>
          <w:bCs/>
          <w:highlight w:val="yellow"/>
        </w:rPr>
        <w:t>6</w:t>
      </w:r>
      <w:r>
        <w:rPr>
          <w:rFonts w:ascii="Times New Roman" w:hAnsi="Times New Roman"/>
          <w:bCs/>
        </w:rPr>
        <w:t xml:space="preserve"> ± 0.</w:t>
      </w:r>
      <w:r>
        <w:rPr>
          <w:rFonts w:ascii="Times New Roman" w:hAnsi="Times New Roman"/>
          <w:bCs/>
          <w:highlight w:val="yellow"/>
        </w:rPr>
        <w:t>94</w:t>
      </w:r>
      <w:r>
        <w:rPr>
          <w:rFonts w:ascii="Times New Roman" w:hAnsi="Times New Roman"/>
          <w:bCs/>
        </w:rPr>
        <w:t>% NDF, and 39.</w:t>
      </w:r>
      <w:r>
        <w:rPr>
          <w:rFonts w:ascii="Times New Roman" w:hAnsi="Times New Roman"/>
          <w:bCs/>
          <w:highlight w:val="yellow"/>
        </w:rPr>
        <w:t>68</w:t>
      </w:r>
      <w:r>
        <w:rPr>
          <w:rFonts w:ascii="Times New Roman" w:hAnsi="Times New Roman"/>
          <w:bCs/>
        </w:rPr>
        <w:t xml:space="preserve"> ± 0.</w:t>
      </w:r>
      <w:r>
        <w:rPr>
          <w:rFonts w:ascii="Times New Roman" w:hAnsi="Times New Roman"/>
          <w:bCs/>
          <w:highlight w:val="yellow"/>
        </w:rPr>
        <w:t>76</w:t>
      </w:r>
      <w:r>
        <w:rPr>
          <w:rFonts w:ascii="Times New Roman" w:hAnsi="Times New Roman"/>
          <w:bCs/>
        </w:rPr>
        <w:t>% ADF</w:t>
      </w:r>
      <w:r>
        <w:rPr>
          <w:rFonts w:ascii="Times New Roman" w:hAnsi="Times New Roman"/>
        </w:rPr>
        <w:t>. The reduction may be associated with the effect of heat treatment and water exposure, which can promote the solubili</w:t>
      </w:r>
      <w:r>
        <w:rPr>
          <w:rFonts w:ascii="Times New Roman" w:hAnsi="Times New Roman"/>
          <w:highlight w:val="yellow"/>
        </w:rPr>
        <w:t>s</w:t>
      </w:r>
      <w:r>
        <w:rPr>
          <w:rFonts w:ascii="Times New Roman" w:hAnsi="Times New Roman"/>
        </w:rPr>
        <w:t>ation of some soluble fibre-associated components and weaken the plant cell wall structure. However, the reduction was less pronounced than that observed in fermented samples, indicating that boiling had a moderate effect on fibre modification.</w:t>
      </w:r>
    </w:p>
    <w:p w14:paraId="79A59432" w14:textId="77777777" w:rsidR="00C50FD8" w:rsidRDefault="00C50FD8" w:rsidP="00C50FD8">
      <w:pPr>
        <w:spacing w:line="480" w:lineRule="auto"/>
        <w:jc w:val="both"/>
        <w:rPr>
          <w:rFonts w:ascii="Times New Roman" w:hAnsi="Times New Roman"/>
        </w:rPr>
      </w:pPr>
      <w:r>
        <w:rPr>
          <w:rFonts w:ascii="Times New Roman" w:hAnsi="Times New Roman"/>
        </w:rPr>
        <w:t xml:space="preserve">Oven drying produced fibre values of </w:t>
      </w:r>
      <w:r>
        <w:rPr>
          <w:rFonts w:ascii="Times New Roman" w:hAnsi="Times New Roman"/>
          <w:bCs/>
        </w:rPr>
        <w:t xml:space="preserve">37.40 ± 0.56% crude fibre, </w:t>
      </w:r>
      <w:r>
        <w:rPr>
          <w:rFonts w:ascii="Times New Roman" w:hAnsi="Times New Roman"/>
          <w:bCs/>
          <w:highlight w:val="yellow"/>
        </w:rPr>
        <w:t>68</w:t>
      </w:r>
      <w:r>
        <w:rPr>
          <w:rFonts w:ascii="Times New Roman" w:hAnsi="Times New Roman"/>
          <w:bCs/>
        </w:rPr>
        <w:t>.</w:t>
      </w:r>
      <w:r>
        <w:rPr>
          <w:rFonts w:ascii="Times New Roman" w:hAnsi="Times New Roman"/>
          <w:bCs/>
          <w:highlight w:val="yellow"/>
        </w:rPr>
        <w:t>87</w:t>
      </w:r>
      <w:r>
        <w:rPr>
          <w:rFonts w:ascii="Times New Roman" w:hAnsi="Times New Roman"/>
          <w:bCs/>
        </w:rPr>
        <w:t xml:space="preserve"> ± </w:t>
      </w:r>
      <w:r>
        <w:rPr>
          <w:rFonts w:ascii="Times New Roman" w:hAnsi="Times New Roman"/>
          <w:bCs/>
          <w:highlight w:val="yellow"/>
        </w:rPr>
        <w:t>1.</w:t>
      </w:r>
      <w:r>
        <w:rPr>
          <w:rFonts w:ascii="Times New Roman" w:hAnsi="Times New Roman"/>
          <w:bCs/>
        </w:rPr>
        <w:t>0</w:t>
      </w:r>
      <w:r>
        <w:rPr>
          <w:rFonts w:ascii="Times New Roman" w:hAnsi="Times New Roman"/>
          <w:bCs/>
          <w:highlight w:val="yellow"/>
        </w:rPr>
        <w:t>5</w:t>
      </w:r>
      <w:r>
        <w:rPr>
          <w:rFonts w:ascii="Times New Roman" w:hAnsi="Times New Roman"/>
          <w:bCs/>
        </w:rPr>
        <w:t>% NDF, and 4</w:t>
      </w:r>
      <w:r>
        <w:rPr>
          <w:rFonts w:ascii="Times New Roman" w:hAnsi="Times New Roman"/>
          <w:bCs/>
          <w:highlight w:val="yellow"/>
        </w:rPr>
        <w:t>5</w:t>
      </w:r>
      <w:r>
        <w:rPr>
          <w:rFonts w:ascii="Times New Roman" w:hAnsi="Times New Roman"/>
          <w:bCs/>
        </w:rPr>
        <w:t>.</w:t>
      </w:r>
      <w:r>
        <w:rPr>
          <w:rFonts w:ascii="Times New Roman" w:hAnsi="Times New Roman"/>
          <w:bCs/>
          <w:highlight w:val="yellow"/>
        </w:rPr>
        <w:t>1</w:t>
      </w:r>
      <w:r>
        <w:rPr>
          <w:rFonts w:ascii="Times New Roman" w:hAnsi="Times New Roman"/>
          <w:bCs/>
        </w:rPr>
        <w:t>7 ± 0.</w:t>
      </w:r>
      <w:r>
        <w:rPr>
          <w:rFonts w:ascii="Times New Roman" w:hAnsi="Times New Roman"/>
          <w:bCs/>
          <w:highlight w:val="yellow"/>
        </w:rPr>
        <w:t>83</w:t>
      </w:r>
      <w:r>
        <w:rPr>
          <w:rFonts w:ascii="Times New Roman" w:hAnsi="Times New Roman"/>
          <w:bCs/>
        </w:rPr>
        <w:t>% ADF</w:t>
      </w:r>
      <w:r>
        <w:rPr>
          <w:rFonts w:ascii="Times New Roman" w:hAnsi="Times New Roman"/>
        </w:rPr>
        <w:t>, which were slightly higher than those observed in fermented and boiled samples but lower than the untreated control. The relatively higher fibre content after oven drying may be due to the absence of microbial degradation and limited removal of fibre components during the drying process, resulting in greater retention of structural carbohydrates.</w:t>
      </w:r>
    </w:p>
    <w:p w14:paraId="6033497C" w14:textId="77777777" w:rsidR="00C50FD8" w:rsidRDefault="00C50FD8" w:rsidP="00C50FD8">
      <w:pPr>
        <w:spacing w:line="480" w:lineRule="auto"/>
        <w:jc w:val="both"/>
        <w:rPr>
          <w:rFonts w:ascii="Times New Roman" w:hAnsi="Times New Roman"/>
        </w:rPr>
      </w:pPr>
      <w:r>
        <w:rPr>
          <w:rFonts w:ascii="Times New Roman" w:hAnsi="Times New Roman"/>
        </w:rPr>
        <w:t>The untreated control sample exhibited the highest fibre levels (</w:t>
      </w:r>
      <w:r>
        <w:rPr>
          <w:rFonts w:ascii="Times New Roman" w:hAnsi="Times New Roman"/>
          <w:bCs/>
        </w:rPr>
        <w:t>39.47 ± 0.50% crude fibre, 7</w:t>
      </w:r>
      <w:r>
        <w:rPr>
          <w:rFonts w:ascii="Times New Roman" w:hAnsi="Times New Roman"/>
          <w:bCs/>
          <w:highlight w:val="yellow"/>
        </w:rPr>
        <w:t>2</w:t>
      </w:r>
      <w:r>
        <w:rPr>
          <w:rFonts w:ascii="Times New Roman" w:hAnsi="Times New Roman"/>
          <w:bCs/>
        </w:rPr>
        <w:t>.</w:t>
      </w:r>
      <w:r>
        <w:rPr>
          <w:rFonts w:ascii="Times New Roman" w:hAnsi="Times New Roman"/>
          <w:bCs/>
          <w:highlight w:val="yellow"/>
        </w:rPr>
        <w:t>4</w:t>
      </w:r>
      <w:r>
        <w:rPr>
          <w:rFonts w:ascii="Times New Roman" w:hAnsi="Times New Roman"/>
          <w:bCs/>
        </w:rPr>
        <w:t xml:space="preserve">3 ± </w:t>
      </w:r>
      <w:r>
        <w:rPr>
          <w:rFonts w:ascii="Times New Roman" w:hAnsi="Times New Roman"/>
          <w:bCs/>
          <w:highlight w:val="yellow"/>
        </w:rPr>
        <w:t>1</w:t>
      </w:r>
      <w:r>
        <w:rPr>
          <w:rFonts w:ascii="Times New Roman" w:hAnsi="Times New Roman"/>
          <w:bCs/>
        </w:rPr>
        <w:t>.</w:t>
      </w:r>
      <w:r>
        <w:rPr>
          <w:rFonts w:ascii="Times New Roman" w:hAnsi="Times New Roman"/>
          <w:bCs/>
          <w:highlight w:val="yellow"/>
        </w:rPr>
        <w:t>21</w:t>
      </w:r>
      <w:r>
        <w:rPr>
          <w:rFonts w:ascii="Times New Roman" w:hAnsi="Times New Roman"/>
          <w:bCs/>
        </w:rPr>
        <w:t>% NDF, and 4</w:t>
      </w:r>
      <w:r>
        <w:rPr>
          <w:rFonts w:ascii="Times New Roman" w:hAnsi="Times New Roman"/>
          <w:bCs/>
          <w:highlight w:val="yellow"/>
        </w:rPr>
        <w:t>8</w:t>
      </w:r>
      <w:r>
        <w:rPr>
          <w:rFonts w:ascii="Times New Roman" w:hAnsi="Times New Roman"/>
          <w:bCs/>
        </w:rPr>
        <w:t>.</w:t>
      </w:r>
      <w:r>
        <w:rPr>
          <w:rFonts w:ascii="Times New Roman" w:hAnsi="Times New Roman"/>
          <w:bCs/>
          <w:highlight w:val="yellow"/>
        </w:rPr>
        <w:t>2</w:t>
      </w:r>
      <w:r>
        <w:rPr>
          <w:rFonts w:ascii="Times New Roman" w:hAnsi="Times New Roman"/>
          <w:bCs/>
        </w:rPr>
        <w:t>6 ± 0.</w:t>
      </w:r>
      <w:r>
        <w:rPr>
          <w:rFonts w:ascii="Times New Roman" w:hAnsi="Times New Roman"/>
          <w:bCs/>
          <w:highlight w:val="yellow"/>
        </w:rPr>
        <w:t>98</w:t>
      </w:r>
      <w:r>
        <w:rPr>
          <w:rFonts w:ascii="Times New Roman" w:hAnsi="Times New Roman"/>
          <w:bCs/>
        </w:rPr>
        <w:t>% ADF</w:t>
      </w:r>
      <w:r>
        <w:rPr>
          <w:rFonts w:ascii="Times New Roman" w:hAnsi="Times New Roman"/>
        </w:rPr>
        <w:t>), indicating that unprocessed water hyacinth retained a greater proportion of its original cell wall constituents. The higher NDF and ADF values in the control reflect the presence of intact structural carbohydrates, which may limit nutrient availability and reduce digestibility when compared with processed samples. The consistent relationship observed across all treatments, where NDF values were higher than ADF values, indicates the presence of hemicellulose fractions within the cell wall structure.</w:t>
      </w:r>
    </w:p>
    <w:p w14:paraId="2A96F5B0" w14:textId="77777777" w:rsidR="00C50FD8" w:rsidRDefault="006578BB" w:rsidP="00C50FD8">
      <w:pPr>
        <w:spacing w:before="100" w:beforeAutospacing="1" w:after="100" w:afterAutospacing="1"/>
        <w:outlineLvl w:val="2"/>
        <w:rPr>
          <w:rFonts w:ascii="Times New Roman" w:hAnsi="Times New Roman"/>
          <w:i/>
        </w:rPr>
      </w:pPr>
      <w:r>
        <w:rPr>
          <w:rFonts w:ascii="Times New Roman" w:hAnsi="Times New Roman"/>
          <w:b/>
        </w:rPr>
        <w:t>T</w:t>
      </w:r>
      <w:r w:rsidR="00C50FD8">
        <w:rPr>
          <w:rFonts w:ascii="Times New Roman" w:hAnsi="Times New Roman"/>
          <w:b/>
        </w:rPr>
        <w:t>able 2: Effect of processing on Crude fiber fractions in water hyacinth (</w:t>
      </w:r>
      <w:r w:rsidR="00C50FD8">
        <w:rPr>
          <w:rFonts w:ascii="Times New Roman" w:hAnsi="Times New Roman"/>
          <w:b/>
          <w:i/>
        </w:rPr>
        <w:t>Eichhornia crassipes</w:t>
      </w:r>
      <w:r w:rsidR="00C50FD8">
        <w:rPr>
          <w:rFonts w:ascii="Times New Roman" w:hAnsi="Times New Roman"/>
          <w:b/>
        </w:rPr>
        <w:t>)</w:t>
      </w:r>
      <w:r w:rsidR="00C50FD8">
        <w:rPr>
          <w:rFonts w:ascii="Times New Roman" w:hAnsi="Times New Roman"/>
          <w:i/>
        </w:rPr>
        <w:t xml:space="preserve"> </w:t>
      </w:r>
    </w:p>
    <w:tbl>
      <w:tblPr>
        <w:tblW w:w="8747" w:type="dxa"/>
        <w:tblCellSpacing w:w="15" w:type="dxa"/>
        <w:tblBorders>
          <w:top w:val="single" w:sz="4" w:space="0" w:color="auto"/>
          <w:bottom w:val="single" w:sz="4" w:space="0" w:color="auto"/>
        </w:tblBorders>
        <w:tblLook w:val="04A0" w:firstRow="1" w:lastRow="0" w:firstColumn="1" w:lastColumn="0" w:noHBand="0" w:noVBand="1"/>
      </w:tblPr>
      <w:tblGrid>
        <w:gridCol w:w="1473"/>
        <w:gridCol w:w="2843"/>
        <w:gridCol w:w="2045"/>
        <w:gridCol w:w="2386"/>
      </w:tblGrid>
      <w:tr w:rsidR="00C50FD8" w14:paraId="456001AC" w14:textId="77777777" w:rsidTr="00C50FD8">
        <w:trPr>
          <w:trHeight w:val="457"/>
          <w:tblHeader/>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C5C1A08" w14:textId="77777777" w:rsidR="00C50FD8" w:rsidRDefault="00C50FD8">
            <w:pPr>
              <w:jc w:val="center"/>
              <w:rPr>
                <w:rFonts w:ascii="Times New Roman" w:hAnsi="Times New Roman"/>
                <w:b/>
                <w:bCs/>
              </w:rPr>
            </w:pPr>
            <w:r>
              <w:rPr>
                <w:rFonts w:ascii="Times New Roman" w:hAnsi="Times New Roman"/>
                <w:b/>
                <w:bCs/>
              </w:rPr>
              <w:t>Treatment Group</w:t>
            </w:r>
          </w:p>
        </w:tc>
        <w:tc>
          <w:tcPr>
            <w:tcW w:w="2813" w:type="dxa"/>
            <w:tcBorders>
              <w:top w:val="nil"/>
              <w:left w:val="nil"/>
              <w:bottom w:val="single" w:sz="4" w:space="0" w:color="auto"/>
              <w:right w:val="nil"/>
            </w:tcBorders>
            <w:tcMar>
              <w:top w:w="15" w:type="dxa"/>
              <w:left w:w="15" w:type="dxa"/>
              <w:bottom w:w="15" w:type="dxa"/>
              <w:right w:w="15" w:type="dxa"/>
            </w:tcMar>
            <w:vAlign w:val="center"/>
            <w:hideMark/>
          </w:tcPr>
          <w:p w14:paraId="745F8E7A" w14:textId="77777777" w:rsidR="00C50FD8" w:rsidRDefault="00C50FD8">
            <w:pPr>
              <w:jc w:val="center"/>
              <w:rPr>
                <w:rFonts w:ascii="Times New Roman" w:hAnsi="Times New Roman"/>
                <w:b/>
                <w:bCs/>
              </w:rPr>
            </w:pPr>
            <w:r>
              <w:rPr>
                <w:rFonts w:ascii="Times New Roman" w:hAnsi="Times New Roman"/>
                <w:b/>
                <w:bCs/>
              </w:rPr>
              <w:t xml:space="preserve">Crude </w:t>
            </w:r>
            <w:proofErr w:type="spellStart"/>
            <w:r>
              <w:rPr>
                <w:rFonts w:ascii="Times New Roman" w:hAnsi="Times New Roman"/>
                <w:b/>
                <w:bCs/>
              </w:rPr>
              <w:t>Fibre</w:t>
            </w:r>
            <w:proofErr w:type="spellEnd"/>
            <w:r>
              <w:rPr>
                <w:rFonts w:ascii="Times New Roman" w:hAnsi="Times New Roman"/>
                <w:b/>
                <w:bCs/>
              </w:rPr>
              <w:t xml:space="preserve"> (%)</w:t>
            </w:r>
          </w:p>
        </w:tc>
        <w:tc>
          <w:tcPr>
            <w:tcW w:w="2015" w:type="dxa"/>
            <w:tcBorders>
              <w:top w:val="nil"/>
              <w:left w:val="nil"/>
              <w:bottom w:val="single" w:sz="4" w:space="0" w:color="auto"/>
              <w:right w:val="nil"/>
            </w:tcBorders>
            <w:tcMar>
              <w:top w:w="15" w:type="dxa"/>
              <w:left w:w="15" w:type="dxa"/>
              <w:bottom w:w="15" w:type="dxa"/>
              <w:right w:w="15" w:type="dxa"/>
            </w:tcMar>
            <w:vAlign w:val="center"/>
            <w:hideMark/>
          </w:tcPr>
          <w:p w14:paraId="10E9DBFA" w14:textId="77777777" w:rsidR="00C50FD8" w:rsidRDefault="00C50FD8">
            <w:pPr>
              <w:jc w:val="center"/>
              <w:rPr>
                <w:rFonts w:ascii="Times New Roman" w:hAnsi="Times New Roman"/>
                <w:b/>
                <w:bCs/>
              </w:rPr>
            </w:pPr>
            <w:r>
              <w:rPr>
                <w:rFonts w:ascii="Times New Roman" w:hAnsi="Times New Roman"/>
                <w:b/>
                <w:bCs/>
              </w:rPr>
              <w:t>NDF (%)</w:t>
            </w:r>
          </w:p>
        </w:tc>
        <w:tc>
          <w:tcPr>
            <w:tcW w:w="2341" w:type="dxa"/>
            <w:tcBorders>
              <w:top w:val="nil"/>
              <w:left w:val="nil"/>
              <w:bottom w:val="single" w:sz="4" w:space="0" w:color="auto"/>
              <w:right w:val="nil"/>
            </w:tcBorders>
            <w:tcMar>
              <w:top w:w="15" w:type="dxa"/>
              <w:left w:w="15" w:type="dxa"/>
              <w:bottom w:w="15" w:type="dxa"/>
              <w:right w:w="15" w:type="dxa"/>
            </w:tcMar>
            <w:vAlign w:val="center"/>
            <w:hideMark/>
          </w:tcPr>
          <w:p w14:paraId="76A8D0D2" w14:textId="77777777" w:rsidR="00C50FD8" w:rsidRDefault="00C50FD8">
            <w:pPr>
              <w:jc w:val="center"/>
              <w:rPr>
                <w:rFonts w:ascii="Times New Roman" w:hAnsi="Times New Roman"/>
                <w:b/>
                <w:bCs/>
              </w:rPr>
            </w:pPr>
            <w:r>
              <w:rPr>
                <w:rFonts w:ascii="Times New Roman" w:hAnsi="Times New Roman"/>
                <w:b/>
                <w:bCs/>
              </w:rPr>
              <w:t>ADF (%)</w:t>
            </w:r>
          </w:p>
        </w:tc>
      </w:tr>
      <w:tr w:rsidR="00C50FD8" w14:paraId="24CA912B" w14:textId="77777777" w:rsidTr="00C50FD8">
        <w:trPr>
          <w:trHeight w:val="662"/>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0F2D0738" w14:textId="77777777" w:rsidR="00C50FD8" w:rsidRDefault="00C50FD8">
            <w:pPr>
              <w:jc w:val="center"/>
              <w:rPr>
                <w:rFonts w:ascii="Times New Roman" w:hAnsi="Times New Roman"/>
              </w:rPr>
            </w:pPr>
            <w:r>
              <w:rPr>
                <w:rFonts w:ascii="Times New Roman" w:hAnsi="Times New Roman"/>
              </w:rPr>
              <w:t>Fermented</w:t>
            </w:r>
          </w:p>
        </w:tc>
        <w:tc>
          <w:tcPr>
            <w:tcW w:w="2813" w:type="dxa"/>
            <w:tcBorders>
              <w:top w:val="nil"/>
              <w:left w:val="nil"/>
              <w:bottom w:val="nil"/>
              <w:right w:val="nil"/>
            </w:tcBorders>
            <w:tcMar>
              <w:top w:w="15" w:type="dxa"/>
              <w:left w:w="15" w:type="dxa"/>
              <w:bottom w:w="15" w:type="dxa"/>
              <w:right w:w="15" w:type="dxa"/>
            </w:tcMar>
            <w:vAlign w:val="center"/>
            <w:hideMark/>
          </w:tcPr>
          <w:p w14:paraId="4D7A99C1" w14:textId="77777777" w:rsidR="00C50FD8" w:rsidRDefault="00C50FD8">
            <w:pPr>
              <w:jc w:val="center"/>
              <w:rPr>
                <w:rFonts w:ascii="Times New Roman" w:hAnsi="Times New Roman"/>
              </w:rPr>
            </w:pPr>
            <w:r>
              <w:rPr>
                <w:rFonts w:ascii="Times New Roman" w:hAnsi="Times New Roman"/>
              </w:rPr>
              <w:t>31.70 ± 0.26</w:t>
            </w:r>
            <w:r>
              <w:rPr>
                <w:rFonts w:ascii="Times New Roman" w:hAnsi="Times New Roman"/>
                <w:vertAlign w:val="subscript"/>
              </w:rPr>
              <w:t>a</w:t>
            </w:r>
          </w:p>
        </w:tc>
        <w:tc>
          <w:tcPr>
            <w:tcW w:w="2015" w:type="dxa"/>
            <w:tcBorders>
              <w:top w:val="nil"/>
              <w:left w:val="nil"/>
              <w:bottom w:val="nil"/>
              <w:right w:val="nil"/>
            </w:tcBorders>
            <w:tcMar>
              <w:top w:w="15" w:type="dxa"/>
              <w:left w:w="15" w:type="dxa"/>
              <w:bottom w:w="15" w:type="dxa"/>
              <w:right w:w="15" w:type="dxa"/>
            </w:tcMar>
            <w:vAlign w:val="center"/>
            <w:hideMark/>
          </w:tcPr>
          <w:p w14:paraId="7369539B" w14:textId="77777777" w:rsidR="00C50FD8" w:rsidRDefault="00C50FD8">
            <w:pPr>
              <w:jc w:val="center"/>
              <w:rPr>
                <w:rFonts w:ascii="Times New Roman" w:hAnsi="Times New Roman"/>
              </w:rPr>
            </w:pPr>
            <w:r>
              <w:rPr>
                <w:rFonts w:ascii="Times New Roman" w:hAnsi="Times New Roman"/>
              </w:rPr>
              <w:t>54.32 ± 0.86ᵃ</w:t>
            </w:r>
          </w:p>
        </w:tc>
        <w:tc>
          <w:tcPr>
            <w:tcW w:w="2341" w:type="dxa"/>
            <w:tcBorders>
              <w:top w:val="nil"/>
              <w:left w:val="nil"/>
              <w:bottom w:val="nil"/>
              <w:right w:val="nil"/>
            </w:tcBorders>
            <w:tcMar>
              <w:top w:w="15" w:type="dxa"/>
              <w:left w:w="15" w:type="dxa"/>
              <w:bottom w:w="15" w:type="dxa"/>
              <w:right w:w="15" w:type="dxa"/>
            </w:tcMar>
            <w:vAlign w:val="center"/>
            <w:hideMark/>
          </w:tcPr>
          <w:p w14:paraId="2AB960FD" w14:textId="77777777" w:rsidR="00C50FD8" w:rsidRDefault="00C50FD8">
            <w:pPr>
              <w:jc w:val="center"/>
              <w:rPr>
                <w:rFonts w:ascii="Times New Roman" w:hAnsi="Times New Roman"/>
              </w:rPr>
            </w:pPr>
            <w:r>
              <w:rPr>
                <w:rFonts w:ascii="Times New Roman" w:hAnsi="Times New Roman"/>
              </w:rPr>
              <w:t>33.84 ± 0.69ᵃ</w:t>
            </w:r>
          </w:p>
        </w:tc>
      </w:tr>
      <w:tr w:rsidR="00C50FD8" w14:paraId="26A5BCF6" w14:textId="77777777" w:rsidTr="00C50FD8">
        <w:trPr>
          <w:trHeight w:val="662"/>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0A2FEE80" w14:textId="77777777" w:rsidR="00C50FD8" w:rsidRDefault="00C50FD8">
            <w:pPr>
              <w:jc w:val="center"/>
              <w:rPr>
                <w:rFonts w:ascii="Times New Roman" w:hAnsi="Times New Roman"/>
              </w:rPr>
            </w:pPr>
            <w:r>
              <w:rPr>
                <w:rFonts w:ascii="Times New Roman" w:hAnsi="Times New Roman"/>
              </w:rPr>
              <w:t>Boiled</w:t>
            </w:r>
          </w:p>
        </w:tc>
        <w:tc>
          <w:tcPr>
            <w:tcW w:w="2813" w:type="dxa"/>
            <w:tcBorders>
              <w:top w:val="nil"/>
              <w:left w:val="nil"/>
              <w:bottom w:val="nil"/>
              <w:right w:val="nil"/>
            </w:tcBorders>
            <w:tcMar>
              <w:top w:w="15" w:type="dxa"/>
              <w:left w:w="15" w:type="dxa"/>
              <w:bottom w:w="15" w:type="dxa"/>
              <w:right w:w="15" w:type="dxa"/>
            </w:tcMar>
            <w:vAlign w:val="center"/>
            <w:hideMark/>
          </w:tcPr>
          <w:p w14:paraId="6BDD49BD" w14:textId="77777777" w:rsidR="00C50FD8" w:rsidRDefault="00C50FD8">
            <w:pPr>
              <w:jc w:val="center"/>
              <w:rPr>
                <w:rFonts w:ascii="Times New Roman" w:hAnsi="Times New Roman"/>
              </w:rPr>
            </w:pPr>
            <w:r>
              <w:rPr>
                <w:rFonts w:ascii="Times New Roman" w:hAnsi="Times New Roman"/>
              </w:rPr>
              <w:t>34.57 ± 0.45</w:t>
            </w:r>
            <w:r>
              <w:rPr>
                <w:rFonts w:ascii="Times New Roman" w:hAnsi="Times New Roman"/>
                <w:vertAlign w:val="subscript"/>
              </w:rPr>
              <w:t>b</w:t>
            </w:r>
          </w:p>
        </w:tc>
        <w:tc>
          <w:tcPr>
            <w:tcW w:w="2015" w:type="dxa"/>
            <w:tcBorders>
              <w:top w:val="nil"/>
              <w:left w:val="nil"/>
              <w:bottom w:val="nil"/>
              <w:right w:val="nil"/>
            </w:tcBorders>
            <w:tcMar>
              <w:top w:w="15" w:type="dxa"/>
              <w:left w:w="15" w:type="dxa"/>
              <w:bottom w:w="15" w:type="dxa"/>
              <w:right w:w="15" w:type="dxa"/>
            </w:tcMar>
            <w:vAlign w:val="center"/>
            <w:hideMark/>
          </w:tcPr>
          <w:p w14:paraId="2362BC11" w14:textId="77777777" w:rsidR="00C50FD8" w:rsidRDefault="00C50FD8">
            <w:pPr>
              <w:jc w:val="center"/>
              <w:rPr>
                <w:rFonts w:ascii="Times New Roman" w:hAnsi="Times New Roman"/>
              </w:rPr>
            </w:pPr>
            <w:r>
              <w:rPr>
                <w:rFonts w:ascii="Times New Roman" w:hAnsi="Times New Roman"/>
              </w:rPr>
              <w:t>61.76 ± 0.94ᵇ</w:t>
            </w:r>
          </w:p>
        </w:tc>
        <w:tc>
          <w:tcPr>
            <w:tcW w:w="2341" w:type="dxa"/>
            <w:tcBorders>
              <w:top w:val="nil"/>
              <w:left w:val="nil"/>
              <w:bottom w:val="nil"/>
              <w:right w:val="nil"/>
            </w:tcBorders>
            <w:tcMar>
              <w:top w:w="15" w:type="dxa"/>
              <w:left w:w="15" w:type="dxa"/>
              <w:bottom w:w="15" w:type="dxa"/>
              <w:right w:w="15" w:type="dxa"/>
            </w:tcMar>
            <w:vAlign w:val="center"/>
            <w:hideMark/>
          </w:tcPr>
          <w:p w14:paraId="1DD59AF0" w14:textId="77777777" w:rsidR="00C50FD8" w:rsidRDefault="00C50FD8">
            <w:pPr>
              <w:jc w:val="center"/>
              <w:rPr>
                <w:rFonts w:ascii="Times New Roman" w:hAnsi="Times New Roman"/>
              </w:rPr>
            </w:pPr>
            <w:r>
              <w:rPr>
                <w:rFonts w:ascii="Times New Roman" w:hAnsi="Times New Roman"/>
              </w:rPr>
              <w:t>39.68 ± 0.76ᵇ</w:t>
            </w:r>
          </w:p>
        </w:tc>
      </w:tr>
      <w:tr w:rsidR="00C50FD8" w14:paraId="4D717B10" w14:textId="77777777" w:rsidTr="00C50FD8">
        <w:trPr>
          <w:trHeight w:val="662"/>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3F4EDFB1" w14:textId="77777777" w:rsidR="00C50FD8" w:rsidRDefault="00C50FD8">
            <w:pPr>
              <w:jc w:val="center"/>
              <w:rPr>
                <w:rFonts w:ascii="Times New Roman" w:hAnsi="Times New Roman"/>
              </w:rPr>
            </w:pPr>
            <w:r>
              <w:rPr>
                <w:rFonts w:ascii="Times New Roman" w:hAnsi="Times New Roman"/>
              </w:rPr>
              <w:t>Oven dried</w:t>
            </w:r>
          </w:p>
        </w:tc>
        <w:tc>
          <w:tcPr>
            <w:tcW w:w="2813" w:type="dxa"/>
            <w:tcBorders>
              <w:top w:val="nil"/>
              <w:left w:val="nil"/>
              <w:bottom w:val="nil"/>
              <w:right w:val="nil"/>
            </w:tcBorders>
            <w:tcMar>
              <w:top w:w="15" w:type="dxa"/>
              <w:left w:w="15" w:type="dxa"/>
              <w:bottom w:w="15" w:type="dxa"/>
              <w:right w:w="15" w:type="dxa"/>
            </w:tcMar>
            <w:vAlign w:val="center"/>
            <w:hideMark/>
          </w:tcPr>
          <w:p w14:paraId="4FE8573A" w14:textId="77777777" w:rsidR="00C50FD8" w:rsidRDefault="00C50FD8">
            <w:pPr>
              <w:jc w:val="center"/>
              <w:rPr>
                <w:rFonts w:ascii="Times New Roman" w:hAnsi="Times New Roman"/>
              </w:rPr>
            </w:pPr>
            <w:r>
              <w:rPr>
                <w:rFonts w:ascii="Times New Roman" w:hAnsi="Times New Roman"/>
              </w:rPr>
              <w:t>37.40 ± 0.56</w:t>
            </w:r>
            <w:r>
              <w:rPr>
                <w:rFonts w:ascii="Times New Roman" w:hAnsi="Times New Roman"/>
                <w:vertAlign w:val="subscript"/>
              </w:rPr>
              <w:t>c</w:t>
            </w:r>
          </w:p>
        </w:tc>
        <w:tc>
          <w:tcPr>
            <w:tcW w:w="2015" w:type="dxa"/>
            <w:tcBorders>
              <w:top w:val="nil"/>
              <w:left w:val="nil"/>
              <w:bottom w:val="nil"/>
              <w:right w:val="nil"/>
            </w:tcBorders>
            <w:tcMar>
              <w:top w:w="15" w:type="dxa"/>
              <w:left w:w="15" w:type="dxa"/>
              <w:bottom w:w="15" w:type="dxa"/>
              <w:right w:w="15" w:type="dxa"/>
            </w:tcMar>
            <w:vAlign w:val="center"/>
            <w:hideMark/>
          </w:tcPr>
          <w:p w14:paraId="1F672251" w14:textId="77777777" w:rsidR="00C50FD8" w:rsidRDefault="00C50FD8">
            <w:pPr>
              <w:jc w:val="center"/>
              <w:rPr>
                <w:rFonts w:ascii="Times New Roman" w:hAnsi="Times New Roman"/>
              </w:rPr>
            </w:pPr>
            <w:r>
              <w:rPr>
                <w:rFonts w:ascii="Times New Roman" w:hAnsi="Times New Roman"/>
              </w:rPr>
              <w:t>68.87 ± 1.05ᶜ</w:t>
            </w:r>
          </w:p>
        </w:tc>
        <w:tc>
          <w:tcPr>
            <w:tcW w:w="2341" w:type="dxa"/>
            <w:tcBorders>
              <w:top w:val="nil"/>
              <w:left w:val="nil"/>
              <w:bottom w:val="nil"/>
              <w:right w:val="nil"/>
            </w:tcBorders>
            <w:tcMar>
              <w:top w:w="15" w:type="dxa"/>
              <w:left w:w="15" w:type="dxa"/>
              <w:bottom w:w="15" w:type="dxa"/>
              <w:right w:w="15" w:type="dxa"/>
            </w:tcMar>
            <w:vAlign w:val="center"/>
            <w:hideMark/>
          </w:tcPr>
          <w:p w14:paraId="529C3386" w14:textId="77777777" w:rsidR="00C50FD8" w:rsidRDefault="00C50FD8">
            <w:pPr>
              <w:jc w:val="center"/>
              <w:rPr>
                <w:rFonts w:ascii="Times New Roman" w:hAnsi="Times New Roman"/>
              </w:rPr>
            </w:pPr>
            <w:r>
              <w:rPr>
                <w:rFonts w:ascii="Times New Roman" w:hAnsi="Times New Roman"/>
              </w:rPr>
              <w:t>45.17 ± 0.83ᶜ</w:t>
            </w:r>
          </w:p>
        </w:tc>
      </w:tr>
      <w:tr w:rsidR="00C50FD8" w14:paraId="74A8C435" w14:textId="77777777" w:rsidTr="00C50FD8">
        <w:trPr>
          <w:trHeight w:val="687"/>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158AF76C" w14:textId="77777777" w:rsidR="00C50FD8" w:rsidRDefault="00C50FD8">
            <w:pPr>
              <w:jc w:val="center"/>
              <w:rPr>
                <w:rFonts w:ascii="Times New Roman" w:hAnsi="Times New Roman"/>
              </w:rPr>
            </w:pPr>
            <w:r>
              <w:rPr>
                <w:rFonts w:ascii="Times New Roman" w:hAnsi="Times New Roman"/>
              </w:rPr>
              <w:lastRenderedPageBreak/>
              <w:t>Control</w:t>
            </w:r>
          </w:p>
        </w:tc>
        <w:tc>
          <w:tcPr>
            <w:tcW w:w="2813" w:type="dxa"/>
            <w:tcBorders>
              <w:top w:val="nil"/>
              <w:left w:val="nil"/>
              <w:bottom w:val="nil"/>
              <w:right w:val="nil"/>
            </w:tcBorders>
            <w:tcMar>
              <w:top w:w="15" w:type="dxa"/>
              <w:left w:w="15" w:type="dxa"/>
              <w:bottom w:w="15" w:type="dxa"/>
              <w:right w:w="15" w:type="dxa"/>
            </w:tcMar>
            <w:vAlign w:val="center"/>
            <w:hideMark/>
          </w:tcPr>
          <w:p w14:paraId="0F429F36" w14:textId="77777777" w:rsidR="00C50FD8" w:rsidRDefault="00C50FD8">
            <w:pPr>
              <w:jc w:val="center"/>
              <w:rPr>
                <w:rFonts w:ascii="Times New Roman" w:hAnsi="Times New Roman"/>
              </w:rPr>
            </w:pPr>
            <w:r>
              <w:rPr>
                <w:rFonts w:ascii="Times New Roman" w:hAnsi="Times New Roman"/>
              </w:rPr>
              <w:t>39.47 ± 0.50</w:t>
            </w:r>
            <w:r>
              <w:rPr>
                <w:rFonts w:ascii="Times New Roman" w:hAnsi="Times New Roman"/>
                <w:vertAlign w:val="subscript"/>
              </w:rPr>
              <w:t>d</w:t>
            </w:r>
          </w:p>
        </w:tc>
        <w:tc>
          <w:tcPr>
            <w:tcW w:w="2015" w:type="dxa"/>
            <w:tcBorders>
              <w:top w:val="nil"/>
              <w:left w:val="nil"/>
              <w:bottom w:val="nil"/>
              <w:right w:val="nil"/>
            </w:tcBorders>
            <w:tcMar>
              <w:top w:w="15" w:type="dxa"/>
              <w:left w:w="15" w:type="dxa"/>
              <w:bottom w:w="15" w:type="dxa"/>
              <w:right w:w="15" w:type="dxa"/>
            </w:tcMar>
            <w:vAlign w:val="center"/>
            <w:hideMark/>
          </w:tcPr>
          <w:p w14:paraId="09E29E35" w14:textId="77777777" w:rsidR="00C50FD8" w:rsidRDefault="00C50FD8">
            <w:pPr>
              <w:jc w:val="center"/>
              <w:rPr>
                <w:rFonts w:ascii="Times New Roman" w:hAnsi="Times New Roman"/>
              </w:rPr>
            </w:pPr>
            <w:r>
              <w:rPr>
                <w:rFonts w:ascii="Times New Roman" w:hAnsi="Times New Roman"/>
              </w:rPr>
              <w:t>72.43 ± 1.21ᵈ</w:t>
            </w:r>
          </w:p>
        </w:tc>
        <w:tc>
          <w:tcPr>
            <w:tcW w:w="2341" w:type="dxa"/>
            <w:tcBorders>
              <w:top w:val="nil"/>
              <w:left w:val="nil"/>
              <w:bottom w:val="nil"/>
              <w:right w:val="nil"/>
            </w:tcBorders>
            <w:tcMar>
              <w:top w:w="15" w:type="dxa"/>
              <w:left w:w="15" w:type="dxa"/>
              <w:bottom w:w="15" w:type="dxa"/>
              <w:right w:w="15" w:type="dxa"/>
            </w:tcMar>
            <w:vAlign w:val="center"/>
            <w:hideMark/>
          </w:tcPr>
          <w:p w14:paraId="55DC0496" w14:textId="77777777" w:rsidR="00C50FD8" w:rsidRDefault="00C50FD8">
            <w:pPr>
              <w:jc w:val="center"/>
              <w:rPr>
                <w:rFonts w:ascii="Times New Roman" w:hAnsi="Times New Roman"/>
              </w:rPr>
            </w:pPr>
            <w:r>
              <w:rPr>
                <w:rFonts w:ascii="Times New Roman" w:hAnsi="Times New Roman"/>
              </w:rPr>
              <w:t>48.26 ± 0.98ᵈ</w:t>
            </w:r>
          </w:p>
        </w:tc>
      </w:tr>
    </w:tbl>
    <w:p w14:paraId="097C1DAB" w14:textId="77777777" w:rsidR="00C50FD8" w:rsidRDefault="00C50FD8" w:rsidP="00C50FD8">
      <w:pPr>
        <w:spacing w:before="100" w:beforeAutospacing="1" w:after="100" w:afterAutospacing="1"/>
        <w:outlineLvl w:val="2"/>
        <w:rPr>
          <w:rFonts w:ascii="Times New Roman" w:eastAsiaTheme="minorEastAsia" w:hAnsi="Times New Roman"/>
          <w:i/>
          <w:kern w:val="2"/>
          <w14:ligatures w14:val="standardContextual"/>
        </w:rPr>
      </w:pPr>
      <w:r>
        <w:rPr>
          <w:rFonts w:ascii="Times New Roman" w:hAnsi="Times New Roman"/>
          <w:i/>
        </w:rPr>
        <w:t>Means with different superscript letters indicate significant differences, while means sharing the same letter indicate no significant difference at (</w:t>
      </w:r>
      <w:r>
        <w:rPr>
          <w:rStyle w:val="Emphasis"/>
          <w:rFonts w:ascii="Times New Roman" w:hAnsi="Times New Roman"/>
        </w:rPr>
        <w:t>p</w:t>
      </w:r>
      <w:r>
        <w:rPr>
          <w:rFonts w:ascii="Times New Roman" w:hAnsi="Times New Roman"/>
          <w:i/>
        </w:rPr>
        <w:t xml:space="preserve"> &lt; 0.05).</w:t>
      </w:r>
    </w:p>
    <w:p w14:paraId="798AD8B3" w14:textId="77777777" w:rsidR="00C50FD8" w:rsidRPr="006578BB" w:rsidRDefault="00C50FD8" w:rsidP="00C50FD8">
      <w:pPr>
        <w:rPr>
          <w:rFonts w:ascii="Times New Roman" w:hAnsi="Times New Roman"/>
        </w:rPr>
      </w:pPr>
      <w:r w:rsidRPr="006578BB">
        <w:rPr>
          <w:rFonts w:ascii="Times New Roman" w:hAnsi="Times New Roman"/>
        </w:rPr>
        <w:t>Effect of processing on Free Amino Acids level in Water hyacinth (</w:t>
      </w:r>
      <w:r w:rsidRPr="006578BB">
        <w:rPr>
          <w:rFonts w:ascii="Times New Roman" w:hAnsi="Times New Roman"/>
          <w:i/>
        </w:rPr>
        <w:t xml:space="preserve">Eichhornia </w:t>
      </w:r>
      <w:r w:rsidRPr="006578BB">
        <w:rPr>
          <w:rFonts w:ascii="Times New Roman" w:hAnsi="Times New Roman"/>
          <w:i/>
        </w:rPr>
        <w:tab/>
        <w:t>crassipes</w:t>
      </w:r>
      <w:r w:rsidRPr="006578BB">
        <w:rPr>
          <w:rFonts w:ascii="Times New Roman" w:hAnsi="Times New Roman"/>
        </w:rPr>
        <w:t>)</w:t>
      </w:r>
    </w:p>
    <w:p w14:paraId="5EA831FA" w14:textId="77777777" w:rsidR="00C50FD8" w:rsidRDefault="00C50FD8" w:rsidP="00C50FD8">
      <w:pPr>
        <w:spacing w:line="480" w:lineRule="auto"/>
        <w:jc w:val="both"/>
        <w:rPr>
          <w:rFonts w:asciiTheme="minorHAnsi" w:hAnsiTheme="minorHAnsi" w:cstheme="minorBidi"/>
        </w:rPr>
      </w:pPr>
      <w:r>
        <w:rPr>
          <w:rFonts w:ascii="Times New Roman" w:hAnsi="Times New Roman"/>
        </w:rPr>
        <w:t xml:space="preserve">The free amino acid levels of </w:t>
      </w:r>
      <w:r>
        <w:rPr>
          <w:rStyle w:val="Emphasis"/>
          <w:rFonts w:eastAsiaTheme="majorEastAsia"/>
          <w:highlight w:val="yellow"/>
        </w:rPr>
        <w:t>Eichhornia crassipes</w:t>
      </w:r>
      <w:r>
        <w:rPr>
          <w:rFonts w:ascii="Times New Roman" w:hAnsi="Times New Roman"/>
        </w:rPr>
        <w:t xml:space="preserve"> varied significantly among the different treatment groups. The control sample recorded the highest free amino acid concentration (1270.40 ± 0.97 mg/L), followed by the fermented sample (270.62 ± 0.35 mg/L) and the boiled sample (138.90 ± 0.56 mg/L), while the oven-dried sample had the lowest concentration (94.51 ± 0.29 mg/L). The results indicate a marked reduction in free amino acid levels following processing. Although fermentation retained a higher free amino acid concentration than the boiled and oven-dried samples, its value remained substantially lower than that of the control. Boiling further reduced the free amino acid concentration, while oven drying resulted in the lowest level among the processed samples. The different superscript letters (a-d) in the table indicate that the free amino acid concentrations of all treatment groups were significantly different from one another (</w:t>
      </w:r>
      <w:r>
        <w:rPr>
          <w:rStyle w:val="Emphasis"/>
          <w:rFonts w:eastAsiaTheme="majorEastAsia"/>
        </w:rPr>
        <w:t>p</w:t>
      </w:r>
      <w:r>
        <w:rPr>
          <w:rFonts w:ascii="Times New Roman" w:hAnsi="Times New Roman"/>
        </w:rPr>
        <w:t xml:space="preserve"> &lt; 0.05). This demonstrates that each processing method had a statistically significant effect on the free amino acid levels of </w:t>
      </w:r>
      <w:r>
        <w:rPr>
          <w:rFonts w:ascii="Times New Roman" w:hAnsi="Times New Roman"/>
          <w:highlight w:val="yellow"/>
        </w:rPr>
        <w:t>w</w:t>
      </w:r>
      <w:r>
        <w:rPr>
          <w:rFonts w:ascii="Times New Roman" w:hAnsi="Times New Roman"/>
        </w:rPr>
        <w:t>ater hyacinth (</w:t>
      </w:r>
      <w:r>
        <w:rPr>
          <w:rStyle w:val="Emphasis"/>
          <w:rFonts w:eastAsiaTheme="majorEastAsia"/>
          <w:highlight w:val="yellow"/>
        </w:rPr>
        <w:t>Eichhornia crassipes</w:t>
      </w:r>
      <w:r>
        <w:t>).</w:t>
      </w:r>
    </w:p>
    <w:p w14:paraId="759233D6" w14:textId="77777777" w:rsidR="00C50FD8" w:rsidRPr="006578BB" w:rsidRDefault="00C50FD8" w:rsidP="00C50FD8">
      <w:pPr>
        <w:rPr>
          <w:rFonts w:ascii="Times New Roman" w:hAnsi="Times New Roman"/>
        </w:rPr>
      </w:pPr>
      <w:r w:rsidRPr="006578BB">
        <w:rPr>
          <w:rFonts w:ascii="Times New Roman" w:hAnsi="Times New Roman"/>
        </w:rPr>
        <w:t>Table 3: Effect of processing on Free Amino Acids level in Water hyacinth (</w:t>
      </w:r>
      <w:r w:rsidRPr="006578BB">
        <w:rPr>
          <w:rFonts w:ascii="Times New Roman" w:hAnsi="Times New Roman"/>
          <w:i/>
        </w:rPr>
        <w:t>Eichhornia crassipes</w:t>
      </w:r>
      <w:r w:rsidRPr="006578BB">
        <w:rPr>
          <w:rFonts w:ascii="Times New Roman" w:hAnsi="Times New Roman"/>
        </w:rPr>
        <w:t>)</w:t>
      </w:r>
    </w:p>
    <w:tbl>
      <w:tblPr>
        <w:tblW w:w="9378" w:type="dxa"/>
        <w:tblCellSpacing w:w="15" w:type="dxa"/>
        <w:tblBorders>
          <w:top w:val="single" w:sz="4" w:space="0" w:color="auto"/>
          <w:bottom w:val="single" w:sz="4" w:space="0" w:color="auto"/>
        </w:tblBorders>
        <w:tblLook w:val="04A0" w:firstRow="1" w:lastRow="0" w:firstColumn="1" w:lastColumn="0" w:noHBand="0" w:noVBand="1"/>
      </w:tblPr>
      <w:tblGrid>
        <w:gridCol w:w="4279"/>
        <w:gridCol w:w="5099"/>
      </w:tblGrid>
      <w:tr w:rsidR="00C50FD8" w14:paraId="77C153A8" w14:textId="77777777" w:rsidTr="00C50FD8">
        <w:trPr>
          <w:trHeight w:val="462"/>
          <w:tblHeader/>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4DB87CA" w14:textId="77777777" w:rsidR="00C50FD8" w:rsidRDefault="00C50FD8">
            <w:pPr>
              <w:jc w:val="center"/>
              <w:rPr>
                <w:rFonts w:ascii="Times New Roman" w:hAnsi="Times New Roman"/>
                <w:b/>
                <w:bCs/>
              </w:rPr>
            </w:pPr>
            <w:r>
              <w:rPr>
                <w:rFonts w:ascii="Times New Roman" w:hAnsi="Times New Roman"/>
                <w:b/>
                <w:bCs/>
              </w:rPr>
              <w:t>Treatment Group</w:t>
            </w:r>
          </w:p>
        </w:tc>
        <w:tc>
          <w:tcPr>
            <w:tcW w:w="5054" w:type="dxa"/>
            <w:tcBorders>
              <w:top w:val="nil"/>
              <w:left w:val="nil"/>
              <w:bottom w:val="single" w:sz="4" w:space="0" w:color="auto"/>
              <w:right w:val="nil"/>
            </w:tcBorders>
            <w:tcMar>
              <w:top w:w="15" w:type="dxa"/>
              <w:left w:w="15" w:type="dxa"/>
              <w:bottom w:w="15" w:type="dxa"/>
              <w:right w:w="15" w:type="dxa"/>
            </w:tcMar>
            <w:hideMark/>
          </w:tcPr>
          <w:p w14:paraId="74F50B59" w14:textId="77777777" w:rsidR="00C50FD8" w:rsidRDefault="00C50FD8">
            <w:pPr>
              <w:jc w:val="center"/>
              <w:rPr>
                <w:rFonts w:ascii="Times New Roman" w:hAnsi="Times New Roman"/>
                <w:b/>
                <w:bCs/>
              </w:rPr>
            </w:pPr>
            <w:r>
              <w:rPr>
                <w:rFonts w:ascii="Times New Roman" w:hAnsi="Times New Roman"/>
                <w:b/>
              </w:rPr>
              <w:t>Concentrations (mg/L</w:t>
            </w:r>
            <w:r>
              <w:rPr>
                <w:rFonts w:ascii="Times New Roman" w:hAnsi="Times New Roman"/>
                <w:b/>
                <w:vertAlign w:val="superscript"/>
              </w:rPr>
              <w:t>-1</w:t>
            </w:r>
            <w:r>
              <w:rPr>
                <w:rFonts w:ascii="Times New Roman" w:hAnsi="Times New Roman"/>
                <w:b/>
              </w:rPr>
              <w:t>)</w:t>
            </w:r>
          </w:p>
        </w:tc>
      </w:tr>
      <w:tr w:rsidR="00C50FD8" w14:paraId="2DCDCDDC" w14:textId="77777777" w:rsidTr="00C50FD8">
        <w:trPr>
          <w:trHeight w:val="700"/>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4EB35DD3" w14:textId="77777777" w:rsidR="00C50FD8" w:rsidRDefault="00C50FD8">
            <w:pPr>
              <w:jc w:val="center"/>
              <w:rPr>
                <w:rFonts w:ascii="Times New Roman" w:hAnsi="Times New Roman"/>
              </w:rPr>
            </w:pPr>
            <w:r>
              <w:rPr>
                <w:rFonts w:ascii="Times New Roman" w:hAnsi="Times New Roman"/>
              </w:rPr>
              <w:t>Fermented</w:t>
            </w:r>
          </w:p>
        </w:tc>
        <w:tc>
          <w:tcPr>
            <w:tcW w:w="5054" w:type="dxa"/>
            <w:tcBorders>
              <w:top w:val="nil"/>
              <w:left w:val="nil"/>
              <w:bottom w:val="nil"/>
              <w:right w:val="nil"/>
            </w:tcBorders>
            <w:tcMar>
              <w:top w:w="15" w:type="dxa"/>
              <w:left w:w="15" w:type="dxa"/>
              <w:bottom w:w="15" w:type="dxa"/>
              <w:right w:w="15" w:type="dxa"/>
            </w:tcMar>
            <w:vAlign w:val="center"/>
            <w:hideMark/>
          </w:tcPr>
          <w:p w14:paraId="522342FD" w14:textId="77777777" w:rsidR="00C50FD8" w:rsidRDefault="00C50FD8">
            <w:pPr>
              <w:jc w:val="center"/>
              <w:rPr>
                <w:rFonts w:ascii="Times New Roman" w:hAnsi="Times New Roman"/>
              </w:rPr>
            </w:pPr>
            <w:r>
              <w:rPr>
                <w:rFonts w:ascii="Times New Roman" w:hAnsi="Times New Roman"/>
              </w:rPr>
              <w:t>270.62 ± 0.35</w:t>
            </w:r>
            <w:r>
              <w:rPr>
                <w:rFonts w:ascii="Times New Roman" w:hAnsi="Times New Roman"/>
                <w:vertAlign w:val="subscript"/>
              </w:rPr>
              <w:t>b</w:t>
            </w:r>
          </w:p>
        </w:tc>
      </w:tr>
      <w:tr w:rsidR="00C50FD8" w14:paraId="21C74BF2" w14:textId="77777777" w:rsidTr="00C50FD8">
        <w:trPr>
          <w:trHeight w:val="670"/>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4B5F449E" w14:textId="77777777" w:rsidR="00C50FD8" w:rsidRDefault="00C50FD8">
            <w:pPr>
              <w:jc w:val="center"/>
              <w:rPr>
                <w:rFonts w:ascii="Times New Roman" w:hAnsi="Times New Roman"/>
              </w:rPr>
            </w:pPr>
            <w:r>
              <w:rPr>
                <w:rFonts w:ascii="Times New Roman" w:hAnsi="Times New Roman"/>
              </w:rPr>
              <w:t>Boiled</w:t>
            </w:r>
          </w:p>
        </w:tc>
        <w:tc>
          <w:tcPr>
            <w:tcW w:w="5054" w:type="dxa"/>
            <w:tcBorders>
              <w:top w:val="nil"/>
              <w:left w:val="nil"/>
              <w:bottom w:val="nil"/>
              <w:right w:val="nil"/>
            </w:tcBorders>
            <w:tcMar>
              <w:top w:w="15" w:type="dxa"/>
              <w:left w:w="15" w:type="dxa"/>
              <w:bottom w:w="15" w:type="dxa"/>
              <w:right w:w="15" w:type="dxa"/>
            </w:tcMar>
            <w:vAlign w:val="center"/>
            <w:hideMark/>
          </w:tcPr>
          <w:p w14:paraId="20D8371E" w14:textId="77777777" w:rsidR="00C50FD8" w:rsidRDefault="00C50FD8">
            <w:pPr>
              <w:jc w:val="center"/>
              <w:rPr>
                <w:rFonts w:ascii="Times New Roman" w:hAnsi="Times New Roman"/>
              </w:rPr>
            </w:pPr>
            <w:r>
              <w:rPr>
                <w:rFonts w:ascii="Times New Roman" w:hAnsi="Times New Roman"/>
              </w:rPr>
              <w:t>138.90 ± 0.56</w:t>
            </w:r>
            <w:r>
              <w:rPr>
                <w:rFonts w:ascii="Times New Roman" w:hAnsi="Times New Roman"/>
                <w:vertAlign w:val="subscript"/>
              </w:rPr>
              <w:t>c</w:t>
            </w:r>
          </w:p>
        </w:tc>
      </w:tr>
      <w:tr w:rsidR="00C50FD8" w14:paraId="4243F147" w14:textId="77777777" w:rsidTr="00C50FD8">
        <w:trPr>
          <w:trHeight w:val="670"/>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75B958C7" w14:textId="77777777" w:rsidR="00C50FD8" w:rsidRDefault="00C50FD8">
            <w:pPr>
              <w:jc w:val="center"/>
              <w:rPr>
                <w:rFonts w:ascii="Times New Roman" w:hAnsi="Times New Roman"/>
              </w:rPr>
            </w:pPr>
            <w:r>
              <w:rPr>
                <w:rFonts w:ascii="Times New Roman" w:hAnsi="Times New Roman"/>
              </w:rPr>
              <w:t>Oven dried</w:t>
            </w:r>
          </w:p>
        </w:tc>
        <w:tc>
          <w:tcPr>
            <w:tcW w:w="5054" w:type="dxa"/>
            <w:tcBorders>
              <w:top w:val="nil"/>
              <w:left w:val="nil"/>
              <w:bottom w:val="nil"/>
              <w:right w:val="nil"/>
            </w:tcBorders>
            <w:tcMar>
              <w:top w:w="15" w:type="dxa"/>
              <w:left w:w="15" w:type="dxa"/>
              <w:bottom w:w="15" w:type="dxa"/>
              <w:right w:w="15" w:type="dxa"/>
            </w:tcMar>
            <w:vAlign w:val="center"/>
            <w:hideMark/>
          </w:tcPr>
          <w:p w14:paraId="628FD0A3" w14:textId="77777777" w:rsidR="00C50FD8" w:rsidRDefault="00C50FD8">
            <w:pPr>
              <w:jc w:val="center"/>
              <w:rPr>
                <w:rFonts w:ascii="Times New Roman" w:hAnsi="Times New Roman"/>
              </w:rPr>
            </w:pPr>
            <w:r>
              <w:rPr>
                <w:rFonts w:ascii="Times New Roman" w:hAnsi="Times New Roman"/>
              </w:rPr>
              <w:t>94.51 ± 0.29</w:t>
            </w:r>
            <w:r>
              <w:rPr>
                <w:rFonts w:ascii="Times New Roman" w:hAnsi="Times New Roman"/>
                <w:vertAlign w:val="subscript"/>
              </w:rPr>
              <w:t>d</w:t>
            </w:r>
          </w:p>
        </w:tc>
      </w:tr>
      <w:tr w:rsidR="00C50FD8" w14:paraId="0C6305D8" w14:textId="77777777" w:rsidTr="00C50FD8">
        <w:trPr>
          <w:trHeight w:val="425"/>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438C187E" w14:textId="77777777" w:rsidR="00C50FD8" w:rsidRDefault="00C50FD8">
            <w:pPr>
              <w:jc w:val="center"/>
              <w:rPr>
                <w:rFonts w:ascii="Times New Roman" w:hAnsi="Times New Roman"/>
              </w:rPr>
            </w:pPr>
            <w:r>
              <w:rPr>
                <w:rFonts w:ascii="Times New Roman" w:hAnsi="Times New Roman"/>
              </w:rPr>
              <w:t>Control</w:t>
            </w:r>
          </w:p>
        </w:tc>
        <w:tc>
          <w:tcPr>
            <w:tcW w:w="5054" w:type="dxa"/>
            <w:tcBorders>
              <w:top w:val="nil"/>
              <w:left w:val="nil"/>
              <w:bottom w:val="nil"/>
              <w:right w:val="nil"/>
            </w:tcBorders>
            <w:tcMar>
              <w:top w:w="15" w:type="dxa"/>
              <w:left w:w="15" w:type="dxa"/>
              <w:bottom w:w="15" w:type="dxa"/>
              <w:right w:w="15" w:type="dxa"/>
            </w:tcMar>
            <w:vAlign w:val="center"/>
            <w:hideMark/>
          </w:tcPr>
          <w:p w14:paraId="70948298" w14:textId="77777777" w:rsidR="00C50FD8" w:rsidRDefault="00C50FD8">
            <w:pPr>
              <w:jc w:val="center"/>
              <w:rPr>
                <w:rFonts w:ascii="Times New Roman" w:hAnsi="Times New Roman"/>
              </w:rPr>
            </w:pPr>
            <w:r>
              <w:rPr>
                <w:rFonts w:ascii="Times New Roman" w:hAnsi="Times New Roman"/>
              </w:rPr>
              <w:t>1270.40 ± 0.97</w:t>
            </w:r>
            <w:r>
              <w:rPr>
                <w:rFonts w:ascii="Times New Roman" w:hAnsi="Times New Roman"/>
                <w:vertAlign w:val="subscript"/>
              </w:rPr>
              <w:t>a</w:t>
            </w:r>
          </w:p>
        </w:tc>
      </w:tr>
    </w:tbl>
    <w:p w14:paraId="4DE3F66D" w14:textId="77777777" w:rsidR="00C50FD8" w:rsidRDefault="00C50FD8" w:rsidP="00C50FD8">
      <w:pPr>
        <w:spacing w:before="100" w:beforeAutospacing="1" w:after="100" w:afterAutospacing="1"/>
        <w:outlineLvl w:val="2"/>
        <w:rPr>
          <w:rFonts w:ascii="Times New Roman" w:eastAsiaTheme="minorEastAsia" w:hAnsi="Times New Roman"/>
          <w:i/>
          <w:kern w:val="2"/>
          <w14:ligatures w14:val="standardContextual"/>
        </w:rPr>
      </w:pPr>
      <w:r>
        <w:rPr>
          <w:rFonts w:ascii="Times New Roman" w:hAnsi="Times New Roman"/>
          <w:i/>
        </w:rPr>
        <w:t>Means with different superscript letters indicate significant differences, while means sharing the same letter indicate no significant difference at (</w:t>
      </w:r>
      <w:r>
        <w:rPr>
          <w:rStyle w:val="Emphasis"/>
          <w:rFonts w:ascii="Times New Roman" w:hAnsi="Times New Roman"/>
        </w:rPr>
        <w:t>p</w:t>
      </w:r>
      <w:r>
        <w:rPr>
          <w:rFonts w:ascii="Times New Roman" w:hAnsi="Times New Roman"/>
          <w:i/>
        </w:rPr>
        <w:t xml:space="preserve"> &lt; 0.05).</w:t>
      </w:r>
    </w:p>
    <w:p w14:paraId="3D718DF6" w14:textId="77777777" w:rsidR="00C50FD8" w:rsidRPr="006578BB" w:rsidRDefault="00C50FD8" w:rsidP="00C50FD8">
      <w:pPr>
        <w:jc w:val="both"/>
        <w:rPr>
          <w:rFonts w:ascii="Times New Roman" w:hAnsi="Times New Roman"/>
        </w:rPr>
      </w:pPr>
      <w:r w:rsidRPr="006578BB">
        <w:rPr>
          <w:rFonts w:ascii="Times New Roman" w:hAnsi="Times New Roman"/>
        </w:rPr>
        <w:t xml:space="preserve">Effect of processing on the level of some selected Anti-nutritional factors in Water </w:t>
      </w:r>
      <w:r w:rsidRPr="006578BB">
        <w:rPr>
          <w:rFonts w:ascii="Times New Roman" w:hAnsi="Times New Roman"/>
        </w:rPr>
        <w:tab/>
        <w:t>hyacinth (</w:t>
      </w:r>
      <w:r w:rsidRPr="006578BB">
        <w:rPr>
          <w:rFonts w:ascii="Times New Roman" w:hAnsi="Times New Roman"/>
          <w:i/>
        </w:rPr>
        <w:t>Eichhornia crassipes</w:t>
      </w:r>
      <w:r w:rsidRPr="006578BB">
        <w:rPr>
          <w:rFonts w:ascii="Times New Roman" w:hAnsi="Times New Roman"/>
        </w:rPr>
        <w:t>)</w:t>
      </w:r>
    </w:p>
    <w:p w14:paraId="485FF274" w14:textId="77777777" w:rsidR="00C50FD8" w:rsidRDefault="00C50FD8" w:rsidP="00C50FD8">
      <w:pPr>
        <w:pStyle w:val="pdq2pgselectionanchorcontainer"/>
        <w:spacing w:before="0" w:beforeAutospacing="0" w:after="0" w:afterAutospacing="0" w:line="480" w:lineRule="auto"/>
        <w:jc w:val="both"/>
      </w:pPr>
      <w:r>
        <w:t xml:space="preserve">The tannin content of </w:t>
      </w:r>
      <w:r>
        <w:rPr>
          <w:rStyle w:val="Emphasis"/>
          <w:rFonts w:eastAsiaTheme="majorEastAsia"/>
          <w:highlight w:val="yellow"/>
        </w:rPr>
        <w:t>Eichhornia crassipes</w:t>
      </w:r>
      <w:r>
        <w:t xml:space="preserve"> varied among the different treatment groups. The control sample recorded the highest tannin concentration (64.52 ± 0.38 mg/m</w:t>
      </w:r>
      <w:r>
        <w:rPr>
          <w:highlight w:val="yellow"/>
        </w:rPr>
        <w:t>L</w:t>
      </w:r>
      <w:r>
        <w:t>), followed by the oven-dried sample (53.06 ± 0.39 mg/m</w:t>
      </w:r>
      <w:r>
        <w:rPr>
          <w:highlight w:val="yellow"/>
        </w:rPr>
        <w:t>L</w:t>
      </w:r>
      <w:r>
        <w:t>) and the fermented sample (48.20 ± 0.35 mg/m</w:t>
      </w:r>
      <w:r>
        <w:rPr>
          <w:highlight w:val="yellow"/>
        </w:rPr>
        <w:t>L</w:t>
      </w:r>
      <w:r>
        <w:t>), while the boiled sample had the lowest tannin concentration (24.58 ± 0.32 mg/m</w:t>
      </w:r>
      <w:r>
        <w:rPr>
          <w:highlight w:val="yellow"/>
        </w:rPr>
        <w:t>L</w:t>
      </w:r>
      <w:r>
        <w:t xml:space="preserve">). The results indicate that all processing methods reduced the tannin content </w:t>
      </w:r>
      <w:r>
        <w:lastRenderedPageBreak/>
        <w:t>relative to the control. Among the processed samples, boiling produced the greatest reduction in tannin concentration, whereas oven drying retained the highest tannin level. Fermentation also reduced the tannin content but to a lesser extent than boiling. The superscript letters in the table show that the control sample (a) differed significantly from all the processed samples (</w:t>
      </w:r>
      <w:r>
        <w:rPr>
          <w:rStyle w:val="Emphasis"/>
          <w:rFonts w:eastAsiaTheme="majorEastAsia"/>
        </w:rPr>
        <w:t>p</w:t>
      </w:r>
      <w:r>
        <w:t xml:space="preserve"> &lt; 0.05). The fermented and oven-dried samples shared the same superscript letter (b), indicating that there was no significant difference between their tannin concentrations. However, both differed significantly from the boiled sample (c), which recorded the lowest tannin concentration.</w:t>
      </w:r>
    </w:p>
    <w:p w14:paraId="23E52F0C" w14:textId="77777777" w:rsidR="00C50FD8" w:rsidRDefault="00C50FD8" w:rsidP="00C50FD8">
      <w:pPr>
        <w:pStyle w:val="pdq2pgselectionanchorcontainer"/>
        <w:spacing w:before="0" w:beforeAutospacing="0" w:after="0" w:afterAutospacing="0" w:line="480" w:lineRule="auto"/>
        <w:jc w:val="both"/>
      </w:pPr>
      <w:r>
        <w:t xml:space="preserve">The cyanogenic glycoside content of </w:t>
      </w:r>
      <w:r>
        <w:rPr>
          <w:rStyle w:val="Emphasis"/>
          <w:rFonts w:eastAsiaTheme="majorEastAsia"/>
          <w:highlight w:val="yellow"/>
        </w:rPr>
        <w:t>Eichhornia crassipes</w:t>
      </w:r>
      <w:r>
        <w:t xml:space="preserve"> differed among the treatment groups. The control sample recorded the highest cyanogenic glycoside concentration (453.05 ± 0.49 mg/100</w:t>
      </w:r>
      <w:r>
        <w:rPr>
          <w:highlight w:val="yellow"/>
        </w:rPr>
        <w:t xml:space="preserve"> </w:t>
      </w:r>
      <w:r>
        <w:t>g), whereas t</w:t>
      </w:r>
      <w:r>
        <w:rPr>
          <w:highlight w:val="yellow"/>
        </w:rPr>
        <w:t>he boiled sample recorded the lowest concentration (36.34 ± 0.33 mg/100 g). T</w:t>
      </w:r>
      <w:r>
        <w:t xml:space="preserve">he fermented and oven-dried samples </w:t>
      </w:r>
      <w:r>
        <w:rPr>
          <w:highlight w:val="yellow"/>
        </w:rPr>
        <w:t xml:space="preserve">each </w:t>
      </w:r>
      <w:r>
        <w:t xml:space="preserve">had </w:t>
      </w:r>
      <w:r>
        <w:rPr>
          <w:highlight w:val="yellow"/>
        </w:rPr>
        <w:t>a</w:t>
      </w:r>
      <w:r>
        <w:t xml:space="preserve"> concentration of 38.62 ± 0.23 mg/100</w:t>
      </w:r>
      <w:r>
        <w:rPr>
          <w:highlight w:val="yellow"/>
        </w:rPr>
        <w:t xml:space="preserve"> </w:t>
      </w:r>
      <w:r>
        <w:t xml:space="preserve">g. The results indicate a substantial reduction in cyanogenic glycoside content following all processing methods when compared with the control. The processed samples exhibited markedly lower concentrations, showing that processing greatly decreased the cyanogenic glycoside content of </w:t>
      </w:r>
      <w:r>
        <w:rPr>
          <w:rStyle w:val="Emphasis"/>
          <w:rFonts w:eastAsiaTheme="majorEastAsia"/>
          <w:highlight w:val="yellow"/>
        </w:rPr>
        <w:t>Eichhornia crassipes</w:t>
      </w:r>
      <w:r>
        <w:t>. The superscript letters in the table indicate that the fermented and oven-dried samples shared the same superscript (a), demonstrating that there was no significant difference between their cyanogenic glycoside concentrations (</w:t>
      </w:r>
      <w:r>
        <w:rPr>
          <w:rStyle w:val="Emphasis"/>
          <w:rFonts w:eastAsiaTheme="majorEastAsia"/>
        </w:rPr>
        <w:t>p</w:t>
      </w:r>
      <w:r>
        <w:t xml:space="preserve"> &gt; 0.05). The boiled sample, with a different superscript (b), was significantly different from both the fermented and oven-dried samples, while the control sample (c) differed significantly from all the processed samples (</w:t>
      </w:r>
      <w:r>
        <w:rPr>
          <w:rStyle w:val="Emphasis"/>
          <w:rFonts w:eastAsiaTheme="majorEastAsia"/>
        </w:rPr>
        <w:t>p</w:t>
      </w:r>
      <w:r>
        <w:t xml:space="preserve"> &lt; 0.05).</w:t>
      </w:r>
    </w:p>
    <w:p w14:paraId="2A4AB035" w14:textId="77777777" w:rsidR="00C50FD8" w:rsidRDefault="00C50FD8" w:rsidP="00C50FD8">
      <w:pPr>
        <w:pStyle w:val="pdq2pgselectionanchorcontainer"/>
        <w:spacing w:before="0" w:beforeAutospacing="0" w:after="0" w:afterAutospacing="0" w:line="480" w:lineRule="auto"/>
        <w:jc w:val="both"/>
      </w:pPr>
      <w:r>
        <w:t xml:space="preserve">The phytate content of </w:t>
      </w:r>
      <w:r>
        <w:rPr>
          <w:rStyle w:val="Emphasis"/>
          <w:rFonts w:eastAsiaTheme="majorEastAsia"/>
          <w:highlight w:val="yellow"/>
        </w:rPr>
        <w:t>Eichhornia crassipes</w:t>
      </w:r>
      <w:r>
        <w:t xml:space="preserve"> varied among the different treatment groups. The oven-dried and control samples recorded the highest phytate concentration (33.25 ± 0.43 µg/m</w:t>
      </w:r>
      <w:r>
        <w:rPr>
          <w:highlight w:val="yellow"/>
        </w:rPr>
        <w:t>L</w:t>
      </w:r>
      <w:r>
        <w:t>), while the boiled sample had an intermediate concentration (23.05 ± 0.25 µg/m</w:t>
      </w:r>
      <w:r>
        <w:rPr>
          <w:highlight w:val="yellow"/>
        </w:rPr>
        <w:t>L</w:t>
      </w:r>
      <w:r>
        <w:t>). The fermented sample recorded the lowest phytate concentration (7.91 ± 0.08 µg/m</w:t>
      </w:r>
      <w:r>
        <w:rPr>
          <w:highlight w:val="yellow"/>
        </w:rPr>
        <w:t>L</w:t>
      </w:r>
      <w:r>
        <w:t>). The results indicate that fermentation produced the greatest reduction in phytate content among the processing methods evaluated. Boiling also reduced the phytate concentration relative to the control, whereas oven drying maintained the same phytate level as the control. The superscript letters in the table indicate that the fermented sample (a) differed significantly from the boiled (b), oven-dried (c), and control (c) samples (</w:t>
      </w:r>
      <w:r>
        <w:rPr>
          <w:rStyle w:val="Emphasis"/>
          <w:rFonts w:eastAsiaTheme="majorEastAsia"/>
        </w:rPr>
        <w:t>p</w:t>
      </w:r>
      <w:r>
        <w:t xml:space="preserve"> &lt; 0.05). The boiled sample was also significantly different from the fermented, oven-dried, </w:t>
      </w:r>
      <w:r>
        <w:lastRenderedPageBreak/>
        <w:t>and control samples. However, the oven-dried and control samples shared the same superscript letter (c), indicating that there was no significant difference in their phytate concentrations (</w:t>
      </w:r>
      <w:r>
        <w:rPr>
          <w:rStyle w:val="Emphasis"/>
          <w:rFonts w:eastAsiaTheme="majorEastAsia"/>
        </w:rPr>
        <w:t>p</w:t>
      </w:r>
      <w:r>
        <w:t xml:space="preserve"> &gt; 0.05).</w:t>
      </w:r>
    </w:p>
    <w:p w14:paraId="0E56BAB9" w14:textId="77777777" w:rsidR="00C50FD8" w:rsidRDefault="00C50FD8" w:rsidP="00C50FD8">
      <w:pPr>
        <w:spacing w:line="480" w:lineRule="auto"/>
        <w:jc w:val="both"/>
        <w:rPr>
          <w:rFonts w:ascii="Times New Roman" w:hAnsi="Times New Roman"/>
          <w:b/>
        </w:rPr>
      </w:pPr>
      <w:r>
        <w:rPr>
          <w:rFonts w:ascii="Times New Roman" w:hAnsi="Times New Roman"/>
        </w:rPr>
        <w:t xml:space="preserve">Table 4 shows that oxalate was </w:t>
      </w:r>
      <w:r>
        <w:rPr>
          <w:rStyle w:val="Strong"/>
          <w:rFonts w:ascii="Times New Roman" w:hAnsi="Times New Roman"/>
          <w:b w:val="0"/>
        </w:rPr>
        <w:t>not detected (ND)</w:t>
      </w:r>
      <w:r>
        <w:rPr>
          <w:rFonts w:ascii="Times New Roman" w:hAnsi="Times New Roman"/>
        </w:rPr>
        <w:t xml:space="preserve"> in the fermented, boiled, and oven-dried </w:t>
      </w:r>
      <w:r>
        <w:rPr>
          <w:rFonts w:ascii="Times New Roman" w:hAnsi="Times New Roman"/>
          <w:i/>
        </w:rPr>
        <w:t>Eichhornia crassipes</w:t>
      </w:r>
      <w:r>
        <w:rPr>
          <w:rFonts w:ascii="Times New Roman" w:hAnsi="Times New Roman"/>
        </w:rPr>
        <w:t xml:space="preserve"> samples, whereas the unprocessed (control) sample contained </w:t>
      </w:r>
      <w:r>
        <w:rPr>
          <w:rStyle w:val="Strong"/>
          <w:rFonts w:ascii="Times New Roman" w:hAnsi="Times New Roman"/>
          <w:b w:val="0"/>
        </w:rPr>
        <w:t>4.06 ± 0.88 mg/100</w:t>
      </w:r>
      <w:r>
        <w:rPr>
          <w:rStyle w:val="Strong"/>
          <w:rFonts w:ascii="Times New Roman" w:hAnsi="Times New Roman"/>
          <w:b w:val="0"/>
          <w:highlight w:val="yellow"/>
        </w:rPr>
        <w:t xml:space="preserve"> </w:t>
      </w:r>
      <w:r>
        <w:rPr>
          <w:rStyle w:val="Strong"/>
          <w:rFonts w:ascii="Times New Roman" w:hAnsi="Times New Roman"/>
          <w:b w:val="0"/>
        </w:rPr>
        <w:t>g</w:t>
      </w:r>
      <w:r>
        <w:rPr>
          <w:rFonts w:ascii="Times New Roman" w:hAnsi="Times New Roman"/>
        </w:rPr>
        <w:t xml:space="preserve"> of oxalate. This indicates that oxalate was present only in the raw sample and was below the detectable limit in all processed samples.</w:t>
      </w:r>
    </w:p>
    <w:p w14:paraId="3045FA0A" w14:textId="77777777" w:rsidR="00C50FD8" w:rsidRPr="006578BB" w:rsidRDefault="00C50FD8" w:rsidP="00C50FD8">
      <w:pPr>
        <w:jc w:val="both"/>
        <w:rPr>
          <w:rFonts w:ascii="Times New Roman" w:hAnsi="Times New Roman"/>
        </w:rPr>
      </w:pPr>
      <w:r w:rsidRPr="006578BB">
        <w:rPr>
          <w:rFonts w:ascii="Times New Roman" w:hAnsi="Times New Roman"/>
        </w:rPr>
        <w:t>Table 4: Effect of processing on the level of some selected Anti-nutritional factors in Water hyacinth (</w:t>
      </w:r>
      <w:r w:rsidRPr="006578BB">
        <w:rPr>
          <w:rFonts w:ascii="Times New Roman" w:hAnsi="Times New Roman"/>
          <w:i/>
        </w:rPr>
        <w:t>Eichhornia crassipes</w:t>
      </w:r>
      <w:r w:rsidRPr="006578BB">
        <w:rPr>
          <w:rFonts w:ascii="Times New Roman" w:hAnsi="Times New Roman"/>
        </w:rPr>
        <w:t>)</w:t>
      </w:r>
    </w:p>
    <w:tbl>
      <w:tblPr>
        <w:tblW w:w="9338" w:type="dxa"/>
        <w:tblCellSpacing w:w="15" w:type="dxa"/>
        <w:tblLook w:val="04A0" w:firstRow="1" w:lastRow="0" w:firstColumn="1" w:lastColumn="0" w:noHBand="0" w:noVBand="1"/>
      </w:tblPr>
      <w:tblGrid>
        <w:gridCol w:w="1792"/>
        <w:gridCol w:w="1578"/>
        <w:gridCol w:w="70"/>
        <w:gridCol w:w="1966"/>
        <w:gridCol w:w="1966"/>
        <w:gridCol w:w="1966"/>
      </w:tblGrid>
      <w:tr w:rsidR="00C50FD8" w14:paraId="19FA319B" w14:textId="77777777" w:rsidTr="00C50FD8">
        <w:trPr>
          <w:trHeight w:val="503"/>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07961945" w14:textId="77777777" w:rsidR="00C50FD8" w:rsidRDefault="00C50FD8">
            <w:pPr>
              <w:jc w:val="center"/>
              <w:rPr>
                <w:rFonts w:ascii="Times New Roman" w:hAnsi="Times New Roman"/>
                <w:b/>
                <w:bCs/>
              </w:rPr>
            </w:pPr>
            <w:r>
              <w:rPr>
                <w:rFonts w:ascii="Times New Roman" w:hAnsi="Times New Roman"/>
                <w:b/>
                <w:bCs/>
              </w:rPr>
              <w:t>Treatment Group</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454120F" w14:textId="77777777" w:rsidR="00C50FD8" w:rsidRDefault="00C50FD8">
            <w:pPr>
              <w:jc w:val="center"/>
              <w:rPr>
                <w:rFonts w:ascii="Times New Roman" w:hAnsi="Times New Roman"/>
                <w:b/>
                <w:bCs/>
              </w:rPr>
            </w:pPr>
            <w:r>
              <w:rPr>
                <w:rFonts w:ascii="Times New Roman" w:hAnsi="Times New Roman"/>
                <w:b/>
              </w:rPr>
              <w:t>Tannin (mg/ml)</w:t>
            </w:r>
          </w:p>
        </w:tc>
        <w:tc>
          <w:tcPr>
            <w:tcW w:w="0" w:type="auto"/>
            <w:tcBorders>
              <w:top w:val="single" w:sz="4" w:space="0" w:color="auto"/>
              <w:left w:val="nil"/>
              <w:bottom w:val="single" w:sz="4" w:space="0" w:color="auto"/>
              <w:right w:val="nil"/>
            </w:tcBorders>
            <w:tcMar>
              <w:top w:w="15" w:type="dxa"/>
              <w:left w:w="15" w:type="dxa"/>
              <w:bottom w:w="15" w:type="dxa"/>
              <w:right w:w="15" w:type="dxa"/>
            </w:tcMar>
          </w:tcPr>
          <w:p w14:paraId="48458072" w14:textId="77777777" w:rsidR="00C50FD8" w:rsidRDefault="00C50FD8">
            <w:pPr>
              <w:jc w:val="center"/>
              <w:rPr>
                <w:rFonts w:ascii="Times New Roman" w:eastAsiaTheme="minorEastAsia" w:hAnsi="Times New Roman"/>
                <w:b/>
              </w:rPr>
            </w:pPr>
          </w:p>
        </w:tc>
        <w:tc>
          <w:tcPr>
            <w:tcW w:w="1936"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2D5D7BB1" w14:textId="77777777" w:rsidR="00C50FD8" w:rsidRDefault="00C50FD8">
            <w:pPr>
              <w:jc w:val="center"/>
              <w:rPr>
                <w:rFonts w:ascii="Times New Roman" w:hAnsi="Times New Roman"/>
                <w:b/>
              </w:rPr>
            </w:pPr>
            <w:r>
              <w:rPr>
                <w:rFonts w:ascii="Times New Roman" w:hAnsi="Times New Roman"/>
                <w:b/>
              </w:rPr>
              <w:t>Cyanogenic glycoside</w:t>
            </w:r>
            <w:r>
              <w:rPr>
                <w:rFonts w:ascii="Times New Roman" w:hAnsi="Times New Roman"/>
                <w:b/>
                <w:bCs/>
              </w:rPr>
              <w:t xml:space="preserve"> </w:t>
            </w:r>
            <w:r>
              <w:rPr>
                <w:rFonts w:ascii="Times New Roman" w:hAnsi="Times New Roman"/>
                <w:b/>
              </w:rPr>
              <w:t>(mg/100g)</w:t>
            </w:r>
          </w:p>
        </w:tc>
        <w:tc>
          <w:tcPr>
            <w:tcW w:w="1936"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765F0CD0" w14:textId="77777777" w:rsidR="00C50FD8" w:rsidRDefault="00C50FD8">
            <w:pPr>
              <w:jc w:val="center"/>
              <w:rPr>
                <w:rFonts w:ascii="Times New Roman" w:hAnsi="Times New Roman"/>
                <w:b/>
              </w:rPr>
            </w:pPr>
            <w:r>
              <w:rPr>
                <w:rFonts w:ascii="Times New Roman" w:hAnsi="Times New Roman"/>
                <w:b/>
              </w:rPr>
              <w:t>Phytate (µg/ml)</w:t>
            </w:r>
          </w:p>
        </w:tc>
        <w:tc>
          <w:tcPr>
            <w:tcW w:w="1921"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377B8DC3" w14:textId="77777777" w:rsidR="00C50FD8" w:rsidRDefault="00C50FD8">
            <w:pPr>
              <w:jc w:val="center"/>
              <w:rPr>
                <w:rFonts w:ascii="Times New Roman" w:hAnsi="Times New Roman"/>
                <w:b/>
              </w:rPr>
            </w:pPr>
            <w:r>
              <w:rPr>
                <w:rFonts w:ascii="Times New Roman" w:hAnsi="Times New Roman"/>
                <w:b/>
              </w:rPr>
              <w:t>Oxalate (mg/100g)</w:t>
            </w:r>
          </w:p>
        </w:tc>
      </w:tr>
      <w:tr w:rsidR="00C50FD8" w14:paraId="52CA6D7B" w14:textId="77777777" w:rsidTr="00C50FD8">
        <w:trPr>
          <w:trHeight w:val="827"/>
          <w:tblCellSpacing w:w="15" w:type="dxa"/>
        </w:trPr>
        <w:tc>
          <w:tcPr>
            <w:tcW w:w="0" w:type="auto"/>
            <w:tcMar>
              <w:top w:w="15" w:type="dxa"/>
              <w:left w:w="15" w:type="dxa"/>
              <w:bottom w:w="15" w:type="dxa"/>
              <w:right w:w="15" w:type="dxa"/>
            </w:tcMar>
            <w:vAlign w:val="center"/>
            <w:hideMark/>
          </w:tcPr>
          <w:p w14:paraId="2E4DD0E4" w14:textId="77777777" w:rsidR="00C50FD8" w:rsidRDefault="00C50FD8">
            <w:pPr>
              <w:jc w:val="center"/>
              <w:rPr>
                <w:rFonts w:ascii="Times New Roman" w:hAnsi="Times New Roman"/>
              </w:rPr>
            </w:pPr>
            <w:r>
              <w:rPr>
                <w:rFonts w:ascii="Times New Roman" w:hAnsi="Times New Roman"/>
              </w:rPr>
              <w:t>Fermented</w:t>
            </w:r>
          </w:p>
        </w:tc>
        <w:tc>
          <w:tcPr>
            <w:tcW w:w="0" w:type="auto"/>
            <w:tcMar>
              <w:top w:w="15" w:type="dxa"/>
              <w:left w:w="15" w:type="dxa"/>
              <w:bottom w:w="15" w:type="dxa"/>
              <w:right w:w="15" w:type="dxa"/>
            </w:tcMar>
            <w:vAlign w:val="center"/>
            <w:hideMark/>
          </w:tcPr>
          <w:p w14:paraId="7A537C89" w14:textId="77777777" w:rsidR="00C50FD8" w:rsidRDefault="00C50FD8">
            <w:pPr>
              <w:jc w:val="center"/>
              <w:rPr>
                <w:rFonts w:ascii="Times New Roman" w:hAnsi="Times New Roman"/>
              </w:rPr>
            </w:pPr>
            <w:r>
              <w:rPr>
                <w:rFonts w:ascii="Times New Roman" w:hAnsi="Times New Roman"/>
              </w:rPr>
              <w:t>48.20 ± 0.35</w:t>
            </w:r>
            <w:r>
              <w:rPr>
                <w:rFonts w:ascii="Times New Roman" w:hAnsi="Times New Roman"/>
                <w:vertAlign w:val="subscript"/>
              </w:rPr>
              <w:t>b</w:t>
            </w:r>
          </w:p>
        </w:tc>
        <w:tc>
          <w:tcPr>
            <w:tcW w:w="0" w:type="auto"/>
            <w:tcMar>
              <w:top w:w="15" w:type="dxa"/>
              <w:left w:w="15" w:type="dxa"/>
              <w:bottom w:w="15" w:type="dxa"/>
              <w:right w:w="15" w:type="dxa"/>
            </w:tcMar>
          </w:tcPr>
          <w:p w14:paraId="6FDD9F6F" w14:textId="77777777" w:rsidR="00C50FD8" w:rsidRDefault="00C50FD8">
            <w:pPr>
              <w:jc w:val="center"/>
              <w:rPr>
                <w:rFonts w:ascii="Times New Roman" w:hAnsi="Times New Roman"/>
              </w:rPr>
            </w:pPr>
          </w:p>
        </w:tc>
        <w:tc>
          <w:tcPr>
            <w:tcW w:w="1936" w:type="dxa"/>
            <w:tcMar>
              <w:top w:w="15" w:type="dxa"/>
              <w:left w:w="15" w:type="dxa"/>
              <w:bottom w:w="15" w:type="dxa"/>
              <w:right w:w="15" w:type="dxa"/>
            </w:tcMar>
            <w:vAlign w:val="center"/>
            <w:hideMark/>
          </w:tcPr>
          <w:p w14:paraId="243A5558" w14:textId="77777777" w:rsidR="00C50FD8" w:rsidRDefault="00C50FD8">
            <w:pPr>
              <w:jc w:val="center"/>
              <w:rPr>
                <w:rFonts w:ascii="Times New Roman" w:hAnsi="Times New Roman"/>
              </w:rPr>
            </w:pPr>
            <w:r>
              <w:rPr>
                <w:rFonts w:ascii="Times New Roman" w:hAnsi="Times New Roman"/>
              </w:rPr>
              <w:t>38.62 ± 0.23</w:t>
            </w:r>
            <w:r>
              <w:rPr>
                <w:rFonts w:ascii="Times New Roman" w:hAnsi="Times New Roman"/>
                <w:vertAlign w:val="subscript"/>
              </w:rPr>
              <w:t>a</w:t>
            </w:r>
          </w:p>
        </w:tc>
        <w:tc>
          <w:tcPr>
            <w:tcW w:w="1936" w:type="dxa"/>
            <w:tcMar>
              <w:top w:w="15" w:type="dxa"/>
              <w:left w:w="15" w:type="dxa"/>
              <w:bottom w:w="15" w:type="dxa"/>
              <w:right w:w="15" w:type="dxa"/>
            </w:tcMar>
            <w:vAlign w:val="center"/>
            <w:hideMark/>
          </w:tcPr>
          <w:p w14:paraId="6CE8D9B9" w14:textId="77777777" w:rsidR="00C50FD8" w:rsidRDefault="00C50FD8">
            <w:pPr>
              <w:jc w:val="center"/>
              <w:rPr>
                <w:rFonts w:ascii="Times New Roman" w:hAnsi="Times New Roman"/>
              </w:rPr>
            </w:pPr>
            <w:r>
              <w:rPr>
                <w:rFonts w:ascii="Times New Roman" w:hAnsi="Times New Roman"/>
              </w:rPr>
              <w:t>7.91 ± 0.08</w:t>
            </w:r>
            <w:r>
              <w:rPr>
                <w:rFonts w:ascii="Times New Roman" w:hAnsi="Times New Roman"/>
                <w:vertAlign w:val="subscript"/>
              </w:rPr>
              <w:t>a</w:t>
            </w:r>
          </w:p>
        </w:tc>
        <w:tc>
          <w:tcPr>
            <w:tcW w:w="1921" w:type="dxa"/>
            <w:tcMar>
              <w:top w:w="15" w:type="dxa"/>
              <w:left w:w="15" w:type="dxa"/>
              <w:bottom w:w="15" w:type="dxa"/>
              <w:right w:w="15" w:type="dxa"/>
            </w:tcMar>
            <w:vAlign w:val="center"/>
            <w:hideMark/>
          </w:tcPr>
          <w:p w14:paraId="3BF5765C" w14:textId="77777777" w:rsidR="00C50FD8" w:rsidRDefault="00C50FD8">
            <w:pPr>
              <w:jc w:val="center"/>
              <w:rPr>
                <w:rFonts w:ascii="Times New Roman" w:hAnsi="Times New Roman"/>
              </w:rPr>
            </w:pPr>
            <w:r>
              <w:rPr>
                <w:rFonts w:ascii="Times New Roman" w:hAnsi="Times New Roman"/>
              </w:rPr>
              <w:t>ND</w:t>
            </w:r>
          </w:p>
        </w:tc>
      </w:tr>
      <w:tr w:rsidR="00C50FD8" w14:paraId="050F6B0B" w14:textId="77777777" w:rsidTr="00C50FD8">
        <w:trPr>
          <w:trHeight w:val="793"/>
          <w:tblCellSpacing w:w="15" w:type="dxa"/>
        </w:trPr>
        <w:tc>
          <w:tcPr>
            <w:tcW w:w="0" w:type="auto"/>
            <w:tcMar>
              <w:top w:w="15" w:type="dxa"/>
              <w:left w:w="15" w:type="dxa"/>
              <w:bottom w:w="15" w:type="dxa"/>
              <w:right w:w="15" w:type="dxa"/>
            </w:tcMar>
            <w:vAlign w:val="center"/>
            <w:hideMark/>
          </w:tcPr>
          <w:p w14:paraId="3AD6DB28" w14:textId="77777777" w:rsidR="00C50FD8" w:rsidRDefault="00C50FD8">
            <w:pPr>
              <w:jc w:val="center"/>
              <w:rPr>
                <w:rFonts w:ascii="Times New Roman" w:hAnsi="Times New Roman"/>
              </w:rPr>
            </w:pPr>
            <w:r>
              <w:rPr>
                <w:rFonts w:ascii="Times New Roman" w:hAnsi="Times New Roman"/>
              </w:rPr>
              <w:t>Boiled</w:t>
            </w:r>
          </w:p>
        </w:tc>
        <w:tc>
          <w:tcPr>
            <w:tcW w:w="0" w:type="auto"/>
            <w:tcMar>
              <w:top w:w="15" w:type="dxa"/>
              <w:left w:w="15" w:type="dxa"/>
              <w:bottom w:w="15" w:type="dxa"/>
              <w:right w:w="15" w:type="dxa"/>
            </w:tcMar>
            <w:vAlign w:val="center"/>
            <w:hideMark/>
          </w:tcPr>
          <w:p w14:paraId="5FA24E58" w14:textId="77777777" w:rsidR="00C50FD8" w:rsidRDefault="00C50FD8">
            <w:pPr>
              <w:jc w:val="center"/>
              <w:rPr>
                <w:rFonts w:ascii="Times New Roman" w:hAnsi="Times New Roman"/>
              </w:rPr>
            </w:pPr>
            <w:r>
              <w:rPr>
                <w:rFonts w:ascii="Times New Roman" w:hAnsi="Times New Roman"/>
              </w:rPr>
              <w:t>24.58 ± 0.32</w:t>
            </w:r>
            <w:r>
              <w:rPr>
                <w:rFonts w:ascii="Times New Roman" w:hAnsi="Times New Roman"/>
                <w:vertAlign w:val="subscript"/>
              </w:rPr>
              <w:t>c</w:t>
            </w:r>
          </w:p>
        </w:tc>
        <w:tc>
          <w:tcPr>
            <w:tcW w:w="0" w:type="auto"/>
            <w:tcMar>
              <w:top w:w="15" w:type="dxa"/>
              <w:left w:w="15" w:type="dxa"/>
              <w:bottom w:w="15" w:type="dxa"/>
              <w:right w:w="15" w:type="dxa"/>
            </w:tcMar>
          </w:tcPr>
          <w:p w14:paraId="70A46460" w14:textId="77777777" w:rsidR="00C50FD8" w:rsidRDefault="00C50FD8">
            <w:pPr>
              <w:jc w:val="center"/>
              <w:rPr>
                <w:rFonts w:ascii="Times New Roman" w:hAnsi="Times New Roman"/>
              </w:rPr>
            </w:pPr>
          </w:p>
        </w:tc>
        <w:tc>
          <w:tcPr>
            <w:tcW w:w="1936" w:type="dxa"/>
            <w:tcMar>
              <w:top w:w="15" w:type="dxa"/>
              <w:left w:w="15" w:type="dxa"/>
              <w:bottom w:w="15" w:type="dxa"/>
              <w:right w:w="15" w:type="dxa"/>
            </w:tcMar>
            <w:vAlign w:val="center"/>
            <w:hideMark/>
          </w:tcPr>
          <w:p w14:paraId="6DABB1FB" w14:textId="77777777" w:rsidR="00C50FD8" w:rsidRDefault="00C50FD8">
            <w:pPr>
              <w:jc w:val="center"/>
              <w:rPr>
                <w:rFonts w:ascii="Times New Roman" w:hAnsi="Times New Roman"/>
              </w:rPr>
            </w:pPr>
            <w:r>
              <w:rPr>
                <w:rFonts w:ascii="Times New Roman" w:hAnsi="Times New Roman"/>
              </w:rPr>
              <w:t>36.34 ± 0.33</w:t>
            </w:r>
            <w:r>
              <w:rPr>
                <w:rFonts w:ascii="Times New Roman" w:hAnsi="Times New Roman"/>
                <w:vertAlign w:val="subscript"/>
              </w:rPr>
              <w:t>b</w:t>
            </w:r>
          </w:p>
        </w:tc>
        <w:tc>
          <w:tcPr>
            <w:tcW w:w="1936" w:type="dxa"/>
            <w:tcMar>
              <w:top w:w="15" w:type="dxa"/>
              <w:left w:w="15" w:type="dxa"/>
              <w:bottom w:w="15" w:type="dxa"/>
              <w:right w:w="15" w:type="dxa"/>
            </w:tcMar>
            <w:vAlign w:val="center"/>
            <w:hideMark/>
          </w:tcPr>
          <w:p w14:paraId="6ED7D4CE" w14:textId="77777777" w:rsidR="00C50FD8" w:rsidRDefault="00C50FD8">
            <w:pPr>
              <w:jc w:val="center"/>
              <w:rPr>
                <w:rFonts w:ascii="Times New Roman" w:hAnsi="Times New Roman"/>
              </w:rPr>
            </w:pPr>
            <w:r>
              <w:rPr>
                <w:rFonts w:ascii="Times New Roman" w:hAnsi="Times New Roman"/>
              </w:rPr>
              <w:t>23.05 ± 0.25</w:t>
            </w:r>
            <w:r>
              <w:rPr>
                <w:rFonts w:ascii="Times New Roman" w:hAnsi="Times New Roman"/>
                <w:vertAlign w:val="subscript"/>
              </w:rPr>
              <w:t>b</w:t>
            </w:r>
          </w:p>
        </w:tc>
        <w:tc>
          <w:tcPr>
            <w:tcW w:w="1921" w:type="dxa"/>
            <w:tcMar>
              <w:top w:w="15" w:type="dxa"/>
              <w:left w:w="15" w:type="dxa"/>
              <w:bottom w:w="15" w:type="dxa"/>
              <w:right w:w="15" w:type="dxa"/>
            </w:tcMar>
            <w:vAlign w:val="center"/>
            <w:hideMark/>
          </w:tcPr>
          <w:p w14:paraId="690BCEF5" w14:textId="77777777" w:rsidR="00C50FD8" w:rsidRDefault="00C50FD8">
            <w:pPr>
              <w:jc w:val="center"/>
              <w:rPr>
                <w:rFonts w:ascii="Times New Roman" w:hAnsi="Times New Roman"/>
              </w:rPr>
            </w:pPr>
            <w:r>
              <w:rPr>
                <w:rFonts w:ascii="Times New Roman" w:hAnsi="Times New Roman"/>
              </w:rPr>
              <w:t>ND</w:t>
            </w:r>
          </w:p>
        </w:tc>
      </w:tr>
      <w:tr w:rsidR="00C50FD8" w14:paraId="7463D8A2" w14:textId="77777777" w:rsidTr="00C50FD8">
        <w:trPr>
          <w:trHeight w:val="793"/>
          <w:tblCellSpacing w:w="15" w:type="dxa"/>
        </w:trPr>
        <w:tc>
          <w:tcPr>
            <w:tcW w:w="0" w:type="auto"/>
            <w:tcMar>
              <w:top w:w="15" w:type="dxa"/>
              <w:left w:w="15" w:type="dxa"/>
              <w:bottom w:w="15" w:type="dxa"/>
              <w:right w:w="15" w:type="dxa"/>
            </w:tcMar>
            <w:vAlign w:val="center"/>
            <w:hideMark/>
          </w:tcPr>
          <w:p w14:paraId="3B8A36E6" w14:textId="77777777" w:rsidR="00C50FD8" w:rsidRDefault="00C50FD8">
            <w:pPr>
              <w:jc w:val="center"/>
              <w:rPr>
                <w:rFonts w:ascii="Times New Roman" w:hAnsi="Times New Roman"/>
              </w:rPr>
            </w:pPr>
            <w:r>
              <w:rPr>
                <w:rFonts w:ascii="Times New Roman" w:hAnsi="Times New Roman"/>
              </w:rPr>
              <w:t>Oven dried</w:t>
            </w:r>
          </w:p>
        </w:tc>
        <w:tc>
          <w:tcPr>
            <w:tcW w:w="0" w:type="auto"/>
            <w:tcMar>
              <w:top w:w="15" w:type="dxa"/>
              <w:left w:w="15" w:type="dxa"/>
              <w:bottom w:w="15" w:type="dxa"/>
              <w:right w:w="15" w:type="dxa"/>
            </w:tcMar>
            <w:vAlign w:val="center"/>
            <w:hideMark/>
          </w:tcPr>
          <w:p w14:paraId="4068EE58" w14:textId="77777777" w:rsidR="00C50FD8" w:rsidRDefault="00C50FD8">
            <w:pPr>
              <w:jc w:val="center"/>
              <w:rPr>
                <w:rFonts w:ascii="Times New Roman" w:hAnsi="Times New Roman"/>
              </w:rPr>
            </w:pPr>
            <w:r>
              <w:rPr>
                <w:rFonts w:ascii="Times New Roman" w:hAnsi="Times New Roman"/>
              </w:rPr>
              <w:t>53.06 ± 0.39</w:t>
            </w:r>
            <w:r>
              <w:rPr>
                <w:rFonts w:ascii="Times New Roman" w:hAnsi="Times New Roman"/>
                <w:vertAlign w:val="subscript"/>
              </w:rPr>
              <w:t>b</w:t>
            </w:r>
          </w:p>
        </w:tc>
        <w:tc>
          <w:tcPr>
            <w:tcW w:w="0" w:type="auto"/>
            <w:tcMar>
              <w:top w:w="15" w:type="dxa"/>
              <w:left w:w="15" w:type="dxa"/>
              <w:bottom w:w="15" w:type="dxa"/>
              <w:right w:w="15" w:type="dxa"/>
            </w:tcMar>
          </w:tcPr>
          <w:p w14:paraId="148C892D" w14:textId="77777777" w:rsidR="00C50FD8" w:rsidRDefault="00C50FD8">
            <w:pPr>
              <w:jc w:val="center"/>
              <w:rPr>
                <w:rFonts w:ascii="Times New Roman" w:hAnsi="Times New Roman"/>
              </w:rPr>
            </w:pPr>
          </w:p>
        </w:tc>
        <w:tc>
          <w:tcPr>
            <w:tcW w:w="1936" w:type="dxa"/>
            <w:tcMar>
              <w:top w:w="15" w:type="dxa"/>
              <w:left w:w="15" w:type="dxa"/>
              <w:bottom w:w="15" w:type="dxa"/>
              <w:right w:w="15" w:type="dxa"/>
            </w:tcMar>
            <w:vAlign w:val="center"/>
            <w:hideMark/>
          </w:tcPr>
          <w:p w14:paraId="6E7749B4" w14:textId="77777777" w:rsidR="00C50FD8" w:rsidRDefault="00C50FD8">
            <w:pPr>
              <w:jc w:val="center"/>
              <w:rPr>
                <w:rFonts w:ascii="Times New Roman" w:hAnsi="Times New Roman"/>
              </w:rPr>
            </w:pPr>
            <w:r>
              <w:rPr>
                <w:rFonts w:ascii="Times New Roman" w:hAnsi="Times New Roman"/>
              </w:rPr>
              <w:t>38.62 ± 0.23</w:t>
            </w:r>
            <w:r>
              <w:rPr>
                <w:rFonts w:ascii="Times New Roman" w:hAnsi="Times New Roman"/>
                <w:vertAlign w:val="subscript"/>
              </w:rPr>
              <w:t>a</w:t>
            </w:r>
          </w:p>
        </w:tc>
        <w:tc>
          <w:tcPr>
            <w:tcW w:w="1936" w:type="dxa"/>
            <w:tcMar>
              <w:top w:w="15" w:type="dxa"/>
              <w:left w:w="15" w:type="dxa"/>
              <w:bottom w:w="15" w:type="dxa"/>
              <w:right w:w="15" w:type="dxa"/>
            </w:tcMar>
            <w:vAlign w:val="center"/>
            <w:hideMark/>
          </w:tcPr>
          <w:p w14:paraId="71536DBB" w14:textId="77777777" w:rsidR="00C50FD8" w:rsidRDefault="00C50FD8">
            <w:pPr>
              <w:jc w:val="center"/>
              <w:rPr>
                <w:rFonts w:ascii="Times New Roman" w:hAnsi="Times New Roman"/>
              </w:rPr>
            </w:pPr>
            <w:r>
              <w:rPr>
                <w:rFonts w:ascii="Times New Roman" w:hAnsi="Times New Roman"/>
              </w:rPr>
              <w:t>33.25 ± 0.43</w:t>
            </w:r>
            <w:r>
              <w:rPr>
                <w:rFonts w:ascii="Times New Roman" w:hAnsi="Times New Roman"/>
                <w:vertAlign w:val="subscript"/>
              </w:rPr>
              <w:t>c</w:t>
            </w:r>
          </w:p>
        </w:tc>
        <w:tc>
          <w:tcPr>
            <w:tcW w:w="1921" w:type="dxa"/>
            <w:tcMar>
              <w:top w:w="15" w:type="dxa"/>
              <w:left w:w="15" w:type="dxa"/>
              <w:bottom w:w="15" w:type="dxa"/>
              <w:right w:w="15" w:type="dxa"/>
            </w:tcMar>
            <w:vAlign w:val="center"/>
            <w:hideMark/>
          </w:tcPr>
          <w:p w14:paraId="28A59C24" w14:textId="77777777" w:rsidR="00C50FD8" w:rsidRDefault="00C50FD8">
            <w:pPr>
              <w:jc w:val="center"/>
              <w:rPr>
                <w:rFonts w:ascii="Times New Roman" w:hAnsi="Times New Roman"/>
              </w:rPr>
            </w:pPr>
            <w:r>
              <w:rPr>
                <w:rFonts w:ascii="Times New Roman" w:hAnsi="Times New Roman"/>
              </w:rPr>
              <w:t>ND</w:t>
            </w:r>
          </w:p>
        </w:tc>
      </w:tr>
      <w:tr w:rsidR="00C50FD8" w14:paraId="59FCAC42" w14:textId="77777777" w:rsidTr="00C50FD8">
        <w:trPr>
          <w:trHeight w:val="793"/>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57AAA99" w14:textId="77777777" w:rsidR="00C50FD8" w:rsidRDefault="00C50FD8">
            <w:pPr>
              <w:jc w:val="center"/>
              <w:rPr>
                <w:rFonts w:ascii="Times New Roman" w:hAnsi="Times New Roman"/>
              </w:rPr>
            </w:pPr>
            <w:r>
              <w:rPr>
                <w:rFonts w:ascii="Times New Roman" w:hAnsi="Times New Roman"/>
              </w:rPr>
              <w:t>Control</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DEF9137" w14:textId="77777777" w:rsidR="00C50FD8" w:rsidRDefault="00C50FD8">
            <w:pPr>
              <w:jc w:val="center"/>
              <w:rPr>
                <w:rFonts w:ascii="Times New Roman" w:hAnsi="Times New Roman"/>
              </w:rPr>
            </w:pPr>
            <w:r>
              <w:rPr>
                <w:rFonts w:ascii="Times New Roman" w:hAnsi="Times New Roman"/>
              </w:rPr>
              <w:t>64.52 ± 0.38</w:t>
            </w:r>
            <w:r>
              <w:rPr>
                <w:rFonts w:ascii="Times New Roman" w:hAnsi="Times New Roman"/>
                <w:vertAlign w:val="subscript"/>
              </w:rPr>
              <w:t>a</w:t>
            </w:r>
          </w:p>
        </w:tc>
        <w:tc>
          <w:tcPr>
            <w:tcW w:w="0" w:type="auto"/>
            <w:tcBorders>
              <w:top w:val="nil"/>
              <w:left w:val="nil"/>
              <w:bottom w:val="single" w:sz="4" w:space="0" w:color="auto"/>
              <w:right w:val="nil"/>
            </w:tcBorders>
            <w:tcMar>
              <w:top w:w="15" w:type="dxa"/>
              <w:left w:w="15" w:type="dxa"/>
              <w:bottom w:w="15" w:type="dxa"/>
              <w:right w:w="15" w:type="dxa"/>
            </w:tcMar>
          </w:tcPr>
          <w:p w14:paraId="2AA2B875" w14:textId="77777777" w:rsidR="00C50FD8" w:rsidRDefault="00C50FD8">
            <w:pPr>
              <w:jc w:val="center"/>
              <w:rPr>
                <w:rFonts w:ascii="Times New Roman" w:hAnsi="Times New Roman"/>
              </w:rPr>
            </w:pPr>
          </w:p>
        </w:tc>
        <w:tc>
          <w:tcPr>
            <w:tcW w:w="1936" w:type="dxa"/>
            <w:tcBorders>
              <w:top w:val="nil"/>
              <w:left w:val="nil"/>
              <w:bottom w:val="single" w:sz="4" w:space="0" w:color="auto"/>
              <w:right w:val="nil"/>
            </w:tcBorders>
            <w:tcMar>
              <w:top w:w="15" w:type="dxa"/>
              <w:left w:w="15" w:type="dxa"/>
              <w:bottom w:w="15" w:type="dxa"/>
              <w:right w:w="15" w:type="dxa"/>
            </w:tcMar>
            <w:vAlign w:val="center"/>
            <w:hideMark/>
          </w:tcPr>
          <w:p w14:paraId="3F8B334D" w14:textId="77777777" w:rsidR="00C50FD8" w:rsidRDefault="00C50FD8">
            <w:pPr>
              <w:jc w:val="center"/>
              <w:rPr>
                <w:rFonts w:ascii="Times New Roman" w:hAnsi="Times New Roman"/>
              </w:rPr>
            </w:pPr>
            <w:r>
              <w:rPr>
                <w:rFonts w:ascii="Times New Roman" w:hAnsi="Times New Roman"/>
              </w:rPr>
              <w:t>453.05 ± 0.49</w:t>
            </w:r>
            <w:r>
              <w:rPr>
                <w:rFonts w:ascii="Times New Roman" w:hAnsi="Times New Roman"/>
                <w:vertAlign w:val="subscript"/>
              </w:rPr>
              <w:t>c</w:t>
            </w:r>
          </w:p>
        </w:tc>
        <w:tc>
          <w:tcPr>
            <w:tcW w:w="1936" w:type="dxa"/>
            <w:tcBorders>
              <w:top w:val="nil"/>
              <w:left w:val="nil"/>
              <w:bottom w:val="single" w:sz="4" w:space="0" w:color="auto"/>
              <w:right w:val="nil"/>
            </w:tcBorders>
            <w:tcMar>
              <w:top w:w="15" w:type="dxa"/>
              <w:left w:w="15" w:type="dxa"/>
              <w:bottom w:w="15" w:type="dxa"/>
              <w:right w:w="15" w:type="dxa"/>
            </w:tcMar>
            <w:vAlign w:val="center"/>
            <w:hideMark/>
          </w:tcPr>
          <w:p w14:paraId="5A3BDFCC" w14:textId="77777777" w:rsidR="00C50FD8" w:rsidRDefault="00C50FD8">
            <w:pPr>
              <w:jc w:val="center"/>
              <w:rPr>
                <w:rFonts w:ascii="Times New Roman" w:hAnsi="Times New Roman"/>
              </w:rPr>
            </w:pPr>
            <w:r>
              <w:rPr>
                <w:rFonts w:ascii="Times New Roman" w:hAnsi="Times New Roman"/>
              </w:rPr>
              <w:t>33.25 ± 0.43</w:t>
            </w:r>
            <w:r>
              <w:rPr>
                <w:rFonts w:ascii="Times New Roman" w:hAnsi="Times New Roman"/>
                <w:vertAlign w:val="subscript"/>
              </w:rPr>
              <w:t>c</w:t>
            </w:r>
          </w:p>
        </w:tc>
        <w:tc>
          <w:tcPr>
            <w:tcW w:w="1921" w:type="dxa"/>
            <w:tcBorders>
              <w:top w:val="nil"/>
              <w:left w:val="nil"/>
              <w:bottom w:val="single" w:sz="4" w:space="0" w:color="auto"/>
              <w:right w:val="nil"/>
            </w:tcBorders>
            <w:tcMar>
              <w:top w:w="15" w:type="dxa"/>
              <w:left w:w="15" w:type="dxa"/>
              <w:bottom w:w="15" w:type="dxa"/>
              <w:right w:w="15" w:type="dxa"/>
            </w:tcMar>
            <w:vAlign w:val="center"/>
            <w:hideMark/>
          </w:tcPr>
          <w:p w14:paraId="4605723F" w14:textId="77777777" w:rsidR="00C50FD8" w:rsidRDefault="00C50FD8">
            <w:pPr>
              <w:jc w:val="center"/>
              <w:rPr>
                <w:rFonts w:ascii="Times New Roman" w:hAnsi="Times New Roman"/>
              </w:rPr>
            </w:pPr>
            <w:r>
              <w:rPr>
                <w:rFonts w:ascii="Times New Roman" w:hAnsi="Times New Roman"/>
              </w:rPr>
              <w:t>4.06 ± 0.88</w:t>
            </w:r>
          </w:p>
        </w:tc>
      </w:tr>
    </w:tbl>
    <w:p w14:paraId="4D6943DB" w14:textId="77777777" w:rsidR="00C50FD8" w:rsidRDefault="00C50FD8" w:rsidP="00C50FD8">
      <w:pPr>
        <w:spacing w:before="100" w:beforeAutospacing="1" w:after="100" w:afterAutospacing="1"/>
        <w:outlineLvl w:val="2"/>
        <w:rPr>
          <w:rFonts w:ascii="Times New Roman" w:eastAsiaTheme="minorEastAsia" w:hAnsi="Times New Roman"/>
          <w:i/>
          <w:kern w:val="2"/>
          <w14:ligatures w14:val="standardContextual"/>
        </w:rPr>
      </w:pPr>
      <w:r>
        <w:rPr>
          <w:rFonts w:ascii="Times New Roman" w:hAnsi="Times New Roman"/>
          <w:i/>
        </w:rPr>
        <w:t>Means with different superscript letters indicate significant differences, while means sharing the same letter indicate no significant difference at (</w:t>
      </w:r>
      <w:r>
        <w:rPr>
          <w:rStyle w:val="Emphasis"/>
          <w:rFonts w:ascii="Times New Roman" w:hAnsi="Times New Roman"/>
        </w:rPr>
        <w:t>p</w:t>
      </w:r>
      <w:r>
        <w:rPr>
          <w:rFonts w:ascii="Times New Roman" w:hAnsi="Times New Roman"/>
          <w:i/>
        </w:rPr>
        <w:t xml:space="preserve"> &lt; 0.05). ND = Not Detected.</w:t>
      </w:r>
    </w:p>
    <w:p w14:paraId="5A5D0744" w14:textId="77777777" w:rsidR="00C50FD8" w:rsidRPr="006578BB" w:rsidRDefault="00C50FD8" w:rsidP="00C50FD8">
      <w:pPr>
        <w:spacing w:before="240"/>
        <w:jc w:val="both"/>
        <w:rPr>
          <w:rFonts w:ascii="Times New Roman" w:eastAsiaTheme="minorEastAsia" w:hAnsi="Times New Roman"/>
          <w:kern w:val="2"/>
          <w14:ligatures w14:val="standardContextual"/>
        </w:rPr>
      </w:pPr>
      <w:r>
        <w:rPr>
          <w:rFonts w:ascii="Times New Roman" w:hAnsi="Times New Roman"/>
          <w:bCs/>
        </w:rPr>
        <w:t>In</w:t>
      </w:r>
      <w:r>
        <w:rPr>
          <w:rFonts w:ascii="Times New Roman" w:hAnsi="Times New Roman"/>
          <w:bCs/>
          <w:highlight w:val="yellow"/>
        </w:rPr>
        <w:t xml:space="preserve"> </w:t>
      </w:r>
      <w:r>
        <w:rPr>
          <w:rFonts w:ascii="Times New Roman" w:hAnsi="Times New Roman"/>
          <w:bCs/>
        </w:rPr>
        <w:t>vitro protein digestibility of water hyacinth (</w:t>
      </w:r>
      <w:r>
        <w:rPr>
          <w:rFonts w:ascii="Times New Roman" w:hAnsi="Times New Roman"/>
          <w:bCs/>
          <w:i/>
          <w:iCs/>
        </w:rPr>
        <w:t>Eichhornia crassipes</w:t>
      </w:r>
      <w:r>
        <w:rPr>
          <w:rFonts w:ascii="Times New Roman" w:hAnsi="Times New Roman"/>
          <w:bCs/>
        </w:rPr>
        <w:t xml:space="preserve">) following </w:t>
      </w:r>
      <w:r>
        <w:rPr>
          <w:rFonts w:ascii="Times New Roman" w:hAnsi="Times New Roman"/>
          <w:bCs/>
        </w:rPr>
        <w:tab/>
        <w:t>sequential pepsin–pancreatin digestion</w:t>
      </w:r>
    </w:p>
    <w:p w14:paraId="3DECAC52" w14:textId="77777777" w:rsidR="00C50FD8" w:rsidRDefault="00C50FD8" w:rsidP="00C50FD8">
      <w:pPr>
        <w:pStyle w:val="NormalWeb"/>
        <w:spacing w:before="0" w:beforeAutospacing="0" w:after="0" w:afterAutospacing="0" w:line="480" w:lineRule="auto"/>
        <w:jc w:val="both"/>
      </w:pPr>
      <w:r>
        <w:t>The final in</w:t>
      </w:r>
      <w:r>
        <w:rPr>
          <w:highlight w:val="yellow"/>
        </w:rPr>
        <w:t xml:space="preserve"> </w:t>
      </w:r>
      <w:r>
        <w:t>vitro protein digestibility of water hyacinth (</w:t>
      </w:r>
      <w:r>
        <w:rPr>
          <w:rStyle w:val="Emphasis"/>
          <w:rFonts w:eastAsiaTheme="majorEastAsia"/>
          <w:highlight w:val="yellow"/>
        </w:rPr>
        <w:t>Eichhornia crassipes</w:t>
      </w:r>
      <w:r>
        <w:t>) varied significantly among the processing treatments. Fermented water hyacinth recorded the highest protein digestibility (</w:t>
      </w:r>
      <w:r>
        <w:rPr>
          <w:rStyle w:val="Strong"/>
          <w:rFonts w:eastAsiaTheme="majorEastAsia"/>
          <w:b w:val="0"/>
        </w:rPr>
        <w:t>74.63 ± 0.82%</w:t>
      </w:r>
      <w:r>
        <w:rPr>
          <w:b/>
        </w:rPr>
        <w:t>),</w:t>
      </w:r>
      <w:r>
        <w:t xml:space="preserve"> followed by boiled (</w:t>
      </w:r>
      <w:r>
        <w:rPr>
          <w:rStyle w:val="Strong"/>
          <w:rFonts w:eastAsiaTheme="majorEastAsia"/>
          <w:b w:val="0"/>
        </w:rPr>
        <w:t>68.47 ± 0.76%</w:t>
      </w:r>
      <w:r>
        <w:rPr>
          <w:b/>
        </w:rPr>
        <w:t>)</w:t>
      </w:r>
      <w:r>
        <w:t xml:space="preserve"> and oven-dried samples (</w:t>
      </w:r>
      <w:r>
        <w:rPr>
          <w:rStyle w:val="Strong"/>
          <w:rFonts w:eastAsiaTheme="majorEastAsia"/>
          <w:b w:val="0"/>
        </w:rPr>
        <w:t>62.83 ± 0.69%</w:t>
      </w:r>
      <w:r>
        <w:rPr>
          <w:b/>
        </w:rPr>
        <w:t>),</w:t>
      </w:r>
      <w:r>
        <w:t xml:space="preserve"> while the control recorded the lowest value (</w:t>
      </w:r>
      <w:r>
        <w:rPr>
          <w:rStyle w:val="Strong"/>
          <w:rFonts w:eastAsiaTheme="majorEastAsia"/>
          <w:b w:val="0"/>
        </w:rPr>
        <w:t>57.26 ± 0.73%</w:t>
      </w:r>
      <w:r>
        <w:rPr>
          <w:b/>
        </w:rPr>
        <w:t>).</w:t>
      </w:r>
      <w:r>
        <w:t xml:space="preserve"> The significantly higher digestibility observed in the fermented sample indicates that fermentation enhanced the susceptibility of water hyacinth proteins to enzymatic hydrolysis during the sequential pepsin-pancreatin digestion.</w:t>
      </w:r>
    </w:p>
    <w:p w14:paraId="3B9B9FDA" w14:textId="77777777" w:rsidR="00C50FD8" w:rsidRDefault="00C50FD8" w:rsidP="00C50FD8">
      <w:pPr>
        <w:pStyle w:val="NormalWeb"/>
        <w:spacing w:before="0" w:beforeAutospacing="0" w:after="0" w:afterAutospacing="0" w:line="480" w:lineRule="auto"/>
        <w:jc w:val="both"/>
      </w:pPr>
      <w:r>
        <w:t xml:space="preserve">The high digestibility recorded after fermentation may be associated with microbial degradation of complex plant structures and partial breakdown of protein-associated components during fermentation. This may have increased the accessibility of proteins to pepsin and pancreatic proteolytic enzymes. The boiled sample also showed improved protein digestibility </w:t>
      </w:r>
      <w:r w:rsidRPr="006578BB">
        <w:rPr>
          <w:b/>
        </w:rPr>
        <w:t>(</w:t>
      </w:r>
      <w:r w:rsidRPr="006578BB">
        <w:rPr>
          <w:rStyle w:val="Strong"/>
          <w:rFonts w:eastAsiaTheme="majorEastAsia"/>
          <w:b w:val="0"/>
        </w:rPr>
        <w:t>68.47 ± 0.76%</w:t>
      </w:r>
      <w:r w:rsidRPr="006578BB">
        <w:rPr>
          <w:b/>
        </w:rPr>
        <w:t>)</w:t>
      </w:r>
      <w:r>
        <w:t xml:space="preserve"> compared with the control, suggesting that heat treatment may </w:t>
      </w:r>
      <w:r>
        <w:lastRenderedPageBreak/>
        <w:t>have disrupted cellular structures and facilitated enzyme access to proteins. However, its effect was less pronounced than fermentation.</w:t>
      </w:r>
    </w:p>
    <w:p w14:paraId="5C5054C5" w14:textId="77777777" w:rsidR="00C50FD8" w:rsidRDefault="00C50FD8" w:rsidP="00C50FD8">
      <w:pPr>
        <w:pStyle w:val="NormalWeb"/>
        <w:spacing w:before="0" w:beforeAutospacing="0" w:after="0" w:afterAutospacing="0" w:line="480" w:lineRule="auto"/>
        <w:jc w:val="both"/>
      </w:pPr>
      <w:r>
        <w:t xml:space="preserve">Oven drying resulted in a moderate increase in protein digestibility </w:t>
      </w:r>
      <w:r>
        <w:rPr>
          <w:b/>
        </w:rPr>
        <w:t>(</w:t>
      </w:r>
      <w:r>
        <w:rPr>
          <w:rStyle w:val="Strong"/>
          <w:rFonts w:eastAsiaTheme="majorEastAsia"/>
          <w:b w:val="0"/>
        </w:rPr>
        <w:t>62.83 ± 0.69%</w:t>
      </w:r>
      <w:r>
        <w:rPr>
          <w:b/>
        </w:rPr>
        <w:t>)</w:t>
      </w:r>
      <w:r>
        <w:t xml:space="preserve"> compared with the untreated control </w:t>
      </w:r>
      <w:r>
        <w:rPr>
          <w:b/>
        </w:rPr>
        <w:t>(</w:t>
      </w:r>
      <w:r>
        <w:rPr>
          <w:rStyle w:val="Strong"/>
          <w:rFonts w:eastAsiaTheme="majorEastAsia"/>
          <w:b w:val="0"/>
        </w:rPr>
        <w:t>57.26 ± 0.73%</w:t>
      </w:r>
      <w:r>
        <w:rPr>
          <w:b/>
        </w:rPr>
        <w:t>).</w:t>
      </w:r>
      <w:r>
        <w:t xml:space="preserve"> The relatively smaller improvement may indicate that drying mainly removed moisture without substantially modifying the structural components surrounding the proteins. The progressive increase in digestibility from control to oven drying, boiling and fermentation suggests that processing improved the accessibility and potential utili</w:t>
      </w:r>
      <w:r>
        <w:rPr>
          <w:highlight w:val="yellow"/>
        </w:rPr>
        <w:t>s</w:t>
      </w:r>
      <w:r>
        <w:t>ation of water hyacinth protein, with fermentation being the most effective treatment under the conditions of this study.</w:t>
      </w:r>
    </w:p>
    <w:p w14:paraId="10D0FCF6" w14:textId="77777777" w:rsidR="00C50FD8" w:rsidRPr="006578BB" w:rsidRDefault="00C50FD8" w:rsidP="00C50FD8">
      <w:pPr>
        <w:spacing w:before="240"/>
        <w:jc w:val="both"/>
        <w:rPr>
          <w:rFonts w:ascii="Times New Roman" w:eastAsiaTheme="minorEastAsia" w:hAnsi="Times New Roman"/>
          <w:kern w:val="2"/>
          <w14:ligatures w14:val="standardContextual"/>
        </w:rPr>
      </w:pPr>
      <w:r w:rsidRPr="006578BB">
        <w:rPr>
          <w:rFonts w:ascii="Times New Roman" w:hAnsi="Times New Roman"/>
          <w:bCs/>
        </w:rPr>
        <w:t>Table 5: In-vitro protein digestibility of water hyacinth (</w:t>
      </w:r>
      <w:r w:rsidRPr="006578BB">
        <w:rPr>
          <w:rFonts w:ascii="Times New Roman" w:hAnsi="Times New Roman"/>
          <w:bCs/>
          <w:i/>
          <w:iCs/>
        </w:rPr>
        <w:t>Eichhornia crassipes</w:t>
      </w:r>
      <w:r w:rsidRPr="006578BB">
        <w:rPr>
          <w:rFonts w:ascii="Times New Roman" w:hAnsi="Times New Roman"/>
          <w:bCs/>
        </w:rPr>
        <w:t>) following sequential pepsin-pancreatin digestion</w:t>
      </w:r>
    </w:p>
    <w:tbl>
      <w:tblPr>
        <w:tblW w:w="9238" w:type="dxa"/>
        <w:tblCellSpacing w:w="15" w:type="dxa"/>
        <w:tblBorders>
          <w:top w:val="single" w:sz="4" w:space="0" w:color="auto"/>
          <w:bottom w:val="single" w:sz="4" w:space="0" w:color="auto"/>
        </w:tblBorders>
        <w:tblLook w:val="04A0" w:firstRow="1" w:lastRow="0" w:firstColumn="1" w:lastColumn="0" w:noHBand="0" w:noVBand="1"/>
      </w:tblPr>
      <w:tblGrid>
        <w:gridCol w:w="2579"/>
        <w:gridCol w:w="2516"/>
        <w:gridCol w:w="4143"/>
      </w:tblGrid>
      <w:tr w:rsidR="00C50FD8" w:rsidRPr="006578BB" w14:paraId="1B9BAF6F" w14:textId="77777777" w:rsidTr="00C50FD8">
        <w:trPr>
          <w:trHeight w:val="466"/>
          <w:tblHeader/>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C85125A" w14:textId="77777777" w:rsidR="00C50FD8" w:rsidRPr="006578BB" w:rsidRDefault="00C50FD8">
            <w:pPr>
              <w:jc w:val="center"/>
              <w:rPr>
                <w:rFonts w:ascii="Times New Roman" w:hAnsi="Times New Roman"/>
                <w:bCs/>
              </w:rPr>
            </w:pPr>
            <w:r w:rsidRPr="006578BB">
              <w:rPr>
                <w:rFonts w:ascii="Times New Roman" w:hAnsi="Times New Roman"/>
                <w:bCs/>
              </w:rPr>
              <w:t>Treatment Group</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81DEE3F" w14:textId="77777777" w:rsidR="00C50FD8" w:rsidRPr="006578BB" w:rsidRDefault="00C50FD8">
            <w:pPr>
              <w:jc w:val="center"/>
              <w:rPr>
                <w:rFonts w:ascii="Times New Roman" w:hAnsi="Times New Roman"/>
                <w:bCs/>
              </w:rPr>
            </w:pPr>
            <w:r w:rsidRPr="006578BB">
              <w:rPr>
                <w:rFonts w:ascii="Times New Roman" w:hAnsi="Times New Roman"/>
                <w:bCs/>
              </w:rPr>
              <w:t>After Pepsin (%)</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F49C1C7" w14:textId="77777777" w:rsidR="00C50FD8" w:rsidRPr="006578BB" w:rsidRDefault="00C50FD8">
            <w:pPr>
              <w:jc w:val="center"/>
              <w:rPr>
                <w:rFonts w:ascii="Times New Roman" w:hAnsi="Times New Roman"/>
                <w:bCs/>
              </w:rPr>
            </w:pPr>
            <w:r w:rsidRPr="006578BB">
              <w:rPr>
                <w:rFonts w:ascii="Times New Roman" w:hAnsi="Times New Roman"/>
                <w:bCs/>
              </w:rPr>
              <w:t>Final Pepsin-Pancreatin (%)</w:t>
            </w:r>
          </w:p>
        </w:tc>
      </w:tr>
      <w:tr w:rsidR="00C50FD8" w14:paraId="5C2FA1E4" w14:textId="77777777" w:rsidTr="00C50FD8">
        <w:trPr>
          <w:trHeight w:val="601"/>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3EA5FB62" w14:textId="77777777" w:rsidR="00C50FD8" w:rsidRDefault="00C50FD8">
            <w:pPr>
              <w:jc w:val="center"/>
              <w:rPr>
                <w:rFonts w:ascii="Times New Roman" w:hAnsi="Times New Roman"/>
              </w:rPr>
            </w:pPr>
            <w:r>
              <w:rPr>
                <w:rFonts w:ascii="Times New Roman" w:hAnsi="Times New Roman"/>
              </w:rPr>
              <w:t>Fermented</w:t>
            </w:r>
          </w:p>
        </w:tc>
        <w:tc>
          <w:tcPr>
            <w:tcW w:w="0" w:type="auto"/>
            <w:tcBorders>
              <w:top w:val="nil"/>
              <w:left w:val="nil"/>
              <w:bottom w:val="nil"/>
              <w:right w:val="nil"/>
            </w:tcBorders>
            <w:tcMar>
              <w:top w:w="15" w:type="dxa"/>
              <w:left w:w="15" w:type="dxa"/>
              <w:bottom w:w="15" w:type="dxa"/>
              <w:right w:w="15" w:type="dxa"/>
            </w:tcMar>
            <w:vAlign w:val="center"/>
            <w:hideMark/>
          </w:tcPr>
          <w:p w14:paraId="00A9B213" w14:textId="77777777" w:rsidR="00C50FD8" w:rsidRDefault="00C50FD8">
            <w:pPr>
              <w:jc w:val="center"/>
              <w:rPr>
                <w:rFonts w:ascii="Times New Roman" w:hAnsi="Times New Roman"/>
              </w:rPr>
            </w:pPr>
            <w:r>
              <w:rPr>
                <w:rFonts w:ascii="Times New Roman" w:hAnsi="Times New Roman"/>
                <w:bCs/>
              </w:rPr>
              <w:t>58.42 ± 0.71ᵃ</w:t>
            </w:r>
          </w:p>
        </w:tc>
        <w:tc>
          <w:tcPr>
            <w:tcW w:w="0" w:type="auto"/>
            <w:tcBorders>
              <w:top w:val="nil"/>
              <w:left w:val="nil"/>
              <w:bottom w:val="nil"/>
              <w:right w:val="nil"/>
            </w:tcBorders>
            <w:tcMar>
              <w:top w:w="15" w:type="dxa"/>
              <w:left w:w="15" w:type="dxa"/>
              <w:bottom w:w="15" w:type="dxa"/>
              <w:right w:w="15" w:type="dxa"/>
            </w:tcMar>
            <w:vAlign w:val="center"/>
            <w:hideMark/>
          </w:tcPr>
          <w:p w14:paraId="092143B8" w14:textId="77777777" w:rsidR="00C50FD8" w:rsidRDefault="00C50FD8">
            <w:pPr>
              <w:jc w:val="center"/>
              <w:rPr>
                <w:rFonts w:ascii="Times New Roman" w:hAnsi="Times New Roman"/>
              </w:rPr>
            </w:pPr>
            <w:r>
              <w:rPr>
                <w:rFonts w:ascii="Times New Roman" w:hAnsi="Times New Roman"/>
                <w:bCs/>
              </w:rPr>
              <w:t>74.63 ± 0.82ᵃ</w:t>
            </w:r>
          </w:p>
        </w:tc>
      </w:tr>
      <w:tr w:rsidR="00C50FD8" w14:paraId="14785A3A" w14:textId="77777777" w:rsidTr="00C50FD8">
        <w:trPr>
          <w:trHeight w:val="578"/>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2A628813" w14:textId="77777777" w:rsidR="00C50FD8" w:rsidRDefault="00C50FD8">
            <w:pPr>
              <w:jc w:val="center"/>
              <w:rPr>
                <w:rFonts w:ascii="Times New Roman" w:hAnsi="Times New Roman"/>
              </w:rPr>
            </w:pPr>
            <w:r>
              <w:rPr>
                <w:rFonts w:ascii="Times New Roman" w:hAnsi="Times New Roman"/>
              </w:rPr>
              <w:t>Boiled</w:t>
            </w:r>
          </w:p>
        </w:tc>
        <w:tc>
          <w:tcPr>
            <w:tcW w:w="0" w:type="auto"/>
            <w:tcBorders>
              <w:top w:val="nil"/>
              <w:left w:val="nil"/>
              <w:bottom w:val="nil"/>
              <w:right w:val="nil"/>
            </w:tcBorders>
            <w:tcMar>
              <w:top w:w="15" w:type="dxa"/>
              <w:left w:w="15" w:type="dxa"/>
              <w:bottom w:w="15" w:type="dxa"/>
              <w:right w:w="15" w:type="dxa"/>
            </w:tcMar>
            <w:vAlign w:val="center"/>
            <w:hideMark/>
          </w:tcPr>
          <w:p w14:paraId="210B13C6" w14:textId="77777777" w:rsidR="00C50FD8" w:rsidRDefault="00C50FD8">
            <w:pPr>
              <w:jc w:val="center"/>
              <w:rPr>
                <w:rFonts w:ascii="Times New Roman" w:hAnsi="Times New Roman"/>
              </w:rPr>
            </w:pPr>
            <w:r>
              <w:rPr>
                <w:rFonts w:ascii="Times New Roman" w:hAnsi="Times New Roman"/>
                <w:bCs/>
              </w:rPr>
              <w:t>53.17 ± 0.68ᵇ</w:t>
            </w:r>
          </w:p>
        </w:tc>
        <w:tc>
          <w:tcPr>
            <w:tcW w:w="0" w:type="auto"/>
            <w:tcBorders>
              <w:top w:val="nil"/>
              <w:left w:val="nil"/>
              <w:bottom w:val="nil"/>
              <w:right w:val="nil"/>
            </w:tcBorders>
            <w:tcMar>
              <w:top w:w="15" w:type="dxa"/>
              <w:left w:w="15" w:type="dxa"/>
              <w:bottom w:w="15" w:type="dxa"/>
              <w:right w:w="15" w:type="dxa"/>
            </w:tcMar>
            <w:vAlign w:val="center"/>
            <w:hideMark/>
          </w:tcPr>
          <w:p w14:paraId="410268B9" w14:textId="77777777" w:rsidR="00C50FD8" w:rsidRDefault="00C50FD8">
            <w:pPr>
              <w:jc w:val="center"/>
              <w:rPr>
                <w:rFonts w:ascii="Times New Roman" w:hAnsi="Times New Roman"/>
              </w:rPr>
            </w:pPr>
            <w:r>
              <w:rPr>
                <w:rFonts w:ascii="Times New Roman" w:hAnsi="Times New Roman"/>
                <w:bCs/>
              </w:rPr>
              <w:t>68.47 ± 0.76ᵇ</w:t>
            </w:r>
          </w:p>
        </w:tc>
      </w:tr>
      <w:tr w:rsidR="00C50FD8" w14:paraId="01CF3671" w14:textId="77777777" w:rsidTr="00C50FD8">
        <w:trPr>
          <w:trHeight w:val="578"/>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682A0E74" w14:textId="77777777" w:rsidR="00C50FD8" w:rsidRDefault="00C50FD8">
            <w:pPr>
              <w:jc w:val="center"/>
              <w:rPr>
                <w:rFonts w:ascii="Times New Roman" w:hAnsi="Times New Roman"/>
              </w:rPr>
            </w:pPr>
            <w:r>
              <w:rPr>
                <w:rFonts w:ascii="Times New Roman" w:hAnsi="Times New Roman"/>
              </w:rPr>
              <w:t>Oven dried</w:t>
            </w:r>
          </w:p>
        </w:tc>
        <w:tc>
          <w:tcPr>
            <w:tcW w:w="0" w:type="auto"/>
            <w:tcBorders>
              <w:top w:val="nil"/>
              <w:left w:val="nil"/>
              <w:bottom w:val="nil"/>
              <w:right w:val="nil"/>
            </w:tcBorders>
            <w:tcMar>
              <w:top w:w="15" w:type="dxa"/>
              <w:left w:w="15" w:type="dxa"/>
              <w:bottom w:w="15" w:type="dxa"/>
              <w:right w:w="15" w:type="dxa"/>
            </w:tcMar>
            <w:vAlign w:val="center"/>
            <w:hideMark/>
          </w:tcPr>
          <w:p w14:paraId="30795880" w14:textId="77777777" w:rsidR="00C50FD8" w:rsidRDefault="00C50FD8">
            <w:pPr>
              <w:jc w:val="center"/>
              <w:rPr>
                <w:rFonts w:ascii="Times New Roman" w:hAnsi="Times New Roman"/>
              </w:rPr>
            </w:pPr>
            <w:r>
              <w:rPr>
                <w:rFonts w:ascii="Times New Roman" w:hAnsi="Times New Roman"/>
                <w:bCs/>
              </w:rPr>
              <w:t>48.36 ± 0.64ᶜ</w:t>
            </w:r>
          </w:p>
        </w:tc>
        <w:tc>
          <w:tcPr>
            <w:tcW w:w="0" w:type="auto"/>
            <w:tcBorders>
              <w:top w:val="nil"/>
              <w:left w:val="nil"/>
              <w:bottom w:val="nil"/>
              <w:right w:val="nil"/>
            </w:tcBorders>
            <w:tcMar>
              <w:top w:w="15" w:type="dxa"/>
              <w:left w:w="15" w:type="dxa"/>
              <w:bottom w:w="15" w:type="dxa"/>
              <w:right w:w="15" w:type="dxa"/>
            </w:tcMar>
            <w:vAlign w:val="center"/>
            <w:hideMark/>
          </w:tcPr>
          <w:p w14:paraId="3A44F09B" w14:textId="77777777" w:rsidR="00C50FD8" w:rsidRDefault="00C50FD8">
            <w:pPr>
              <w:jc w:val="center"/>
              <w:rPr>
                <w:rFonts w:ascii="Times New Roman" w:hAnsi="Times New Roman"/>
              </w:rPr>
            </w:pPr>
            <w:r>
              <w:rPr>
                <w:rFonts w:ascii="Times New Roman" w:hAnsi="Times New Roman"/>
                <w:bCs/>
              </w:rPr>
              <w:t>62.83 ± 0.69ᶜ</w:t>
            </w:r>
          </w:p>
        </w:tc>
      </w:tr>
      <w:tr w:rsidR="00C50FD8" w14:paraId="6D2E6381" w14:textId="77777777" w:rsidTr="00C50FD8">
        <w:trPr>
          <w:trHeight w:val="578"/>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05682F26" w14:textId="77777777" w:rsidR="00C50FD8" w:rsidRDefault="00C50FD8">
            <w:pPr>
              <w:jc w:val="center"/>
              <w:rPr>
                <w:rFonts w:ascii="Times New Roman" w:hAnsi="Times New Roman"/>
              </w:rPr>
            </w:pPr>
            <w:r>
              <w:rPr>
                <w:rFonts w:ascii="Times New Roman" w:hAnsi="Times New Roman"/>
              </w:rPr>
              <w:t>Control</w:t>
            </w:r>
          </w:p>
        </w:tc>
        <w:tc>
          <w:tcPr>
            <w:tcW w:w="0" w:type="auto"/>
            <w:tcBorders>
              <w:top w:val="nil"/>
              <w:left w:val="nil"/>
              <w:bottom w:val="nil"/>
              <w:right w:val="nil"/>
            </w:tcBorders>
            <w:tcMar>
              <w:top w:w="15" w:type="dxa"/>
              <w:left w:w="15" w:type="dxa"/>
              <w:bottom w:w="15" w:type="dxa"/>
              <w:right w:w="15" w:type="dxa"/>
            </w:tcMar>
            <w:vAlign w:val="center"/>
            <w:hideMark/>
          </w:tcPr>
          <w:p w14:paraId="08E56AB9" w14:textId="77777777" w:rsidR="00C50FD8" w:rsidRDefault="00C50FD8">
            <w:pPr>
              <w:jc w:val="center"/>
              <w:rPr>
                <w:rFonts w:ascii="Times New Roman" w:hAnsi="Times New Roman"/>
              </w:rPr>
            </w:pPr>
            <w:r>
              <w:rPr>
                <w:rFonts w:ascii="Times New Roman" w:hAnsi="Times New Roman"/>
                <w:bCs/>
              </w:rPr>
              <w:t>42.73 ± 0.59ᵈ</w:t>
            </w:r>
          </w:p>
        </w:tc>
        <w:tc>
          <w:tcPr>
            <w:tcW w:w="0" w:type="auto"/>
            <w:tcBorders>
              <w:top w:val="nil"/>
              <w:left w:val="nil"/>
              <w:bottom w:val="nil"/>
              <w:right w:val="nil"/>
            </w:tcBorders>
            <w:tcMar>
              <w:top w:w="15" w:type="dxa"/>
              <w:left w:w="15" w:type="dxa"/>
              <w:bottom w:w="15" w:type="dxa"/>
              <w:right w:w="15" w:type="dxa"/>
            </w:tcMar>
            <w:vAlign w:val="center"/>
            <w:hideMark/>
          </w:tcPr>
          <w:p w14:paraId="643C023A" w14:textId="77777777" w:rsidR="00C50FD8" w:rsidRDefault="00C50FD8">
            <w:pPr>
              <w:jc w:val="center"/>
              <w:rPr>
                <w:rFonts w:ascii="Times New Roman" w:hAnsi="Times New Roman"/>
              </w:rPr>
            </w:pPr>
            <w:r>
              <w:rPr>
                <w:rFonts w:ascii="Times New Roman" w:hAnsi="Times New Roman"/>
                <w:bCs/>
              </w:rPr>
              <w:t>57.26 ± 0.73ᵈ</w:t>
            </w:r>
          </w:p>
        </w:tc>
      </w:tr>
    </w:tbl>
    <w:p w14:paraId="27AC4F84" w14:textId="77777777" w:rsidR="00C50FD8" w:rsidRDefault="00C50FD8" w:rsidP="00C50FD8">
      <w:pPr>
        <w:spacing w:before="100" w:beforeAutospacing="1" w:after="100" w:afterAutospacing="1"/>
        <w:outlineLvl w:val="2"/>
        <w:rPr>
          <w:rFonts w:ascii="Times New Roman" w:eastAsiaTheme="minorEastAsia" w:hAnsi="Times New Roman"/>
          <w:i/>
          <w:kern w:val="2"/>
          <w14:ligatures w14:val="standardContextual"/>
        </w:rPr>
      </w:pPr>
      <w:r>
        <w:rPr>
          <w:rFonts w:ascii="Times New Roman" w:hAnsi="Times New Roman"/>
          <w:i/>
        </w:rPr>
        <w:t>Means with different superscript letters indicate significant differences, while means sharing the same letter indicate no significant difference at (</w:t>
      </w:r>
      <w:r>
        <w:rPr>
          <w:rStyle w:val="Emphasis"/>
          <w:rFonts w:ascii="Times New Roman" w:hAnsi="Times New Roman"/>
        </w:rPr>
        <w:t>p</w:t>
      </w:r>
      <w:r>
        <w:rPr>
          <w:rFonts w:ascii="Times New Roman" w:hAnsi="Times New Roman"/>
          <w:i/>
        </w:rPr>
        <w:t xml:space="preserve"> &lt; 0.05).</w:t>
      </w:r>
    </w:p>
    <w:p w14:paraId="187333FA" w14:textId="77777777" w:rsidR="00C50FD8" w:rsidRPr="006578BB" w:rsidRDefault="00C50FD8" w:rsidP="00C50FD8">
      <w:pPr>
        <w:spacing w:before="240" w:after="100" w:afterAutospacing="1"/>
        <w:jc w:val="both"/>
        <w:outlineLvl w:val="2"/>
        <w:rPr>
          <w:rFonts w:ascii="Times New Roman" w:hAnsi="Times New Roman"/>
        </w:rPr>
      </w:pPr>
      <w:r>
        <w:rPr>
          <w:rFonts w:ascii="Times New Roman" w:hAnsi="Times New Roman"/>
        </w:rPr>
        <w:t>Pearson correlation between selected anti-nutritional factors and in</w:t>
      </w:r>
      <w:r>
        <w:rPr>
          <w:rFonts w:ascii="Times New Roman" w:hAnsi="Times New Roman"/>
          <w:highlight w:val="yellow"/>
        </w:rPr>
        <w:t xml:space="preserve"> </w:t>
      </w:r>
      <w:r>
        <w:rPr>
          <w:rFonts w:ascii="Times New Roman" w:hAnsi="Times New Roman"/>
        </w:rPr>
        <w:t xml:space="preserve">vitro protein </w:t>
      </w:r>
      <w:r>
        <w:rPr>
          <w:rFonts w:ascii="Times New Roman" w:hAnsi="Times New Roman"/>
        </w:rPr>
        <w:tab/>
        <w:t>digestibility of water hyacinth (</w:t>
      </w:r>
      <w:r>
        <w:rPr>
          <w:rStyle w:val="Emphasis"/>
          <w:rFonts w:ascii="Times New Roman" w:hAnsi="Times New Roman"/>
          <w:highlight w:val="yellow"/>
        </w:rPr>
        <w:t>Eichhornia crassipes</w:t>
      </w:r>
      <w:r>
        <w:rPr>
          <w:rFonts w:ascii="Times New Roman" w:hAnsi="Times New Roman"/>
        </w:rPr>
        <w:t>)</w:t>
      </w:r>
    </w:p>
    <w:p w14:paraId="169DBA11" w14:textId="77777777" w:rsidR="00C50FD8" w:rsidRDefault="00C50FD8" w:rsidP="00C50FD8">
      <w:pPr>
        <w:pStyle w:val="NormalWeb"/>
        <w:spacing w:before="0" w:beforeAutospacing="0" w:after="0" w:afterAutospacing="0" w:line="480" w:lineRule="auto"/>
        <w:jc w:val="both"/>
      </w:pPr>
      <w:r>
        <w:t xml:space="preserve">The correlation analysis demonstrated very </w:t>
      </w:r>
      <w:r>
        <w:rPr>
          <w:rStyle w:val="Strong"/>
          <w:rFonts w:eastAsiaTheme="majorEastAsia"/>
          <w:b w:val="0"/>
        </w:rPr>
        <w:t>strong negative associations</w:t>
      </w:r>
      <w:r>
        <w:t xml:space="preserve"> between the anti-nutritional factors and final pepsin-pancreatin protein digestion across the treatment groups. The strongest inverse relationship was observed between tannin and final protein digestion in the oven-dried and control samples (r = -0.986), whereas the weakest relationship was observed between phytate and final protein digestion in the oven-dried and control samples (r = </w:t>
      </w:r>
      <w:r>
        <w:rPr>
          <w:highlight w:val="yellow"/>
        </w:rPr>
        <w:t>-</w:t>
      </w:r>
      <w:r>
        <w:t xml:space="preserve">0.899) in each case. Despite being the weakest correlation, the r-value of -0.899 indicates a very strong inverse association, suggesting that higher levels of phytate were associated with lower final protein digestion. These findings suggest that reductions in anti-nutritional factors following processing may be associated with improved protein accessibility and susceptibility to enzymatic digestion. </w:t>
      </w:r>
    </w:p>
    <w:p w14:paraId="3BF7D327" w14:textId="77777777" w:rsidR="00C50FD8" w:rsidRPr="006578BB" w:rsidRDefault="00C50FD8" w:rsidP="00C50FD8">
      <w:pPr>
        <w:spacing w:line="360" w:lineRule="auto"/>
        <w:jc w:val="both"/>
        <w:rPr>
          <w:rFonts w:ascii="Times New Roman" w:hAnsi="Times New Roman"/>
        </w:rPr>
      </w:pPr>
      <w:r w:rsidRPr="006578BB">
        <w:rPr>
          <w:rFonts w:ascii="Times New Roman" w:hAnsi="Times New Roman"/>
        </w:rPr>
        <w:lastRenderedPageBreak/>
        <w:t>Table 6: Pearson Correlation Between Selected Anti-Nutritional Factors and In-Vitro Protein Digestibility of Water Hyacinth (</w:t>
      </w:r>
      <w:r w:rsidRPr="006578BB">
        <w:rPr>
          <w:rStyle w:val="Emphasis"/>
          <w:rFonts w:ascii="Times New Roman" w:hAnsi="Times New Roman"/>
        </w:rPr>
        <w:t>Eichhornia crassipes</w:t>
      </w:r>
      <w:r w:rsidRPr="006578BB">
        <w:rPr>
          <w:rFonts w:ascii="Times New Roman" w:hAnsi="Times New Roman"/>
        </w:rPr>
        <w:t>)</w:t>
      </w:r>
    </w:p>
    <w:tbl>
      <w:tblPr>
        <w:tblW w:w="9360" w:type="dxa"/>
        <w:tblCellSpacing w:w="15" w:type="dxa"/>
        <w:tblLook w:val="04A0" w:firstRow="1" w:lastRow="0" w:firstColumn="1" w:lastColumn="0" w:noHBand="0" w:noVBand="1"/>
      </w:tblPr>
      <w:tblGrid>
        <w:gridCol w:w="2950"/>
        <w:gridCol w:w="2255"/>
        <w:gridCol w:w="4155"/>
      </w:tblGrid>
      <w:tr w:rsidR="00C50FD8" w14:paraId="7FF17C6A" w14:textId="77777777" w:rsidTr="00C50FD8">
        <w:trPr>
          <w:trHeight w:val="657"/>
          <w:tblCellSpacing w:w="15" w:type="dxa"/>
        </w:trPr>
        <w:tc>
          <w:tcPr>
            <w:tcW w:w="2905" w:type="dxa"/>
            <w:tcBorders>
              <w:top w:val="single" w:sz="4" w:space="0" w:color="auto"/>
              <w:left w:val="nil"/>
              <w:bottom w:val="nil"/>
              <w:right w:val="nil"/>
            </w:tcBorders>
            <w:tcMar>
              <w:top w:w="15" w:type="dxa"/>
              <w:left w:w="15" w:type="dxa"/>
              <w:bottom w:w="15" w:type="dxa"/>
              <w:right w:w="15" w:type="dxa"/>
            </w:tcMar>
            <w:vAlign w:val="center"/>
            <w:hideMark/>
          </w:tcPr>
          <w:p w14:paraId="2D6C42C1" w14:textId="77777777" w:rsidR="00C50FD8" w:rsidRPr="006578BB" w:rsidRDefault="00C50FD8">
            <w:pPr>
              <w:spacing w:line="360" w:lineRule="auto"/>
              <w:jc w:val="center"/>
              <w:rPr>
                <w:rFonts w:ascii="Times New Roman" w:hAnsi="Times New Roman"/>
              </w:rPr>
            </w:pPr>
            <w:r w:rsidRPr="006578BB">
              <w:rPr>
                <w:rFonts w:ascii="Times New Roman" w:hAnsi="Times New Roman"/>
              </w:rPr>
              <w:t>Treatment group</w:t>
            </w:r>
          </w:p>
        </w:tc>
        <w:tc>
          <w:tcPr>
            <w:tcW w:w="2225" w:type="dxa"/>
            <w:tcBorders>
              <w:top w:val="single" w:sz="4" w:space="0" w:color="auto"/>
              <w:left w:val="nil"/>
              <w:bottom w:val="nil"/>
              <w:right w:val="nil"/>
            </w:tcBorders>
            <w:tcMar>
              <w:top w:w="15" w:type="dxa"/>
              <w:left w:w="15" w:type="dxa"/>
              <w:bottom w:w="15" w:type="dxa"/>
              <w:right w:w="15" w:type="dxa"/>
            </w:tcMar>
            <w:vAlign w:val="center"/>
            <w:hideMark/>
          </w:tcPr>
          <w:p w14:paraId="2D49B9CF" w14:textId="77777777" w:rsidR="00C50FD8" w:rsidRPr="006578BB" w:rsidRDefault="00C50FD8">
            <w:pPr>
              <w:spacing w:line="360" w:lineRule="auto"/>
              <w:jc w:val="center"/>
              <w:rPr>
                <w:rFonts w:ascii="Times New Roman" w:hAnsi="Times New Roman"/>
              </w:rPr>
            </w:pPr>
            <w:r w:rsidRPr="006578BB">
              <w:rPr>
                <w:rFonts w:ascii="Times New Roman" w:hAnsi="Times New Roman"/>
              </w:rPr>
              <w:t>Anti-nutritional factors</w:t>
            </w:r>
          </w:p>
        </w:tc>
        <w:tc>
          <w:tcPr>
            <w:tcW w:w="4110" w:type="dxa"/>
            <w:tcBorders>
              <w:top w:val="single" w:sz="4" w:space="0" w:color="auto"/>
              <w:left w:val="nil"/>
              <w:bottom w:val="nil"/>
              <w:right w:val="nil"/>
            </w:tcBorders>
            <w:tcMar>
              <w:top w:w="15" w:type="dxa"/>
              <w:left w:w="15" w:type="dxa"/>
              <w:bottom w:w="15" w:type="dxa"/>
              <w:right w:w="15" w:type="dxa"/>
            </w:tcMar>
            <w:vAlign w:val="center"/>
            <w:hideMark/>
          </w:tcPr>
          <w:p w14:paraId="006A0FEC" w14:textId="77777777" w:rsidR="00C50FD8" w:rsidRPr="006578BB" w:rsidRDefault="00C50FD8">
            <w:pPr>
              <w:spacing w:line="360" w:lineRule="auto"/>
              <w:jc w:val="center"/>
              <w:rPr>
                <w:rFonts w:ascii="Times New Roman" w:hAnsi="Times New Roman"/>
              </w:rPr>
            </w:pPr>
            <w:r w:rsidRPr="006578BB">
              <w:rPr>
                <w:rFonts w:ascii="Times New Roman" w:hAnsi="Times New Roman"/>
              </w:rPr>
              <w:t>Final Pepsin-Pancreatin (r)</w:t>
            </w:r>
          </w:p>
        </w:tc>
      </w:tr>
      <w:tr w:rsidR="00C50FD8" w14:paraId="75EDC55C" w14:textId="77777777" w:rsidTr="00C50FD8">
        <w:trPr>
          <w:trHeight w:val="284"/>
          <w:tblCellSpacing w:w="15" w:type="dxa"/>
        </w:trPr>
        <w:tc>
          <w:tcPr>
            <w:tcW w:w="2905" w:type="dxa"/>
            <w:tcBorders>
              <w:top w:val="single" w:sz="4" w:space="0" w:color="auto"/>
              <w:left w:val="nil"/>
              <w:bottom w:val="nil"/>
              <w:right w:val="nil"/>
            </w:tcBorders>
            <w:tcMar>
              <w:top w:w="15" w:type="dxa"/>
              <w:left w:w="15" w:type="dxa"/>
              <w:bottom w:w="15" w:type="dxa"/>
              <w:right w:w="15" w:type="dxa"/>
            </w:tcMar>
            <w:vAlign w:val="center"/>
            <w:hideMark/>
          </w:tcPr>
          <w:p w14:paraId="6E3EEABD" w14:textId="77777777" w:rsidR="00C50FD8" w:rsidRDefault="00C50FD8">
            <w:pPr>
              <w:spacing w:line="360" w:lineRule="auto"/>
              <w:jc w:val="center"/>
              <w:rPr>
                <w:rFonts w:ascii="Times New Roman" w:hAnsi="Times New Roman"/>
              </w:rPr>
            </w:pPr>
            <w:r>
              <w:rPr>
                <w:rFonts w:ascii="Times New Roman" w:hAnsi="Times New Roman"/>
              </w:rPr>
              <w:t>Fermented</w:t>
            </w:r>
          </w:p>
        </w:tc>
        <w:tc>
          <w:tcPr>
            <w:tcW w:w="2225" w:type="dxa"/>
            <w:tcBorders>
              <w:top w:val="single" w:sz="4" w:space="0" w:color="auto"/>
              <w:left w:val="nil"/>
              <w:bottom w:val="nil"/>
              <w:right w:val="nil"/>
            </w:tcBorders>
            <w:tcMar>
              <w:top w:w="15" w:type="dxa"/>
              <w:left w:w="15" w:type="dxa"/>
              <w:bottom w:w="15" w:type="dxa"/>
              <w:right w:w="15" w:type="dxa"/>
            </w:tcMar>
            <w:vAlign w:val="center"/>
            <w:hideMark/>
          </w:tcPr>
          <w:p w14:paraId="7EC04307" w14:textId="77777777" w:rsidR="00C50FD8" w:rsidRDefault="00C50FD8">
            <w:pPr>
              <w:spacing w:line="360" w:lineRule="auto"/>
              <w:jc w:val="center"/>
              <w:rPr>
                <w:rFonts w:ascii="Times New Roman" w:hAnsi="Times New Roman"/>
              </w:rPr>
            </w:pPr>
            <w:r>
              <w:rPr>
                <w:rFonts w:ascii="Times New Roman" w:hAnsi="Times New Roman"/>
              </w:rPr>
              <w:t>Tannin</w:t>
            </w:r>
          </w:p>
        </w:tc>
        <w:tc>
          <w:tcPr>
            <w:tcW w:w="4110" w:type="dxa"/>
            <w:tcBorders>
              <w:top w:val="single" w:sz="4" w:space="0" w:color="auto"/>
              <w:left w:val="nil"/>
              <w:bottom w:val="nil"/>
              <w:right w:val="nil"/>
            </w:tcBorders>
            <w:tcMar>
              <w:top w:w="15" w:type="dxa"/>
              <w:left w:w="15" w:type="dxa"/>
              <w:bottom w:w="15" w:type="dxa"/>
              <w:right w:w="15" w:type="dxa"/>
            </w:tcMar>
            <w:vAlign w:val="center"/>
            <w:hideMark/>
          </w:tcPr>
          <w:p w14:paraId="30D852D0" w14:textId="77777777" w:rsidR="00C50FD8" w:rsidRDefault="00C50FD8">
            <w:pPr>
              <w:spacing w:line="360" w:lineRule="auto"/>
              <w:jc w:val="center"/>
              <w:rPr>
                <w:rFonts w:ascii="Times New Roman" w:hAnsi="Times New Roman"/>
              </w:rPr>
            </w:pPr>
            <w:r>
              <w:rPr>
                <w:rFonts w:ascii="Times New Roman" w:hAnsi="Times New Roman"/>
              </w:rPr>
              <w:t>−0.94</w:t>
            </w:r>
          </w:p>
        </w:tc>
      </w:tr>
      <w:tr w:rsidR="00C50FD8" w14:paraId="661C5757" w14:textId="77777777" w:rsidTr="00C50FD8">
        <w:trPr>
          <w:trHeight w:val="555"/>
          <w:tblCellSpacing w:w="15" w:type="dxa"/>
        </w:trPr>
        <w:tc>
          <w:tcPr>
            <w:tcW w:w="2905" w:type="dxa"/>
            <w:tcMar>
              <w:top w:w="15" w:type="dxa"/>
              <w:left w:w="15" w:type="dxa"/>
              <w:bottom w:w="15" w:type="dxa"/>
              <w:right w:w="15" w:type="dxa"/>
            </w:tcMar>
            <w:vAlign w:val="center"/>
            <w:hideMark/>
          </w:tcPr>
          <w:p w14:paraId="3DB9456C"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07A90266"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Cyanogenic glycoside</w:t>
            </w:r>
          </w:p>
        </w:tc>
        <w:tc>
          <w:tcPr>
            <w:tcW w:w="4110" w:type="dxa"/>
            <w:tcMar>
              <w:top w:w="15" w:type="dxa"/>
              <w:left w:w="15" w:type="dxa"/>
              <w:bottom w:w="15" w:type="dxa"/>
              <w:right w:w="15" w:type="dxa"/>
            </w:tcMar>
            <w:vAlign w:val="center"/>
            <w:hideMark/>
          </w:tcPr>
          <w:p w14:paraId="79CDC570" w14:textId="77777777" w:rsidR="00C50FD8" w:rsidRDefault="00C50FD8">
            <w:pPr>
              <w:spacing w:line="360" w:lineRule="auto"/>
              <w:jc w:val="center"/>
              <w:rPr>
                <w:rFonts w:ascii="Times New Roman" w:hAnsi="Times New Roman"/>
              </w:rPr>
            </w:pPr>
            <w:r>
              <w:rPr>
                <w:rFonts w:ascii="Times New Roman" w:hAnsi="Times New Roman"/>
              </w:rPr>
              <w:t>−0.96</w:t>
            </w:r>
          </w:p>
        </w:tc>
      </w:tr>
      <w:tr w:rsidR="00C50FD8" w14:paraId="16142380" w14:textId="77777777" w:rsidTr="00C50FD8">
        <w:trPr>
          <w:trHeight w:val="284"/>
          <w:tblCellSpacing w:w="15" w:type="dxa"/>
        </w:trPr>
        <w:tc>
          <w:tcPr>
            <w:tcW w:w="2905" w:type="dxa"/>
            <w:tcMar>
              <w:top w:w="15" w:type="dxa"/>
              <w:left w:w="15" w:type="dxa"/>
              <w:bottom w:w="15" w:type="dxa"/>
              <w:right w:w="15" w:type="dxa"/>
            </w:tcMar>
            <w:vAlign w:val="center"/>
            <w:hideMark/>
          </w:tcPr>
          <w:p w14:paraId="684F95F8"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5039447A"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Phytate</w:t>
            </w:r>
          </w:p>
        </w:tc>
        <w:tc>
          <w:tcPr>
            <w:tcW w:w="4110" w:type="dxa"/>
            <w:tcMar>
              <w:top w:w="15" w:type="dxa"/>
              <w:left w:w="15" w:type="dxa"/>
              <w:bottom w:w="15" w:type="dxa"/>
              <w:right w:w="15" w:type="dxa"/>
            </w:tcMar>
            <w:vAlign w:val="center"/>
            <w:hideMark/>
          </w:tcPr>
          <w:p w14:paraId="4004E00D" w14:textId="77777777" w:rsidR="00C50FD8" w:rsidRDefault="00C50FD8">
            <w:pPr>
              <w:spacing w:line="360" w:lineRule="auto"/>
              <w:jc w:val="center"/>
              <w:rPr>
                <w:rFonts w:ascii="Times New Roman" w:hAnsi="Times New Roman"/>
              </w:rPr>
            </w:pPr>
            <w:r>
              <w:rPr>
                <w:rFonts w:ascii="Times New Roman" w:hAnsi="Times New Roman"/>
              </w:rPr>
              <w:t>−0.93</w:t>
            </w:r>
          </w:p>
        </w:tc>
      </w:tr>
      <w:tr w:rsidR="00C50FD8" w14:paraId="7CB4D49C" w14:textId="77777777" w:rsidTr="00C50FD8">
        <w:trPr>
          <w:trHeight w:val="271"/>
          <w:tblCellSpacing w:w="15" w:type="dxa"/>
        </w:trPr>
        <w:tc>
          <w:tcPr>
            <w:tcW w:w="2905" w:type="dxa"/>
            <w:tcMar>
              <w:top w:w="15" w:type="dxa"/>
              <w:left w:w="15" w:type="dxa"/>
              <w:bottom w:w="15" w:type="dxa"/>
              <w:right w:w="15" w:type="dxa"/>
            </w:tcMar>
            <w:vAlign w:val="center"/>
            <w:hideMark/>
          </w:tcPr>
          <w:p w14:paraId="1DA291A3" w14:textId="77777777" w:rsidR="00C50FD8" w:rsidRDefault="00C50FD8">
            <w:pPr>
              <w:spacing w:line="360" w:lineRule="auto"/>
              <w:jc w:val="center"/>
              <w:rPr>
                <w:rFonts w:ascii="Times New Roman" w:hAnsi="Times New Roman"/>
              </w:rPr>
            </w:pPr>
            <w:r>
              <w:rPr>
                <w:rFonts w:ascii="Times New Roman" w:hAnsi="Times New Roman"/>
              </w:rPr>
              <w:t>Boiled</w:t>
            </w:r>
          </w:p>
        </w:tc>
        <w:tc>
          <w:tcPr>
            <w:tcW w:w="2225" w:type="dxa"/>
            <w:tcMar>
              <w:top w:w="15" w:type="dxa"/>
              <w:left w:w="15" w:type="dxa"/>
              <w:bottom w:w="15" w:type="dxa"/>
              <w:right w:w="15" w:type="dxa"/>
            </w:tcMar>
            <w:vAlign w:val="center"/>
            <w:hideMark/>
          </w:tcPr>
          <w:p w14:paraId="00B9CD2C" w14:textId="77777777" w:rsidR="00C50FD8" w:rsidRDefault="00C50FD8">
            <w:pPr>
              <w:spacing w:line="360" w:lineRule="auto"/>
              <w:jc w:val="center"/>
              <w:rPr>
                <w:rFonts w:ascii="Times New Roman" w:hAnsi="Times New Roman"/>
              </w:rPr>
            </w:pPr>
            <w:r>
              <w:rPr>
                <w:rFonts w:ascii="Times New Roman" w:hAnsi="Times New Roman"/>
              </w:rPr>
              <w:t>Tannin</w:t>
            </w:r>
          </w:p>
        </w:tc>
        <w:tc>
          <w:tcPr>
            <w:tcW w:w="4110" w:type="dxa"/>
            <w:tcMar>
              <w:top w:w="15" w:type="dxa"/>
              <w:left w:w="15" w:type="dxa"/>
              <w:bottom w:w="15" w:type="dxa"/>
              <w:right w:w="15" w:type="dxa"/>
            </w:tcMar>
            <w:vAlign w:val="center"/>
            <w:hideMark/>
          </w:tcPr>
          <w:p w14:paraId="7300B1E0" w14:textId="77777777" w:rsidR="00C50FD8" w:rsidRDefault="00C50FD8">
            <w:pPr>
              <w:spacing w:line="360" w:lineRule="auto"/>
              <w:jc w:val="center"/>
              <w:rPr>
                <w:rFonts w:ascii="Times New Roman" w:hAnsi="Times New Roman"/>
              </w:rPr>
            </w:pPr>
            <w:r>
              <w:rPr>
                <w:rFonts w:ascii="Times New Roman" w:hAnsi="Times New Roman"/>
              </w:rPr>
              <w:t>−0.902</w:t>
            </w:r>
          </w:p>
        </w:tc>
      </w:tr>
      <w:tr w:rsidR="00C50FD8" w14:paraId="2AAA56B8" w14:textId="77777777" w:rsidTr="00C50FD8">
        <w:trPr>
          <w:trHeight w:val="555"/>
          <w:tblCellSpacing w:w="15" w:type="dxa"/>
        </w:trPr>
        <w:tc>
          <w:tcPr>
            <w:tcW w:w="2905" w:type="dxa"/>
            <w:tcMar>
              <w:top w:w="15" w:type="dxa"/>
              <w:left w:w="15" w:type="dxa"/>
              <w:bottom w:w="15" w:type="dxa"/>
              <w:right w:w="15" w:type="dxa"/>
            </w:tcMar>
            <w:vAlign w:val="center"/>
            <w:hideMark/>
          </w:tcPr>
          <w:p w14:paraId="404D622D"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73BC3BC6"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Cyanogenic glycoside</w:t>
            </w:r>
          </w:p>
        </w:tc>
        <w:tc>
          <w:tcPr>
            <w:tcW w:w="4110" w:type="dxa"/>
            <w:tcMar>
              <w:top w:w="15" w:type="dxa"/>
              <w:left w:w="15" w:type="dxa"/>
              <w:bottom w:w="15" w:type="dxa"/>
              <w:right w:w="15" w:type="dxa"/>
            </w:tcMar>
            <w:vAlign w:val="center"/>
            <w:hideMark/>
          </w:tcPr>
          <w:p w14:paraId="174E1C8F" w14:textId="77777777" w:rsidR="00C50FD8" w:rsidRDefault="00C50FD8">
            <w:pPr>
              <w:spacing w:line="360" w:lineRule="auto"/>
              <w:jc w:val="center"/>
              <w:rPr>
                <w:rFonts w:ascii="Times New Roman" w:hAnsi="Times New Roman"/>
              </w:rPr>
            </w:pPr>
            <w:r>
              <w:rPr>
                <w:rFonts w:ascii="Times New Roman" w:hAnsi="Times New Roman"/>
              </w:rPr>
              <w:t>−0.937</w:t>
            </w:r>
          </w:p>
        </w:tc>
      </w:tr>
      <w:tr w:rsidR="00C50FD8" w14:paraId="4C8CB171" w14:textId="77777777" w:rsidTr="00C50FD8">
        <w:trPr>
          <w:trHeight w:val="284"/>
          <w:tblCellSpacing w:w="15" w:type="dxa"/>
        </w:trPr>
        <w:tc>
          <w:tcPr>
            <w:tcW w:w="2905" w:type="dxa"/>
            <w:tcMar>
              <w:top w:w="15" w:type="dxa"/>
              <w:left w:w="15" w:type="dxa"/>
              <w:bottom w:w="15" w:type="dxa"/>
              <w:right w:w="15" w:type="dxa"/>
            </w:tcMar>
            <w:vAlign w:val="center"/>
            <w:hideMark/>
          </w:tcPr>
          <w:p w14:paraId="63CD903B"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60231AE5"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Phytate</w:t>
            </w:r>
          </w:p>
        </w:tc>
        <w:tc>
          <w:tcPr>
            <w:tcW w:w="4110" w:type="dxa"/>
            <w:tcMar>
              <w:top w:w="15" w:type="dxa"/>
              <w:left w:w="15" w:type="dxa"/>
              <w:bottom w:w="15" w:type="dxa"/>
              <w:right w:w="15" w:type="dxa"/>
            </w:tcMar>
            <w:vAlign w:val="center"/>
            <w:hideMark/>
          </w:tcPr>
          <w:p w14:paraId="3DCBBFDF" w14:textId="77777777" w:rsidR="00C50FD8" w:rsidRDefault="00C50FD8">
            <w:pPr>
              <w:spacing w:line="360" w:lineRule="auto"/>
              <w:jc w:val="center"/>
              <w:rPr>
                <w:rFonts w:ascii="Times New Roman" w:hAnsi="Times New Roman"/>
              </w:rPr>
            </w:pPr>
            <w:r>
              <w:rPr>
                <w:rFonts w:ascii="Times New Roman" w:hAnsi="Times New Roman"/>
              </w:rPr>
              <w:t>−0.912</w:t>
            </w:r>
          </w:p>
        </w:tc>
      </w:tr>
      <w:tr w:rsidR="00C50FD8" w14:paraId="5F5DBCE7" w14:textId="77777777" w:rsidTr="00C50FD8">
        <w:trPr>
          <w:trHeight w:val="284"/>
          <w:tblCellSpacing w:w="15" w:type="dxa"/>
        </w:trPr>
        <w:tc>
          <w:tcPr>
            <w:tcW w:w="2905" w:type="dxa"/>
            <w:tcMar>
              <w:top w:w="15" w:type="dxa"/>
              <w:left w:w="15" w:type="dxa"/>
              <w:bottom w:w="15" w:type="dxa"/>
              <w:right w:w="15" w:type="dxa"/>
            </w:tcMar>
            <w:vAlign w:val="center"/>
            <w:hideMark/>
          </w:tcPr>
          <w:p w14:paraId="4C801750" w14:textId="77777777" w:rsidR="00C50FD8" w:rsidRDefault="00C50FD8">
            <w:pPr>
              <w:spacing w:line="360" w:lineRule="auto"/>
              <w:jc w:val="center"/>
              <w:rPr>
                <w:rFonts w:ascii="Times New Roman" w:hAnsi="Times New Roman"/>
              </w:rPr>
            </w:pPr>
            <w:r>
              <w:rPr>
                <w:rFonts w:ascii="Times New Roman" w:hAnsi="Times New Roman"/>
              </w:rPr>
              <w:t>Oven-dried</w:t>
            </w:r>
          </w:p>
        </w:tc>
        <w:tc>
          <w:tcPr>
            <w:tcW w:w="2225" w:type="dxa"/>
            <w:tcMar>
              <w:top w:w="15" w:type="dxa"/>
              <w:left w:w="15" w:type="dxa"/>
              <w:bottom w:w="15" w:type="dxa"/>
              <w:right w:w="15" w:type="dxa"/>
            </w:tcMar>
            <w:vAlign w:val="center"/>
            <w:hideMark/>
          </w:tcPr>
          <w:p w14:paraId="690B3B0A" w14:textId="77777777" w:rsidR="00C50FD8" w:rsidRDefault="00C50FD8">
            <w:pPr>
              <w:spacing w:line="360" w:lineRule="auto"/>
              <w:jc w:val="center"/>
              <w:rPr>
                <w:rFonts w:ascii="Times New Roman" w:hAnsi="Times New Roman"/>
              </w:rPr>
            </w:pPr>
            <w:r>
              <w:rPr>
                <w:rFonts w:ascii="Times New Roman" w:hAnsi="Times New Roman"/>
              </w:rPr>
              <w:t>Tannin</w:t>
            </w:r>
          </w:p>
        </w:tc>
        <w:tc>
          <w:tcPr>
            <w:tcW w:w="4110" w:type="dxa"/>
            <w:tcMar>
              <w:top w:w="15" w:type="dxa"/>
              <w:left w:w="15" w:type="dxa"/>
              <w:bottom w:w="15" w:type="dxa"/>
              <w:right w:w="15" w:type="dxa"/>
            </w:tcMar>
            <w:vAlign w:val="center"/>
            <w:hideMark/>
          </w:tcPr>
          <w:p w14:paraId="6EE4ECCF" w14:textId="77777777" w:rsidR="00C50FD8" w:rsidRDefault="00C50FD8">
            <w:pPr>
              <w:spacing w:line="360" w:lineRule="auto"/>
              <w:jc w:val="center"/>
              <w:rPr>
                <w:rFonts w:ascii="Times New Roman" w:hAnsi="Times New Roman"/>
              </w:rPr>
            </w:pPr>
            <w:r>
              <w:rPr>
                <w:rFonts w:ascii="Times New Roman" w:hAnsi="Times New Roman"/>
              </w:rPr>
              <w:t>−0.986</w:t>
            </w:r>
          </w:p>
        </w:tc>
      </w:tr>
      <w:tr w:rsidR="00C50FD8" w14:paraId="32A97ADA" w14:textId="77777777" w:rsidTr="00C50FD8">
        <w:trPr>
          <w:trHeight w:val="555"/>
          <w:tblCellSpacing w:w="15" w:type="dxa"/>
        </w:trPr>
        <w:tc>
          <w:tcPr>
            <w:tcW w:w="2905" w:type="dxa"/>
            <w:tcMar>
              <w:top w:w="15" w:type="dxa"/>
              <w:left w:w="15" w:type="dxa"/>
              <w:bottom w:w="15" w:type="dxa"/>
              <w:right w:w="15" w:type="dxa"/>
            </w:tcMar>
            <w:vAlign w:val="center"/>
            <w:hideMark/>
          </w:tcPr>
          <w:p w14:paraId="2A24E5ED"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6495802D"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Cyanogenic glycoside</w:t>
            </w:r>
          </w:p>
        </w:tc>
        <w:tc>
          <w:tcPr>
            <w:tcW w:w="4110" w:type="dxa"/>
            <w:tcMar>
              <w:top w:w="15" w:type="dxa"/>
              <w:left w:w="15" w:type="dxa"/>
              <w:bottom w:w="15" w:type="dxa"/>
              <w:right w:w="15" w:type="dxa"/>
            </w:tcMar>
            <w:vAlign w:val="center"/>
            <w:hideMark/>
          </w:tcPr>
          <w:p w14:paraId="56631856" w14:textId="77777777" w:rsidR="00C50FD8" w:rsidRDefault="00C50FD8">
            <w:pPr>
              <w:spacing w:line="360" w:lineRule="auto"/>
              <w:jc w:val="center"/>
              <w:rPr>
                <w:rFonts w:ascii="Times New Roman" w:hAnsi="Times New Roman"/>
              </w:rPr>
            </w:pPr>
            <w:r>
              <w:rPr>
                <w:rFonts w:ascii="Times New Roman" w:hAnsi="Times New Roman"/>
              </w:rPr>
              <w:t>−0.908</w:t>
            </w:r>
          </w:p>
        </w:tc>
      </w:tr>
      <w:tr w:rsidR="00C50FD8" w14:paraId="4E491F41" w14:textId="77777777" w:rsidTr="00C50FD8">
        <w:trPr>
          <w:trHeight w:val="271"/>
          <w:tblCellSpacing w:w="15" w:type="dxa"/>
        </w:trPr>
        <w:tc>
          <w:tcPr>
            <w:tcW w:w="2905" w:type="dxa"/>
            <w:tcMar>
              <w:top w:w="15" w:type="dxa"/>
              <w:left w:w="15" w:type="dxa"/>
              <w:bottom w:w="15" w:type="dxa"/>
              <w:right w:w="15" w:type="dxa"/>
            </w:tcMar>
            <w:vAlign w:val="center"/>
            <w:hideMark/>
          </w:tcPr>
          <w:p w14:paraId="2ADACE58"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272AD4F2"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Phytate</w:t>
            </w:r>
          </w:p>
        </w:tc>
        <w:tc>
          <w:tcPr>
            <w:tcW w:w="4110" w:type="dxa"/>
            <w:tcMar>
              <w:top w:w="15" w:type="dxa"/>
              <w:left w:w="15" w:type="dxa"/>
              <w:bottom w:w="15" w:type="dxa"/>
              <w:right w:w="15" w:type="dxa"/>
            </w:tcMar>
            <w:vAlign w:val="center"/>
            <w:hideMark/>
          </w:tcPr>
          <w:p w14:paraId="31380CA0" w14:textId="77777777" w:rsidR="00C50FD8" w:rsidRDefault="00C50FD8">
            <w:pPr>
              <w:spacing w:line="360" w:lineRule="auto"/>
              <w:jc w:val="center"/>
              <w:rPr>
                <w:rFonts w:ascii="Times New Roman" w:hAnsi="Times New Roman"/>
              </w:rPr>
            </w:pPr>
            <w:r>
              <w:rPr>
                <w:rFonts w:ascii="Times New Roman" w:hAnsi="Times New Roman"/>
              </w:rPr>
              <w:t>−0.899</w:t>
            </w:r>
          </w:p>
        </w:tc>
      </w:tr>
      <w:tr w:rsidR="00C50FD8" w14:paraId="58A53D10" w14:textId="77777777" w:rsidTr="00C50FD8">
        <w:trPr>
          <w:trHeight w:val="284"/>
          <w:tblCellSpacing w:w="15" w:type="dxa"/>
        </w:trPr>
        <w:tc>
          <w:tcPr>
            <w:tcW w:w="2905" w:type="dxa"/>
            <w:tcMar>
              <w:top w:w="15" w:type="dxa"/>
              <w:left w:w="15" w:type="dxa"/>
              <w:bottom w:w="15" w:type="dxa"/>
              <w:right w:w="15" w:type="dxa"/>
            </w:tcMar>
            <w:vAlign w:val="center"/>
            <w:hideMark/>
          </w:tcPr>
          <w:p w14:paraId="6640E53D" w14:textId="77777777" w:rsidR="00C50FD8" w:rsidRDefault="00C50FD8">
            <w:pPr>
              <w:spacing w:line="360" w:lineRule="auto"/>
              <w:jc w:val="center"/>
              <w:rPr>
                <w:rFonts w:ascii="Times New Roman" w:hAnsi="Times New Roman"/>
              </w:rPr>
            </w:pPr>
            <w:r>
              <w:rPr>
                <w:rFonts w:ascii="Times New Roman" w:hAnsi="Times New Roman"/>
              </w:rPr>
              <w:t>Control</w:t>
            </w:r>
          </w:p>
        </w:tc>
        <w:tc>
          <w:tcPr>
            <w:tcW w:w="2225" w:type="dxa"/>
            <w:tcMar>
              <w:top w:w="15" w:type="dxa"/>
              <w:left w:w="15" w:type="dxa"/>
              <w:bottom w:w="15" w:type="dxa"/>
              <w:right w:w="15" w:type="dxa"/>
            </w:tcMar>
            <w:vAlign w:val="center"/>
            <w:hideMark/>
          </w:tcPr>
          <w:p w14:paraId="62A75330" w14:textId="77777777" w:rsidR="00C50FD8" w:rsidRDefault="00C50FD8">
            <w:pPr>
              <w:spacing w:line="360" w:lineRule="auto"/>
              <w:jc w:val="center"/>
              <w:rPr>
                <w:rFonts w:ascii="Times New Roman" w:hAnsi="Times New Roman"/>
              </w:rPr>
            </w:pPr>
            <w:r>
              <w:rPr>
                <w:rFonts w:ascii="Times New Roman" w:hAnsi="Times New Roman"/>
              </w:rPr>
              <w:t>Tannin</w:t>
            </w:r>
          </w:p>
        </w:tc>
        <w:tc>
          <w:tcPr>
            <w:tcW w:w="4110" w:type="dxa"/>
            <w:tcMar>
              <w:top w:w="15" w:type="dxa"/>
              <w:left w:w="15" w:type="dxa"/>
              <w:bottom w:w="15" w:type="dxa"/>
              <w:right w:w="15" w:type="dxa"/>
            </w:tcMar>
            <w:vAlign w:val="center"/>
            <w:hideMark/>
          </w:tcPr>
          <w:p w14:paraId="482F4635" w14:textId="77777777" w:rsidR="00C50FD8" w:rsidRDefault="00C50FD8">
            <w:pPr>
              <w:spacing w:line="360" w:lineRule="auto"/>
              <w:jc w:val="center"/>
              <w:rPr>
                <w:rFonts w:ascii="Times New Roman" w:hAnsi="Times New Roman"/>
              </w:rPr>
            </w:pPr>
            <w:r>
              <w:rPr>
                <w:rFonts w:ascii="Times New Roman" w:hAnsi="Times New Roman"/>
              </w:rPr>
              <w:t>−0.960</w:t>
            </w:r>
          </w:p>
        </w:tc>
      </w:tr>
      <w:tr w:rsidR="00C50FD8" w14:paraId="477D29D9" w14:textId="77777777" w:rsidTr="00C50FD8">
        <w:trPr>
          <w:trHeight w:val="555"/>
          <w:tblCellSpacing w:w="15" w:type="dxa"/>
        </w:trPr>
        <w:tc>
          <w:tcPr>
            <w:tcW w:w="2905" w:type="dxa"/>
            <w:tcMar>
              <w:top w:w="15" w:type="dxa"/>
              <w:left w:w="15" w:type="dxa"/>
              <w:bottom w:w="15" w:type="dxa"/>
              <w:right w:w="15" w:type="dxa"/>
            </w:tcMar>
            <w:vAlign w:val="center"/>
            <w:hideMark/>
          </w:tcPr>
          <w:p w14:paraId="56247889"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503104EC"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Cyanogenic glycoside</w:t>
            </w:r>
          </w:p>
        </w:tc>
        <w:tc>
          <w:tcPr>
            <w:tcW w:w="4110" w:type="dxa"/>
            <w:tcMar>
              <w:top w:w="15" w:type="dxa"/>
              <w:left w:w="15" w:type="dxa"/>
              <w:bottom w:w="15" w:type="dxa"/>
              <w:right w:w="15" w:type="dxa"/>
            </w:tcMar>
            <w:vAlign w:val="center"/>
            <w:hideMark/>
          </w:tcPr>
          <w:p w14:paraId="0396B3D2" w14:textId="77777777" w:rsidR="00C50FD8" w:rsidRDefault="00C50FD8">
            <w:pPr>
              <w:spacing w:line="360" w:lineRule="auto"/>
              <w:jc w:val="center"/>
              <w:rPr>
                <w:rFonts w:ascii="Times New Roman" w:hAnsi="Times New Roman"/>
              </w:rPr>
            </w:pPr>
            <w:r>
              <w:rPr>
                <w:rFonts w:ascii="Times New Roman" w:hAnsi="Times New Roman"/>
              </w:rPr>
              <w:t>−0.953</w:t>
            </w:r>
          </w:p>
        </w:tc>
      </w:tr>
      <w:tr w:rsidR="00C50FD8" w14:paraId="62B37FCD" w14:textId="77777777" w:rsidTr="00C50FD8">
        <w:trPr>
          <w:trHeight w:val="284"/>
          <w:tblCellSpacing w:w="15" w:type="dxa"/>
        </w:trPr>
        <w:tc>
          <w:tcPr>
            <w:tcW w:w="2905" w:type="dxa"/>
            <w:tcBorders>
              <w:top w:val="nil"/>
              <w:left w:val="nil"/>
              <w:bottom w:val="single" w:sz="4" w:space="0" w:color="auto"/>
              <w:right w:val="nil"/>
            </w:tcBorders>
            <w:tcMar>
              <w:top w:w="15" w:type="dxa"/>
              <w:left w:w="15" w:type="dxa"/>
              <w:bottom w:w="15" w:type="dxa"/>
              <w:right w:w="15" w:type="dxa"/>
            </w:tcMar>
            <w:vAlign w:val="center"/>
            <w:hideMark/>
          </w:tcPr>
          <w:p w14:paraId="27BB4A44" w14:textId="77777777" w:rsidR="00C50FD8" w:rsidRDefault="00C50FD8">
            <w:pPr>
              <w:rPr>
                <w:rFonts w:ascii="Times New Roman" w:hAnsi="Times New Roman"/>
              </w:rPr>
            </w:pPr>
          </w:p>
        </w:tc>
        <w:tc>
          <w:tcPr>
            <w:tcW w:w="2225" w:type="dxa"/>
            <w:tcBorders>
              <w:top w:val="nil"/>
              <w:left w:val="nil"/>
              <w:bottom w:val="single" w:sz="4" w:space="0" w:color="auto"/>
              <w:right w:val="nil"/>
            </w:tcBorders>
            <w:tcMar>
              <w:top w:w="15" w:type="dxa"/>
              <w:left w:w="15" w:type="dxa"/>
              <w:bottom w:w="15" w:type="dxa"/>
              <w:right w:w="15" w:type="dxa"/>
            </w:tcMar>
            <w:vAlign w:val="center"/>
            <w:hideMark/>
          </w:tcPr>
          <w:p w14:paraId="571CE3C6"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Phytate</w:t>
            </w:r>
          </w:p>
        </w:tc>
        <w:tc>
          <w:tcPr>
            <w:tcW w:w="4110" w:type="dxa"/>
            <w:tcBorders>
              <w:top w:val="nil"/>
              <w:left w:val="nil"/>
              <w:bottom w:val="single" w:sz="4" w:space="0" w:color="auto"/>
              <w:right w:val="nil"/>
            </w:tcBorders>
            <w:tcMar>
              <w:top w:w="15" w:type="dxa"/>
              <w:left w:w="15" w:type="dxa"/>
              <w:bottom w:w="15" w:type="dxa"/>
              <w:right w:w="15" w:type="dxa"/>
            </w:tcMar>
            <w:vAlign w:val="center"/>
            <w:hideMark/>
          </w:tcPr>
          <w:p w14:paraId="0A5B114D" w14:textId="77777777" w:rsidR="00C50FD8" w:rsidRDefault="00C50FD8">
            <w:pPr>
              <w:spacing w:line="360" w:lineRule="auto"/>
              <w:jc w:val="center"/>
              <w:rPr>
                <w:rFonts w:ascii="Times New Roman" w:hAnsi="Times New Roman"/>
              </w:rPr>
            </w:pPr>
            <w:r>
              <w:rPr>
                <w:rFonts w:ascii="Times New Roman" w:hAnsi="Times New Roman"/>
              </w:rPr>
              <w:t>−0.899</w:t>
            </w:r>
          </w:p>
        </w:tc>
      </w:tr>
    </w:tbl>
    <w:p w14:paraId="1B3ACA98" w14:textId="77777777" w:rsidR="00C50FD8" w:rsidRDefault="00C50FD8" w:rsidP="00C50FD8">
      <w:pPr>
        <w:spacing w:after="100" w:afterAutospacing="1" w:line="480" w:lineRule="auto"/>
        <w:jc w:val="both"/>
        <w:outlineLvl w:val="2"/>
        <w:rPr>
          <w:rFonts w:ascii="Times New Roman" w:eastAsiaTheme="minorEastAsia" w:hAnsi="Times New Roman"/>
          <w:b/>
          <w:bCs/>
          <w:kern w:val="2"/>
          <w14:ligatures w14:val="standardContextual"/>
        </w:rPr>
      </w:pPr>
      <w:r>
        <w:rPr>
          <w:rStyle w:val="Emphasis"/>
        </w:rPr>
        <w:t>r</w:t>
      </w:r>
      <w:r>
        <w:rPr>
          <w:rFonts w:ascii="Times New Roman" w:hAnsi="Times New Roman"/>
        </w:rPr>
        <w:t xml:space="preserve"> = Pearson correlation coefficient. </w:t>
      </w:r>
    </w:p>
    <w:p w14:paraId="397AEB02" w14:textId="77777777" w:rsidR="00C50FD8" w:rsidRDefault="00C50FD8" w:rsidP="00C50FD8">
      <w:pPr>
        <w:spacing w:before="240"/>
        <w:rPr>
          <w:rFonts w:ascii="Times New Roman" w:hAnsi="Times New Roman"/>
          <w:b/>
          <w:bCs/>
        </w:rPr>
      </w:pPr>
      <w:r>
        <w:rPr>
          <w:rFonts w:ascii="Times New Roman" w:hAnsi="Times New Roman"/>
          <w:b/>
          <w:bCs/>
        </w:rPr>
        <w:t>Discussion</w:t>
      </w:r>
    </w:p>
    <w:p w14:paraId="3B9671A3" w14:textId="77777777" w:rsidR="00C50FD8" w:rsidRDefault="00C50FD8" w:rsidP="00C50FD8">
      <w:pPr>
        <w:spacing w:line="480" w:lineRule="auto"/>
        <w:jc w:val="both"/>
        <w:rPr>
          <w:rStyle w:val="Strong"/>
        </w:rPr>
      </w:pPr>
      <w:r>
        <w:rPr>
          <w:rFonts w:ascii="Times New Roman" w:hAnsi="Times New Roman"/>
        </w:rPr>
        <w:t>The increasing demand for sustainable and affordable livestock feed has encouraged the utili</w:t>
      </w:r>
      <w:r>
        <w:rPr>
          <w:rFonts w:ascii="Times New Roman" w:hAnsi="Times New Roman"/>
          <w:highlight w:val="yellow"/>
        </w:rPr>
        <w:t>s</w:t>
      </w:r>
      <w:r>
        <w:rPr>
          <w:rFonts w:ascii="Times New Roman" w:hAnsi="Times New Roman"/>
        </w:rPr>
        <w:t xml:space="preserve">ation of unconventional feed resources such as </w:t>
      </w:r>
      <w:r>
        <w:rPr>
          <w:rStyle w:val="Emphasis"/>
          <w:rFonts w:ascii="Times New Roman" w:hAnsi="Times New Roman"/>
          <w:highlight w:val="yellow"/>
        </w:rPr>
        <w:t>Eichhornia crassipes</w:t>
      </w:r>
      <w:r>
        <w:rPr>
          <w:rFonts w:ascii="Times New Roman" w:hAnsi="Times New Roman"/>
        </w:rPr>
        <w:t xml:space="preserve">. Water hyacinth contains appreciable nutrients, particularly protein and minerals, and its rapid biomass production makes it a potential alternative feed resource when properly processed (Nandiyanto </w:t>
      </w:r>
      <w:r>
        <w:rPr>
          <w:rFonts w:ascii="Times New Roman" w:hAnsi="Times New Roman"/>
          <w:i/>
        </w:rPr>
        <w:t>et al</w:t>
      </w:r>
      <w:r>
        <w:rPr>
          <w:rFonts w:ascii="Times New Roman" w:hAnsi="Times New Roman"/>
        </w:rPr>
        <w:t xml:space="preserve">., 2024; Rajan </w:t>
      </w:r>
      <w:r>
        <w:rPr>
          <w:rFonts w:ascii="Times New Roman" w:hAnsi="Times New Roman"/>
          <w:i/>
        </w:rPr>
        <w:t>et al</w:t>
      </w:r>
      <w:r>
        <w:rPr>
          <w:rFonts w:ascii="Times New Roman" w:hAnsi="Times New Roman"/>
        </w:rPr>
        <w:t>., 2023). However, its high moisture and fibre contents and the presence of anti-nutritional factors may limit nutrient utili</w:t>
      </w:r>
      <w:r>
        <w:rPr>
          <w:rFonts w:ascii="Times New Roman" w:hAnsi="Times New Roman"/>
          <w:highlight w:val="yellow"/>
        </w:rPr>
        <w:t>s</w:t>
      </w:r>
      <w:r>
        <w:rPr>
          <w:rFonts w:ascii="Times New Roman" w:hAnsi="Times New Roman"/>
        </w:rPr>
        <w:t xml:space="preserve">ation and overall feed value. Processing can therefore modify its </w:t>
      </w:r>
      <w:r>
        <w:rPr>
          <w:rStyle w:val="Strong"/>
          <w:rFonts w:ascii="Times New Roman" w:hAnsi="Times New Roman"/>
          <w:b w:val="0"/>
        </w:rPr>
        <w:t>protein and nitrogen contents, free amino acid availability, fibre fractions and anti-nutritional factors</w:t>
      </w:r>
      <w:r>
        <w:rPr>
          <w:rFonts w:ascii="Times New Roman" w:hAnsi="Times New Roman"/>
          <w:b/>
        </w:rPr>
        <w:t>,</w:t>
      </w:r>
      <w:r>
        <w:rPr>
          <w:rFonts w:ascii="Times New Roman" w:hAnsi="Times New Roman"/>
        </w:rPr>
        <w:t xml:space="preserve"> while potentially improving protein accessibility and digestibility (Ben Bakrim </w:t>
      </w:r>
      <w:r>
        <w:rPr>
          <w:rFonts w:ascii="Times New Roman" w:hAnsi="Times New Roman"/>
          <w:i/>
        </w:rPr>
        <w:t>et al</w:t>
      </w:r>
      <w:r>
        <w:rPr>
          <w:rFonts w:ascii="Times New Roman" w:hAnsi="Times New Roman"/>
        </w:rPr>
        <w:t xml:space="preserve">., 2022; Mako </w:t>
      </w:r>
      <w:r>
        <w:rPr>
          <w:rFonts w:ascii="Times New Roman" w:hAnsi="Times New Roman"/>
          <w:i/>
        </w:rPr>
        <w:t>et al</w:t>
      </w:r>
      <w:r>
        <w:rPr>
          <w:rFonts w:ascii="Times New Roman" w:hAnsi="Times New Roman"/>
        </w:rPr>
        <w:t>., 2021).</w:t>
      </w:r>
    </w:p>
    <w:p w14:paraId="15923FC0" w14:textId="77777777" w:rsidR="00C50FD8" w:rsidRDefault="00C50FD8" w:rsidP="00C50FD8">
      <w:pPr>
        <w:spacing w:line="480" w:lineRule="auto"/>
        <w:jc w:val="both"/>
      </w:pPr>
      <w:r>
        <w:rPr>
          <w:rFonts w:ascii="Times New Roman" w:hAnsi="Times New Roman"/>
        </w:rPr>
        <w:t xml:space="preserve">The results in Table 1 showed that processing significantly affected the protein and nitrogen contents of </w:t>
      </w:r>
      <w:r>
        <w:rPr>
          <w:rFonts w:ascii="Times New Roman" w:hAnsi="Times New Roman"/>
          <w:i/>
          <w:iCs/>
        </w:rPr>
        <w:t>Eichhornia crassipes</w:t>
      </w:r>
      <w:r>
        <w:rPr>
          <w:rFonts w:ascii="Times New Roman" w:hAnsi="Times New Roman"/>
        </w:rPr>
        <w:t xml:space="preserve"> (</w:t>
      </w:r>
      <w:r>
        <w:rPr>
          <w:rFonts w:ascii="Times New Roman" w:hAnsi="Times New Roman"/>
          <w:i/>
        </w:rPr>
        <w:t>p &lt; 0.05</w:t>
      </w:r>
      <w:r>
        <w:rPr>
          <w:rFonts w:ascii="Times New Roman" w:hAnsi="Times New Roman"/>
        </w:rPr>
        <w:t>). The unprocessed control had the highest protein (</w:t>
      </w:r>
      <w:r>
        <w:rPr>
          <w:rFonts w:ascii="Times New Roman" w:hAnsi="Times New Roman"/>
          <w:bCs/>
        </w:rPr>
        <w:t>48.47 ± 0.47%</w:t>
      </w:r>
      <w:r>
        <w:rPr>
          <w:rFonts w:ascii="Times New Roman" w:hAnsi="Times New Roman"/>
        </w:rPr>
        <w:t>) and nitrogen (</w:t>
      </w:r>
      <w:r>
        <w:rPr>
          <w:rFonts w:ascii="Times New Roman" w:hAnsi="Times New Roman"/>
          <w:bCs/>
        </w:rPr>
        <w:t>7.76 ± 0.08%</w:t>
      </w:r>
      <w:r>
        <w:rPr>
          <w:rFonts w:ascii="Times New Roman" w:hAnsi="Times New Roman"/>
        </w:rPr>
        <w:t>), while oven drying retained relatively high concentrations (</w:t>
      </w:r>
      <w:r>
        <w:rPr>
          <w:rFonts w:ascii="Times New Roman" w:hAnsi="Times New Roman"/>
          <w:bCs/>
        </w:rPr>
        <w:t>46.93 ± 0.58% protein; 7.51 ± 0.09% nitrogen</w:t>
      </w:r>
      <w:r>
        <w:rPr>
          <w:rFonts w:ascii="Times New Roman" w:hAnsi="Times New Roman"/>
        </w:rPr>
        <w:t>). These were followed by boiling (</w:t>
      </w:r>
      <w:r>
        <w:rPr>
          <w:rFonts w:ascii="Times New Roman" w:hAnsi="Times New Roman"/>
          <w:bCs/>
        </w:rPr>
        <w:t>29.07 ± 0.31% protein; 4.65 ± 0.05% nitrogen</w:t>
      </w:r>
      <w:r>
        <w:rPr>
          <w:rFonts w:ascii="Times New Roman" w:hAnsi="Times New Roman"/>
        </w:rPr>
        <w:t>) and fermentation (</w:t>
      </w:r>
      <w:r>
        <w:rPr>
          <w:rFonts w:ascii="Times New Roman" w:hAnsi="Times New Roman"/>
          <w:bCs/>
        </w:rPr>
        <w:t>16.72 ± 0.10% protein; 2.68 ± 0.02% nitrogen</w:t>
      </w:r>
      <w:r>
        <w:rPr>
          <w:rFonts w:ascii="Times New Roman" w:hAnsi="Times New Roman"/>
        </w:rPr>
        <w:t xml:space="preserve">). The significant differences among all treatments indicate that the processing conditions produced distinct effects on the nitrogenous constituents of the plant. The corresponding pattern observed for protein and nitrogen is expected because nitrogen is an essential component of protein and is therefore commonly used in estimating crude protein concentration. The relatively high retention of protein and nitrogen after oven drying indicates that this </w:t>
      </w:r>
      <w:r>
        <w:rPr>
          <w:rFonts w:ascii="Times New Roman" w:hAnsi="Times New Roman"/>
        </w:rPr>
        <w:lastRenderedPageBreak/>
        <w:t>treatment caused the least alteration of the nitrogenous composition among the processing methods. The slight reduction from (</w:t>
      </w:r>
      <w:r>
        <w:rPr>
          <w:rFonts w:ascii="Times New Roman" w:hAnsi="Times New Roman"/>
          <w:bCs/>
        </w:rPr>
        <w:t>48.47 ± 0.47% to 46.93 ± 0.58% protein)</w:t>
      </w:r>
      <w:r>
        <w:rPr>
          <w:rFonts w:ascii="Times New Roman" w:hAnsi="Times New Roman"/>
        </w:rPr>
        <w:t xml:space="preserve"> and from (</w:t>
      </w:r>
      <w:r>
        <w:rPr>
          <w:rFonts w:ascii="Times New Roman" w:hAnsi="Times New Roman"/>
          <w:bCs/>
        </w:rPr>
        <w:t>7.76 ±</w:t>
      </w:r>
      <w:r>
        <w:rPr>
          <w:rFonts w:ascii="Times New Roman" w:hAnsi="Times New Roman"/>
          <w:b/>
          <w:bCs/>
        </w:rPr>
        <w:t xml:space="preserve"> </w:t>
      </w:r>
      <w:r>
        <w:rPr>
          <w:rFonts w:ascii="Times New Roman" w:hAnsi="Times New Roman"/>
          <w:bCs/>
        </w:rPr>
        <w:t>0.08% to 7.51 ± 0.09% nitrogen)</w:t>
      </w:r>
      <w:r>
        <w:rPr>
          <w:rFonts w:ascii="Times New Roman" w:hAnsi="Times New Roman"/>
        </w:rPr>
        <w:t xml:space="preserve"> may be attributed mainly to moisture removal and possible thermal alteration of some nitrogen-containing compounds. Unlike boiling, oven drying does not expose the plant material to a water medium through which soluble nutrients can be lost. This makes drying particularly relevant for preserving nutrients in water hyacinth, whose high moisture content necessitates processing before storage and feed utili</w:t>
      </w:r>
      <w:r>
        <w:rPr>
          <w:rFonts w:ascii="Times New Roman" w:hAnsi="Times New Roman"/>
          <w:highlight w:val="yellow"/>
        </w:rPr>
        <w:t>s</w:t>
      </w:r>
      <w:r>
        <w:rPr>
          <w:rFonts w:ascii="Times New Roman" w:hAnsi="Times New Roman"/>
        </w:rPr>
        <w:t xml:space="preserve">ation. Nandiyanto </w:t>
      </w:r>
      <w:r>
        <w:rPr>
          <w:rFonts w:ascii="Times New Roman" w:hAnsi="Times New Roman"/>
          <w:i/>
        </w:rPr>
        <w:t>et al</w:t>
      </w:r>
      <w:r>
        <w:rPr>
          <w:rFonts w:ascii="Times New Roman" w:hAnsi="Times New Roman"/>
        </w:rPr>
        <w:t>. (2024) emphasized that drying is an important processing approach for converting water hyacinth biomass into a more stable and useful material, although the final nutritional characteristics depend on the processing conditions employed.</w:t>
      </w:r>
    </w:p>
    <w:p w14:paraId="26A471CF" w14:textId="77777777" w:rsidR="00C50FD8" w:rsidRDefault="00C50FD8" w:rsidP="00C50FD8">
      <w:pPr>
        <w:spacing w:line="480" w:lineRule="auto"/>
        <w:jc w:val="both"/>
        <w:rPr>
          <w:rFonts w:ascii="Times New Roman" w:hAnsi="Times New Roman"/>
        </w:rPr>
      </w:pPr>
      <w:r>
        <w:rPr>
          <w:rFonts w:ascii="Times New Roman" w:hAnsi="Times New Roman"/>
        </w:rPr>
        <w:t>The greater reduction observed following boiling may be associated with the combined effects of heat and water on the plant matrix. The reduction in protein from (</w:t>
      </w:r>
      <w:r>
        <w:rPr>
          <w:rFonts w:ascii="Times New Roman" w:hAnsi="Times New Roman"/>
          <w:bCs/>
        </w:rPr>
        <w:t>48.47 ± 0.47%) in the control to (29.07 ± 0.31%)</w:t>
      </w:r>
      <w:r>
        <w:rPr>
          <w:rFonts w:ascii="Times New Roman" w:hAnsi="Times New Roman"/>
        </w:rPr>
        <w:t xml:space="preserve"> and nitrogen from (</w:t>
      </w:r>
      <w:r>
        <w:rPr>
          <w:rFonts w:ascii="Times New Roman" w:hAnsi="Times New Roman"/>
          <w:bCs/>
        </w:rPr>
        <w:t>7.76 ± 0.08% to 4.65 ± 0.05%)</w:t>
      </w:r>
      <w:r>
        <w:rPr>
          <w:rFonts w:ascii="Times New Roman" w:hAnsi="Times New Roman"/>
        </w:rPr>
        <w:t xml:space="preserve"> suggests a substantial alteration of the nitrogenous fraction. One possible explanation is the leaching of soluble nitrogen-containing compounds into the boiling water, particularly where the cooking liquor is discarded. Heat may also cause structural changes in proteins and other cellular components, thereby affecting their subsequent recovery during analysis. Mako </w:t>
      </w:r>
      <w:r>
        <w:rPr>
          <w:rFonts w:ascii="Times New Roman" w:hAnsi="Times New Roman"/>
          <w:i/>
        </w:rPr>
        <w:t>et al.</w:t>
      </w:r>
      <w:r>
        <w:rPr>
          <w:rFonts w:ascii="Times New Roman" w:hAnsi="Times New Roman"/>
        </w:rPr>
        <w:t xml:space="preserve"> (2021) similarly reported that processing methods significantly influenced the nutritional composition of water hyacinth, demonstrating that the method employed is an important determinant of its final feed characteristics. Fermentation produced the greatest reduction in both protein and nitrogen, with values falling to (</w:t>
      </w:r>
      <w:r>
        <w:rPr>
          <w:rFonts w:ascii="Times New Roman" w:hAnsi="Times New Roman"/>
          <w:bCs/>
        </w:rPr>
        <w:t>16.72 ± 0.10%</w:t>
      </w:r>
      <w:r>
        <w:rPr>
          <w:rFonts w:ascii="Times New Roman" w:hAnsi="Times New Roman"/>
        </w:rPr>
        <w:t xml:space="preserve"> and </w:t>
      </w:r>
      <w:r>
        <w:rPr>
          <w:rFonts w:ascii="Times New Roman" w:hAnsi="Times New Roman"/>
          <w:bCs/>
        </w:rPr>
        <w:t>2.68 ± 0.02%</w:t>
      </w:r>
      <w:r>
        <w:rPr>
          <w:rFonts w:ascii="Times New Roman" w:hAnsi="Times New Roman"/>
        </w:rPr>
        <w:t xml:space="preserve">,) respectively. This observation differs from studies in which fermentation increased the apparent protein concentration of water hyacinth. Emshaw </w:t>
      </w:r>
      <w:r>
        <w:rPr>
          <w:rFonts w:ascii="Times New Roman" w:hAnsi="Times New Roman"/>
          <w:i/>
        </w:rPr>
        <w:t>et al.</w:t>
      </w:r>
      <w:r>
        <w:rPr>
          <w:rFonts w:ascii="Times New Roman" w:hAnsi="Times New Roman"/>
        </w:rPr>
        <w:t xml:space="preserve"> (2021), for example, reported improved crude protein characteristics following fermentation of water hyacinth with </w:t>
      </w:r>
      <w:r>
        <w:rPr>
          <w:rFonts w:ascii="Times New Roman" w:hAnsi="Times New Roman"/>
          <w:i/>
          <w:iCs/>
        </w:rPr>
        <w:t>Aspergillus niger</w:t>
      </w:r>
      <w:r>
        <w:rPr>
          <w:rFonts w:ascii="Times New Roman" w:hAnsi="Times New Roman"/>
        </w:rPr>
        <w:t>. Such differences may arise from variations in the microorganisms involved, fermentation duration, moisture content, substrate composition, and other fermentation conditions. Microorganisms may utilize readily available nitrogenous substrates during growth, while proteins and other nitrogen-containing compounds may also undergo hydrolysis and redistribution during fermentation. Thus, the lower total nitrogen observed in the present fermented sample may reflect the specific fermentation conditions used rather than indicating that fermentation universally reduces the nutritional value of water hyacinth. From the perspective of livestock nutrition, the preservation of nitrogen and protein observed in the oven-dried sample is important because these nutrients contribute directly to the protein supply of an animal diet. However, the higher protein retention following oven drying should not be interpreted in isolation when selecting the most appropriate processing method. Fermentation and boiling may produce changes in other components of water hyacinth, particularly fibre and antinutritional factors, which can influence nutrient utili</w:t>
      </w:r>
      <w:r>
        <w:rPr>
          <w:rFonts w:ascii="Times New Roman" w:hAnsi="Times New Roman"/>
          <w:highlight w:val="yellow"/>
        </w:rPr>
        <w:t>s</w:t>
      </w:r>
      <w:r>
        <w:rPr>
          <w:rFonts w:ascii="Times New Roman" w:hAnsi="Times New Roman"/>
        </w:rPr>
        <w:t xml:space="preserve">ation. Thus, the findings suggest that </w:t>
      </w:r>
      <w:r>
        <w:rPr>
          <w:rStyle w:val="Strong"/>
          <w:rFonts w:ascii="Times New Roman" w:hAnsi="Times New Roman"/>
          <w:b w:val="0"/>
        </w:rPr>
        <w:t>oven drying was the most effective treatment for preserving the nitrogen and protein contents of</w:t>
      </w:r>
      <w:r>
        <w:rPr>
          <w:rStyle w:val="Strong"/>
          <w:rFonts w:ascii="Times New Roman" w:hAnsi="Times New Roman"/>
        </w:rPr>
        <w:t xml:space="preserve"> </w:t>
      </w:r>
      <w:r>
        <w:rPr>
          <w:rFonts w:ascii="Times New Roman" w:hAnsi="Times New Roman"/>
          <w:i/>
          <w:iCs/>
        </w:rPr>
        <w:t>Eichhornia crassipes.</w:t>
      </w:r>
    </w:p>
    <w:p w14:paraId="0DAEC980" w14:textId="77777777" w:rsidR="00C50FD8" w:rsidRDefault="00C50FD8" w:rsidP="00C50FD8">
      <w:pPr>
        <w:spacing w:after="100" w:afterAutospacing="1" w:line="480" w:lineRule="auto"/>
        <w:jc w:val="both"/>
        <w:rPr>
          <w:rFonts w:ascii="Times New Roman" w:hAnsi="Times New Roman"/>
        </w:rPr>
      </w:pPr>
      <w:r>
        <w:rPr>
          <w:rFonts w:ascii="Times New Roman" w:hAnsi="Times New Roman"/>
        </w:rPr>
        <w:t>The fibre results in Table 2 showed a clear reduction in crude fibre, NDF and ADF following processing, with fermentation producing the greatest reduction. Crude fibre, NDF and ADF decreased from (</w:t>
      </w:r>
      <w:r>
        <w:rPr>
          <w:rFonts w:ascii="Times New Roman" w:hAnsi="Times New Roman"/>
          <w:bCs/>
        </w:rPr>
        <w:t>39.47 ± 0.50%, 7</w:t>
      </w:r>
      <w:r>
        <w:rPr>
          <w:rFonts w:ascii="Times New Roman" w:hAnsi="Times New Roman"/>
          <w:bCs/>
          <w:highlight w:val="yellow"/>
        </w:rPr>
        <w:t>2</w:t>
      </w:r>
      <w:r>
        <w:rPr>
          <w:rFonts w:ascii="Times New Roman" w:hAnsi="Times New Roman"/>
          <w:bCs/>
        </w:rPr>
        <w:t>.</w:t>
      </w:r>
      <w:r>
        <w:rPr>
          <w:rFonts w:ascii="Times New Roman" w:hAnsi="Times New Roman"/>
          <w:bCs/>
          <w:highlight w:val="yellow"/>
        </w:rPr>
        <w:t>4</w:t>
      </w:r>
      <w:r>
        <w:rPr>
          <w:rFonts w:ascii="Times New Roman" w:hAnsi="Times New Roman"/>
          <w:bCs/>
        </w:rPr>
        <w:t xml:space="preserve">3 ± </w:t>
      </w:r>
      <w:r>
        <w:rPr>
          <w:rFonts w:ascii="Times New Roman" w:hAnsi="Times New Roman"/>
          <w:bCs/>
          <w:highlight w:val="yellow"/>
        </w:rPr>
        <w:t>1</w:t>
      </w:r>
      <w:r>
        <w:rPr>
          <w:rFonts w:ascii="Times New Roman" w:hAnsi="Times New Roman"/>
          <w:bCs/>
        </w:rPr>
        <w:t>.</w:t>
      </w:r>
      <w:r>
        <w:rPr>
          <w:rFonts w:ascii="Times New Roman" w:hAnsi="Times New Roman"/>
          <w:bCs/>
          <w:highlight w:val="yellow"/>
        </w:rPr>
        <w:t>21</w:t>
      </w:r>
      <w:r>
        <w:rPr>
          <w:rFonts w:ascii="Times New Roman" w:hAnsi="Times New Roman"/>
          <w:bCs/>
        </w:rPr>
        <w:t>% and 4</w:t>
      </w:r>
      <w:r>
        <w:rPr>
          <w:rFonts w:ascii="Times New Roman" w:hAnsi="Times New Roman"/>
          <w:bCs/>
          <w:highlight w:val="yellow"/>
        </w:rPr>
        <w:t>8</w:t>
      </w:r>
      <w:r>
        <w:rPr>
          <w:rFonts w:ascii="Times New Roman" w:hAnsi="Times New Roman"/>
          <w:bCs/>
        </w:rPr>
        <w:t>.</w:t>
      </w:r>
      <w:r>
        <w:rPr>
          <w:rFonts w:ascii="Times New Roman" w:hAnsi="Times New Roman"/>
          <w:bCs/>
          <w:highlight w:val="yellow"/>
        </w:rPr>
        <w:t>2</w:t>
      </w:r>
      <w:r>
        <w:rPr>
          <w:rFonts w:ascii="Times New Roman" w:hAnsi="Times New Roman"/>
          <w:bCs/>
        </w:rPr>
        <w:t>6 ± 0.</w:t>
      </w:r>
      <w:r>
        <w:rPr>
          <w:rFonts w:ascii="Times New Roman" w:hAnsi="Times New Roman"/>
          <w:bCs/>
          <w:highlight w:val="yellow"/>
        </w:rPr>
        <w:t>98</w:t>
      </w:r>
      <w:r>
        <w:rPr>
          <w:rFonts w:ascii="Times New Roman" w:hAnsi="Times New Roman"/>
          <w:bCs/>
        </w:rPr>
        <w:t>%)</w:t>
      </w:r>
      <w:r>
        <w:rPr>
          <w:rFonts w:ascii="Times New Roman" w:hAnsi="Times New Roman"/>
        </w:rPr>
        <w:t>, respectively, in the control to (</w:t>
      </w:r>
      <w:r>
        <w:rPr>
          <w:rFonts w:ascii="Times New Roman" w:hAnsi="Times New Roman"/>
          <w:bCs/>
        </w:rPr>
        <w:t xml:space="preserve">31.70 ± 0.26%, </w:t>
      </w:r>
      <w:r>
        <w:rPr>
          <w:rFonts w:ascii="Times New Roman" w:hAnsi="Times New Roman"/>
          <w:bCs/>
          <w:highlight w:val="yellow"/>
        </w:rPr>
        <w:t>5</w:t>
      </w:r>
      <w:r>
        <w:rPr>
          <w:rFonts w:ascii="Times New Roman" w:hAnsi="Times New Roman"/>
          <w:bCs/>
        </w:rPr>
        <w:t>4.3</w:t>
      </w:r>
      <w:r>
        <w:rPr>
          <w:rFonts w:ascii="Times New Roman" w:hAnsi="Times New Roman"/>
          <w:bCs/>
          <w:highlight w:val="yellow"/>
        </w:rPr>
        <w:t>2</w:t>
      </w:r>
      <w:r>
        <w:rPr>
          <w:rFonts w:ascii="Times New Roman" w:hAnsi="Times New Roman"/>
          <w:bCs/>
        </w:rPr>
        <w:t xml:space="preserve"> ± 0.</w:t>
      </w:r>
      <w:r>
        <w:rPr>
          <w:rFonts w:ascii="Times New Roman" w:hAnsi="Times New Roman"/>
          <w:bCs/>
          <w:highlight w:val="yellow"/>
        </w:rPr>
        <w:t>86</w:t>
      </w:r>
      <w:r>
        <w:rPr>
          <w:rFonts w:ascii="Times New Roman" w:hAnsi="Times New Roman"/>
          <w:bCs/>
        </w:rPr>
        <w:t>% and 3</w:t>
      </w:r>
      <w:r>
        <w:rPr>
          <w:rFonts w:ascii="Times New Roman" w:hAnsi="Times New Roman"/>
          <w:bCs/>
          <w:highlight w:val="yellow"/>
        </w:rPr>
        <w:t>3</w:t>
      </w:r>
      <w:r>
        <w:rPr>
          <w:rFonts w:ascii="Times New Roman" w:hAnsi="Times New Roman"/>
          <w:bCs/>
        </w:rPr>
        <w:t>.</w:t>
      </w:r>
      <w:r>
        <w:rPr>
          <w:rFonts w:ascii="Times New Roman" w:hAnsi="Times New Roman"/>
          <w:bCs/>
          <w:highlight w:val="yellow"/>
        </w:rPr>
        <w:t>8</w:t>
      </w:r>
      <w:r>
        <w:rPr>
          <w:rFonts w:ascii="Times New Roman" w:hAnsi="Times New Roman"/>
          <w:bCs/>
        </w:rPr>
        <w:t>4 ± 0.</w:t>
      </w:r>
      <w:r>
        <w:rPr>
          <w:rFonts w:ascii="Times New Roman" w:hAnsi="Times New Roman"/>
          <w:bCs/>
          <w:highlight w:val="yellow"/>
        </w:rPr>
        <w:t>69</w:t>
      </w:r>
      <w:r>
        <w:rPr>
          <w:rFonts w:ascii="Times New Roman" w:hAnsi="Times New Roman"/>
          <w:bCs/>
        </w:rPr>
        <w:t>%)</w:t>
      </w:r>
      <w:r>
        <w:rPr>
          <w:rFonts w:ascii="Times New Roman" w:hAnsi="Times New Roman"/>
        </w:rPr>
        <w:t xml:space="preserve">, respectively, in the fermented sample. This finding agrees with </w:t>
      </w:r>
      <w:r>
        <w:rPr>
          <w:rFonts w:ascii="Times New Roman" w:hAnsi="Times New Roman"/>
          <w:bCs/>
        </w:rPr>
        <w:lastRenderedPageBreak/>
        <w:t xml:space="preserve">Abiola-Olagunju </w:t>
      </w:r>
      <w:r>
        <w:rPr>
          <w:rFonts w:ascii="Times New Roman" w:hAnsi="Times New Roman"/>
          <w:bCs/>
          <w:i/>
        </w:rPr>
        <w:t>et al.</w:t>
      </w:r>
      <w:r>
        <w:rPr>
          <w:rFonts w:ascii="Times New Roman" w:hAnsi="Times New Roman"/>
          <w:bCs/>
        </w:rPr>
        <w:t xml:space="preserve"> (2025)</w:t>
      </w:r>
      <w:r>
        <w:rPr>
          <w:rFonts w:ascii="Times New Roman" w:hAnsi="Times New Roman"/>
        </w:rPr>
        <w:t xml:space="preserve"> who reported significant reductions in crude fibre, NDF and ADF of water hyacinth following solid-state fermentation with </w:t>
      </w:r>
      <w:r>
        <w:rPr>
          <w:rFonts w:ascii="Times New Roman" w:hAnsi="Times New Roman"/>
          <w:i/>
          <w:iCs/>
        </w:rPr>
        <w:t>Pleurotus florida</w:t>
      </w:r>
      <w:r>
        <w:rPr>
          <w:rFonts w:ascii="Times New Roman" w:hAnsi="Times New Roman"/>
        </w:rPr>
        <w:t xml:space="preserve"> and </w:t>
      </w:r>
      <w:r>
        <w:rPr>
          <w:rFonts w:ascii="Times New Roman" w:hAnsi="Times New Roman"/>
          <w:i/>
          <w:iCs/>
        </w:rPr>
        <w:t>Pleurotus sajor-caju</w:t>
      </w:r>
      <w:r>
        <w:rPr>
          <w:rFonts w:ascii="Times New Roman" w:hAnsi="Times New Roman"/>
        </w:rPr>
        <w:t xml:space="preserve">. Their untreated water hyacinth contained 21.23% crude fibre, (66.80%) NDF and (36.90% ADF), while fungal treatment reduced these values, demonstrating the ability of fermentation to modify structural fibre components. The reduction in NDF and ADF observed in the fermented sample also agrees with the findings of </w:t>
      </w:r>
      <w:r>
        <w:rPr>
          <w:rFonts w:ascii="Times New Roman" w:hAnsi="Times New Roman"/>
          <w:bCs/>
        </w:rPr>
        <w:t xml:space="preserve">Armin </w:t>
      </w:r>
      <w:r>
        <w:rPr>
          <w:rFonts w:ascii="Times New Roman" w:hAnsi="Times New Roman"/>
          <w:bCs/>
          <w:i/>
        </w:rPr>
        <w:t>et al.</w:t>
      </w:r>
      <w:r>
        <w:rPr>
          <w:rFonts w:ascii="Times New Roman" w:hAnsi="Times New Roman"/>
          <w:bCs/>
        </w:rPr>
        <w:t xml:space="preserve"> (2021)</w:t>
      </w:r>
      <w:r>
        <w:rPr>
          <w:rFonts w:ascii="Times New Roman" w:hAnsi="Times New Roman"/>
        </w:rPr>
        <w:t xml:space="preserve"> who reported that fermentation of water hyacinth-based complete feed resulted in the lowest NDF and ADF at the optimum fermentation period. However, their study found that differences in fermentation duration did not significantly affect NDF and ADF, whereas this study showed significant differences among processing treatments. This difference may be attributed to variations in fermentation substrates, microbial inoculum, fermentation duration and processing conditions. </w:t>
      </w:r>
    </w:p>
    <w:p w14:paraId="0574E8EE" w14:textId="77777777" w:rsidR="00C50FD8" w:rsidRDefault="00C50FD8" w:rsidP="00C50FD8">
      <w:pPr>
        <w:spacing w:line="480" w:lineRule="auto"/>
        <w:jc w:val="both"/>
        <w:rPr>
          <w:rFonts w:ascii="Times New Roman" w:hAnsi="Times New Roman"/>
        </w:rPr>
      </w:pPr>
      <w:r>
        <w:rPr>
          <w:rFonts w:ascii="Times New Roman" w:hAnsi="Times New Roman"/>
        </w:rPr>
        <w:t>The NDF value of the control water hyacinth in the present study (</w:t>
      </w:r>
      <w:r>
        <w:rPr>
          <w:rFonts w:ascii="Times New Roman" w:hAnsi="Times New Roman"/>
          <w:bCs/>
        </w:rPr>
        <w:t>7</w:t>
      </w:r>
      <w:r>
        <w:rPr>
          <w:rFonts w:ascii="Times New Roman" w:hAnsi="Times New Roman"/>
          <w:bCs/>
          <w:highlight w:val="yellow"/>
        </w:rPr>
        <w:t>2</w:t>
      </w:r>
      <w:r>
        <w:rPr>
          <w:rFonts w:ascii="Times New Roman" w:hAnsi="Times New Roman"/>
          <w:bCs/>
        </w:rPr>
        <w:t>.</w:t>
      </w:r>
      <w:r>
        <w:rPr>
          <w:rFonts w:ascii="Times New Roman" w:hAnsi="Times New Roman"/>
          <w:bCs/>
          <w:highlight w:val="yellow"/>
        </w:rPr>
        <w:t>4</w:t>
      </w:r>
      <w:r>
        <w:rPr>
          <w:rFonts w:ascii="Times New Roman" w:hAnsi="Times New Roman"/>
          <w:bCs/>
        </w:rPr>
        <w:t xml:space="preserve">3 ± </w:t>
      </w:r>
      <w:r>
        <w:rPr>
          <w:rFonts w:ascii="Times New Roman" w:hAnsi="Times New Roman"/>
          <w:bCs/>
          <w:highlight w:val="yellow"/>
        </w:rPr>
        <w:t>1</w:t>
      </w:r>
      <w:r>
        <w:rPr>
          <w:rFonts w:ascii="Times New Roman" w:hAnsi="Times New Roman"/>
          <w:bCs/>
        </w:rPr>
        <w:t>.</w:t>
      </w:r>
      <w:r>
        <w:rPr>
          <w:rFonts w:ascii="Times New Roman" w:hAnsi="Times New Roman"/>
          <w:bCs/>
          <w:highlight w:val="yellow"/>
        </w:rPr>
        <w:t>21</w:t>
      </w:r>
      <w:r>
        <w:rPr>
          <w:rFonts w:ascii="Times New Roman" w:hAnsi="Times New Roman"/>
          <w:bCs/>
        </w:rPr>
        <w:t>%</w:t>
      </w:r>
      <w:r>
        <w:rPr>
          <w:rFonts w:ascii="Times New Roman" w:hAnsi="Times New Roman"/>
        </w:rPr>
        <w:t xml:space="preserve">) is within the range reported for water hyacinth in other feed studies. </w:t>
      </w:r>
      <w:r>
        <w:rPr>
          <w:rFonts w:ascii="Times New Roman" w:hAnsi="Times New Roman"/>
          <w:bCs/>
        </w:rPr>
        <w:t xml:space="preserve">Selim </w:t>
      </w:r>
      <w:r>
        <w:rPr>
          <w:rFonts w:ascii="Times New Roman" w:hAnsi="Times New Roman"/>
          <w:bCs/>
          <w:i/>
        </w:rPr>
        <w:t>et al.</w:t>
      </w:r>
      <w:r>
        <w:rPr>
          <w:rFonts w:ascii="Times New Roman" w:hAnsi="Times New Roman"/>
          <w:bCs/>
        </w:rPr>
        <w:t xml:space="preserve"> (2022)</w:t>
      </w:r>
      <w:r>
        <w:rPr>
          <w:rFonts w:ascii="Times New Roman" w:hAnsi="Times New Roman"/>
        </w:rPr>
        <w:t xml:space="preserve"> reported NDF values ranging from (16.5 to 75.6%) among unconventional feed resources and identified water hyacinth as having appreciable fibre content. Their study further demonstrated that water hyacinth had measurable dry matter and organic matter degradation, indicating that despite its relatively high fibre content, it possesses potential as an unconventional feed resource.  Similarly, </w:t>
      </w:r>
      <w:r>
        <w:rPr>
          <w:rFonts w:ascii="Times New Roman" w:hAnsi="Times New Roman"/>
          <w:bCs/>
        </w:rPr>
        <w:t xml:space="preserve">Fanta </w:t>
      </w:r>
      <w:r>
        <w:rPr>
          <w:rFonts w:ascii="Times New Roman" w:hAnsi="Times New Roman"/>
          <w:bCs/>
          <w:i/>
        </w:rPr>
        <w:t>et al.</w:t>
      </w:r>
      <w:r>
        <w:rPr>
          <w:rFonts w:ascii="Times New Roman" w:hAnsi="Times New Roman"/>
          <w:bCs/>
        </w:rPr>
        <w:t xml:space="preserve"> (2024)</w:t>
      </w:r>
      <w:r>
        <w:rPr>
          <w:rFonts w:ascii="Times New Roman" w:hAnsi="Times New Roman"/>
        </w:rPr>
        <w:t xml:space="preserve"> reported NDF and ADF values of (</w:t>
      </w:r>
      <w:r>
        <w:rPr>
          <w:rFonts w:ascii="Times New Roman" w:hAnsi="Times New Roman"/>
          <w:bCs/>
        </w:rPr>
        <w:t>52.38% and 39.56%)</w:t>
      </w:r>
      <w:r>
        <w:rPr>
          <w:rFonts w:ascii="Times New Roman" w:hAnsi="Times New Roman"/>
        </w:rPr>
        <w:t>, respectively, for water hyacinth leaves. These values are close to the present study's boiled sample (</w:t>
      </w:r>
      <w:r>
        <w:rPr>
          <w:rFonts w:ascii="Times New Roman" w:hAnsi="Times New Roman"/>
          <w:bCs/>
          <w:highlight w:val="yellow"/>
        </w:rPr>
        <w:t>61</w:t>
      </w:r>
      <w:r>
        <w:rPr>
          <w:rFonts w:ascii="Times New Roman" w:hAnsi="Times New Roman"/>
          <w:bCs/>
        </w:rPr>
        <w:t>.7</w:t>
      </w:r>
      <w:r>
        <w:rPr>
          <w:rFonts w:ascii="Times New Roman" w:hAnsi="Times New Roman"/>
          <w:bCs/>
          <w:highlight w:val="yellow"/>
        </w:rPr>
        <w:t>6</w:t>
      </w:r>
      <w:r>
        <w:rPr>
          <w:rFonts w:ascii="Times New Roman" w:hAnsi="Times New Roman"/>
          <w:bCs/>
        </w:rPr>
        <w:t xml:space="preserve"> ± 0.</w:t>
      </w:r>
      <w:r>
        <w:rPr>
          <w:rFonts w:ascii="Times New Roman" w:hAnsi="Times New Roman"/>
          <w:bCs/>
          <w:highlight w:val="yellow"/>
        </w:rPr>
        <w:t>94</w:t>
      </w:r>
      <w:r>
        <w:rPr>
          <w:rFonts w:ascii="Times New Roman" w:hAnsi="Times New Roman"/>
          <w:bCs/>
        </w:rPr>
        <w:t>% NDF and 39.</w:t>
      </w:r>
      <w:r>
        <w:rPr>
          <w:rFonts w:ascii="Times New Roman" w:hAnsi="Times New Roman"/>
          <w:bCs/>
          <w:highlight w:val="yellow"/>
        </w:rPr>
        <w:t>68</w:t>
      </w:r>
      <w:r>
        <w:rPr>
          <w:rFonts w:ascii="Times New Roman" w:hAnsi="Times New Roman"/>
          <w:bCs/>
        </w:rPr>
        <w:t xml:space="preserve"> ± 0.</w:t>
      </w:r>
      <w:r>
        <w:rPr>
          <w:rFonts w:ascii="Times New Roman" w:hAnsi="Times New Roman"/>
          <w:bCs/>
          <w:highlight w:val="yellow"/>
        </w:rPr>
        <w:t>76</w:t>
      </w:r>
      <w:r>
        <w:rPr>
          <w:rFonts w:ascii="Times New Roman" w:hAnsi="Times New Roman"/>
          <w:bCs/>
        </w:rPr>
        <w:t>% ADF</w:t>
      </w:r>
      <w:r>
        <w:rPr>
          <w:rFonts w:ascii="Times New Roman" w:hAnsi="Times New Roman"/>
        </w:rPr>
        <w:t>) and are also comparable with the fermented and oven-dried samples. This similarity supports the plausibility of the present fibre values and indicates that the magnitude of NDF and ADF in water hyacinth can vary according to plant material, location, maturity, and processing history.</w:t>
      </w:r>
    </w:p>
    <w:p w14:paraId="71189321" w14:textId="77777777" w:rsidR="00C50FD8" w:rsidRDefault="00C50FD8" w:rsidP="00C50FD8">
      <w:pPr>
        <w:spacing w:line="480" w:lineRule="auto"/>
        <w:jc w:val="both"/>
        <w:rPr>
          <w:rFonts w:ascii="Times New Roman" w:hAnsi="Times New Roman"/>
        </w:rPr>
      </w:pPr>
      <w:r>
        <w:rPr>
          <w:rFonts w:ascii="Times New Roman" w:hAnsi="Times New Roman"/>
        </w:rPr>
        <w:t xml:space="preserve">The greater reduction produced by fermentation compared with boiling and oven drying is nutritionally important. </w:t>
      </w:r>
      <w:r>
        <w:rPr>
          <w:rFonts w:ascii="Times New Roman" w:hAnsi="Times New Roman"/>
          <w:bCs/>
        </w:rPr>
        <w:t xml:space="preserve">Hundal </w:t>
      </w:r>
      <w:r>
        <w:rPr>
          <w:rFonts w:ascii="Times New Roman" w:hAnsi="Times New Roman"/>
          <w:bCs/>
          <w:i/>
        </w:rPr>
        <w:t>et al.</w:t>
      </w:r>
      <w:r>
        <w:rPr>
          <w:rFonts w:ascii="Times New Roman" w:hAnsi="Times New Roman"/>
          <w:bCs/>
        </w:rPr>
        <w:t xml:space="preserve"> (2025)</w:t>
      </w:r>
      <w:r>
        <w:rPr>
          <w:rFonts w:ascii="Times New Roman" w:hAnsi="Times New Roman"/>
        </w:rPr>
        <w:t xml:space="preserve"> similarly demonstrated that ensiling treatments could reduce NDF and ADF in water hyacinth silage, while simultaneously improving digestibility-related parameters such as organic matter digestibility and NDF digestibility. Their findings support the present observation in this study that processing methods capable of modifying the fibre fraction may improve the potential feeding value of water hyacinth. In contrast, oven drying produced only a modest reduction in fibre relative to the control, with crude fibre, NDF and ADF values of (</w:t>
      </w:r>
      <w:r>
        <w:rPr>
          <w:rFonts w:ascii="Times New Roman" w:hAnsi="Times New Roman"/>
          <w:bCs/>
        </w:rPr>
        <w:t xml:space="preserve">37.40 ± 0.56%, </w:t>
      </w:r>
      <w:r>
        <w:rPr>
          <w:rFonts w:ascii="Times New Roman" w:hAnsi="Times New Roman"/>
          <w:bCs/>
          <w:highlight w:val="yellow"/>
        </w:rPr>
        <w:t>68</w:t>
      </w:r>
      <w:r>
        <w:rPr>
          <w:rFonts w:ascii="Times New Roman" w:hAnsi="Times New Roman"/>
          <w:bCs/>
        </w:rPr>
        <w:t>.</w:t>
      </w:r>
      <w:r>
        <w:rPr>
          <w:rFonts w:ascii="Times New Roman" w:hAnsi="Times New Roman"/>
          <w:bCs/>
          <w:highlight w:val="yellow"/>
        </w:rPr>
        <w:t>87</w:t>
      </w:r>
      <w:r>
        <w:rPr>
          <w:rFonts w:ascii="Times New Roman" w:hAnsi="Times New Roman"/>
          <w:bCs/>
        </w:rPr>
        <w:t xml:space="preserve"> ± </w:t>
      </w:r>
      <w:r>
        <w:rPr>
          <w:rFonts w:ascii="Times New Roman" w:hAnsi="Times New Roman"/>
          <w:bCs/>
          <w:highlight w:val="yellow"/>
        </w:rPr>
        <w:t>1.</w:t>
      </w:r>
      <w:r>
        <w:rPr>
          <w:rFonts w:ascii="Times New Roman" w:hAnsi="Times New Roman"/>
          <w:bCs/>
        </w:rPr>
        <w:t>0</w:t>
      </w:r>
      <w:r>
        <w:rPr>
          <w:rFonts w:ascii="Times New Roman" w:hAnsi="Times New Roman"/>
          <w:bCs/>
          <w:highlight w:val="yellow"/>
        </w:rPr>
        <w:t>5</w:t>
      </w:r>
      <w:r>
        <w:rPr>
          <w:rFonts w:ascii="Times New Roman" w:hAnsi="Times New Roman"/>
          <w:bCs/>
        </w:rPr>
        <w:t>% and 4</w:t>
      </w:r>
      <w:r>
        <w:rPr>
          <w:rFonts w:ascii="Times New Roman" w:hAnsi="Times New Roman"/>
          <w:bCs/>
          <w:highlight w:val="yellow"/>
        </w:rPr>
        <w:t>5</w:t>
      </w:r>
      <w:r>
        <w:rPr>
          <w:rFonts w:ascii="Times New Roman" w:hAnsi="Times New Roman"/>
          <w:bCs/>
        </w:rPr>
        <w:t>.</w:t>
      </w:r>
      <w:r>
        <w:rPr>
          <w:rFonts w:ascii="Times New Roman" w:hAnsi="Times New Roman"/>
          <w:bCs/>
          <w:highlight w:val="yellow"/>
        </w:rPr>
        <w:t>1</w:t>
      </w:r>
      <w:r>
        <w:rPr>
          <w:rFonts w:ascii="Times New Roman" w:hAnsi="Times New Roman"/>
          <w:bCs/>
        </w:rPr>
        <w:t>7 ± 0.</w:t>
      </w:r>
      <w:r>
        <w:rPr>
          <w:rFonts w:ascii="Times New Roman" w:hAnsi="Times New Roman"/>
          <w:bCs/>
          <w:highlight w:val="yellow"/>
        </w:rPr>
        <w:t>83</w:t>
      </w:r>
      <w:r>
        <w:rPr>
          <w:rFonts w:ascii="Times New Roman" w:hAnsi="Times New Roman"/>
          <w:bCs/>
        </w:rPr>
        <w:t>%)</w:t>
      </w:r>
      <w:r>
        <w:rPr>
          <w:rFonts w:ascii="Times New Roman" w:hAnsi="Times New Roman"/>
        </w:rPr>
        <w:t>, respectively. This suggests that drying primarily removes moisture and may have less capacity to break down structural carbohydrates than microbial fermentation. Boiling produced an intermediate reduction (</w:t>
      </w:r>
      <w:r>
        <w:rPr>
          <w:rFonts w:ascii="Times New Roman" w:hAnsi="Times New Roman"/>
          <w:bCs/>
        </w:rPr>
        <w:t xml:space="preserve">34.57 ± 0.45% crude fibre, </w:t>
      </w:r>
      <w:r>
        <w:rPr>
          <w:rFonts w:ascii="Times New Roman" w:hAnsi="Times New Roman"/>
          <w:bCs/>
          <w:highlight w:val="yellow"/>
        </w:rPr>
        <w:t>61</w:t>
      </w:r>
      <w:r>
        <w:rPr>
          <w:rFonts w:ascii="Times New Roman" w:hAnsi="Times New Roman"/>
          <w:bCs/>
        </w:rPr>
        <w:t>.7</w:t>
      </w:r>
      <w:r>
        <w:rPr>
          <w:rFonts w:ascii="Times New Roman" w:hAnsi="Times New Roman"/>
          <w:bCs/>
          <w:highlight w:val="yellow"/>
        </w:rPr>
        <w:t>6</w:t>
      </w:r>
      <w:r>
        <w:rPr>
          <w:rFonts w:ascii="Times New Roman" w:hAnsi="Times New Roman"/>
          <w:bCs/>
        </w:rPr>
        <w:t xml:space="preserve"> ± 0.</w:t>
      </w:r>
      <w:r>
        <w:rPr>
          <w:rFonts w:ascii="Times New Roman" w:hAnsi="Times New Roman"/>
          <w:bCs/>
          <w:highlight w:val="yellow"/>
        </w:rPr>
        <w:t>94</w:t>
      </w:r>
      <w:r>
        <w:rPr>
          <w:rFonts w:ascii="Times New Roman" w:hAnsi="Times New Roman"/>
          <w:bCs/>
        </w:rPr>
        <w:t>% NDF and 39.</w:t>
      </w:r>
      <w:r>
        <w:rPr>
          <w:rFonts w:ascii="Times New Roman" w:hAnsi="Times New Roman"/>
          <w:bCs/>
          <w:highlight w:val="yellow"/>
        </w:rPr>
        <w:t>68</w:t>
      </w:r>
      <w:r>
        <w:rPr>
          <w:rFonts w:ascii="Times New Roman" w:hAnsi="Times New Roman"/>
          <w:bCs/>
        </w:rPr>
        <w:t xml:space="preserve"> ± 0.</w:t>
      </w:r>
      <w:r>
        <w:rPr>
          <w:rFonts w:ascii="Times New Roman" w:hAnsi="Times New Roman"/>
          <w:bCs/>
          <w:highlight w:val="yellow"/>
        </w:rPr>
        <w:t>76</w:t>
      </w:r>
      <w:r>
        <w:rPr>
          <w:rFonts w:ascii="Times New Roman" w:hAnsi="Times New Roman"/>
          <w:bCs/>
        </w:rPr>
        <w:t>% ADF</w:t>
      </w:r>
      <w:r>
        <w:rPr>
          <w:rFonts w:ascii="Times New Roman" w:hAnsi="Times New Roman"/>
        </w:rPr>
        <w:t>), suggesting that heat and water exposure may promote some solubili</w:t>
      </w:r>
      <w:r>
        <w:rPr>
          <w:rFonts w:ascii="Times New Roman" w:hAnsi="Times New Roman"/>
          <w:highlight w:val="yellow"/>
        </w:rPr>
        <w:t>s</w:t>
      </w:r>
      <w:r>
        <w:rPr>
          <w:rFonts w:ascii="Times New Roman" w:hAnsi="Times New Roman"/>
        </w:rPr>
        <w:t>ation or disruption of cell-wall components, although the effect was not as pronounced as fermentation.</w:t>
      </w:r>
    </w:p>
    <w:p w14:paraId="56D13A52" w14:textId="77777777" w:rsidR="00C50FD8" w:rsidRDefault="00C50FD8" w:rsidP="00C50FD8">
      <w:pPr>
        <w:pStyle w:val="pdq2pgselectionanchorcontainer"/>
        <w:spacing w:before="0" w:beforeAutospacing="0" w:after="0" w:afterAutospacing="0" w:line="480" w:lineRule="auto"/>
        <w:jc w:val="both"/>
      </w:pPr>
      <w:r>
        <w:t>The result</w:t>
      </w:r>
      <w:r>
        <w:rPr>
          <w:highlight w:val="yellow"/>
        </w:rPr>
        <w:t>s</w:t>
      </w:r>
      <w:r>
        <w:t xml:space="preserve"> in </w:t>
      </w:r>
      <w:r>
        <w:rPr>
          <w:highlight w:val="yellow"/>
        </w:rPr>
        <w:t>T</w:t>
      </w:r>
      <w:r>
        <w:t xml:space="preserve">able 3 showed that processing significantly reduced the free amino acid content of </w:t>
      </w:r>
      <w:r>
        <w:rPr>
          <w:rStyle w:val="Emphasis"/>
          <w:rFonts w:eastAsiaTheme="majorEastAsia"/>
          <w:highlight w:val="yellow"/>
        </w:rPr>
        <w:t>Eichhornia crassipes</w:t>
      </w:r>
      <w:r>
        <w:t xml:space="preserve"> compared with the unprocessed control. The control recorded the highest free amino acid concentration, followed by the fermented sample, while the boiled and oven-dried samples had significantly lower values, with oven drying recording the least concentration. This indicates that processing altered the availability of free amino </w:t>
      </w:r>
      <w:r>
        <w:lastRenderedPageBreak/>
        <w:t>acids, although fermentation retained more free amino acids than boiling and oven drying. The relatively higher free amino acid content observed in the fermented sample may be attributed to microbial proteolytic activity during fermentation. Microorganisms produce proteolytic enzymes that hydroly</w:t>
      </w:r>
      <w:r>
        <w:rPr>
          <w:highlight w:val="yellow"/>
        </w:rPr>
        <w:t>s</w:t>
      </w:r>
      <w:r>
        <w:t xml:space="preserve">e proteins into smaller peptides and free amino acids, thereby increasing their availability despite an overall reduction compared to the control. Similar observations were reported by </w:t>
      </w:r>
      <w:r>
        <w:rPr>
          <w:rStyle w:val="Strong"/>
          <w:rFonts w:eastAsiaTheme="majorEastAsia"/>
          <w:b w:val="0"/>
        </w:rPr>
        <w:t xml:space="preserve">Nkhata </w:t>
      </w:r>
      <w:r>
        <w:rPr>
          <w:rStyle w:val="Strong"/>
          <w:rFonts w:eastAsiaTheme="majorEastAsia"/>
          <w:b w:val="0"/>
          <w:i/>
        </w:rPr>
        <w:t>et al</w:t>
      </w:r>
      <w:r>
        <w:rPr>
          <w:rStyle w:val="Strong"/>
          <w:rFonts w:eastAsiaTheme="majorEastAsia"/>
          <w:b w:val="0"/>
        </w:rPr>
        <w:t>. (2018)</w:t>
      </w:r>
      <w:r>
        <w:rPr>
          <w:b/>
        </w:rPr>
        <w:t>,</w:t>
      </w:r>
      <w:r>
        <w:t xml:space="preserve"> who noted that fermentation enhances protein breakdown and increases the availability of free amino acids in plant materials. Likewise, </w:t>
      </w:r>
      <w:r>
        <w:rPr>
          <w:rStyle w:val="Strong"/>
          <w:rFonts w:eastAsiaTheme="majorEastAsia"/>
          <w:b w:val="0"/>
        </w:rPr>
        <w:t xml:space="preserve">Marco </w:t>
      </w:r>
      <w:r>
        <w:rPr>
          <w:rStyle w:val="Strong"/>
          <w:rFonts w:eastAsiaTheme="majorEastAsia"/>
          <w:b w:val="0"/>
          <w:i/>
        </w:rPr>
        <w:t>et al</w:t>
      </w:r>
      <w:r>
        <w:rPr>
          <w:rStyle w:val="Strong"/>
          <w:rFonts w:eastAsiaTheme="majorEastAsia"/>
          <w:b w:val="0"/>
        </w:rPr>
        <w:t>. (2017)</w:t>
      </w:r>
      <w:r>
        <w:rPr>
          <w:b/>
        </w:rPr>
        <w:t xml:space="preserve"> </w:t>
      </w:r>
      <w:r>
        <w:t xml:space="preserve">reported that microbial fermentation improves the nutritional quality of foods by promoting the release of amino acids through enzymatic hydrolysis. The lower free amino acid contents observed in the boiled and oven-dried samples may be due to the effects of heat during processing. Boiling can result in the leaching of water-soluble amino acids into the cooking medium, while prolonged heating during oven drying may promote amino acid degradation or their involvement in non-enzymatic browning reactions, thereby reducing their concentration in the processed material. Moyo </w:t>
      </w:r>
      <w:r>
        <w:rPr>
          <w:i/>
        </w:rPr>
        <w:t>et</w:t>
      </w:r>
      <w:r>
        <w:t xml:space="preserve"> </w:t>
      </w:r>
      <w:r>
        <w:rPr>
          <w:i/>
        </w:rPr>
        <w:t>al.</w:t>
      </w:r>
      <w:r>
        <w:t xml:space="preserve"> (2021) reported that thermal processing reduces the concentration of soluble nutrients, including amino acids, due to leaching and heat-induced changes. S</w:t>
      </w:r>
      <w:r>
        <w:rPr>
          <w:highlight w:val="yellow"/>
        </w:rPr>
        <w:t>uc</w:t>
      </w:r>
      <w:r>
        <w:rPr>
          <w:rStyle w:val="Strong"/>
          <w:rFonts w:eastAsiaTheme="majorEastAsia"/>
          <w:b w:val="0"/>
        </w:rPr>
        <w:t>h</w:t>
      </w:r>
      <w:r>
        <w:t xml:space="preserve"> ther</w:t>
      </w:r>
      <w:r>
        <w:rPr>
          <w:highlight w:val="yellow"/>
        </w:rPr>
        <w:t>m</w:t>
      </w:r>
      <w:r>
        <w:t>a</w:t>
      </w:r>
      <w:r>
        <w:rPr>
          <w:highlight w:val="yellow"/>
        </w:rPr>
        <w:t>l effec</w:t>
      </w:r>
      <w:r>
        <w:t>ts may</w:t>
      </w:r>
      <w:r>
        <w:rPr>
          <w:highlight w:val="yellow"/>
        </w:rPr>
        <w:t xml:space="preserve"> also</w:t>
      </w:r>
      <w:r>
        <w:t xml:space="preserve"> reduce amino acid availability through chemical modifications that occur during heating. Although processing reduced free amino acid levels compared with the fresh sample, the relatively higher concentration retained after fermentation suggests that this method is more effective in preserving readily available amino acids than boiling and oven drying. Since free amino acids contribute to protein utili</w:t>
      </w:r>
      <w:r>
        <w:rPr>
          <w:highlight w:val="yellow"/>
        </w:rPr>
        <w:t>s</w:t>
      </w:r>
      <w:r>
        <w:t xml:space="preserve">ation, tissue growth, and metabolic functions in animals, their retention enhances the nutritional quality of feed ingredients. Therefore, fermentation appears to offer an additional advantage in improving the feed value of </w:t>
      </w:r>
      <w:r>
        <w:rPr>
          <w:rStyle w:val="Emphasis"/>
          <w:rFonts w:eastAsiaTheme="majorEastAsia"/>
          <w:highlight w:val="yellow"/>
        </w:rPr>
        <w:t>Eichhornia crassipes</w:t>
      </w:r>
      <w:r>
        <w:t xml:space="preserve"> by maintaining a higher level of nutritionally important free amino acids while simultaneously improving other feed quality characteristics.</w:t>
      </w:r>
    </w:p>
    <w:p w14:paraId="33B733D5" w14:textId="77777777" w:rsidR="00C50FD8" w:rsidRDefault="00C50FD8" w:rsidP="00C50FD8">
      <w:pPr>
        <w:pStyle w:val="pdq2pgselectionanchorcontainer"/>
        <w:spacing w:before="0" w:beforeAutospacing="0" w:after="0" w:afterAutospacing="0" w:line="480" w:lineRule="auto"/>
        <w:jc w:val="both"/>
      </w:pPr>
      <w:r>
        <w:t>The result</w:t>
      </w:r>
      <w:r>
        <w:rPr>
          <w:highlight w:val="yellow"/>
        </w:rPr>
        <w:t>s</w:t>
      </w:r>
      <w:r>
        <w:t xml:space="preserve"> in </w:t>
      </w:r>
      <w:r>
        <w:rPr>
          <w:highlight w:val="yellow"/>
        </w:rPr>
        <w:t>T</w:t>
      </w:r>
      <w:r>
        <w:t xml:space="preserve">able 4 showed that processing significantly reduced the tannin content of </w:t>
      </w:r>
      <w:r>
        <w:rPr>
          <w:rStyle w:val="Emphasis"/>
          <w:rFonts w:eastAsiaTheme="majorEastAsia"/>
          <w:highlight w:val="yellow"/>
        </w:rPr>
        <w:t>Eichhornia crassipes</w:t>
      </w:r>
      <w:r>
        <w:t xml:space="preserve"> compared with the unprocessed control. The control recorded the highest tannin concentration, while the boiled sample had the lowest concentration. Fermented and oven-dried samples showed intermediate values and were not significantly different from each other. These findings indicate that boiling was the most effective method for reducing tannin content in the plant. The pronounced reduction in tannin content after boiling may be attributed </w:t>
      </w:r>
      <w:r>
        <w:lastRenderedPageBreak/>
        <w:t xml:space="preserve">to the water-soluble nature of tannins. During boiling, tannins are readily leached into the cooking water, while heat may also promote the breakdown of some tannin compounds. Similar findings were reported by </w:t>
      </w:r>
      <w:r>
        <w:rPr>
          <w:rStyle w:val="Strong"/>
          <w:rFonts w:eastAsiaTheme="majorEastAsia"/>
          <w:b w:val="0"/>
        </w:rPr>
        <w:t xml:space="preserve">Makinde </w:t>
      </w:r>
      <w:r>
        <w:rPr>
          <w:rStyle w:val="Strong"/>
          <w:rFonts w:eastAsiaTheme="majorEastAsia"/>
          <w:b w:val="0"/>
          <w:highlight w:val="yellow"/>
        </w:rPr>
        <w:t>and</w:t>
      </w:r>
      <w:r>
        <w:rPr>
          <w:rStyle w:val="Strong"/>
          <w:rFonts w:eastAsiaTheme="majorEastAsia"/>
          <w:b w:val="0"/>
        </w:rPr>
        <w:t xml:space="preserve"> Akinoso (2014)</w:t>
      </w:r>
      <w:r>
        <w:rPr>
          <w:b/>
        </w:rPr>
        <w:t>,</w:t>
      </w:r>
      <w:r>
        <w:t xml:space="preserve"> who observed a significant reduction in tannin content after boiling legumes due to leaching into the cooking medium. Likewise, Moyo </w:t>
      </w:r>
      <w:r>
        <w:rPr>
          <w:i/>
        </w:rPr>
        <w:t>et</w:t>
      </w:r>
      <w:r>
        <w:t xml:space="preserve"> </w:t>
      </w:r>
      <w:r>
        <w:rPr>
          <w:i/>
        </w:rPr>
        <w:t>al.</w:t>
      </w:r>
      <w:r>
        <w:t xml:space="preserve"> (2021) reported that thermal processing effectively reduced tannin levels in tropical leafy vegetables by facilitating the removal of soluble phenolic compounds. The reduction in tannin content following fermentation may be due to the activity of microorganisms capable of producing enzymes such as tannase, which hydroly</w:t>
      </w:r>
      <w:r>
        <w:rPr>
          <w:highlight w:val="yellow"/>
        </w:rPr>
        <w:t>s</w:t>
      </w:r>
      <w:r>
        <w:t xml:space="preserve">e tannins into simpler compounds. This enzymatic degradation lowers the concentration of tannins and improves nutrient availability. </w:t>
      </w:r>
      <w:r>
        <w:rPr>
          <w:rStyle w:val="Strong"/>
          <w:rFonts w:eastAsiaTheme="majorEastAsia"/>
          <w:b w:val="0"/>
        </w:rPr>
        <w:t xml:space="preserve">Nkhata </w:t>
      </w:r>
      <w:r>
        <w:rPr>
          <w:rStyle w:val="Strong"/>
          <w:rFonts w:eastAsiaTheme="majorEastAsia"/>
          <w:b w:val="0"/>
          <w:i/>
        </w:rPr>
        <w:t>et al</w:t>
      </w:r>
      <w:r>
        <w:rPr>
          <w:rStyle w:val="Strong"/>
          <w:rFonts w:eastAsiaTheme="majorEastAsia"/>
          <w:b w:val="0"/>
        </w:rPr>
        <w:t>. (2018)</w:t>
      </w:r>
      <w:r>
        <w:t xml:space="preserve"> reported that fermentation reduces anti-nutritional factors, including tannins, through microbial enzymatic activity. Similarly, </w:t>
      </w:r>
      <w:r>
        <w:rPr>
          <w:rStyle w:val="Strong"/>
          <w:rFonts w:eastAsiaTheme="majorEastAsia"/>
          <w:b w:val="0"/>
        </w:rPr>
        <w:t xml:space="preserve">Hur </w:t>
      </w:r>
      <w:r>
        <w:rPr>
          <w:rStyle w:val="Strong"/>
          <w:rFonts w:eastAsiaTheme="majorEastAsia"/>
          <w:b w:val="0"/>
          <w:i/>
        </w:rPr>
        <w:t>et al.</w:t>
      </w:r>
      <w:r>
        <w:rPr>
          <w:rStyle w:val="Strong"/>
          <w:rFonts w:eastAsiaTheme="majorEastAsia"/>
          <w:b w:val="0"/>
        </w:rPr>
        <w:t xml:space="preserve"> (2014)</w:t>
      </w:r>
      <w:r>
        <w:t xml:space="preserve"> noted that microbial fermentation improves the nutritional quality of plant materials by degrading phenolic anti-nutritional compounds. Although oven drying reduced tannin content compared with the control, its effect was less pronounced than boiling. This is expected because drying mainly removes moisture and has a limited effect on the degradation or removal of tannins, especially in the absence of water that facilitates leaching. The reduction in tannin content observed in this study is nutritionally important because high tannin levels reduce protein digestibility by forming insoluble tannin-protein complexes and inhibiting digestive enzymes. Thus, lowering tannin concentration enhances protein utili</w:t>
      </w:r>
      <w:r>
        <w:rPr>
          <w:highlight w:val="yellow"/>
        </w:rPr>
        <w:t>s</w:t>
      </w:r>
      <w:r>
        <w:t xml:space="preserve">ation and improves the overall feeding value of </w:t>
      </w:r>
      <w:r>
        <w:rPr>
          <w:rStyle w:val="Emphasis"/>
          <w:rFonts w:eastAsiaTheme="majorEastAsia"/>
          <w:highlight w:val="yellow"/>
        </w:rPr>
        <w:t>Eichhornia crassipes</w:t>
      </w:r>
      <w:r>
        <w:t>.</w:t>
      </w:r>
    </w:p>
    <w:p w14:paraId="164C3644" w14:textId="77777777" w:rsidR="00C50FD8" w:rsidRDefault="00C50FD8" w:rsidP="00C50FD8">
      <w:pPr>
        <w:pStyle w:val="pdq2pgselectionanchorcontainer"/>
        <w:spacing w:before="0" w:beforeAutospacing="0" w:after="0" w:afterAutospacing="0" w:line="480" w:lineRule="auto"/>
        <w:jc w:val="both"/>
      </w:pPr>
      <w:r>
        <w:t>The result</w:t>
      </w:r>
      <w:r>
        <w:rPr>
          <w:highlight w:val="yellow"/>
        </w:rPr>
        <w:t>s</w:t>
      </w:r>
      <w:r>
        <w:t xml:space="preserve"> in </w:t>
      </w:r>
      <w:r>
        <w:rPr>
          <w:highlight w:val="yellow"/>
        </w:rPr>
        <w:t>T</w:t>
      </w:r>
      <w:r>
        <w:t xml:space="preserve">able 4 showed that processing significantly reduced the cyanogenic glycoside content of </w:t>
      </w:r>
      <w:r>
        <w:rPr>
          <w:rStyle w:val="Emphasis"/>
          <w:rFonts w:eastAsiaTheme="majorEastAsia"/>
          <w:highlight w:val="yellow"/>
        </w:rPr>
        <w:t>Eichhornia crassipes</w:t>
      </w:r>
      <w:r>
        <w:t xml:space="preserve"> compared with the unprocessed control. The control sample recorded the highest cyanogenic glycoside concentration, whereas the boiled sample had the lowest value. Fermented and oven-dried samples showed similar concentrations and were not significantly different from each other. This indicates that all processing methods reduced cyanogenic glycosides, with boiling being the most effective. The marked reduction observed after boiling may be attributed to the heat-labile and water-soluble nature of cyanogenic compounds. During boiling, cyanogenic glycosides may be hydroly</w:t>
      </w:r>
      <w:r>
        <w:rPr>
          <w:highlight w:val="yellow"/>
        </w:rPr>
        <w:t>s</w:t>
      </w:r>
      <w:r>
        <w:t xml:space="preserve">ed, and the released cyanide or soluble compounds may diffuse into the boiling water, thereby lowering their concentration in the processed material. </w:t>
      </w:r>
      <w:r>
        <w:lastRenderedPageBreak/>
        <w:t xml:space="preserve">Similar observations were reported by Montagnac </w:t>
      </w:r>
      <w:r>
        <w:rPr>
          <w:i/>
        </w:rPr>
        <w:t xml:space="preserve">et al. </w:t>
      </w:r>
      <w:r>
        <w:t xml:space="preserve">(2023), who noted that boiling significantly reduced cyanogenic compounds in cassava products through leaching and thermal degradation. Likewise, Bechoff </w:t>
      </w:r>
      <w:r>
        <w:rPr>
          <w:i/>
        </w:rPr>
        <w:t>et al.</w:t>
      </w:r>
      <w:r>
        <w:t xml:space="preserve"> (2021) reported that heat treatment effectively lowers cyanogenic glycoside levels in plant materials. Fermentation also reduced cyanogenic glycosides compared with the control. This reduction may be due to microbial enzymatic activity, particularly the action of β-glucosidase enzymes, which hydroly</w:t>
      </w:r>
      <w:r>
        <w:rPr>
          <w:highlight w:val="yellow"/>
        </w:rPr>
        <w:t>s</w:t>
      </w:r>
      <w:r>
        <w:t xml:space="preserve">e cyanogenic glycosides into simpler compounds. </w:t>
      </w:r>
      <w:r>
        <w:rPr>
          <w:rStyle w:val="Strong"/>
          <w:rFonts w:eastAsiaTheme="majorEastAsia"/>
          <w:b w:val="0"/>
        </w:rPr>
        <w:t>Nambisan (2011)</w:t>
      </w:r>
      <w:r>
        <w:t xml:space="preserve"> reported that fermentation is an effective method for reducing cyanogenic compounds in plant products due to microbial degradation. Similar findings were also reported by Ayetigbo </w:t>
      </w:r>
      <w:r>
        <w:rPr>
          <w:i/>
        </w:rPr>
        <w:t>et al.</w:t>
      </w:r>
      <w:r>
        <w:t xml:space="preserve"> (2022), who observed substantial reductions in cyanogenic compounds following the fermentation of cassava products. The oven-dried sample also showed a considerable reduction in cyanogenic glycosides, although its effect was less pronounced than boiling. Heat generated during drying may promote partial decomposition of cyanogenic compounds, but the absence of water limits the extent of leaching compared with boiling. The reduction in cyanogenic glycosides observed in this study is important because high concentrations of these compounds can release toxic hydrogen cyanide, which interferes with cellular respiration and reduces feed safety. Therefore, reducing cyanogenic glycosides enhances the suitability of </w:t>
      </w:r>
      <w:r>
        <w:rPr>
          <w:rStyle w:val="Emphasis"/>
          <w:rFonts w:eastAsiaTheme="majorEastAsia"/>
          <w:highlight w:val="yellow"/>
        </w:rPr>
        <w:t>Eichhornia crassipes</w:t>
      </w:r>
      <w:r>
        <w:t xml:space="preserve"> for livestock feeding.</w:t>
      </w:r>
    </w:p>
    <w:p w14:paraId="04CA97E9" w14:textId="77777777" w:rsidR="00C50FD8" w:rsidRDefault="00C50FD8" w:rsidP="00C50FD8">
      <w:pPr>
        <w:pStyle w:val="pdq2pgselectionanchorcontainer"/>
        <w:spacing w:before="0" w:beforeAutospacing="0" w:after="0" w:afterAutospacing="0" w:line="480" w:lineRule="auto"/>
        <w:jc w:val="both"/>
      </w:pPr>
      <w:r>
        <w:t xml:space="preserve">The results in Table 4 showed that processing significantly reduced the phytate content of </w:t>
      </w:r>
      <w:r>
        <w:rPr>
          <w:rStyle w:val="Emphasis"/>
          <w:rFonts w:eastAsiaTheme="majorEastAsia"/>
          <w:highlight w:val="yellow"/>
        </w:rPr>
        <w:t>Eichhornia crassipes</w:t>
      </w:r>
      <w:r>
        <w:t xml:space="preserve"> compared with the unprocessed control. The fermented sample recorded the lowest phytate concentration, while the boiled sample showed a moderate reduction. The oven-dried sample did not differ significantly from the control, indicating that oven drying had little effect on phytate reduction. These findings suggest that fermentation was the most effective processing method for lowering phytate levels in water hyacinth. The significant reduction in phytate content following fermentation may be attributed to the activity of microbial phytase enzymes, which hydroly</w:t>
      </w:r>
      <w:r>
        <w:rPr>
          <w:highlight w:val="yellow"/>
        </w:rPr>
        <w:t>s</w:t>
      </w:r>
      <w:r>
        <w:t xml:space="preserve">e phytic acid into lower inositol phosphates and inorganic phosphate. This enzymatic degradation reduces the phytate content and improves the availability of minerals such as calcium, iron, zinc, and magnesium. Similar findings were reported by Nkhata </w:t>
      </w:r>
      <w:r>
        <w:rPr>
          <w:i/>
        </w:rPr>
        <w:t>et al.</w:t>
      </w:r>
      <w:r>
        <w:t xml:space="preserve"> (2018) who observed that fermentation markedly reduced phytate levels in plant-based foods through phytase activity. Likewise, </w:t>
      </w:r>
      <w:r>
        <w:rPr>
          <w:rStyle w:val="Strong"/>
          <w:rFonts w:eastAsiaTheme="majorEastAsia"/>
          <w:b w:val="0"/>
        </w:rPr>
        <w:t xml:space="preserve">Lei </w:t>
      </w:r>
      <w:r>
        <w:rPr>
          <w:rStyle w:val="Strong"/>
          <w:rFonts w:eastAsiaTheme="majorEastAsia"/>
          <w:b w:val="0"/>
          <w:i/>
        </w:rPr>
        <w:t>et al</w:t>
      </w:r>
      <w:r>
        <w:rPr>
          <w:rStyle w:val="Strong"/>
          <w:rFonts w:eastAsiaTheme="majorEastAsia"/>
          <w:b w:val="0"/>
        </w:rPr>
        <w:t>. (2013)</w:t>
      </w:r>
      <w:r>
        <w:t xml:space="preserve"> reported that microbial phytases </w:t>
      </w:r>
      <w:r>
        <w:lastRenderedPageBreak/>
        <w:t xml:space="preserve">play an important role in degrading phytate and improving nutrient bioavailability in feed ingredients. Boiling also reduced phytate concentration, although the reduction was less pronounced than that observed with fermentation. This may be due to the partial dissolution of phytate into the boiling water and the effect of heat on phytate complexes. Samtiya </w:t>
      </w:r>
      <w:r>
        <w:rPr>
          <w:i/>
        </w:rPr>
        <w:t>et al.</w:t>
      </w:r>
      <w:r>
        <w:t xml:space="preserve"> (2020) reported that household processing methods, including boiling, can reduce phytate content, although the extent of reduction depends on the processing conditions and the nature of the plant material. In contrast, oven drying produced little or no reduction in phytate content compared with the control. This finding is expected because drying mainly removes moisture and does not provide the enzymatic or aqueous conditions required for substantial phytate degradation. As a result, much of the phytate remains unchanged after drying. The reduction in phytate content observed in this study is nutritionally beneficial because phytate binds essential minerals and proteins, thereby reducing their bioavailability and digestibility. Lower phytate levels improve mineral absorption and enhance the nutritional value of feed ingredients.</w:t>
      </w:r>
    </w:p>
    <w:p w14:paraId="6B328AE0" w14:textId="77777777" w:rsidR="00C50FD8" w:rsidRDefault="00C50FD8" w:rsidP="00C50FD8">
      <w:pPr>
        <w:pStyle w:val="pdq2pgselectionanchorcontainer"/>
        <w:spacing w:before="0" w:beforeAutospacing="0" w:after="0" w:afterAutospacing="0" w:line="480" w:lineRule="auto"/>
        <w:jc w:val="both"/>
      </w:pPr>
      <w:r>
        <w:t>The result</w:t>
      </w:r>
      <w:r>
        <w:rPr>
          <w:highlight w:val="yellow"/>
        </w:rPr>
        <w:t>s</w:t>
      </w:r>
      <w:r>
        <w:t xml:space="preserve"> in </w:t>
      </w:r>
      <w:r>
        <w:rPr>
          <w:highlight w:val="yellow"/>
        </w:rPr>
        <w:t>T</w:t>
      </w:r>
      <w:r>
        <w:t xml:space="preserve">able 4 also showed that oxalate was </w:t>
      </w:r>
      <w:r>
        <w:rPr>
          <w:rStyle w:val="Strong"/>
          <w:rFonts w:eastAsiaTheme="majorEastAsia"/>
          <w:b w:val="0"/>
        </w:rPr>
        <w:t>not detected</w:t>
      </w:r>
      <w:r>
        <w:t xml:space="preserve"> in the fermented, boiled, and oven-dried water hyacinth samples, while the unprocessed sample contained </w:t>
      </w:r>
      <w:r>
        <w:rPr>
          <w:b/>
        </w:rPr>
        <w:t>(</w:t>
      </w:r>
      <w:r>
        <w:rPr>
          <w:rStyle w:val="Strong"/>
          <w:rFonts w:eastAsiaTheme="majorEastAsia"/>
          <w:b w:val="0"/>
        </w:rPr>
        <w:t>4.06 ± 0.88 mg/100</w:t>
      </w:r>
      <w:r>
        <w:rPr>
          <w:rStyle w:val="Strong"/>
          <w:rFonts w:eastAsiaTheme="majorEastAsia"/>
          <w:b w:val="0"/>
          <w:highlight w:val="yellow"/>
        </w:rPr>
        <w:t xml:space="preserve"> </w:t>
      </w:r>
      <w:r>
        <w:rPr>
          <w:rStyle w:val="Strong"/>
          <w:rFonts w:eastAsiaTheme="majorEastAsia"/>
          <w:b w:val="0"/>
        </w:rPr>
        <w:t>g</w:t>
      </w:r>
      <w:r>
        <w:rPr>
          <w:b/>
        </w:rPr>
        <w:t>).</w:t>
      </w:r>
      <w:r>
        <w:t xml:space="preserve"> This indicates that all three processing methods effectively reduced the oxalate content to below the detectable limit. Boiling likely reduced oxalate through leaching into the cooking water, while fermentation may have promoted microbial degradation of oxalate. Oven drying also contributed to oxalate reduction through the effect of heat. The reduction of oxalate is beneficial because it improves mineral bioavailability and enhances the nutritional quality of water hyacinth for potential use as livestock feed (Adejumo </w:t>
      </w:r>
      <w:r>
        <w:rPr>
          <w:i/>
        </w:rPr>
        <w:t>et al.,</w:t>
      </w:r>
      <w:r>
        <w:t xml:space="preserve"> 2021; Kumar </w:t>
      </w:r>
      <w:r>
        <w:rPr>
          <w:i/>
        </w:rPr>
        <w:t>et al.,</w:t>
      </w:r>
      <w:r>
        <w:t xml:space="preserve"> 2022; Bamidele </w:t>
      </w:r>
      <w:r>
        <w:rPr>
          <w:i/>
        </w:rPr>
        <w:t>et al.,</w:t>
      </w:r>
      <w:r>
        <w:t xml:space="preserve"> 2024).</w:t>
      </w:r>
    </w:p>
    <w:p w14:paraId="0D06AD49" w14:textId="77777777" w:rsidR="00C50FD8" w:rsidRDefault="00C50FD8" w:rsidP="00C50FD8">
      <w:pPr>
        <w:spacing w:line="480" w:lineRule="auto"/>
        <w:jc w:val="both"/>
        <w:rPr>
          <w:rFonts w:ascii="Times New Roman" w:hAnsi="Times New Roman"/>
        </w:rPr>
      </w:pPr>
      <w:r>
        <w:rPr>
          <w:rFonts w:ascii="Times New Roman" w:hAnsi="Times New Roman"/>
        </w:rPr>
        <w:t>The result</w:t>
      </w:r>
      <w:r>
        <w:rPr>
          <w:rFonts w:ascii="Times New Roman" w:hAnsi="Times New Roman"/>
          <w:highlight w:val="yellow"/>
        </w:rPr>
        <w:t>s</w:t>
      </w:r>
      <w:r>
        <w:rPr>
          <w:rFonts w:ascii="Times New Roman" w:hAnsi="Times New Roman"/>
        </w:rPr>
        <w:t xml:space="preserve"> in Table 5 showed that processing significantly improved the in</w:t>
      </w:r>
      <w:r>
        <w:rPr>
          <w:rFonts w:ascii="Times New Roman" w:hAnsi="Times New Roman"/>
          <w:highlight w:val="yellow"/>
        </w:rPr>
        <w:t xml:space="preserve"> </w:t>
      </w:r>
      <w:r>
        <w:rPr>
          <w:rFonts w:ascii="Times New Roman" w:hAnsi="Times New Roman"/>
        </w:rPr>
        <w:t xml:space="preserve">vitro protein digestibility of </w:t>
      </w:r>
      <w:r>
        <w:rPr>
          <w:rFonts w:ascii="Times New Roman" w:hAnsi="Times New Roman"/>
          <w:i/>
          <w:iCs/>
        </w:rPr>
        <w:t>Eichhornia crassipes</w:t>
      </w:r>
      <w:r>
        <w:rPr>
          <w:rFonts w:ascii="Times New Roman" w:hAnsi="Times New Roman"/>
        </w:rPr>
        <w:t xml:space="preserve"> (</w:t>
      </w:r>
      <w:r>
        <w:rPr>
          <w:rFonts w:ascii="Times New Roman" w:hAnsi="Times New Roman"/>
          <w:i/>
          <w:iCs/>
        </w:rPr>
        <w:t>p</w:t>
      </w:r>
      <w:r>
        <w:rPr>
          <w:rFonts w:ascii="Times New Roman" w:hAnsi="Times New Roman"/>
        </w:rPr>
        <w:t xml:space="preserve"> &lt; </w:t>
      </w:r>
      <w:r>
        <w:rPr>
          <w:rFonts w:ascii="Times New Roman" w:hAnsi="Times New Roman"/>
          <w:i/>
        </w:rPr>
        <w:t>0.05</w:t>
      </w:r>
      <w:r>
        <w:rPr>
          <w:rFonts w:ascii="Times New Roman" w:hAnsi="Times New Roman"/>
        </w:rPr>
        <w:t>). After pepsin digestion, the fermented sample recorded the highest digestibility (</w:t>
      </w:r>
      <w:r>
        <w:rPr>
          <w:rFonts w:ascii="Times New Roman" w:hAnsi="Times New Roman"/>
          <w:bCs/>
        </w:rPr>
        <w:t>58.42 ± 0.71%</w:t>
      </w:r>
      <w:r>
        <w:rPr>
          <w:rFonts w:ascii="Times New Roman" w:hAnsi="Times New Roman"/>
        </w:rPr>
        <w:t>), followed by boiled (</w:t>
      </w:r>
      <w:r>
        <w:rPr>
          <w:rFonts w:ascii="Times New Roman" w:hAnsi="Times New Roman"/>
          <w:bCs/>
        </w:rPr>
        <w:t>53.17 ± 0.68%</w:t>
      </w:r>
      <w:r>
        <w:rPr>
          <w:rFonts w:ascii="Times New Roman" w:hAnsi="Times New Roman"/>
        </w:rPr>
        <w:t>), oven-dried (</w:t>
      </w:r>
      <w:r>
        <w:rPr>
          <w:rFonts w:ascii="Times New Roman" w:hAnsi="Times New Roman"/>
          <w:bCs/>
        </w:rPr>
        <w:t>48.36 ± 0.64%</w:t>
      </w:r>
      <w:r>
        <w:rPr>
          <w:rFonts w:ascii="Times New Roman" w:hAnsi="Times New Roman"/>
        </w:rPr>
        <w:t>) and control (</w:t>
      </w:r>
      <w:r>
        <w:rPr>
          <w:rFonts w:ascii="Times New Roman" w:hAnsi="Times New Roman"/>
          <w:bCs/>
        </w:rPr>
        <w:t>42.73 ± 0.59%</w:t>
      </w:r>
      <w:r>
        <w:rPr>
          <w:rFonts w:ascii="Times New Roman" w:hAnsi="Times New Roman"/>
        </w:rPr>
        <w:t>) samples. A similar trend was observed after sequential pepsin–pancreatin digestion, with fermented (</w:t>
      </w:r>
      <w:r>
        <w:rPr>
          <w:rFonts w:ascii="Times New Roman" w:hAnsi="Times New Roman"/>
          <w:bCs/>
        </w:rPr>
        <w:t>74.63 ± 0.82%</w:t>
      </w:r>
      <w:r>
        <w:rPr>
          <w:rFonts w:ascii="Times New Roman" w:hAnsi="Times New Roman"/>
        </w:rPr>
        <w:t>) &gt; boiled (</w:t>
      </w:r>
      <w:r>
        <w:rPr>
          <w:rFonts w:ascii="Times New Roman" w:hAnsi="Times New Roman"/>
          <w:bCs/>
        </w:rPr>
        <w:t>68.47 ±</w:t>
      </w:r>
      <w:r>
        <w:rPr>
          <w:rFonts w:ascii="Times New Roman" w:hAnsi="Times New Roman"/>
          <w:b/>
          <w:bCs/>
        </w:rPr>
        <w:t xml:space="preserve"> </w:t>
      </w:r>
      <w:r>
        <w:rPr>
          <w:rFonts w:ascii="Times New Roman" w:hAnsi="Times New Roman"/>
          <w:bCs/>
        </w:rPr>
        <w:t>0.76%</w:t>
      </w:r>
      <w:r>
        <w:rPr>
          <w:rFonts w:ascii="Times New Roman" w:hAnsi="Times New Roman"/>
        </w:rPr>
        <w:t>) &gt; oven</w:t>
      </w:r>
      <w:r>
        <w:rPr>
          <w:rFonts w:ascii="Times New Roman" w:hAnsi="Times New Roman"/>
          <w:highlight w:val="yellow"/>
        </w:rPr>
        <w:t>-</w:t>
      </w:r>
      <w:r>
        <w:rPr>
          <w:rFonts w:ascii="Times New Roman" w:hAnsi="Times New Roman"/>
        </w:rPr>
        <w:t>dried (</w:t>
      </w:r>
      <w:r>
        <w:rPr>
          <w:rFonts w:ascii="Times New Roman" w:hAnsi="Times New Roman"/>
          <w:bCs/>
        </w:rPr>
        <w:t>62.83 ± 0.69%</w:t>
      </w:r>
      <w:r>
        <w:rPr>
          <w:rFonts w:ascii="Times New Roman" w:hAnsi="Times New Roman"/>
        </w:rPr>
        <w:t>) &gt; control (</w:t>
      </w:r>
      <w:r>
        <w:rPr>
          <w:rFonts w:ascii="Times New Roman" w:hAnsi="Times New Roman"/>
          <w:bCs/>
        </w:rPr>
        <w:t>57.26 ± 0.73%</w:t>
      </w:r>
      <w:r>
        <w:rPr>
          <w:rFonts w:ascii="Times New Roman" w:hAnsi="Times New Roman"/>
        </w:rPr>
        <w:t>). The significantly higher values in the processed samples indicate that processing enhanced the accessibility of water hyacinth protein to digestive enzymes, with fermentation producing the greatest improvement.</w:t>
      </w:r>
    </w:p>
    <w:p w14:paraId="54329160" w14:textId="77777777" w:rsidR="00C50FD8" w:rsidRDefault="00C50FD8" w:rsidP="00C50FD8">
      <w:pPr>
        <w:spacing w:line="480" w:lineRule="auto"/>
        <w:jc w:val="both"/>
        <w:rPr>
          <w:rFonts w:ascii="Times New Roman" w:hAnsi="Times New Roman"/>
        </w:rPr>
      </w:pPr>
      <w:r>
        <w:rPr>
          <w:rFonts w:ascii="Times New Roman" w:hAnsi="Times New Roman"/>
        </w:rPr>
        <w:t xml:space="preserve">The superior digestibility observed in the fermented sample may be attributed to microbial degradation of structural components surrounding the protein, thereby increasing its accessibility to proteolytic enzymes. This agrees with Happy </w:t>
      </w:r>
      <w:r>
        <w:rPr>
          <w:rFonts w:ascii="Times New Roman" w:hAnsi="Times New Roman"/>
          <w:i/>
        </w:rPr>
        <w:t>et al.</w:t>
      </w:r>
      <w:r>
        <w:rPr>
          <w:rFonts w:ascii="Times New Roman" w:hAnsi="Times New Roman"/>
        </w:rPr>
        <w:t xml:space="preserve"> (2021) who reported improved nutritional characteristics and digestibility following fermentation of water hyacinth leaf meal with cow rumen liquor.</w:t>
      </w:r>
    </w:p>
    <w:p w14:paraId="32FFF122" w14:textId="77777777" w:rsidR="00C50FD8" w:rsidRDefault="00C50FD8" w:rsidP="00C50FD8">
      <w:pPr>
        <w:spacing w:line="480" w:lineRule="auto"/>
        <w:jc w:val="both"/>
        <w:rPr>
          <w:rFonts w:ascii="Times New Roman" w:hAnsi="Times New Roman"/>
        </w:rPr>
      </w:pPr>
      <w:r>
        <w:rPr>
          <w:rFonts w:ascii="Times New Roman" w:hAnsi="Times New Roman"/>
        </w:rPr>
        <w:lastRenderedPageBreak/>
        <w:t xml:space="preserve">Boiling also improved protein digestibility relative to the control, while oven drying produced the lowest improvement among the processed samples. The increase following boiling may be associated with heat-induced disruption of plant tissues and alteration of protein structure, making proteins more susceptible to enzymatic hydrolysis. Mako </w:t>
      </w:r>
      <w:r>
        <w:rPr>
          <w:rFonts w:ascii="Times New Roman" w:hAnsi="Times New Roman"/>
          <w:i/>
        </w:rPr>
        <w:t>et al.</w:t>
      </w:r>
      <w:r>
        <w:rPr>
          <w:rFonts w:ascii="Times New Roman" w:hAnsi="Times New Roman"/>
        </w:rPr>
        <w:t xml:space="preserve"> (2021) similarly reported that processing significantly altered the nutritional characteristics of water hyacinth and improved its potential as an animal-feed resource. The comparatively lower digestibility of the oven-dried sample is noteworthy because oven drying retained the highest protein and nitrogen concentrations in Table 1, suggesting that </w:t>
      </w:r>
      <w:r>
        <w:rPr>
          <w:rFonts w:ascii="Times New Roman" w:hAnsi="Times New Roman"/>
          <w:bCs/>
        </w:rPr>
        <w:t>protein preservation does not necessarily correspond to protein digestibility</w:t>
      </w:r>
      <w:r>
        <w:rPr>
          <w:rFonts w:ascii="Times New Roman" w:hAnsi="Times New Roman"/>
        </w:rPr>
        <w:t>.</w:t>
      </w:r>
    </w:p>
    <w:p w14:paraId="1FD2765A" w14:textId="77777777" w:rsidR="00C50FD8" w:rsidRDefault="00C50FD8" w:rsidP="00C50FD8">
      <w:pPr>
        <w:spacing w:line="480" w:lineRule="auto"/>
        <w:jc w:val="both"/>
        <w:rPr>
          <w:rFonts w:ascii="Times New Roman" w:hAnsi="Times New Roman"/>
          <w:bCs/>
        </w:rPr>
      </w:pPr>
      <w:r>
        <w:rPr>
          <w:rFonts w:ascii="Times New Roman" w:hAnsi="Times New Roman"/>
        </w:rPr>
        <w:t xml:space="preserve">Sequential pancreatin digestion further increased protein digestibility in all treatments. The fermented sample increased from </w:t>
      </w:r>
      <w:r>
        <w:rPr>
          <w:rFonts w:ascii="Times New Roman" w:hAnsi="Times New Roman"/>
          <w:bCs/>
        </w:rPr>
        <w:t>58.42 ± 0.71% after pepsin to 74.63 ± 0.82%</w:t>
      </w:r>
      <w:r>
        <w:rPr>
          <w:rFonts w:ascii="Times New Roman" w:hAnsi="Times New Roman"/>
        </w:rPr>
        <w:t xml:space="preserve"> after pancreatin, while corresponding increases were observed in the boiled, oven-dried and control samples. This indicates that pancreatic proteolytic enzymes hydroly</w:t>
      </w:r>
      <w:r>
        <w:rPr>
          <w:rFonts w:ascii="Times New Roman" w:hAnsi="Times New Roman"/>
          <w:highlight w:val="yellow"/>
        </w:rPr>
        <w:t>s</w:t>
      </w:r>
      <w:r>
        <w:rPr>
          <w:rFonts w:ascii="Times New Roman" w:hAnsi="Times New Roman"/>
        </w:rPr>
        <w:t>ed protein fractions that remained after gastric digestion. The higher final digestibility values therefore demonstrate the importance of evaluating both gastric and intestinal phases when assessing the potential nutritional utili</w:t>
      </w:r>
      <w:r>
        <w:rPr>
          <w:rFonts w:ascii="Times New Roman" w:hAnsi="Times New Roman"/>
          <w:highlight w:val="yellow"/>
        </w:rPr>
        <w:t>s</w:t>
      </w:r>
      <w:r>
        <w:rPr>
          <w:rFonts w:ascii="Times New Roman" w:hAnsi="Times New Roman"/>
        </w:rPr>
        <w:t>ation of processed water hyacinth protein. F</w:t>
      </w:r>
      <w:r>
        <w:rPr>
          <w:rFonts w:ascii="Times New Roman" w:hAnsi="Times New Roman"/>
          <w:bCs/>
        </w:rPr>
        <w:t>ermentation was the most effective treatment for improving in</w:t>
      </w:r>
      <w:r>
        <w:rPr>
          <w:rFonts w:ascii="Times New Roman" w:hAnsi="Times New Roman"/>
          <w:bCs/>
          <w:highlight w:val="yellow"/>
        </w:rPr>
        <w:t xml:space="preserve"> </w:t>
      </w:r>
      <w:r>
        <w:rPr>
          <w:rFonts w:ascii="Times New Roman" w:hAnsi="Times New Roman"/>
          <w:bCs/>
        </w:rPr>
        <w:t>vitro protein digestibility</w:t>
      </w:r>
      <w:r>
        <w:rPr>
          <w:rFonts w:ascii="Times New Roman" w:hAnsi="Times New Roman"/>
        </w:rPr>
        <w:t xml:space="preserve">, followed by boiling and oven drying. Interestingly, fermentation recorded the lowest protein and nitrogen concentrations in Table 1 but the highest digestibility in Table 5. This suggests that the nutritional value of processed water hyacinth should not be assessed solely on the basis of total protein concentration, but also on the extent to which the protein is accessible for digestion. Thus, </w:t>
      </w:r>
      <w:r>
        <w:rPr>
          <w:rFonts w:ascii="Times New Roman" w:hAnsi="Times New Roman"/>
          <w:bCs/>
        </w:rPr>
        <w:t>fermentation appears more suitable where improved protein utili</w:t>
      </w:r>
      <w:r>
        <w:rPr>
          <w:rFonts w:ascii="Times New Roman" w:hAnsi="Times New Roman"/>
          <w:bCs/>
          <w:highlight w:val="yellow"/>
        </w:rPr>
        <w:t>s</w:t>
      </w:r>
      <w:r>
        <w:rPr>
          <w:rFonts w:ascii="Times New Roman" w:hAnsi="Times New Roman"/>
          <w:bCs/>
        </w:rPr>
        <w:t>ation is the objective.</w:t>
      </w:r>
    </w:p>
    <w:p w14:paraId="68131BBB" w14:textId="77777777" w:rsidR="00C50FD8" w:rsidRDefault="00C50FD8" w:rsidP="00C50FD8">
      <w:pPr>
        <w:pStyle w:val="NormalWeb"/>
        <w:spacing w:before="0" w:beforeAutospacing="0" w:after="0" w:afterAutospacing="0" w:line="480" w:lineRule="auto"/>
        <w:jc w:val="both"/>
      </w:pPr>
      <w:r>
        <w:t xml:space="preserve">The correlation analysis results in Table 6 demonstrated very </w:t>
      </w:r>
      <w:r w:rsidRPr="00C50FD8">
        <w:rPr>
          <w:rStyle w:val="Strong"/>
          <w:rFonts w:eastAsiaTheme="majorEastAsia"/>
          <w:b w:val="0"/>
        </w:rPr>
        <w:t>strong</w:t>
      </w:r>
      <w:r>
        <w:rPr>
          <w:rStyle w:val="Strong"/>
          <w:rFonts w:eastAsiaTheme="majorEastAsia"/>
        </w:rPr>
        <w:t xml:space="preserve"> </w:t>
      </w:r>
      <w:r w:rsidRPr="00C50FD8">
        <w:rPr>
          <w:rStyle w:val="Strong"/>
          <w:rFonts w:eastAsiaTheme="majorEastAsia"/>
          <w:b w:val="0"/>
        </w:rPr>
        <w:t>negative</w:t>
      </w:r>
      <w:r>
        <w:rPr>
          <w:rStyle w:val="Strong"/>
          <w:rFonts w:eastAsiaTheme="majorEastAsia"/>
        </w:rPr>
        <w:t xml:space="preserve"> </w:t>
      </w:r>
      <w:r w:rsidRPr="00C50FD8">
        <w:rPr>
          <w:rStyle w:val="Strong"/>
          <w:rFonts w:eastAsiaTheme="majorEastAsia"/>
          <w:b w:val="0"/>
        </w:rPr>
        <w:t>associations</w:t>
      </w:r>
      <w:r>
        <w:t xml:space="preserve"> between the anti-nutritional factors and final pepsin-pancreatin protein digestion across the treatment groups, which suggest that reductions in anti-nutritional factors following processing may be associated with improved protein accessibility and susceptibility to enzymatic digestion. </w:t>
      </w:r>
    </w:p>
    <w:p w14:paraId="401BC840" w14:textId="77777777" w:rsidR="00C30A0F" w:rsidRPr="00640A0E" w:rsidRDefault="00C50FD8" w:rsidP="00640A0E">
      <w:pPr>
        <w:spacing w:after="100" w:afterAutospacing="1" w:line="480" w:lineRule="auto"/>
        <w:jc w:val="both"/>
        <w:rPr>
          <w:rFonts w:ascii="Times New Roman" w:hAnsi="Times New Roman"/>
          <w:bCs/>
        </w:rPr>
      </w:pPr>
      <w:r>
        <w:rPr>
          <w:rFonts w:ascii="Times New Roman" w:hAnsi="Times New Roman"/>
        </w:rPr>
        <w:t xml:space="preserve">The findings of this study demonstrate that processing substantially modified the nutritional quality and potential feed value of </w:t>
      </w:r>
      <w:r>
        <w:rPr>
          <w:rStyle w:val="Emphasis"/>
          <w:rFonts w:eastAsiaTheme="majorEastAsia"/>
          <w:highlight w:val="yellow"/>
        </w:rPr>
        <w:t>Eichhornia crassipes</w:t>
      </w:r>
      <w:r>
        <w:rPr>
          <w:rFonts w:ascii="Times New Roman" w:hAnsi="Times New Roman"/>
        </w:rPr>
        <w:t>, although the magnitude and direction of the changes depended on the processing method and the parameter evaluated. No single processing treatment was superior across all the investigated characteristics, indicating that fermentation, boiling and oven drying produced distinct biochemical effects on the protein and nitrogen contents, free amino acids, fibre fractions, anti-nutritional factors and in</w:t>
      </w:r>
      <w:r>
        <w:rPr>
          <w:rFonts w:ascii="Times New Roman" w:hAnsi="Times New Roman"/>
          <w:highlight w:val="yellow"/>
        </w:rPr>
        <w:t xml:space="preserve"> </w:t>
      </w:r>
      <w:r>
        <w:rPr>
          <w:rFonts w:ascii="Times New Roman" w:hAnsi="Times New Roman"/>
        </w:rPr>
        <w:t>vitro protein digestibility of the plant. Oven drying was the most effective method for preserving protein and nitrogen contents, indicating better retention of nitrogen-containing nutrients. Fermentation, however, produced the greatest reduction in fibre fractions and phytate and resulted in the highest in</w:t>
      </w:r>
      <w:r>
        <w:rPr>
          <w:rFonts w:ascii="Times New Roman" w:hAnsi="Times New Roman"/>
          <w:highlight w:val="yellow"/>
        </w:rPr>
        <w:t xml:space="preserve"> </w:t>
      </w:r>
      <w:r>
        <w:rPr>
          <w:rFonts w:ascii="Times New Roman" w:hAnsi="Times New Roman"/>
        </w:rPr>
        <w:t>vitro protein digestibility, while also favo</w:t>
      </w:r>
      <w:r>
        <w:rPr>
          <w:rFonts w:ascii="Times New Roman" w:hAnsi="Times New Roman"/>
          <w:highlight w:val="yellow"/>
        </w:rPr>
        <w:t>u</w:t>
      </w:r>
      <w:r>
        <w:rPr>
          <w:rFonts w:ascii="Times New Roman" w:hAnsi="Times New Roman"/>
        </w:rPr>
        <w:t>rably influencing the free amino acid profile. These changes suggest improved accessibility and utili</w:t>
      </w:r>
      <w:r>
        <w:rPr>
          <w:rFonts w:ascii="Times New Roman" w:hAnsi="Times New Roman"/>
          <w:highlight w:val="yellow"/>
        </w:rPr>
        <w:t>s</w:t>
      </w:r>
      <w:r>
        <w:rPr>
          <w:rFonts w:ascii="Times New Roman" w:hAnsi="Times New Roman"/>
        </w:rPr>
        <w:t xml:space="preserve">ation of nutrients during digestion. Boiling was particularly effective in reducing tannins and cyanogenic glycosides, thereby improving the safety of the biomass for potential livestock consumption. The absence of detectable oxalate in the processed samples, together with its relatively low level in the control, further indicates that oxalate was not a major anti-nutritional limitation in the water hyacinth investigated. The progressive increase in protein digestibility following </w:t>
      </w:r>
      <w:r>
        <w:rPr>
          <w:rFonts w:ascii="Times New Roman" w:hAnsi="Times New Roman"/>
        </w:rPr>
        <w:lastRenderedPageBreak/>
        <w:t xml:space="preserve">sequential pepsin-pancreatin digestion across the processed samples further demonstrates that processing enhanced the susceptibility of water hyacinth protein to enzymatic hydrolysis. Collectively, these findings indicate that the improvement in feed value of </w:t>
      </w:r>
      <w:r>
        <w:rPr>
          <w:rStyle w:val="Emphasis"/>
          <w:rFonts w:eastAsiaTheme="majorEastAsia"/>
          <w:highlight w:val="yellow"/>
        </w:rPr>
        <w:t>Eichhornia crassipes</w:t>
      </w:r>
      <w:r>
        <w:rPr>
          <w:rFonts w:ascii="Times New Roman" w:hAnsi="Times New Roman"/>
        </w:rPr>
        <w:t xml:space="preserve"> is multidimensional and should be assessed based on nutrient retention, amino acid availability, fibre reduction, reduction of anti-nutritional factors, and protein digestibility rather than on a single nutritional parameter. </w:t>
      </w:r>
      <w:r>
        <w:rPr>
          <w:rStyle w:val="Strong"/>
          <w:rFonts w:eastAsiaTheme="majorEastAsia"/>
          <w:b w:val="0"/>
        </w:rPr>
        <w:t>Oven drying is therefore recommended where preservation of protein and nitrogen is the primary objective, fermentation where improvement of fibre characteristics, phytate reduction, free amino acid availability and protein digestibility is desired, while boiling is more appropriate where reduction of tannins and cyanogenic glycosides is the major objective. Thus, this study provides evidence that processing can improve the nutritional quality, digestibility and safety of water hyacinth, thereby enhancing its potential utili</w:t>
      </w:r>
      <w:r>
        <w:rPr>
          <w:rStyle w:val="Strong"/>
          <w:rFonts w:eastAsiaTheme="majorEastAsia"/>
          <w:b w:val="0"/>
          <w:highlight w:val="yellow"/>
        </w:rPr>
        <w:t>s</w:t>
      </w:r>
      <w:r>
        <w:rPr>
          <w:rStyle w:val="Strong"/>
          <w:rFonts w:eastAsiaTheme="majorEastAsia"/>
          <w:b w:val="0"/>
        </w:rPr>
        <w:t>ation as an alternative feed resource for livestock.</w:t>
      </w:r>
    </w:p>
    <w:p w14:paraId="04DE07A2" w14:textId="77777777" w:rsidR="00790ADA" w:rsidRPr="00FB3A86" w:rsidRDefault="00B01FCD" w:rsidP="00441B6F">
      <w:pPr>
        <w:pStyle w:val="ConcHead"/>
        <w:spacing w:after="0"/>
        <w:jc w:val="both"/>
        <w:rPr>
          <w:rFonts w:ascii="Arial" w:hAnsi="Arial" w:cs="Arial"/>
        </w:rPr>
      </w:pPr>
      <w:r w:rsidRPr="00FB3A86">
        <w:rPr>
          <w:rFonts w:ascii="Arial" w:hAnsi="Arial" w:cs="Arial"/>
        </w:rPr>
        <w:t>Conclusion</w:t>
      </w:r>
    </w:p>
    <w:p w14:paraId="1D0C2E20" w14:textId="77777777" w:rsidR="00CB529A" w:rsidRDefault="00CB529A" w:rsidP="00640A0E">
      <w:pPr>
        <w:keepNext/>
        <w:spacing w:before="100" w:beforeAutospacing="1"/>
        <w:jc w:val="both"/>
      </w:pPr>
      <w:r w:rsidRPr="00CB529A">
        <w:rPr>
          <w:highlight w:val="yellow"/>
        </w:rPr>
        <w:t xml:space="preserve">This study demonstrates that boiling, oven drying and fermentation produced distinct effects on the feed-value characteristics of </w:t>
      </w:r>
      <w:r w:rsidRPr="00CB529A">
        <w:rPr>
          <w:rStyle w:val="Emphasis"/>
          <w:highlight w:val="yellow"/>
        </w:rPr>
        <w:t>Eichhornia crassipes</w:t>
      </w:r>
      <w:r w:rsidRPr="00CB529A">
        <w:rPr>
          <w:highlight w:val="yellow"/>
        </w:rPr>
        <w:t xml:space="preserve">. Oven drying retained the highest protein and nitrogen contents among the processed samples, indicating that it was the most suitable treatment when preservation of these components was the principal objective. Fermentation gave the lowest crude </w:t>
      </w:r>
      <w:proofErr w:type="spellStart"/>
      <w:r w:rsidRPr="00CB529A">
        <w:rPr>
          <w:highlight w:val="yellow"/>
        </w:rPr>
        <w:t>fibre</w:t>
      </w:r>
      <w:proofErr w:type="spellEnd"/>
      <w:r w:rsidRPr="00CB529A">
        <w:rPr>
          <w:highlight w:val="yellow"/>
        </w:rPr>
        <w:t xml:space="preserve">, neutral detergent </w:t>
      </w:r>
      <w:proofErr w:type="spellStart"/>
      <w:r w:rsidRPr="00CB529A">
        <w:rPr>
          <w:highlight w:val="yellow"/>
        </w:rPr>
        <w:t>fibre</w:t>
      </w:r>
      <w:proofErr w:type="spellEnd"/>
      <w:r w:rsidRPr="00CB529A">
        <w:rPr>
          <w:highlight w:val="yellow"/>
        </w:rPr>
        <w:t xml:space="preserve"> and acid detergent </w:t>
      </w:r>
      <w:proofErr w:type="spellStart"/>
      <w:r w:rsidRPr="00CB529A">
        <w:rPr>
          <w:highlight w:val="yellow"/>
        </w:rPr>
        <w:t>fibre</w:t>
      </w:r>
      <w:proofErr w:type="spellEnd"/>
      <w:r w:rsidRPr="00CB529A">
        <w:rPr>
          <w:highlight w:val="yellow"/>
        </w:rPr>
        <w:t xml:space="preserve"> values, achieved the greatest phytate reduction, retained the highest free amino acid concentration among processed samples, and produced the highest sequential pepsin–pancreatin protein digestibility. Boiling was most effective in reducing tannins and cyanogenic glycosides, while oxalate was not detected after processing. The negative associations observed between selected anti-nutritional factors and final protein digestion were consistent with improved protein accessibility as these factors declined. No single processing method was optimal for all measured parameters. Consequently, selection of a processing method should depend on the intended nutritional objective, with assessment based on nutrient retention, </w:t>
      </w:r>
      <w:proofErr w:type="spellStart"/>
      <w:r w:rsidRPr="00CB529A">
        <w:rPr>
          <w:highlight w:val="yellow"/>
        </w:rPr>
        <w:t>fibre</w:t>
      </w:r>
      <w:proofErr w:type="spellEnd"/>
      <w:r w:rsidRPr="00CB529A">
        <w:rPr>
          <w:highlight w:val="yellow"/>
        </w:rPr>
        <w:t xml:space="preserve"> modification, anti-nutritional factor reduction and protein digestibility together rather than on a single measure.</w:t>
      </w:r>
    </w:p>
    <w:p w14:paraId="2B864D2F" w14:textId="477EBB05" w:rsidR="00CB529A" w:rsidRPr="00CB529A" w:rsidRDefault="00CB529A" w:rsidP="00640A0E">
      <w:pPr>
        <w:keepNext/>
        <w:spacing w:before="100" w:beforeAutospacing="1"/>
        <w:jc w:val="both"/>
        <w:rPr>
          <w:b/>
          <w:bCs/>
        </w:rPr>
      </w:pPr>
      <w:r w:rsidRPr="00CB529A">
        <w:rPr>
          <w:b/>
          <w:bCs/>
        </w:rPr>
        <w:t>Limitations</w:t>
      </w:r>
    </w:p>
    <w:p w14:paraId="66228CA5" w14:textId="77777777" w:rsidR="00CB529A" w:rsidRDefault="00CB529A" w:rsidP="00CB529A">
      <w:pPr>
        <w:pStyle w:val="pdq2pgselectionanchorcontainer"/>
        <w:jc w:val="both"/>
      </w:pPr>
      <w:r>
        <w:t xml:space="preserve">The study compared three processing methods and evaluated feed value through compositional analyses, selected anti-nutritional factors and sequential in vitro protein digestion. The findings therefore describe comparative responses under the tested processing conditions and measured laboratory endpoints. Because no single treatment </w:t>
      </w:r>
      <w:proofErr w:type="spellStart"/>
      <w:r>
        <w:t>optimised</w:t>
      </w:r>
      <w:proofErr w:type="spellEnd"/>
      <w:r>
        <w:t xml:space="preserve"> all measured characteristics, interpretation should remain parameter-specific. The results support evaluation of processed </w:t>
      </w:r>
      <w:r>
        <w:rPr>
          <w:rStyle w:val="Emphasis"/>
        </w:rPr>
        <w:t>Eichhornia crassipes</w:t>
      </w:r>
      <w:r>
        <w:t xml:space="preserve"> as a feed resource but do not by themselves establish animal performance outcomes.</w:t>
      </w:r>
    </w:p>
    <w:p w14:paraId="2B8784C4" w14:textId="77777777" w:rsidR="00CB529A" w:rsidRDefault="00CB529A" w:rsidP="00640A0E">
      <w:pPr>
        <w:keepNext/>
        <w:spacing w:before="100" w:beforeAutospacing="1"/>
        <w:jc w:val="both"/>
      </w:pPr>
    </w:p>
    <w:p w14:paraId="6DCEDA68" w14:textId="77524DF9" w:rsidR="00640A0E" w:rsidRPr="00640A0E" w:rsidRDefault="00640A0E" w:rsidP="00640A0E">
      <w:pPr>
        <w:keepNext/>
        <w:spacing w:before="100" w:beforeAutospacing="1"/>
        <w:jc w:val="both"/>
        <w:rPr>
          <w:rFonts w:ascii="Arial" w:hAnsi="Arial" w:cs="Arial"/>
          <w:b/>
          <w:bCs/>
          <w:caps/>
          <w:sz w:val="22"/>
          <w:szCs w:val="22"/>
        </w:rPr>
      </w:pPr>
      <w:r w:rsidRPr="00640A0E">
        <w:rPr>
          <w:rFonts w:ascii="Arial" w:hAnsi="Arial" w:cs="Arial"/>
          <w:b/>
          <w:bCs/>
          <w:caps/>
          <w:sz w:val="22"/>
          <w:szCs w:val="22"/>
        </w:rPr>
        <w:t>Competing interests</w:t>
      </w:r>
    </w:p>
    <w:p w14:paraId="339DB1CE" w14:textId="77777777" w:rsidR="00640A0E" w:rsidRDefault="00640A0E" w:rsidP="00640A0E">
      <w:pPr>
        <w:keepNext/>
        <w:spacing w:before="100" w:beforeAutospacing="1"/>
        <w:jc w:val="both"/>
        <w:rPr>
          <w:rFonts w:ascii="Arial" w:hAnsi="Arial" w:cs="Arial"/>
        </w:rPr>
      </w:pPr>
      <w:r w:rsidRPr="00640A0E">
        <w:rPr>
          <w:rFonts w:ascii="Arial" w:hAnsi="Arial" w:cs="Arial"/>
        </w:rPr>
        <w:t>The authors have declared that no competing interests exist.</w:t>
      </w:r>
    </w:p>
    <w:p w14:paraId="43BB0693" w14:textId="77777777" w:rsidR="00D41DB1" w:rsidRDefault="00D41DB1" w:rsidP="00D41DB1">
      <w:pPr>
        <w:rPr>
          <w:rFonts w:ascii="Times New Roman" w:hAnsi="Times New Roman"/>
          <w:b/>
        </w:rPr>
      </w:pPr>
      <w:r w:rsidRPr="000839CE">
        <w:rPr>
          <w:rFonts w:ascii="Times New Roman" w:hAnsi="Times New Roman"/>
          <w:b/>
        </w:rPr>
        <w:t>Declaration of AI Use</w:t>
      </w:r>
    </w:p>
    <w:p w14:paraId="78F80DF7" w14:textId="77777777" w:rsidR="00D41DB1" w:rsidRDefault="00D41DB1" w:rsidP="00D41DB1">
      <w:pPr>
        <w:rPr>
          <w:rFonts w:ascii="Times New Roman" w:hAnsi="Times New Roman"/>
          <w:b/>
        </w:rPr>
      </w:pPr>
    </w:p>
    <w:p w14:paraId="5F3CB164" w14:textId="77777777" w:rsidR="00D41DB1" w:rsidRDefault="00D41DB1" w:rsidP="00D41DB1">
      <w:pPr>
        <w:rPr>
          <w:rFonts w:ascii="Times New Roman" w:hAnsi="Times New Roman"/>
          <w:b/>
        </w:rPr>
      </w:pPr>
    </w:p>
    <w:p w14:paraId="366E427D" w14:textId="77777777" w:rsidR="00D41DB1" w:rsidRDefault="00D41DB1" w:rsidP="00D41DB1">
      <w:pPr>
        <w:rPr>
          <w:rFonts w:ascii="Times New Roman" w:hAnsi="Times New Roman"/>
          <w:b/>
        </w:rPr>
      </w:pPr>
    </w:p>
    <w:p w14:paraId="3EF9843C" w14:textId="77777777" w:rsidR="00D41DB1" w:rsidRPr="002D08AC" w:rsidRDefault="00D41DB1" w:rsidP="00D41DB1">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552CEF0" w14:textId="77777777" w:rsidR="00D41DB1" w:rsidRPr="00640A0E" w:rsidRDefault="00D41DB1" w:rsidP="00640A0E">
      <w:pPr>
        <w:keepNext/>
        <w:spacing w:before="100" w:beforeAutospacing="1"/>
        <w:jc w:val="both"/>
        <w:rPr>
          <w:rFonts w:ascii="Arial" w:hAnsi="Arial" w:cs="Arial"/>
        </w:rPr>
      </w:pPr>
    </w:p>
    <w:p w14:paraId="54D97832" w14:textId="77777777" w:rsidR="00640A0E" w:rsidRDefault="00640A0E" w:rsidP="00640A0E">
      <w:pPr>
        <w:pStyle w:val="ReferHead"/>
        <w:spacing w:after="0"/>
        <w:jc w:val="both"/>
        <w:rPr>
          <w:rFonts w:ascii="Arial" w:hAnsi="Arial" w:cs="Arial"/>
        </w:rPr>
      </w:pPr>
    </w:p>
    <w:p w14:paraId="35E4FA0B"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2C5956B5" w14:textId="77777777" w:rsidR="00DA2118" w:rsidRDefault="00DA2118" w:rsidP="00DA2118">
      <w:pPr>
        <w:pStyle w:val="pdq2pgselectionanchorcontainer"/>
      </w:pPr>
      <w:r>
        <w:t>Abiola-Olagunju, O., Mako, A. A., &amp; Ikusika, O. O. (2025). Biodegradation of water hyacinth (</w:t>
      </w:r>
      <w:r>
        <w:rPr>
          <w:rStyle w:val="Emphasis"/>
          <w:highlight w:val="yellow"/>
        </w:rPr>
        <w:t>Eichhornia crassipes</w:t>
      </w:r>
      <w:r>
        <w:t xml:space="preserve"> Mart. Solms-Laubach) into value-added ruminant feed using white rot fungi. </w:t>
      </w:r>
      <w:r>
        <w:rPr>
          <w:rStyle w:val="Emphasis"/>
        </w:rPr>
        <w:t>Tropical Animal Production Investigations, 27</w:t>
      </w:r>
      <w:r>
        <w:t>(1), 1–5.</w:t>
      </w:r>
    </w:p>
    <w:p w14:paraId="7A602801" w14:textId="77777777" w:rsidR="00DA2118" w:rsidRDefault="00DA2118" w:rsidP="00DA2118">
      <w:pPr>
        <w:pStyle w:val="NormalWeb"/>
      </w:pPr>
      <w:r>
        <w:t xml:space="preserve">Adejumo, I. O., Adebiyi, O. A., &amp; Hamzat, R. A. (2021). Effect of processing methods on anti-nutritional factors and nutrient composition of tropical forage plants. </w:t>
      </w:r>
      <w:r>
        <w:rPr>
          <w:rStyle w:val="Emphasis"/>
        </w:rPr>
        <w:t>Journal of Animal and Feed Research, 11</w:t>
      </w:r>
      <w:r>
        <w:t>(3), 145–152.</w:t>
      </w:r>
    </w:p>
    <w:p w14:paraId="55EBAECA" w14:textId="77777777" w:rsidR="00DA2118" w:rsidRDefault="00DA2118" w:rsidP="00DA2118">
      <w:pPr>
        <w:pStyle w:val="NormalWeb"/>
      </w:pPr>
      <w:r>
        <w:t>Agbaire, P. O. (2011). Nutritional and anti-nutritional levels of some local vegetables (</w:t>
      </w:r>
      <w:r>
        <w:rPr>
          <w:rStyle w:val="Emphasis"/>
          <w:highlight w:val="yellow"/>
        </w:rPr>
        <w:t>Vernonia amygdalina</w:t>
      </w:r>
      <w:r>
        <w:t xml:space="preserve">, </w:t>
      </w:r>
      <w:r>
        <w:rPr>
          <w:rStyle w:val="Emphasis"/>
          <w:highlight w:val="yellow"/>
        </w:rPr>
        <w:t>Manihot esculenta</w:t>
      </w:r>
      <w:r>
        <w:t xml:space="preserve">, </w:t>
      </w:r>
      <w:r>
        <w:rPr>
          <w:rStyle w:val="Emphasis"/>
          <w:highlight w:val="yellow"/>
        </w:rPr>
        <w:t>Telfairia occidentalis</w:t>
      </w:r>
      <w:r>
        <w:t xml:space="preserve">, </w:t>
      </w:r>
      <w:r>
        <w:rPr>
          <w:rStyle w:val="Emphasis"/>
          <w:highlight w:val="yellow"/>
        </w:rPr>
        <w:t>Talinum triangulare</w:t>
      </w:r>
      <w:r>
        <w:t xml:space="preserve">, </w:t>
      </w:r>
      <w:r>
        <w:rPr>
          <w:rStyle w:val="Emphasis"/>
          <w:highlight w:val="yellow"/>
        </w:rPr>
        <w:t>Amaranthus spinosus</w:t>
      </w:r>
      <w:r>
        <w:t xml:space="preserve">) from Delta State, Nigeria. </w:t>
      </w:r>
      <w:r>
        <w:rPr>
          <w:rStyle w:val="Emphasis"/>
        </w:rPr>
        <w:t>Journal of Applied Sciences and Environmental Management, 15</w:t>
      </w:r>
      <w:r>
        <w:t>(4), 625–628.</w:t>
      </w:r>
    </w:p>
    <w:p w14:paraId="4D9D621C" w14:textId="77777777" w:rsidR="00DA2118" w:rsidRDefault="00DA2118" w:rsidP="00DA2118">
      <w:pPr>
        <w:pStyle w:val="NormalWeb"/>
      </w:pPr>
      <w:r>
        <w:t>Armin, M., Mustabi, J., &amp; Asriany, A. (2021). Kandungan NDF dan ADF silase pakan komplit yang berbahan dasar eceng gondok (</w:t>
      </w:r>
      <w:r>
        <w:rPr>
          <w:rStyle w:val="Emphasis"/>
          <w:highlight w:val="yellow"/>
        </w:rPr>
        <w:t>Eichhornia crassipes</w:t>
      </w:r>
      <w:r>
        <w:t xml:space="preserve">) dengan lama fermentasi berbeda. </w:t>
      </w:r>
      <w:r>
        <w:rPr>
          <w:rStyle w:val="Emphasis"/>
        </w:rPr>
        <w:t>Buletin Nutrisi dan Makanan Ternak, 15</w:t>
      </w:r>
      <w:r>
        <w:t>(1).</w:t>
      </w:r>
    </w:p>
    <w:p w14:paraId="29C9A723" w14:textId="77777777" w:rsidR="00DA2118" w:rsidRDefault="00DA2118" w:rsidP="00DA2118">
      <w:pPr>
        <w:pStyle w:val="NormalWeb"/>
      </w:pPr>
      <w:r>
        <w:t xml:space="preserve">Association of Official Analytical Chemists. (2019). </w:t>
      </w:r>
      <w:r>
        <w:rPr>
          <w:rStyle w:val="Emphasis"/>
        </w:rPr>
        <w:t>Official methods of analysis of AOAC International</w:t>
      </w:r>
      <w:r>
        <w:t xml:space="preserve"> (21st ed.). AOAC International.</w:t>
      </w:r>
    </w:p>
    <w:p w14:paraId="381DB0D3" w14:textId="77777777" w:rsidR="00DA2118" w:rsidRPr="00CB529A" w:rsidRDefault="00DA2118" w:rsidP="00DA2118">
      <w:pPr>
        <w:pStyle w:val="NormalWeb"/>
      </w:pPr>
      <w:proofErr w:type="spellStart"/>
      <w:r>
        <w:t>Ayetigbo</w:t>
      </w:r>
      <w:proofErr w:type="spellEnd"/>
      <w:r>
        <w:t xml:space="preserve">, O., Latif, S., Abass, A., &amp; Müller, J. (2022). Effect of processing on the nutritional and anti-nutritional properties of cassava products: A review. </w:t>
      </w:r>
      <w:r>
        <w:rPr>
          <w:rStyle w:val="Emphasis"/>
        </w:rPr>
        <w:t>Journal of Food Processing and Preservation, 46</w:t>
      </w:r>
      <w:r>
        <w:t xml:space="preserve">(3), </w:t>
      </w:r>
      <w:r w:rsidRPr="00CB529A">
        <w:t>16394.</w:t>
      </w:r>
    </w:p>
    <w:p w14:paraId="66155096" w14:textId="77777777" w:rsidR="00D967AC" w:rsidRPr="00CB529A" w:rsidRDefault="00000000">
      <w:pPr>
        <w:pStyle w:val="NormalWeb"/>
      </w:pPr>
      <w:r w:rsidRPr="00CB529A">
        <w:rPr>
          <w:highlight w:val="yellow"/>
        </w:rPr>
        <w:t>Balchhaudi, A., Shrestha, A., Adhikari, A., Adhikari, S., Adhikari, A., &amp; Acharya, R. (2026). Nutrient composition and heavy metal accumulation in water hyacinth [</w:t>
      </w:r>
      <w:r w:rsidRPr="00CB529A">
        <w:rPr>
          <w:i/>
          <w:highlight w:val="yellow"/>
        </w:rPr>
        <w:t>Eichhornia crassipes</w:t>
      </w:r>
      <w:r w:rsidRPr="00CB529A">
        <w:rPr>
          <w:highlight w:val="yellow"/>
        </w:rPr>
        <w:t xml:space="preserve"> (Mart.) Solms] and water lettuce (</w:t>
      </w:r>
      <w:r w:rsidRPr="00CB529A">
        <w:rPr>
          <w:i/>
          <w:highlight w:val="yellow"/>
        </w:rPr>
        <w:t>Pistia stratiotes</w:t>
      </w:r>
      <w:r w:rsidRPr="00CB529A">
        <w:rPr>
          <w:highlight w:val="yellow"/>
        </w:rPr>
        <w:t xml:space="preserve"> L.) from the Dande River, Nepal: Implications for use as alternative feed resources. JSFA Reports, 6(9), 356–362. https://doi.org/10.1002/jsf2.70063</w:t>
      </w:r>
    </w:p>
    <w:p w14:paraId="5AC184B3" w14:textId="77777777" w:rsidR="00DA2118" w:rsidRPr="00CB529A" w:rsidRDefault="00DA2118" w:rsidP="00DA2118">
      <w:pPr>
        <w:pStyle w:val="NormalWeb"/>
      </w:pPr>
      <w:r w:rsidRPr="00CB529A">
        <w:t xml:space="preserve">Bamidele, O. P., Olatunde, S. J., &amp; Adebo, O. A. (2024). Processing technologies for improving the nutritional quality of unconventional feed resources: A review. </w:t>
      </w:r>
      <w:r w:rsidRPr="00CB529A">
        <w:rPr>
          <w:rStyle w:val="Emphasis"/>
        </w:rPr>
        <w:t>Food Production, Processing and Nutrition, 6</w:t>
      </w:r>
      <w:r w:rsidRPr="00CB529A">
        <w:t>(1), 18–30.</w:t>
      </w:r>
    </w:p>
    <w:p w14:paraId="4D0CAAAE" w14:textId="77777777" w:rsidR="00DA2118" w:rsidRPr="00CB529A" w:rsidRDefault="00DA2118" w:rsidP="00DA2118">
      <w:pPr>
        <w:pStyle w:val="NormalWeb"/>
      </w:pPr>
      <w:r w:rsidRPr="00CB529A">
        <w:t xml:space="preserve">Bechoff, A., Chijioke, U., Tomlins, K. I., Govinden, P., Ilona, P., Westby, A., &amp; Boy, E. (2021). Processing strategies for reducing cyanogenic glycosides in cassava and cassava-based products: A review. </w:t>
      </w:r>
      <w:r w:rsidRPr="00CB529A">
        <w:rPr>
          <w:rStyle w:val="Emphasis"/>
        </w:rPr>
        <w:t>Food Reviews International, 37</w:t>
      </w:r>
      <w:r w:rsidRPr="00CB529A">
        <w:t>(8), 761–782.</w:t>
      </w:r>
    </w:p>
    <w:p w14:paraId="79FCC560" w14:textId="77777777" w:rsidR="00DA2118" w:rsidRPr="00CB529A" w:rsidRDefault="00DA2118" w:rsidP="00DA2118">
      <w:pPr>
        <w:pStyle w:val="NormalWeb"/>
      </w:pPr>
      <w:r w:rsidRPr="00CB529A">
        <w:t xml:space="preserve">Ben Bakrim, W., Ezzariai, A., Karouach, F., Sobeh, M., Kibret, M., Hafidi, M., Kouisni, L., &amp; Yasri, A. (2022). </w:t>
      </w:r>
      <w:r w:rsidRPr="00CB529A">
        <w:rPr>
          <w:rStyle w:val="Emphasis"/>
          <w:highlight w:val="yellow"/>
        </w:rPr>
        <w:t>Eichhornia crassipes</w:t>
      </w:r>
      <w:r w:rsidRPr="00CB529A">
        <w:t xml:space="preserve"> (Mart.) Solms: A comprehensive review of its chemical composition, traditional use, and value-added products. </w:t>
      </w:r>
      <w:r w:rsidRPr="00CB529A">
        <w:rPr>
          <w:rStyle w:val="Emphasis"/>
        </w:rPr>
        <w:t>Frontiers in Pharmacology, 13</w:t>
      </w:r>
      <w:r w:rsidRPr="00CB529A">
        <w:t>, 842511.</w:t>
      </w:r>
      <w:r w:rsidRPr="00CB529A">
        <w:rPr>
          <w:highlight w:val="yellow"/>
        </w:rPr>
        <w:t xml:space="preserve"> https://doi.org/10.3389/fphar.2022.842511</w:t>
      </w:r>
    </w:p>
    <w:p w14:paraId="712CF0DA" w14:textId="77777777" w:rsidR="00D967AC" w:rsidRPr="00CB529A" w:rsidRDefault="00000000">
      <w:pPr>
        <w:pStyle w:val="NormalWeb"/>
      </w:pPr>
      <w:r w:rsidRPr="00CB529A">
        <w:rPr>
          <w:highlight w:val="yellow"/>
        </w:rPr>
        <w:t>Bohare, H., Mahajan, S., Dubey, S., Singh, R. P., Shakya, P., Rai, S., &amp; Garg, A. (2024). Effects of water hyacinth (</w:t>
      </w:r>
      <w:r w:rsidRPr="00CB529A">
        <w:rPr>
          <w:i/>
          <w:highlight w:val="yellow"/>
        </w:rPr>
        <w:t>Eichhornia crassipes</w:t>
      </w:r>
      <w:r w:rsidRPr="00CB529A">
        <w:rPr>
          <w:highlight w:val="yellow"/>
        </w:rPr>
        <w:t>) leaf meal supplementation on growth and survivability of Pangasius catfish (</w:t>
      </w:r>
      <w:r w:rsidRPr="00CB529A">
        <w:rPr>
          <w:i/>
          <w:highlight w:val="yellow"/>
        </w:rPr>
        <w:t>Pangasianodon hypophthalmus</w:t>
      </w:r>
      <w:r w:rsidRPr="00CB529A">
        <w:rPr>
          <w:highlight w:val="yellow"/>
        </w:rPr>
        <w:t>) juvenile. Uttar Pradesh Journal of Zoology, 45(18), 228–235. https://doi.org/10.56557/upjoz/2024/v45i184441</w:t>
      </w:r>
    </w:p>
    <w:p w14:paraId="6420DA7F" w14:textId="77777777" w:rsidR="00DA2118" w:rsidRPr="00CB529A" w:rsidRDefault="00DA2118" w:rsidP="00DA2118">
      <w:pPr>
        <w:pStyle w:val="NormalWeb"/>
      </w:pPr>
      <w:r w:rsidRPr="00CB529A">
        <w:lastRenderedPageBreak/>
        <w:t xml:space="preserve">Chandran, K. C., &amp; Kavitha-Chandran, C. C. (2016). Quantitative estimation of total phenolic, flavonoids, tannin, and chlorophyll content of leaves of </w:t>
      </w:r>
      <w:r w:rsidRPr="00CB529A">
        <w:rPr>
          <w:rStyle w:val="Emphasis"/>
          <w:highlight w:val="yellow"/>
        </w:rPr>
        <w:t>Strobilanthes kunthiana</w:t>
      </w:r>
      <w:r w:rsidRPr="00CB529A">
        <w:t xml:space="preserve"> (Neelakurinji). </w:t>
      </w:r>
      <w:r w:rsidRPr="00CB529A">
        <w:rPr>
          <w:rStyle w:val="Emphasis"/>
        </w:rPr>
        <w:t>Journal of Medicinal Plants Studies, 4</w:t>
      </w:r>
      <w:r w:rsidRPr="00CB529A">
        <w:t>(4), 282–286.</w:t>
      </w:r>
    </w:p>
    <w:p w14:paraId="5B6B2B5A" w14:textId="77777777" w:rsidR="00DA2118" w:rsidRPr="00CB529A" w:rsidRDefault="00DA2118" w:rsidP="00DA2118">
      <w:pPr>
        <w:pStyle w:val="NormalWeb"/>
      </w:pPr>
      <w:r w:rsidRPr="00CB529A">
        <w:t>Emshaw, Y., Getahun, A., &amp; Geremew, A. (2021). Digestibility of fermented and unfermented water hyacinth meal in the diets of juvenile Nile tilapia (</w:t>
      </w:r>
      <w:r w:rsidRPr="00CB529A">
        <w:rPr>
          <w:rStyle w:val="Emphasis"/>
          <w:highlight w:val="yellow"/>
        </w:rPr>
        <w:t>Oreochromis niloticus</w:t>
      </w:r>
      <w:r w:rsidRPr="00CB529A">
        <w:t xml:space="preserve">). </w:t>
      </w:r>
      <w:r w:rsidRPr="00CB529A">
        <w:rPr>
          <w:rStyle w:val="Emphasis"/>
        </w:rPr>
        <w:t>Zoological and Entomological Letters, 1</w:t>
      </w:r>
      <w:r w:rsidRPr="00CB529A">
        <w:t>(2), 48–55.</w:t>
      </w:r>
    </w:p>
    <w:p w14:paraId="396B0725" w14:textId="77777777" w:rsidR="00DA2118" w:rsidRPr="00CB529A" w:rsidRDefault="00DA2118" w:rsidP="00DA2118">
      <w:pPr>
        <w:pStyle w:val="NormalWeb"/>
      </w:pPr>
      <w:r w:rsidRPr="00CB529A">
        <w:t>Fanta, Y., Kechero, Y., &amp; Yemane, N. (2024). Hematological parameters of sheep and goats fed diets containing various amounts of water hyacinth (</w:t>
      </w:r>
      <w:r w:rsidRPr="00CB529A">
        <w:rPr>
          <w:rStyle w:val="Emphasis"/>
          <w:highlight w:val="yellow"/>
        </w:rPr>
        <w:t>Eichhornia crassipes</w:t>
      </w:r>
      <w:r w:rsidRPr="00CB529A">
        <w:t xml:space="preserve">). </w:t>
      </w:r>
      <w:r w:rsidRPr="00CB529A">
        <w:rPr>
          <w:rStyle w:val="Emphasis"/>
        </w:rPr>
        <w:t>Frontiers in Veterinary Science, 11</w:t>
      </w:r>
      <w:r w:rsidRPr="00CB529A">
        <w:t>, 1286563.</w:t>
      </w:r>
      <w:r w:rsidRPr="00CB529A">
        <w:rPr>
          <w:highlight w:val="yellow"/>
        </w:rPr>
        <w:t xml:space="preserve"> https://doi.org/10.3389/fvets.2024.1286563</w:t>
      </w:r>
    </w:p>
    <w:p w14:paraId="59FDDC0C" w14:textId="77777777" w:rsidR="00E83D5C" w:rsidRPr="00CB529A" w:rsidRDefault="00E83D5C" w:rsidP="00DA2118">
      <w:pPr>
        <w:pStyle w:val="NormalWeb"/>
      </w:pPr>
      <w:r w:rsidRPr="00CB529A">
        <w:t>Happy, S. N., Suharman, I., &amp; Adelina, A. (2021). Improvement of water hyacinth leaf meal (</w:t>
      </w:r>
      <w:r w:rsidRPr="00CB529A">
        <w:rPr>
          <w:rStyle w:val="Emphasis"/>
          <w:highlight w:val="yellow"/>
        </w:rPr>
        <w:t>Eichhornia crassipes</w:t>
      </w:r>
      <w:r w:rsidRPr="00CB529A">
        <w:t>) fermented with cow rumen liquor as feed ingredients for jelawat (</w:t>
      </w:r>
      <w:r w:rsidRPr="00CB529A">
        <w:rPr>
          <w:rStyle w:val="Emphasis"/>
          <w:highlight w:val="yellow"/>
        </w:rPr>
        <w:t>Leptobarbus hoeveni</w:t>
      </w:r>
      <w:r w:rsidRPr="00CB529A">
        <w:t xml:space="preserve">) seeds. </w:t>
      </w:r>
      <w:r w:rsidRPr="00CB529A">
        <w:rPr>
          <w:rStyle w:val="Emphasis"/>
        </w:rPr>
        <w:t>Jurnal Online Mahasiswa (JOM) Bidang Perikanan dan Ilmu Kelautan, 8</w:t>
      </w:r>
      <w:r w:rsidRPr="00CB529A">
        <w:t>(1), 1–16</w:t>
      </w:r>
    </w:p>
    <w:p w14:paraId="7AEFAEBE" w14:textId="77777777" w:rsidR="00DA2118" w:rsidRPr="00CB529A" w:rsidRDefault="00DA2118" w:rsidP="00DA2118">
      <w:pPr>
        <w:pStyle w:val="NormalWeb"/>
      </w:pPr>
      <w:r w:rsidRPr="00CB529A">
        <w:t>Hundal, J. S., Singh, D., Ansal, M. D., Chahal, U. S., Kaur, V. I., &amp; Sharma. (2025). Quality parameters and fermentation characteristics of ensiled water hyacinth (</w:t>
      </w:r>
      <w:r w:rsidRPr="00CB529A">
        <w:rPr>
          <w:rStyle w:val="Emphasis"/>
          <w:highlight w:val="yellow"/>
        </w:rPr>
        <w:t>Eichhornia crassipes</w:t>
      </w:r>
      <w:r w:rsidRPr="00CB529A">
        <w:t xml:space="preserve">). </w:t>
      </w:r>
      <w:r w:rsidRPr="00CB529A">
        <w:rPr>
          <w:rStyle w:val="Emphasis"/>
        </w:rPr>
        <w:t>Indian Journal of Animal Nutrition, 42</w:t>
      </w:r>
      <w:r w:rsidRPr="00CB529A">
        <w:t>(2), 213–219.</w:t>
      </w:r>
    </w:p>
    <w:p w14:paraId="580FAEED" w14:textId="77777777" w:rsidR="00DA2118" w:rsidRPr="00CB529A" w:rsidRDefault="00DA2118" w:rsidP="00DA2118">
      <w:pPr>
        <w:pStyle w:val="NormalWeb"/>
      </w:pPr>
      <w:r w:rsidRPr="00CB529A">
        <w:t xml:space="preserve">Hur, S. J., Lee, S. Y., Kim, Y. C., Choi, I., &amp; Kim, G. B. (2014). Effect of fermentation on the antioxidant activity in plant-based foods. </w:t>
      </w:r>
      <w:r w:rsidRPr="00CB529A">
        <w:rPr>
          <w:rStyle w:val="Emphasis"/>
        </w:rPr>
        <w:t>Food Chemistry, 160</w:t>
      </w:r>
      <w:r w:rsidRPr="00CB529A">
        <w:t>, 346–356.</w:t>
      </w:r>
    </w:p>
    <w:p w14:paraId="6CB69655" w14:textId="77777777" w:rsidR="00D967AC" w:rsidRPr="00CB529A" w:rsidRDefault="00000000">
      <w:pPr>
        <w:pStyle w:val="NormalWeb"/>
      </w:pPr>
      <w:r w:rsidRPr="00CB529A">
        <w:rPr>
          <w:highlight w:val="yellow"/>
        </w:rPr>
        <w:t>Kumar, L., Zuyie, R., Vidyarthi, V. K., Barman, S., Singh, R., Jakhar, R., Mina, S. K., Sanjay, &amp; Choudhary, S. K. (2026). Evaluation of dietary supplementation of water hyacinth (</w:t>
      </w:r>
      <w:r w:rsidRPr="00CB529A">
        <w:rPr>
          <w:i/>
          <w:highlight w:val="yellow"/>
        </w:rPr>
        <w:t>Eichhornia crassipes</w:t>
      </w:r>
      <w:r w:rsidRPr="00CB529A">
        <w:rPr>
          <w:highlight w:val="yellow"/>
        </w:rPr>
        <w:t>) meal on cell-mediated immunity and carcass traits in broiler chickens. Journal of Advances in Biology &amp; Biotechnology, 29(5), 1–7. https://doi.org/10.9734/jabb/2026/v29i53884</w:t>
      </w:r>
    </w:p>
    <w:p w14:paraId="33B22BB9" w14:textId="77777777" w:rsidR="00DA2118" w:rsidRPr="00CB529A" w:rsidRDefault="00DA2118" w:rsidP="00DA2118">
      <w:pPr>
        <w:pStyle w:val="NormalWeb"/>
      </w:pPr>
      <w:r w:rsidRPr="00CB529A">
        <w:t xml:space="preserve">Kumar, V., Sinha, A. K., Makkar, H. P. S., &amp; Becker, K. (2022). Processing strategies for reducing anti-nutritional factors in plant feed ingredients: A review. </w:t>
      </w:r>
      <w:r w:rsidRPr="00CB529A">
        <w:rPr>
          <w:rStyle w:val="Emphasis"/>
        </w:rPr>
        <w:t>Food Reviews International, 38</w:t>
      </w:r>
      <w:r w:rsidRPr="00CB529A">
        <w:t>(8), 1483–1506.</w:t>
      </w:r>
    </w:p>
    <w:p w14:paraId="554420F6" w14:textId="77777777" w:rsidR="00DA2118" w:rsidRPr="00CB529A" w:rsidRDefault="00DA2118" w:rsidP="00DA2118">
      <w:pPr>
        <w:pStyle w:val="NormalWeb"/>
      </w:pPr>
      <w:r w:rsidRPr="00CB529A">
        <w:t xml:space="preserve">Lei, X. G., Weaver, J. D., Mullaney, E., Ullah, A. H. J., &amp; </w:t>
      </w:r>
      <w:proofErr w:type="spellStart"/>
      <w:r w:rsidRPr="00CB529A">
        <w:t>Azain</w:t>
      </w:r>
      <w:proofErr w:type="spellEnd"/>
      <w:r w:rsidRPr="00CB529A">
        <w:t xml:space="preserve">, M. (2013). Phytase, a new life for an “old” enzyme. </w:t>
      </w:r>
      <w:r w:rsidRPr="00CB529A">
        <w:rPr>
          <w:rStyle w:val="Emphasis"/>
        </w:rPr>
        <w:t>Annual Review of Animal Biosciences, 1</w:t>
      </w:r>
      <w:r w:rsidRPr="00CB529A">
        <w:t>, 283–309.</w:t>
      </w:r>
    </w:p>
    <w:p w14:paraId="31B16585" w14:textId="77777777" w:rsidR="00DA2118" w:rsidRPr="00CB529A" w:rsidRDefault="00DA2118" w:rsidP="00DA2118">
      <w:pPr>
        <w:pStyle w:val="NormalWeb"/>
      </w:pPr>
      <w:r w:rsidRPr="00CB529A">
        <w:t xml:space="preserve">Lucas, D. T., Jose Da Cruz, F., Felix, Z., Bjorn, B., &amp; Petr, D. (2014). Straightforward rapid spectrophotometric quantification of total cyanogenic glycosides in fresh and processed cassava products. </w:t>
      </w:r>
      <w:r w:rsidRPr="00CB529A">
        <w:rPr>
          <w:rStyle w:val="Emphasis"/>
        </w:rPr>
        <w:t>Food Chemistry, 158</w:t>
      </w:r>
      <w:r w:rsidRPr="00CB529A">
        <w:t>, 20–27.</w:t>
      </w:r>
    </w:p>
    <w:p w14:paraId="7D906539" w14:textId="77777777" w:rsidR="00DA2118" w:rsidRPr="00CB529A" w:rsidRDefault="00DA2118" w:rsidP="00DA2118">
      <w:pPr>
        <w:pStyle w:val="NormalWeb"/>
      </w:pPr>
      <w:r w:rsidRPr="00CB529A">
        <w:t xml:space="preserve">Makinde, F. M., &amp; Akinoso, R. (2014). Nutrient composition and effect of processing on anti-nutritional factors of selected legumes. </w:t>
      </w:r>
      <w:r w:rsidRPr="00CB529A">
        <w:rPr>
          <w:rStyle w:val="Emphasis"/>
        </w:rPr>
        <w:t>Journal of Food Science and Technology, 51</w:t>
      </w:r>
      <w:r w:rsidRPr="00CB529A">
        <w:t>(8), 1698–1702.</w:t>
      </w:r>
    </w:p>
    <w:p w14:paraId="2788279B" w14:textId="77777777" w:rsidR="00DA2118" w:rsidRPr="00CB529A" w:rsidRDefault="00DA2118" w:rsidP="00DA2118">
      <w:pPr>
        <w:pStyle w:val="NormalWeb"/>
      </w:pPr>
      <w:r w:rsidRPr="00CB529A">
        <w:t>Mako, A. A., Akinwande, V. O., Abiola-Olagunju, O. I., Babayemi, O. J., &amp; Akinsoyinu, A. O. (2021). Variations in chemical nutrients and mineral concentrations of water hyacinth (</w:t>
      </w:r>
      <w:r w:rsidRPr="00CB529A">
        <w:rPr>
          <w:rStyle w:val="Emphasis"/>
          <w:highlight w:val="yellow"/>
        </w:rPr>
        <w:t>Eichhornia crassipes</w:t>
      </w:r>
      <w:r w:rsidRPr="00CB529A">
        <w:t xml:space="preserve">). </w:t>
      </w:r>
      <w:r w:rsidRPr="00CB529A">
        <w:rPr>
          <w:rStyle w:val="Emphasis"/>
        </w:rPr>
        <w:t>Nigerian Journal of Animal Production, 48</w:t>
      </w:r>
      <w:r w:rsidRPr="00CB529A">
        <w:t>(1), 199–205.</w:t>
      </w:r>
    </w:p>
    <w:p w14:paraId="2D642E5D" w14:textId="77777777" w:rsidR="00D967AC" w:rsidRPr="00CB529A" w:rsidRDefault="00000000">
      <w:pPr>
        <w:pStyle w:val="NormalWeb"/>
      </w:pPr>
      <w:r w:rsidRPr="00CB529A">
        <w:rPr>
          <w:highlight w:val="yellow"/>
        </w:rPr>
        <w:t xml:space="preserve">Malik, M. A., Sardar, P., Munilkumar, S., Varghese, T., Kumar, S., Gupta, G., Chandan, G. M., &amp; Bhat, N. M. (2024). Comparative evaluation of raw and fermented </w:t>
      </w:r>
      <w:r w:rsidRPr="00CB529A">
        <w:rPr>
          <w:i/>
          <w:highlight w:val="yellow"/>
        </w:rPr>
        <w:t>Eichhornia crassipes</w:t>
      </w:r>
      <w:r w:rsidRPr="00CB529A">
        <w:rPr>
          <w:highlight w:val="yellow"/>
        </w:rPr>
        <w:t xml:space="preserve"> leaf meal in the diet of </w:t>
      </w:r>
      <w:r w:rsidRPr="00CB529A">
        <w:rPr>
          <w:i/>
          <w:highlight w:val="yellow"/>
        </w:rPr>
        <w:t>Cyprinus carpio</w:t>
      </w:r>
      <w:r w:rsidRPr="00CB529A">
        <w:rPr>
          <w:highlight w:val="yellow"/>
        </w:rPr>
        <w:t xml:space="preserve"> fingerlings: Effects on growth performance, body composition and haemato-biochemical responses. Animal Feed Science and Technology, 310, 115947. https://doi.org/10.1016/j.anifeedsci.2024.115947</w:t>
      </w:r>
    </w:p>
    <w:p w14:paraId="77538371" w14:textId="77777777" w:rsidR="00DA2118" w:rsidRPr="00CB529A" w:rsidRDefault="00DA2118" w:rsidP="00DA2118">
      <w:pPr>
        <w:pStyle w:val="NormalWeb"/>
      </w:pPr>
      <w:r w:rsidRPr="00CB529A">
        <w:lastRenderedPageBreak/>
        <w:t xml:space="preserve">Marco, M. L., Heeney, D., Binda, S., Cifelli, C. J., Cotter, P. D., </w:t>
      </w:r>
      <w:proofErr w:type="spellStart"/>
      <w:r w:rsidRPr="00CB529A">
        <w:t>Foligné</w:t>
      </w:r>
      <w:proofErr w:type="spellEnd"/>
      <w:r w:rsidRPr="00CB529A">
        <w:t xml:space="preserve">, B., </w:t>
      </w:r>
      <w:proofErr w:type="spellStart"/>
      <w:r w:rsidRPr="00CB529A">
        <w:t>Gänzle</w:t>
      </w:r>
      <w:proofErr w:type="spellEnd"/>
      <w:r w:rsidRPr="00CB529A">
        <w:t xml:space="preserve">, M., Kort, R., Pasin, G., &amp; Smid, E. J. (2017). Health benefits of fermented foods: Microbiota and beyond. </w:t>
      </w:r>
      <w:r w:rsidRPr="00CB529A">
        <w:rPr>
          <w:rStyle w:val="Emphasis"/>
        </w:rPr>
        <w:t>Current Opinion in Biotechnology, 44</w:t>
      </w:r>
      <w:r w:rsidRPr="00CB529A">
        <w:t>, 94–102.</w:t>
      </w:r>
    </w:p>
    <w:p w14:paraId="59E68833" w14:textId="77777777" w:rsidR="00D967AC" w:rsidRPr="00CB529A" w:rsidRDefault="00000000">
      <w:pPr>
        <w:pStyle w:val="NormalWeb"/>
      </w:pPr>
      <w:r w:rsidRPr="00CB529A">
        <w:rPr>
          <w:highlight w:val="yellow"/>
        </w:rPr>
        <w:t>Matti-Alapafuja, A. O., Ahmed, E., da Costa Goncalves Noronha, A. M., Matti-Sanni, R. O., Hanada, M., Fukuma, N., &amp; Nishida, T. (2026). Comparative evaluation of crushed almonds, peanut skins, and water hyacinth as alternative feed resources for ruminants: Fermentation responses and methane mitigation potential. Animals, 16(3), 489. https://doi.org/10.3390/ani16030489</w:t>
      </w:r>
    </w:p>
    <w:p w14:paraId="7C03F9FF" w14:textId="77777777" w:rsidR="00DA2118" w:rsidRPr="00CB529A" w:rsidRDefault="00DA2118" w:rsidP="00DA2118">
      <w:pPr>
        <w:pStyle w:val="NormalWeb"/>
      </w:pPr>
      <w:proofErr w:type="spellStart"/>
      <w:r w:rsidRPr="00CB529A">
        <w:t>Montagnac</w:t>
      </w:r>
      <w:proofErr w:type="spellEnd"/>
      <w:r w:rsidRPr="00CB529A">
        <w:t xml:space="preserve">, J. A., Davis, C. R., &amp; </w:t>
      </w:r>
      <w:proofErr w:type="spellStart"/>
      <w:r w:rsidRPr="00CB529A">
        <w:t>Tanumihardjo</w:t>
      </w:r>
      <w:proofErr w:type="spellEnd"/>
      <w:r w:rsidRPr="00CB529A">
        <w:t xml:space="preserve">, S. A. (2023). Processing effects on cyanogenic glycosides and nutritional quality of cassava: An updated review. </w:t>
      </w:r>
      <w:r w:rsidRPr="00CB529A">
        <w:rPr>
          <w:rStyle w:val="Emphasis"/>
        </w:rPr>
        <w:t>Foods, 12</w:t>
      </w:r>
      <w:r w:rsidRPr="00CB529A">
        <w:t>(9), 1764.</w:t>
      </w:r>
    </w:p>
    <w:p w14:paraId="3F9A93F0" w14:textId="77777777" w:rsidR="00DA2118" w:rsidRPr="00CB529A" w:rsidRDefault="00DA2118" w:rsidP="00DA2118">
      <w:pPr>
        <w:pStyle w:val="NormalWeb"/>
      </w:pPr>
      <w:r w:rsidRPr="00CB529A">
        <w:t xml:space="preserve">Moyo, M., Amoo, S. O., &amp; </w:t>
      </w:r>
      <w:proofErr w:type="spellStart"/>
      <w:r w:rsidRPr="00CB529A">
        <w:t>Ndhlala</w:t>
      </w:r>
      <w:proofErr w:type="spellEnd"/>
      <w:r w:rsidRPr="00CB529A">
        <w:t xml:space="preserve">, A. R. (2021). Influence of thermal processing on the nutritional quality and phytochemical composition of African leafy vegetables: A review. </w:t>
      </w:r>
      <w:r w:rsidRPr="00CB529A">
        <w:rPr>
          <w:rStyle w:val="Emphasis"/>
        </w:rPr>
        <w:t>Food Reviews International, 37</w:t>
      </w:r>
      <w:r w:rsidRPr="00CB529A">
        <w:t>(6), 593–616.</w:t>
      </w:r>
    </w:p>
    <w:p w14:paraId="282A3209" w14:textId="77777777" w:rsidR="00DA2118" w:rsidRPr="00CB529A" w:rsidRDefault="00DA2118" w:rsidP="00DA2118">
      <w:pPr>
        <w:pStyle w:val="NormalWeb"/>
      </w:pPr>
      <w:r w:rsidRPr="00CB529A">
        <w:t xml:space="preserve">Nambisan, B. (2011). Strategies for elimination of </w:t>
      </w:r>
      <w:proofErr w:type="spellStart"/>
      <w:r w:rsidRPr="00CB529A">
        <w:t>cyanogens</w:t>
      </w:r>
      <w:proofErr w:type="spellEnd"/>
      <w:r w:rsidRPr="00CB529A">
        <w:t xml:space="preserve"> from cassava for reducing toxicity and improving food safety. </w:t>
      </w:r>
      <w:r w:rsidRPr="00CB529A">
        <w:rPr>
          <w:rStyle w:val="Emphasis"/>
        </w:rPr>
        <w:t>Food and Chemical Toxicology, 49</w:t>
      </w:r>
      <w:r w:rsidRPr="00CB529A">
        <w:t>(3), 690–693.</w:t>
      </w:r>
    </w:p>
    <w:p w14:paraId="75CE408F" w14:textId="77777777" w:rsidR="00DA2118" w:rsidRPr="00CB529A" w:rsidRDefault="00DA2118" w:rsidP="00DA2118">
      <w:pPr>
        <w:pStyle w:val="NormalWeb"/>
      </w:pPr>
      <w:r w:rsidRPr="00CB529A">
        <w:t>Nandiyanto, A. B. D., Ragadhita, R., Hofifah, S. N., Al Husaeni, D. F., Al Husaeni, D. N., Fiandini</w:t>
      </w:r>
      <w:r w:rsidRPr="00CB529A">
        <w:rPr>
          <w:highlight w:val="yellow"/>
        </w:rPr>
        <w:t>, M., Luckiardi, S., Soegoto, E. S., Darmawan, A., &amp; Aziz</w:t>
      </w:r>
      <w:r w:rsidRPr="00CB529A">
        <w:t xml:space="preserve">, M. (2024). Progress in the utilization of water hyacinth as effective biomass material. </w:t>
      </w:r>
      <w:r w:rsidRPr="00CB529A">
        <w:rPr>
          <w:rStyle w:val="Emphasis"/>
        </w:rPr>
        <w:t>Environment, Development and Sustainability, 26</w:t>
      </w:r>
      <w:r w:rsidRPr="00CB529A">
        <w:t>, 24521–24568.</w:t>
      </w:r>
      <w:r w:rsidRPr="00CB529A">
        <w:rPr>
          <w:highlight w:val="yellow"/>
        </w:rPr>
        <w:t xml:space="preserve"> https://doi.org/10.1007/s10668-023-03655-6</w:t>
      </w:r>
    </w:p>
    <w:p w14:paraId="048F9E1F" w14:textId="77777777" w:rsidR="00DA2118" w:rsidRPr="00CB529A" w:rsidRDefault="00DA2118" w:rsidP="00DA2118">
      <w:pPr>
        <w:pStyle w:val="NormalWeb"/>
      </w:pPr>
      <w:r w:rsidRPr="00CB529A">
        <w:t xml:space="preserve">Nkhata, S. G., </w:t>
      </w:r>
      <w:proofErr w:type="spellStart"/>
      <w:r w:rsidRPr="00CB529A">
        <w:t>Ayua</w:t>
      </w:r>
      <w:proofErr w:type="spellEnd"/>
      <w:r w:rsidRPr="00CB529A">
        <w:t xml:space="preserve">, E., Kamau, E. H., &amp; </w:t>
      </w:r>
      <w:proofErr w:type="spellStart"/>
      <w:r w:rsidRPr="00CB529A">
        <w:t>Shingiro</w:t>
      </w:r>
      <w:proofErr w:type="spellEnd"/>
      <w:r w:rsidRPr="00CB529A">
        <w:t xml:space="preserve">, J. B. (2018). Fermentation and germination improve nutritional value of cereals and legumes through activation of endogenous enzymes. </w:t>
      </w:r>
      <w:r w:rsidRPr="00CB529A">
        <w:rPr>
          <w:rStyle w:val="Emphasis"/>
        </w:rPr>
        <w:t>Food Science &amp; Nutrition, 6</w:t>
      </w:r>
      <w:r w:rsidRPr="00CB529A">
        <w:t>(8), 2446–2458.</w:t>
      </w:r>
    </w:p>
    <w:p w14:paraId="14B1BB98" w14:textId="77777777" w:rsidR="00DA2118" w:rsidRPr="00CB529A" w:rsidRDefault="00DA2118" w:rsidP="00DA2118">
      <w:pPr>
        <w:pStyle w:val="NormalWeb"/>
      </w:pPr>
      <w:proofErr w:type="spellStart"/>
      <w:r w:rsidRPr="00CB529A">
        <w:t>Opazo</w:t>
      </w:r>
      <w:proofErr w:type="spellEnd"/>
      <w:r w:rsidRPr="00CB529A">
        <w:t xml:space="preserve">-Navarrete, M., Burgos-Díaz, C., Bravo-Reyes, C., Gajardo-Poblete, I., Chacón-Fuentes, M., Reyes, J. E., &amp; Mojica, L. (2025). Comprehensive review of plant protein digestibility: Challenges, assessment methods, and improvement strategies. </w:t>
      </w:r>
      <w:r w:rsidRPr="00CB529A">
        <w:rPr>
          <w:rStyle w:val="Emphasis"/>
        </w:rPr>
        <w:t>Applied Sciences, 15</w:t>
      </w:r>
      <w:r w:rsidRPr="00CB529A">
        <w:t xml:space="preserve">(7), 3538. </w:t>
      </w:r>
      <w:hyperlink r:id="rId14" w:history="1">
        <w:r w:rsidRPr="00CB529A">
          <w:rPr>
            <w:rStyle w:val="Hyperlink"/>
          </w:rPr>
          <w:t>https://doi.org/10.3390/app15073538</w:t>
        </w:r>
      </w:hyperlink>
    </w:p>
    <w:p w14:paraId="01766FC5" w14:textId="77777777" w:rsidR="00DA2118" w:rsidRPr="00CB529A" w:rsidRDefault="00DA2118" w:rsidP="00DA2118">
      <w:pPr>
        <w:pStyle w:val="NormalWeb"/>
      </w:pPr>
      <w:r w:rsidRPr="00CB529A">
        <w:t xml:space="preserve">Patel, S. (2012). Threats, management and envisaged utilizations of aquatic weed </w:t>
      </w:r>
      <w:r w:rsidRPr="00CB529A">
        <w:rPr>
          <w:rStyle w:val="Emphasis"/>
          <w:highlight w:val="yellow"/>
        </w:rPr>
        <w:t>Eichhornia crassipes</w:t>
      </w:r>
      <w:r w:rsidRPr="00CB529A">
        <w:t xml:space="preserve">: An overview. </w:t>
      </w:r>
      <w:r w:rsidRPr="00CB529A">
        <w:rPr>
          <w:rStyle w:val="Emphasis"/>
        </w:rPr>
        <w:t>Reviews in Environmental Science and Bio/Technology, 11</w:t>
      </w:r>
      <w:r w:rsidRPr="00CB529A">
        <w:t>(3), 249–259.</w:t>
      </w:r>
    </w:p>
    <w:p w14:paraId="37AA78DD" w14:textId="77777777" w:rsidR="00DA2118" w:rsidRPr="00CB529A" w:rsidRDefault="00DA2118" w:rsidP="00DA2118">
      <w:pPr>
        <w:pStyle w:val="NormalWeb"/>
      </w:pPr>
      <w:r w:rsidRPr="00CB529A">
        <w:t xml:space="preserve">Rajan, R. G. P., Jona, S. E., Dhinakaran, S., Dinesh, J., Deepika, R., Aruna, S., &amp; </w:t>
      </w:r>
      <w:proofErr w:type="spellStart"/>
      <w:r w:rsidRPr="00CB529A">
        <w:t>Manikandavelu</w:t>
      </w:r>
      <w:proofErr w:type="spellEnd"/>
      <w:r w:rsidRPr="00CB529A">
        <w:t xml:space="preserve">, D. (2023). Water hyacinth: A sustainable source of feed, manure and industrial products—A review. </w:t>
      </w:r>
      <w:r w:rsidRPr="00CB529A">
        <w:rPr>
          <w:rStyle w:val="Emphasis"/>
        </w:rPr>
        <w:t>Agricultural Reviews, 44</w:t>
      </w:r>
      <w:r w:rsidRPr="00CB529A">
        <w:t>(3), 389–392.</w:t>
      </w:r>
    </w:p>
    <w:p w14:paraId="21EB74C7" w14:textId="77777777" w:rsidR="00DA2118" w:rsidRPr="00CB529A" w:rsidRDefault="00DA2118" w:rsidP="00DA2118">
      <w:pPr>
        <w:pStyle w:val="NormalWeb"/>
      </w:pPr>
      <w:r w:rsidRPr="00CB529A">
        <w:t>Ralinala, K. M., Netshirovha, T. R., Nesengani, T. L., Mapholi, N. O., &amp; Chimonyo, M. (202</w:t>
      </w:r>
      <w:r w:rsidRPr="00CB529A">
        <w:rPr>
          <w:highlight w:val="yellow"/>
        </w:rPr>
        <w:t>6</w:t>
      </w:r>
      <w:r w:rsidRPr="00CB529A">
        <w:t xml:space="preserve">). A review on the potential of water hyacinth to enhance ruminant performance. </w:t>
      </w:r>
      <w:r w:rsidRPr="00CB529A">
        <w:rPr>
          <w:rStyle w:val="Emphasis"/>
        </w:rPr>
        <w:t>Animals, 16</w:t>
      </w:r>
      <w:r w:rsidRPr="00CB529A">
        <w:t>(11), 1590.</w:t>
      </w:r>
      <w:r w:rsidRPr="00CB529A">
        <w:rPr>
          <w:highlight w:val="yellow"/>
        </w:rPr>
        <w:t xml:space="preserve"> https://doi.org/10.3390/ani16111590</w:t>
      </w:r>
    </w:p>
    <w:p w14:paraId="60EBC7F7" w14:textId="77777777" w:rsidR="00DA2118" w:rsidRPr="00CB529A" w:rsidRDefault="00DA2118" w:rsidP="00DA2118">
      <w:pPr>
        <w:pStyle w:val="NormalWeb"/>
      </w:pPr>
      <w:r w:rsidRPr="00CB529A">
        <w:t xml:space="preserve">Rousta, N., &amp; Taherzadeh, M. J. (2026). Measuring phytic acid in complex and fermented food matrices: Modified protocol using enzymatic analysis. </w:t>
      </w:r>
      <w:r w:rsidRPr="00CB529A">
        <w:rPr>
          <w:rStyle w:val="Emphasis"/>
        </w:rPr>
        <w:t>JSFA Reports, 6</w:t>
      </w:r>
      <w:r w:rsidRPr="00CB529A">
        <w:t>(1), 4–13.</w:t>
      </w:r>
      <w:r w:rsidRPr="00CB529A">
        <w:rPr>
          <w:highlight w:val="yellow"/>
        </w:rPr>
        <w:t xml:space="preserve"> https://doi.org/10.1002/jsf2.70020</w:t>
      </w:r>
    </w:p>
    <w:p w14:paraId="5063281F" w14:textId="77777777" w:rsidR="00DA2118" w:rsidRPr="00CB529A" w:rsidRDefault="00DA2118" w:rsidP="00DA2118">
      <w:pPr>
        <w:pStyle w:val="NormalWeb"/>
      </w:pPr>
      <w:proofErr w:type="spellStart"/>
      <w:r w:rsidRPr="00CB529A">
        <w:t>Samtiya</w:t>
      </w:r>
      <w:proofErr w:type="spellEnd"/>
      <w:r w:rsidRPr="00CB529A">
        <w:t xml:space="preserve">, M., Aluko, R. E., Dhewa, T., &amp; Moreno-Rojas, J. M. (2020). Potential health benefits of plant food-derived bioactive components: An overview of processing effects on antinutritional factors. </w:t>
      </w:r>
      <w:r w:rsidRPr="00CB529A">
        <w:rPr>
          <w:rStyle w:val="Emphasis"/>
        </w:rPr>
        <w:t>Foods, 9</w:t>
      </w:r>
      <w:r w:rsidRPr="00CB529A">
        <w:t>(6), 741.</w:t>
      </w:r>
    </w:p>
    <w:p w14:paraId="0706FB7E" w14:textId="77777777" w:rsidR="00DA2118" w:rsidRPr="00CB529A" w:rsidRDefault="00DA2118" w:rsidP="00DA2118">
      <w:pPr>
        <w:pStyle w:val="NormalWeb"/>
      </w:pPr>
      <w:r w:rsidRPr="00CB529A">
        <w:lastRenderedPageBreak/>
        <w:t>Selim, A. S.</w:t>
      </w:r>
      <w:r w:rsidRPr="00CB529A">
        <w:rPr>
          <w:highlight w:val="yellow"/>
        </w:rPr>
        <w:t xml:space="preserve"> M.</w:t>
      </w:r>
      <w:r w:rsidRPr="00CB529A">
        <w:t>, Hasan, M.</w:t>
      </w:r>
      <w:r w:rsidRPr="00CB529A">
        <w:rPr>
          <w:highlight w:val="yellow"/>
        </w:rPr>
        <w:t xml:space="preserve"> N.</w:t>
      </w:r>
      <w:r w:rsidRPr="00CB529A">
        <w:t xml:space="preserve">, </w:t>
      </w:r>
      <w:r w:rsidRPr="00CB529A">
        <w:rPr>
          <w:highlight w:val="yellow"/>
        </w:rPr>
        <w:t>R</w:t>
      </w:r>
      <w:r w:rsidRPr="00CB529A">
        <w:t>a</w:t>
      </w:r>
      <w:r w:rsidRPr="00CB529A">
        <w:rPr>
          <w:highlight w:val="yellow"/>
        </w:rPr>
        <w:t>h</w:t>
      </w:r>
      <w:r w:rsidRPr="00CB529A">
        <w:t>m</w:t>
      </w:r>
      <w:r w:rsidRPr="00CB529A">
        <w:rPr>
          <w:highlight w:val="yellow"/>
        </w:rPr>
        <w:t>an, M. A., Rahman, M. M., Is</w:t>
      </w:r>
      <w:r w:rsidRPr="00CB529A">
        <w:t>l</w:t>
      </w:r>
      <w:r w:rsidRPr="00CB529A">
        <w:rPr>
          <w:highlight w:val="yellow"/>
        </w:rPr>
        <w:t>am</w:t>
      </w:r>
      <w:r w:rsidRPr="00CB529A">
        <w:t>,</w:t>
      </w:r>
      <w:r w:rsidRPr="00CB529A">
        <w:rPr>
          <w:highlight w:val="yellow"/>
        </w:rPr>
        <w:t xml:space="preserve"> M.</w:t>
      </w:r>
      <w:r w:rsidRPr="00CB529A">
        <w:t xml:space="preserve"> R., </w:t>
      </w:r>
      <w:r w:rsidRPr="00CB529A">
        <w:rPr>
          <w:highlight w:val="yellow"/>
        </w:rPr>
        <w:t>Bostami,</w:t>
      </w:r>
      <w:r w:rsidRPr="00CB529A">
        <w:t xml:space="preserve"> A</w:t>
      </w:r>
      <w:r w:rsidRPr="00CB529A">
        <w:rPr>
          <w:highlight w:val="yellow"/>
        </w:rPr>
        <w:t>. B. M.</w:t>
      </w:r>
      <w:r w:rsidRPr="00CB529A">
        <w:t xml:space="preserve"> R.</w:t>
      </w:r>
      <w:r w:rsidRPr="00CB529A">
        <w:rPr>
          <w:highlight w:val="yellow"/>
        </w:rPr>
        <w:t>,</w:t>
      </w:r>
      <w:r w:rsidRPr="00CB529A">
        <w:t xml:space="preserve"> </w:t>
      </w:r>
      <w:r w:rsidRPr="00CB529A">
        <w:rPr>
          <w:highlight w:val="yellow"/>
        </w:rPr>
        <w:t>Islam, S., &amp; Tedeschi, L. O</w:t>
      </w:r>
      <w:r w:rsidRPr="00CB529A">
        <w:t xml:space="preserve">. (2022). Nutrient content and in vitro degradation study of some unconventional feed resources of Bangladesh. </w:t>
      </w:r>
      <w:r w:rsidRPr="00CB529A">
        <w:rPr>
          <w:rStyle w:val="Emphasis"/>
        </w:rPr>
        <w:t>Heliyon, 8</w:t>
      </w:r>
      <w:r w:rsidRPr="00CB529A">
        <w:t xml:space="preserve">(5), </w:t>
      </w:r>
      <w:r w:rsidRPr="00CB529A">
        <w:rPr>
          <w:highlight w:val="yellow"/>
        </w:rPr>
        <w:t>e</w:t>
      </w:r>
      <w:r w:rsidRPr="00CB529A">
        <w:t>09496.</w:t>
      </w:r>
      <w:r w:rsidRPr="00CB529A">
        <w:rPr>
          <w:highlight w:val="yellow"/>
        </w:rPr>
        <w:t xml:space="preserve"> https://doi.org/10.1016/j.heliyon.2022.e09496</w:t>
      </w:r>
    </w:p>
    <w:p w14:paraId="31EAB62A" w14:textId="77777777" w:rsidR="00DA2118" w:rsidRPr="00CB529A" w:rsidRDefault="00DA2118" w:rsidP="00DA2118">
      <w:pPr>
        <w:pStyle w:val="NormalWeb"/>
      </w:pPr>
      <w:r w:rsidRPr="00CB529A">
        <w:t xml:space="preserve">Song, Y. S., Kim, H., &amp; Kim, B. G. (2024). Estimation of dry matter and crude protein residues originating from exogenous digestive enzymes based on the amounts of pepsin and pancreatin used in 2-step in vitro digestibility procedures for non-ruminants. </w:t>
      </w:r>
      <w:r w:rsidRPr="00CB529A">
        <w:rPr>
          <w:rStyle w:val="Emphasis"/>
        </w:rPr>
        <w:t>Animal Feed Science and Technology, 309</w:t>
      </w:r>
      <w:r w:rsidRPr="00CB529A">
        <w:t>, 115895.</w:t>
      </w:r>
      <w:r w:rsidRPr="00CB529A">
        <w:rPr>
          <w:highlight w:val="yellow"/>
        </w:rPr>
        <w:t xml:space="preserve"> https://doi.org/10.1016/j.anifeedsci.2024.115895</w:t>
      </w:r>
    </w:p>
    <w:p w14:paraId="145B353D" w14:textId="77777777" w:rsidR="00DA2118" w:rsidRPr="00CB529A" w:rsidRDefault="00DA2118" w:rsidP="00DA2118">
      <w:pPr>
        <w:pStyle w:val="NormalWeb"/>
      </w:pPr>
      <w:r w:rsidRPr="00CB529A">
        <w:t xml:space="preserve">Stauß, A. C., Fuchs, C., Jansen, P., Repert, S., Alcock, K., Ludewig, S., &amp; Rozhon, W. (2024). The ninhydrin reaction revisited: Optimisation and application for quantification of free amino acids. </w:t>
      </w:r>
      <w:r w:rsidRPr="00CB529A">
        <w:rPr>
          <w:rStyle w:val="Emphasis"/>
        </w:rPr>
        <w:t>Molecules, 29</w:t>
      </w:r>
      <w:r w:rsidRPr="00CB529A">
        <w:t>(14), 3262.</w:t>
      </w:r>
      <w:r w:rsidRPr="00CB529A">
        <w:rPr>
          <w:highlight w:val="yellow"/>
        </w:rPr>
        <w:t xml:space="preserve"> https://doi.org/10.3390/molecules29143262</w:t>
      </w:r>
    </w:p>
    <w:p w14:paraId="0A161FAF" w14:textId="77777777" w:rsidR="00DA2118" w:rsidRPr="00CB529A" w:rsidRDefault="00DA2118" w:rsidP="00DA2118">
      <w:pPr>
        <w:pStyle w:val="NormalWeb"/>
      </w:pPr>
      <w:r w:rsidRPr="00CB529A">
        <w:t xml:space="preserve">Van Soest, P. J., Robertson, J. B., &amp; Lewis, B. A. (1991). Methods for dietary fiber, neutral detergent fiber, and </w:t>
      </w:r>
      <w:proofErr w:type="spellStart"/>
      <w:r w:rsidRPr="00CB529A">
        <w:t>nonstarch</w:t>
      </w:r>
      <w:proofErr w:type="spellEnd"/>
      <w:r w:rsidRPr="00CB529A">
        <w:t xml:space="preserve"> polysaccharides in relation to animal nutrition. </w:t>
      </w:r>
      <w:r w:rsidRPr="00CB529A">
        <w:rPr>
          <w:rStyle w:val="Emphasis"/>
        </w:rPr>
        <w:t>Journal of Dairy Science, 74</w:t>
      </w:r>
      <w:r w:rsidRPr="00CB529A">
        <w:t>(10), 3583–3597.</w:t>
      </w:r>
    </w:p>
    <w:p w14:paraId="0DCA2ABC" w14:textId="77777777" w:rsidR="00DA2118" w:rsidRPr="00CB529A" w:rsidRDefault="00DA2118" w:rsidP="00DA2118">
      <w:pPr>
        <w:pStyle w:val="NormalWeb"/>
      </w:pPr>
      <w:r w:rsidRPr="00CB529A">
        <w:t>Yan, S. H., Song, W., &amp; Guo, J. Y. (2017). Advances in management and utilization of invasive water hyacinth (</w:t>
      </w:r>
      <w:r w:rsidRPr="00CB529A">
        <w:rPr>
          <w:rStyle w:val="Emphasis"/>
          <w:highlight w:val="yellow"/>
        </w:rPr>
        <w:t>Eichhornia crassipes</w:t>
      </w:r>
      <w:r w:rsidRPr="00CB529A">
        <w:t xml:space="preserve">) in aquatic ecosystems: A review. </w:t>
      </w:r>
      <w:r w:rsidRPr="00CB529A">
        <w:rPr>
          <w:rStyle w:val="Emphasis"/>
        </w:rPr>
        <w:t>Critical Reviews in Biotechnology, 37</w:t>
      </w:r>
      <w:r w:rsidRPr="00CB529A">
        <w:t>(2), 218–228.</w:t>
      </w:r>
    </w:p>
    <w:p w14:paraId="1FD61D94" w14:textId="77777777" w:rsidR="00B01FCD" w:rsidRPr="00CB529A" w:rsidRDefault="00B01FCD" w:rsidP="00441B6F">
      <w:pPr>
        <w:pStyle w:val="Reference"/>
        <w:numPr>
          <w:ilvl w:val="0"/>
          <w:numId w:val="0"/>
        </w:numPr>
        <w:spacing w:line="240" w:lineRule="auto"/>
        <w:rPr>
          <w:rFonts w:ascii="Arial" w:hAnsi="Arial" w:cs="Arial"/>
        </w:rPr>
      </w:pPr>
    </w:p>
    <w:p w14:paraId="743981D7" w14:textId="77777777" w:rsidR="00B01FCD" w:rsidRPr="00CB529A" w:rsidRDefault="00B01FCD" w:rsidP="00441B6F">
      <w:pPr>
        <w:pStyle w:val="Appendix"/>
        <w:spacing w:after="0"/>
        <w:jc w:val="both"/>
        <w:rPr>
          <w:rFonts w:ascii="Arial" w:hAnsi="Arial" w:cs="Arial"/>
          <w:b w:val="0"/>
        </w:rPr>
      </w:pPr>
    </w:p>
    <w:sectPr w:rsidR="00B01FCD" w:rsidRPr="00CB529A" w:rsidSect="00861410">
      <w:headerReference w:type="even" r:id="rId15"/>
      <w:headerReference w:type="default" r:id="rId16"/>
      <w:footerReference w:type="default" r:id="rId17"/>
      <w:headerReference w:type="first" r:id="rId1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CA376" w14:textId="77777777" w:rsidR="00931F6A" w:rsidRDefault="00931F6A" w:rsidP="00C37E61">
      <w:r>
        <w:separator/>
      </w:r>
    </w:p>
  </w:endnote>
  <w:endnote w:type="continuationSeparator" w:id="0">
    <w:p w14:paraId="26D5300C" w14:textId="77777777" w:rsidR="00931F6A" w:rsidRDefault="00931F6A"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900CB" w14:textId="77777777" w:rsidR="00A34D14" w:rsidRDefault="00A34D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AC4BC" w14:textId="77777777" w:rsidR="00A34D14" w:rsidRDefault="00A34D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6D6BF" w14:textId="77777777" w:rsidR="00FA32DE" w:rsidRPr="00A34D14" w:rsidRDefault="00FA32DE" w:rsidP="00A34D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6BA4" w14:textId="77777777" w:rsidR="00FA32DE" w:rsidRPr="00C37E61" w:rsidRDefault="00FA32DE"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7228E" w14:textId="77777777" w:rsidR="00931F6A" w:rsidRDefault="00931F6A" w:rsidP="00C37E61">
      <w:r>
        <w:separator/>
      </w:r>
    </w:p>
  </w:footnote>
  <w:footnote w:type="continuationSeparator" w:id="0">
    <w:p w14:paraId="09E1DD92" w14:textId="77777777" w:rsidR="00931F6A" w:rsidRDefault="00931F6A"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65E9" w14:textId="77777777" w:rsidR="00A34D14" w:rsidRDefault="00000000">
    <w:pPr>
      <w:pStyle w:val="Header"/>
    </w:pPr>
    <w:r>
      <w:rPr>
        <w:noProof/>
      </w:rPr>
      <w:pict w14:anchorId="662C40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CFD56" w14:textId="77777777" w:rsidR="00A34D14" w:rsidRDefault="00000000">
    <w:pPr>
      <w:pStyle w:val="Header"/>
    </w:pPr>
    <w:r>
      <w:rPr>
        <w:noProof/>
      </w:rPr>
      <w:pict w14:anchorId="33D376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5E990" w14:textId="77777777" w:rsidR="00FA32DE" w:rsidRPr="00296529" w:rsidRDefault="00000000" w:rsidP="00296529">
    <w:pPr>
      <w:ind w:left="2160"/>
      <w:jc w:val="center"/>
      <w:rPr>
        <w:rFonts w:ascii="Times New Roman" w:eastAsia="Calibri" w:hAnsi="Times New Roman"/>
        <w:i/>
        <w:sz w:val="18"/>
        <w:szCs w:val="22"/>
      </w:rPr>
    </w:pPr>
    <w:r>
      <w:rPr>
        <w:noProof/>
      </w:rPr>
      <w:pict w14:anchorId="3C7FE3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C8DE91E" w14:textId="77777777" w:rsidR="00FA32DE" w:rsidRPr="00296529" w:rsidRDefault="00FA32DE"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B34F964" w14:textId="77777777" w:rsidR="00FA32DE" w:rsidRPr="00296529" w:rsidRDefault="00FA32DE"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A5054D6" w14:textId="77777777" w:rsidR="00FA32DE" w:rsidRPr="00296529" w:rsidRDefault="00FA32DE"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6D3519D" w14:textId="77777777" w:rsidR="00FA32DE" w:rsidRDefault="00FA32DE"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3EEAC88" w14:textId="77777777" w:rsidR="00FA32DE" w:rsidRDefault="00FA32DE"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65DB599" w14:textId="77777777" w:rsidR="00FA32DE" w:rsidRDefault="00FA32DE">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EC004" w14:textId="77777777" w:rsidR="00A34D14" w:rsidRDefault="00000000">
    <w:pPr>
      <w:pStyle w:val="Header"/>
    </w:pPr>
    <w:r>
      <w:rPr>
        <w:noProof/>
      </w:rPr>
      <w:pict w14:anchorId="3A9E72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4"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468027E">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F99FF" w14:textId="77777777" w:rsidR="00A34D14" w:rsidRDefault="00000000">
    <w:pPr>
      <w:pStyle w:val="Header"/>
    </w:pPr>
    <w:r>
      <w:rPr>
        <w:noProof/>
      </w:rPr>
      <w:pict w14:anchorId="2A5F26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5"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72263D0">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4E44" w14:textId="77777777" w:rsidR="00A34D14" w:rsidRPr="00296529" w:rsidRDefault="00000000" w:rsidP="00296529">
    <w:pPr>
      <w:ind w:left="2160"/>
      <w:jc w:val="center"/>
      <w:rPr>
        <w:rFonts w:ascii="Times New Roman" w:eastAsia="Calibri" w:hAnsi="Times New Roman"/>
        <w:i/>
        <w:sz w:val="18"/>
        <w:szCs w:val="22"/>
      </w:rPr>
    </w:pPr>
    <w:r>
      <w:rPr>
        <w:noProof/>
      </w:rPr>
      <w:pict w14:anchorId="61AEB9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3"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83B620C">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1D179A4" w14:textId="77777777" w:rsidR="00A34D14" w:rsidRPr="00296529" w:rsidRDefault="00A34D1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C347AFF" w14:textId="77777777" w:rsidR="00A34D14" w:rsidRPr="00296529" w:rsidRDefault="00A34D1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45F4A33" w14:textId="77777777" w:rsidR="00A34D14" w:rsidRPr="00296529" w:rsidRDefault="00A34D1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6AE5DE4" w14:textId="77777777" w:rsidR="00A34D14" w:rsidRDefault="00A34D1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A54EC16" w14:textId="77777777" w:rsidR="00A34D14" w:rsidRDefault="00A34D1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6F1F64A" w14:textId="77777777" w:rsidR="00A34D14" w:rsidRDefault="00A34D14">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82111694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30044453">
    <w:abstractNumId w:val="15"/>
  </w:num>
  <w:num w:numId="3" w16cid:durableId="1477184970">
    <w:abstractNumId w:val="23"/>
  </w:num>
  <w:num w:numId="4" w16cid:durableId="163108496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619804889">
    <w:abstractNumId w:val="7"/>
  </w:num>
  <w:num w:numId="6" w16cid:durableId="527185227">
    <w:abstractNumId w:val="6"/>
  </w:num>
  <w:num w:numId="7" w16cid:durableId="1818259886">
    <w:abstractNumId w:val="1"/>
  </w:num>
  <w:num w:numId="8" w16cid:durableId="1430156867">
    <w:abstractNumId w:val="12"/>
  </w:num>
  <w:num w:numId="9" w16cid:durableId="433745403">
    <w:abstractNumId w:val="25"/>
  </w:num>
  <w:num w:numId="10" w16cid:durableId="1412313795">
    <w:abstractNumId w:val="2"/>
  </w:num>
  <w:num w:numId="11" w16cid:durableId="1244610068">
    <w:abstractNumId w:val="18"/>
  </w:num>
  <w:num w:numId="12" w16cid:durableId="555892500">
    <w:abstractNumId w:val="3"/>
  </w:num>
  <w:num w:numId="13" w16cid:durableId="1006135371">
    <w:abstractNumId w:val="17"/>
  </w:num>
  <w:num w:numId="14" w16cid:durableId="374890450">
    <w:abstractNumId w:val="8"/>
  </w:num>
  <w:num w:numId="15" w16cid:durableId="928007350">
    <w:abstractNumId w:val="21"/>
  </w:num>
  <w:num w:numId="16" w16cid:durableId="1532301756">
    <w:abstractNumId w:val="5"/>
  </w:num>
  <w:num w:numId="17" w16cid:durableId="1834296135">
    <w:abstractNumId w:val="22"/>
  </w:num>
  <w:num w:numId="18" w16cid:durableId="2128044477">
    <w:abstractNumId w:val="14"/>
  </w:num>
  <w:num w:numId="19" w16cid:durableId="2087727236">
    <w:abstractNumId w:val="28"/>
  </w:num>
  <w:num w:numId="20" w16cid:durableId="1381856402">
    <w:abstractNumId w:val="11"/>
  </w:num>
  <w:num w:numId="21" w16cid:durableId="366680569">
    <w:abstractNumId w:val="9"/>
  </w:num>
  <w:num w:numId="22" w16cid:durableId="737217082">
    <w:abstractNumId w:val="13"/>
  </w:num>
  <w:num w:numId="23" w16cid:durableId="1662847624">
    <w:abstractNumId w:val="19"/>
  </w:num>
  <w:num w:numId="24" w16cid:durableId="1705136333">
    <w:abstractNumId w:val="26"/>
  </w:num>
  <w:num w:numId="25" w16cid:durableId="1130170875">
    <w:abstractNumId w:val="4"/>
  </w:num>
  <w:num w:numId="26" w16cid:durableId="1413697372">
    <w:abstractNumId w:val="16"/>
  </w:num>
  <w:num w:numId="27" w16cid:durableId="981622475">
    <w:abstractNumId w:val="20"/>
  </w:num>
  <w:num w:numId="28" w16cid:durableId="10229355">
    <w:abstractNumId w:val="27"/>
  </w:num>
  <w:num w:numId="29" w16cid:durableId="1726567310">
    <w:abstractNumId w:val="24"/>
  </w:num>
  <w:num w:numId="30" w16cid:durableId="6790840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A47FA"/>
    <w:rsid w:val="000A65D3"/>
    <w:rsid w:val="000B1E33"/>
    <w:rsid w:val="000D689F"/>
    <w:rsid w:val="000E7B7B"/>
    <w:rsid w:val="000E7D62"/>
    <w:rsid w:val="00103357"/>
    <w:rsid w:val="00123C9F"/>
    <w:rsid w:val="00126190"/>
    <w:rsid w:val="00130F17"/>
    <w:rsid w:val="001320BF"/>
    <w:rsid w:val="00163BC4"/>
    <w:rsid w:val="00191062"/>
    <w:rsid w:val="00192B72"/>
    <w:rsid w:val="00196C4F"/>
    <w:rsid w:val="001A29D8"/>
    <w:rsid w:val="001A5CAA"/>
    <w:rsid w:val="001B0427"/>
    <w:rsid w:val="001C47BA"/>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B27FB"/>
    <w:rsid w:val="002B685A"/>
    <w:rsid w:val="002B75CF"/>
    <w:rsid w:val="002C2A60"/>
    <w:rsid w:val="002C2BC7"/>
    <w:rsid w:val="002C57D2"/>
    <w:rsid w:val="002D5097"/>
    <w:rsid w:val="002E0D56"/>
    <w:rsid w:val="00315186"/>
    <w:rsid w:val="0033343E"/>
    <w:rsid w:val="0034401B"/>
    <w:rsid w:val="003512C2"/>
    <w:rsid w:val="00371FB6"/>
    <w:rsid w:val="003763C1"/>
    <w:rsid w:val="00376BBE"/>
    <w:rsid w:val="0039224F"/>
    <w:rsid w:val="003A43A4"/>
    <w:rsid w:val="003A7E18"/>
    <w:rsid w:val="003C4C86"/>
    <w:rsid w:val="003C6258"/>
    <w:rsid w:val="003E2904"/>
    <w:rsid w:val="00401927"/>
    <w:rsid w:val="0040444D"/>
    <w:rsid w:val="0041027F"/>
    <w:rsid w:val="00412475"/>
    <w:rsid w:val="00423789"/>
    <w:rsid w:val="00440F43"/>
    <w:rsid w:val="00441B6F"/>
    <w:rsid w:val="00446221"/>
    <w:rsid w:val="00450E62"/>
    <w:rsid w:val="004539DB"/>
    <w:rsid w:val="00471A80"/>
    <w:rsid w:val="004D305E"/>
    <w:rsid w:val="004D4277"/>
    <w:rsid w:val="004F1B0E"/>
    <w:rsid w:val="00502516"/>
    <w:rsid w:val="00505F06"/>
    <w:rsid w:val="00506828"/>
    <w:rsid w:val="0053056E"/>
    <w:rsid w:val="005352F6"/>
    <w:rsid w:val="00554FDA"/>
    <w:rsid w:val="005C784C"/>
    <w:rsid w:val="005D17F6"/>
    <w:rsid w:val="005E5539"/>
    <w:rsid w:val="00602BF5"/>
    <w:rsid w:val="00617FDD"/>
    <w:rsid w:val="006329DE"/>
    <w:rsid w:val="00633614"/>
    <w:rsid w:val="00633F68"/>
    <w:rsid w:val="00636EB2"/>
    <w:rsid w:val="006375B8"/>
    <w:rsid w:val="00640706"/>
    <w:rsid w:val="00640A0E"/>
    <w:rsid w:val="006578BB"/>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1AD3"/>
    <w:rsid w:val="00754C9A"/>
    <w:rsid w:val="0075599A"/>
    <w:rsid w:val="00761D52"/>
    <w:rsid w:val="0077749E"/>
    <w:rsid w:val="00790ADA"/>
    <w:rsid w:val="007D1261"/>
    <w:rsid w:val="007D2288"/>
    <w:rsid w:val="007E088F"/>
    <w:rsid w:val="007F7B32"/>
    <w:rsid w:val="00804BC2"/>
    <w:rsid w:val="0081431A"/>
    <w:rsid w:val="0083216F"/>
    <w:rsid w:val="00860000"/>
    <w:rsid w:val="00861410"/>
    <w:rsid w:val="00863BD3"/>
    <w:rsid w:val="008641ED"/>
    <w:rsid w:val="00866D66"/>
    <w:rsid w:val="008671C6"/>
    <w:rsid w:val="00875803"/>
    <w:rsid w:val="008B459E"/>
    <w:rsid w:val="008E13AE"/>
    <w:rsid w:val="008E1506"/>
    <w:rsid w:val="008E710C"/>
    <w:rsid w:val="008F69D6"/>
    <w:rsid w:val="00902823"/>
    <w:rsid w:val="00915CA6"/>
    <w:rsid w:val="00927834"/>
    <w:rsid w:val="00931F6A"/>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34D14"/>
    <w:rsid w:val="00A51431"/>
    <w:rsid w:val="00A539AD"/>
    <w:rsid w:val="00A94063"/>
    <w:rsid w:val="00AA6219"/>
    <w:rsid w:val="00AA74E0"/>
    <w:rsid w:val="00AB703F"/>
    <w:rsid w:val="00AC6BB8"/>
    <w:rsid w:val="00AE008F"/>
    <w:rsid w:val="00B01FCD"/>
    <w:rsid w:val="00B1776C"/>
    <w:rsid w:val="00B52583"/>
    <w:rsid w:val="00B52896"/>
    <w:rsid w:val="00B763A1"/>
    <w:rsid w:val="00B95236"/>
    <w:rsid w:val="00B96BD9"/>
    <w:rsid w:val="00BA1B01"/>
    <w:rsid w:val="00BA2641"/>
    <w:rsid w:val="00BB37AA"/>
    <w:rsid w:val="00BC53A0"/>
    <w:rsid w:val="00BE51F6"/>
    <w:rsid w:val="00BE62AD"/>
    <w:rsid w:val="00BF121F"/>
    <w:rsid w:val="00BF1F80"/>
    <w:rsid w:val="00C166EF"/>
    <w:rsid w:val="00C17EB0"/>
    <w:rsid w:val="00C27F5F"/>
    <w:rsid w:val="00C30A0F"/>
    <w:rsid w:val="00C37E61"/>
    <w:rsid w:val="00C50FD8"/>
    <w:rsid w:val="00C70F1B"/>
    <w:rsid w:val="00C71A47"/>
    <w:rsid w:val="00C7464C"/>
    <w:rsid w:val="00C85588"/>
    <w:rsid w:val="00CB529A"/>
    <w:rsid w:val="00CD6755"/>
    <w:rsid w:val="00CD6856"/>
    <w:rsid w:val="00CE0089"/>
    <w:rsid w:val="00CE793C"/>
    <w:rsid w:val="00CF193C"/>
    <w:rsid w:val="00D10F2D"/>
    <w:rsid w:val="00D173F1"/>
    <w:rsid w:val="00D41DB1"/>
    <w:rsid w:val="00D74CB0"/>
    <w:rsid w:val="00D8295D"/>
    <w:rsid w:val="00D967AC"/>
    <w:rsid w:val="00DA2118"/>
    <w:rsid w:val="00DC271F"/>
    <w:rsid w:val="00DC2A65"/>
    <w:rsid w:val="00DE15F0"/>
    <w:rsid w:val="00DE5663"/>
    <w:rsid w:val="00DE78AA"/>
    <w:rsid w:val="00E053D0"/>
    <w:rsid w:val="00E15994"/>
    <w:rsid w:val="00E3114E"/>
    <w:rsid w:val="00E31A70"/>
    <w:rsid w:val="00E35B02"/>
    <w:rsid w:val="00E66496"/>
    <w:rsid w:val="00E66B35"/>
    <w:rsid w:val="00E66E10"/>
    <w:rsid w:val="00E769F6"/>
    <w:rsid w:val="00E83D5C"/>
    <w:rsid w:val="00E8407C"/>
    <w:rsid w:val="00E84F3C"/>
    <w:rsid w:val="00EA012C"/>
    <w:rsid w:val="00EC6A55"/>
    <w:rsid w:val="00ED0288"/>
    <w:rsid w:val="00EE52CB"/>
    <w:rsid w:val="00EF132F"/>
    <w:rsid w:val="00EF581D"/>
    <w:rsid w:val="00EF7FD8"/>
    <w:rsid w:val="00F06F59"/>
    <w:rsid w:val="00F17988"/>
    <w:rsid w:val="00F21024"/>
    <w:rsid w:val="00F469F0"/>
    <w:rsid w:val="00F53273"/>
    <w:rsid w:val="00F755E4"/>
    <w:rsid w:val="00F77D02"/>
    <w:rsid w:val="00F90D3C"/>
    <w:rsid w:val="00FA32DE"/>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1B0B1"/>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40444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styleId="Strong">
    <w:name w:val="Strong"/>
    <w:basedOn w:val="DefaultParagraphFont"/>
    <w:uiPriority w:val="22"/>
    <w:qFormat/>
    <w:rsid w:val="0040444D"/>
    <w:rPr>
      <w:b/>
      <w:bCs/>
    </w:rPr>
  </w:style>
  <w:style w:type="character" w:customStyle="1" w:styleId="Heading2Char">
    <w:name w:val="Heading 2 Char"/>
    <w:basedOn w:val="DefaultParagraphFont"/>
    <w:link w:val="Heading2"/>
    <w:semiHidden/>
    <w:rsid w:val="0040444D"/>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40444D"/>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40444D"/>
    <w:pPr>
      <w:spacing w:after="160" w:line="276" w:lineRule="auto"/>
      <w:ind w:left="720"/>
      <w:contextualSpacing/>
    </w:pPr>
    <w:rPr>
      <w:rFonts w:asciiTheme="minorHAnsi" w:eastAsiaTheme="minorEastAsia" w:hAnsiTheme="minorHAnsi" w:cstheme="minorBidi"/>
      <w:kern w:val="2"/>
      <w:sz w:val="24"/>
      <w:szCs w:val="24"/>
      <w14:ligatures w14:val="standardContextual"/>
    </w:rPr>
  </w:style>
  <w:style w:type="paragraph" w:customStyle="1" w:styleId="isselectedend">
    <w:name w:val="isselectedend"/>
    <w:basedOn w:val="Normal"/>
    <w:uiPriority w:val="99"/>
    <w:rsid w:val="0040444D"/>
    <w:pPr>
      <w:spacing w:before="100" w:beforeAutospacing="1" w:after="100" w:afterAutospacing="1"/>
    </w:pPr>
    <w:rPr>
      <w:rFonts w:ascii="Times New Roman" w:hAnsi="Times New Roman"/>
      <w:sz w:val="24"/>
      <w:szCs w:val="24"/>
    </w:rPr>
  </w:style>
  <w:style w:type="character" w:customStyle="1" w:styleId="mord">
    <w:name w:val="mord"/>
    <w:basedOn w:val="DefaultParagraphFont"/>
    <w:rsid w:val="0040444D"/>
  </w:style>
  <w:style w:type="character" w:customStyle="1" w:styleId="mbin">
    <w:name w:val="mbin"/>
    <w:basedOn w:val="DefaultParagraphFont"/>
    <w:rsid w:val="0040444D"/>
  </w:style>
  <w:style w:type="character" w:customStyle="1" w:styleId="author0">
    <w:name w:val="author"/>
    <w:basedOn w:val="DefaultParagraphFont"/>
    <w:rsid w:val="0040444D"/>
  </w:style>
  <w:style w:type="character" w:customStyle="1" w:styleId="pubyear">
    <w:name w:val="pubyear"/>
    <w:basedOn w:val="DefaultParagraphFont"/>
    <w:rsid w:val="0040444D"/>
  </w:style>
  <w:style w:type="paragraph" w:customStyle="1" w:styleId="pdq2pgselectionanchorcontainer">
    <w:name w:val="pdq2pg_selectionanchorcontainer"/>
    <w:basedOn w:val="Normal"/>
    <w:rsid w:val="00C50FD8"/>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271329344">
      <w:bodyDiv w:val="1"/>
      <w:marLeft w:val="0"/>
      <w:marRight w:val="0"/>
      <w:marTop w:val="0"/>
      <w:marBottom w:val="0"/>
      <w:divBdr>
        <w:top w:val="none" w:sz="0" w:space="0" w:color="auto"/>
        <w:left w:val="none" w:sz="0" w:space="0" w:color="auto"/>
        <w:bottom w:val="none" w:sz="0" w:space="0" w:color="auto"/>
        <w:right w:val="none" w:sz="0" w:space="0" w:color="auto"/>
      </w:divBdr>
    </w:div>
    <w:div w:id="463696325">
      <w:bodyDiv w:val="1"/>
      <w:marLeft w:val="0"/>
      <w:marRight w:val="0"/>
      <w:marTop w:val="0"/>
      <w:marBottom w:val="0"/>
      <w:divBdr>
        <w:top w:val="none" w:sz="0" w:space="0" w:color="auto"/>
        <w:left w:val="none" w:sz="0" w:space="0" w:color="auto"/>
        <w:bottom w:val="none" w:sz="0" w:space="0" w:color="auto"/>
        <w:right w:val="none" w:sz="0" w:space="0" w:color="auto"/>
      </w:divBdr>
    </w:div>
    <w:div w:id="533228129">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830951361">
      <w:bodyDiv w:val="1"/>
      <w:marLeft w:val="0"/>
      <w:marRight w:val="0"/>
      <w:marTop w:val="0"/>
      <w:marBottom w:val="0"/>
      <w:divBdr>
        <w:top w:val="none" w:sz="0" w:space="0" w:color="auto"/>
        <w:left w:val="none" w:sz="0" w:space="0" w:color="auto"/>
        <w:bottom w:val="none" w:sz="0" w:space="0" w:color="auto"/>
        <w:right w:val="none" w:sz="0" w:space="0" w:color="auto"/>
      </w:divBdr>
    </w:div>
    <w:div w:id="936475514">
      <w:bodyDiv w:val="1"/>
      <w:marLeft w:val="0"/>
      <w:marRight w:val="0"/>
      <w:marTop w:val="0"/>
      <w:marBottom w:val="0"/>
      <w:divBdr>
        <w:top w:val="none" w:sz="0" w:space="0" w:color="auto"/>
        <w:left w:val="none" w:sz="0" w:space="0" w:color="auto"/>
        <w:bottom w:val="none" w:sz="0" w:space="0" w:color="auto"/>
        <w:right w:val="none" w:sz="0" w:space="0" w:color="auto"/>
      </w:divBdr>
    </w:div>
    <w:div w:id="944968362">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48920258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9768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3390/app1507353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DC60-E083-4F36-91CD-9B5B3A3C9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97</TotalTime>
  <Pages>29</Pages>
  <Words>12688</Words>
  <Characters>72328</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84847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PC New 16</cp:lastModifiedBy>
  <cp:revision>16</cp:revision>
  <cp:lastPrinted>1999-07-06T11:00:00Z</cp:lastPrinted>
  <dcterms:created xsi:type="dcterms:W3CDTF">2026-09-11T00:05:00Z</dcterms:created>
  <dcterms:modified xsi:type="dcterms:W3CDTF">2026-09-15T08:11:00Z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adecc05c-a87e-4c6f-ae0f-8a77d3e5942f</vt:lpwstr>
  </property>
</Properties>
</file>