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CD179" w14:textId="77777777" w:rsidR="00A258C3" w:rsidRPr="00790ADA" w:rsidRDefault="005D2D54" w:rsidP="00441B6F">
      <w:pPr>
        <w:pStyle w:val="Author"/>
        <w:spacing w:line="240" w:lineRule="auto"/>
        <w:jc w:val="both"/>
        <w:rPr>
          <w:rFonts w:ascii="Arial" w:hAnsi="Arial" w:cs="Arial"/>
          <w:sz w:val="36"/>
        </w:rPr>
      </w:pPr>
      <w:r w:rsidRPr="005D2D54">
        <w:rPr>
          <w:rFonts w:ascii="Arial" w:hAnsi="Arial" w:cs="Arial"/>
          <w:bCs/>
          <w:iCs/>
          <w:kern w:val="28"/>
          <w:sz w:val="36"/>
        </w:rPr>
        <w:t>Anti</w:t>
      </w:r>
      <w:r>
        <w:rPr>
          <w:rFonts w:ascii="Arial" w:hAnsi="Arial" w:cs="Arial"/>
          <w:bCs/>
          <w:iCs/>
          <w:kern w:val="28"/>
          <w:sz w:val="36"/>
          <w:highlight w:val="yellow"/>
        </w:rPr>
        <w:t>hyperglycaemic</w:t>
      </w:r>
      <w:r>
        <w:rPr>
          <w:rFonts w:ascii="Arial" w:hAnsi="Arial" w:cs="Arial"/>
          <w:bCs/>
          <w:iCs/>
          <w:kern w:val="28"/>
          <w:sz w:val="36"/>
        </w:rPr>
        <w:t xml:space="preserve"> Effect of Ethanol Extract of </w:t>
      </w:r>
      <w:r w:rsidRPr="005D2D54">
        <w:rPr>
          <w:rFonts w:ascii="Arial" w:hAnsi="Arial" w:cs="Arial"/>
          <w:bCs/>
          <w:i/>
          <w:iCs/>
          <w:kern w:val="28"/>
          <w:sz w:val="36"/>
        </w:rPr>
        <w:t>Trichosanthes cucumerina</w:t>
      </w:r>
      <w:r w:rsidRPr="005D2D54">
        <w:rPr>
          <w:rFonts w:ascii="Arial" w:hAnsi="Arial" w:cs="Arial"/>
          <w:bCs/>
          <w:iCs/>
          <w:kern w:val="28"/>
          <w:sz w:val="36"/>
        </w:rPr>
        <w:t xml:space="preserve"> Leaf in Streptozotocin-Induced Diabetes</w:t>
      </w:r>
    </w:p>
    <w:p w14:paraId="104CDAA3" w14:textId="77777777" w:rsidR="002C57D2" w:rsidRDefault="002C57D2" w:rsidP="00441B6F">
      <w:pPr>
        <w:pStyle w:val="Affiliation"/>
        <w:spacing w:after="0" w:line="240" w:lineRule="auto"/>
        <w:jc w:val="both"/>
        <w:rPr>
          <w:rFonts w:ascii="Arial" w:hAnsi="Arial" w:cs="Arial"/>
        </w:rPr>
      </w:pPr>
    </w:p>
    <w:p w14:paraId="6F6C6439" w14:textId="77777777" w:rsidR="00C96916" w:rsidRDefault="00C96916" w:rsidP="00441B6F">
      <w:pPr>
        <w:pStyle w:val="Affiliation"/>
        <w:spacing w:after="0" w:line="240" w:lineRule="auto"/>
        <w:jc w:val="both"/>
        <w:rPr>
          <w:rFonts w:ascii="Arial" w:hAnsi="Arial" w:cs="Arial"/>
        </w:rPr>
      </w:pPr>
    </w:p>
    <w:p w14:paraId="2C4DC3B6" w14:textId="77777777" w:rsidR="00C96916" w:rsidRDefault="00C96916" w:rsidP="00441B6F">
      <w:pPr>
        <w:pStyle w:val="Affiliation"/>
        <w:spacing w:after="0" w:line="240" w:lineRule="auto"/>
        <w:jc w:val="both"/>
        <w:rPr>
          <w:rFonts w:ascii="Arial" w:hAnsi="Arial" w:cs="Arial"/>
        </w:rPr>
      </w:pPr>
    </w:p>
    <w:p w14:paraId="3E59F143" w14:textId="77777777" w:rsidR="00C96916" w:rsidRPr="00FB3A86" w:rsidRDefault="00C96916" w:rsidP="00441B6F">
      <w:pPr>
        <w:pStyle w:val="Affiliation"/>
        <w:spacing w:after="0" w:line="240" w:lineRule="auto"/>
        <w:jc w:val="both"/>
        <w:rPr>
          <w:rFonts w:ascii="Arial" w:hAnsi="Arial" w:cs="Arial"/>
        </w:rPr>
      </w:pPr>
    </w:p>
    <w:p w14:paraId="1B897082" w14:textId="77777777" w:rsidR="00B01FCD" w:rsidRPr="00FB3A86" w:rsidRDefault="00000000" w:rsidP="00441B6F">
      <w:pPr>
        <w:pStyle w:val="Copyright"/>
        <w:spacing w:after="0" w:line="240" w:lineRule="auto"/>
        <w:jc w:val="both"/>
        <w:rPr>
          <w:rFonts w:ascii="Arial" w:hAnsi="Arial" w:cs="Arial"/>
        </w:rPr>
        <w:sectPr w:rsidR="00B01FCD" w:rsidRPr="00FB3A86" w:rsidSect="003F027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45E1668A">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02ADE48D"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6425A6F9"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951"/>
      </w:tblGrid>
      <w:tr w:rsidR="00296529" w:rsidRPr="001E44FE" w14:paraId="392BBBEF" w14:textId="77777777" w:rsidTr="00C02823">
        <w:trPr>
          <w:trHeight w:val="4731"/>
        </w:trPr>
        <w:tc>
          <w:tcPr>
            <w:tcW w:w="9951" w:type="dxa"/>
            <w:shd w:val="clear" w:color="auto" w:fill="F2F2F2"/>
          </w:tcPr>
          <w:p w14:paraId="56853391" w14:textId="77777777" w:rsidR="00505F06" w:rsidRDefault="006B2CCA" w:rsidP="00441B6F">
            <w:pPr>
              <w:pStyle w:val="Body"/>
              <w:spacing w:after="0"/>
            </w:pPr>
            <w:r>
              <w:t xml:space="preserve">Diabetes mellitus is a chronic metabolic disorder </w:t>
            </w:r>
            <w:r>
              <w:rPr>
                <w:highlight w:val="yellow"/>
              </w:rPr>
              <w:t>characterised</w:t>
            </w:r>
            <w:r>
              <w:t xml:space="preserve"> by persistent </w:t>
            </w:r>
            <w:r>
              <w:rPr>
                <w:highlight w:val="yellow"/>
              </w:rPr>
              <w:t>hyperglycaemia</w:t>
            </w:r>
            <w:r>
              <w:t xml:space="preserve"> and impaired glucose metabolism, necessitating the investigation of affordable and naturally derived therapeutic agents. This study evaluated the anti</w:t>
            </w:r>
            <w:r>
              <w:rPr>
                <w:highlight w:val="yellow"/>
              </w:rPr>
              <w:t>hyperglycaemic</w:t>
            </w:r>
            <w:r>
              <w:t xml:space="preserve"> potential of ethanol extract of </w:t>
            </w:r>
            <w:r>
              <w:rPr>
                <w:rStyle w:val="Emphasis"/>
              </w:rPr>
              <w:t>Trichosanthes cucumerina</w:t>
            </w:r>
            <w:r>
              <w:t xml:space="preserve"> (snake gourd) in streptozotocin (STZ)-induced diabetic Wistar rats. Diabetes was experimentally induced using STZ, after which the animals received graded doses of the ethanol extract for 28 days. </w:t>
            </w:r>
            <w:r w:rsidR="00620650">
              <w:t xml:space="preserve">We assessed treatment effects using fasting blood glucose (FBG), glycated haemoglobin (HbA1c), serum insulin, and the </w:t>
            </w:r>
            <w:r>
              <w:t xml:space="preserve">Homeostatic Model Assessment of Insulin Resistance (HOMA-IR) as indicators of glycaemic control and insulin sensitivity. Administration of </w:t>
            </w:r>
            <w:r>
              <w:rPr>
                <w:rStyle w:val="Emphasis"/>
              </w:rPr>
              <w:t>T. cucumerina</w:t>
            </w:r>
            <w:r>
              <w:t xml:space="preserve"> extract </w:t>
            </w:r>
            <w:r w:rsidR="00620650">
              <w:t>significantly improved</w:t>
            </w:r>
            <w:r>
              <w:t xml:space="preserve"> </w:t>
            </w:r>
            <w:r>
              <w:rPr>
                <w:highlight w:val="yellow"/>
              </w:rPr>
              <w:t>hyperglycaemic</w:t>
            </w:r>
            <w:r>
              <w:t xml:space="preserve"> indices compared with the untreated diabetic control group (p &lt; 0.05). The highest dose of 400 mg/kg body weight produced the most pronounced effect, reducing FBG to 130.82 ± 4.55 mg/dL and HbA1c to 6.35 ± 0.26%. The treatment also increased serum insulin concentration to 12.62 ± 1.10 µIU/mL and reduced HOMA-IR to 4.32 ± 0.30, indicating improved insulin sensitivity and glucose regulation. The observed anti</w:t>
            </w:r>
            <w:r>
              <w:rPr>
                <w:highlight w:val="yellow"/>
              </w:rPr>
              <w:t>hyperglycaemic</w:t>
            </w:r>
            <w:r>
              <w:t xml:space="preserve"> activity may be associated with the bioactive phytochemicals present in </w:t>
            </w:r>
            <w:r>
              <w:rPr>
                <w:rStyle w:val="Emphasis"/>
              </w:rPr>
              <w:t>T. cucumerina</w:t>
            </w:r>
            <w:r>
              <w:t xml:space="preserve">, particularly flavonoids and tannins, which may enhance insulin action, reduce oxidative stress, and improve glucose </w:t>
            </w:r>
            <w:r>
              <w:rPr>
                <w:highlight w:val="yellow"/>
              </w:rPr>
              <w:t>utilisation</w:t>
            </w:r>
            <w:r>
              <w:t xml:space="preserve">. Histopathological findings further indicated restoration of pancreatic islet architecture in treated diabetic rats, supporting the biochemical evidence of improved glycaemic control. The findings demonstrate that ethanol extract of </w:t>
            </w:r>
            <w:r>
              <w:rPr>
                <w:rStyle w:val="Emphasis"/>
              </w:rPr>
              <w:t>T. cucumerina</w:t>
            </w:r>
            <w:r>
              <w:t xml:space="preserve"> possesses significant anti</w:t>
            </w:r>
            <w:r>
              <w:rPr>
                <w:highlight w:val="yellow"/>
              </w:rPr>
              <w:t>hyperglycaemic</w:t>
            </w:r>
            <w:r>
              <w:t xml:space="preserve"> activity in STZ-induced diabetic Wistar rats, supporting further investigation of its antihyperglycaemic properties within experimental models.</w:t>
            </w:r>
          </w:p>
          <w:p w14:paraId="3D6614B0" w14:textId="77777777" w:rsidR="00C02823" w:rsidRPr="00C02823" w:rsidRDefault="00C02823" w:rsidP="00C02823">
            <w:pPr>
              <w:spacing w:before="100" w:beforeAutospacing="1" w:after="100" w:afterAutospacing="1"/>
              <w:outlineLvl w:val="1"/>
              <w:rPr>
                <w:rFonts w:ascii="Times New Roman" w:hAnsi="Times New Roman"/>
                <w:b/>
                <w:bCs/>
                <w:sz w:val="36"/>
                <w:szCs w:val="36"/>
              </w:rPr>
            </w:pPr>
            <w:r w:rsidRPr="00C02823">
              <w:rPr>
                <w:rFonts w:ascii="Times New Roman" w:hAnsi="Times New Roman"/>
                <w:b/>
                <w:bCs/>
                <w:sz w:val="36"/>
                <w:szCs w:val="36"/>
              </w:rPr>
              <w:t>Keywords</w:t>
            </w:r>
          </w:p>
          <w:p w14:paraId="10346700" w14:textId="6976EC7D" w:rsidR="00C02823" w:rsidRPr="00C02823" w:rsidRDefault="00C02823" w:rsidP="00C02823">
            <w:pPr>
              <w:spacing w:before="100" w:beforeAutospacing="1" w:after="100" w:afterAutospacing="1"/>
              <w:rPr>
                <w:rFonts w:ascii="Times New Roman" w:hAnsi="Times New Roman"/>
                <w:sz w:val="24"/>
                <w:szCs w:val="24"/>
              </w:rPr>
            </w:pPr>
            <w:r w:rsidRPr="00C02823">
              <w:rPr>
                <w:rFonts w:ascii="Times New Roman" w:hAnsi="Times New Roman"/>
                <w:i/>
                <w:iCs/>
                <w:sz w:val="24"/>
                <w:szCs w:val="24"/>
              </w:rPr>
              <w:t>Trichosanthes cucumerina</w:t>
            </w:r>
            <w:r w:rsidRPr="00C02823">
              <w:rPr>
                <w:rFonts w:ascii="Times New Roman" w:hAnsi="Times New Roman"/>
                <w:sz w:val="24"/>
                <w:szCs w:val="24"/>
              </w:rPr>
              <w:t>; diabetes mellitus; streptozotocin; antihyperglycaemic activity; fasting blood glucose; glycated haemoglobin</w:t>
            </w:r>
          </w:p>
          <w:p w14:paraId="13838FAE" w14:textId="77777777" w:rsidR="00C02823" w:rsidRPr="00BA1B01" w:rsidRDefault="00C02823" w:rsidP="00441B6F">
            <w:pPr>
              <w:pStyle w:val="Body"/>
              <w:spacing w:after="0"/>
              <w:rPr>
                <w:rFonts w:ascii="Arial" w:eastAsia="Calibri" w:hAnsi="Arial" w:cs="Arial"/>
                <w:szCs w:val="22"/>
              </w:rPr>
            </w:pPr>
          </w:p>
        </w:tc>
      </w:tr>
    </w:tbl>
    <w:p w14:paraId="5ACA5A00" w14:textId="77777777" w:rsidR="00C02823" w:rsidRDefault="00C02823" w:rsidP="00441B6F">
      <w:pPr>
        <w:pStyle w:val="AbstHead"/>
        <w:spacing w:after="0"/>
        <w:jc w:val="both"/>
        <w:rPr>
          <w:rFonts w:ascii="Arial" w:hAnsi="Arial" w:cs="Arial"/>
        </w:rPr>
      </w:pPr>
    </w:p>
    <w:p w14:paraId="2D6B85BB" w14:textId="77777777" w:rsidR="00C02823" w:rsidRDefault="00C02823" w:rsidP="00441B6F">
      <w:pPr>
        <w:pStyle w:val="AbstHead"/>
        <w:spacing w:after="0"/>
        <w:jc w:val="both"/>
        <w:rPr>
          <w:rFonts w:ascii="Arial" w:hAnsi="Arial" w:cs="Arial"/>
        </w:rPr>
      </w:pPr>
    </w:p>
    <w:p w14:paraId="50ED804D" w14:textId="77777777" w:rsidR="00C02823" w:rsidRDefault="00C02823" w:rsidP="00441B6F">
      <w:pPr>
        <w:pStyle w:val="AbstHead"/>
        <w:spacing w:after="0"/>
        <w:jc w:val="both"/>
        <w:rPr>
          <w:rFonts w:ascii="Arial" w:hAnsi="Arial" w:cs="Arial"/>
        </w:rPr>
      </w:pPr>
    </w:p>
    <w:p w14:paraId="72324590" w14:textId="77777777" w:rsidR="00C02823" w:rsidRDefault="00C02823" w:rsidP="00441B6F">
      <w:pPr>
        <w:pStyle w:val="AbstHead"/>
        <w:spacing w:after="0"/>
        <w:jc w:val="both"/>
        <w:rPr>
          <w:rFonts w:ascii="Arial" w:hAnsi="Arial" w:cs="Arial"/>
        </w:rPr>
      </w:pPr>
    </w:p>
    <w:p w14:paraId="5DD5A2BA" w14:textId="1FEBA026" w:rsidR="00790ADA" w:rsidRPr="00FB3A86" w:rsidRDefault="00B01FCD" w:rsidP="00441B6F">
      <w:pPr>
        <w:pStyle w:val="AbstHead"/>
        <w:spacing w:after="0"/>
        <w:jc w:val="both"/>
        <w:rPr>
          <w:rFonts w:ascii="Arial" w:hAnsi="Arial" w:cs="Arial"/>
        </w:rPr>
      </w:pPr>
      <w:r w:rsidRPr="00FB3A86">
        <w:rPr>
          <w:rFonts w:ascii="Arial" w:hAnsi="Arial" w:cs="Arial"/>
        </w:rPr>
        <w:t>INTRODUCTION</w:t>
      </w:r>
    </w:p>
    <w:p w14:paraId="67D0B0C7" w14:textId="288E4974" w:rsidR="006B2CCA" w:rsidRPr="00B85CB7" w:rsidRDefault="006B2CCA" w:rsidP="006B2CCA">
      <w:pPr>
        <w:spacing w:line="480" w:lineRule="auto"/>
        <w:ind w:firstLine="720"/>
        <w:jc w:val="both"/>
      </w:pPr>
      <w:r w:rsidRPr="00B85CB7">
        <w:t xml:space="preserve">Diabetes mellitus (DM) is a chronic, multifactorial metabolic disorder </w:t>
      </w:r>
      <w:r>
        <w:rPr>
          <w:highlight w:val="yellow"/>
        </w:rPr>
        <w:t>characterised</w:t>
      </w:r>
      <w:r>
        <w:t xml:space="preserve"> by persistent </w:t>
      </w:r>
      <w:r>
        <w:rPr>
          <w:highlight w:val="yellow"/>
        </w:rPr>
        <w:t>hyperglycaemia</w:t>
      </w:r>
      <w:r>
        <w:t xml:space="preserve"> resulting from defects in insulin secretion, insulin action, or both (Campos, 2012). The disease is associated with profound disturbances in carbohydrate, lipid, and protein metabolism, as well as impairments in micronutrient homeostasis, which collectively contribute to elevated morbidity and mortality, particularly through cardiovascular complications (</w:t>
      </w:r>
      <w:r w:rsidRPr="00B85CB7">
        <w:t xml:space="preserve">Awuchi </w:t>
      </w:r>
      <w:r w:rsidRPr="00B85CB7">
        <w:rPr>
          <w:i/>
          <w:iCs/>
        </w:rPr>
        <w:t>et al.,</w:t>
      </w:r>
      <w:r w:rsidRPr="00B85CB7">
        <w:t xml:space="preserve"> </w:t>
      </w:r>
      <w:r w:rsidRPr="00B85CB7">
        <w:lastRenderedPageBreak/>
        <w:t>2020). The global burden of DM is considerable and continues to escalate; in 2010, approximately 285 million adults representing 6.4% of the world's adult population were estimated to be living with diabetes, a figure projected to reach 430 million in the absence of more effective preventive or therapeutic interventions (Ahmad, 2013). By 2021, this estimate had risen to 537 million, with projections indicating a further increase to 783 million by 2047 (</w:t>
      </w:r>
      <w:r w:rsidR="00BC18CE" w:rsidRPr="00BC18CE">
        <w:t>American Diabetes Association Professional Practice Committee</w:t>
      </w:r>
      <w:r w:rsidRPr="00B85CB7">
        <w:t>, 2022).</w:t>
      </w:r>
    </w:p>
    <w:p w14:paraId="4C1AC21F" w14:textId="6FA40A5B" w:rsidR="006B2CCA" w:rsidRPr="00B85CB7" w:rsidRDefault="006B2CCA" w:rsidP="006B2CCA">
      <w:pPr>
        <w:spacing w:line="480" w:lineRule="auto"/>
        <w:ind w:firstLine="720"/>
        <w:jc w:val="both"/>
      </w:pPr>
      <w:r w:rsidRPr="00B85CB7">
        <w:t>Diabetes mellitus is broadly classified into several distinct forms, including Type 1 diabetes mellitus (T1DM), Type 2 diabetes mellitus (T2DM), gestational diabetes mellitus (GDM), neonatal diabetes, and maturity-onset diabetes of the young (</w:t>
      </w:r>
      <w:r>
        <w:rPr>
          <w:highlight w:val="yellow"/>
        </w:rPr>
        <w:t>MODY), as well as secondary forms attributable</w:t>
      </w:r>
      <w:r>
        <w:t xml:space="preserve"> to endocrinopathies or pharmacological agents such as </w:t>
      </w:r>
      <w:r w:rsidRPr="00B85CB7">
        <w:t xml:space="preserve">glucocorticoids (Arena et al., 2017). T1DM and T2DM constitute the primary subtypes; T1DM, which is </w:t>
      </w:r>
      <w:r>
        <w:rPr>
          <w:highlight w:val="yellow"/>
        </w:rPr>
        <w:t>characterised</w:t>
      </w:r>
      <w:r>
        <w:t xml:space="preserve"> by autoimmune destruction of pancreatic β-cells, typically presents in children and adolescents, whereas T2DM,</w:t>
      </w:r>
      <w:r w:rsidRPr="00B85CB7">
        <w:t xml:space="preserve"> a condition defined by progressive insulin resistance and relative insulin deficiency</w:t>
      </w:r>
      <w:r>
        <w:t>,</w:t>
      </w:r>
      <w:r w:rsidRPr="00B85CB7">
        <w:t xml:space="preserve"> predominantly affects middle-aged and older adults with chronic lifestyle and nutritional risk factors (Athyros </w:t>
      </w:r>
      <w:r w:rsidRPr="00B85CB7">
        <w:rPr>
          <w:i/>
          <w:iCs/>
        </w:rPr>
        <w:t>et al.,</w:t>
      </w:r>
      <w:r w:rsidRPr="00B85CB7">
        <w:t xml:space="preserve"> 2018; Karavanaki </w:t>
      </w:r>
      <w:r w:rsidRPr="00B85CB7">
        <w:rPr>
          <w:i/>
          <w:iCs/>
        </w:rPr>
        <w:t>et al</w:t>
      </w:r>
      <w:r w:rsidRPr="00B85CB7">
        <w:t xml:space="preserve">., 2022). </w:t>
      </w:r>
      <w:r>
        <w:t xml:space="preserve">Each subtype has distinct pathophysiological mechanisms that shape clinical presentations, </w:t>
      </w:r>
      <w:r>
        <w:rPr>
          <w:highlight w:val="yellow"/>
        </w:rPr>
        <w:t>aetiological profiles</w:t>
      </w:r>
      <w:r>
        <w:t>, and therapeutic needs</w:t>
      </w:r>
      <w:r w:rsidRPr="00B85CB7">
        <w:t xml:space="preserve"> (</w:t>
      </w:r>
      <w:r w:rsidR="00BC18CE" w:rsidRPr="00BC18CE">
        <w:t>DeFronzo</w:t>
      </w:r>
      <w:r w:rsidRPr="00B85CB7">
        <w:t>, 20</w:t>
      </w:r>
      <w:r w:rsidR="00BC18CE">
        <w:t>09</w:t>
      </w:r>
      <w:r w:rsidRPr="00B85CB7">
        <w:t>).</w:t>
      </w:r>
    </w:p>
    <w:p w14:paraId="3995F475" w14:textId="77777777" w:rsidR="006B2CCA" w:rsidRPr="00B85CB7" w:rsidRDefault="006B2CCA" w:rsidP="006B2CCA">
      <w:pPr>
        <w:spacing w:line="480" w:lineRule="auto"/>
        <w:ind w:firstLine="720"/>
        <w:jc w:val="both"/>
      </w:pPr>
      <w:r w:rsidRPr="00B85CB7">
        <w:t xml:space="preserve">Chronic </w:t>
      </w:r>
      <w:r>
        <w:rPr>
          <w:highlight w:val="yellow"/>
        </w:rPr>
        <w:t>hyperglycaemia</w:t>
      </w:r>
      <w:r>
        <w:t>, irrespective of diabetes type, is the principal driver of both microvascular complications,</w:t>
      </w:r>
      <w:r w:rsidRPr="00B85CB7">
        <w:t xml:space="preserve"> including diabetic nephropathy, retinopathy, and peripheral neuropathy</w:t>
      </w:r>
      <w:r>
        <w:t>,</w:t>
      </w:r>
      <w:r w:rsidRPr="00B85CB7">
        <w:t xml:space="preserve"> and macrovascular complications such as atherosclerotic cardiovascular disease (ASCVD), coronary heart disease, and stroke (Campos, 2012; Yamazaki </w:t>
      </w:r>
      <w:r w:rsidRPr="00B85CB7">
        <w:rPr>
          <w:i/>
          <w:iCs/>
        </w:rPr>
        <w:t>et al.,</w:t>
      </w:r>
      <w:r w:rsidRPr="00B85CB7">
        <w:t xml:space="preserve"> 2018). In 2015, DM was recorded as the seventh leading cause of death in the United States (Murphy et al., 2017), and it is estimated that nearly two-thirds of persons with diabetes will die from myocardial infarction or stroke (Wannamethee </w:t>
      </w:r>
      <w:r w:rsidRPr="00B85CB7">
        <w:rPr>
          <w:i/>
          <w:iCs/>
        </w:rPr>
        <w:t>et al.,</w:t>
      </w:r>
      <w:r w:rsidRPr="00B85CB7">
        <w:t xml:space="preserve"> 2011). Fasting blood glucose levels exceeding 100 mg/dL in T2DM are associated with significantly elevated cardiovascular risk, which may precede the onset of overt </w:t>
      </w:r>
      <w:r>
        <w:rPr>
          <w:highlight w:val="yellow"/>
        </w:rPr>
        <w:t>hyperglycaemia</w:t>
      </w:r>
      <w:r>
        <w:t xml:space="preserve"> (Rao </w:t>
      </w:r>
      <w:r w:rsidRPr="00B85CB7">
        <w:rPr>
          <w:i/>
          <w:iCs/>
        </w:rPr>
        <w:t>et al</w:t>
      </w:r>
      <w:r w:rsidRPr="00B85CB7">
        <w:t xml:space="preserve">., 2011). Diabetic retinopathy contributes to between 12,000 and 24,000 new cases of blindness annually in the United States alone (Kropp </w:t>
      </w:r>
      <w:r w:rsidRPr="00B85CB7">
        <w:rPr>
          <w:i/>
          <w:iCs/>
        </w:rPr>
        <w:t>et al</w:t>
      </w:r>
      <w:r w:rsidRPr="00B85CB7">
        <w:t>., 2023).</w:t>
      </w:r>
    </w:p>
    <w:p w14:paraId="48CFF423" w14:textId="561E8CDE" w:rsidR="006B2CCA" w:rsidRPr="00B85CB7" w:rsidRDefault="006B2CCA" w:rsidP="006B2CCA">
      <w:pPr>
        <w:spacing w:line="480" w:lineRule="auto"/>
        <w:ind w:firstLine="720"/>
        <w:jc w:val="both"/>
      </w:pPr>
      <w:r w:rsidRPr="00B85CB7">
        <w:t>Renal dysfunction constitutes another major contributor to DM-associated morbidity and mortality. Microalbuminuria</w:t>
      </w:r>
      <w:r>
        <w:t>,</w:t>
      </w:r>
      <w:r w:rsidRPr="00B85CB7">
        <w:t xml:space="preserve"> defined as urinary albumin excretion of 30–300 mg/day</w:t>
      </w:r>
      <w:r>
        <w:t>,</w:t>
      </w:r>
      <w:r w:rsidRPr="00B85CB7">
        <w:t xml:space="preserve"> serves as a reliable early marker of diabetic nephropathy, with progression to End-Stage Renal Disease (ESRD) accelerating once macroalbuminuria (&gt;300 mg/24 hours) is established (Albers </w:t>
      </w:r>
      <w:r w:rsidRPr="00B85CB7">
        <w:rPr>
          <w:i/>
          <w:iCs/>
        </w:rPr>
        <w:t>et al.,</w:t>
      </w:r>
      <w:r w:rsidRPr="00B85CB7">
        <w:t xml:space="preserve"> 2010). The albuminuria-to-creatinine ratio from a random spot urine sample represents the most widely used, rapid, and reliable diagnostic method for detecting microalbuminuria (Arawwawala </w:t>
      </w:r>
      <w:r w:rsidRPr="00B85CB7">
        <w:rPr>
          <w:i/>
          <w:iCs/>
        </w:rPr>
        <w:t>et al</w:t>
      </w:r>
      <w:r w:rsidRPr="00B85CB7">
        <w:t>., 2009). Additionally, T2DM has been implicated in the pathogenesis of bladder cancer, particularly in patients receiving pioglitazone therapy (Tseng, 2011). Acute metabolic crises in DM include diabetic ketoacidosis (DKA)</w:t>
      </w:r>
      <w:r w:rsidR="00524AD2">
        <w:t>,</w:t>
      </w:r>
      <w:r w:rsidRPr="00B85CB7">
        <w:t xml:space="preserve"> predominantly in </w:t>
      </w:r>
      <w:r w:rsidRPr="00B85CB7">
        <w:lastRenderedPageBreak/>
        <w:t>T1DM</w:t>
      </w:r>
      <w:r w:rsidR="00524AD2">
        <w:t>,</w:t>
      </w:r>
      <w:r w:rsidRPr="00B85CB7">
        <w:t xml:space="preserve"> resulting from unchecked lipolysis and ketogenesis in the absence of adequate insulin, causing high anion-gap metabolic acidosis </w:t>
      </w:r>
      <w:r>
        <w:rPr>
          <w:highlight w:val="yellow"/>
        </w:rPr>
        <w:t>(</w:t>
      </w:r>
      <w:r w:rsidR="00BC18CE" w:rsidRPr="00BC18CE">
        <w:t>Acan</w:t>
      </w:r>
      <w:r>
        <w:rPr>
          <w:highlight w:val="yellow"/>
        </w:rPr>
        <w:t xml:space="preserve"> et al., 2018; Martínez et al., 2018)</w:t>
      </w:r>
      <w:r>
        <w:t xml:space="preserve">, and hyperosmolar </w:t>
      </w:r>
      <w:r w:rsidRPr="00B85CB7">
        <w:t xml:space="preserve">hyperglycaemic syndrome (HHS), which is more characteristic of T2DM and presents with extreme </w:t>
      </w:r>
      <w:r>
        <w:rPr>
          <w:highlight w:val="yellow"/>
        </w:rPr>
        <w:t>hyperglycaemia</w:t>
      </w:r>
      <w:r>
        <w:t xml:space="preserve"> without significant </w:t>
      </w:r>
      <w:r>
        <w:rPr>
          <w:highlight w:val="yellow"/>
        </w:rPr>
        <w:t>ketonaemia</w:t>
      </w:r>
      <w:r>
        <w:t xml:space="preserve"> (Victor </w:t>
      </w:r>
      <w:r w:rsidRPr="00B85CB7">
        <w:rPr>
          <w:i/>
          <w:iCs/>
        </w:rPr>
        <w:t>et al.,</w:t>
      </w:r>
      <w:r w:rsidRPr="00B85CB7">
        <w:t xml:space="preserve"> 2022).</w:t>
      </w:r>
    </w:p>
    <w:p w14:paraId="6CD5AF10" w14:textId="77777777" w:rsidR="006B2CCA" w:rsidRPr="00B85CB7" w:rsidRDefault="00524AD2" w:rsidP="006B2CCA">
      <w:pPr>
        <w:spacing w:line="480" w:lineRule="auto"/>
        <w:ind w:firstLine="720"/>
        <w:jc w:val="both"/>
      </w:pPr>
      <w:r>
        <w:t>The hyperglycaemic</w:t>
      </w:r>
      <w:r w:rsidR="006B2CCA" w:rsidRPr="00B85CB7">
        <w:t xml:space="preserve"> index </w:t>
      </w:r>
      <w:r w:rsidR="006B2CCA">
        <w:t>represents a</w:t>
      </w:r>
      <w:r w:rsidR="006B2CCA" w:rsidRPr="00B85CB7">
        <w:t xml:space="preserve"> critical </w:t>
      </w:r>
      <w:r w:rsidR="006B2CCA">
        <w:t>biomarker</w:t>
      </w:r>
      <w:r w:rsidR="006B2CCA" w:rsidRPr="00B85CB7">
        <w:t xml:space="preserve"> for monitoring DM. </w:t>
      </w:r>
      <w:r>
        <w:rPr>
          <w:highlight w:val="yellow"/>
        </w:rPr>
        <w:t>Dyslipidaemia in diabetes, characterised by elevated low-density lipoprotein cholesterol (LDL-C), total cholesterol (TC), triglycerides (TG), very-low-density lipoprotein cholesterol (VLDL-C), and reduced high-density lipoprotein cholesterol (HDL-C), results from poor glycaemic control, which is typically assessed through glycated haemoglobin (HbA1c) levels</w:t>
      </w:r>
      <w:r>
        <w:t xml:space="preserve"> (Wang et al., 2022; </w:t>
      </w:r>
      <w:r w:rsidR="006B2CCA" w:rsidRPr="00B85CB7">
        <w:t xml:space="preserve">Chinko and Efebo, 2025). These lipid abnormalities substantially increase the risk of atherosclerosis and cardiovascular disease in the diabetic population. The streptozotocin (STZ)-induced diabetic rat model reproduces certain </w:t>
      </w:r>
      <w:r>
        <w:rPr>
          <w:highlight w:val="yellow"/>
        </w:rPr>
        <w:t>metabolic and biochemical features of diabetes, including hyperglycaemia</w:t>
      </w:r>
      <w:r>
        <w:t xml:space="preserve">, and is used for experimental evaluation </w:t>
      </w:r>
      <w:r w:rsidR="00487FEC">
        <w:t xml:space="preserve">of these </w:t>
      </w:r>
      <w:r w:rsidR="006B2CCA" w:rsidRPr="00B85CB7">
        <w:t xml:space="preserve">features (Rehman </w:t>
      </w:r>
      <w:r w:rsidR="006B2CCA" w:rsidRPr="00B85CB7">
        <w:rPr>
          <w:i/>
          <w:iCs/>
        </w:rPr>
        <w:t>et al.,</w:t>
      </w:r>
      <w:r w:rsidR="006B2CCA" w:rsidRPr="00B85CB7">
        <w:t xml:space="preserve"> 2023). However, this model does not reproduce the full aetiology or immune mechanisms of human diabetes, particularly T1DM; therefore, findings from it should not be directly extrapolated to clinical efficacy in humans.</w:t>
      </w:r>
    </w:p>
    <w:p w14:paraId="5CA9FC89" w14:textId="77777777" w:rsidR="00790ADA" w:rsidRPr="00985B77" w:rsidRDefault="006B2CCA" w:rsidP="00985B77">
      <w:pPr>
        <w:spacing w:line="480" w:lineRule="auto"/>
        <w:ind w:firstLine="720"/>
        <w:jc w:val="both"/>
      </w:pPr>
      <w:r w:rsidRPr="00B85CB7">
        <w:t xml:space="preserve">Despite the significant burden of DM and its complications, current synthetic pharmacotherapies remain limited by adverse effects, high costs, and restricted accessibility, particularly in low-resource settings (Zafar </w:t>
      </w:r>
      <w:r w:rsidRPr="00B85CB7">
        <w:rPr>
          <w:i/>
          <w:iCs/>
        </w:rPr>
        <w:t>et al.,</w:t>
      </w:r>
      <w:r w:rsidRPr="00B85CB7">
        <w:t xml:space="preserve"> 2010). These limitations have driven growing interest in medicinal plant-based alternatives as complementary or primary therapeutic options. </w:t>
      </w:r>
      <w:r>
        <w:rPr>
          <w:i/>
        </w:rPr>
        <w:t>Trichosanthes cucumerina</w:t>
      </w:r>
      <w:r w:rsidRPr="00B85CB7">
        <w:t xml:space="preserve"> (snake gourd), a member of the family Cucurbitaceae, is an annual climbing plant widely distributed across southern India and Nigeria </w:t>
      </w:r>
      <w:r>
        <w:rPr>
          <w:highlight w:val="yellow"/>
        </w:rPr>
        <w:t>(Ajuru &amp; Nmom, 2017)</w:t>
      </w:r>
      <w:r>
        <w:t>. In African and Asian ethnomedicine, this plant has traditionally been used to manage</w:t>
      </w:r>
      <w:r w:rsidRPr="00B85CB7">
        <w:t xml:space="preserve"> diabetes, inflammation, and cardiovascular disorders. Its diverse phytochemical constituents</w:t>
      </w:r>
      <w:r>
        <w:t>,</w:t>
      </w:r>
      <w:r w:rsidRPr="00B85CB7">
        <w:t xml:space="preserve"> including alkaloids, flavonoids, tannins, saponins, and phenolics</w:t>
      </w:r>
      <w:r>
        <w:t>,</w:t>
      </w:r>
      <w:r w:rsidRPr="00B85CB7">
        <w:t xml:space="preserve"> underpin its antioxidant, hypolipidaemic, and antidiabetic activities (Nnaoma </w:t>
      </w:r>
      <w:r w:rsidRPr="00B85CB7">
        <w:rPr>
          <w:i/>
          <w:iCs/>
        </w:rPr>
        <w:t>et al.,</w:t>
      </w:r>
      <w:r w:rsidRPr="00B85CB7">
        <w:t xml:space="preserve"> 2023</w:t>
      </w:r>
      <w:r w:rsidRPr="00C02823">
        <w:t xml:space="preserve">). </w:t>
      </w:r>
      <w:r w:rsidRPr="00C02823">
        <w:rPr>
          <w:highlight w:val="yellow"/>
        </w:rPr>
        <w:t xml:space="preserve"> A focused review of </w:t>
      </w:r>
      <w:r w:rsidRPr="00C02823">
        <w:rPr>
          <w:i/>
          <w:highlight w:val="yellow"/>
        </w:rPr>
        <w:t>Trichosanthus cucumerina</w:t>
      </w:r>
      <w:r w:rsidRPr="00C02823">
        <w:rPr>
          <w:highlight w:val="yellow"/>
        </w:rPr>
        <w:t xml:space="preserve"> has documented its phytochemical constituents and traditional medicinal applications, providing a basis for continued pharmacological investigation of this species (Devi, 2017). In a separate STZ-based rat model, an aqueous botanical extract was evaluated for antidiabetic and antihyperlipidaemic effects, further illustrating the use of STZ-induced diabetic rats for screening plant-derived interventions (Kesavan &amp; Gnanasekaran, 2024). Recent literature has continued to examine </w:t>
      </w:r>
      <w:r w:rsidRPr="00C02823">
        <w:rPr>
          <w:i/>
          <w:highlight w:val="yellow"/>
        </w:rPr>
        <w:t>T. cucumerina</w:t>
      </w:r>
      <w:r w:rsidRPr="00C02823">
        <w:rPr>
          <w:highlight w:val="yellow"/>
        </w:rPr>
        <w:t xml:space="preserve"> in the context of diabetes: a 95% ethanolic whole-plant extract was screened in diabetic rats (Gautam </w:t>
      </w:r>
      <w:r w:rsidRPr="00C02823">
        <w:rPr>
          <w:i/>
          <w:highlight w:val="yellow"/>
        </w:rPr>
        <w:t>et al.</w:t>
      </w:r>
      <w:r w:rsidRPr="00C02823">
        <w:rPr>
          <w:highlight w:val="yellow"/>
        </w:rPr>
        <w:t xml:space="preserve">, 2025), and a 2026 comparative STZ-induced Wistar rat study evaluated methanolic green-fruit extract of </w:t>
      </w:r>
      <w:r w:rsidRPr="00C02823">
        <w:rPr>
          <w:i/>
          <w:highlight w:val="yellow"/>
        </w:rPr>
        <w:t>T. cucumerina subsp. cucumerina</w:t>
      </w:r>
      <w:r w:rsidRPr="00C02823">
        <w:rPr>
          <w:highlight w:val="yellow"/>
        </w:rPr>
        <w:t xml:space="preserve"> (Radharamanan &amp; Perumal, 2026). A recent review of plant-based foods and phytochemicals in diabetes also identifies </w:t>
      </w:r>
      <w:r w:rsidRPr="00C02823">
        <w:rPr>
          <w:i/>
          <w:highlight w:val="yellow"/>
        </w:rPr>
        <w:t>T. cucumerina</w:t>
      </w:r>
      <w:r w:rsidRPr="00C02823">
        <w:rPr>
          <w:highlight w:val="yellow"/>
        </w:rPr>
        <w:t xml:space="preserve"> among plant sources with reported antihyperglycaemic relevance (Ansari </w:t>
      </w:r>
      <w:r w:rsidRPr="00C02823">
        <w:rPr>
          <w:i/>
          <w:highlight w:val="yellow"/>
        </w:rPr>
        <w:t>et al.</w:t>
      </w:r>
      <w:r w:rsidRPr="00C02823">
        <w:rPr>
          <w:highlight w:val="yellow"/>
        </w:rPr>
        <w:t>, 2024).</w:t>
      </w:r>
      <w:r>
        <w:rPr>
          <w:b/>
          <w:highlight w:val="yellow"/>
        </w:rPr>
        <w:t xml:space="preserve"> </w:t>
      </w:r>
      <w:r>
        <w:t xml:space="preserve">However, despite its traditional applications and preliminary evidence of efficacy, rigorous empirical validation of the ethanolic extract of </w:t>
      </w:r>
      <w:r w:rsidRPr="00B85CB7">
        <w:rPr>
          <w:i/>
          <w:iCs/>
        </w:rPr>
        <w:t xml:space="preserve">T. </w:t>
      </w:r>
      <w:r w:rsidRPr="00B85CB7">
        <w:rPr>
          <w:i/>
          <w:iCs/>
        </w:rPr>
        <w:lastRenderedPageBreak/>
        <w:t>cucumerina</w:t>
      </w:r>
      <w:r w:rsidRPr="00B85CB7">
        <w:t xml:space="preserve"> with respect to hyperglycaemic index regulation and lipid profile modulation in controlled animal models remains limited. The present study was therefore designed to address this gap by evaluating the effects of the ethanolic extract of </w:t>
      </w:r>
      <w:r w:rsidRPr="00B85CB7">
        <w:rPr>
          <w:i/>
          <w:iCs/>
        </w:rPr>
        <w:t>T. cucumerina</w:t>
      </w:r>
      <w:r w:rsidRPr="00B85CB7">
        <w:t xml:space="preserve"> on the hyperglycaemic index and lipid profile in STZ-induced diabetic albino rats.</w:t>
      </w:r>
    </w:p>
    <w:p w14:paraId="0049FA33" w14:textId="77777777" w:rsidR="00487FEC" w:rsidRPr="00B85CB7" w:rsidRDefault="00487FEC" w:rsidP="00487FEC">
      <w:pPr>
        <w:pStyle w:val="Heading1"/>
        <w:spacing w:before="0" w:after="0" w:line="480" w:lineRule="auto"/>
        <w:rPr>
          <w:sz w:val="24"/>
          <w:szCs w:val="24"/>
        </w:rPr>
      </w:pPr>
      <w:bookmarkStart w:id="0" w:name="_Toc230616737"/>
      <w:r w:rsidRPr="00B85CB7">
        <w:rPr>
          <w:sz w:val="24"/>
          <w:szCs w:val="24"/>
        </w:rPr>
        <w:t>MATERIALS AND METHODS</w:t>
      </w:r>
      <w:bookmarkEnd w:id="0"/>
    </w:p>
    <w:p w14:paraId="3110359E" w14:textId="77777777" w:rsidR="00487FEC" w:rsidRPr="00B85CB7" w:rsidRDefault="00487FEC" w:rsidP="00487FEC">
      <w:pPr>
        <w:pStyle w:val="Heading2"/>
        <w:spacing w:before="0" w:line="480" w:lineRule="auto"/>
        <w:jc w:val="both"/>
      </w:pPr>
      <w:bookmarkStart w:id="1" w:name="_Toc230616738"/>
      <w:r w:rsidRPr="00B85CB7">
        <w:t>Study Area</w:t>
      </w:r>
      <w:bookmarkEnd w:id="1"/>
    </w:p>
    <w:p w14:paraId="55E5C5FD" w14:textId="77777777" w:rsidR="00487FEC" w:rsidRPr="00B85CB7" w:rsidRDefault="00487FEC" w:rsidP="00487FEC">
      <w:pPr>
        <w:spacing w:line="480" w:lineRule="auto"/>
        <w:ind w:firstLine="720"/>
        <w:jc w:val="both"/>
      </w:pPr>
      <w:r w:rsidRPr="00B85CB7">
        <w:t>The plant material was collected from a cultivated botanical garden located within the Calabar South Local Government Area (LGA), Cross River State, Nigeria. All laboratory analyses were conducted at the Biochemistry Research Laboratory, Department of Biochemistry, University of Cross River State (UNICROSS), Calabar.</w:t>
      </w:r>
    </w:p>
    <w:p w14:paraId="6AE97019" w14:textId="77777777" w:rsidR="00487FEC" w:rsidRPr="00B85CB7" w:rsidRDefault="00487FEC" w:rsidP="00487FEC">
      <w:pPr>
        <w:pStyle w:val="Heading2"/>
        <w:spacing w:before="0" w:line="480" w:lineRule="auto"/>
        <w:jc w:val="both"/>
      </w:pPr>
      <w:bookmarkStart w:id="2" w:name="_Toc230616739"/>
      <w:r w:rsidRPr="00B85CB7">
        <w:t>Materials</w:t>
      </w:r>
      <w:bookmarkEnd w:id="2"/>
    </w:p>
    <w:p w14:paraId="187E4C38" w14:textId="77777777" w:rsidR="00487FEC" w:rsidRPr="00B85CB7" w:rsidRDefault="00487FEC" w:rsidP="00487FEC">
      <w:pPr>
        <w:pStyle w:val="Heading3"/>
        <w:spacing w:before="0" w:line="480" w:lineRule="auto"/>
        <w:jc w:val="both"/>
      </w:pPr>
      <w:bookmarkStart w:id="3" w:name="_Toc230616740"/>
      <w:r w:rsidRPr="00B85CB7">
        <w:t>Experimental Plant Material</w:t>
      </w:r>
      <w:bookmarkEnd w:id="3"/>
    </w:p>
    <w:p w14:paraId="403ED1CB" w14:textId="77777777" w:rsidR="00487FEC" w:rsidRPr="00B85CB7" w:rsidRDefault="00487FEC" w:rsidP="00487FEC">
      <w:pPr>
        <w:spacing w:line="480" w:lineRule="auto"/>
        <w:ind w:firstLine="720"/>
        <w:jc w:val="both"/>
      </w:pPr>
      <w:r w:rsidRPr="00B85CB7">
        <w:t xml:space="preserve">Fresh, mature leaves of </w:t>
      </w:r>
      <w:r w:rsidRPr="00B85CB7">
        <w:rPr>
          <w:i/>
          <w:iCs/>
        </w:rPr>
        <w:t xml:space="preserve">Trichosanthes cucumerina </w:t>
      </w:r>
      <w:r w:rsidRPr="00B85CB7">
        <w:t>Linn. were harvested from the cultivated botanical garden in Calabar South LGA, Cross River State, Nigeria, during the wet season (June 2025). Plant authentication was conducted by a certified plant taxonomist at the Forest Herbarium, UNICROSS Botanist Garden, Calabar. A voucher specimen was deposited and assigned Voucher Number FHI 112358 for permanent reference.</w:t>
      </w:r>
    </w:p>
    <w:p w14:paraId="45031D3B" w14:textId="77777777" w:rsidR="00487FEC" w:rsidRPr="00B85CB7" w:rsidRDefault="00487FEC" w:rsidP="00487FEC">
      <w:pPr>
        <w:pStyle w:val="Heading3"/>
        <w:spacing w:before="0" w:line="480" w:lineRule="auto"/>
        <w:jc w:val="both"/>
      </w:pPr>
      <w:bookmarkStart w:id="4" w:name="_Toc230616741"/>
      <w:r w:rsidRPr="00B85CB7">
        <w:t>Experimental Animals</w:t>
      </w:r>
      <w:bookmarkEnd w:id="4"/>
    </w:p>
    <w:p w14:paraId="49361FCF" w14:textId="48999722" w:rsidR="00487FEC" w:rsidRPr="00B85CB7" w:rsidRDefault="00487FEC" w:rsidP="00654AF6">
      <w:pPr>
        <w:spacing w:line="480" w:lineRule="auto"/>
        <w:ind w:firstLine="720"/>
        <w:jc w:val="both"/>
      </w:pPr>
      <w:r w:rsidRPr="00B85CB7">
        <w:t>Twenty-five (25) healthy, young adult male albino rats (</w:t>
      </w:r>
      <w:r>
        <w:rPr>
          <w:i/>
        </w:rPr>
        <w:t>Rattus norvegicus</w:t>
      </w:r>
      <w:r>
        <w:t xml:space="preserve">, Wistar strain), with body weights ranging from 150 to 200 g, were procured from the Animal House Facility, Department of Biochemistry, UNICROSS. Male rats were exclusively used to eliminate hormonal variability associated with the </w:t>
      </w:r>
      <w:r w:rsidRPr="00B85CB7">
        <w:t>oestrous cycle in females, which can significantly confound biochemical and haematological parameters (</w:t>
      </w:r>
      <w:r w:rsidR="00BC18CE" w:rsidRPr="00BC18CE">
        <w:t>Sathesh Kumar</w:t>
      </w:r>
      <w:r w:rsidRPr="00B85CB7">
        <w:t xml:space="preserve"> et al., 2009). The animals were housed in well-ventilated, sanitized polypropylene cages with sterile paddy husk bedding and maintained under standard laboratory conditions: a 12-hour light/dark cycle, ambient temperature of 25 ± 2°C, and relative humidity of 55 ± 5%. They were provided with standard pelletized rodent feed (Vital Feeds®) and clean drinking water ad libitum. All animals were allowed a one-week acclimatization period prior to the commencement of experimental procedures. </w:t>
      </w:r>
      <w:bookmarkStart w:id="5" w:name="_Toc230616742"/>
      <w:r w:rsidRPr="00B85CB7">
        <w:t>Chemicals and Reagents</w:t>
      </w:r>
      <w:bookmarkEnd w:id="5"/>
    </w:p>
    <w:p w14:paraId="3C6F1EBE" w14:textId="77777777" w:rsidR="00487FEC" w:rsidRPr="00524AD2" w:rsidRDefault="00487FEC" w:rsidP="00524AD2">
      <w:pPr>
        <w:spacing w:line="480" w:lineRule="auto"/>
        <w:jc w:val="both"/>
      </w:pPr>
      <w:r w:rsidRPr="00B85CB7">
        <w:t>The chemicals, reagents, and diagnostic kits used in this study are listed in Table 1 below.</w:t>
      </w:r>
      <w:r w:rsidRPr="00B85CB7">
        <w:rPr>
          <w:b/>
          <w:bCs/>
        </w:rPr>
        <w:br w:type="page"/>
      </w:r>
    </w:p>
    <w:p w14:paraId="0DFB3100" w14:textId="77777777" w:rsidR="00487FEC" w:rsidRPr="00B85CB7" w:rsidRDefault="00487FEC" w:rsidP="00487FEC">
      <w:pPr>
        <w:spacing w:line="480" w:lineRule="auto"/>
        <w:jc w:val="center"/>
      </w:pPr>
      <w:r w:rsidRPr="00B85CB7">
        <w:rPr>
          <w:b/>
          <w:bCs/>
        </w:rPr>
        <w:lastRenderedPageBreak/>
        <w:t>Table 1. Chemicals, reagents, and diagnostic kits used in this study</w:t>
      </w:r>
    </w:p>
    <w:tbl>
      <w:tblPr>
        <w:tblW w:w="9026" w:type="dxa"/>
        <w:tblCellMar>
          <w:left w:w="10" w:type="dxa"/>
          <w:right w:w="10" w:type="dxa"/>
        </w:tblCellMar>
        <w:tblLook w:val="0000" w:firstRow="0" w:lastRow="0" w:firstColumn="0" w:lastColumn="0" w:noHBand="0" w:noVBand="0"/>
      </w:tblPr>
      <w:tblGrid>
        <w:gridCol w:w="3500"/>
        <w:gridCol w:w="3263"/>
        <w:gridCol w:w="2263"/>
      </w:tblGrid>
      <w:tr w:rsidR="00487FEC" w:rsidRPr="00B85CB7" w14:paraId="28765061" w14:textId="77777777" w:rsidTr="005D2D54">
        <w:trPr>
          <w:cantSplit/>
          <w:tblHeader/>
        </w:trPr>
        <w:tc>
          <w:tcPr>
            <w:tcW w:w="35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78937588" w14:textId="77777777" w:rsidR="00487FEC" w:rsidRPr="00B85CB7" w:rsidRDefault="00487FEC" w:rsidP="005D2D54">
            <w:pPr>
              <w:spacing w:line="360" w:lineRule="auto"/>
              <w:jc w:val="both"/>
            </w:pPr>
            <w:r w:rsidRPr="00B85CB7">
              <w:rPr>
                <w:b/>
                <w:bCs/>
              </w:rPr>
              <w:t>Reagent / Chemical</w:t>
            </w:r>
          </w:p>
        </w:tc>
        <w:tc>
          <w:tcPr>
            <w:tcW w:w="326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C10ECE0" w14:textId="77777777" w:rsidR="00487FEC" w:rsidRPr="00B85CB7" w:rsidRDefault="00487FEC" w:rsidP="005D2D54">
            <w:pPr>
              <w:spacing w:line="360" w:lineRule="auto"/>
              <w:jc w:val="both"/>
            </w:pPr>
            <w:r w:rsidRPr="00B85CB7">
              <w:rPr>
                <w:b/>
                <w:bCs/>
              </w:rPr>
              <w:t>Purpose / Assay</w:t>
            </w:r>
          </w:p>
        </w:tc>
        <w:tc>
          <w:tcPr>
            <w:tcW w:w="226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05C1AA0" w14:textId="77777777" w:rsidR="00487FEC" w:rsidRPr="00B85CB7" w:rsidRDefault="00487FEC" w:rsidP="005D2D54">
            <w:pPr>
              <w:spacing w:line="360" w:lineRule="auto"/>
              <w:jc w:val="both"/>
            </w:pPr>
            <w:r w:rsidRPr="00B85CB7">
              <w:rPr>
                <w:b/>
                <w:bCs/>
              </w:rPr>
              <w:t>Supplier / Standard</w:t>
            </w:r>
          </w:p>
        </w:tc>
      </w:tr>
      <w:tr w:rsidR="00487FEC" w:rsidRPr="00B85CB7" w14:paraId="3ABEBEA4" w14:textId="77777777" w:rsidTr="005D2D54">
        <w:trPr>
          <w:cantSplit/>
        </w:trPr>
        <w:tc>
          <w:tcPr>
            <w:tcW w:w="3500" w:type="dxa"/>
            <w:tcBorders>
              <w:top w:val="single" w:sz="4" w:space="0" w:color="auto"/>
            </w:tcBorders>
            <w:shd w:val="clear" w:color="auto" w:fill="FFFFFF"/>
            <w:tcMar>
              <w:top w:w="80" w:type="dxa"/>
              <w:left w:w="120" w:type="dxa"/>
              <w:bottom w:w="80" w:type="dxa"/>
              <w:right w:w="120" w:type="dxa"/>
            </w:tcMar>
            <w:vAlign w:val="center"/>
          </w:tcPr>
          <w:p w14:paraId="5DF6746D" w14:textId="77777777" w:rsidR="00487FEC" w:rsidRPr="00B85CB7" w:rsidRDefault="00487FEC" w:rsidP="005D2D54">
            <w:pPr>
              <w:spacing w:line="360" w:lineRule="auto"/>
              <w:jc w:val="both"/>
            </w:pPr>
            <w:r w:rsidRPr="00B85CB7">
              <w:t>Streptozotocin (STZ)</w:t>
            </w:r>
          </w:p>
        </w:tc>
        <w:tc>
          <w:tcPr>
            <w:tcW w:w="3263" w:type="dxa"/>
            <w:tcBorders>
              <w:top w:val="single" w:sz="4" w:space="0" w:color="auto"/>
            </w:tcBorders>
            <w:shd w:val="clear" w:color="auto" w:fill="FFFFFF"/>
            <w:tcMar>
              <w:top w:w="80" w:type="dxa"/>
              <w:left w:w="120" w:type="dxa"/>
              <w:bottom w:w="80" w:type="dxa"/>
              <w:right w:w="120" w:type="dxa"/>
            </w:tcMar>
            <w:vAlign w:val="center"/>
          </w:tcPr>
          <w:p w14:paraId="52DD559C" w14:textId="77777777" w:rsidR="00487FEC" w:rsidRPr="00B85CB7" w:rsidRDefault="00487FEC" w:rsidP="005D2D54">
            <w:pPr>
              <w:spacing w:line="360" w:lineRule="auto"/>
              <w:jc w:val="both"/>
            </w:pPr>
            <w:r w:rsidRPr="00B85CB7">
              <w:t>Induction of experimental diabetes in rats</w:t>
            </w:r>
          </w:p>
        </w:tc>
        <w:tc>
          <w:tcPr>
            <w:tcW w:w="2263" w:type="dxa"/>
            <w:tcBorders>
              <w:top w:val="single" w:sz="4" w:space="0" w:color="auto"/>
            </w:tcBorders>
            <w:shd w:val="clear" w:color="auto" w:fill="FFFFFF"/>
            <w:tcMar>
              <w:top w:w="80" w:type="dxa"/>
              <w:left w:w="120" w:type="dxa"/>
              <w:bottom w:w="80" w:type="dxa"/>
              <w:right w:w="120" w:type="dxa"/>
            </w:tcMar>
            <w:vAlign w:val="center"/>
          </w:tcPr>
          <w:p w14:paraId="102A1D9D" w14:textId="77777777" w:rsidR="00487FEC" w:rsidRPr="00B85CB7" w:rsidRDefault="00487FEC" w:rsidP="005D2D54">
            <w:pPr>
              <w:spacing w:line="360" w:lineRule="auto"/>
              <w:jc w:val="both"/>
            </w:pPr>
            <w:r w:rsidRPr="00B85CB7">
              <w:t>Sigma-Aldrich</w:t>
            </w:r>
          </w:p>
        </w:tc>
      </w:tr>
      <w:tr w:rsidR="00487FEC" w:rsidRPr="00B85CB7" w14:paraId="21C4F2AA" w14:textId="77777777" w:rsidTr="005D2D54">
        <w:trPr>
          <w:cantSplit/>
        </w:trPr>
        <w:tc>
          <w:tcPr>
            <w:tcW w:w="3500" w:type="dxa"/>
            <w:shd w:val="clear" w:color="auto" w:fill="FFFFFF"/>
            <w:tcMar>
              <w:top w:w="80" w:type="dxa"/>
              <w:left w:w="120" w:type="dxa"/>
              <w:bottom w:w="80" w:type="dxa"/>
              <w:right w:w="120" w:type="dxa"/>
            </w:tcMar>
            <w:vAlign w:val="center"/>
          </w:tcPr>
          <w:p w14:paraId="42A472AB" w14:textId="77777777" w:rsidR="00487FEC" w:rsidRPr="00B85CB7" w:rsidRDefault="00487FEC" w:rsidP="005D2D54">
            <w:pPr>
              <w:spacing w:line="360" w:lineRule="auto"/>
              <w:jc w:val="both"/>
            </w:pPr>
            <w:r w:rsidRPr="00B85CB7">
              <w:t>Sodium citrate buffer (0.1 M, pH 4.5)</w:t>
            </w:r>
          </w:p>
        </w:tc>
        <w:tc>
          <w:tcPr>
            <w:tcW w:w="3263" w:type="dxa"/>
            <w:shd w:val="clear" w:color="auto" w:fill="FFFFFF"/>
            <w:tcMar>
              <w:top w:w="80" w:type="dxa"/>
              <w:left w:w="120" w:type="dxa"/>
              <w:bottom w:w="80" w:type="dxa"/>
              <w:right w:w="120" w:type="dxa"/>
            </w:tcMar>
            <w:vAlign w:val="center"/>
          </w:tcPr>
          <w:p w14:paraId="39CFE2D6" w14:textId="77777777" w:rsidR="00487FEC" w:rsidRPr="00B85CB7" w:rsidRDefault="00487FEC" w:rsidP="005D2D54">
            <w:pPr>
              <w:spacing w:line="360" w:lineRule="auto"/>
              <w:jc w:val="both"/>
            </w:pPr>
            <w:r w:rsidRPr="00B85CB7">
              <w:t>Vehicle for STZ preparation</w:t>
            </w:r>
          </w:p>
        </w:tc>
        <w:tc>
          <w:tcPr>
            <w:tcW w:w="2263" w:type="dxa"/>
            <w:shd w:val="clear" w:color="auto" w:fill="FFFFFF"/>
            <w:tcMar>
              <w:top w:w="80" w:type="dxa"/>
              <w:left w:w="120" w:type="dxa"/>
              <w:bottom w:w="80" w:type="dxa"/>
              <w:right w:w="120" w:type="dxa"/>
            </w:tcMar>
            <w:vAlign w:val="center"/>
          </w:tcPr>
          <w:p w14:paraId="773E07FA" w14:textId="77777777" w:rsidR="00487FEC" w:rsidRPr="00B85CB7" w:rsidRDefault="00487FEC" w:rsidP="005D2D54">
            <w:pPr>
              <w:spacing w:line="360" w:lineRule="auto"/>
              <w:jc w:val="both"/>
            </w:pPr>
            <w:r w:rsidRPr="00B85CB7">
              <w:t>Laboratory-prepared</w:t>
            </w:r>
          </w:p>
        </w:tc>
      </w:tr>
      <w:tr w:rsidR="00487FEC" w:rsidRPr="00B85CB7" w14:paraId="0187895D" w14:textId="77777777" w:rsidTr="005D2D54">
        <w:trPr>
          <w:cantSplit/>
        </w:trPr>
        <w:tc>
          <w:tcPr>
            <w:tcW w:w="3500" w:type="dxa"/>
            <w:shd w:val="clear" w:color="auto" w:fill="FFFFFF"/>
            <w:tcMar>
              <w:top w:w="80" w:type="dxa"/>
              <w:left w:w="120" w:type="dxa"/>
              <w:bottom w:w="80" w:type="dxa"/>
              <w:right w:w="120" w:type="dxa"/>
            </w:tcMar>
            <w:vAlign w:val="center"/>
          </w:tcPr>
          <w:p w14:paraId="1B9E2C84" w14:textId="77777777" w:rsidR="00487FEC" w:rsidRPr="00B85CB7" w:rsidRDefault="00487FEC" w:rsidP="005D2D54">
            <w:pPr>
              <w:spacing w:line="360" w:lineRule="auto"/>
              <w:jc w:val="both"/>
            </w:pPr>
            <w:r w:rsidRPr="00B85CB7">
              <w:t>Metformin hydrochloride</w:t>
            </w:r>
          </w:p>
        </w:tc>
        <w:tc>
          <w:tcPr>
            <w:tcW w:w="3263" w:type="dxa"/>
            <w:shd w:val="clear" w:color="auto" w:fill="FFFFFF"/>
            <w:tcMar>
              <w:top w:w="80" w:type="dxa"/>
              <w:left w:w="120" w:type="dxa"/>
              <w:bottom w:w="80" w:type="dxa"/>
              <w:right w:w="120" w:type="dxa"/>
            </w:tcMar>
            <w:vAlign w:val="center"/>
          </w:tcPr>
          <w:p w14:paraId="1E1E85BE" w14:textId="77777777" w:rsidR="00487FEC" w:rsidRPr="00B85CB7" w:rsidRDefault="00487FEC" w:rsidP="005D2D54">
            <w:pPr>
              <w:spacing w:line="360" w:lineRule="auto"/>
              <w:jc w:val="both"/>
            </w:pPr>
            <w:r w:rsidRPr="00B85CB7">
              <w:t>Standard antidiabetic drug (positive control)</w:t>
            </w:r>
          </w:p>
        </w:tc>
        <w:tc>
          <w:tcPr>
            <w:tcW w:w="2263" w:type="dxa"/>
            <w:shd w:val="clear" w:color="auto" w:fill="FFFFFF"/>
            <w:tcMar>
              <w:top w:w="80" w:type="dxa"/>
              <w:left w:w="120" w:type="dxa"/>
              <w:bottom w:w="80" w:type="dxa"/>
              <w:right w:w="120" w:type="dxa"/>
            </w:tcMar>
            <w:vAlign w:val="center"/>
          </w:tcPr>
          <w:p w14:paraId="13FD8FEF" w14:textId="77777777" w:rsidR="00487FEC" w:rsidRPr="00B85CB7" w:rsidRDefault="00487FEC" w:rsidP="005D2D54">
            <w:pPr>
              <w:spacing w:line="360" w:lineRule="auto"/>
              <w:jc w:val="both"/>
            </w:pPr>
            <w:r w:rsidRPr="00B85CB7">
              <w:t>Standard (commercial-grade)</w:t>
            </w:r>
          </w:p>
        </w:tc>
      </w:tr>
      <w:tr w:rsidR="00487FEC" w:rsidRPr="00B85CB7" w14:paraId="682F3BB3" w14:textId="77777777" w:rsidTr="005D2D54">
        <w:trPr>
          <w:cantSplit/>
        </w:trPr>
        <w:tc>
          <w:tcPr>
            <w:tcW w:w="3500" w:type="dxa"/>
            <w:shd w:val="clear" w:color="auto" w:fill="FFFFFF"/>
            <w:tcMar>
              <w:top w:w="80" w:type="dxa"/>
              <w:left w:w="120" w:type="dxa"/>
              <w:bottom w:w="80" w:type="dxa"/>
              <w:right w:w="120" w:type="dxa"/>
            </w:tcMar>
            <w:vAlign w:val="center"/>
          </w:tcPr>
          <w:p w14:paraId="47AD577A" w14:textId="77777777" w:rsidR="00487FEC" w:rsidRPr="00B85CB7" w:rsidRDefault="00487FEC" w:rsidP="005D2D54">
            <w:pPr>
              <w:spacing w:line="360" w:lineRule="auto"/>
              <w:jc w:val="both"/>
            </w:pPr>
            <w:r w:rsidRPr="00B85CB7">
              <w:t>Distilled water</w:t>
            </w:r>
          </w:p>
        </w:tc>
        <w:tc>
          <w:tcPr>
            <w:tcW w:w="3263" w:type="dxa"/>
            <w:shd w:val="clear" w:color="auto" w:fill="FFFFFF"/>
            <w:tcMar>
              <w:top w:w="80" w:type="dxa"/>
              <w:left w:w="120" w:type="dxa"/>
              <w:bottom w:w="80" w:type="dxa"/>
              <w:right w:w="120" w:type="dxa"/>
            </w:tcMar>
            <w:vAlign w:val="center"/>
          </w:tcPr>
          <w:p w14:paraId="6001C0FB" w14:textId="77777777" w:rsidR="00487FEC" w:rsidRPr="00B85CB7" w:rsidRDefault="00487FEC" w:rsidP="005D2D54">
            <w:pPr>
              <w:spacing w:line="360" w:lineRule="auto"/>
              <w:jc w:val="both"/>
            </w:pPr>
            <w:r w:rsidRPr="00B85CB7">
              <w:t>Extraction solvent and vehicle</w:t>
            </w:r>
          </w:p>
        </w:tc>
        <w:tc>
          <w:tcPr>
            <w:tcW w:w="2263" w:type="dxa"/>
            <w:shd w:val="clear" w:color="auto" w:fill="FFFFFF"/>
            <w:tcMar>
              <w:top w:w="80" w:type="dxa"/>
              <w:left w:w="120" w:type="dxa"/>
              <w:bottom w:w="80" w:type="dxa"/>
              <w:right w:w="120" w:type="dxa"/>
            </w:tcMar>
            <w:vAlign w:val="center"/>
          </w:tcPr>
          <w:p w14:paraId="3E55446F" w14:textId="77777777" w:rsidR="00487FEC" w:rsidRPr="00B85CB7" w:rsidRDefault="00487FEC" w:rsidP="005D2D54">
            <w:pPr>
              <w:spacing w:line="360" w:lineRule="auto"/>
              <w:jc w:val="both"/>
            </w:pPr>
            <w:r w:rsidRPr="00B85CB7">
              <w:t>Laboratory-prepared</w:t>
            </w:r>
          </w:p>
        </w:tc>
      </w:tr>
      <w:tr w:rsidR="00487FEC" w:rsidRPr="00B85CB7" w14:paraId="323FF5AF" w14:textId="77777777" w:rsidTr="005D2D54">
        <w:trPr>
          <w:cantSplit/>
        </w:trPr>
        <w:tc>
          <w:tcPr>
            <w:tcW w:w="3500" w:type="dxa"/>
            <w:shd w:val="clear" w:color="auto" w:fill="FFFFFF"/>
            <w:tcMar>
              <w:top w:w="80" w:type="dxa"/>
              <w:left w:w="120" w:type="dxa"/>
              <w:bottom w:w="80" w:type="dxa"/>
              <w:right w:w="120" w:type="dxa"/>
            </w:tcMar>
            <w:vAlign w:val="center"/>
          </w:tcPr>
          <w:p w14:paraId="77123903" w14:textId="77777777" w:rsidR="00487FEC" w:rsidRPr="00B85CB7" w:rsidRDefault="00487FEC" w:rsidP="005D2D54">
            <w:pPr>
              <w:spacing w:line="360" w:lineRule="auto"/>
              <w:jc w:val="both"/>
            </w:pPr>
            <w:r w:rsidRPr="00B85CB7">
              <w:t>95% Ethanol</w:t>
            </w:r>
          </w:p>
        </w:tc>
        <w:tc>
          <w:tcPr>
            <w:tcW w:w="3263" w:type="dxa"/>
            <w:shd w:val="clear" w:color="auto" w:fill="FFFFFF"/>
            <w:tcMar>
              <w:top w:w="80" w:type="dxa"/>
              <w:left w:w="120" w:type="dxa"/>
              <w:bottom w:w="80" w:type="dxa"/>
              <w:right w:w="120" w:type="dxa"/>
            </w:tcMar>
            <w:vAlign w:val="center"/>
          </w:tcPr>
          <w:p w14:paraId="11221304" w14:textId="77777777" w:rsidR="00487FEC" w:rsidRPr="00B85CB7" w:rsidRDefault="00487FEC" w:rsidP="005D2D54">
            <w:pPr>
              <w:spacing w:line="360" w:lineRule="auto"/>
              <w:jc w:val="both"/>
            </w:pPr>
            <w:r w:rsidRPr="00B85CB7">
              <w:t>Primary extraction solvent (maceration)</w:t>
            </w:r>
          </w:p>
        </w:tc>
        <w:tc>
          <w:tcPr>
            <w:tcW w:w="2263" w:type="dxa"/>
            <w:shd w:val="clear" w:color="auto" w:fill="FFFFFF"/>
            <w:tcMar>
              <w:top w:w="80" w:type="dxa"/>
              <w:left w:w="120" w:type="dxa"/>
              <w:bottom w:w="80" w:type="dxa"/>
              <w:right w:w="120" w:type="dxa"/>
            </w:tcMar>
            <w:vAlign w:val="center"/>
          </w:tcPr>
          <w:p w14:paraId="63403BB8" w14:textId="77777777" w:rsidR="00487FEC" w:rsidRPr="00B85CB7" w:rsidRDefault="00487FEC" w:rsidP="005D2D54">
            <w:pPr>
              <w:spacing w:line="360" w:lineRule="auto"/>
              <w:jc w:val="both"/>
            </w:pPr>
            <w:r w:rsidRPr="00B85CB7">
              <w:t>BDH Chemicals, UK</w:t>
            </w:r>
          </w:p>
        </w:tc>
      </w:tr>
      <w:tr w:rsidR="00487FEC" w:rsidRPr="00B85CB7" w14:paraId="093DFE9D" w14:textId="77777777" w:rsidTr="005D2D54">
        <w:trPr>
          <w:cantSplit/>
        </w:trPr>
        <w:tc>
          <w:tcPr>
            <w:tcW w:w="3500" w:type="dxa"/>
            <w:shd w:val="clear" w:color="auto" w:fill="FFFFFF"/>
            <w:tcMar>
              <w:top w:w="80" w:type="dxa"/>
              <w:left w:w="120" w:type="dxa"/>
              <w:bottom w:w="80" w:type="dxa"/>
              <w:right w:w="120" w:type="dxa"/>
            </w:tcMar>
            <w:vAlign w:val="center"/>
          </w:tcPr>
          <w:p w14:paraId="5AC10D5E" w14:textId="77777777" w:rsidR="00487FEC" w:rsidRPr="00B85CB7" w:rsidRDefault="00487FEC" w:rsidP="005D2D54">
            <w:pPr>
              <w:spacing w:line="360" w:lineRule="auto"/>
              <w:jc w:val="both"/>
            </w:pPr>
            <w:r w:rsidRPr="00B85CB7">
              <w:t>Petroleum ether</w:t>
            </w:r>
          </w:p>
        </w:tc>
        <w:tc>
          <w:tcPr>
            <w:tcW w:w="3263" w:type="dxa"/>
            <w:shd w:val="clear" w:color="auto" w:fill="FFFFFF"/>
            <w:tcMar>
              <w:top w:w="80" w:type="dxa"/>
              <w:left w:w="120" w:type="dxa"/>
              <w:bottom w:w="80" w:type="dxa"/>
              <w:right w:w="120" w:type="dxa"/>
            </w:tcMar>
            <w:vAlign w:val="center"/>
          </w:tcPr>
          <w:p w14:paraId="3B2AC456" w14:textId="77777777" w:rsidR="00487FEC" w:rsidRPr="00B85CB7" w:rsidRDefault="00487FEC" w:rsidP="005D2D54">
            <w:pPr>
              <w:spacing w:line="360" w:lineRule="auto"/>
              <w:jc w:val="both"/>
            </w:pPr>
            <w:r w:rsidRPr="00B85CB7">
              <w:t>Crude fat / lipid extraction (Soxhlet)</w:t>
            </w:r>
          </w:p>
        </w:tc>
        <w:tc>
          <w:tcPr>
            <w:tcW w:w="2263" w:type="dxa"/>
            <w:shd w:val="clear" w:color="auto" w:fill="FFFFFF"/>
            <w:tcMar>
              <w:top w:w="80" w:type="dxa"/>
              <w:left w:w="120" w:type="dxa"/>
              <w:bottom w:w="80" w:type="dxa"/>
              <w:right w:w="120" w:type="dxa"/>
            </w:tcMar>
            <w:vAlign w:val="center"/>
          </w:tcPr>
          <w:p w14:paraId="72BAF460" w14:textId="77777777" w:rsidR="00487FEC" w:rsidRPr="00B85CB7" w:rsidRDefault="00487FEC" w:rsidP="005D2D54">
            <w:pPr>
              <w:spacing w:line="360" w:lineRule="auto"/>
              <w:jc w:val="both"/>
            </w:pPr>
            <w:r w:rsidRPr="00B85CB7">
              <w:t>Sigma-Aldrich</w:t>
            </w:r>
          </w:p>
        </w:tc>
      </w:tr>
      <w:tr w:rsidR="00487FEC" w:rsidRPr="00B85CB7" w14:paraId="06EAB1BD" w14:textId="77777777" w:rsidTr="005D2D54">
        <w:trPr>
          <w:cantSplit/>
        </w:trPr>
        <w:tc>
          <w:tcPr>
            <w:tcW w:w="3500" w:type="dxa"/>
            <w:shd w:val="clear" w:color="auto" w:fill="FFFFFF"/>
            <w:tcMar>
              <w:top w:w="80" w:type="dxa"/>
              <w:left w:w="120" w:type="dxa"/>
              <w:bottom w:w="80" w:type="dxa"/>
              <w:right w:w="120" w:type="dxa"/>
            </w:tcMar>
            <w:vAlign w:val="center"/>
          </w:tcPr>
          <w:p w14:paraId="2A5D8AB4" w14:textId="77777777" w:rsidR="00487FEC" w:rsidRPr="00B85CB7" w:rsidRDefault="00487FEC" w:rsidP="005D2D54">
            <w:pPr>
              <w:spacing w:line="360" w:lineRule="auto"/>
              <w:jc w:val="both"/>
            </w:pPr>
            <w:r w:rsidRPr="00B85CB7">
              <w:t>Concentrated H</w:t>
            </w:r>
            <w:r w:rsidRPr="00B85CB7">
              <w:rPr>
                <w:rFonts w:ascii="Cambria Math" w:hAnsi="Cambria Math" w:cs="Cambria Math"/>
              </w:rPr>
              <w:t>₂</w:t>
            </w:r>
            <w:r w:rsidRPr="00B85CB7">
              <w:t>SO</w:t>
            </w:r>
            <w:r w:rsidRPr="00B85CB7">
              <w:rPr>
                <w:rFonts w:ascii="Cambria Math" w:hAnsi="Cambria Math" w:cs="Cambria Math"/>
              </w:rPr>
              <w:t>₄</w:t>
            </w:r>
          </w:p>
        </w:tc>
        <w:tc>
          <w:tcPr>
            <w:tcW w:w="3263" w:type="dxa"/>
            <w:shd w:val="clear" w:color="auto" w:fill="FFFFFF"/>
            <w:tcMar>
              <w:top w:w="80" w:type="dxa"/>
              <w:left w:w="120" w:type="dxa"/>
              <w:bottom w:w="80" w:type="dxa"/>
              <w:right w:w="120" w:type="dxa"/>
            </w:tcMar>
            <w:vAlign w:val="center"/>
          </w:tcPr>
          <w:p w14:paraId="619EE1AC" w14:textId="77777777" w:rsidR="00487FEC" w:rsidRPr="00B85CB7" w:rsidRDefault="00487FEC" w:rsidP="005D2D54">
            <w:pPr>
              <w:spacing w:line="360" w:lineRule="auto"/>
              <w:jc w:val="both"/>
            </w:pPr>
            <w:r w:rsidRPr="00B85CB7">
              <w:t>Kjeldahl digestion (protein) and crude fibre acid hydrolysis</w:t>
            </w:r>
          </w:p>
        </w:tc>
        <w:tc>
          <w:tcPr>
            <w:tcW w:w="2263" w:type="dxa"/>
            <w:shd w:val="clear" w:color="auto" w:fill="FFFFFF"/>
            <w:tcMar>
              <w:top w:w="80" w:type="dxa"/>
              <w:left w:w="120" w:type="dxa"/>
              <w:bottom w:w="80" w:type="dxa"/>
              <w:right w:w="120" w:type="dxa"/>
            </w:tcMar>
            <w:vAlign w:val="center"/>
          </w:tcPr>
          <w:p w14:paraId="27446BDC" w14:textId="77777777" w:rsidR="00487FEC" w:rsidRPr="00B85CB7" w:rsidRDefault="00487FEC" w:rsidP="005D2D54">
            <w:pPr>
              <w:spacing w:line="360" w:lineRule="auto"/>
              <w:jc w:val="both"/>
            </w:pPr>
            <w:r w:rsidRPr="00B85CB7">
              <w:t>BDH Chemicals, UK</w:t>
            </w:r>
          </w:p>
        </w:tc>
      </w:tr>
      <w:tr w:rsidR="00487FEC" w:rsidRPr="00B85CB7" w14:paraId="4B1DC26F" w14:textId="77777777" w:rsidTr="005D2D54">
        <w:trPr>
          <w:cantSplit/>
        </w:trPr>
        <w:tc>
          <w:tcPr>
            <w:tcW w:w="3500" w:type="dxa"/>
            <w:shd w:val="clear" w:color="auto" w:fill="FFFFFF"/>
            <w:tcMar>
              <w:top w:w="80" w:type="dxa"/>
              <w:left w:w="120" w:type="dxa"/>
              <w:bottom w:w="80" w:type="dxa"/>
              <w:right w:w="120" w:type="dxa"/>
            </w:tcMar>
            <w:vAlign w:val="center"/>
          </w:tcPr>
          <w:p w14:paraId="74B158D4" w14:textId="77777777" w:rsidR="00487FEC" w:rsidRPr="00B85CB7" w:rsidRDefault="00487FEC" w:rsidP="005D2D54">
            <w:pPr>
              <w:spacing w:line="360" w:lineRule="auto"/>
              <w:jc w:val="both"/>
            </w:pPr>
            <w:r w:rsidRPr="00B85CB7">
              <w:t>40% NaOH solution</w:t>
            </w:r>
          </w:p>
        </w:tc>
        <w:tc>
          <w:tcPr>
            <w:tcW w:w="3263" w:type="dxa"/>
            <w:shd w:val="clear" w:color="auto" w:fill="FFFFFF"/>
            <w:tcMar>
              <w:top w:w="80" w:type="dxa"/>
              <w:left w:w="120" w:type="dxa"/>
              <w:bottom w:w="80" w:type="dxa"/>
              <w:right w:w="120" w:type="dxa"/>
            </w:tcMar>
            <w:vAlign w:val="center"/>
          </w:tcPr>
          <w:p w14:paraId="52A9AD8F" w14:textId="77777777" w:rsidR="00487FEC" w:rsidRPr="00B85CB7" w:rsidRDefault="00487FEC" w:rsidP="005D2D54">
            <w:pPr>
              <w:spacing w:line="360" w:lineRule="auto"/>
              <w:jc w:val="both"/>
            </w:pPr>
            <w:r w:rsidRPr="00B85CB7">
              <w:t>Kjeldahl distillation step</w:t>
            </w:r>
          </w:p>
        </w:tc>
        <w:tc>
          <w:tcPr>
            <w:tcW w:w="2263" w:type="dxa"/>
            <w:shd w:val="clear" w:color="auto" w:fill="FFFFFF"/>
            <w:tcMar>
              <w:top w:w="80" w:type="dxa"/>
              <w:left w:w="120" w:type="dxa"/>
              <w:bottom w:w="80" w:type="dxa"/>
              <w:right w:w="120" w:type="dxa"/>
            </w:tcMar>
            <w:vAlign w:val="center"/>
          </w:tcPr>
          <w:p w14:paraId="52741A32" w14:textId="77777777" w:rsidR="00487FEC" w:rsidRPr="00B85CB7" w:rsidRDefault="00487FEC" w:rsidP="005D2D54">
            <w:pPr>
              <w:spacing w:line="360" w:lineRule="auto"/>
              <w:jc w:val="both"/>
            </w:pPr>
            <w:r w:rsidRPr="00B85CB7">
              <w:t>Laboratory-prepared</w:t>
            </w:r>
          </w:p>
        </w:tc>
      </w:tr>
      <w:tr w:rsidR="00487FEC" w:rsidRPr="00B85CB7" w14:paraId="2B17A83F" w14:textId="77777777" w:rsidTr="005D2D54">
        <w:trPr>
          <w:cantSplit/>
        </w:trPr>
        <w:tc>
          <w:tcPr>
            <w:tcW w:w="3500" w:type="dxa"/>
            <w:shd w:val="clear" w:color="auto" w:fill="FFFFFF"/>
            <w:tcMar>
              <w:top w:w="80" w:type="dxa"/>
              <w:left w:w="120" w:type="dxa"/>
              <w:bottom w:w="80" w:type="dxa"/>
              <w:right w:w="120" w:type="dxa"/>
            </w:tcMar>
            <w:vAlign w:val="center"/>
          </w:tcPr>
          <w:p w14:paraId="4FB90719" w14:textId="77777777" w:rsidR="00487FEC" w:rsidRPr="00B85CB7" w:rsidRDefault="00487FEC" w:rsidP="005D2D54">
            <w:pPr>
              <w:spacing w:line="360" w:lineRule="auto"/>
              <w:jc w:val="both"/>
            </w:pPr>
            <w:r w:rsidRPr="00B85CB7">
              <w:t>Anhydrous Na</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 CuSO</w:t>
            </w:r>
            <w:r w:rsidRPr="00B85CB7">
              <w:rPr>
                <w:rFonts w:ascii="Cambria Math" w:hAnsi="Cambria Math" w:cs="Cambria Math"/>
              </w:rPr>
              <w:t>₄</w:t>
            </w:r>
            <w:r w:rsidRPr="00B85CB7">
              <w:t xml:space="preserve"> (Kjeldahl catalyst)</w:t>
            </w:r>
          </w:p>
        </w:tc>
        <w:tc>
          <w:tcPr>
            <w:tcW w:w="3263" w:type="dxa"/>
            <w:shd w:val="clear" w:color="auto" w:fill="FFFFFF"/>
            <w:tcMar>
              <w:top w:w="80" w:type="dxa"/>
              <w:left w:w="120" w:type="dxa"/>
              <w:bottom w:w="80" w:type="dxa"/>
              <w:right w:w="120" w:type="dxa"/>
            </w:tcMar>
            <w:vAlign w:val="center"/>
          </w:tcPr>
          <w:p w14:paraId="08521DB5" w14:textId="77777777" w:rsidR="00487FEC" w:rsidRPr="00B85CB7" w:rsidRDefault="00487FEC" w:rsidP="005D2D54">
            <w:pPr>
              <w:spacing w:line="360" w:lineRule="auto"/>
              <w:jc w:val="both"/>
            </w:pPr>
            <w:r w:rsidRPr="00B85CB7">
              <w:t>Digestion catalyst for crude protein</w:t>
            </w:r>
          </w:p>
        </w:tc>
        <w:tc>
          <w:tcPr>
            <w:tcW w:w="2263" w:type="dxa"/>
            <w:shd w:val="clear" w:color="auto" w:fill="FFFFFF"/>
            <w:tcMar>
              <w:top w:w="80" w:type="dxa"/>
              <w:left w:w="120" w:type="dxa"/>
              <w:bottom w:w="80" w:type="dxa"/>
              <w:right w:w="120" w:type="dxa"/>
            </w:tcMar>
            <w:vAlign w:val="center"/>
          </w:tcPr>
          <w:p w14:paraId="514A5124" w14:textId="77777777" w:rsidR="00487FEC" w:rsidRPr="00B85CB7" w:rsidRDefault="00487FEC" w:rsidP="005D2D54">
            <w:pPr>
              <w:spacing w:line="360" w:lineRule="auto"/>
              <w:jc w:val="both"/>
            </w:pPr>
            <w:r w:rsidRPr="00B85CB7">
              <w:t>Sigma-Aldrich</w:t>
            </w:r>
          </w:p>
        </w:tc>
      </w:tr>
      <w:tr w:rsidR="00487FEC" w:rsidRPr="00B85CB7" w14:paraId="0AE9FD7A" w14:textId="77777777" w:rsidTr="005D2D54">
        <w:trPr>
          <w:cantSplit/>
        </w:trPr>
        <w:tc>
          <w:tcPr>
            <w:tcW w:w="3500" w:type="dxa"/>
            <w:shd w:val="clear" w:color="auto" w:fill="FFFFFF"/>
            <w:tcMar>
              <w:top w:w="80" w:type="dxa"/>
              <w:left w:w="120" w:type="dxa"/>
              <w:bottom w:w="80" w:type="dxa"/>
              <w:right w:w="120" w:type="dxa"/>
            </w:tcMar>
            <w:vAlign w:val="center"/>
          </w:tcPr>
          <w:p w14:paraId="459E4E61" w14:textId="77777777" w:rsidR="00487FEC" w:rsidRPr="00B85CB7" w:rsidRDefault="00487FEC" w:rsidP="005D2D54">
            <w:pPr>
              <w:spacing w:line="360" w:lineRule="auto"/>
              <w:jc w:val="both"/>
            </w:pPr>
            <w:r w:rsidRPr="00B85CB7">
              <w:t>2% Boric acid solution</w:t>
            </w:r>
          </w:p>
        </w:tc>
        <w:tc>
          <w:tcPr>
            <w:tcW w:w="3263" w:type="dxa"/>
            <w:shd w:val="clear" w:color="auto" w:fill="FFFFFF"/>
            <w:tcMar>
              <w:top w:w="80" w:type="dxa"/>
              <w:left w:w="120" w:type="dxa"/>
              <w:bottom w:w="80" w:type="dxa"/>
              <w:right w:w="120" w:type="dxa"/>
            </w:tcMar>
            <w:vAlign w:val="center"/>
          </w:tcPr>
          <w:p w14:paraId="6531C2BE" w14:textId="77777777" w:rsidR="00487FEC" w:rsidRPr="00B85CB7" w:rsidRDefault="00487FEC" w:rsidP="005D2D54">
            <w:pPr>
              <w:spacing w:line="360" w:lineRule="auto"/>
              <w:jc w:val="both"/>
            </w:pPr>
            <w:r w:rsidRPr="00B85CB7">
              <w:t>Ammonia absorption during distillation</w:t>
            </w:r>
          </w:p>
        </w:tc>
        <w:tc>
          <w:tcPr>
            <w:tcW w:w="2263" w:type="dxa"/>
            <w:shd w:val="clear" w:color="auto" w:fill="FFFFFF"/>
            <w:tcMar>
              <w:top w:w="80" w:type="dxa"/>
              <w:left w:w="120" w:type="dxa"/>
              <w:bottom w:w="80" w:type="dxa"/>
              <w:right w:w="120" w:type="dxa"/>
            </w:tcMar>
            <w:vAlign w:val="center"/>
          </w:tcPr>
          <w:p w14:paraId="4108D541" w14:textId="77777777" w:rsidR="00487FEC" w:rsidRPr="00B85CB7" w:rsidRDefault="00487FEC" w:rsidP="005D2D54">
            <w:pPr>
              <w:spacing w:line="360" w:lineRule="auto"/>
              <w:jc w:val="both"/>
            </w:pPr>
            <w:r w:rsidRPr="00B85CB7">
              <w:t>Laboratory-prepared</w:t>
            </w:r>
          </w:p>
        </w:tc>
      </w:tr>
      <w:tr w:rsidR="00487FEC" w:rsidRPr="00B85CB7" w14:paraId="10E72F20" w14:textId="77777777" w:rsidTr="005D2D54">
        <w:trPr>
          <w:cantSplit/>
        </w:trPr>
        <w:tc>
          <w:tcPr>
            <w:tcW w:w="3500" w:type="dxa"/>
            <w:shd w:val="clear" w:color="auto" w:fill="FFFFFF"/>
            <w:tcMar>
              <w:top w:w="80" w:type="dxa"/>
              <w:left w:w="120" w:type="dxa"/>
              <w:bottom w:w="80" w:type="dxa"/>
              <w:right w:w="120" w:type="dxa"/>
            </w:tcMar>
            <w:vAlign w:val="center"/>
          </w:tcPr>
          <w:p w14:paraId="4DADE326" w14:textId="77777777" w:rsidR="00487FEC" w:rsidRPr="00B85CB7" w:rsidRDefault="00487FEC" w:rsidP="005D2D54">
            <w:pPr>
              <w:spacing w:line="360" w:lineRule="auto"/>
              <w:jc w:val="both"/>
            </w:pPr>
            <w:r w:rsidRPr="00B85CB7">
              <w:t>0.1 N Hydrochloric acid (HCl)</w:t>
            </w:r>
          </w:p>
        </w:tc>
        <w:tc>
          <w:tcPr>
            <w:tcW w:w="3263" w:type="dxa"/>
            <w:shd w:val="clear" w:color="auto" w:fill="FFFFFF"/>
            <w:tcMar>
              <w:top w:w="80" w:type="dxa"/>
              <w:left w:w="120" w:type="dxa"/>
              <w:bottom w:w="80" w:type="dxa"/>
              <w:right w:w="120" w:type="dxa"/>
            </w:tcMar>
            <w:vAlign w:val="center"/>
          </w:tcPr>
          <w:p w14:paraId="22EFFAA1" w14:textId="77777777" w:rsidR="00487FEC" w:rsidRPr="00B85CB7" w:rsidRDefault="00487FEC" w:rsidP="005D2D54">
            <w:pPr>
              <w:spacing w:line="360" w:lineRule="auto"/>
              <w:jc w:val="both"/>
            </w:pPr>
            <w:r w:rsidRPr="00B85CB7">
              <w:t>Titrant for protein nitrogen estimation</w:t>
            </w:r>
          </w:p>
        </w:tc>
        <w:tc>
          <w:tcPr>
            <w:tcW w:w="2263" w:type="dxa"/>
            <w:shd w:val="clear" w:color="auto" w:fill="FFFFFF"/>
            <w:tcMar>
              <w:top w:w="80" w:type="dxa"/>
              <w:left w:w="120" w:type="dxa"/>
              <w:bottom w:w="80" w:type="dxa"/>
              <w:right w:w="120" w:type="dxa"/>
            </w:tcMar>
            <w:vAlign w:val="center"/>
          </w:tcPr>
          <w:p w14:paraId="6B6EB373" w14:textId="77777777" w:rsidR="00487FEC" w:rsidRPr="00B85CB7" w:rsidRDefault="00487FEC" w:rsidP="005D2D54">
            <w:pPr>
              <w:spacing w:line="360" w:lineRule="auto"/>
              <w:jc w:val="both"/>
            </w:pPr>
            <w:r w:rsidRPr="00B85CB7">
              <w:t>Laboratory-prepared</w:t>
            </w:r>
          </w:p>
        </w:tc>
      </w:tr>
      <w:tr w:rsidR="00487FEC" w:rsidRPr="00B85CB7" w14:paraId="080EAA3E" w14:textId="77777777" w:rsidTr="005D2D54">
        <w:trPr>
          <w:cantSplit/>
        </w:trPr>
        <w:tc>
          <w:tcPr>
            <w:tcW w:w="3500" w:type="dxa"/>
            <w:shd w:val="clear" w:color="auto" w:fill="FFFFFF"/>
            <w:tcMar>
              <w:top w:w="80" w:type="dxa"/>
              <w:left w:w="120" w:type="dxa"/>
              <w:bottom w:w="80" w:type="dxa"/>
              <w:right w:w="120" w:type="dxa"/>
            </w:tcMar>
            <w:vAlign w:val="center"/>
          </w:tcPr>
          <w:p w14:paraId="1007AB48" w14:textId="77777777" w:rsidR="00487FEC" w:rsidRPr="00B85CB7" w:rsidRDefault="00487FEC" w:rsidP="005D2D54">
            <w:pPr>
              <w:spacing w:line="360" w:lineRule="auto"/>
              <w:jc w:val="both"/>
            </w:pPr>
            <w:r w:rsidRPr="00B85CB7">
              <w:t>1.25%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 1.25% KOH</w:t>
            </w:r>
          </w:p>
        </w:tc>
        <w:tc>
          <w:tcPr>
            <w:tcW w:w="3263" w:type="dxa"/>
            <w:shd w:val="clear" w:color="auto" w:fill="FFFFFF"/>
            <w:tcMar>
              <w:top w:w="80" w:type="dxa"/>
              <w:left w:w="120" w:type="dxa"/>
              <w:bottom w:w="80" w:type="dxa"/>
              <w:right w:w="120" w:type="dxa"/>
            </w:tcMar>
            <w:vAlign w:val="center"/>
          </w:tcPr>
          <w:p w14:paraId="114295AB" w14:textId="77777777" w:rsidR="00487FEC" w:rsidRPr="00B85CB7" w:rsidRDefault="00487FEC" w:rsidP="005D2D54">
            <w:pPr>
              <w:spacing w:line="360" w:lineRule="auto"/>
              <w:jc w:val="both"/>
            </w:pPr>
            <w:r w:rsidRPr="00B85CB7">
              <w:t>Acid-alkali digestion for crude fibre</w:t>
            </w:r>
          </w:p>
        </w:tc>
        <w:tc>
          <w:tcPr>
            <w:tcW w:w="2263" w:type="dxa"/>
            <w:shd w:val="clear" w:color="auto" w:fill="FFFFFF"/>
            <w:tcMar>
              <w:top w:w="80" w:type="dxa"/>
              <w:left w:w="120" w:type="dxa"/>
              <w:bottom w:w="80" w:type="dxa"/>
              <w:right w:w="120" w:type="dxa"/>
            </w:tcMar>
            <w:vAlign w:val="center"/>
          </w:tcPr>
          <w:p w14:paraId="4274708D" w14:textId="77777777" w:rsidR="00487FEC" w:rsidRPr="00B85CB7" w:rsidRDefault="00487FEC" w:rsidP="005D2D54">
            <w:pPr>
              <w:spacing w:line="360" w:lineRule="auto"/>
              <w:jc w:val="both"/>
            </w:pPr>
            <w:r w:rsidRPr="00B85CB7">
              <w:t>AOAC standard</w:t>
            </w:r>
          </w:p>
        </w:tc>
      </w:tr>
      <w:tr w:rsidR="00487FEC" w:rsidRPr="00B85CB7" w14:paraId="3C3825B4" w14:textId="77777777" w:rsidTr="005D2D54">
        <w:trPr>
          <w:cantSplit/>
        </w:trPr>
        <w:tc>
          <w:tcPr>
            <w:tcW w:w="3500" w:type="dxa"/>
            <w:shd w:val="clear" w:color="auto" w:fill="FFFFFF"/>
            <w:tcMar>
              <w:top w:w="80" w:type="dxa"/>
              <w:left w:w="120" w:type="dxa"/>
              <w:bottom w:w="80" w:type="dxa"/>
              <w:right w:w="120" w:type="dxa"/>
            </w:tcMar>
            <w:vAlign w:val="center"/>
          </w:tcPr>
          <w:p w14:paraId="35A5B7E8" w14:textId="77777777" w:rsidR="00487FEC" w:rsidRPr="00B85CB7" w:rsidRDefault="00487FEC" w:rsidP="005D2D54">
            <w:pPr>
              <w:spacing w:line="360" w:lineRule="auto"/>
              <w:jc w:val="both"/>
            </w:pPr>
            <w:r w:rsidRPr="00B85CB7">
              <w:t>n-Octanol (antifoam agent)</w:t>
            </w:r>
          </w:p>
        </w:tc>
        <w:tc>
          <w:tcPr>
            <w:tcW w:w="3263" w:type="dxa"/>
            <w:shd w:val="clear" w:color="auto" w:fill="FFFFFF"/>
            <w:tcMar>
              <w:top w:w="80" w:type="dxa"/>
              <w:left w:w="120" w:type="dxa"/>
              <w:bottom w:w="80" w:type="dxa"/>
              <w:right w:w="120" w:type="dxa"/>
            </w:tcMar>
            <w:vAlign w:val="center"/>
          </w:tcPr>
          <w:p w14:paraId="318D1FA4" w14:textId="77777777" w:rsidR="00487FEC" w:rsidRPr="00B85CB7" w:rsidRDefault="00487FEC" w:rsidP="005D2D54">
            <w:pPr>
              <w:spacing w:line="360" w:lineRule="auto"/>
              <w:jc w:val="both"/>
            </w:pPr>
            <w:r w:rsidRPr="00B85CB7">
              <w:t>Crude fibre determination</w:t>
            </w:r>
          </w:p>
        </w:tc>
        <w:tc>
          <w:tcPr>
            <w:tcW w:w="2263" w:type="dxa"/>
            <w:shd w:val="clear" w:color="auto" w:fill="FFFFFF"/>
            <w:tcMar>
              <w:top w:w="80" w:type="dxa"/>
              <w:left w:w="120" w:type="dxa"/>
              <w:bottom w:w="80" w:type="dxa"/>
              <w:right w:w="120" w:type="dxa"/>
            </w:tcMar>
            <w:vAlign w:val="center"/>
          </w:tcPr>
          <w:p w14:paraId="0E03A0B0" w14:textId="77777777" w:rsidR="00487FEC" w:rsidRPr="00B85CB7" w:rsidRDefault="00487FEC" w:rsidP="005D2D54">
            <w:pPr>
              <w:spacing w:line="360" w:lineRule="auto"/>
              <w:jc w:val="both"/>
            </w:pPr>
            <w:r w:rsidRPr="00B85CB7">
              <w:t>Sigma-Aldrich</w:t>
            </w:r>
          </w:p>
        </w:tc>
      </w:tr>
      <w:tr w:rsidR="00487FEC" w:rsidRPr="00B85CB7" w14:paraId="3C2BF9B6" w14:textId="77777777" w:rsidTr="005D2D54">
        <w:trPr>
          <w:cantSplit/>
        </w:trPr>
        <w:tc>
          <w:tcPr>
            <w:tcW w:w="3500" w:type="dxa"/>
            <w:shd w:val="clear" w:color="auto" w:fill="FFFFFF"/>
            <w:tcMar>
              <w:top w:w="80" w:type="dxa"/>
              <w:left w:w="120" w:type="dxa"/>
              <w:bottom w:w="80" w:type="dxa"/>
              <w:right w:w="120" w:type="dxa"/>
            </w:tcMar>
            <w:vAlign w:val="center"/>
          </w:tcPr>
          <w:p w14:paraId="510B32D8" w14:textId="77777777" w:rsidR="00487FEC" w:rsidRPr="00B85CB7" w:rsidRDefault="00487FEC" w:rsidP="005D2D54">
            <w:pPr>
              <w:spacing w:line="360" w:lineRule="auto"/>
              <w:jc w:val="both"/>
            </w:pPr>
            <w:r w:rsidRPr="00B85CB7">
              <w:t>Anhydrous acetone</w:t>
            </w:r>
          </w:p>
        </w:tc>
        <w:tc>
          <w:tcPr>
            <w:tcW w:w="3263" w:type="dxa"/>
            <w:shd w:val="clear" w:color="auto" w:fill="FFFFFF"/>
            <w:tcMar>
              <w:top w:w="80" w:type="dxa"/>
              <w:left w:w="120" w:type="dxa"/>
              <w:bottom w:w="80" w:type="dxa"/>
              <w:right w:w="120" w:type="dxa"/>
            </w:tcMar>
            <w:vAlign w:val="center"/>
          </w:tcPr>
          <w:p w14:paraId="35AA7B1C" w14:textId="77777777" w:rsidR="00487FEC" w:rsidRPr="00B85CB7" w:rsidRDefault="00487FEC" w:rsidP="005D2D54">
            <w:pPr>
              <w:spacing w:line="360" w:lineRule="auto"/>
              <w:jc w:val="both"/>
            </w:pPr>
            <w:r w:rsidRPr="00B85CB7">
              <w:t>Defatting residue in crude fibre</w:t>
            </w:r>
          </w:p>
        </w:tc>
        <w:tc>
          <w:tcPr>
            <w:tcW w:w="2263" w:type="dxa"/>
            <w:shd w:val="clear" w:color="auto" w:fill="FFFFFF"/>
            <w:tcMar>
              <w:top w:w="80" w:type="dxa"/>
              <w:left w:w="120" w:type="dxa"/>
              <w:bottom w:w="80" w:type="dxa"/>
              <w:right w:w="120" w:type="dxa"/>
            </w:tcMar>
            <w:vAlign w:val="center"/>
          </w:tcPr>
          <w:p w14:paraId="6841B790" w14:textId="77777777" w:rsidR="00487FEC" w:rsidRPr="00B85CB7" w:rsidRDefault="00487FEC" w:rsidP="005D2D54">
            <w:pPr>
              <w:spacing w:line="360" w:lineRule="auto"/>
              <w:jc w:val="both"/>
            </w:pPr>
            <w:r w:rsidRPr="00B85CB7">
              <w:t>BDH Chemicals, UK</w:t>
            </w:r>
          </w:p>
        </w:tc>
      </w:tr>
      <w:tr w:rsidR="00487FEC" w:rsidRPr="00B85CB7" w14:paraId="043C04D5" w14:textId="77777777" w:rsidTr="005D2D54">
        <w:trPr>
          <w:cantSplit/>
        </w:trPr>
        <w:tc>
          <w:tcPr>
            <w:tcW w:w="3500" w:type="dxa"/>
            <w:shd w:val="clear" w:color="auto" w:fill="FFFFFF"/>
            <w:tcMar>
              <w:top w:w="80" w:type="dxa"/>
              <w:left w:w="120" w:type="dxa"/>
              <w:bottom w:w="80" w:type="dxa"/>
              <w:right w:w="120" w:type="dxa"/>
            </w:tcMar>
            <w:vAlign w:val="center"/>
          </w:tcPr>
          <w:p w14:paraId="7E179241" w14:textId="77777777" w:rsidR="00487FEC" w:rsidRPr="00B85CB7" w:rsidRDefault="00487FEC" w:rsidP="005D2D54">
            <w:pPr>
              <w:spacing w:line="360" w:lineRule="auto"/>
              <w:jc w:val="both"/>
            </w:pPr>
            <w:r w:rsidRPr="00B85CB7">
              <w:t>Hydrochloric acid (10%)</w:t>
            </w:r>
          </w:p>
        </w:tc>
        <w:tc>
          <w:tcPr>
            <w:tcW w:w="3263" w:type="dxa"/>
            <w:shd w:val="clear" w:color="auto" w:fill="FFFFFF"/>
            <w:tcMar>
              <w:top w:w="80" w:type="dxa"/>
              <w:left w:w="120" w:type="dxa"/>
              <w:bottom w:w="80" w:type="dxa"/>
              <w:right w:w="120" w:type="dxa"/>
            </w:tcMar>
            <w:vAlign w:val="center"/>
          </w:tcPr>
          <w:p w14:paraId="6952D154" w14:textId="77777777" w:rsidR="00487FEC" w:rsidRPr="00B85CB7" w:rsidRDefault="00487FEC" w:rsidP="005D2D54">
            <w:pPr>
              <w:spacing w:line="360" w:lineRule="auto"/>
              <w:jc w:val="both"/>
            </w:pPr>
            <w:r w:rsidRPr="00B85CB7">
              <w:t>Oxalate extraction / alkaloid precipitation</w:t>
            </w:r>
          </w:p>
        </w:tc>
        <w:tc>
          <w:tcPr>
            <w:tcW w:w="2263" w:type="dxa"/>
            <w:shd w:val="clear" w:color="auto" w:fill="FFFFFF"/>
            <w:tcMar>
              <w:top w:w="80" w:type="dxa"/>
              <w:left w:w="120" w:type="dxa"/>
              <w:bottom w:w="80" w:type="dxa"/>
              <w:right w:w="120" w:type="dxa"/>
            </w:tcMar>
            <w:vAlign w:val="center"/>
          </w:tcPr>
          <w:p w14:paraId="29357E53" w14:textId="77777777" w:rsidR="00487FEC" w:rsidRPr="00B85CB7" w:rsidRDefault="00487FEC" w:rsidP="005D2D54">
            <w:pPr>
              <w:spacing w:line="360" w:lineRule="auto"/>
              <w:jc w:val="both"/>
            </w:pPr>
            <w:r w:rsidRPr="00B85CB7">
              <w:t>Laboratory-prepared</w:t>
            </w:r>
          </w:p>
        </w:tc>
      </w:tr>
      <w:tr w:rsidR="00487FEC" w:rsidRPr="00B85CB7" w14:paraId="32EF3516" w14:textId="77777777" w:rsidTr="005D2D54">
        <w:trPr>
          <w:cantSplit/>
        </w:trPr>
        <w:tc>
          <w:tcPr>
            <w:tcW w:w="3500" w:type="dxa"/>
            <w:shd w:val="clear" w:color="auto" w:fill="FFFFFF"/>
            <w:tcMar>
              <w:top w:w="80" w:type="dxa"/>
              <w:left w:w="120" w:type="dxa"/>
              <w:bottom w:w="80" w:type="dxa"/>
              <w:right w:w="120" w:type="dxa"/>
            </w:tcMar>
            <w:vAlign w:val="center"/>
          </w:tcPr>
          <w:p w14:paraId="0D920838" w14:textId="77777777" w:rsidR="00487FEC" w:rsidRPr="00B85CB7" w:rsidRDefault="00487FEC" w:rsidP="005D2D54">
            <w:pPr>
              <w:spacing w:line="360" w:lineRule="auto"/>
              <w:jc w:val="both"/>
            </w:pPr>
            <w:r w:rsidRPr="00B85CB7">
              <w:t>Potassium permanganate (0.05 M KMnO</w:t>
            </w:r>
            <w:r w:rsidRPr="00B85CB7">
              <w:rPr>
                <w:rFonts w:ascii="Cambria Math" w:hAnsi="Cambria Math" w:cs="Cambria Math"/>
              </w:rPr>
              <w:t>₄</w:t>
            </w:r>
            <w:r w:rsidRPr="00B85CB7">
              <w:t>)</w:t>
            </w:r>
          </w:p>
        </w:tc>
        <w:tc>
          <w:tcPr>
            <w:tcW w:w="3263" w:type="dxa"/>
            <w:shd w:val="clear" w:color="auto" w:fill="FFFFFF"/>
            <w:tcMar>
              <w:top w:w="80" w:type="dxa"/>
              <w:left w:w="120" w:type="dxa"/>
              <w:bottom w:w="80" w:type="dxa"/>
              <w:right w:w="120" w:type="dxa"/>
            </w:tcMar>
            <w:vAlign w:val="center"/>
          </w:tcPr>
          <w:p w14:paraId="3651FF98" w14:textId="77777777" w:rsidR="00487FEC" w:rsidRPr="00B85CB7" w:rsidRDefault="00487FEC" w:rsidP="005D2D54">
            <w:pPr>
              <w:spacing w:line="360" w:lineRule="auto"/>
              <w:jc w:val="both"/>
            </w:pPr>
            <w:r w:rsidRPr="00B85CB7">
              <w:t>Titrant for oxalate determination</w:t>
            </w:r>
          </w:p>
        </w:tc>
        <w:tc>
          <w:tcPr>
            <w:tcW w:w="2263" w:type="dxa"/>
            <w:shd w:val="clear" w:color="auto" w:fill="FFFFFF"/>
            <w:tcMar>
              <w:top w:w="80" w:type="dxa"/>
              <w:left w:w="120" w:type="dxa"/>
              <w:bottom w:w="80" w:type="dxa"/>
              <w:right w:w="120" w:type="dxa"/>
            </w:tcMar>
            <w:vAlign w:val="center"/>
          </w:tcPr>
          <w:p w14:paraId="02C74D5A" w14:textId="77777777" w:rsidR="00487FEC" w:rsidRPr="00B85CB7" w:rsidRDefault="00487FEC" w:rsidP="005D2D54">
            <w:pPr>
              <w:spacing w:line="360" w:lineRule="auto"/>
              <w:jc w:val="both"/>
            </w:pPr>
            <w:r w:rsidRPr="00B85CB7">
              <w:t>Sigma-Aldrich</w:t>
            </w:r>
          </w:p>
        </w:tc>
      </w:tr>
      <w:tr w:rsidR="00487FEC" w:rsidRPr="00B85CB7" w14:paraId="26FC5FE0" w14:textId="77777777" w:rsidTr="005D2D54">
        <w:trPr>
          <w:cantSplit/>
        </w:trPr>
        <w:tc>
          <w:tcPr>
            <w:tcW w:w="3500" w:type="dxa"/>
            <w:shd w:val="clear" w:color="auto" w:fill="FFFFFF"/>
            <w:tcMar>
              <w:top w:w="80" w:type="dxa"/>
              <w:left w:w="120" w:type="dxa"/>
              <w:bottom w:w="80" w:type="dxa"/>
              <w:right w:w="120" w:type="dxa"/>
            </w:tcMar>
            <w:vAlign w:val="center"/>
          </w:tcPr>
          <w:p w14:paraId="1DD45A19" w14:textId="77777777" w:rsidR="00487FEC" w:rsidRPr="00B85CB7" w:rsidRDefault="00487FEC" w:rsidP="005D2D54">
            <w:pPr>
              <w:spacing w:line="360" w:lineRule="auto"/>
              <w:jc w:val="both"/>
            </w:pPr>
            <w:r w:rsidRPr="00B85CB7">
              <w:t>0.2 N HCl / Whatman No. 42 filter paper</w:t>
            </w:r>
          </w:p>
        </w:tc>
        <w:tc>
          <w:tcPr>
            <w:tcW w:w="3263" w:type="dxa"/>
            <w:shd w:val="clear" w:color="auto" w:fill="FFFFFF"/>
            <w:tcMar>
              <w:top w:w="80" w:type="dxa"/>
              <w:left w:w="120" w:type="dxa"/>
              <w:bottom w:w="80" w:type="dxa"/>
              <w:right w:w="120" w:type="dxa"/>
            </w:tcMar>
            <w:vAlign w:val="center"/>
          </w:tcPr>
          <w:p w14:paraId="76913809" w14:textId="77777777" w:rsidR="00487FEC" w:rsidRPr="00B85CB7" w:rsidRDefault="00487FEC" w:rsidP="005D2D54">
            <w:pPr>
              <w:spacing w:line="360" w:lineRule="auto"/>
              <w:jc w:val="both"/>
            </w:pPr>
            <w:r w:rsidRPr="00B85CB7">
              <w:t>Phytate extraction</w:t>
            </w:r>
          </w:p>
        </w:tc>
        <w:tc>
          <w:tcPr>
            <w:tcW w:w="2263" w:type="dxa"/>
            <w:shd w:val="clear" w:color="auto" w:fill="FFFFFF"/>
            <w:tcMar>
              <w:top w:w="80" w:type="dxa"/>
              <w:left w:w="120" w:type="dxa"/>
              <w:bottom w:w="80" w:type="dxa"/>
              <w:right w:w="120" w:type="dxa"/>
            </w:tcMar>
            <w:vAlign w:val="center"/>
          </w:tcPr>
          <w:p w14:paraId="3C1FB1FF" w14:textId="77777777" w:rsidR="00487FEC" w:rsidRPr="00B85CB7" w:rsidRDefault="00487FEC" w:rsidP="005D2D54">
            <w:pPr>
              <w:spacing w:line="360" w:lineRule="auto"/>
              <w:jc w:val="both"/>
            </w:pPr>
            <w:r w:rsidRPr="00B85CB7">
              <w:t>AOAC standard</w:t>
            </w:r>
          </w:p>
        </w:tc>
      </w:tr>
      <w:tr w:rsidR="00487FEC" w:rsidRPr="00B85CB7" w14:paraId="2E53A11C" w14:textId="77777777" w:rsidTr="005D2D54">
        <w:trPr>
          <w:cantSplit/>
        </w:trPr>
        <w:tc>
          <w:tcPr>
            <w:tcW w:w="3500" w:type="dxa"/>
            <w:shd w:val="clear" w:color="auto" w:fill="FFFFFF"/>
            <w:tcMar>
              <w:top w:w="80" w:type="dxa"/>
              <w:left w:w="120" w:type="dxa"/>
              <w:bottom w:w="80" w:type="dxa"/>
              <w:right w:w="120" w:type="dxa"/>
            </w:tcMar>
            <w:vAlign w:val="center"/>
          </w:tcPr>
          <w:p w14:paraId="3AF6DEDB" w14:textId="77777777" w:rsidR="00487FEC" w:rsidRPr="00B85CB7" w:rsidRDefault="00487FEC" w:rsidP="005D2D54">
            <w:pPr>
              <w:spacing w:line="360" w:lineRule="auto"/>
              <w:jc w:val="both"/>
            </w:pPr>
            <w:r w:rsidRPr="00B85CB7">
              <w:lastRenderedPageBreak/>
              <w:t>Ferric ammonium sulphate solution</w:t>
            </w:r>
          </w:p>
        </w:tc>
        <w:tc>
          <w:tcPr>
            <w:tcW w:w="3263" w:type="dxa"/>
            <w:shd w:val="clear" w:color="auto" w:fill="FFFFFF"/>
            <w:tcMar>
              <w:top w:w="80" w:type="dxa"/>
              <w:left w:w="120" w:type="dxa"/>
              <w:bottom w:w="80" w:type="dxa"/>
              <w:right w:w="120" w:type="dxa"/>
            </w:tcMar>
            <w:vAlign w:val="center"/>
          </w:tcPr>
          <w:p w14:paraId="2BD0402A" w14:textId="77777777" w:rsidR="00487FEC" w:rsidRPr="00B85CB7" w:rsidRDefault="00487FEC" w:rsidP="005D2D54">
            <w:pPr>
              <w:spacing w:line="360" w:lineRule="auto"/>
              <w:jc w:val="both"/>
            </w:pPr>
            <w:r w:rsidRPr="00B85CB7">
              <w:t>Phytate colorimetric assay</w:t>
            </w:r>
          </w:p>
        </w:tc>
        <w:tc>
          <w:tcPr>
            <w:tcW w:w="2263" w:type="dxa"/>
            <w:shd w:val="clear" w:color="auto" w:fill="FFFFFF"/>
            <w:tcMar>
              <w:top w:w="80" w:type="dxa"/>
              <w:left w:w="120" w:type="dxa"/>
              <w:bottom w:w="80" w:type="dxa"/>
              <w:right w:w="120" w:type="dxa"/>
            </w:tcMar>
            <w:vAlign w:val="center"/>
          </w:tcPr>
          <w:p w14:paraId="6F3A6578" w14:textId="77777777" w:rsidR="00487FEC" w:rsidRPr="00B85CB7" w:rsidRDefault="00487FEC" w:rsidP="005D2D54">
            <w:pPr>
              <w:spacing w:line="360" w:lineRule="auto"/>
              <w:jc w:val="both"/>
            </w:pPr>
            <w:r w:rsidRPr="00B85CB7">
              <w:t>Sigma-Aldrich</w:t>
            </w:r>
          </w:p>
        </w:tc>
      </w:tr>
      <w:tr w:rsidR="00487FEC" w:rsidRPr="00B85CB7" w14:paraId="35F387E3" w14:textId="77777777" w:rsidTr="005D2D54">
        <w:trPr>
          <w:cantSplit/>
        </w:trPr>
        <w:tc>
          <w:tcPr>
            <w:tcW w:w="3500" w:type="dxa"/>
            <w:shd w:val="clear" w:color="auto" w:fill="FFFFFF"/>
            <w:tcMar>
              <w:top w:w="80" w:type="dxa"/>
              <w:left w:w="120" w:type="dxa"/>
              <w:bottom w:w="80" w:type="dxa"/>
              <w:right w:w="120" w:type="dxa"/>
            </w:tcMar>
            <w:vAlign w:val="center"/>
          </w:tcPr>
          <w:p w14:paraId="59587408" w14:textId="77777777" w:rsidR="00487FEC" w:rsidRPr="00B85CB7" w:rsidRDefault="00487FEC" w:rsidP="005D2D54">
            <w:pPr>
              <w:spacing w:line="360" w:lineRule="auto"/>
              <w:jc w:val="both"/>
            </w:pPr>
            <w:r w:rsidRPr="00B85CB7">
              <w:t>2,2-Bipyridine solution</w:t>
            </w:r>
          </w:p>
        </w:tc>
        <w:tc>
          <w:tcPr>
            <w:tcW w:w="3263" w:type="dxa"/>
            <w:shd w:val="clear" w:color="auto" w:fill="FFFFFF"/>
            <w:tcMar>
              <w:top w:w="80" w:type="dxa"/>
              <w:left w:w="120" w:type="dxa"/>
              <w:bottom w:w="80" w:type="dxa"/>
              <w:right w:w="120" w:type="dxa"/>
            </w:tcMar>
            <w:vAlign w:val="center"/>
          </w:tcPr>
          <w:p w14:paraId="31682DF9" w14:textId="77777777" w:rsidR="00487FEC" w:rsidRPr="00B85CB7" w:rsidRDefault="00487FEC" w:rsidP="005D2D54">
            <w:pPr>
              <w:spacing w:line="360" w:lineRule="auto"/>
              <w:jc w:val="both"/>
            </w:pPr>
            <w:r w:rsidRPr="00B85CB7">
              <w:t>Phytate spectrophotometric measurement (519 nm)</w:t>
            </w:r>
          </w:p>
        </w:tc>
        <w:tc>
          <w:tcPr>
            <w:tcW w:w="2263" w:type="dxa"/>
            <w:shd w:val="clear" w:color="auto" w:fill="FFFFFF"/>
            <w:tcMar>
              <w:top w:w="80" w:type="dxa"/>
              <w:left w:w="120" w:type="dxa"/>
              <w:bottom w:w="80" w:type="dxa"/>
              <w:right w:w="120" w:type="dxa"/>
            </w:tcMar>
            <w:vAlign w:val="center"/>
          </w:tcPr>
          <w:p w14:paraId="04B885D9" w14:textId="77777777" w:rsidR="00487FEC" w:rsidRPr="00B85CB7" w:rsidRDefault="00487FEC" w:rsidP="005D2D54">
            <w:pPr>
              <w:spacing w:line="360" w:lineRule="auto"/>
              <w:jc w:val="both"/>
            </w:pPr>
            <w:r w:rsidRPr="00B85CB7">
              <w:t>Sigma-Aldrich</w:t>
            </w:r>
          </w:p>
        </w:tc>
      </w:tr>
      <w:tr w:rsidR="00487FEC" w:rsidRPr="00B85CB7" w14:paraId="63D6352E" w14:textId="77777777" w:rsidTr="005D2D54">
        <w:trPr>
          <w:cantSplit/>
        </w:trPr>
        <w:tc>
          <w:tcPr>
            <w:tcW w:w="3500" w:type="dxa"/>
            <w:shd w:val="clear" w:color="auto" w:fill="FFFFFF"/>
            <w:tcMar>
              <w:top w:w="80" w:type="dxa"/>
              <w:left w:w="120" w:type="dxa"/>
              <w:bottom w:w="80" w:type="dxa"/>
              <w:right w:w="120" w:type="dxa"/>
            </w:tcMar>
            <w:vAlign w:val="center"/>
          </w:tcPr>
          <w:p w14:paraId="5AB0CFD4" w14:textId="77777777" w:rsidR="00487FEC" w:rsidRPr="00B85CB7" w:rsidRDefault="00487FEC" w:rsidP="005D2D54">
            <w:pPr>
              <w:spacing w:line="360" w:lineRule="auto"/>
              <w:jc w:val="both"/>
            </w:pPr>
            <w:r w:rsidRPr="00B85CB7">
              <w:t>Folin-Denis reagent</w:t>
            </w:r>
          </w:p>
        </w:tc>
        <w:tc>
          <w:tcPr>
            <w:tcW w:w="3263" w:type="dxa"/>
            <w:shd w:val="clear" w:color="auto" w:fill="FFFFFF"/>
            <w:tcMar>
              <w:top w:w="80" w:type="dxa"/>
              <w:left w:w="120" w:type="dxa"/>
              <w:bottom w:w="80" w:type="dxa"/>
              <w:right w:w="120" w:type="dxa"/>
            </w:tcMar>
            <w:vAlign w:val="center"/>
          </w:tcPr>
          <w:p w14:paraId="4C21D2FA" w14:textId="77777777" w:rsidR="00487FEC" w:rsidRPr="00B85CB7" w:rsidRDefault="00487FEC" w:rsidP="005D2D54">
            <w:pPr>
              <w:spacing w:line="360" w:lineRule="auto"/>
              <w:jc w:val="both"/>
            </w:pPr>
            <w:r w:rsidRPr="00B85CB7">
              <w:t>Tannin and total phenol determination (700–760 nm)</w:t>
            </w:r>
          </w:p>
        </w:tc>
        <w:tc>
          <w:tcPr>
            <w:tcW w:w="2263" w:type="dxa"/>
            <w:shd w:val="clear" w:color="auto" w:fill="FFFFFF"/>
            <w:tcMar>
              <w:top w:w="80" w:type="dxa"/>
              <w:left w:w="120" w:type="dxa"/>
              <w:bottom w:w="80" w:type="dxa"/>
              <w:right w:w="120" w:type="dxa"/>
            </w:tcMar>
            <w:vAlign w:val="center"/>
          </w:tcPr>
          <w:p w14:paraId="48A7AE4A" w14:textId="77777777" w:rsidR="00487FEC" w:rsidRPr="00B85CB7" w:rsidRDefault="00487FEC" w:rsidP="005D2D54">
            <w:pPr>
              <w:spacing w:line="360" w:lineRule="auto"/>
              <w:jc w:val="both"/>
            </w:pPr>
            <w:r w:rsidRPr="00B85CB7">
              <w:t>Sigma-Aldrich</w:t>
            </w:r>
          </w:p>
        </w:tc>
      </w:tr>
      <w:tr w:rsidR="00487FEC" w:rsidRPr="00B85CB7" w14:paraId="56A0B906" w14:textId="77777777" w:rsidTr="005D2D54">
        <w:trPr>
          <w:cantSplit/>
        </w:trPr>
        <w:tc>
          <w:tcPr>
            <w:tcW w:w="3500" w:type="dxa"/>
            <w:shd w:val="clear" w:color="auto" w:fill="FFFFFF"/>
            <w:tcMar>
              <w:top w:w="80" w:type="dxa"/>
              <w:left w:w="120" w:type="dxa"/>
              <w:bottom w:w="80" w:type="dxa"/>
              <w:right w:w="120" w:type="dxa"/>
            </w:tcMar>
            <w:vAlign w:val="center"/>
          </w:tcPr>
          <w:p w14:paraId="2BC31FEC" w14:textId="77777777" w:rsidR="00487FEC" w:rsidRPr="00B85CB7" w:rsidRDefault="00487FEC" w:rsidP="005D2D54">
            <w:pPr>
              <w:spacing w:line="360" w:lineRule="auto"/>
              <w:jc w:val="both"/>
            </w:pPr>
            <w:r w:rsidRPr="00B85CB7">
              <w:t>Saturated Na</w:t>
            </w:r>
            <w:r w:rsidRPr="00B85CB7">
              <w:rPr>
                <w:rFonts w:ascii="Cambria Math" w:hAnsi="Cambria Math" w:cs="Cambria Math"/>
              </w:rPr>
              <w:t>₂</w:t>
            </w:r>
            <w:r w:rsidRPr="00B85CB7">
              <w:t>CO</w:t>
            </w:r>
            <w:r w:rsidRPr="00B85CB7">
              <w:rPr>
                <w:rFonts w:ascii="Cambria Math" w:hAnsi="Cambria Math" w:cs="Cambria Math"/>
              </w:rPr>
              <w:t>₃</w:t>
            </w:r>
            <w:r w:rsidRPr="00B85CB7">
              <w:t xml:space="preserve"> solution</w:t>
            </w:r>
          </w:p>
        </w:tc>
        <w:tc>
          <w:tcPr>
            <w:tcW w:w="3263" w:type="dxa"/>
            <w:shd w:val="clear" w:color="auto" w:fill="FFFFFF"/>
            <w:tcMar>
              <w:top w:w="80" w:type="dxa"/>
              <w:left w:w="120" w:type="dxa"/>
              <w:bottom w:w="80" w:type="dxa"/>
              <w:right w:w="120" w:type="dxa"/>
            </w:tcMar>
            <w:vAlign w:val="center"/>
          </w:tcPr>
          <w:p w14:paraId="77AC5E06" w14:textId="77777777" w:rsidR="00487FEC" w:rsidRPr="00B85CB7" w:rsidRDefault="00487FEC" w:rsidP="005D2D54">
            <w:pPr>
              <w:spacing w:line="360" w:lineRule="auto"/>
              <w:jc w:val="both"/>
            </w:pPr>
            <w:r w:rsidRPr="00B85CB7">
              <w:t>Colour development for tannin assay</w:t>
            </w:r>
          </w:p>
        </w:tc>
        <w:tc>
          <w:tcPr>
            <w:tcW w:w="2263" w:type="dxa"/>
            <w:shd w:val="clear" w:color="auto" w:fill="FFFFFF"/>
            <w:tcMar>
              <w:top w:w="80" w:type="dxa"/>
              <w:left w:w="120" w:type="dxa"/>
              <w:bottom w:w="80" w:type="dxa"/>
              <w:right w:w="120" w:type="dxa"/>
            </w:tcMar>
            <w:vAlign w:val="center"/>
          </w:tcPr>
          <w:p w14:paraId="2A9FFC59" w14:textId="77777777" w:rsidR="00487FEC" w:rsidRPr="00B85CB7" w:rsidRDefault="00487FEC" w:rsidP="005D2D54">
            <w:pPr>
              <w:spacing w:line="360" w:lineRule="auto"/>
              <w:jc w:val="both"/>
            </w:pPr>
            <w:r w:rsidRPr="00B85CB7">
              <w:t>Laboratory-prepared</w:t>
            </w:r>
          </w:p>
        </w:tc>
      </w:tr>
      <w:tr w:rsidR="00487FEC" w:rsidRPr="00B85CB7" w14:paraId="2A632CFF" w14:textId="77777777" w:rsidTr="005D2D54">
        <w:trPr>
          <w:cantSplit/>
        </w:trPr>
        <w:tc>
          <w:tcPr>
            <w:tcW w:w="3500" w:type="dxa"/>
            <w:shd w:val="clear" w:color="auto" w:fill="FFFFFF"/>
            <w:tcMar>
              <w:top w:w="80" w:type="dxa"/>
              <w:left w:w="120" w:type="dxa"/>
              <w:bottom w:w="80" w:type="dxa"/>
              <w:right w:w="120" w:type="dxa"/>
            </w:tcMar>
            <w:vAlign w:val="center"/>
          </w:tcPr>
          <w:p w14:paraId="6EE6FB16" w14:textId="77777777" w:rsidR="00487FEC" w:rsidRPr="00B85CB7" w:rsidRDefault="00487FEC" w:rsidP="005D2D54">
            <w:pPr>
              <w:spacing w:line="360" w:lineRule="auto"/>
              <w:jc w:val="both"/>
            </w:pPr>
            <w:r w:rsidRPr="00B85CB7">
              <w:t>Concentrated ammonium hydroxide (NH</w:t>
            </w:r>
            <w:r w:rsidRPr="00B85CB7">
              <w:rPr>
                <w:rFonts w:ascii="Cambria Math" w:hAnsi="Cambria Math" w:cs="Cambria Math"/>
              </w:rPr>
              <w:t>₄</w:t>
            </w:r>
            <w:r w:rsidRPr="00B85CB7">
              <w:t>OH)</w:t>
            </w:r>
          </w:p>
        </w:tc>
        <w:tc>
          <w:tcPr>
            <w:tcW w:w="3263" w:type="dxa"/>
            <w:shd w:val="clear" w:color="auto" w:fill="FFFFFF"/>
            <w:tcMar>
              <w:top w:w="80" w:type="dxa"/>
              <w:left w:w="120" w:type="dxa"/>
              <w:bottom w:w="80" w:type="dxa"/>
              <w:right w:w="120" w:type="dxa"/>
            </w:tcMar>
            <w:vAlign w:val="center"/>
          </w:tcPr>
          <w:p w14:paraId="2E3B6804" w14:textId="77777777" w:rsidR="00487FEC" w:rsidRPr="00B85CB7" w:rsidRDefault="00487FEC" w:rsidP="005D2D54">
            <w:pPr>
              <w:spacing w:line="360" w:lineRule="auto"/>
              <w:jc w:val="both"/>
            </w:pPr>
            <w:r w:rsidRPr="00B85CB7">
              <w:t>Alkaloid precipitation from extract</w:t>
            </w:r>
          </w:p>
        </w:tc>
        <w:tc>
          <w:tcPr>
            <w:tcW w:w="2263" w:type="dxa"/>
            <w:shd w:val="clear" w:color="auto" w:fill="FFFFFF"/>
            <w:tcMar>
              <w:top w:w="80" w:type="dxa"/>
              <w:left w:w="120" w:type="dxa"/>
              <w:bottom w:w="80" w:type="dxa"/>
              <w:right w:w="120" w:type="dxa"/>
            </w:tcMar>
            <w:vAlign w:val="center"/>
          </w:tcPr>
          <w:p w14:paraId="38122005" w14:textId="77777777" w:rsidR="00487FEC" w:rsidRPr="00B85CB7" w:rsidRDefault="00487FEC" w:rsidP="005D2D54">
            <w:pPr>
              <w:spacing w:line="360" w:lineRule="auto"/>
              <w:jc w:val="both"/>
            </w:pPr>
            <w:r w:rsidRPr="00B85CB7">
              <w:t>Sigma-Aldrich</w:t>
            </w:r>
          </w:p>
        </w:tc>
      </w:tr>
      <w:tr w:rsidR="00487FEC" w:rsidRPr="00B85CB7" w14:paraId="105ACB7F" w14:textId="77777777" w:rsidTr="005D2D54">
        <w:trPr>
          <w:cantSplit/>
        </w:trPr>
        <w:tc>
          <w:tcPr>
            <w:tcW w:w="3500" w:type="dxa"/>
            <w:shd w:val="clear" w:color="auto" w:fill="FFFFFF"/>
            <w:tcMar>
              <w:top w:w="80" w:type="dxa"/>
              <w:left w:w="120" w:type="dxa"/>
              <w:bottom w:w="80" w:type="dxa"/>
              <w:right w:w="120" w:type="dxa"/>
            </w:tcMar>
            <w:vAlign w:val="center"/>
          </w:tcPr>
          <w:p w14:paraId="39C1E98F" w14:textId="77777777" w:rsidR="00487FEC" w:rsidRPr="00B85CB7" w:rsidRDefault="00487FEC" w:rsidP="005D2D54">
            <w:pPr>
              <w:spacing w:line="360" w:lineRule="auto"/>
              <w:jc w:val="both"/>
            </w:pPr>
            <w:r w:rsidRPr="00B85CB7">
              <w:t>80% Methanol</w:t>
            </w:r>
          </w:p>
        </w:tc>
        <w:tc>
          <w:tcPr>
            <w:tcW w:w="3263" w:type="dxa"/>
            <w:shd w:val="clear" w:color="auto" w:fill="FFFFFF"/>
            <w:tcMar>
              <w:top w:w="80" w:type="dxa"/>
              <w:left w:w="120" w:type="dxa"/>
              <w:bottom w:w="80" w:type="dxa"/>
              <w:right w:w="120" w:type="dxa"/>
            </w:tcMar>
            <w:vAlign w:val="center"/>
          </w:tcPr>
          <w:p w14:paraId="5F29F242" w14:textId="77777777" w:rsidR="00487FEC" w:rsidRPr="00B85CB7" w:rsidRDefault="00487FEC" w:rsidP="005D2D54">
            <w:pPr>
              <w:spacing w:line="360" w:lineRule="auto"/>
              <w:jc w:val="both"/>
            </w:pPr>
            <w:r w:rsidRPr="00B85CB7">
              <w:t>Flavonoid extraction</w:t>
            </w:r>
          </w:p>
        </w:tc>
        <w:tc>
          <w:tcPr>
            <w:tcW w:w="2263" w:type="dxa"/>
            <w:shd w:val="clear" w:color="auto" w:fill="FFFFFF"/>
            <w:tcMar>
              <w:top w:w="80" w:type="dxa"/>
              <w:left w:w="120" w:type="dxa"/>
              <w:bottom w:w="80" w:type="dxa"/>
              <w:right w:w="120" w:type="dxa"/>
            </w:tcMar>
            <w:vAlign w:val="center"/>
          </w:tcPr>
          <w:p w14:paraId="673FA99D" w14:textId="77777777" w:rsidR="00487FEC" w:rsidRPr="00B85CB7" w:rsidRDefault="00487FEC" w:rsidP="005D2D54">
            <w:pPr>
              <w:spacing w:line="360" w:lineRule="auto"/>
              <w:jc w:val="both"/>
            </w:pPr>
            <w:r w:rsidRPr="00B85CB7">
              <w:t>Laboratory-prepared</w:t>
            </w:r>
          </w:p>
        </w:tc>
      </w:tr>
      <w:tr w:rsidR="00487FEC" w:rsidRPr="00B85CB7" w14:paraId="1D2C1341" w14:textId="77777777" w:rsidTr="005D2D54">
        <w:trPr>
          <w:cantSplit/>
        </w:trPr>
        <w:tc>
          <w:tcPr>
            <w:tcW w:w="3500" w:type="dxa"/>
            <w:shd w:val="clear" w:color="auto" w:fill="FFFFFF"/>
            <w:tcMar>
              <w:top w:w="80" w:type="dxa"/>
              <w:left w:w="120" w:type="dxa"/>
              <w:bottom w:w="80" w:type="dxa"/>
              <w:right w:w="120" w:type="dxa"/>
            </w:tcMar>
            <w:vAlign w:val="center"/>
          </w:tcPr>
          <w:p w14:paraId="063D8A5A" w14:textId="77777777" w:rsidR="00487FEC" w:rsidRPr="00B85CB7" w:rsidRDefault="00487FEC" w:rsidP="005D2D54">
            <w:pPr>
              <w:spacing w:line="360" w:lineRule="auto"/>
              <w:jc w:val="both"/>
            </w:pPr>
            <w:r w:rsidRPr="00B85CB7">
              <w:t>20% Aqueous ethanol / diethyl ether / n-butanol</w:t>
            </w:r>
          </w:p>
        </w:tc>
        <w:tc>
          <w:tcPr>
            <w:tcW w:w="3263" w:type="dxa"/>
            <w:shd w:val="clear" w:color="auto" w:fill="FFFFFF"/>
            <w:tcMar>
              <w:top w:w="80" w:type="dxa"/>
              <w:left w:w="120" w:type="dxa"/>
              <w:bottom w:w="80" w:type="dxa"/>
              <w:right w:w="120" w:type="dxa"/>
            </w:tcMar>
            <w:vAlign w:val="center"/>
          </w:tcPr>
          <w:p w14:paraId="01F14F8D" w14:textId="77777777" w:rsidR="00487FEC" w:rsidRPr="00B85CB7" w:rsidRDefault="00487FEC" w:rsidP="005D2D54">
            <w:pPr>
              <w:spacing w:line="360" w:lineRule="auto"/>
              <w:jc w:val="both"/>
            </w:pPr>
            <w:r w:rsidRPr="00B85CB7">
              <w:t>Sequential saponin extraction and partitioning</w:t>
            </w:r>
          </w:p>
        </w:tc>
        <w:tc>
          <w:tcPr>
            <w:tcW w:w="2263" w:type="dxa"/>
            <w:shd w:val="clear" w:color="auto" w:fill="FFFFFF"/>
            <w:tcMar>
              <w:top w:w="80" w:type="dxa"/>
              <w:left w:w="120" w:type="dxa"/>
              <w:bottom w:w="80" w:type="dxa"/>
              <w:right w:w="120" w:type="dxa"/>
            </w:tcMar>
            <w:vAlign w:val="center"/>
          </w:tcPr>
          <w:p w14:paraId="2185982F" w14:textId="77777777" w:rsidR="00487FEC" w:rsidRPr="00B85CB7" w:rsidRDefault="00487FEC" w:rsidP="005D2D54">
            <w:pPr>
              <w:spacing w:line="360" w:lineRule="auto"/>
              <w:jc w:val="both"/>
            </w:pPr>
            <w:r w:rsidRPr="00B85CB7">
              <w:t>Sigma-Aldrich / BDH</w:t>
            </w:r>
          </w:p>
        </w:tc>
      </w:tr>
      <w:tr w:rsidR="00487FEC" w:rsidRPr="00B85CB7" w14:paraId="50B1B763" w14:textId="77777777" w:rsidTr="005D2D54">
        <w:trPr>
          <w:cantSplit/>
        </w:trPr>
        <w:tc>
          <w:tcPr>
            <w:tcW w:w="3500" w:type="dxa"/>
            <w:shd w:val="clear" w:color="auto" w:fill="FFFFFF"/>
            <w:tcMar>
              <w:top w:w="80" w:type="dxa"/>
              <w:left w:w="120" w:type="dxa"/>
              <w:bottom w:w="80" w:type="dxa"/>
              <w:right w:w="120" w:type="dxa"/>
            </w:tcMar>
            <w:vAlign w:val="center"/>
          </w:tcPr>
          <w:p w14:paraId="3EEB565E" w14:textId="77777777" w:rsidR="00487FEC" w:rsidRPr="00B85CB7" w:rsidRDefault="00487FEC" w:rsidP="005D2D54">
            <w:pPr>
              <w:spacing w:line="360" w:lineRule="auto"/>
              <w:jc w:val="both"/>
            </w:pPr>
            <w:r w:rsidRPr="00B85CB7">
              <w:t>Acetone-hexane (4:6 v/v)</w:t>
            </w:r>
          </w:p>
        </w:tc>
        <w:tc>
          <w:tcPr>
            <w:tcW w:w="3263" w:type="dxa"/>
            <w:shd w:val="clear" w:color="auto" w:fill="FFFFFF"/>
            <w:tcMar>
              <w:top w:w="80" w:type="dxa"/>
              <w:left w:w="120" w:type="dxa"/>
              <w:bottom w:w="80" w:type="dxa"/>
              <w:right w:w="120" w:type="dxa"/>
            </w:tcMar>
            <w:vAlign w:val="center"/>
          </w:tcPr>
          <w:p w14:paraId="655D1F00" w14:textId="77777777" w:rsidR="00487FEC" w:rsidRPr="00B85CB7" w:rsidRDefault="00487FEC" w:rsidP="005D2D54">
            <w:pPr>
              <w:spacing w:line="360" w:lineRule="auto"/>
              <w:jc w:val="both"/>
            </w:pPr>
            <w:r w:rsidRPr="00B85CB7">
              <w:t>Carotenoid extraction for spectrophotometry (450 nm)</w:t>
            </w:r>
          </w:p>
        </w:tc>
        <w:tc>
          <w:tcPr>
            <w:tcW w:w="2263" w:type="dxa"/>
            <w:shd w:val="clear" w:color="auto" w:fill="FFFFFF"/>
            <w:tcMar>
              <w:top w:w="80" w:type="dxa"/>
              <w:left w:w="120" w:type="dxa"/>
              <w:bottom w:w="80" w:type="dxa"/>
              <w:right w:w="120" w:type="dxa"/>
            </w:tcMar>
            <w:vAlign w:val="center"/>
          </w:tcPr>
          <w:p w14:paraId="407B2E73" w14:textId="77777777" w:rsidR="00487FEC" w:rsidRPr="00B85CB7" w:rsidRDefault="00487FEC" w:rsidP="005D2D54">
            <w:pPr>
              <w:spacing w:line="360" w:lineRule="auto"/>
              <w:jc w:val="both"/>
            </w:pPr>
            <w:r w:rsidRPr="00B85CB7">
              <w:t>Laboratory-prepared</w:t>
            </w:r>
          </w:p>
        </w:tc>
      </w:tr>
      <w:tr w:rsidR="00487FEC" w:rsidRPr="00B85CB7" w14:paraId="1F84F710" w14:textId="77777777" w:rsidTr="005D2D54">
        <w:trPr>
          <w:cantSplit/>
        </w:trPr>
        <w:tc>
          <w:tcPr>
            <w:tcW w:w="3500" w:type="dxa"/>
            <w:shd w:val="clear" w:color="auto" w:fill="FFFFFF"/>
            <w:tcMar>
              <w:top w:w="80" w:type="dxa"/>
              <w:left w:w="120" w:type="dxa"/>
              <w:bottom w:w="80" w:type="dxa"/>
              <w:right w:w="120" w:type="dxa"/>
            </w:tcMar>
            <w:vAlign w:val="center"/>
          </w:tcPr>
          <w:p w14:paraId="4CD520FD" w14:textId="77777777" w:rsidR="00487FEC" w:rsidRPr="00B85CB7" w:rsidRDefault="00487FEC" w:rsidP="005D2D54">
            <w:pPr>
              <w:spacing w:line="360" w:lineRule="auto"/>
              <w:jc w:val="both"/>
            </w:pPr>
            <w:r w:rsidRPr="00B85CB7">
              <w:t>Mayer's reagent</w:t>
            </w:r>
          </w:p>
        </w:tc>
        <w:tc>
          <w:tcPr>
            <w:tcW w:w="3263" w:type="dxa"/>
            <w:shd w:val="clear" w:color="auto" w:fill="FFFFFF"/>
            <w:tcMar>
              <w:top w:w="80" w:type="dxa"/>
              <w:left w:w="120" w:type="dxa"/>
              <w:bottom w:w="80" w:type="dxa"/>
              <w:right w:w="120" w:type="dxa"/>
            </w:tcMar>
            <w:vAlign w:val="center"/>
          </w:tcPr>
          <w:p w14:paraId="275F6374" w14:textId="77777777" w:rsidR="00487FEC" w:rsidRPr="00B85CB7" w:rsidRDefault="00487FEC" w:rsidP="005D2D54">
            <w:pPr>
              <w:spacing w:line="360" w:lineRule="auto"/>
              <w:jc w:val="both"/>
            </w:pPr>
            <w:r w:rsidRPr="00B85CB7">
              <w:t>Qualitative test for alkaloids</w:t>
            </w:r>
          </w:p>
        </w:tc>
        <w:tc>
          <w:tcPr>
            <w:tcW w:w="2263" w:type="dxa"/>
            <w:shd w:val="clear" w:color="auto" w:fill="FFFFFF"/>
            <w:tcMar>
              <w:top w:w="80" w:type="dxa"/>
              <w:left w:w="120" w:type="dxa"/>
              <w:bottom w:w="80" w:type="dxa"/>
              <w:right w:w="120" w:type="dxa"/>
            </w:tcMar>
            <w:vAlign w:val="center"/>
          </w:tcPr>
          <w:p w14:paraId="11770EF1" w14:textId="77777777" w:rsidR="00487FEC" w:rsidRPr="00B85CB7" w:rsidRDefault="00487FEC" w:rsidP="005D2D54">
            <w:pPr>
              <w:spacing w:line="360" w:lineRule="auto"/>
              <w:jc w:val="both"/>
            </w:pPr>
            <w:r w:rsidRPr="00B85CB7">
              <w:t>Sigma-Aldrich</w:t>
            </w:r>
          </w:p>
        </w:tc>
      </w:tr>
      <w:tr w:rsidR="00487FEC" w:rsidRPr="00B85CB7" w14:paraId="6B9CC560" w14:textId="77777777" w:rsidTr="005D2D54">
        <w:trPr>
          <w:cantSplit/>
        </w:trPr>
        <w:tc>
          <w:tcPr>
            <w:tcW w:w="3500" w:type="dxa"/>
            <w:shd w:val="clear" w:color="auto" w:fill="FFFFFF"/>
            <w:tcMar>
              <w:top w:w="80" w:type="dxa"/>
              <w:left w:w="120" w:type="dxa"/>
              <w:bottom w:w="80" w:type="dxa"/>
              <w:right w:w="120" w:type="dxa"/>
            </w:tcMar>
            <w:vAlign w:val="center"/>
          </w:tcPr>
          <w:p w14:paraId="4B06ED8A" w14:textId="77777777" w:rsidR="00487FEC" w:rsidRPr="00B85CB7" w:rsidRDefault="00487FEC" w:rsidP="005D2D54">
            <w:pPr>
              <w:spacing w:line="360" w:lineRule="auto"/>
              <w:jc w:val="both"/>
            </w:pPr>
            <w:r w:rsidRPr="00B85CB7">
              <w:t>10% FeCl</w:t>
            </w:r>
            <w:r w:rsidRPr="00B85CB7">
              <w:rPr>
                <w:rFonts w:ascii="Cambria Math" w:hAnsi="Cambria Math" w:cs="Cambria Math"/>
              </w:rPr>
              <w:t>₃</w:t>
            </w:r>
            <w:r w:rsidRPr="00B85CB7">
              <w:t xml:space="preserve"> solution</w:t>
            </w:r>
          </w:p>
        </w:tc>
        <w:tc>
          <w:tcPr>
            <w:tcW w:w="3263" w:type="dxa"/>
            <w:shd w:val="clear" w:color="auto" w:fill="FFFFFF"/>
            <w:tcMar>
              <w:top w:w="80" w:type="dxa"/>
              <w:left w:w="120" w:type="dxa"/>
              <w:bottom w:w="80" w:type="dxa"/>
              <w:right w:w="120" w:type="dxa"/>
            </w:tcMar>
            <w:vAlign w:val="center"/>
          </w:tcPr>
          <w:p w14:paraId="63D3A0F8" w14:textId="77777777" w:rsidR="00487FEC" w:rsidRPr="00B85CB7" w:rsidRDefault="00487FEC" w:rsidP="005D2D54">
            <w:pPr>
              <w:spacing w:line="360" w:lineRule="auto"/>
              <w:jc w:val="both"/>
            </w:pPr>
            <w:r w:rsidRPr="00B85CB7">
              <w:t>Qualitative test for tannins</w:t>
            </w:r>
          </w:p>
        </w:tc>
        <w:tc>
          <w:tcPr>
            <w:tcW w:w="2263" w:type="dxa"/>
            <w:shd w:val="clear" w:color="auto" w:fill="FFFFFF"/>
            <w:tcMar>
              <w:top w:w="80" w:type="dxa"/>
              <w:left w:w="120" w:type="dxa"/>
              <w:bottom w:w="80" w:type="dxa"/>
              <w:right w:w="120" w:type="dxa"/>
            </w:tcMar>
            <w:vAlign w:val="center"/>
          </w:tcPr>
          <w:p w14:paraId="48D34221" w14:textId="77777777" w:rsidR="00487FEC" w:rsidRPr="00B85CB7" w:rsidRDefault="00487FEC" w:rsidP="005D2D54">
            <w:pPr>
              <w:spacing w:line="360" w:lineRule="auto"/>
              <w:jc w:val="both"/>
            </w:pPr>
            <w:r w:rsidRPr="00B85CB7">
              <w:t>Laboratory-prepared</w:t>
            </w:r>
          </w:p>
        </w:tc>
      </w:tr>
      <w:tr w:rsidR="00487FEC" w:rsidRPr="00B85CB7" w14:paraId="6BA7F06E" w14:textId="77777777" w:rsidTr="005D2D54">
        <w:trPr>
          <w:cantSplit/>
        </w:trPr>
        <w:tc>
          <w:tcPr>
            <w:tcW w:w="3500" w:type="dxa"/>
            <w:shd w:val="clear" w:color="auto" w:fill="FFFFFF"/>
            <w:tcMar>
              <w:top w:w="80" w:type="dxa"/>
              <w:left w:w="120" w:type="dxa"/>
              <w:bottom w:w="80" w:type="dxa"/>
              <w:right w:w="120" w:type="dxa"/>
            </w:tcMar>
            <w:vAlign w:val="center"/>
          </w:tcPr>
          <w:p w14:paraId="784CE876" w14:textId="77777777" w:rsidR="00487FEC" w:rsidRPr="00B85CB7" w:rsidRDefault="00487FEC" w:rsidP="005D2D54">
            <w:pPr>
              <w:spacing w:line="360" w:lineRule="auto"/>
              <w:jc w:val="both"/>
            </w:pPr>
            <w:r w:rsidRPr="00B85CB7">
              <w:t>2% NaOH solution</w:t>
            </w:r>
          </w:p>
        </w:tc>
        <w:tc>
          <w:tcPr>
            <w:tcW w:w="3263" w:type="dxa"/>
            <w:shd w:val="clear" w:color="auto" w:fill="FFFFFF"/>
            <w:tcMar>
              <w:top w:w="80" w:type="dxa"/>
              <w:left w:w="120" w:type="dxa"/>
              <w:bottom w:w="80" w:type="dxa"/>
              <w:right w:w="120" w:type="dxa"/>
            </w:tcMar>
            <w:vAlign w:val="center"/>
          </w:tcPr>
          <w:p w14:paraId="397EE8FC" w14:textId="77777777" w:rsidR="00487FEC" w:rsidRPr="00B85CB7" w:rsidRDefault="00487FEC" w:rsidP="005D2D54">
            <w:pPr>
              <w:spacing w:line="360" w:lineRule="auto"/>
              <w:jc w:val="both"/>
            </w:pPr>
            <w:r w:rsidRPr="00B85CB7">
              <w:t>Qualitative test for flavonoids (alkaline reagent test)</w:t>
            </w:r>
          </w:p>
        </w:tc>
        <w:tc>
          <w:tcPr>
            <w:tcW w:w="2263" w:type="dxa"/>
            <w:shd w:val="clear" w:color="auto" w:fill="FFFFFF"/>
            <w:tcMar>
              <w:top w:w="80" w:type="dxa"/>
              <w:left w:w="120" w:type="dxa"/>
              <w:bottom w:w="80" w:type="dxa"/>
              <w:right w:w="120" w:type="dxa"/>
            </w:tcMar>
            <w:vAlign w:val="center"/>
          </w:tcPr>
          <w:p w14:paraId="54BCD799" w14:textId="77777777" w:rsidR="00487FEC" w:rsidRPr="00B85CB7" w:rsidRDefault="00487FEC" w:rsidP="005D2D54">
            <w:pPr>
              <w:spacing w:line="360" w:lineRule="auto"/>
              <w:jc w:val="both"/>
            </w:pPr>
            <w:r w:rsidRPr="00B85CB7">
              <w:t>Laboratory-prepared</w:t>
            </w:r>
          </w:p>
        </w:tc>
      </w:tr>
      <w:tr w:rsidR="00487FEC" w:rsidRPr="00B85CB7" w14:paraId="79C158C2" w14:textId="77777777" w:rsidTr="005D2D54">
        <w:trPr>
          <w:cantSplit/>
        </w:trPr>
        <w:tc>
          <w:tcPr>
            <w:tcW w:w="3500" w:type="dxa"/>
            <w:shd w:val="clear" w:color="auto" w:fill="FFFFFF"/>
            <w:tcMar>
              <w:top w:w="80" w:type="dxa"/>
              <w:left w:w="120" w:type="dxa"/>
              <w:bottom w:w="80" w:type="dxa"/>
              <w:right w:w="120" w:type="dxa"/>
            </w:tcMar>
            <w:vAlign w:val="center"/>
          </w:tcPr>
          <w:p w14:paraId="24BFA2B9" w14:textId="77777777" w:rsidR="00487FEC" w:rsidRPr="00B85CB7" w:rsidRDefault="00487FEC" w:rsidP="005D2D54">
            <w:pPr>
              <w:spacing w:line="360" w:lineRule="auto"/>
              <w:jc w:val="both"/>
            </w:pPr>
            <w:r w:rsidRPr="00B85CB7">
              <w:t>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(layer test)</w:t>
            </w:r>
          </w:p>
        </w:tc>
        <w:tc>
          <w:tcPr>
            <w:tcW w:w="3263" w:type="dxa"/>
            <w:shd w:val="clear" w:color="auto" w:fill="FFFFFF"/>
            <w:tcMar>
              <w:top w:w="80" w:type="dxa"/>
              <w:left w:w="120" w:type="dxa"/>
              <w:bottom w:w="80" w:type="dxa"/>
              <w:right w:w="120" w:type="dxa"/>
            </w:tcMar>
            <w:vAlign w:val="center"/>
          </w:tcPr>
          <w:p w14:paraId="66D2694C" w14:textId="77777777" w:rsidR="00487FEC" w:rsidRPr="00B85CB7" w:rsidRDefault="00487FEC" w:rsidP="005D2D54">
            <w:pPr>
              <w:spacing w:line="360" w:lineRule="auto"/>
              <w:jc w:val="both"/>
            </w:pPr>
            <w:r w:rsidRPr="00B85CB7">
              <w:t>Qualitative test for glycosides and carotenoids</w:t>
            </w:r>
          </w:p>
        </w:tc>
        <w:tc>
          <w:tcPr>
            <w:tcW w:w="2263" w:type="dxa"/>
            <w:shd w:val="clear" w:color="auto" w:fill="FFFFFF"/>
            <w:tcMar>
              <w:top w:w="80" w:type="dxa"/>
              <w:left w:w="120" w:type="dxa"/>
              <w:bottom w:w="80" w:type="dxa"/>
              <w:right w:w="120" w:type="dxa"/>
            </w:tcMar>
            <w:vAlign w:val="center"/>
          </w:tcPr>
          <w:p w14:paraId="311E7D80" w14:textId="77777777" w:rsidR="00487FEC" w:rsidRPr="00B85CB7" w:rsidRDefault="00487FEC" w:rsidP="005D2D54">
            <w:pPr>
              <w:spacing w:line="360" w:lineRule="auto"/>
              <w:jc w:val="both"/>
            </w:pPr>
            <w:r w:rsidRPr="00B85CB7">
              <w:t>BDH Chemicals, UK</w:t>
            </w:r>
          </w:p>
        </w:tc>
      </w:tr>
      <w:tr w:rsidR="00487FEC" w:rsidRPr="00B85CB7" w14:paraId="38B4BA7A" w14:textId="77777777" w:rsidTr="005D2D54">
        <w:trPr>
          <w:cantSplit/>
        </w:trPr>
        <w:tc>
          <w:tcPr>
            <w:tcW w:w="3500" w:type="dxa"/>
            <w:shd w:val="clear" w:color="auto" w:fill="FFFFFF"/>
            <w:tcMar>
              <w:top w:w="80" w:type="dxa"/>
              <w:left w:w="120" w:type="dxa"/>
              <w:bottom w:w="80" w:type="dxa"/>
              <w:right w:w="120" w:type="dxa"/>
            </w:tcMar>
            <w:vAlign w:val="center"/>
          </w:tcPr>
          <w:p w14:paraId="097712B3" w14:textId="77777777" w:rsidR="00487FEC" w:rsidRPr="00B85CB7" w:rsidRDefault="00487FEC" w:rsidP="005D2D54">
            <w:pPr>
              <w:spacing w:line="360" w:lineRule="auto"/>
              <w:jc w:val="both"/>
            </w:pPr>
            <w:r w:rsidRPr="00B85CB7">
              <w:t>Randox diagnostic kit (ALT, AST, ALP)</w:t>
            </w:r>
          </w:p>
        </w:tc>
        <w:tc>
          <w:tcPr>
            <w:tcW w:w="3263" w:type="dxa"/>
            <w:shd w:val="clear" w:color="auto" w:fill="FFFFFF"/>
            <w:tcMar>
              <w:top w:w="80" w:type="dxa"/>
              <w:left w:w="120" w:type="dxa"/>
              <w:bottom w:w="80" w:type="dxa"/>
              <w:right w:w="120" w:type="dxa"/>
            </w:tcMar>
            <w:vAlign w:val="center"/>
          </w:tcPr>
          <w:p w14:paraId="38151932" w14:textId="77777777" w:rsidR="00487FEC" w:rsidRPr="00B85CB7" w:rsidRDefault="00487FEC" w:rsidP="005D2D54">
            <w:pPr>
              <w:spacing w:line="360" w:lineRule="auto"/>
              <w:jc w:val="both"/>
            </w:pPr>
            <w:r w:rsidRPr="00B85CB7">
              <w:t>Liver enzyme biochemical analysis</w:t>
            </w:r>
          </w:p>
        </w:tc>
        <w:tc>
          <w:tcPr>
            <w:tcW w:w="2263" w:type="dxa"/>
            <w:shd w:val="clear" w:color="auto" w:fill="FFFFFF"/>
            <w:tcMar>
              <w:top w:w="80" w:type="dxa"/>
              <w:left w:w="120" w:type="dxa"/>
              <w:bottom w:w="80" w:type="dxa"/>
              <w:right w:w="120" w:type="dxa"/>
            </w:tcMar>
            <w:vAlign w:val="center"/>
          </w:tcPr>
          <w:p w14:paraId="1C746789" w14:textId="77777777" w:rsidR="00487FEC" w:rsidRPr="00B85CB7" w:rsidRDefault="00487FEC" w:rsidP="005D2D54">
            <w:pPr>
              <w:spacing w:line="360" w:lineRule="auto"/>
              <w:jc w:val="both"/>
            </w:pPr>
            <w:r w:rsidRPr="00B85CB7">
              <w:t>Randox Laboratories, UK</w:t>
            </w:r>
          </w:p>
        </w:tc>
      </w:tr>
      <w:tr w:rsidR="00487FEC" w:rsidRPr="00B85CB7" w14:paraId="67B686C2" w14:textId="77777777" w:rsidTr="005D2D54">
        <w:trPr>
          <w:cantSplit/>
        </w:trPr>
        <w:tc>
          <w:tcPr>
            <w:tcW w:w="3500" w:type="dxa"/>
            <w:shd w:val="clear" w:color="auto" w:fill="FFFFFF"/>
            <w:tcMar>
              <w:top w:w="80" w:type="dxa"/>
              <w:left w:w="120" w:type="dxa"/>
              <w:bottom w:w="80" w:type="dxa"/>
              <w:right w:w="120" w:type="dxa"/>
            </w:tcMar>
            <w:vAlign w:val="center"/>
          </w:tcPr>
          <w:p w14:paraId="0862ADA5" w14:textId="77777777" w:rsidR="00487FEC" w:rsidRPr="00B85CB7" w:rsidRDefault="00487FEC" w:rsidP="005D2D54">
            <w:pPr>
              <w:spacing w:line="360" w:lineRule="auto"/>
              <w:jc w:val="both"/>
            </w:pPr>
            <w:r w:rsidRPr="00B85CB7">
              <w:t>Rat insulin ELISA kit</w:t>
            </w:r>
          </w:p>
        </w:tc>
        <w:tc>
          <w:tcPr>
            <w:tcW w:w="3263" w:type="dxa"/>
            <w:shd w:val="clear" w:color="auto" w:fill="FFFFFF"/>
            <w:tcMar>
              <w:top w:w="80" w:type="dxa"/>
              <w:left w:w="120" w:type="dxa"/>
              <w:bottom w:w="80" w:type="dxa"/>
              <w:right w:w="120" w:type="dxa"/>
            </w:tcMar>
            <w:vAlign w:val="center"/>
          </w:tcPr>
          <w:p w14:paraId="4CAC45D1" w14:textId="77777777" w:rsidR="00487FEC" w:rsidRPr="00B85CB7" w:rsidRDefault="00487FEC" w:rsidP="005D2D54">
            <w:pPr>
              <w:spacing w:line="360" w:lineRule="auto"/>
              <w:jc w:val="both"/>
            </w:pPr>
            <w:r w:rsidRPr="00B85CB7">
              <w:t>Serum insulin quantification</w:t>
            </w:r>
          </w:p>
        </w:tc>
        <w:tc>
          <w:tcPr>
            <w:tcW w:w="2263" w:type="dxa"/>
            <w:shd w:val="clear" w:color="auto" w:fill="FFFFFF"/>
            <w:tcMar>
              <w:top w:w="80" w:type="dxa"/>
              <w:left w:w="120" w:type="dxa"/>
              <w:bottom w:w="80" w:type="dxa"/>
              <w:right w:w="120" w:type="dxa"/>
            </w:tcMar>
            <w:vAlign w:val="center"/>
          </w:tcPr>
          <w:p w14:paraId="07FF4995" w14:textId="77777777" w:rsidR="00487FEC" w:rsidRPr="00B85CB7" w:rsidRDefault="00487FEC" w:rsidP="005D2D54">
            <w:pPr>
              <w:spacing w:line="360" w:lineRule="auto"/>
              <w:jc w:val="both"/>
            </w:pPr>
            <w:r w:rsidRPr="00B85CB7">
              <w:t>Mercodia / Sigma-Aldrich</w:t>
            </w:r>
          </w:p>
        </w:tc>
      </w:tr>
      <w:tr w:rsidR="00487FEC" w:rsidRPr="00B85CB7" w14:paraId="22CDD776" w14:textId="77777777" w:rsidTr="005D2D54">
        <w:trPr>
          <w:cantSplit/>
        </w:trPr>
        <w:tc>
          <w:tcPr>
            <w:tcW w:w="3500" w:type="dxa"/>
            <w:shd w:val="clear" w:color="auto" w:fill="FFFFFF"/>
            <w:tcMar>
              <w:top w:w="80" w:type="dxa"/>
              <w:left w:w="120" w:type="dxa"/>
              <w:bottom w:w="80" w:type="dxa"/>
              <w:right w:w="120" w:type="dxa"/>
            </w:tcMar>
            <w:vAlign w:val="center"/>
          </w:tcPr>
          <w:p w14:paraId="605CB211" w14:textId="77777777" w:rsidR="00487FEC" w:rsidRPr="00B85CB7" w:rsidRDefault="00487FEC" w:rsidP="005D2D54">
            <w:pPr>
              <w:spacing w:line="360" w:lineRule="auto"/>
              <w:jc w:val="both"/>
            </w:pPr>
            <w:r w:rsidRPr="00B85CB7">
              <w:t>HbA1c enzymatic diagnostic kit</w:t>
            </w:r>
          </w:p>
        </w:tc>
        <w:tc>
          <w:tcPr>
            <w:tcW w:w="3263" w:type="dxa"/>
            <w:shd w:val="clear" w:color="auto" w:fill="FFFFFF"/>
            <w:tcMar>
              <w:top w:w="80" w:type="dxa"/>
              <w:left w:w="120" w:type="dxa"/>
              <w:bottom w:w="80" w:type="dxa"/>
              <w:right w:w="120" w:type="dxa"/>
            </w:tcMar>
            <w:vAlign w:val="center"/>
          </w:tcPr>
          <w:p w14:paraId="5F281E1A" w14:textId="77777777" w:rsidR="00487FEC" w:rsidRPr="00B85CB7" w:rsidRDefault="00487FEC" w:rsidP="005D2D54">
            <w:pPr>
              <w:spacing w:line="360" w:lineRule="auto"/>
              <w:jc w:val="both"/>
            </w:pPr>
            <w:r w:rsidRPr="00B85CB7">
              <w:t>Glycated haemoglobin estimation</w:t>
            </w:r>
          </w:p>
        </w:tc>
        <w:tc>
          <w:tcPr>
            <w:tcW w:w="2263" w:type="dxa"/>
            <w:shd w:val="clear" w:color="auto" w:fill="FFFFFF"/>
            <w:tcMar>
              <w:top w:w="80" w:type="dxa"/>
              <w:left w:w="120" w:type="dxa"/>
              <w:bottom w:w="80" w:type="dxa"/>
              <w:right w:w="120" w:type="dxa"/>
            </w:tcMar>
            <w:vAlign w:val="center"/>
          </w:tcPr>
          <w:p w14:paraId="2117A2D0" w14:textId="77777777" w:rsidR="00487FEC" w:rsidRPr="00B85CB7" w:rsidRDefault="00487FEC" w:rsidP="005D2D54">
            <w:pPr>
              <w:spacing w:line="360" w:lineRule="auto"/>
              <w:jc w:val="both"/>
            </w:pPr>
            <w:r w:rsidRPr="00B85CB7">
              <w:t>Commercial diagnostics kit</w:t>
            </w:r>
          </w:p>
        </w:tc>
      </w:tr>
      <w:tr w:rsidR="00487FEC" w:rsidRPr="00B85CB7" w14:paraId="6910F5AC" w14:textId="77777777" w:rsidTr="005D2D54">
        <w:trPr>
          <w:cantSplit/>
        </w:trPr>
        <w:tc>
          <w:tcPr>
            <w:tcW w:w="3500" w:type="dxa"/>
            <w:shd w:val="clear" w:color="auto" w:fill="FFFFFF"/>
            <w:tcMar>
              <w:top w:w="80" w:type="dxa"/>
              <w:left w:w="120" w:type="dxa"/>
              <w:bottom w:w="80" w:type="dxa"/>
              <w:right w:w="120" w:type="dxa"/>
            </w:tcMar>
            <w:vAlign w:val="center"/>
          </w:tcPr>
          <w:p w14:paraId="4DCF91CC" w14:textId="77777777" w:rsidR="00487FEC" w:rsidRPr="00B85CB7" w:rsidRDefault="00487FEC" w:rsidP="005D2D54">
            <w:pPr>
              <w:spacing w:line="360" w:lineRule="auto"/>
              <w:jc w:val="both"/>
            </w:pPr>
            <w:r w:rsidRPr="00B85CB7">
              <w:t>Glucose test strips + digital glucometer</w:t>
            </w:r>
          </w:p>
        </w:tc>
        <w:tc>
          <w:tcPr>
            <w:tcW w:w="3263" w:type="dxa"/>
            <w:shd w:val="clear" w:color="auto" w:fill="FFFFFF"/>
            <w:tcMar>
              <w:top w:w="80" w:type="dxa"/>
              <w:left w:w="120" w:type="dxa"/>
              <w:bottom w:w="80" w:type="dxa"/>
              <w:right w:w="120" w:type="dxa"/>
            </w:tcMar>
            <w:vAlign w:val="center"/>
          </w:tcPr>
          <w:p w14:paraId="2F192756" w14:textId="77777777" w:rsidR="00487FEC" w:rsidRPr="00B85CB7" w:rsidRDefault="00487FEC" w:rsidP="005D2D54">
            <w:pPr>
              <w:spacing w:line="360" w:lineRule="auto"/>
              <w:jc w:val="both"/>
            </w:pPr>
            <w:r w:rsidRPr="00B85CB7">
              <w:t>Fasting blood glucose measurement</w:t>
            </w:r>
          </w:p>
        </w:tc>
        <w:tc>
          <w:tcPr>
            <w:tcW w:w="2263" w:type="dxa"/>
            <w:shd w:val="clear" w:color="auto" w:fill="FFFFFF"/>
            <w:tcMar>
              <w:top w:w="80" w:type="dxa"/>
              <w:left w:w="120" w:type="dxa"/>
              <w:bottom w:w="80" w:type="dxa"/>
              <w:right w:w="120" w:type="dxa"/>
            </w:tcMar>
            <w:vAlign w:val="center"/>
          </w:tcPr>
          <w:p w14:paraId="7306DB1E" w14:textId="77777777" w:rsidR="00487FEC" w:rsidRPr="00B85CB7" w:rsidRDefault="00487FEC" w:rsidP="005D2D54">
            <w:pPr>
              <w:spacing w:line="360" w:lineRule="auto"/>
              <w:jc w:val="both"/>
            </w:pPr>
            <w:r w:rsidRPr="00B85CB7">
              <w:t>Accu-Chek or equivalent</w:t>
            </w:r>
          </w:p>
        </w:tc>
      </w:tr>
      <w:tr w:rsidR="00487FEC" w:rsidRPr="00B85CB7" w14:paraId="16A755D6" w14:textId="77777777" w:rsidTr="005D2D54">
        <w:trPr>
          <w:cantSplit/>
        </w:trPr>
        <w:tc>
          <w:tcPr>
            <w:tcW w:w="3500" w:type="dxa"/>
            <w:tcBorders>
              <w:bottom w:val="single" w:sz="4" w:space="0" w:color="auto"/>
            </w:tcBorders>
            <w:shd w:val="clear" w:color="auto" w:fill="FFFFFF"/>
            <w:tcMar>
              <w:top w:w="80" w:type="dxa"/>
              <w:left w:w="120" w:type="dxa"/>
              <w:bottom w:w="80" w:type="dxa"/>
              <w:right w:w="120" w:type="dxa"/>
            </w:tcMar>
            <w:vAlign w:val="center"/>
          </w:tcPr>
          <w:p w14:paraId="4AADB75A" w14:textId="77777777" w:rsidR="00487FEC" w:rsidRPr="00B85CB7" w:rsidRDefault="00487FEC" w:rsidP="005D2D54">
            <w:pPr>
              <w:spacing w:line="360" w:lineRule="auto"/>
              <w:jc w:val="both"/>
            </w:pPr>
            <w:r w:rsidRPr="00B85CB7">
              <w:t>Lipid profile commercial kits (TC, TG, HDL-C)</w:t>
            </w:r>
          </w:p>
        </w:tc>
        <w:tc>
          <w:tcPr>
            <w:tcW w:w="3263" w:type="dxa"/>
            <w:tcBorders>
              <w:bottom w:val="single" w:sz="4" w:space="0" w:color="auto"/>
            </w:tcBorders>
            <w:shd w:val="clear" w:color="auto" w:fill="FFFFFF"/>
            <w:tcMar>
              <w:top w:w="80" w:type="dxa"/>
              <w:left w:w="120" w:type="dxa"/>
              <w:bottom w:w="80" w:type="dxa"/>
              <w:right w:w="120" w:type="dxa"/>
            </w:tcMar>
            <w:vAlign w:val="center"/>
          </w:tcPr>
          <w:p w14:paraId="055FD8CE" w14:textId="77777777" w:rsidR="00487FEC" w:rsidRPr="00B85CB7" w:rsidRDefault="00487FEC" w:rsidP="005D2D54">
            <w:pPr>
              <w:spacing w:line="360" w:lineRule="auto"/>
              <w:jc w:val="both"/>
            </w:pPr>
            <w:r w:rsidRPr="00B85CB7">
              <w:t>Serum lipid profile assay</w:t>
            </w:r>
          </w:p>
        </w:tc>
        <w:tc>
          <w:tcPr>
            <w:tcW w:w="2263" w:type="dxa"/>
            <w:tcBorders>
              <w:bottom w:val="single" w:sz="4" w:space="0" w:color="auto"/>
            </w:tcBorders>
            <w:shd w:val="clear" w:color="auto" w:fill="FFFFFF"/>
            <w:tcMar>
              <w:top w:w="80" w:type="dxa"/>
              <w:left w:w="120" w:type="dxa"/>
              <w:bottom w:w="80" w:type="dxa"/>
              <w:right w:w="120" w:type="dxa"/>
            </w:tcMar>
            <w:vAlign w:val="center"/>
          </w:tcPr>
          <w:p w14:paraId="490D19E6" w14:textId="77777777" w:rsidR="00487FEC" w:rsidRPr="00B85CB7" w:rsidRDefault="00487FEC" w:rsidP="005D2D54">
            <w:pPr>
              <w:spacing w:line="360" w:lineRule="auto"/>
              <w:jc w:val="both"/>
            </w:pPr>
            <w:r w:rsidRPr="00B85CB7">
              <w:t>Randox Laboratories, UK</w:t>
            </w:r>
          </w:p>
        </w:tc>
      </w:tr>
    </w:tbl>
    <w:p w14:paraId="2C94BEF2" w14:textId="77777777" w:rsidR="00487FEC" w:rsidRPr="00B85CB7" w:rsidRDefault="00487FEC" w:rsidP="00487FEC">
      <w:pPr>
        <w:rPr>
          <w:b/>
          <w:bCs/>
          <w:color w:val="000000"/>
        </w:rPr>
      </w:pPr>
      <w:bookmarkStart w:id="6" w:name="_Toc230616743"/>
      <w:r w:rsidRPr="00B85CB7">
        <w:br w:type="page"/>
      </w:r>
    </w:p>
    <w:p w14:paraId="616E1956" w14:textId="77777777" w:rsidR="00487FEC" w:rsidRPr="00B85CB7" w:rsidRDefault="00487FEC" w:rsidP="00487FEC">
      <w:pPr>
        <w:pStyle w:val="Heading3"/>
        <w:spacing w:before="0" w:line="480" w:lineRule="auto"/>
        <w:jc w:val="both"/>
      </w:pPr>
      <w:r w:rsidRPr="00B85CB7">
        <w:lastRenderedPageBreak/>
        <w:t>Laboratory Equipment and Instruments</w:t>
      </w:r>
      <w:bookmarkEnd w:id="6"/>
    </w:p>
    <w:p w14:paraId="57CEE6C3" w14:textId="77777777" w:rsidR="00487FEC" w:rsidRPr="00524AD2" w:rsidRDefault="00487FEC" w:rsidP="00524AD2">
      <w:pPr>
        <w:spacing w:line="480" w:lineRule="auto"/>
        <w:jc w:val="both"/>
      </w:pPr>
      <w:r w:rsidRPr="00B85CB7">
        <w:t xml:space="preserve">The major laboratory equipment used in this study </w:t>
      </w:r>
      <w:r>
        <w:t>is</w:t>
      </w:r>
      <w:r w:rsidRPr="00B85CB7">
        <w:t xml:space="preserve"> presented in Table 2 below.</w:t>
      </w:r>
      <w:r w:rsidRPr="00B85CB7">
        <w:rPr>
          <w:b/>
          <w:bCs/>
        </w:rPr>
        <w:br w:type="page"/>
      </w:r>
    </w:p>
    <w:p w14:paraId="37779D9C" w14:textId="77777777" w:rsidR="00487FEC" w:rsidRPr="00B85CB7" w:rsidRDefault="00985B77" w:rsidP="00487FEC">
      <w:pPr>
        <w:spacing w:line="480" w:lineRule="auto"/>
        <w:jc w:val="center"/>
      </w:pPr>
      <w:r>
        <w:rPr>
          <w:b/>
          <w:bCs/>
        </w:rPr>
        <w:lastRenderedPageBreak/>
        <w:t xml:space="preserve">Table </w:t>
      </w:r>
      <w:r w:rsidR="00487FEC" w:rsidRPr="00B85CB7">
        <w:rPr>
          <w:b/>
          <w:bCs/>
        </w:rPr>
        <w:t>2. Laboratory equipment and instruments used in this study</w:t>
      </w:r>
    </w:p>
    <w:tbl>
      <w:tblPr>
        <w:tblW w:w="9026" w:type="dxa"/>
        <w:tblCellMar>
          <w:left w:w="10" w:type="dxa"/>
          <w:right w:w="10" w:type="dxa"/>
        </w:tblCellMar>
        <w:tblLook w:val="0000" w:firstRow="0" w:lastRow="0" w:firstColumn="0" w:lastColumn="0" w:noHBand="0" w:noVBand="0"/>
      </w:tblPr>
      <w:tblGrid>
        <w:gridCol w:w="3800"/>
        <w:gridCol w:w="3226"/>
        <w:gridCol w:w="2000"/>
      </w:tblGrid>
      <w:tr w:rsidR="00487FEC" w:rsidRPr="00B85CB7" w14:paraId="37A217A1" w14:textId="77777777" w:rsidTr="005D2D54">
        <w:trPr>
          <w:cantSplit/>
          <w:tblHeader/>
        </w:trPr>
        <w:tc>
          <w:tcPr>
            <w:tcW w:w="38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2E62A30" w14:textId="77777777" w:rsidR="00487FEC" w:rsidRPr="00B85CB7" w:rsidRDefault="00487FEC" w:rsidP="005D2D54">
            <w:pPr>
              <w:spacing w:line="360" w:lineRule="auto"/>
              <w:jc w:val="both"/>
            </w:pPr>
            <w:r w:rsidRPr="00B85CB7">
              <w:rPr>
                <w:b/>
                <w:bCs/>
              </w:rPr>
              <w:t>Equipment / Instrument</w:t>
            </w:r>
          </w:p>
        </w:tc>
        <w:tc>
          <w:tcPr>
            <w:tcW w:w="3226"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2ED35F9" w14:textId="77777777" w:rsidR="00487FEC" w:rsidRPr="00B85CB7" w:rsidRDefault="00487FEC" w:rsidP="005D2D54">
            <w:pPr>
              <w:spacing w:line="360" w:lineRule="auto"/>
              <w:jc w:val="both"/>
            </w:pPr>
            <w:r w:rsidRPr="00B85CB7">
              <w:rPr>
                <w:b/>
                <w:bCs/>
              </w:rPr>
              <w:t>Purpose</w:t>
            </w:r>
          </w:p>
        </w:tc>
        <w:tc>
          <w:tcPr>
            <w:tcW w:w="20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713C76AF" w14:textId="77777777" w:rsidR="00487FEC" w:rsidRPr="00B85CB7" w:rsidRDefault="00487FEC" w:rsidP="005D2D54">
            <w:pPr>
              <w:spacing w:line="360" w:lineRule="auto"/>
              <w:jc w:val="both"/>
            </w:pPr>
            <w:r w:rsidRPr="00B85CB7">
              <w:rPr>
                <w:b/>
                <w:bCs/>
              </w:rPr>
              <w:t>Model / Make</w:t>
            </w:r>
          </w:p>
        </w:tc>
      </w:tr>
      <w:tr w:rsidR="00487FEC" w:rsidRPr="00B85CB7" w14:paraId="3DA56AB4" w14:textId="77777777" w:rsidTr="005D2D54">
        <w:trPr>
          <w:cantSplit/>
        </w:trPr>
        <w:tc>
          <w:tcPr>
            <w:tcW w:w="3800" w:type="dxa"/>
            <w:tcBorders>
              <w:top w:val="single" w:sz="4" w:space="0" w:color="auto"/>
            </w:tcBorders>
            <w:shd w:val="clear" w:color="auto" w:fill="FFFFFF"/>
            <w:tcMar>
              <w:top w:w="80" w:type="dxa"/>
              <w:left w:w="120" w:type="dxa"/>
              <w:bottom w:w="80" w:type="dxa"/>
              <w:right w:w="120" w:type="dxa"/>
            </w:tcMar>
            <w:vAlign w:val="center"/>
          </w:tcPr>
          <w:p w14:paraId="60713F4C" w14:textId="77777777" w:rsidR="00487FEC" w:rsidRPr="00B85CB7" w:rsidRDefault="00487FEC" w:rsidP="005D2D54">
            <w:pPr>
              <w:spacing w:line="360" w:lineRule="auto"/>
              <w:jc w:val="both"/>
            </w:pPr>
            <w:r w:rsidRPr="00B85CB7">
              <w:t>Electric mechanical grinder</w:t>
            </w:r>
          </w:p>
        </w:tc>
        <w:tc>
          <w:tcPr>
            <w:tcW w:w="3226" w:type="dxa"/>
            <w:tcBorders>
              <w:top w:val="single" w:sz="4" w:space="0" w:color="auto"/>
            </w:tcBorders>
            <w:shd w:val="clear" w:color="auto" w:fill="FFFFFF"/>
            <w:tcMar>
              <w:top w:w="80" w:type="dxa"/>
              <w:left w:w="120" w:type="dxa"/>
              <w:bottom w:w="80" w:type="dxa"/>
              <w:right w:w="120" w:type="dxa"/>
            </w:tcMar>
            <w:vAlign w:val="center"/>
          </w:tcPr>
          <w:p w14:paraId="73962F35" w14:textId="77777777" w:rsidR="00487FEC" w:rsidRPr="00B85CB7" w:rsidRDefault="00487FEC" w:rsidP="005D2D54">
            <w:pPr>
              <w:spacing w:line="360" w:lineRule="auto"/>
              <w:jc w:val="both"/>
            </w:pPr>
            <w:r w:rsidRPr="00B85CB7">
              <w:t>Pulverizing dried plant material</w:t>
            </w:r>
          </w:p>
        </w:tc>
        <w:tc>
          <w:tcPr>
            <w:tcW w:w="2000" w:type="dxa"/>
            <w:tcBorders>
              <w:top w:val="single" w:sz="4" w:space="0" w:color="auto"/>
            </w:tcBorders>
            <w:shd w:val="clear" w:color="auto" w:fill="FFFFFF"/>
            <w:tcMar>
              <w:top w:w="80" w:type="dxa"/>
              <w:left w:w="120" w:type="dxa"/>
              <w:bottom w:w="80" w:type="dxa"/>
              <w:right w:w="120" w:type="dxa"/>
            </w:tcMar>
            <w:vAlign w:val="center"/>
          </w:tcPr>
          <w:p w14:paraId="639DF3F8" w14:textId="77777777" w:rsidR="00487FEC" w:rsidRPr="00B85CB7" w:rsidRDefault="00487FEC" w:rsidP="005D2D54">
            <w:pPr>
              <w:spacing w:line="360" w:lineRule="auto"/>
              <w:jc w:val="both"/>
            </w:pPr>
            <w:r w:rsidRPr="00B85CB7">
              <w:t>Thomas-Wiley® Mill</w:t>
            </w:r>
          </w:p>
        </w:tc>
      </w:tr>
      <w:tr w:rsidR="00487FEC" w:rsidRPr="00B85CB7" w14:paraId="2D315946" w14:textId="77777777" w:rsidTr="005D2D54">
        <w:trPr>
          <w:cantSplit/>
        </w:trPr>
        <w:tc>
          <w:tcPr>
            <w:tcW w:w="3800" w:type="dxa"/>
            <w:shd w:val="clear" w:color="auto" w:fill="FFFFFF"/>
            <w:tcMar>
              <w:top w:w="80" w:type="dxa"/>
              <w:left w:w="120" w:type="dxa"/>
              <w:bottom w:w="80" w:type="dxa"/>
              <w:right w:w="120" w:type="dxa"/>
            </w:tcMar>
            <w:vAlign w:val="center"/>
          </w:tcPr>
          <w:p w14:paraId="0DFB4DAA" w14:textId="77777777" w:rsidR="00487FEC" w:rsidRPr="00B85CB7" w:rsidRDefault="00487FEC" w:rsidP="005D2D54">
            <w:pPr>
              <w:spacing w:line="360" w:lineRule="auto"/>
              <w:jc w:val="both"/>
            </w:pPr>
            <w:r w:rsidRPr="00B85CB7">
              <w:t>Rotary evaporator</w:t>
            </w:r>
          </w:p>
        </w:tc>
        <w:tc>
          <w:tcPr>
            <w:tcW w:w="3226" w:type="dxa"/>
            <w:shd w:val="clear" w:color="auto" w:fill="FFFFFF"/>
            <w:tcMar>
              <w:top w:w="80" w:type="dxa"/>
              <w:left w:w="120" w:type="dxa"/>
              <w:bottom w:w="80" w:type="dxa"/>
              <w:right w:w="120" w:type="dxa"/>
            </w:tcMar>
            <w:vAlign w:val="center"/>
          </w:tcPr>
          <w:p w14:paraId="7CDF372A" w14:textId="77777777" w:rsidR="00487FEC" w:rsidRPr="00B85CB7" w:rsidRDefault="00487FEC" w:rsidP="005D2D54">
            <w:pPr>
              <w:spacing w:line="360" w:lineRule="auto"/>
              <w:jc w:val="both"/>
            </w:pPr>
            <w:r w:rsidRPr="00B85CB7">
              <w:t>Concentrating the crude extract under reduced pressure</w:t>
            </w:r>
          </w:p>
        </w:tc>
        <w:tc>
          <w:tcPr>
            <w:tcW w:w="2000" w:type="dxa"/>
            <w:shd w:val="clear" w:color="auto" w:fill="FFFFFF"/>
            <w:tcMar>
              <w:top w:w="80" w:type="dxa"/>
              <w:left w:w="120" w:type="dxa"/>
              <w:bottom w:w="80" w:type="dxa"/>
              <w:right w:w="120" w:type="dxa"/>
            </w:tcMar>
            <w:vAlign w:val="center"/>
          </w:tcPr>
          <w:p w14:paraId="1A54403E" w14:textId="77777777" w:rsidR="00487FEC" w:rsidRPr="00B85CB7" w:rsidRDefault="00487FEC" w:rsidP="005D2D54">
            <w:pPr>
              <w:spacing w:line="360" w:lineRule="auto"/>
              <w:jc w:val="both"/>
            </w:pPr>
            <w:r w:rsidRPr="00B85CB7">
              <w:t>Buchi R-300</w:t>
            </w:r>
          </w:p>
        </w:tc>
      </w:tr>
      <w:tr w:rsidR="00487FEC" w:rsidRPr="00B85CB7" w14:paraId="022C2704" w14:textId="77777777" w:rsidTr="005D2D54">
        <w:trPr>
          <w:cantSplit/>
        </w:trPr>
        <w:tc>
          <w:tcPr>
            <w:tcW w:w="3800" w:type="dxa"/>
            <w:shd w:val="clear" w:color="auto" w:fill="FFFFFF"/>
            <w:tcMar>
              <w:top w:w="80" w:type="dxa"/>
              <w:left w:w="120" w:type="dxa"/>
              <w:bottom w:w="80" w:type="dxa"/>
              <w:right w:w="120" w:type="dxa"/>
            </w:tcMar>
            <w:vAlign w:val="center"/>
          </w:tcPr>
          <w:p w14:paraId="593AA899" w14:textId="77777777" w:rsidR="00487FEC" w:rsidRPr="00B85CB7" w:rsidRDefault="00487FEC" w:rsidP="005D2D54">
            <w:pPr>
              <w:spacing w:line="360" w:lineRule="auto"/>
              <w:jc w:val="both"/>
            </w:pPr>
            <w:r w:rsidRPr="00B85CB7">
              <w:t>Freeze dryer (lyophilizer)</w:t>
            </w:r>
          </w:p>
        </w:tc>
        <w:tc>
          <w:tcPr>
            <w:tcW w:w="3226" w:type="dxa"/>
            <w:shd w:val="clear" w:color="auto" w:fill="FFFFFF"/>
            <w:tcMar>
              <w:top w:w="80" w:type="dxa"/>
              <w:left w:w="120" w:type="dxa"/>
              <w:bottom w:w="80" w:type="dxa"/>
              <w:right w:w="120" w:type="dxa"/>
            </w:tcMar>
            <w:vAlign w:val="center"/>
          </w:tcPr>
          <w:p w14:paraId="3A62CB13" w14:textId="77777777" w:rsidR="00487FEC" w:rsidRPr="00B85CB7" w:rsidRDefault="00487FEC" w:rsidP="005D2D54">
            <w:pPr>
              <w:spacing w:line="360" w:lineRule="auto"/>
              <w:jc w:val="both"/>
            </w:pPr>
            <w:r w:rsidRPr="00B85CB7">
              <w:t>Obtaining dry extract powder from concentrated filtrate</w:t>
            </w:r>
          </w:p>
        </w:tc>
        <w:tc>
          <w:tcPr>
            <w:tcW w:w="2000" w:type="dxa"/>
            <w:shd w:val="clear" w:color="auto" w:fill="FFFFFF"/>
            <w:tcMar>
              <w:top w:w="80" w:type="dxa"/>
              <w:left w:w="120" w:type="dxa"/>
              <w:bottom w:w="80" w:type="dxa"/>
              <w:right w:w="120" w:type="dxa"/>
            </w:tcMar>
            <w:vAlign w:val="center"/>
          </w:tcPr>
          <w:p w14:paraId="7B157B67" w14:textId="77777777" w:rsidR="00487FEC" w:rsidRPr="00B85CB7" w:rsidRDefault="00487FEC" w:rsidP="005D2D54">
            <w:pPr>
              <w:spacing w:line="360" w:lineRule="auto"/>
              <w:jc w:val="both"/>
            </w:pPr>
            <w:r w:rsidRPr="00B85CB7">
              <w:t>Labconco FreeZone 2.5</w:t>
            </w:r>
          </w:p>
        </w:tc>
      </w:tr>
      <w:tr w:rsidR="00487FEC" w:rsidRPr="00B85CB7" w14:paraId="1F2B2935" w14:textId="77777777" w:rsidTr="005D2D54">
        <w:trPr>
          <w:cantSplit/>
        </w:trPr>
        <w:tc>
          <w:tcPr>
            <w:tcW w:w="3800" w:type="dxa"/>
            <w:shd w:val="clear" w:color="auto" w:fill="FFFFFF"/>
            <w:tcMar>
              <w:top w:w="80" w:type="dxa"/>
              <w:left w:w="120" w:type="dxa"/>
              <w:bottom w:w="80" w:type="dxa"/>
              <w:right w:w="120" w:type="dxa"/>
            </w:tcMar>
            <w:vAlign w:val="center"/>
          </w:tcPr>
          <w:p w14:paraId="72E17D05" w14:textId="77777777" w:rsidR="00487FEC" w:rsidRPr="00B85CB7" w:rsidRDefault="00487FEC" w:rsidP="005D2D54">
            <w:pPr>
              <w:spacing w:line="360" w:lineRule="auto"/>
              <w:jc w:val="both"/>
            </w:pPr>
            <w:r w:rsidRPr="00B85CB7">
              <w:t>Soxhlet extraction apparatus</w:t>
            </w:r>
          </w:p>
        </w:tc>
        <w:tc>
          <w:tcPr>
            <w:tcW w:w="3226" w:type="dxa"/>
            <w:shd w:val="clear" w:color="auto" w:fill="FFFFFF"/>
            <w:tcMar>
              <w:top w:w="80" w:type="dxa"/>
              <w:left w:w="120" w:type="dxa"/>
              <w:bottom w:w="80" w:type="dxa"/>
              <w:right w:w="120" w:type="dxa"/>
            </w:tcMar>
            <w:vAlign w:val="center"/>
          </w:tcPr>
          <w:p w14:paraId="4F862E57" w14:textId="77777777" w:rsidR="00487FEC" w:rsidRPr="00B85CB7" w:rsidRDefault="00487FEC" w:rsidP="005D2D54">
            <w:pPr>
              <w:spacing w:line="360" w:lineRule="auto"/>
              <w:jc w:val="both"/>
            </w:pPr>
            <w:r w:rsidRPr="00B85CB7">
              <w:t>Exhaustive lipid extraction</w:t>
            </w:r>
          </w:p>
        </w:tc>
        <w:tc>
          <w:tcPr>
            <w:tcW w:w="2000" w:type="dxa"/>
            <w:shd w:val="clear" w:color="auto" w:fill="FFFFFF"/>
            <w:tcMar>
              <w:top w:w="80" w:type="dxa"/>
              <w:left w:w="120" w:type="dxa"/>
              <w:bottom w:w="80" w:type="dxa"/>
              <w:right w:w="120" w:type="dxa"/>
            </w:tcMar>
            <w:vAlign w:val="center"/>
          </w:tcPr>
          <w:p w14:paraId="69ACA462" w14:textId="77777777" w:rsidR="00487FEC" w:rsidRPr="00B85CB7" w:rsidRDefault="00487FEC" w:rsidP="005D2D54">
            <w:pPr>
              <w:spacing w:line="360" w:lineRule="auto"/>
              <w:jc w:val="both"/>
            </w:pPr>
            <w:r w:rsidRPr="00B85CB7">
              <w:t>Standard glass, 250 mL</w:t>
            </w:r>
          </w:p>
        </w:tc>
      </w:tr>
      <w:tr w:rsidR="00487FEC" w:rsidRPr="00B85CB7" w14:paraId="7AA3E3F5" w14:textId="77777777" w:rsidTr="005D2D54">
        <w:trPr>
          <w:cantSplit/>
        </w:trPr>
        <w:tc>
          <w:tcPr>
            <w:tcW w:w="3800" w:type="dxa"/>
            <w:shd w:val="clear" w:color="auto" w:fill="FFFFFF"/>
            <w:tcMar>
              <w:top w:w="80" w:type="dxa"/>
              <w:left w:w="120" w:type="dxa"/>
              <w:bottom w:w="80" w:type="dxa"/>
              <w:right w:w="120" w:type="dxa"/>
            </w:tcMar>
            <w:vAlign w:val="center"/>
          </w:tcPr>
          <w:p w14:paraId="55D8956B" w14:textId="77777777" w:rsidR="00487FEC" w:rsidRPr="00B85CB7" w:rsidRDefault="00487FEC" w:rsidP="005D2D54">
            <w:pPr>
              <w:spacing w:line="360" w:lineRule="auto"/>
              <w:jc w:val="both"/>
            </w:pPr>
            <w:r w:rsidRPr="00B85CB7">
              <w:t>Kjeldahl digestion and distillation unit</w:t>
            </w:r>
          </w:p>
        </w:tc>
        <w:tc>
          <w:tcPr>
            <w:tcW w:w="3226" w:type="dxa"/>
            <w:shd w:val="clear" w:color="auto" w:fill="FFFFFF"/>
            <w:tcMar>
              <w:top w:w="80" w:type="dxa"/>
              <w:left w:w="120" w:type="dxa"/>
              <w:bottom w:w="80" w:type="dxa"/>
              <w:right w:w="120" w:type="dxa"/>
            </w:tcMar>
            <w:vAlign w:val="center"/>
          </w:tcPr>
          <w:p w14:paraId="70E9086E" w14:textId="77777777" w:rsidR="00487FEC" w:rsidRPr="00B85CB7" w:rsidRDefault="00487FEC" w:rsidP="005D2D54">
            <w:pPr>
              <w:spacing w:line="360" w:lineRule="auto"/>
              <w:jc w:val="both"/>
            </w:pPr>
            <w:r w:rsidRPr="00B85CB7">
              <w:t>Crude protein determination</w:t>
            </w:r>
          </w:p>
        </w:tc>
        <w:tc>
          <w:tcPr>
            <w:tcW w:w="2000" w:type="dxa"/>
            <w:shd w:val="clear" w:color="auto" w:fill="FFFFFF"/>
            <w:tcMar>
              <w:top w:w="80" w:type="dxa"/>
              <w:left w:w="120" w:type="dxa"/>
              <w:bottom w:w="80" w:type="dxa"/>
              <w:right w:w="120" w:type="dxa"/>
            </w:tcMar>
            <w:vAlign w:val="center"/>
          </w:tcPr>
          <w:p w14:paraId="36F546A4" w14:textId="77777777" w:rsidR="00487FEC" w:rsidRPr="00B85CB7" w:rsidRDefault="00487FEC" w:rsidP="005D2D54">
            <w:pPr>
              <w:spacing w:line="360" w:lineRule="auto"/>
              <w:jc w:val="both"/>
            </w:pPr>
            <w:r w:rsidRPr="00B85CB7">
              <w:t>VELP Scientifica</w:t>
            </w:r>
          </w:p>
        </w:tc>
      </w:tr>
      <w:tr w:rsidR="00487FEC" w:rsidRPr="00B85CB7" w14:paraId="4BE545FE" w14:textId="77777777" w:rsidTr="005D2D54">
        <w:trPr>
          <w:cantSplit/>
        </w:trPr>
        <w:tc>
          <w:tcPr>
            <w:tcW w:w="3800" w:type="dxa"/>
            <w:shd w:val="clear" w:color="auto" w:fill="FFFFFF"/>
            <w:tcMar>
              <w:top w:w="80" w:type="dxa"/>
              <w:left w:w="120" w:type="dxa"/>
              <w:bottom w:w="80" w:type="dxa"/>
              <w:right w:w="120" w:type="dxa"/>
            </w:tcMar>
            <w:vAlign w:val="center"/>
          </w:tcPr>
          <w:p w14:paraId="7C6D1ACC" w14:textId="77777777" w:rsidR="00487FEC" w:rsidRPr="00B85CB7" w:rsidRDefault="00487FEC" w:rsidP="005D2D54">
            <w:pPr>
              <w:spacing w:line="360" w:lineRule="auto"/>
              <w:jc w:val="both"/>
            </w:pPr>
            <w:r w:rsidRPr="00B85CB7">
              <w:t>Muffle furnace</w:t>
            </w:r>
          </w:p>
        </w:tc>
        <w:tc>
          <w:tcPr>
            <w:tcW w:w="3226" w:type="dxa"/>
            <w:shd w:val="clear" w:color="auto" w:fill="FFFFFF"/>
            <w:tcMar>
              <w:top w:w="80" w:type="dxa"/>
              <w:left w:w="120" w:type="dxa"/>
              <w:bottom w:w="80" w:type="dxa"/>
              <w:right w:w="120" w:type="dxa"/>
            </w:tcMar>
            <w:vAlign w:val="center"/>
          </w:tcPr>
          <w:p w14:paraId="00A9FA6D" w14:textId="77777777" w:rsidR="00487FEC" w:rsidRPr="00B85CB7" w:rsidRDefault="00487FEC" w:rsidP="005D2D54">
            <w:pPr>
              <w:spacing w:line="360" w:lineRule="auto"/>
              <w:jc w:val="both"/>
            </w:pPr>
            <w:r w:rsidRPr="00B85CB7">
              <w:t>Ash content and crude fibre incineration</w:t>
            </w:r>
          </w:p>
        </w:tc>
        <w:tc>
          <w:tcPr>
            <w:tcW w:w="2000" w:type="dxa"/>
            <w:shd w:val="clear" w:color="auto" w:fill="FFFFFF"/>
            <w:tcMar>
              <w:top w:w="80" w:type="dxa"/>
              <w:left w:w="120" w:type="dxa"/>
              <w:bottom w:w="80" w:type="dxa"/>
              <w:right w:w="120" w:type="dxa"/>
            </w:tcMar>
            <w:vAlign w:val="center"/>
          </w:tcPr>
          <w:p w14:paraId="13F8D3E2" w14:textId="77777777" w:rsidR="00487FEC" w:rsidRPr="00B85CB7" w:rsidRDefault="00487FEC" w:rsidP="005D2D54">
            <w:pPr>
              <w:spacing w:line="360" w:lineRule="auto"/>
              <w:jc w:val="both"/>
            </w:pPr>
            <w:r w:rsidRPr="00B85CB7">
              <w:t>550°C-rated</w:t>
            </w:r>
          </w:p>
        </w:tc>
      </w:tr>
      <w:tr w:rsidR="00487FEC" w:rsidRPr="00B85CB7" w14:paraId="2096EEA6" w14:textId="77777777" w:rsidTr="005D2D54">
        <w:trPr>
          <w:cantSplit/>
        </w:trPr>
        <w:tc>
          <w:tcPr>
            <w:tcW w:w="3800" w:type="dxa"/>
            <w:shd w:val="clear" w:color="auto" w:fill="FFFFFF"/>
            <w:tcMar>
              <w:top w:w="80" w:type="dxa"/>
              <w:left w:w="120" w:type="dxa"/>
              <w:bottom w:w="80" w:type="dxa"/>
              <w:right w:w="120" w:type="dxa"/>
            </w:tcMar>
            <w:vAlign w:val="center"/>
          </w:tcPr>
          <w:p w14:paraId="35BAEBCA" w14:textId="77777777" w:rsidR="00487FEC" w:rsidRPr="00B85CB7" w:rsidRDefault="00487FEC" w:rsidP="005D2D54">
            <w:pPr>
              <w:spacing w:line="360" w:lineRule="auto"/>
              <w:jc w:val="both"/>
            </w:pPr>
            <w:r w:rsidRPr="00B85CB7">
              <w:t>Drying oven</w:t>
            </w:r>
          </w:p>
        </w:tc>
        <w:tc>
          <w:tcPr>
            <w:tcW w:w="3226" w:type="dxa"/>
            <w:shd w:val="clear" w:color="auto" w:fill="FFFFFF"/>
            <w:tcMar>
              <w:top w:w="80" w:type="dxa"/>
              <w:left w:w="120" w:type="dxa"/>
              <w:bottom w:w="80" w:type="dxa"/>
              <w:right w:w="120" w:type="dxa"/>
            </w:tcMar>
            <w:vAlign w:val="center"/>
          </w:tcPr>
          <w:p w14:paraId="5EF483B1" w14:textId="77777777" w:rsidR="00487FEC" w:rsidRPr="00B85CB7" w:rsidRDefault="00487FEC" w:rsidP="005D2D54">
            <w:pPr>
              <w:spacing w:line="360" w:lineRule="auto"/>
              <w:jc w:val="both"/>
            </w:pPr>
            <w:r w:rsidRPr="00B85CB7">
              <w:t>Moisture content determination and sample drying</w:t>
            </w:r>
          </w:p>
        </w:tc>
        <w:tc>
          <w:tcPr>
            <w:tcW w:w="2000" w:type="dxa"/>
            <w:shd w:val="clear" w:color="auto" w:fill="FFFFFF"/>
            <w:tcMar>
              <w:top w:w="80" w:type="dxa"/>
              <w:left w:w="120" w:type="dxa"/>
              <w:bottom w:w="80" w:type="dxa"/>
              <w:right w:w="120" w:type="dxa"/>
            </w:tcMar>
            <w:vAlign w:val="center"/>
          </w:tcPr>
          <w:p w14:paraId="656CF8F0" w14:textId="77777777" w:rsidR="00487FEC" w:rsidRPr="00B85CB7" w:rsidRDefault="00487FEC" w:rsidP="005D2D54">
            <w:pPr>
              <w:spacing w:line="360" w:lineRule="auto"/>
              <w:jc w:val="both"/>
            </w:pPr>
            <w:r w:rsidRPr="00B85CB7">
              <w:t>100–105°C</w:t>
            </w:r>
          </w:p>
        </w:tc>
      </w:tr>
      <w:tr w:rsidR="00487FEC" w:rsidRPr="00B85CB7" w14:paraId="30C97717" w14:textId="77777777" w:rsidTr="005D2D54">
        <w:trPr>
          <w:cantSplit/>
        </w:trPr>
        <w:tc>
          <w:tcPr>
            <w:tcW w:w="3800" w:type="dxa"/>
            <w:shd w:val="clear" w:color="auto" w:fill="FFFFFF"/>
            <w:tcMar>
              <w:top w:w="80" w:type="dxa"/>
              <w:left w:w="120" w:type="dxa"/>
              <w:bottom w:w="80" w:type="dxa"/>
              <w:right w:w="120" w:type="dxa"/>
            </w:tcMar>
            <w:vAlign w:val="center"/>
          </w:tcPr>
          <w:p w14:paraId="594E1984" w14:textId="77777777" w:rsidR="00487FEC" w:rsidRPr="00B85CB7" w:rsidRDefault="00487FEC" w:rsidP="005D2D54">
            <w:pPr>
              <w:spacing w:line="360" w:lineRule="auto"/>
              <w:jc w:val="both"/>
            </w:pPr>
            <w:r w:rsidRPr="00B85CB7">
              <w:t>Centrifuge</w:t>
            </w:r>
          </w:p>
        </w:tc>
        <w:tc>
          <w:tcPr>
            <w:tcW w:w="3226" w:type="dxa"/>
            <w:shd w:val="clear" w:color="auto" w:fill="FFFFFF"/>
            <w:tcMar>
              <w:top w:w="80" w:type="dxa"/>
              <w:left w:w="120" w:type="dxa"/>
              <w:bottom w:w="80" w:type="dxa"/>
              <w:right w:w="120" w:type="dxa"/>
            </w:tcMar>
            <w:vAlign w:val="center"/>
          </w:tcPr>
          <w:p w14:paraId="2435B42C" w14:textId="77777777" w:rsidR="00487FEC" w:rsidRPr="00B85CB7" w:rsidRDefault="00487FEC" w:rsidP="005D2D54">
            <w:pPr>
              <w:spacing w:line="360" w:lineRule="auto"/>
              <w:jc w:val="both"/>
            </w:pPr>
            <w:r w:rsidRPr="00B85CB7">
              <w:t>Serum preparation and extract processing</w:t>
            </w:r>
          </w:p>
        </w:tc>
        <w:tc>
          <w:tcPr>
            <w:tcW w:w="2000" w:type="dxa"/>
            <w:shd w:val="clear" w:color="auto" w:fill="FFFFFF"/>
            <w:tcMar>
              <w:top w:w="80" w:type="dxa"/>
              <w:left w:w="120" w:type="dxa"/>
              <w:bottom w:w="80" w:type="dxa"/>
              <w:right w:w="120" w:type="dxa"/>
            </w:tcMar>
            <w:vAlign w:val="center"/>
          </w:tcPr>
          <w:p w14:paraId="3B4DBFF2" w14:textId="77777777" w:rsidR="00487FEC" w:rsidRPr="00B85CB7" w:rsidRDefault="00487FEC" w:rsidP="005D2D54">
            <w:pPr>
              <w:spacing w:line="360" w:lineRule="auto"/>
              <w:jc w:val="both"/>
            </w:pPr>
            <w:r w:rsidRPr="00B85CB7">
              <w:t>3000–5000 rpm</w:t>
            </w:r>
          </w:p>
        </w:tc>
      </w:tr>
      <w:tr w:rsidR="00487FEC" w:rsidRPr="00B85CB7" w14:paraId="41378CAA" w14:textId="77777777" w:rsidTr="005D2D54">
        <w:trPr>
          <w:cantSplit/>
        </w:trPr>
        <w:tc>
          <w:tcPr>
            <w:tcW w:w="3800" w:type="dxa"/>
            <w:shd w:val="clear" w:color="auto" w:fill="FFFFFF"/>
            <w:tcMar>
              <w:top w:w="80" w:type="dxa"/>
              <w:left w:w="120" w:type="dxa"/>
              <w:bottom w:w="80" w:type="dxa"/>
              <w:right w:w="120" w:type="dxa"/>
            </w:tcMar>
            <w:vAlign w:val="center"/>
          </w:tcPr>
          <w:p w14:paraId="3BEA6E78" w14:textId="77777777" w:rsidR="00487FEC" w:rsidRPr="00B85CB7" w:rsidRDefault="00487FEC" w:rsidP="005D2D54">
            <w:pPr>
              <w:spacing w:line="360" w:lineRule="auto"/>
              <w:jc w:val="both"/>
            </w:pPr>
            <w:r w:rsidRPr="00B85CB7">
              <w:t>UV-Visible spectrophotometer</w:t>
            </w:r>
          </w:p>
        </w:tc>
        <w:tc>
          <w:tcPr>
            <w:tcW w:w="3226" w:type="dxa"/>
            <w:shd w:val="clear" w:color="auto" w:fill="FFFFFF"/>
            <w:tcMar>
              <w:top w:w="80" w:type="dxa"/>
              <w:left w:w="120" w:type="dxa"/>
              <w:bottom w:w="80" w:type="dxa"/>
              <w:right w:w="120" w:type="dxa"/>
            </w:tcMar>
            <w:vAlign w:val="center"/>
          </w:tcPr>
          <w:p w14:paraId="2B9CC584" w14:textId="77777777" w:rsidR="00487FEC" w:rsidRPr="00B85CB7" w:rsidRDefault="00487FEC" w:rsidP="005D2D54">
            <w:pPr>
              <w:spacing w:line="360" w:lineRule="auto"/>
              <w:jc w:val="both"/>
            </w:pPr>
            <w:r w:rsidRPr="00B85CB7">
              <w:t>Absorbance readings for phytochemical assays</w:t>
            </w:r>
          </w:p>
        </w:tc>
        <w:tc>
          <w:tcPr>
            <w:tcW w:w="2000" w:type="dxa"/>
            <w:shd w:val="clear" w:color="auto" w:fill="FFFFFF"/>
            <w:tcMar>
              <w:top w:w="80" w:type="dxa"/>
              <w:left w:w="120" w:type="dxa"/>
              <w:bottom w:w="80" w:type="dxa"/>
              <w:right w:w="120" w:type="dxa"/>
            </w:tcMar>
            <w:vAlign w:val="center"/>
          </w:tcPr>
          <w:p w14:paraId="38521D37" w14:textId="77777777" w:rsidR="00487FEC" w:rsidRPr="00B85CB7" w:rsidRDefault="00487FEC" w:rsidP="005D2D54">
            <w:pPr>
              <w:spacing w:line="360" w:lineRule="auto"/>
              <w:jc w:val="both"/>
            </w:pPr>
            <w:r w:rsidRPr="00B85CB7">
              <w:t>Jenway 7315</w:t>
            </w:r>
          </w:p>
        </w:tc>
      </w:tr>
      <w:tr w:rsidR="00487FEC" w:rsidRPr="00B85CB7" w14:paraId="7CB0C9E1" w14:textId="77777777" w:rsidTr="005D2D54">
        <w:trPr>
          <w:cantSplit/>
        </w:trPr>
        <w:tc>
          <w:tcPr>
            <w:tcW w:w="3800" w:type="dxa"/>
            <w:shd w:val="clear" w:color="auto" w:fill="FFFFFF"/>
            <w:tcMar>
              <w:top w:w="80" w:type="dxa"/>
              <w:left w:w="120" w:type="dxa"/>
              <w:bottom w:w="80" w:type="dxa"/>
              <w:right w:w="120" w:type="dxa"/>
            </w:tcMar>
            <w:vAlign w:val="center"/>
          </w:tcPr>
          <w:p w14:paraId="0B1C2CC1" w14:textId="77777777" w:rsidR="00487FEC" w:rsidRPr="00B85CB7" w:rsidRDefault="00487FEC" w:rsidP="005D2D54">
            <w:pPr>
              <w:spacing w:line="360" w:lineRule="auto"/>
              <w:jc w:val="both"/>
            </w:pPr>
            <w:r w:rsidRPr="00B85CB7">
              <w:t>ELISA reader (microplate reader)</w:t>
            </w:r>
          </w:p>
        </w:tc>
        <w:tc>
          <w:tcPr>
            <w:tcW w:w="3226" w:type="dxa"/>
            <w:shd w:val="clear" w:color="auto" w:fill="FFFFFF"/>
            <w:tcMar>
              <w:top w:w="80" w:type="dxa"/>
              <w:left w:w="120" w:type="dxa"/>
              <w:bottom w:w="80" w:type="dxa"/>
              <w:right w:w="120" w:type="dxa"/>
            </w:tcMar>
            <w:vAlign w:val="center"/>
          </w:tcPr>
          <w:p w14:paraId="52ED972B" w14:textId="77777777" w:rsidR="00487FEC" w:rsidRPr="00B85CB7" w:rsidRDefault="00487FEC" w:rsidP="005D2D54">
            <w:pPr>
              <w:spacing w:line="360" w:lineRule="auto"/>
              <w:jc w:val="both"/>
            </w:pPr>
            <w:r w:rsidRPr="00B85CB7">
              <w:t>Serum insulin ELISA absorbance measurement</w:t>
            </w:r>
          </w:p>
        </w:tc>
        <w:tc>
          <w:tcPr>
            <w:tcW w:w="2000" w:type="dxa"/>
            <w:shd w:val="clear" w:color="auto" w:fill="FFFFFF"/>
            <w:tcMar>
              <w:top w:w="80" w:type="dxa"/>
              <w:left w:w="120" w:type="dxa"/>
              <w:bottom w:w="80" w:type="dxa"/>
              <w:right w:w="120" w:type="dxa"/>
            </w:tcMar>
            <w:vAlign w:val="center"/>
          </w:tcPr>
          <w:p w14:paraId="7FCD2927" w14:textId="77777777" w:rsidR="00487FEC" w:rsidRPr="00B85CB7" w:rsidRDefault="00487FEC" w:rsidP="005D2D54">
            <w:pPr>
              <w:spacing w:line="360" w:lineRule="auto"/>
              <w:jc w:val="both"/>
            </w:pPr>
            <w:r w:rsidRPr="00B85CB7">
              <w:t>Standard 450 nm</w:t>
            </w:r>
          </w:p>
        </w:tc>
      </w:tr>
      <w:tr w:rsidR="00487FEC" w:rsidRPr="00B85CB7" w14:paraId="13FBAB2E" w14:textId="77777777" w:rsidTr="005D2D54">
        <w:trPr>
          <w:cantSplit/>
        </w:trPr>
        <w:tc>
          <w:tcPr>
            <w:tcW w:w="3800" w:type="dxa"/>
            <w:shd w:val="clear" w:color="auto" w:fill="FFFFFF"/>
            <w:tcMar>
              <w:top w:w="80" w:type="dxa"/>
              <w:left w:w="120" w:type="dxa"/>
              <w:bottom w:w="80" w:type="dxa"/>
              <w:right w:w="120" w:type="dxa"/>
            </w:tcMar>
            <w:vAlign w:val="center"/>
          </w:tcPr>
          <w:p w14:paraId="253DC1BD" w14:textId="77777777" w:rsidR="00487FEC" w:rsidRPr="00B85CB7" w:rsidRDefault="00487FEC" w:rsidP="005D2D54">
            <w:pPr>
              <w:spacing w:line="360" w:lineRule="auto"/>
              <w:jc w:val="both"/>
            </w:pPr>
            <w:r w:rsidRPr="00B85CB7">
              <w:t>Digital glucometer</w:t>
            </w:r>
          </w:p>
        </w:tc>
        <w:tc>
          <w:tcPr>
            <w:tcW w:w="3226" w:type="dxa"/>
            <w:shd w:val="clear" w:color="auto" w:fill="FFFFFF"/>
            <w:tcMar>
              <w:top w:w="80" w:type="dxa"/>
              <w:left w:w="120" w:type="dxa"/>
              <w:bottom w:w="80" w:type="dxa"/>
              <w:right w:w="120" w:type="dxa"/>
            </w:tcMar>
            <w:vAlign w:val="center"/>
          </w:tcPr>
          <w:p w14:paraId="4D3E3305" w14:textId="77777777" w:rsidR="00487FEC" w:rsidRPr="00B85CB7" w:rsidRDefault="00487FEC" w:rsidP="005D2D54">
            <w:pPr>
              <w:spacing w:line="360" w:lineRule="auto"/>
              <w:jc w:val="both"/>
            </w:pPr>
            <w:r w:rsidRPr="00B85CB7">
              <w:t>Fasting blood glucose monitoring</w:t>
            </w:r>
          </w:p>
        </w:tc>
        <w:tc>
          <w:tcPr>
            <w:tcW w:w="2000" w:type="dxa"/>
            <w:shd w:val="clear" w:color="auto" w:fill="FFFFFF"/>
            <w:tcMar>
              <w:top w:w="80" w:type="dxa"/>
              <w:left w:w="120" w:type="dxa"/>
              <w:bottom w:w="80" w:type="dxa"/>
              <w:right w:w="120" w:type="dxa"/>
            </w:tcMar>
            <w:vAlign w:val="center"/>
          </w:tcPr>
          <w:p w14:paraId="66382BF8" w14:textId="77777777" w:rsidR="00487FEC" w:rsidRPr="00B85CB7" w:rsidRDefault="00487FEC" w:rsidP="005D2D54">
            <w:pPr>
              <w:spacing w:line="360" w:lineRule="auto"/>
              <w:jc w:val="both"/>
            </w:pPr>
            <w:r w:rsidRPr="00B85CB7">
              <w:t>Accu-Chek or equivalent</w:t>
            </w:r>
          </w:p>
        </w:tc>
      </w:tr>
      <w:tr w:rsidR="00487FEC" w:rsidRPr="00B85CB7" w14:paraId="45CF078F" w14:textId="77777777" w:rsidTr="005D2D54">
        <w:trPr>
          <w:cantSplit/>
        </w:trPr>
        <w:tc>
          <w:tcPr>
            <w:tcW w:w="3800" w:type="dxa"/>
            <w:shd w:val="clear" w:color="auto" w:fill="FFFFFF"/>
            <w:tcMar>
              <w:top w:w="80" w:type="dxa"/>
              <w:left w:w="120" w:type="dxa"/>
              <w:bottom w:w="80" w:type="dxa"/>
              <w:right w:w="120" w:type="dxa"/>
            </w:tcMar>
            <w:vAlign w:val="center"/>
          </w:tcPr>
          <w:p w14:paraId="38E2AE45" w14:textId="77777777" w:rsidR="00487FEC" w:rsidRPr="00B85CB7" w:rsidRDefault="00487FEC" w:rsidP="005D2D54">
            <w:pPr>
              <w:spacing w:line="360" w:lineRule="auto"/>
              <w:jc w:val="both"/>
            </w:pPr>
            <w:r w:rsidRPr="00B85CB7">
              <w:t>Analytical balance</w:t>
            </w:r>
          </w:p>
        </w:tc>
        <w:tc>
          <w:tcPr>
            <w:tcW w:w="3226" w:type="dxa"/>
            <w:shd w:val="clear" w:color="auto" w:fill="FFFFFF"/>
            <w:tcMar>
              <w:top w:w="80" w:type="dxa"/>
              <w:left w:w="120" w:type="dxa"/>
              <w:bottom w:w="80" w:type="dxa"/>
              <w:right w:w="120" w:type="dxa"/>
            </w:tcMar>
            <w:vAlign w:val="center"/>
          </w:tcPr>
          <w:p w14:paraId="6B446D7F" w14:textId="77777777" w:rsidR="00487FEC" w:rsidRPr="00B85CB7" w:rsidRDefault="00487FEC" w:rsidP="005D2D54">
            <w:pPr>
              <w:spacing w:line="360" w:lineRule="auto"/>
              <w:jc w:val="both"/>
            </w:pPr>
            <w:r w:rsidRPr="00B85CB7">
              <w:t>Gravimetric measurements throughout</w:t>
            </w:r>
          </w:p>
        </w:tc>
        <w:tc>
          <w:tcPr>
            <w:tcW w:w="2000" w:type="dxa"/>
            <w:shd w:val="clear" w:color="auto" w:fill="FFFFFF"/>
            <w:tcMar>
              <w:top w:w="80" w:type="dxa"/>
              <w:left w:w="120" w:type="dxa"/>
              <w:bottom w:w="80" w:type="dxa"/>
              <w:right w:w="120" w:type="dxa"/>
            </w:tcMar>
            <w:vAlign w:val="center"/>
          </w:tcPr>
          <w:p w14:paraId="3B299893" w14:textId="77777777" w:rsidR="00487FEC" w:rsidRPr="00B85CB7" w:rsidRDefault="00487FEC" w:rsidP="005D2D54">
            <w:pPr>
              <w:spacing w:line="360" w:lineRule="auto"/>
              <w:jc w:val="both"/>
            </w:pPr>
            <w:r w:rsidRPr="00B85CB7">
              <w:t>±0.0001 g precision</w:t>
            </w:r>
          </w:p>
        </w:tc>
      </w:tr>
      <w:tr w:rsidR="00487FEC" w:rsidRPr="00B85CB7" w14:paraId="6C09513B" w14:textId="77777777" w:rsidTr="005D2D54">
        <w:trPr>
          <w:cantSplit/>
        </w:trPr>
        <w:tc>
          <w:tcPr>
            <w:tcW w:w="3800" w:type="dxa"/>
            <w:shd w:val="clear" w:color="auto" w:fill="FFFFFF"/>
            <w:tcMar>
              <w:top w:w="80" w:type="dxa"/>
              <w:left w:w="120" w:type="dxa"/>
              <w:bottom w:w="80" w:type="dxa"/>
              <w:right w:w="120" w:type="dxa"/>
            </w:tcMar>
            <w:vAlign w:val="center"/>
          </w:tcPr>
          <w:p w14:paraId="3261CFB8" w14:textId="77777777" w:rsidR="00487FEC" w:rsidRPr="00B85CB7" w:rsidRDefault="00487FEC" w:rsidP="005D2D54">
            <w:pPr>
              <w:spacing w:line="360" w:lineRule="auto"/>
              <w:jc w:val="both"/>
            </w:pPr>
            <w:r w:rsidRPr="00B85CB7">
              <w:t>Water bath / heating mantle</w:t>
            </w:r>
          </w:p>
        </w:tc>
        <w:tc>
          <w:tcPr>
            <w:tcW w:w="3226" w:type="dxa"/>
            <w:shd w:val="clear" w:color="auto" w:fill="FFFFFF"/>
            <w:tcMar>
              <w:top w:w="80" w:type="dxa"/>
              <w:left w:w="120" w:type="dxa"/>
              <w:bottom w:w="80" w:type="dxa"/>
              <w:right w:w="120" w:type="dxa"/>
            </w:tcMar>
            <w:vAlign w:val="center"/>
          </w:tcPr>
          <w:p w14:paraId="6D6A865B" w14:textId="77777777" w:rsidR="00487FEC" w:rsidRPr="00B85CB7" w:rsidRDefault="00487FEC" w:rsidP="005D2D54">
            <w:pPr>
              <w:spacing w:line="360" w:lineRule="auto"/>
              <w:jc w:val="both"/>
            </w:pPr>
            <w:r w:rsidRPr="00B85CB7">
              <w:t>Digestion and extraction incubations</w:t>
            </w:r>
          </w:p>
        </w:tc>
        <w:tc>
          <w:tcPr>
            <w:tcW w:w="2000" w:type="dxa"/>
            <w:shd w:val="clear" w:color="auto" w:fill="FFFFFF"/>
            <w:tcMar>
              <w:top w:w="80" w:type="dxa"/>
              <w:left w:w="120" w:type="dxa"/>
              <w:bottom w:w="80" w:type="dxa"/>
              <w:right w:w="120" w:type="dxa"/>
            </w:tcMar>
            <w:vAlign w:val="center"/>
          </w:tcPr>
          <w:p w14:paraId="2AB139F6" w14:textId="77777777" w:rsidR="00487FEC" w:rsidRPr="00B85CB7" w:rsidRDefault="00487FEC" w:rsidP="005D2D54">
            <w:pPr>
              <w:spacing w:line="360" w:lineRule="auto"/>
              <w:jc w:val="both"/>
            </w:pPr>
            <w:r w:rsidRPr="00B85CB7">
              <w:t>Memmert or equivalent</w:t>
            </w:r>
          </w:p>
        </w:tc>
      </w:tr>
      <w:tr w:rsidR="00487FEC" w:rsidRPr="00B85CB7" w14:paraId="420CEFE9" w14:textId="77777777" w:rsidTr="005D2D54">
        <w:trPr>
          <w:cantSplit/>
        </w:trPr>
        <w:tc>
          <w:tcPr>
            <w:tcW w:w="3800" w:type="dxa"/>
            <w:tcBorders>
              <w:bottom w:val="single" w:sz="4" w:space="0" w:color="auto"/>
            </w:tcBorders>
            <w:shd w:val="clear" w:color="auto" w:fill="FFFFFF"/>
            <w:tcMar>
              <w:top w:w="80" w:type="dxa"/>
              <w:left w:w="120" w:type="dxa"/>
              <w:bottom w:w="80" w:type="dxa"/>
              <w:right w:w="120" w:type="dxa"/>
            </w:tcMar>
            <w:vAlign w:val="center"/>
          </w:tcPr>
          <w:p w14:paraId="3C7E2D7C" w14:textId="77777777" w:rsidR="00487FEC" w:rsidRPr="00B85CB7" w:rsidRDefault="00487FEC" w:rsidP="005D2D54">
            <w:pPr>
              <w:spacing w:line="360" w:lineRule="auto"/>
              <w:jc w:val="both"/>
            </w:pPr>
            <w:r w:rsidRPr="00B85CB7">
              <w:t>Polypropylene animal cages</w:t>
            </w:r>
          </w:p>
        </w:tc>
        <w:tc>
          <w:tcPr>
            <w:tcW w:w="3226" w:type="dxa"/>
            <w:tcBorders>
              <w:bottom w:val="single" w:sz="4" w:space="0" w:color="auto"/>
            </w:tcBorders>
            <w:shd w:val="clear" w:color="auto" w:fill="FFFFFF"/>
            <w:tcMar>
              <w:top w:w="80" w:type="dxa"/>
              <w:left w:w="120" w:type="dxa"/>
              <w:bottom w:w="80" w:type="dxa"/>
              <w:right w:w="120" w:type="dxa"/>
            </w:tcMar>
            <w:vAlign w:val="center"/>
          </w:tcPr>
          <w:p w14:paraId="4FA3BAFF" w14:textId="77777777" w:rsidR="00487FEC" w:rsidRPr="00B85CB7" w:rsidRDefault="00487FEC" w:rsidP="005D2D54">
            <w:pPr>
              <w:spacing w:line="360" w:lineRule="auto"/>
              <w:jc w:val="both"/>
            </w:pPr>
            <w:r w:rsidRPr="00B85CB7">
              <w:t>Housing experimental animals</w:t>
            </w:r>
          </w:p>
        </w:tc>
        <w:tc>
          <w:tcPr>
            <w:tcW w:w="2000" w:type="dxa"/>
            <w:tcBorders>
              <w:bottom w:val="single" w:sz="4" w:space="0" w:color="auto"/>
            </w:tcBorders>
            <w:shd w:val="clear" w:color="auto" w:fill="FFFFFF"/>
            <w:tcMar>
              <w:top w:w="80" w:type="dxa"/>
              <w:left w:w="120" w:type="dxa"/>
              <w:bottom w:w="80" w:type="dxa"/>
              <w:right w:w="120" w:type="dxa"/>
            </w:tcMar>
            <w:vAlign w:val="center"/>
          </w:tcPr>
          <w:p w14:paraId="5749B761" w14:textId="77777777" w:rsidR="00487FEC" w:rsidRPr="00B85CB7" w:rsidRDefault="00487FEC" w:rsidP="005D2D54">
            <w:pPr>
              <w:spacing w:line="360" w:lineRule="auto"/>
              <w:jc w:val="both"/>
            </w:pPr>
            <w:r w:rsidRPr="00B85CB7">
              <w:t>Sanitized, ventilated</w:t>
            </w:r>
          </w:p>
        </w:tc>
      </w:tr>
    </w:tbl>
    <w:p w14:paraId="055C9829" w14:textId="77777777" w:rsidR="00487FEC" w:rsidRDefault="00487FEC" w:rsidP="00487FEC">
      <w:pPr>
        <w:rPr>
          <w:b/>
          <w:bCs/>
          <w:color w:val="000000"/>
        </w:rPr>
      </w:pPr>
      <w:bookmarkStart w:id="7" w:name="_Toc230616744"/>
      <w:r>
        <w:br w:type="page"/>
      </w:r>
    </w:p>
    <w:p w14:paraId="4C46208E" w14:textId="77777777" w:rsidR="00487FEC" w:rsidRPr="00B85CB7" w:rsidRDefault="00487FEC" w:rsidP="00487FEC">
      <w:pPr>
        <w:pStyle w:val="Heading2"/>
        <w:spacing w:before="0" w:line="480" w:lineRule="auto"/>
        <w:jc w:val="both"/>
      </w:pPr>
      <w:r w:rsidRPr="00B85CB7">
        <w:lastRenderedPageBreak/>
        <w:t>Methods</w:t>
      </w:r>
      <w:bookmarkEnd w:id="7"/>
    </w:p>
    <w:p w14:paraId="395BC240" w14:textId="77777777" w:rsidR="00487FEC" w:rsidRPr="00B85CB7" w:rsidRDefault="00487FEC" w:rsidP="00487FEC">
      <w:pPr>
        <w:pStyle w:val="Heading3"/>
        <w:spacing w:before="0" w:line="480" w:lineRule="auto"/>
        <w:jc w:val="both"/>
      </w:pPr>
      <w:bookmarkStart w:id="8" w:name="_Toc230616745"/>
      <w:r w:rsidRPr="00B85CB7">
        <w:t>Plant Material Collection, Processing, and Extraction</w:t>
      </w:r>
      <w:bookmarkEnd w:id="8"/>
    </w:p>
    <w:p w14:paraId="1037E2DA" w14:textId="77777777" w:rsidR="00487FEC" w:rsidRPr="00B85CB7" w:rsidRDefault="00487FEC" w:rsidP="00487FEC">
      <w:pPr>
        <w:spacing w:line="480" w:lineRule="auto"/>
        <w:ind w:firstLine="720"/>
        <w:jc w:val="both"/>
      </w:pPr>
      <w:r w:rsidRPr="00B85CB7">
        <w:t xml:space="preserve">Fresh, mature plant </w:t>
      </w:r>
      <w:r>
        <w:t>parts</w:t>
      </w:r>
      <w:r w:rsidRPr="00B85CB7">
        <w:t xml:space="preserve"> (leaves) were harvested from the botanical garden and thoroughly washed under running tap water to remove soil and extraneous debris, followed by a final rinse with distilled water. The plant material was shade-dried at ambient temperature (25 ± 2°C) for three weeks in a well-ventilated laboratory space, so as to prevent photodegradation of heat-labile phytochemicals. The completely dried material was </w:t>
      </w:r>
      <w:r>
        <w:rPr>
          <w:highlight w:val="yellow"/>
        </w:rPr>
        <w:t>pulverised</w:t>
      </w:r>
      <w:r>
        <w:t xml:space="preserve"> into a coarse powder using an electric mechanical grinder (Thomas-Wiley® Mill) and stored in airtight polyethylene bags pending extraction.</w:t>
      </w:r>
    </w:p>
    <w:p w14:paraId="4B067141" w14:textId="77777777" w:rsidR="00487FEC" w:rsidRPr="00B85CB7" w:rsidRDefault="00487FEC" w:rsidP="00487FEC">
      <w:pPr>
        <w:spacing w:line="480" w:lineRule="auto"/>
        <w:ind w:firstLine="720"/>
        <w:jc w:val="both"/>
      </w:pPr>
      <w:r w:rsidRPr="00B85CB7">
        <w:t xml:space="preserve">For preparation of the ethanolic extract, 500 g of the powdered plant material was cold-macerated in 2.5 litres of 95% ethanol (1:5 w/v ratio) in an amber glass container. The mixture was allowed to stand at 4°C for 72 hours, with intermittent agitation every 12 hours to enhance extraction efficiency. The macerate was first filtered through a double-layered muslin cloth, and the marc was pressed to recover residual extract. The filtrate was further clarified by passage through Whatman No. 1 filter paper. The resulting clear filtrate was concentrated under reduced pressure using a rotary evaporator (Buchi R-300) at 40°C to remove approximately 70% of the solvent. The resultant semi-solid concentrate was transferred into pre-weighed glass Petri dishes and </w:t>
      </w:r>
      <w:r>
        <w:rPr>
          <w:highlight w:val="yellow"/>
        </w:rPr>
        <w:t>lyophilised</w:t>
      </w:r>
      <w:r>
        <w:t xml:space="preserve"> using a freeze-dryer (</w:t>
      </w:r>
      <w:r w:rsidRPr="00B85CB7">
        <w:t>Labconco FreeZone 2.5) to obtain a dry, hygroscopic extract powder. The percentage yield was calculated as:</w:t>
      </w:r>
    </w:p>
    <w:p w14:paraId="51339CF5" w14:textId="77777777" w:rsidR="00487FEC" w:rsidRPr="00B85CB7" w:rsidRDefault="00487FEC" w:rsidP="00487FEC">
      <w:pPr>
        <w:spacing w:line="480" w:lineRule="auto"/>
        <w:jc w:val="both"/>
      </w:pPr>
      <w:r w:rsidRPr="00B85CB7">
        <w:rPr>
          <w:i/>
          <w:iCs/>
        </w:rPr>
        <w:t>% Yield = (Weight of dry extract ÷ Weight of starting material) × 100</w:t>
      </w:r>
    </w:p>
    <w:p w14:paraId="441954BF" w14:textId="77777777" w:rsidR="00487FEC" w:rsidRPr="00B85CB7" w:rsidRDefault="00487FEC" w:rsidP="00487FEC">
      <w:pPr>
        <w:spacing w:line="480" w:lineRule="auto"/>
        <w:ind w:firstLine="720"/>
        <w:jc w:val="both"/>
      </w:pPr>
      <w:r w:rsidRPr="00B85CB7">
        <w:t>The extract</w:t>
      </w:r>
      <w:r w:rsidR="00524AD2">
        <w:t>,</w:t>
      </w:r>
      <w:r w:rsidRPr="00B85CB7">
        <w:t xml:space="preserve"> hereafter referred to as </w:t>
      </w:r>
      <w:r>
        <w:rPr>
          <w:highlight w:val="yellow"/>
        </w:rPr>
        <w:t xml:space="preserve">the </w:t>
      </w:r>
      <w:r>
        <w:rPr>
          <w:i/>
          <w:highlight w:val="yellow"/>
        </w:rPr>
        <w:t>T. cucumerina</w:t>
      </w:r>
      <w:r>
        <w:rPr>
          <w:highlight w:val="yellow"/>
        </w:rPr>
        <w:t xml:space="preserve"> ethanolic extract (TCE), was stored</w:t>
      </w:r>
      <w:r>
        <w:t xml:space="preserve"> in airtight, light-proof containers at −20°C until required for administration </w:t>
      </w:r>
      <w:r>
        <w:rPr>
          <w:highlight w:val="yellow"/>
        </w:rPr>
        <w:t>(Pabuprapap &amp; Suksamrarn, 2021; Ugbaja et al., 2017)</w:t>
      </w:r>
      <w:r>
        <w:t>.</w:t>
      </w:r>
    </w:p>
    <w:p w14:paraId="1AD4F2E3" w14:textId="77777777" w:rsidR="00487FEC" w:rsidRPr="00B85CB7" w:rsidRDefault="00487FEC" w:rsidP="00487FEC">
      <w:pPr>
        <w:pStyle w:val="Heading3"/>
        <w:spacing w:before="0" w:line="480" w:lineRule="auto"/>
        <w:jc w:val="both"/>
      </w:pPr>
      <w:bookmarkStart w:id="9" w:name="_Toc230616746"/>
      <w:r w:rsidRPr="00B85CB7">
        <w:t>Proximate Composition Analysis</w:t>
      </w:r>
      <w:bookmarkEnd w:id="9"/>
    </w:p>
    <w:p w14:paraId="7676BD96" w14:textId="77777777" w:rsidR="00487FEC" w:rsidRPr="00B85CB7" w:rsidRDefault="00487FEC" w:rsidP="00487FEC">
      <w:pPr>
        <w:spacing w:line="480" w:lineRule="auto"/>
        <w:ind w:firstLine="720"/>
        <w:jc w:val="both"/>
      </w:pPr>
      <w:r w:rsidRPr="00B85CB7">
        <w:t>Proximate analysis of the plant extract was performed in accordance with the methods of the Association of Official Analytical Chemists (AOAC, 1990). All determinations were carried out in triplicate, and results were expressed as percentages on a wet weight basis unless otherwise stated.</w:t>
      </w:r>
    </w:p>
    <w:p w14:paraId="44541C80" w14:textId="77777777" w:rsidR="00487FEC" w:rsidRPr="00B85CB7" w:rsidRDefault="00487FEC" w:rsidP="00487FEC">
      <w:pPr>
        <w:pStyle w:val="Heading3"/>
        <w:spacing w:before="0" w:line="480" w:lineRule="auto"/>
        <w:jc w:val="both"/>
      </w:pPr>
      <w:bookmarkStart w:id="10" w:name="_Toc230616747"/>
      <w:r w:rsidRPr="00B85CB7">
        <w:t>(a) Moisture Content</w:t>
      </w:r>
      <w:bookmarkEnd w:id="10"/>
    </w:p>
    <w:p w14:paraId="69D641D3" w14:textId="77777777" w:rsidR="00487FEC" w:rsidRPr="00B85CB7" w:rsidRDefault="00487FEC" w:rsidP="00487FEC">
      <w:pPr>
        <w:spacing w:line="480" w:lineRule="auto"/>
        <w:ind w:firstLine="720"/>
        <w:jc w:val="both"/>
      </w:pPr>
      <w:r w:rsidRPr="00B85CB7">
        <w:t>A pre-weighed moisture dish was recorded. Approximately 10 g of the homogenized sample was weighed into the crucible (W2) and placed in a hot-air oven at 102 ± 2°C for 2 hours until a constant weight was obtained. The crucible was transferred to a desiccator, cooled to room temperature, and the final weight recorded (W3). The sample was reheated at 1-hour intervals until a stable weight was achieved. Moisture content was calculated using the formula:</w:t>
      </w:r>
    </w:p>
    <w:p w14:paraId="5BA827FF" w14:textId="77777777" w:rsidR="00487FEC" w:rsidRPr="00B85CB7" w:rsidRDefault="00487FEC" w:rsidP="00487FEC">
      <w:pPr>
        <w:spacing w:line="480" w:lineRule="auto"/>
        <w:jc w:val="both"/>
      </w:pPr>
      <w:r w:rsidRPr="00B85CB7">
        <w:rPr>
          <w:i/>
          <w:iCs/>
        </w:rPr>
        <w:t>% Moisture = [(W2 − W3) ÷ (W2 − W1)] × 100</w:t>
      </w:r>
    </w:p>
    <w:p w14:paraId="5D135480" w14:textId="77777777" w:rsidR="00487FEC" w:rsidRPr="00B85CB7" w:rsidRDefault="00487FEC" w:rsidP="00487FEC">
      <w:pPr>
        <w:spacing w:line="480" w:lineRule="auto"/>
        <w:jc w:val="both"/>
      </w:pPr>
      <w:r w:rsidRPr="00B85CB7">
        <w:lastRenderedPageBreak/>
        <w:t>Where: W1 = Initial weight of crucible; W2 = Weight of crucible + fresh sample; W3 = Final weight of crucible + oven-dried sample.</w:t>
      </w:r>
    </w:p>
    <w:p w14:paraId="499D9DCC" w14:textId="77777777" w:rsidR="00487FEC" w:rsidRPr="00B85CB7" w:rsidRDefault="00487FEC" w:rsidP="00487FEC">
      <w:pPr>
        <w:pStyle w:val="Heading3"/>
        <w:spacing w:before="0" w:line="480" w:lineRule="auto"/>
        <w:jc w:val="both"/>
      </w:pPr>
      <w:bookmarkStart w:id="11" w:name="_Toc230616748"/>
      <w:r w:rsidRPr="00B85CB7">
        <w:t>(b) Ash Content</w:t>
      </w:r>
      <w:bookmarkEnd w:id="11"/>
    </w:p>
    <w:p w14:paraId="3EBB7925" w14:textId="77777777" w:rsidR="00487FEC" w:rsidRPr="00B85CB7" w:rsidRDefault="00487FEC" w:rsidP="00487FEC">
      <w:pPr>
        <w:spacing w:line="480" w:lineRule="auto"/>
        <w:ind w:firstLine="720"/>
        <w:jc w:val="both"/>
      </w:pPr>
      <w:r w:rsidRPr="00B85CB7">
        <w:t>The crucible was pre-ignited at 550°C for 24 hours and cooled before recording its weight. Approximately 2 g of the sample was weighed into the crucible and placed in a hot-air oven at 100°C for 24 hours. It was subsequently transferred to a muffle furnace, and the temperature was raised stepwise to 550 ± 50°C and maintained for 8 hours until a white, carbon-free ash was obtained. The crucible was cooled in a desiccator and weighed. Ash content was calculated as:</w:t>
      </w:r>
    </w:p>
    <w:p w14:paraId="392358B5" w14:textId="77777777" w:rsidR="00487FEC" w:rsidRPr="00B85CB7" w:rsidRDefault="00487FEC" w:rsidP="00487FEC">
      <w:pPr>
        <w:spacing w:line="480" w:lineRule="auto"/>
        <w:jc w:val="both"/>
      </w:pPr>
      <w:r w:rsidRPr="00B85CB7">
        <w:rPr>
          <w:i/>
          <w:iCs/>
        </w:rPr>
        <w:t>% Ash Content = (Weight of ash ÷ Weight of sample) × 100</w:t>
      </w:r>
    </w:p>
    <w:p w14:paraId="1C0EF08C" w14:textId="77777777" w:rsidR="00487FEC" w:rsidRPr="00BC18CE" w:rsidRDefault="00487FEC" w:rsidP="00487FEC">
      <w:pPr>
        <w:pStyle w:val="Heading3"/>
        <w:spacing w:before="0" w:line="480" w:lineRule="auto"/>
        <w:jc w:val="both"/>
        <w:rPr>
          <w:lang w:val="nl-BE"/>
        </w:rPr>
      </w:pPr>
      <w:bookmarkStart w:id="12" w:name="_Toc230616749"/>
      <w:r w:rsidRPr="00BC18CE">
        <w:rPr>
          <w:lang w:val="nl-BE"/>
        </w:rPr>
        <w:t>(c) Crude Protein Content — Kjeldahl Method</w:t>
      </w:r>
      <w:bookmarkEnd w:id="12"/>
    </w:p>
    <w:p w14:paraId="042EE7B5" w14:textId="77777777" w:rsidR="00487FEC" w:rsidRPr="00B85CB7" w:rsidRDefault="00487FEC" w:rsidP="00487FEC">
      <w:pPr>
        <w:spacing w:line="480" w:lineRule="auto"/>
        <w:ind w:firstLine="720"/>
        <w:jc w:val="both"/>
      </w:pPr>
      <w:r w:rsidRPr="00B85CB7">
        <w:t>Reagents: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Kjeldahl catalyst (anhydrous Na</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 CuSO</w:t>
      </w:r>
      <w:r w:rsidRPr="00B85CB7">
        <w:rPr>
          <w:rFonts w:ascii="Cambria Math" w:hAnsi="Cambria Math" w:cs="Cambria Math"/>
        </w:rPr>
        <w:t>₄</w:t>
      </w:r>
      <w:r w:rsidRPr="00B85CB7">
        <w:t>, 10:1 w/w ratio); 40% NaOH solution; 2% boric acid solution; mixed indicator (10 mL of 0.1% bromocresol green in 95% ethanol + 2 mL of 0.1% methyl red in 95% ethanol); 0.1 N standard HCl (titrant).</w:t>
      </w:r>
    </w:p>
    <w:p w14:paraId="167BAAC0" w14:textId="77777777" w:rsidR="00487FEC" w:rsidRPr="00B85CB7" w:rsidRDefault="00487FEC" w:rsidP="00487FEC">
      <w:pPr>
        <w:spacing w:line="480" w:lineRule="auto"/>
        <w:ind w:firstLine="720"/>
        <w:jc w:val="both"/>
      </w:pPr>
      <w:r w:rsidRPr="00B85CB7">
        <w:t>Digestion: 1 g of the homogenized sample was accurately weighed into a clean, dry Kjeldahl digestion flask. Twenty millilitres of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added, followed by 3 g of the Kjeldahl catalyst mixture and anti-bumping chips. The mixture was gently heated in a fume cupboard until charred particles disappeared and a clear green solution was obtained, indicating complete digestion. After cooling, the digest was carefully transferred with multiple small distilled water washes into a 100 mL volumetric flask and made up to the mark. Distillation and Titration: Ten millilitres of 2% boric acid containing 3 drops of mixed indicator was placed in a 250 mL receiver flask beneath the condenser (end immersed in boric acid). Ten millilitres of the digest was placed in the distilling compartment with 30 mL of 40% NaOH and the mixture heated for 25 minutes. The ammoniacal distillate was titrated against 0.1 N HCl until the indicator changed to a faint pink endpoint. Protein was calculated as:</w:t>
      </w:r>
    </w:p>
    <w:p w14:paraId="215250BB" w14:textId="77777777" w:rsidR="00487FEC" w:rsidRPr="00B85CB7" w:rsidRDefault="00487FEC" w:rsidP="00487FEC">
      <w:pPr>
        <w:spacing w:line="480" w:lineRule="auto"/>
        <w:jc w:val="both"/>
      </w:pPr>
      <w:r w:rsidRPr="00B85CB7">
        <w:rPr>
          <w:i/>
          <w:iCs/>
        </w:rPr>
        <w:t>% Nitrogen = [Titre (mL) × 0.000141 × Dilution Factor × 100] ÷ Sample weight</w:t>
      </w:r>
    </w:p>
    <w:p w14:paraId="6DEFECA0" w14:textId="77777777" w:rsidR="00487FEC" w:rsidRPr="00B85CB7" w:rsidRDefault="00487FEC" w:rsidP="00487FEC">
      <w:pPr>
        <w:spacing w:line="480" w:lineRule="auto"/>
        <w:jc w:val="both"/>
      </w:pPr>
      <w:r w:rsidRPr="00B85CB7">
        <w:rPr>
          <w:i/>
          <w:iCs/>
        </w:rPr>
        <w:t>% Crude Protein = % Nitrogen × 6.25</w:t>
      </w:r>
    </w:p>
    <w:p w14:paraId="28559609" w14:textId="77777777" w:rsidR="00487FEC" w:rsidRPr="00B85CB7" w:rsidRDefault="00487FEC" w:rsidP="00487FEC">
      <w:pPr>
        <w:pStyle w:val="Heading3"/>
        <w:spacing w:before="0" w:line="480" w:lineRule="auto"/>
        <w:jc w:val="both"/>
      </w:pPr>
      <w:bookmarkStart w:id="13" w:name="_Toc230616750"/>
      <w:r w:rsidRPr="00B85CB7">
        <w:t>(d) Crude Fat / Lipid Content — Soxhlet Gravimetric Method</w:t>
      </w:r>
      <w:bookmarkEnd w:id="13"/>
    </w:p>
    <w:p w14:paraId="76699DED" w14:textId="77777777" w:rsidR="00487FEC" w:rsidRPr="00B85CB7" w:rsidRDefault="00487FEC" w:rsidP="00487FEC">
      <w:pPr>
        <w:spacing w:line="480" w:lineRule="auto"/>
        <w:ind w:firstLine="720"/>
        <w:jc w:val="both"/>
      </w:pPr>
      <w:r w:rsidRPr="00B85CB7">
        <w:t>Ten grams of the sample was placed in a Soxhlet thimble. Lipids were exhaustively extracted with petroleum ether (boiling point 60</w:t>
      </w:r>
      <w:r w:rsidR="00524AD2">
        <w:t>-</w:t>
      </w:r>
      <w:r w:rsidRPr="00B85CB7">
        <w:t>80°C) for 3 hours using a Soxhlet apparatus. The organic solvent was recovered by distillation, and the extraction flask was dried, cooled in a desiccator, and weighed. Crude fat content was calculated as:</w:t>
      </w:r>
    </w:p>
    <w:p w14:paraId="4CDC71F3" w14:textId="77777777" w:rsidR="00487FEC" w:rsidRPr="00B85CB7" w:rsidRDefault="00487FEC" w:rsidP="00487FEC">
      <w:pPr>
        <w:spacing w:line="480" w:lineRule="auto"/>
        <w:jc w:val="both"/>
      </w:pPr>
      <w:r w:rsidRPr="00B85CB7">
        <w:rPr>
          <w:i/>
          <w:iCs/>
        </w:rPr>
        <w:t>% Crude Fat = [(W2 − W1) ÷ Weight of sample] × 100</w:t>
      </w:r>
    </w:p>
    <w:p w14:paraId="400C6400" w14:textId="77777777" w:rsidR="00487FEC" w:rsidRPr="00B85CB7" w:rsidRDefault="00487FEC" w:rsidP="00487FEC">
      <w:pPr>
        <w:spacing w:line="480" w:lineRule="auto"/>
        <w:jc w:val="both"/>
      </w:pPr>
      <w:r w:rsidRPr="00B85CB7">
        <w:t>Where: W1 = Weight of empty extraction flask; W2 = Weight of flask + extracted lipid residue.</w:t>
      </w:r>
    </w:p>
    <w:p w14:paraId="36651CFB" w14:textId="77777777" w:rsidR="00487FEC" w:rsidRPr="00B85CB7" w:rsidRDefault="00487FEC" w:rsidP="00487FEC">
      <w:pPr>
        <w:pStyle w:val="Heading3"/>
        <w:spacing w:before="0" w:line="480" w:lineRule="auto"/>
        <w:jc w:val="both"/>
      </w:pPr>
      <w:bookmarkStart w:id="14" w:name="_Toc230616751"/>
      <w:r w:rsidRPr="00B85CB7">
        <w:lastRenderedPageBreak/>
        <w:t>(e) Crude Fibre Content</w:t>
      </w:r>
      <w:bookmarkEnd w:id="14"/>
    </w:p>
    <w:p w14:paraId="60159FE0" w14:textId="77777777" w:rsidR="00487FEC" w:rsidRPr="00B85CB7" w:rsidRDefault="00487FEC" w:rsidP="00487FEC">
      <w:pPr>
        <w:spacing w:line="480" w:lineRule="auto"/>
        <w:jc w:val="both"/>
      </w:pPr>
      <w:r w:rsidRPr="00B85CB7">
        <w:t>Reagents: 1.25% H</w:t>
      </w:r>
      <w:r w:rsidRPr="00B85CB7">
        <w:rPr>
          <w:rFonts w:ascii="Cambria Math" w:hAnsi="Cambria Math" w:cs="Cambria Math"/>
        </w:rPr>
        <w:t>₂</w:t>
      </w:r>
      <w:r w:rsidRPr="00B85CB7">
        <w:t>SO</w:t>
      </w:r>
      <w:r w:rsidRPr="00B85CB7">
        <w:rPr>
          <w:rFonts w:ascii="Cambria Math" w:hAnsi="Cambria Math" w:cs="Cambria Math"/>
        </w:rPr>
        <w:t>₄</w:t>
      </w:r>
      <w:r w:rsidRPr="00B85CB7">
        <w:t>; 1.25% KOH; n-octanol (antifoam agent); anhydrous acetone.</w:t>
      </w:r>
    </w:p>
    <w:p w14:paraId="38A33449" w14:textId="77777777" w:rsidR="00487FEC" w:rsidRPr="00B85CB7" w:rsidRDefault="00487FEC" w:rsidP="00487FEC">
      <w:pPr>
        <w:spacing w:line="480" w:lineRule="auto"/>
        <w:ind w:firstLine="720"/>
        <w:jc w:val="both"/>
      </w:pPr>
      <w:r w:rsidRPr="00B85CB7">
        <w:t>Two grams of the fat-free, homogenized sample was weighed into a sintered glass crucible, and 150 mL of pre-heated 1.25%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added along with 3 drops of n-octanol. The mixture was boiled under reflux for 30 minutes, connected to a vacuum, and drained. The residue was washed three times with hot deionized water. Pre-heated 1.25% KOH (150 mL) with 5 drops of antifoam was added, and the mixture boiled for a further 30 minutes, then filtered and washed as above. A final cold deionized water wash was applied, followed by three washes with 25 mL of acetone. The residue was transferred to an oven and dried at 105°C, cooled in a desiccator, and weighed (W2). The weighed sample was then incinerated in a muffle furnace at 550°C for 2 hours, cooled, and reweighed (W3). Crude fibre was calculated as:</w:t>
      </w:r>
    </w:p>
    <w:p w14:paraId="68199B2D" w14:textId="77777777" w:rsidR="00487FEC" w:rsidRPr="00B85CB7" w:rsidRDefault="00487FEC" w:rsidP="00487FEC">
      <w:pPr>
        <w:spacing w:line="480" w:lineRule="auto"/>
        <w:jc w:val="both"/>
      </w:pPr>
      <w:r w:rsidRPr="00B85CB7">
        <w:rPr>
          <w:i/>
          <w:iCs/>
        </w:rPr>
        <w:t>% Crude Fibre = [(W2 − W3) ÷ W1] × 100</w:t>
      </w:r>
    </w:p>
    <w:p w14:paraId="3962F234" w14:textId="77777777" w:rsidR="00487FEC" w:rsidRPr="00B85CB7" w:rsidRDefault="00487FEC" w:rsidP="00487FEC">
      <w:pPr>
        <w:spacing w:line="480" w:lineRule="auto"/>
        <w:jc w:val="both"/>
      </w:pPr>
      <w:r w:rsidRPr="00B85CB7">
        <w:t>Where: W1 = Weight of sample; W2 = Weight of crucible + dried residue (before incineration); W3 = Weight of crucible + ash (after incineration).</w:t>
      </w:r>
    </w:p>
    <w:p w14:paraId="23F27B1A" w14:textId="77777777" w:rsidR="00487FEC" w:rsidRPr="00B85CB7" w:rsidRDefault="00487FEC" w:rsidP="00487FEC">
      <w:pPr>
        <w:pStyle w:val="Heading3"/>
        <w:spacing w:before="0" w:line="480" w:lineRule="auto"/>
        <w:jc w:val="both"/>
      </w:pPr>
      <w:bookmarkStart w:id="15" w:name="_Toc230616752"/>
      <w:r w:rsidRPr="00B85CB7">
        <w:t>(f) Carbohydrate Content</w:t>
      </w:r>
      <w:bookmarkEnd w:id="15"/>
    </w:p>
    <w:p w14:paraId="28694F7E" w14:textId="77777777" w:rsidR="00487FEC" w:rsidRPr="00B85CB7" w:rsidRDefault="00487FEC" w:rsidP="00487FEC">
      <w:pPr>
        <w:spacing w:line="480" w:lineRule="auto"/>
        <w:ind w:firstLine="720"/>
        <w:jc w:val="both"/>
      </w:pPr>
      <w:r w:rsidRPr="00B85CB7">
        <w:t>Total carbohydrate content was determined by the difference method, calculated as:</w:t>
      </w:r>
    </w:p>
    <w:p w14:paraId="6B1B4D58" w14:textId="77777777" w:rsidR="00487FEC" w:rsidRPr="00B85CB7" w:rsidRDefault="00487FEC" w:rsidP="00487FEC">
      <w:pPr>
        <w:spacing w:line="480" w:lineRule="auto"/>
        <w:jc w:val="both"/>
      </w:pPr>
      <w:r w:rsidRPr="00B85CB7">
        <w:rPr>
          <w:i/>
          <w:iCs/>
        </w:rPr>
        <w:t>% Carbohydrate = 100 − (% Moisture + % Ash + % Crude Fibre + % Crude Protein + % Crude Fat)</w:t>
      </w:r>
    </w:p>
    <w:p w14:paraId="11730822" w14:textId="77777777" w:rsidR="00487FEC" w:rsidRPr="00B85CB7" w:rsidRDefault="00487FEC" w:rsidP="00487FEC">
      <w:pPr>
        <w:rPr>
          <w:b/>
          <w:bCs/>
          <w:color w:val="000000"/>
        </w:rPr>
      </w:pPr>
      <w:bookmarkStart w:id="16" w:name="_Toc230616753"/>
      <w:r w:rsidRPr="00B85CB7">
        <w:br w:type="page"/>
      </w:r>
    </w:p>
    <w:p w14:paraId="050BA7D8" w14:textId="77777777" w:rsidR="00487FEC" w:rsidRPr="00B85CB7" w:rsidRDefault="00487FEC" w:rsidP="00487FEC">
      <w:pPr>
        <w:pStyle w:val="Heading3"/>
        <w:spacing w:before="0" w:line="480" w:lineRule="auto"/>
        <w:jc w:val="both"/>
      </w:pPr>
      <w:r w:rsidRPr="00B85CB7">
        <w:lastRenderedPageBreak/>
        <w:t>Determination of Antinutrients</w:t>
      </w:r>
      <w:bookmarkEnd w:id="16"/>
    </w:p>
    <w:p w14:paraId="2B32B262" w14:textId="77777777" w:rsidR="00487FEC" w:rsidRPr="00B85CB7" w:rsidRDefault="00487FEC" w:rsidP="00487FEC">
      <w:pPr>
        <w:pStyle w:val="Heading3"/>
        <w:spacing w:before="0" w:line="480" w:lineRule="auto"/>
        <w:jc w:val="both"/>
      </w:pPr>
      <w:bookmarkStart w:id="17" w:name="_Toc230616754"/>
      <w:r w:rsidRPr="00B85CB7">
        <w:t xml:space="preserve">(a) </w:t>
      </w:r>
      <w:r w:rsidRPr="00B85CB7">
        <w:tab/>
        <w:t>Oxalate Determination</w:t>
      </w:r>
      <w:bookmarkEnd w:id="17"/>
    </w:p>
    <w:p w14:paraId="52F213D2" w14:textId="77777777" w:rsidR="00487FEC" w:rsidRPr="00B85CB7" w:rsidRDefault="00487FEC" w:rsidP="00487FEC">
      <w:pPr>
        <w:spacing w:line="480" w:lineRule="auto"/>
        <w:ind w:firstLine="720"/>
        <w:jc w:val="both"/>
      </w:pPr>
      <w:r w:rsidRPr="00B85CB7">
        <w:t>Approximately 5 g of the milled sample was weighed into a beaker, and 200 mL of distilled water along with 10 mL of concentrated hydrochloric acid were added. The mixture was digested on a steam bath at 50°C for 4 hours. The digest was centrifuged, and the filtrate made up to 250 mL with distilled water. A 50 mL aliquot was evaporated to approximately 25 mL, then treated with concentrated ammonia solution until the purple colour of methyl red indicator changed to faint yellow. The determination was performed in triplicate. One millilitre of 0.05 M KMnO</w:t>
      </w:r>
      <w:r w:rsidRPr="00B85CB7">
        <w:rPr>
          <w:rFonts w:ascii="Cambria Math" w:hAnsi="Cambria Math" w:cs="Cambria Math"/>
        </w:rPr>
        <w:t>₄</w:t>
      </w:r>
      <w:r w:rsidRPr="00B85CB7">
        <w:t xml:space="preserve"> is equivalent to 2.22 mg of oxalate (Pietta, 2000).</w:t>
      </w:r>
    </w:p>
    <w:p w14:paraId="2BEF3E4D" w14:textId="77777777" w:rsidR="00487FEC" w:rsidRPr="00B85CB7" w:rsidRDefault="00487FEC" w:rsidP="00487FEC">
      <w:pPr>
        <w:pStyle w:val="Heading3"/>
        <w:spacing w:before="0" w:line="480" w:lineRule="auto"/>
        <w:jc w:val="both"/>
      </w:pPr>
      <w:bookmarkStart w:id="18" w:name="_Toc230616755"/>
      <w:r w:rsidRPr="00B85CB7">
        <w:t xml:space="preserve">(b) </w:t>
      </w:r>
      <w:r w:rsidRPr="00B85CB7">
        <w:tab/>
        <w:t>Phytate Determination</w:t>
      </w:r>
      <w:bookmarkEnd w:id="18"/>
    </w:p>
    <w:p w14:paraId="1435CFBD" w14:textId="77777777" w:rsidR="00487FEC" w:rsidRPr="00B85CB7" w:rsidRDefault="00487FEC" w:rsidP="00487FEC">
      <w:pPr>
        <w:spacing w:line="480" w:lineRule="auto"/>
        <w:ind w:firstLine="720"/>
        <w:jc w:val="both"/>
      </w:pPr>
      <w:r w:rsidRPr="00B85CB7">
        <w:t xml:space="preserve">Two grams of the processed sample was extracted by vigorous mixing with 50 mL of 0.2 N HCl for 30 minutes. The mixture was filtered through Whatman No. 42 filter paper. A 0.5 mL aliquot of the filtrate and 1 mL of a </w:t>
      </w:r>
      <w:r>
        <w:rPr>
          <w:highlight w:val="yellow"/>
        </w:rPr>
        <w:t>standardised</w:t>
      </w:r>
      <w:r>
        <w:t xml:space="preserve"> sodium phytate solution were placed in separate test tubes and treated with 1 mL of ferric ammonium sulphate solution. The tubes were capped and boiled in a water bath for 30 minutes, then cooled in an ice bath for 15 minutes and equilibrated to room temperature. Two </w:t>
      </w:r>
      <w:r w:rsidRPr="00B85CB7">
        <w:t>millilitres of 2,2-bipyridine solution was added to each tube and mixed thoroughly. Absorbance was read at 519 nm using a UV-visible spectrophotometer (Jenway 7315). Phytate content was calculated using the formula (Lepenies et al., 2013):</w:t>
      </w:r>
    </w:p>
    <w:p w14:paraId="6F6F4F3D" w14:textId="77777777" w:rsidR="00487FEC" w:rsidRPr="00B85CB7" w:rsidRDefault="00487FEC" w:rsidP="00487FEC">
      <w:pPr>
        <w:spacing w:line="480" w:lineRule="auto"/>
        <w:jc w:val="both"/>
      </w:pPr>
      <w:r w:rsidRPr="00B85CB7">
        <w:rPr>
          <w:i/>
          <w:iCs/>
        </w:rPr>
        <w:t>% Phytate = [100 × Au × C × (Vt − Va)] ÷ (w × As)</w:t>
      </w:r>
    </w:p>
    <w:p w14:paraId="1C3FBF3D" w14:textId="77777777" w:rsidR="00487FEC" w:rsidRPr="00B85CB7" w:rsidRDefault="00487FEC" w:rsidP="00487FEC">
      <w:pPr>
        <w:spacing w:line="480" w:lineRule="auto"/>
        <w:jc w:val="both"/>
      </w:pPr>
      <w:r w:rsidRPr="00B85CB7">
        <w:t>Where: Au = Absorbance of sample; As = Absorbance of standard phytate solution; C = Concentration of standard phytate (mg/mL); Vt = Total extract volume; Va = Volume of extract aliquoted; w = Weight of sample.</w:t>
      </w:r>
    </w:p>
    <w:p w14:paraId="5498462D" w14:textId="77777777" w:rsidR="00487FEC" w:rsidRPr="00B85CB7" w:rsidRDefault="00487FEC" w:rsidP="00487FEC">
      <w:pPr>
        <w:pStyle w:val="Heading3"/>
        <w:spacing w:before="0" w:line="480" w:lineRule="auto"/>
        <w:jc w:val="both"/>
      </w:pPr>
      <w:bookmarkStart w:id="19" w:name="_Toc230616756"/>
      <w:r w:rsidRPr="00B85CB7">
        <w:t xml:space="preserve">(c) </w:t>
      </w:r>
      <w:r w:rsidRPr="00B85CB7">
        <w:tab/>
        <w:t>Tannin Determination</w:t>
      </w:r>
      <w:bookmarkEnd w:id="19"/>
    </w:p>
    <w:p w14:paraId="70C8FCF8" w14:textId="77777777" w:rsidR="00487FEC" w:rsidRPr="00B85CB7" w:rsidRDefault="00487FEC" w:rsidP="00487FEC">
      <w:pPr>
        <w:spacing w:line="480" w:lineRule="auto"/>
        <w:ind w:firstLine="720"/>
        <w:jc w:val="both"/>
      </w:pPr>
      <w:r w:rsidRPr="00B85CB7">
        <w:t>Using the Folin-Denis colorimetric method, the sample was weighed, transferred into a separating funnel, agitated for a few minutes, and allowed to stand at room temperature for 30 minutes with shaking every 5 minutes. After centrifugation, 2.5 mL of the supernatant was dispensed into a 50 mL volumetric flask. Similarly, 2.5 mL of 0.1 g/100 mL standard tannic acid solution was prepared. One millilitre of Folin-Denis reagent was added to each flask, followed by 2.5 mL of saturated sodium carbonate solution, and the volumes made up to 50 mL with distilled water. Flasks were incubated for 90 minutes at room temperature, and absorbance was read at 700 nm against a reagent blank (Hassanpour et al., 2011).</w:t>
      </w:r>
    </w:p>
    <w:p w14:paraId="699DA104" w14:textId="77777777" w:rsidR="00487FEC" w:rsidRPr="00B85CB7" w:rsidRDefault="00487FEC" w:rsidP="00487FEC">
      <w:pPr>
        <w:pStyle w:val="Heading3"/>
        <w:spacing w:before="0" w:line="480" w:lineRule="auto"/>
        <w:jc w:val="both"/>
      </w:pPr>
      <w:bookmarkStart w:id="20" w:name="_Toc230616757"/>
      <w:r w:rsidRPr="00B85CB7">
        <w:lastRenderedPageBreak/>
        <w:t>Quantitative Phytochemical Analysis</w:t>
      </w:r>
      <w:bookmarkEnd w:id="20"/>
    </w:p>
    <w:p w14:paraId="5F36F815" w14:textId="77777777" w:rsidR="00487FEC" w:rsidRPr="00B85CB7" w:rsidRDefault="00487FEC" w:rsidP="00487FEC">
      <w:pPr>
        <w:spacing w:line="480" w:lineRule="auto"/>
        <w:ind w:firstLine="720"/>
        <w:jc w:val="both"/>
      </w:pPr>
      <w:r w:rsidRPr="00B85CB7">
        <w:t>Quantitative determination of phytochemical constituents was conducted using validated standard analytical methods to estimate concentrations of the major bioactive compounds present in the plant extract.</w:t>
      </w:r>
    </w:p>
    <w:p w14:paraId="5AD83177" w14:textId="77777777" w:rsidR="00487FEC" w:rsidRPr="00B85CB7" w:rsidRDefault="00487FEC" w:rsidP="00487FEC">
      <w:pPr>
        <w:pStyle w:val="Heading3"/>
        <w:spacing w:before="0" w:line="480" w:lineRule="auto"/>
        <w:jc w:val="both"/>
      </w:pPr>
      <w:bookmarkStart w:id="21" w:name="_Toc230616758"/>
      <w:r w:rsidRPr="00B85CB7">
        <w:t xml:space="preserve">(a) </w:t>
      </w:r>
      <w:r w:rsidRPr="00B85CB7">
        <w:tab/>
        <w:t>Total Alkaloid Content</w:t>
      </w:r>
      <w:bookmarkEnd w:id="21"/>
    </w:p>
    <w:p w14:paraId="32EE9B64" w14:textId="77777777" w:rsidR="00487FEC" w:rsidRPr="00B85CB7" w:rsidRDefault="00487FEC" w:rsidP="00487FEC">
      <w:pPr>
        <w:spacing w:line="480" w:lineRule="auto"/>
        <w:ind w:firstLine="720"/>
        <w:jc w:val="both"/>
      </w:pPr>
      <w:r w:rsidRPr="00B85CB7">
        <w:t>Two millilitres of the plant extract was dispersed in 10% acetic acid in ethanol and allowed to stand for 4 hours. The resulting mixture was filtered and concentrated to one-quarter of its original volume by evaporation. Concentrated ammonium hydroxide was added dropwise to precipitate total alkaloids. The precipitate was collected by filtration, washed with dilute ammonium hydroxide, dried at 105°C to constant weight, and expressed as a percentage of the initial sample weight.</w:t>
      </w:r>
    </w:p>
    <w:p w14:paraId="06CC1A28" w14:textId="77777777" w:rsidR="00487FEC" w:rsidRPr="00B85CB7" w:rsidRDefault="00487FEC" w:rsidP="00487FEC">
      <w:pPr>
        <w:pStyle w:val="Heading3"/>
        <w:spacing w:before="0" w:line="480" w:lineRule="auto"/>
        <w:jc w:val="both"/>
      </w:pPr>
      <w:bookmarkStart w:id="22" w:name="_Toc230616759"/>
      <w:r w:rsidRPr="00B85CB7">
        <w:t xml:space="preserve">(b) </w:t>
      </w:r>
      <w:r w:rsidRPr="00B85CB7">
        <w:tab/>
        <w:t>Total Flavonoid Content</w:t>
      </w:r>
      <w:bookmarkEnd w:id="22"/>
    </w:p>
    <w:p w14:paraId="5F14274D" w14:textId="77777777" w:rsidR="00487FEC" w:rsidRPr="00B85CB7" w:rsidRDefault="00487FEC" w:rsidP="00487FEC">
      <w:pPr>
        <w:spacing w:line="480" w:lineRule="auto"/>
        <w:ind w:firstLine="720"/>
        <w:jc w:val="both"/>
      </w:pPr>
      <w:r w:rsidRPr="00B85CB7">
        <w:t>Two millilitres of the extract was dissolved in 80% methanol at room temperature. The mixture was filtered, and the filtrate was transferred to a pre-weighed crucible and evaporated to complete dryness. The dried residue was weighed, and the flavonoid content was expressed as a percentage of the original extract weight.</w:t>
      </w:r>
    </w:p>
    <w:p w14:paraId="2334ACB6" w14:textId="77777777" w:rsidR="00487FEC" w:rsidRPr="00B85CB7" w:rsidRDefault="00487FEC" w:rsidP="00487FEC">
      <w:pPr>
        <w:pStyle w:val="Heading3"/>
        <w:spacing w:before="0" w:line="480" w:lineRule="auto"/>
        <w:jc w:val="both"/>
      </w:pPr>
      <w:bookmarkStart w:id="23" w:name="_Toc230616760"/>
      <w:r w:rsidRPr="00B85CB7">
        <w:t xml:space="preserve">(c) </w:t>
      </w:r>
      <w:r w:rsidRPr="00B85CB7">
        <w:tab/>
        <w:t>Total Tannin Content</w:t>
      </w:r>
      <w:bookmarkEnd w:id="23"/>
    </w:p>
    <w:p w14:paraId="36D27FA2" w14:textId="77777777" w:rsidR="00487FEC" w:rsidRPr="00B85CB7" w:rsidRDefault="00487FEC" w:rsidP="00487FEC">
      <w:pPr>
        <w:spacing w:line="480" w:lineRule="auto"/>
        <w:ind w:firstLine="720"/>
        <w:jc w:val="both"/>
      </w:pPr>
      <w:r w:rsidRPr="00B85CB7">
        <w:t>Tannin content was determined using the Folin-Denis colorimetric method. Two millilitres of the extract was mixed with Folin-Denis reagent and saturated sodium carbonate solution and incubated at room temperature to allow colour development. Absorbance was measured at 760 nm using a UV-visible spectrophotometer (Jenway 7315), and the tannin concentration was calculated from a tannic acid standard calibration curve.</w:t>
      </w:r>
    </w:p>
    <w:p w14:paraId="44774890" w14:textId="77777777" w:rsidR="00487FEC" w:rsidRPr="00B85CB7" w:rsidRDefault="00487FEC" w:rsidP="00487FEC">
      <w:pPr>
        <w:pStyle w:val="Heading3"/>
        <w:spacing w:before="0" w:line="480" w:lineRule="auto"/>
        <w:jc w:val="both"/>
      </w:pPr>
      <w:bookmarkStart w:id="24" w:name="_Toc230616761"/>
      <w:r w:rsidRPr="00B85CB7">
        <w:t xml:space="preserve">(d) </w:t>
      </w:r>
      <w:r w:rsidRPr="00B85CB7">
        <w:tab/>
        <w:t>Total Saponin Content</w:t>
      </w:r>
      <w:bookmarkEnd w:id="24"/>
    </w:p>
    <w:p w14:paraId="2F278691" w14:textId="77777777" w:rsidR="00487FEC" w:rsidRPr="00B85CB7" w:rsidRDefault="00487FEC" w:rsidP="00487FEC">
      <w:pPr>
        <w:spacing w:line="480" w:lineRule="auto"/>
        <w:ind w:firstLine="720"/>
        <w:jc w:val="both"/>
      </w:pPr>
      <w:r w:rsidRPr="00B85CB7">
        <w:t>Two millilitres of the extract in 20% aqueous ethanol was heated in a water bath with continuous stirring. The mixture was filtered and the marc re-extracted. The combined extracts were concentrated and sequentially partitioned with diethyl ether (to remove non-saponin lipophilic impurities) and n-butanol (to recover saponins). The n-butanol fraction was washed with distilled water, evaporated to complete dryness, and the dried residue weighed to quantify saponin content.</w:t>
      </w:r>
    </w:p>
    <w:p w14:paraId="1A6242BE" w14:textId="77777777" w:rsidR="00487FEC" w:rsidRPr="00B85CB7" w:rsidRDefault="00487FEC" w:rsidP="00487FEC">
      <w:pPr>
        <w:pStyle w:val="Heading3"/>
        <w:spacing w:before="0" w:line="480" w:lineRule="auto"/>
        <w:jc w:val="both"/>
      </w:pPr>
      <w:bookmarkStart w:id="25" w:name="_Toc230616762"/>
      <w:r w:rsidRPr="00B85CB7">
        <w:t xml:space="preserve">(e) </w:t>
      </w:r>
      <w:r w:rsidRPr="00B85CB7">
        <w:tab/>
        <w:t>Total Carotenoid Content</w:t>
      </w:r>
      <w:bookmarkEnd w:id="25"/>
    </w:p>
    <w:p w14:paraId="46A7333D" w14:textId="77777777" w:rsidR="00487FEC" w:rsidRPr="00B85CB7" w:rsidRDefault="00487FEC" w:rsidP="00487FEC">
      <w:pPr>
        <w:spacing w:line="480" w:lineRule="auto"/>
        <w:ind w:firstLine="720"/>
        <w:jc w:val="both"/>
      </w:pPr>
      <w:r w:rsidRPr="00B85CB7">
        <w:t>A known quantity of the plant extract was homogenized in an acetone-hexane mixture (4:6 v/v) and filtered. The absorbance of the filtrate was measured at 450 nm using a UV-visible spectrophotometer, and total carotenoid content was calculated using standard spectrophotometric equations and expressed as mg/g of sample.</w:t>
      </w:r>
    </w:p>
    <w:p w14:paraId="17657830" w14:textId="77777777" w:rsidR="00487FEC" w:rsidRPr="00B85CB7" w:rsidRDefault="00487FEC" w:rsidP="00487FEC">
      <w:pPr>
        <w:pStyle w:val="Heading3"/>
        <w:spacing w:before="0" w:line="480" w:lineRule="auto"/>
        <w:jc w:val="both"/>
      </w:pPr>
      <w:bookmarkStart w:id="26" w:name="_Toc230616763"/>
      <w:r w:rsidRPr="00B85CB7">
        <w:lastRenderedPageBreak/>
        <w:t xml:space="preserve">(f) </w:t>
      </w:r>
      <w:r w:rsidRPr="00B85CB7">
        <w:tab/>
        <w:t>Oxalate Content (Quantitative)</w:t>
      </w:r>
      <w:bookmarkEnd w:id="26"/>
    </w:p>
    <w:p w14:paraId="2AC098CA" w14:textId="77777777" w:rsidR="00487FEC" w:rsidRPr="00B85CB7" w:rsidRDefault="00487FEC" w:rsidP="00487FEC">
      <w:pPr>
        <w:spacing w:line="480" w:lineRule="auto"/>
        <w:ind w:firstLine="720"/>
        <w:jc w:val="both"/>
      </w:pPr>
      <w:r w:rsidRPr="00B85CB7">
        <w:t xml:space="preserve">A known weight of the sample was acid-digested with dilute hydrochloric acid, filtered, and the filtrate treated with ammonium oxalate solution to precipitate oxalates. The precipitate was collected, redissolved in dilute sulfuric acid, and the resulting solution titrated against </w:t>
      </w:r>
      <w:r>
        <w:rPr>
          <w:highlight w:val="yellow"/>
        </w:rPr>
        <w:t>standardised</w:t>
      </w:r>
      <w:r>
        <w:t xml:space="preserve"> 0.05 M potassium permanganate until a persistent faint pink endpoint was observed. Oxalate content was expressed as mg/g of sample.</w:t>
      </w:r>
    </w:p>
    <w:p w14:paraId="39B23E92" w14:textId="77777777" w:rsidR="00487FEC" w:rsidRPr="00B85CB7" w:rsidRDefault="00487FEC" w:rsidP="00487FEC">
      <w:pPr>
        <w:pStyle w:val="Heading3"/>
        <w:spacing w:before="0" w:line="480" w:lineRule="auto"/>
        <w:jc w:val="both"/>
      </w:pPr>
      <w:bookmarkStart w:id="27" w:name="_Toc230616764"/>
      <w:r w:rsidRPr="00B85CB7">
        <w:t>Qualitative Phytochemical Screening</w:t>
      </w:r>
      <w:bookmarkEnd w:id="27"/>
    </w:p>
    <w:p w14:paraId="061741EE" w14:textId="77777777" w:rsidR="00487FEC" w:rsidRPr="00B85CB7" w:rsidRDefault="00487FEC" w:rsidP="00487FEC">
      <w:pPr>
        <w:spacing w:line="480" w:lineRule="auto"/>
        <w:ind w:firstLine="720"/>
        <w:jc w:val="both"/>
      </w:pPr>
      <w:r w:rsidRPr="00B85CB7">
        <w:t>Qualitative phytochemical screening was conducted to confirm the presence or absence of major classes of secondary metabolites using the following established colorimetric and precipitation tests:</w:t>
      </w:r>
    </w:p>
    <w:p w14:paraId="45490799" w14:textId="77777777" w:rsidR="00487FEC" w:rsidRPr="00B85CB7" w:rsidRDefault="00487FEC" w:rsidP="00487FEC">
      <w:pPr>
        <w:spacing w:line="480" w:lineRule="auto"/>
        <w:jc w:val="both"/>
      </w:pPr>
      <w:r w:rsidRPr="00C73A73">
        <w:rPr>
          <w:bCs/>
        </w:rPr>
        <w:t>Alkaloids:</w:t>
      </w:r>
      <w:r w:rsidRPr="00B85CB7">
        <w:t xml:space="preserve"> </w:t>
      </w:r>
      <w:r>
        <w:rPr>
          <w:highlight w:val="yellow"/>
        </w:rPr>
        <w:t>Two millilitres of the extract was acidified</w:t>
      </w:r>
      <w:r>
        <w:t xml:space="preserve"> with 5 mL of 1% aqueous HCl and heated in a water bath. A few drops of Mayer's reagent were added. Formation of a cream-white or greenish precipitate indicates the presence of alkaloids.</w:t>
      </w:r>
    </w:p>
    <w:p w14:paraId="1DB56501" w14:textId="77777777" w:rsidR="00487FEC" w:rsidRPr="00B85CB7" w:rsidRDefault="00487FEC" w:rsidP="00487FEC">
      <w:pPr>
        <w:spacing w:line="480" w:lineRule="auto"/>
        <w:jc w:val="both"/>
      </w:pPr>
      <w:r w:rsidRPr="00C73A73">
        <w:rPr>
          <w:bCs/>
        </w:rPr>
        <w:t>Tannins:</w:t>
      </w:r>
      <w:r w:rsidRPr="00B85CB7">
        <w:t xml:space="preserve"> </w:t>
      </w:r>
      <w:r>
        <w:rPr>
          <w:highlight w:val="yellow"/>
        </w:rPr>
        <w:t>Two millilitres of extract was boiled</w:t>
      </w:r>
      <w:r>
        <w:t xml:space="preserve"> with 10 mL of distilled water for 30 minutes and filtered. Addition of 10% </w:t>
      </w:r>
      <w:r w:rsidRPr="00B85CB7">
        <w:t>FeCl</w:t>
      </w:r>
      <w:r w:rsidRPr="00B85CB7">
        <w:rPr>
          <w:rFonts w:ascii="Cambria Math" w:hAnsi="Cambria Math" w:cs="Cambria Math"/>
        </w:rPr>
        <w:t>₃</w:t>
      </w:r>
      <w:r w:rsidRPr="00B85CB7">
        <w:t xml:space="preserve"> to the filtrate</w:t>
      </w:r>
      <w:r w:rsidR="00C73A73">
        <w:t>,</w:t>
      </w:r>
      <w:r w:rsidRPr="00B85CB7">
        <w:t xml:space="preserve"> producing a blue-black or blue-green precipitate</w:t>
      </w:r>
      <w:r w:rsidR="00C73A73">
        <w:t>,</w:t>
      </w:r>
      <w:r w:rsidRPr="00B85CB7">
        <w:t xml:space="preserve"> indicates the presence of hydrolysable or condensed tannins, respectively.</w:t>
      </w:r>
    </w:p>
    <w:p w14:paraId="52F0AAD5" w14:textId="77777777" w:rsidR="00487FEC" w:rsidRPr="00B85CB7" w:rsidRDefault="00487FEC" w:rsidP="00487FEC">
      <w:pPr>
        <w:spacing w:line="480" w:lineRule="auto"/>
        <w:jc w:val="both"/>
      </w:pPr>
      <w:r w:rsidRPr="00B85CB7">
        <w:t xml:space="preserve">Saponins: </w:t>
      </w:r>
      <w:r>
        <w:rPr>
          <w:highlight w:val="yellow"/>
        </w:rPr>
        <w:t>Two millilitres of extract was heated</w:t>
      </w:r>
      <w:r>
        <w:t xml:space="preserve"> with 10 mL of distilled water, cooled, and shaken vigorously for 30 seconds. Persistence of a stable froth for at least 10 minutes indicates the presence of saponins.</w:t>
      </w:r>
    </w:p>
    <w:p w14:paraId="75D6948D" w14:textId="77777777" w:rsidR="00487FEC" w:rsidRPr="00B85CB7" w:rsidRDefault="00487FEC" w:rsidP="00487FEC">
      <w:pPr>
        <w:spacing w:line="480" w:lineRule="auto"/>
        <w:jc w:val="both"/>
      </w:pPr>
      <w:r w:rsidRPr="00C73A73">
        <w:rPr>
          <w:bCs/>
        </w:rPr>
        <w:t>Flavonoids (Alkaline Reagent Test):</w:t>
      </w:r>
      <w:r w:rsidRPr="00B85CB7">
        <w:t xml:space="preserve"> Two millilitres of extract was treated with 2 mL of 2% NaOH solution. Development of an intense yellow colour that becomes colourless upon acidification with 2 drops of dilute HCl indicates the presence of flavonoids.</w:t>
      </w:r>
    </w:p>
    <w:p w14:paraId="440DE9FF" w14:textId="77777777" w:rsidR="00487FEC" w:rsidRPr="00B85CB7" w:rsidRDefault="00487FEC" w:rsidP="00487FEC">
      <w:pPr>
        <w:spacing w:line="480" w:lineRule="auto"/>
        <w:jc w:val="both"/>
      </w:pPr>
      <w:r w:rsidRPr="00C73A73">
        <w:rPr>
          <w:bCs/>
        </w:rPr>
        <w:t>Carotenoids:</w:t>
      </w:r>
      <w:r w:rsidRPr="00B85CB7">
        <w:t xml:space="preserve"> Two millilitres of extract </w:t>
      </w:r>
      <w:r w:rsidR="00C73A73">
        <w:t>was</w:t>
      </w:r>
      <w:r w:rsidRPr="00B85CB7">
        <w:t xml:space="preserve"> mixed with chloroform, filtered, and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carefully layered beneath the filtrate. Formation of a blue-green or reddish-brown colouration at the interface indicates the presence of carotenoids.</w:t>
      </w:r>
    </w:p>
    <w:p w14:paraId="64D6B061" w14:textId="77777777" w:rsidR="00487FEC" w:rsidRPr="00B85CB7" w:rsidRDefault="00487FEC" w:rsidP="00487FEC">
      <w:pPr>
        <w:spacing w:line="480" w:lineRule="auto"/>
        <w:jc w:val="both"/>
      </w:pPr>
      <w:r w:rsidRPr="00C73A73">
        <w:rPr>
          <w:bCs/>
        </w:rPr>
        <w:t>Cardiac Glycosides</w:t>
      </w:r>
      <w:r w:rsidRPr="00B85CB7">
        <w:rPr>
          <w:b/>
          <w:bCs/>
        </w:rPr>
        <w:t>:</w:t>
      </w:r>
      <w:r w:rsidRPr="00B85CB7">
        <w:t xml:space="preserve"> Two millilitres of extract </w:t>
      </w:r>
      <w:r w:rsidR="00C73A73">
        <w:t>was</w:t>
      </w:r>
      <w:r w:rsidRPr="00B85CB7">
        <w:t xml:space="preserve"> treated with 2 mL of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to form a lower layer. A reddish-brown colouration at the </w:t>
      </w:r>
      <w:r w:rsidR="00C73A73">
        <w:t>interface</w:t>
      </w:r>
      <w:r w:rsidRPr="00B85CB7">
        <w:t xml:space="preserve"> indicates the presence of cardiac glycosides.</w:t>
      </w:r>
    </w:p>
    <w:p w14:paraId="1B3963CA" w14:textId="77777777" w:rsidR="00487FEC" w:rsidRPr="00B85CB7" w:rsidRDefault="00487FEC" w:rsidP="00487FEC">
      <w:pPr>
        <w:pStyle w:val="Heading2"/>
        <w:spacing w:before="0" w:line="480" w:lineRule="auto"/>
        <w:jc w:val="both"/>
      </w:pPr>
      <w:bookmarkStart w:id="28" w:name="_Toc230616765"/>
      <w:r w:rsidRPr="00B85CB7">
        <w:t>Induction of Experimental Diabetes</w:t>
      </w:r>
      <w:bookmarkEnd w:id="28"/>
    </w:p>
    <w:p w14:paraId="03B5FB1A" w14:textId="77777777" w:rsidR="00487FEC" w:rsidRPr="00B85CB7" w:rsidRDefault="00487FEC" w:rsidP="00487FEC">
      <w:pPr>
        <w:spacing w:line="480" w:lineRule="auto"/>
        <w:ind w:firstLine="720"/>
        <w:jc w:val="both"/>
      </w:pPr>
      <w:r w:rsidRPr="00B85CB7">
        <w:t xml:space="preserve">Diabetes mellitus was induced in experimental rats by a single intraperitoneal (i.p.) injection of freshly prepared streptozotocin (STZ; 60 mg/kg body weight) dissolved in 0.1 M sodium citrate buffer (pH 4.5). </w:t>
      </w:r>
      <w:r>
        <w:rPr>
          <w:highlight w:val="yellow"/>
        </w:rPr>
        <w:t>Seventy-two hours after STZ administration, fasting blood glucose levels were measured</w:t>
      </w:r>
      <w:r>
        <w:t xml:space="preserve"> from the tail vein using a calibrated digital glucometer. </w:t>
      </w:r>
      <w:r w:rsidRPr="00B85CB7">
        <w:lastRenderedPageBreak/>
        <w:t>Animals exhibiting fasting blood glucose ≥ 200 mg/dL were confirmed as diabetic and included in the study. Non-diabetic animals were excluded from further experimental procedures (Lenzen, 2008).</w:t>
      </w:r>
    </w:p>
    <w:p w14:paraId="776EC931" w14:textId="77777777" w:rsidR="00487FEC" w:rsidRPr="00B85CB7" w:rsidRDefault="00487FEC" w:rsidP="00487FEC">
      <w:pPr>
        <w:pStyle w:val="Heading2"/>
        <w:spacing w:before="0" w:line="480" w:lineRule="auto"/>
        <w:jc w:val="both"/>
      </w:pPr>
      <w:bookmarkStart w:id="29" w:name="_Toc230616766"/>
      <w:r w:rsidRPr="00B85CB7">
        <w:t>Experimental Design and Animal Grouping</w:t>
      </w:r>
      <w:bookmarkEnd w:id="29"/>
    </w:p>
    <w:p w14:paraId="70295834" w14:textId="77777777" w:rsidR="00487FEC" w:rsidRPr="00B85CB7" w:rsidRDefault="00487FEC" w:rsidP="00487FEC">
      <w:pPr>
        <w:spacing w:line="480" w:lineRule="auto"/>
        <w:ind w:firstLine="720"/>
        <w:jc w:val="both"/>
      </w:pPr>
      <w:r w:rsidRPr="00B85CB7">
        <w:t>A total of 25 adult male albino rats (150–200 g) were randomly allocated into five groups (n = 5 per group) using a computer-generated random number table to ensure unbiased assignment. The grouping was as follows (Table 3):</w:t>
      </w:r>
    </w:p>
    <w:p w14:paraId="7D29C962" w14:textId="77777777" w:rsidR="00487FEC" w:rsidRPr="00B85CB7" w:rsidRDefault="00487FEC" w:rsidP="00487FEC">
      <w:pPr>
        <w:rPr>
          <w:b/>
          <w:bCs/>
        </w:rPr>
      </w:pPr>
    </w:p>
    <w:p w14:paraId="471FB69A" w14:textId="77777777" w:rsidR="00487FEC" w:rsidRPr="00B85CB7" w:rsidRDefault="00985B77" w:rsidP="00487FEC">
      <w:pPr>
        <w:spacing w:line="480" w:lineRule="auto"/>
        <w:jc w:val="center"/>
      </w:pPr>
      <w:r>
        <w:rPr>
          <w:b/>
          <w:bCs/>
        </w:rPr>
        <w:t xml:space="preserve">Table </w:t>
      </w:r>
      <w:r w:rsidR="00487FEC" w:rsidRPr="00B85CB7">
        <w:rPr>
          <w:b/>
          <w:bCs/>
        </w:rPr>
        <w:t>3. Experimental design and animal grouping</w:t>
      </w:r>
    </w:p>
    <w:tbl>
      <w:tblPr>
        <w:tblW w:w="9026" w:type="dxa"/>
        <w:tblCellMar>
          <w:left w:w="10" w:type="dxa"/>
          <w:right w:w="10" w:type="dxa"/>
        </w:tblCellMar>
        <w:tblLook w:val="0000" w:firstRow="0" w:lastRow="0" w:firstColumn="0" w:lastColumn="0" w:noHBand="0" w:noVBand="0"/>
      </w:tblPr>
      <w:tblGrid>
        <w:gridCol w:w="2000"/>
        <w:gridCol w:w="7026"/>
      </w:tblGrid>
      <w:tr w:rsidR="00487FEC" w:rsidRPr="00B85CB7" w14:paraId="6A44A261" w14:textId="77777777" w:rsidTr="005D2D54">
        <w:trPr>
          <w:cantSplit/>
          <w:tblHeader/>
        </w:trPr>
        <w:tc>
          <w:tcPr>
            <w:tcW w:w="20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26AD117B" w14:textId="77777777" w:rsidR="00487FEC" w:rsidRPr="00B85CB7" w:rsidRDefault="00487FEC" w:rsidP="005D2D54">
            <w:pPr>
              <w:spacing w:line="360" w:lineRule="auto"/>
              <w:jc w:val="both"/>
            </w:pPr>
            <w:r w:rsidRPr="00B85CB7">
              <w:rPr>
                <w:b/>
                <w:bCs/>
              </w:rPr>
              <w:t>Group</w:t>
            </w:r>
          </w:p>
        </w:tc>
        <w:tc>
          <w:tcPr>
            <w:tcW w:w="7026"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88465DD" w14:textId="77777777" w:rsidR="00487FEC" w:rsidRPr="00B85CB7" w:rsidRDefault="00487FEC" w:rsidP="005D2D54">
            <w:pPr>
              <w:spacing w:line="360" w:lineRule="auto"/>
              <w:jc w:val="both"/>
            </w:pPr>
            <w:r w:rsidRPr="00B85CB7">
              <w:rPr>
                <w:b/>
                <w:bCs/>
              </w:rPr>
              <w:t>Treatment Description</w:t>
            </w:r>
          </w:p>
        </w:tc>
      </w:tr>
      <w:tr w:rsidR="00487FEC" w:rsidRPr="00B85CB7" w14:paraId="4A3156FA" w14:textId="77777777" w:rsidTr="005D2D54">
        <w:trPr>
          <w:cantSplit/>
        </w:trPr>
        <w:tc>
          <w:tcPr>
            <w:tcW w:w="2000" w:type="dxa"/>
            <w:tcBorders>
              <w:top w:val="single" w:sz="4" w:space="0" w:color="auto"/>
            </w:tcBorders>
            <w:shd w:val="clear" w:color="auto" w:fill="FFFFFF"/>
            <w:tcMar>
              <w:top w:w="80" w:type="dxa"/>
              <w:left w:w="120" w:type="dxa"/>
              <w:bottom w:w="80" w:type="dxa"/>
              <w:right w:w="120" w:type="dxa"/>
            </w:tcMar>
            <w:vAlign w:val="center"/>
          </w:tcPr>
          <w:p w14:paraId="66164DEF" w14:textId="77777777" w:rsidR="00487FEC" w:rsidRPr="00B85CB7" w:rsidRDefault="00487FEC" w:rsidP="005D2D54">
            <w:pPr>
              <w:spacing w:line="360" w:lineRule="auto"/>
              <w:jc w:val="both"/>
            </w:pPr>
            <w:r w:rsidRPr="00B85CB7">
              <w:t>Group I — Normal Control</w:t>
            </w:r>
          </w:p>
        </w:tc>
        <w:tc>
          <w:tcPr>
            <w:tcW w:w="7026" w:type="dxa"/>
            <w:tcBorders>
              <w:top w:val="single" w:sz="4" w:space="0" w:color="auto"/>
            </w:tcBorders>
            <w:shd w:val="clear" w:color="auto" w:fill="FFFFFF"/>
            <w:tcMar>
              <w:top w:w="80" w:type="dxa"/>
              <w:left w:w="120" w:type="dxa"/>
              <w:bottom w:w="80" w:type="dxa"/>
              <w:right w:w="120" w:type="dxa"/>
            </w:tcMar>
            <w:vAlign w:val="center"/>
          </w:tcPr>
          <w:p w14:paraId="00B8BCD8" w14:textId="77777777" w:rsidR="00487FEC" w:rsidRPr="00B85CB7" w:rsidRDefault="00487FEC" w:rsidP="005D2D54">
            <w:pPr>
              <w:spacing w:line="360" w:lineRule="auto"/>
              <w:jc w:val="both"/>
            </w:pPr>
            <w:r w:rsidRPr="00B85CB7">
              <w:t>Received standard rodent feed and distilled water throughout the experimental period (vehicle control)</w:t>
            </w:r>
          </w:p>
        </w:tc>
      </w:tr>
      <w:tr w:rsidR="00487FEC" w:rsidRPr="00B85CB7" w14:paraId="6FFDCAAE" w14:textId="77777777" w:rsidTr="005D2D54">
        <w:trPr>
          <w:cantSplit/>
        </w:trPr>
        <w:tc>
          <w:tcPr>
            <w:tcW w:w="2000" w:type="dxa"/>
            <w:shd w:val="clear" w:color="auto" w:fill="FFFFFF"/>
            <w:tcMar>
              <w:top w:w="80" w:type="dxa"/>
              <w:left w:w="120" w:type="dxa"/>
              <w:bottom w:w="80" w:type="dxa"/>
              <w:right w:w="120" w:type="dxa"/>
            </w:tcMar>
            <w:vAlign w:val="center"/>
          </w:tcPr>
          <w:p w14:paraId="61E28A9D" w14:textId="77777777" w:rsidR="00487FEC" w:rsidRPr="00B85CB7" w:rsidRDefault="00487FEC" w:rsidP="005D2D54">
            <w:pPr>
              <w:spacing w:line="360" w:lineRule="auto"/>
              <w:jc w:val="both"/>
            </w:pPr>
            <w:r w:rsidRPr="00B85CB7">
              <w:t>Group II — Negative Control</w:t>
            </w:r>
          </w:p>
        </w:tc>
        <w:tc>
          <w:tcPr>
            <w:tcW w:w="7026" w:type="dxa"/>
            <w:shd w:val="clear" w:color="auto" w:fill="FFFFFF"/>
            <w:tcMar>
              <w:top w:w="80" w:type="dxa"/>
              <w:left w:w="120" w:type="dxa"/>
              <w:bottom w:w="80" w:type="dxa"/>
              <w:right w:w="120" w:type="dxa"/>
            </w:tcMar>
            <w:vAlign w:val="center"/>
          </w:tcPr>
          <w:p w14:paraId="4AEC8D83" w14:textId="77777777" w:rsidR="00487FEC" w:rsidRPr="00B85CB7" w:rsidRDefault="00487FEC" w:rsidP="005D2D54">
            <w:pPr>
              <w:spacing w:line="360" w:lineRule="auto"/>
              <w:jc w:val="both"/>
            </w:pPr>
            <w:r w:rsidRPr="00B85CB7">
              <w:t>STZ-induced diabetic rats; received no pharmacological treatment (untreated diabetic group)</w:t>
            </w:r>
          </w:p>
        </w:tc>
      </w:tr>
      <w:tr w:rsidR="00487FEC" w:rsidRPr="00B85CB7" w14:paraId="6D4D9DEA" w14:textId="77777777" w:rsidTr="005D2D54">
        <w:trPr>
          <w:cantSplit/>
        </w:trPr>
        <w:tc>
          <w:tcPr>
            <w:tcW w:w="2000" w:type="dxa"/>
            <w:shd w:val="clear" w:color="auto" w:fill="FFFFFF"/>
            <w:tcMar>
              <w:top w:w="80" w:type="dxa"/>
              <w:left w:w="120" w:type="dxa"/>
              <w:bottom w:w="80" w:type="dxa"/>
              <w:right w:w="120" w:type="dxa"/>
            </w:tcMar>
            <w:vAlign w:val="center"/>
          </w:tcPr>
          <w:p w14:paraId="76556B38" w14:textId="77777777" w:rsidR="00487FEC" w:rsidRPr="00B85CB7" w:rsidRDefault="00487FEC" w:rsidP="005D2D54">
            <w:pPr>
              <w:spacing w:line="360" w:lineRule="auto"/>
              <w:jc w:val="both"/>
            </w:pPr>
            <w:r w:rsidRPr="00B85CB7">
              <w:t>Group III — Positive Control</w:t>
            </w:r>
          </w:p>
        </w:tc>
        <w:tc>
          <w:tcPr>
            <w:tcW w:w="7026" w:type="dxa"/>
            <w:shd w:val="clear" w:color="auto" w:fill="FFFFFF"/>
            <w:tcMar>
              <w:top w:w="80" w:type="dxa"/>
              <w:left w:w="120" w:type="dxa"/>
              <w:bottom w:w="80" w:type="dxa"/>
              <w:right w:w="120" w:type="dxa"/>
            </w:tcMar>
            <w:vAlign w:val="center"/>
          </w:tcPr>
          <w:p w14:paraId="45FF46D8" w14:textId="77777777" w:rsidR="00487FEC" w:rsidRPr="00B85CB7" w:rsidRDefault="00487FEC" w:rsidP="005D2D54">
            <w:pPr>
              <w:spacing w:line="360" w:lineRule="auto"/>
              <w:jc w:val="both"/>
            </w:pPr>
            <w:r w:rsidRPr="00B85CB7">
              <w:t>STZ-induced diabetic rats treated with the standard antidiabetic drug metformin (200 mg/kg b.w., orally, daily)</w:t>
            </w:r>
          </w:p>
        </w:tc>
      </w:tr>
      <w:tr w:rsidR="00487FEC" w:rsidRPr="00B85CB7" w14:paraId="785EDC2C" w14:textId="77777777" w:rsidTr="005D2D54">
        <w:trPr>
          <w:cantSplit/>
        </w:trPr>
        <w:tc>
          <w:tcPr>
            <w:tcW w:w="2000" w:type="dxa"/>
            <w:shd w:val="clear" w:color="auto" w:fill="FFFFFF"/>
            <w:tcMar>
              <w:top w:w="80" w:type="dxa"/>
              <w:left w:w="120" w:type="dxa"/>
              <w:bottom w:w="80" w:type="dxa"/>
              <w:right w:w="120" w:type="dxa"/>
            </w:tcMar>
            <w:vAlign w:val="center"/>
          </w:tcPr>
          <w:p w14:paraId="55B004DB" w14:textId="77777777" w:rsidR="00487FEC" w:rsidRPr="00B85CB7" w:rsidRDefault="00487FEC" w:rsidP="005D2D54">
            <w:pPr>
              <w:spacing w:line="360" w:lineRule="auto"/>
              <w:jc w:val="both"/>
            </w:pPr>
            <w:r w:rsidRPr="00B85CB7">
              <w:t>Group IV — TC Low Dose</w:t>
            </w:r>
          </w:p>
        </w:tc>
        <w:tc>
          <w:tcPr>
            <w:tcW w:w="7026" w:type="dxa"/>
            <w:shd w:val="clear" w:color="auto" w:fill="FFFFFF"/>
            <w:tcMar>
              <w:top w:w="80" w:type="dxa"/>
              <w:left w:w="120" w:type="dxa"/>
              <w:bottom w:w="80" w:type="dxa"/>
              <w:right w:w="120" w:type="dxa"/>
            </w:tcMar>
            <w:vAlign w:val="center"/>
          </w:tcPr>
          <w:p w14:paraId="5CB7204C" w14:textId="77777777" w:rsidR="00487FEC" w:rsidRPr="00B85CB7" w:rsidRDefault="00487FEC" w:rsidP="005D2D54">
            <w:pPr>
              <w:spacing w:line="360" w:lineRule="auto"/>
              <w:jc w:val="both"/>
            </w:pPr>
            <w:r w:rsidRPr="00B85CB7">
              <w:t xml:space="preserve">STZ-induced diabetic rats treated with a low dose of the ethanolic extract of </w:t>
            </w:r>
            <w:r w:rsidRPr="00B85CB7">
              <w:rPr>
                <w:i/>
                <w:iCs/>
              </w:rPr>
              <w:t>T. cucumerina</w:t>
            </w:r>
            <w:r w:rsidRPr="00B85CB7">
              <w:t xml:space="preserve"> (200 mg/kg b.w., orally, daily)</w:t>
            </w:r>
          </w:p>
        </w:tc>
      </w:tr>
      <w:tr w:rsidR="00487FEC" w:rsidRPr="00B85CB7" w14:paraId="7EC3F344" w14:textId="77777777" w:rsidTr="005D2D54">
        <w:trPr>
          <w:cantSplit/>
        </w:trPr>
        <w:tc>
          <w:tcPr>
            <w:tcW w:w="2000" w:type="dxa"/>
            <w:tcBorders>
              <w:bottom w:val="single" w:sz="4" w:space="0" w:color="auto"/>
            </w:tcBorders>
            <w:shd w:val="clear" w:color="auto" w:fill="FFFFFF"/>
            <w:tcMar>
              <w:top w:w="80" w:type="dxa"/>
              <w:left w:w="120" w:type="dxa"/>
              <w:bottom w:w="80" w:type="dxa"/>
              <w:right w:w="120" w:type="dxa"/>
            </w:tcMar>
            <w:vAlign w:val="center"/>
          </w:tcPr>
          <w:p w14:paraId="6A3178A5" w14:textId="77777777" w:rsidR="00487FEC" w:rsidRPr="00B85CB7" w:rsidRDefault="00487FEC" w:rsidP="005D2D54">
            <w:pPr>
              <w:spacing w:line="360" w:lineRule="auto"/>
              <w:jc w:val="both"/>
            </w:pPr>
            <w:r w:rsidRPr="00B85CB7">
              <w:t>Group V — TC High Dose</w:t>
            </w:r>
          </w:p>
        </w:tc>
        <w:tc>
          <w:tcPr>
            <w:tcW w:w="7026" w:type="dxa"/>
            <w:tcBorders>
              <w:bottom w:val="single" w:sz="4" w:space="0" w:color="auto"/>
            </w:tcBorders>
            <w:shd w:val="clear" w:color="auto" w:fill="FFFFFF"/>
            <w:tcMar>
              <w:top w:w="80" w:type="dxa"/>
              <w:left w:w="120" w:type="dxa"/>
              <w:bottom w:w="80" w:type="dxa"/>
              <w:right w:w="120" w:type="dxa"/>
            </w:tcMar>
            <w:vAlign w:val="center"/>
          </w:tcPr>
          <w:p w14:paraId="06EE4B1B" w14:textId="77777777" w:rsidR="00487FEC" w:rsidRPr="00B85CB7" w:rsidRDefault="00487FEC" w:rsidP="005D2D54">
            <w:pPr>
              <w:spacing w:line="360" w:lineRule="auto"/>
              <w:jc w:val="both"/>
            </w:pPr>
            <w:r w:rsidRPr="00B85CB7">
              <w:t xml:space="preserve">STZ-induced diabetic rats treated with a high dose of the ethanolic extract of </w:t>
            </w:r>
            <w:r w:rsidRPr="00B85CB7">
              <w:rPr>
                <w:i/>
                <w:iCs/>
              </w:rPr>
              <w:t>T. cucumerina</w:t>
            </w:r>
            <w:r w:rsidRPr="00B85CB7">
              <w:t xml:space="preserve"> (400 mg/kg b.w., orally, daily)</w:t>
            </w:r>
          </w:p>
        </w:tc>
      </w:tr>
    </w:tbl>
    <w:p w14:paraId="3E587B34" w14:textId="77777777" w:rsidR="00487FEC" w:rsidRPr="00B85CB7" w:rsidRDefault="00487FEC" w:rsidP="00487FEC">
      <w:r w:rsidRPr="00B85CB7">
        <w:br w:type="page"/>
      </w:r>
    </w:p>
    <w:p w14:paraId="637B4B56" w14:textId="77777777" w:rsidR="00487FEC" w:rsidRPr="00B85CB7" w:rsidRDefault="00487FEC" w:rsidP="00487FEC">
      <w:pPr>
        <w:spacing w:line="480" w:lineRule="auto"/>
        <w:ind w:firstLine="720"/>
        <w:jc w:val="both"/>
      </w:pPr>
      <w:r w:rsidRPr="00B85CB7">
        <w:lastRenderedPageBreak/>
        <w:t>The ethanolic extract and metformin were administered by oral gavage once daily for 28 consecutive days. Extract doses were freshly prepared in distilled water immediately before administration. Body weights and fasting blood glucose levels were monitored at baseline, at induction, and at weekly intervals throughout the treatment period.</w:t>
      </w:r>
    </w:p>
    <w:p w14:paraId="0C060D18" w14:textId="77777777" w:rsidR="00487FEC" w:rsidRPr="00B85CB7" w:rsidRDefault="00487FEC" w:rsidP="00487FEC">
      <w:pPr>
        <w:pStyle w:val="Heading2"/>
        <w:spacing w:before="0" w:line="480" w:lineRule="auto"/>
        <w:jc w:val="both"/>
      </w:pPr>
      <w:bookmarkStart w:id="30" w:name="_Toc230616767"/>
      <w:r w:rsidRPr="00B85CB7">
        <w:t>Sample Collection and Preparation</w:t>
      </w:r>
      <w:bookmarkEnd w:id="30"/>
    </w:p>
    <w:p w14:paraId="5F3105F1" w14:textId="77777777" w:rsidR="00487FEC" w:rsidRPr="00B85CB7" w:rsidRDefault="00487FEC" w:rsidP="00487FEC">
      <w:pPr>
        <w:pStyle w:val="Heading3"/>
        <w:spacing w:before="0" w:line="480" w:lineRule="auto"/>
        <w:jc w:val="both"/>
      </w:pPr>
      <w:bookmarkStart w:id="31" w:name="_Toc230616768"/>
      <w:r w:rsidRPr="00B85CB7">
        <w:t>Blood Sample Collection</w:t>
      </w:r>
      <w:bookmarkEnd w:id="31"/>
    </w:p>
    <w:p w14:paraId="76BDDF8A" w14:textId="77777777" w:rsidR="00487FEC" w:rsidRPr="00B85CB7" w:rsidRDefault="00487FEC" w:rsidP="00487FEC">
      <w:pPr>
        <w:spacing w:line="480" w:lineRule="auto"/>
        <w:ind w:firstLine="720"/>
        <w:jc w:val="both"/>
      </w:pPr>
      <w:r w:rsidRPr="00B85CB7">
        <w:t xml:space="preserve">At the conclusion of the 28-day treatment period, all animals were fasted overnight (12 hours), weighed, and then anaesthetized by inhalation of diethyl ether. Blood samples were collected via cardiac puncture using sterile syringes and 21-gauge needles. Blood for serum biochemical analyses was collected into plain tubes (without anticoagulant), allowed to clot at room temperature for 30 minutes, and centrifuged at 3,000 rpm for 10 minutes. The resulting </w:t>
      </w:r>
      <w:r w:rsidR="00712981">
        <w:t>serum supernatant</w:t>
      </w:r>
      <w:r w:rsidRPr="00B85CB7">
        <w:t xml:space="preserve"> was carefully aspirated, aliquoted into labelled cryotubes, and stored at −20°C until analysis.</w:t>
      </w:r>
    </w:p>
    <w:p w14:paraId="6D35AE09" w14:textId="77777777" w:rsidR="00487FEC" w:rsidRPr="00B85CB7" w:rsidRDefault="00487FEC" w:rsidP="00487FEC">
      <w:pPr>
        <w:pStyle w:val="Heading3"/>
        <w:spacing w:before="0" w:line="480" w:lineRule="auto"/>
        <w:jc w:val="both"/>
      </w:pPr>
      <w:bookmarkStart w:id="32" w:name="_Toc230616770"/>
      <w:r w:rsidRPr="00B85CB7">
        <w:t>Hyperglycaemic Index Parameters</w:t>
      </w:r>
      <w:bookmarkEnd w:id="32"/>
    </w:p>
    <w:p w14:paraId="3F6287AE" w14:textId="77777777" w:rsidR="00487FEC" w:rsidRPr="00B85CB7" w:rsidRDefault="00487FEC" w:rsidP="00487FEC">
      <w:pPr>
        <w:pStyle w:val="Heading3"/>
        <w:spacing w:before="0" w:line="480" w:lineRule="auto"/>
        <w:jc w:val="both"/>
      </w:pPr>
      <w:bookmarkStart w:id="33" w:name="_Toc230616771"/>
      <w:r w:rsidRPr="00B85CB7">
        <w:t>(a) Fasting Blood Glucose (FBG) Determination</w:t>
      </w:r>
      <w:bookmarkEnd w:id="33"/>
    </w:p>
    <w:p w14:paraId="41FBF427" w14:textId="77777777" w:rsidR="00487FEC" w:rsidRPr="00B85CB7" w:rsidRDefault="00487FEC" w:rsidP="00487FEC">
      <w:pPr>
        <w:spacing w:line="480" w:lineRule="auto"/>
        <w:ind w:firstLine="720"/>
        <w:jc w:val="both"/>
      </w:pPr>
      <w:r w:rsidRPr="00B85CB7">
        <w:t>Rats were fasted overnight (12 hours). A small blood sample was collected from the lateral tail vein and applied to compatible glucose test strips. FBG was measured using a calibrated digital glucometer (Accu-Chek or equivalent) and recorded in mg/dL. Measurements were taken at baseline (before STZ induction), after induction (confirming diabetic status), and at weekly intervals during the treatment period. Animals with FBG ≥ 200 mg/dL post-induction were confirmed as diabetic.</w:t>
      </w:r>
    </w:p>
    <w:p w14:paraId="79D2631E" w14:textId="77777777" w:rsidR="00487FEC" w:rsidRPr="00B85CB7" w:rsidRDefault="00487FEC" w:rsidP="00487FEC">
      <w:pPr>
        <w:pStyle w:val="Heading3"/>
        <w:spacing w:before="0" w:line="480" w:lineRule="auto"/>
        <w:jc w:val="both"/>
      </w:pPr>
      <w:bookmarkStart w:id="34" w:name="_Toc230616772"/>
      <w:r w:rsidRPr="00B85CB7">
        <w:t>(b) Glycated Haemoglobin (HbA1c) Estimation</w:t>
      </w:r>
      <w:bookmarkEnd w:id="34"/>
    </w:p>
    <w:p w14:paraId="173165C5" w14:textId="77777777" w:rsidR="00487FEC" w:rsidRPr="00B85CB7" w:rsidRDefault="00487FEC" w:rsidP="00487FEC">
      <w:pPr>
        <w:spacing w:line="480" w:lineRule="auto"/>
        <w:ind w:firstLine="720"/>
        <w:jc w:val="both"/>
      </w:pPr>
      <w:r w:rsidRPr="00B85CB7">
        <w:t xml:space="preserve">Whole blood samples were analysed using a </w:t>
      </w:r>
      <w:r>
        <w:rPr>
          <w:highlight w:val="yellow"/>
        </w:rPr>
        <w:t>standardised</w:t>
      </w:r>
      <w:r>
        <w:t xml:space="preserve"> enzymatic HbA1c diagnostic kit following the manufacturer's instructions. HbA1c values were expressed as a percentage of total </w:t>
      </w:r>
      <w:r w:rsidRPr="00B85CB7">
        <w:t>haemoglobin, providing an index of long-term glycaemic control over the preceding 6</w:t>
      </w:r>
      <w:r w:rsidR="00524AD2">
        <w:t>-</w:t>
      </w:r>
      <w:r w:rsidRPr="00B85CB7">
        <w:t>8 weeks.</w:t>
      </w:r>
    </w:p>
    <w:p w14:paraId="5D19F162" w14:textId="77777777" w:rsidR="00487FEC" w:rsidRPr="00B85CB7" w:rsidRDefault="00487FEC" w:rsidP="00487FEC">
      <w:pPr>
        <w:pStyle w:val="Heading3"/>
        <w:spacing w:before="0" w:line="480" w:lineRule="auto"/>
        <w:jc w:val="both"/>
      </w:pPr>
      <w:bookmarkStart w:id="35" w:name="_Toc230616773"/>
      <w:r w:rsidRPr="00B85CB7">
        <w:t>(c) Serum Insulin Determination</w:t>
      </w:r>
      <w:bookmarkEnd w:id="35"/>
    </w:p>
    <w:p w14:paraId="474E2CFE" w14:textId="77777777" w:rsidR="00487FEC" w:rsidRPr="00B85CB7" w:rsidRDefault="00487FEC" w:rsidP="00487FEC">
      <w:pPr>
        <w:spacing w:line="480" w:lineRule="auto"/>
        <w:ind w:firstLine="720"/>
        <w:jc w:val="both"/>
      </w:pPr>
      <w:r w:rsidRPr="00B85CB7">
        <w:t>Serum insulin concentration was quantified using a validated rat-specific enzyme-linked immunosorbent assay (ELISA) kit, following the manufacturer's recommended protocol. Serum insulin levels (expressed in µIU/mL) were used to evaluate pancreatic β-cell functional capacity and insulin secretory reserve.</w:t>
      </w:r>
    </w:p>
    <w:p w14:paraId="1D20F7CC" w14:textId="77777777" w:rsidR="00487FEC" w:rsidRPr="00B85CB7" w:rsidRDefault="00487FEC" w:rsidP="00487FEC">
      <w:pPr>
        <w:pStyle w:val="Heading3"/>
        <w:spacing w:before="0" w:line="480" w:lineRule="auto"/>
        <w:jc w:val="both"/>
      </w:pPr>
      <w:bookmarkStart w:id="36" w:name="_Toc230616774"/>
      <w:r w:rsidRPr="00B85CB7">
        <w:t>(d) Homeostatic Model Assessment of Insulin Resistance (HOMA-IR)</w:t>
      </w:r>
      <w:bookmarkEnd w:id="36"/>
    </w:p>
    <w:p w14:paraId="14CF19B0" w14:textId="77777777" w:rsidR="00487FEC" w:rsidRPr="00B85CB7" w:rsidRDefault="00487FEC" w:rsidP="00487FEC">
      <w:pPr>
        <w:spacing w:line="480" w:lineRule="auto"/>
        <w:ind w:firstLine="720"/>
        <w:jc w:val="both"/>
      </w:pPr>
      <w:r w:rsidRPr="00B85CB7">
        <w:t>Insulin resistance was estimated using the validated HOMA-IR equation (Matthews et al., 1985):</w:t>
      </w:r>
    </w:p>
    <w:p w14:paraId="681940D6" w14:textId="77777777" w:rsidR="00487FEC" w:rsidRPr="00B85CB7" w:rsidRDefault="00487FEC" w:rsidP="00487FEC">
      <w:pPr>
        <w:spacing w:line="480" w:lineRule="auto"/>
        <w:jc w:val="both"/>
      </w:pPr>
      <w:r w:rsidRPr="00B85CB7">
        <w:rPr>
          <w:i/>
          <w:iCs/>
        </w:rPr>
        <w:t>HOMA-IR = [Fasting Blood Glucose (mg/dL) × Fasting Insulin (µIU/mL)] ÷ 405</w:t>
      </w:r>
    </w:p>
    <w:p w14:paraId="2BD95205" w14:textId="77777777" w:rsidR="00487FEC" w:rsidRPr="00B85CB7" w:rsidRDefault="00487FEC" w:rsidP="00487FEC">
      <w:pPr>
        <w:spacing w:line="480" w:lineRule="auto"/>
        <w:ind w:firstLine="720"/>
        <w:jc w:val="both"/>
      </w:pPr>
      <w:r w:rsidRPr="00B85CB7">
        <w:lastRenderedPageBreak/>
        <w:t>Higher HOMA-IR values indicate greater degrees of insulin resistance. Elevated HOMA-IR in the negative control group confirmed STZ-induced insulin resistance, while reductions in treated groups indicated therapeutic amelioration.</w:t>
      </w:r>
    </w:p>
    <w:p w14:paraId="4B2C6275" w14:textId="77777777" w:rsidR="00C73A73" w:rsidRPr="00B85CB7" w:rsidRDefault="00AA74E0" w:rsidP="00C73A73">
      <w:pPr>
        <w:pStyle w:val="Heading2"/>
        <w:spacing w:before="0" w:line="480" w:lineRule="auto"/>
        <w:jc w:val="both"/>
      </w:pPr>
      <w:r w:rsidRPr="00FB3A86">
        <w:rPr>
          <w:rFonts w:ascii="Arial" w:hAnsi="Arial" w:cs="Arial"/>
        </w:rPr>
        <w:t xml:space="preserve"> </w:t>
      </w:r>
      <w:r w:rsidR="00C73A73" w:rsidRPr="00B85CB7">
        <w:t>Statistical Analysis</w:t>
      </w:r>
    </w:p>
    <w:p w14:paraId="00C9F7C7" w14:textId="77777777" w:rsidR="00790ADA" w:rsidRPr="00C73A73" w:rsidRDefault="00C73A73" w:rsidP="00C73A73">
      <w:pPr>
        <w:spacing w:line="480" w:lineRule="auto"/>
        <w:ind w:firstLine="720"/>
        <w:jc w:val="both"/>
      </w:pPr>
      <w:r w:rsidRPr="00B85CB7">
        <w:t>All data were expressed as Mean ± Standard Error of the Mean (SEM). Statistical analyses were performed using GraphPad Prism software, version 9.0.0. The homogeneity of group variances was assessed using Levene's test prior to parametric analysis. Between-group differences were evaluated using one-way Analysis of Variance (ANOVA). Where ANOVA revealed statistically significant differences (p &lt; 0.05), Dunnett's post-hoc test was applied to compare each treatment group against the control group. For semi-quantitative histopathological scores, the non-parametric Kruskal-Wallis test, followed by Dunn's multiple comparisons test with Bonferroni correction, was employed. Statistical significance was set at p &lt; 0.05 for all comparisons.</w:t>
      </w:r>
    </w:p>
    <w:p w14:paraId="5F333587" w14:textId="77777777" w:rsidR="00902823" w:rsidRDefault="00000F8F" w:rsidP="00441B6F">
      <w:pPr>
        <w:pStyle w:val="Head1"/>
        <w:spacing w:after="0"/>
        <w:jc w:val="both"/>
        <w:rPr>
          <w:rFonts w:ascii="Arial" w:hAnsi="Arial" w:cs="Arial"/>
        </w:rPr>
      </w:pPr>
      <w:r>
        <w:rPr>
          <w:rFonts w:ascii="Arial" w:hAnsi="Arial" w:cs="Arial"/>
          <w:highlight w:val="yellow"/>
        </w:rPr>
        <w:t>RESULTS AND DISCUSSION</w:t>
      </w:r>
    </w:p>
    <w:p w14:paraId="4A996AA3" w14:textId="77777777" w:rsidR="00C73A73" w:rsidRPr="00B85CB7" w:rsidRDefault="00C73A73" w:rsidP="00C73A73">
      <w:pPr>
        <w:pStyle w:val="Heading2"/>
        <w:spacing w:before="0" w:line="480" w:lineRule="auto"/>
        <w:jc w:val="both"/>
      </w:pPr>
      <w:r w:rsidRPr="00B85CB7">
        <w:t xml:space="preserve">Proximate Composition of the Ethanol leaf Extract of </w:t>
      </w:r>
      <w:r w:rsidRPr="00B85CB7">
        <w:rPr>
          <w:i/>
          <w:iCs/>
        </w:rPr>
        <w:t>Trichosanthes cucumerina</w:t>
      </w:r>
    </w:p>
    <w:p w14:paraId="7A9CD869" w14:textId="77777777" w:rsidR="00C73A73" w:rsidRPr="00B85CB7" w:rsidRDefault="00C73A73" w:rsidP="00C73A73">
      <w:pPr>
        <w:spacing w:line="480" w:lineRule="auto"/>
        <w:ind w:firstLine="720"/>
        <w:jc w:val="both"/>
      </w:pPr>
      <w:r w:rsidRPr="00B85CB7">
        <w:t xml:space="preserve">The proximate composition of </w:t>
      </w:r>
      <w:r w:rsidRPr="00B85CB7">
        <w:rPr>
          <w:i/>
          <w:iCs/>
        </w:rPr>
        <w:t>T. cucumerina</w:t>
      </w:r>
      <w:r w:rsidRPr="00B85CB7">
        <w:t xml:space="preserve"> revealed distinct nutritional profiles across its three main plant parts, as presented in </w:t>
      </w:r>
      <w:r>
        <w:rPr>
          <w:highlight w:val="yellow"/>
        </w:rPr>
        <w:t>Table 4.</w:t>
      </w:r>
      <w:r w:rsidRPr="00B85CB7">
        <w:t xml:space="preserve"> The leaf exhibited the highest moisture content (85.2 ± 3.1%), reflecting its active roles in photosynthesis and transpiration. However, the leaf was comparatively low in ash (1.63 ± 0.15%), crude protein (1.97 ± 0.12%), crude fibre (0.85 ± 0.18%), crude lipid (0.40 ± 0.07%), and carbohydrate (16.50 ± 1.2%). </w:t>
      </w:r>
    </w:p>
    <w:p w14:paraId="6E27353E" w14:textId="77777777" w:rsidR="00C73A73" w:rsidRPr="00B85CB7" w:rsidRDefault="00C73A73" w:rsidP="00C73A73">
      <w:pPr>
        <w:rPr>
          <w:b/>
          <w:bCs/>
        </w:rPr>
      </w:pPr>
      <w:r w:rsidRPr="00B85CB7">
        <w:rPr>
          <w:b/>
          <w:bCs/>
        </w:rPr>
        <w:br w:type="page"/>
      </w:r>
    </w:p>
    <w:p w14:paraId="71328A86" w14:textId="77777777" w:rsidR="00C73A73" w:rsidRPr="00B85CB7" w:rsidRDefault="00985B77" w:rsidP="00C73A73">
      <w:pPr>
        <w:spacing w:line="480" w:lineRule="auto"/>
        <w:jc w:val="center"/>
      </w:pPr>
      <w:r>
        <w:rPr>
          <w:b/>
          <w:bCs/>
        </w:rPr>
        <w:lastRenderedPageBreak/>
        <w:t>Table 4</w:t>
      </w:r>
      <w:r w:rsidR="00C73A73" w:rsidRPr="00B85CB7">
        <w:rPr>
          <w:b/>
          <w:bCs/>
        </w:rPr>
        <w:t xml:space="preserve">. Proximate composition of </w:t>
      </w:r>
      <w:r w:rsidR="00C73A73" w:rsidRPr="00B85CB7">
        <w:rPr>
          <w:b/>
          <w:bCs/>
          <w:i/>
          <w:iCs/>
        </w:rPr>
        <w:t>Trichosanthes cucumerina</w:t>
      </w:r>
      <w:r w:rsidR="00C73A73" w:rsidRPr="00B85CB7">
        <w:rPr>
          <w:b/>
          <w:bCs/>
        </w:rPr>
        <w:t xml:space="preserve"> plant parts (expressed as % wet weight basis)</w:t>
      </w:r>
    </w:p>
    <w:tbl>
      <w:tblPr>
        <w:tblW w:w="6560" w:type="dxa"/>
        <w:tblInd w:w="1875" w:type="dxa"/>
        <w:tblCellMar>
          <w:left w:w="10" w:type="dxa"/>
          <w:right w:w="10" w:type="dxa"/>
        </w:tblCellMar>
        <w:tblLook w:val="0000" w:firstRow="0" w:lastRow="0" w:firstColumn="0" w:lastColumn="0" w:noHBand="0" w:noVBand="0"/>
      </w:tblPr>
      <w:tblGrid>
        <w:gridCol w:w="3075"/>
        <w:gridCol w:w="3485"/>
      </w:tblGrid>
      <w:tr w:rsidR="00C73A73" w:rsidRPr="00B85CB7" w14:paraId="25258CC1" w14:textId="77777777" w:rsidTr="005D2D54">
        <w:trPr>
          <w:cantSplit/>
          <w:tblHeader/>
        </w:trPr>
        <w:tc>
          <w:tcPr>
            <w:tcW w:w="307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3AF93263" w14:textId="77777777" w:rsidR="00C73A73" w:rsidRPr="00B85CB7" w:rsidRDefault="00C73A73" w:rsidP="005D2D54">
            <w:pPr>
              <w:spacing w:line="480" w:lineRule="auto"/>
              <w:jc w:val="both"/>
            </w:pPr>
            <w:r w:rsidRPr="00B85CB7">
              <w:rPr>
                <w:b/>
                <w:bCs/>
              </w:rPr>
              <w:t>Component</w:t>
            </w:r>
          </w:p>
        </w:tc>
        <w:tc>
          <w:tcPr>
            <w:tcW w:w="348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50ED59D" w14:textId="77777777" w:rsidR="00C73A73" w:rsidRPr="00B85CB7" w:rsidRDefault="00C73A73" w:rsidP="005D2D54">
            <w:pPr>
              <w:spacing w:line="480" w:lineRule="auto"/>
              <w:jc w:val="both"/>
            </w:pPr>
            <w:r w:rsidRPr="00B85CB7">
              <w:rPr>
                <w:b/>
                <w:bCs/>
              </w:rPr>
              <w:t>Leaf</w:t>
            </w:r>
          </w:p>
        </w:tc>
      </w:tr>
      <w:tr w:rsidR="00C73A73" w:rsidRPr="00B85CB7" w14:paraId="38A6E537" w14:textId="77777777" w:rsidTr="005D2D54">
        <w:trPr>
          <w:cantSplit/>
        </w:trPr>
        <w:tc>
          <w:tcPr>
            <w:tcW w:w="3075" w:type="dxa"/>
            <w:tcBorders>
              <w:top w:val="single" w:sz="4" w:space="0" w:color="auto"/>
            </w:tcBorders>
            <w:shd w:val="clear" w:color="auto" w:fill="FFFFFF"/>
            <w:tcMar>
              <w:top w:w="80" w:type="dxa"/>
              <w:left w:w="120" w:type="dxa"/>
              <w:bottom w:w="80" w:type="dxa"/>
              <w:right w:w="120" w:type="dxa"/>
            </w:tcMar>
            <w:vAlign w:val="center"/>
          </w:tcPr>
          <w:p w14:paraId="2C957BBE" w14:textId="77777777" w:rsidR="00C73A73" w:rsidRPr="00B85CB7" w:rsidRDefault="00C73A73" w:rsidP="005D2D54">
            <w:pPr>
              <w:spacing w:line="480" w:lineRule="auto"/>
              <w:jc w:val="both"/>
            </w:pPr>
            <w:r w:rsidRPr="00B85CB7">
              <w:t>Moisture (%)</w:t>
            </w:r>
          </w:p>
        </w:tc>
        <w:tc>
          <w:tcPr>
            <w:tcW w:w="3485" w:type="dxa"/>
            <w:tcBorders>
              <w:top w:val="single" w:sz="4" w:space="0" w:color="auto"/>
            </w:tcBorders>
            <w:shd w:val="clear" w:color="auto" w:fill="FFFFFF"/>
            <w:tcMar>
              <w:top w:w="80" w:type="dxa"/>
              <w:left w:w="120" w:type="dxa"/>
              <w:bottom w:w="80" w:type="dxa"/>
              <w:right w:w="120" w:type="dxa"/>
            </w:tcMar>
            <w:vAlign w:val="center"/>
          </w:tcPr>
          <w:p w14:paraId="7DB8E144" w14:textId="77777777" w:rsidR="00C73A73" w:rsidRPr="00B85CB7" w:rsidRDefault="00C73A73" w:rsidP="005D2D54">
            <w:pPr>
              <w:spacing w:line="480" w:lineRule="auto"/>
              <w:jc w:val="both"/>
            </w:pPr>
            <w:r w:rsidRPr="00B85CB7">
              <w:t>85.2 ± 3.1</w:t>
            </w:r>
          </w:p>
        </w:tc>
      </w:tr>
      <w:tr w:rsidR="00C73A73" w:rsidRPr="00B85CB7" w14:paraId="413733A7" w14:textId="77777777" w:rsidTr="005D2D54">
        <w:trPr>
          <w:cantSplit/>
        </w:trPr>
        <w:tc>
          <w:tcPr>
            <w:tcW w:w="3075" w:type="dxa"/>
            <w:shd w:val="clear" w:color="auto" w:fill="FFFFFF"/>
            <w:tcMar>
              <w:top w:w="80" w:type="dxa"/>
              <w:left w:w="120" w:type="dxa"/>
              <w:bottom w:w="80" w:type="dxa"/>
              <w:right w:w="120" w:type="dxa"/>
            </w:tcMar>
            <w:vAlign w:val="center"/>
          </w:tcPr>
          <w:p w14:paraId="75B43E07" w14:textId="77777777" w:rsidR="00C73A73" w:rsidRPr="00B85CB7" w:rsidRDefault="00C73A73" w:rsidP="005D2D54">
            <w:pPr>
              <w:spacing w:line="480" w:lineRule="auto"/>
              <w:jc w:val="both"/>
            </w:pPr>
            <w:r w:rsidRPr="00B85CB7">
              <w:t>Ash (%)</w:t>
            </w:r>
          </w:p>
        </w:tc>
        <w:tc>
          <w:tcPr>
            <w:tcW w:w="3485" w:type="dxa"/>
            <w:shd w:val="clear" w:color="auto" w:fill="FFFFFF"/>
            <w:tcMar>
              <w:top w:w="80" w:type="dxa"/>
              <w:left w:w="120" w:type="dxa"/>
              <w:bottom w:w="80" w:type="dxa"/>
              <w:right w:w="120" w:type="dxa"/>
            </w:tcMar>
            <w:vAlign w:val="center"/>
          </w:tcPr>
          <w:p w14:paraId="1EBC8496" w14:textId="77777777" w:rsidR="00C73A73" w:rsidRPr="00B85CB7" w:rsidRDefault="00C73A73" w:rsidP="005D2D54">
            <w:pPr>
              <w:spacing w:line="480" w:lineRule="auto"/>
              <w:jc w:val="both"/>
            </w:pPr>
            <w:r w:rsidRPr="00B85CB7">
              <w:t>1.63 ± 0.15</w:t>
            </w:r>
          </w:p>
        </w:tc>
      </w:tr>
      <w:tr w:rsidR="00C73A73" w:rsidRPr="00B85CB7" w14:paraId="588C955F" w14:textId="77777777" w:rsidTr="005D2D54">
        <w:trPr>
          <w:cantSplit/>
        </w:trPr>
        <w:tc>
          <w:tcPr>
            <w:tcW w:w="3075" w:type="dxa"/>
            <w:shd w:val="clear" w:color="auto" w:fill="FFFFFF"/>
            <w:tcMar>
              <w:top w:w="80" w:type="dxa"/>
              <w:left w:w="120" w:type="dxa"/>
              <w:bottom w:w="80" w:type="dxa"/>
              <w:right w:w="120" w:type="dxa"/>
            </w:tcMar>
            <w:vAlign w:val="center"/>
          </w:tcPr>
          <w:p w14:paraId="7DC55A3E" w14:textId="77777777" w:rsidR="00C73A73" w:rsidRPr="00B85CB7" w:rsidRDefault="00C73A73" w:rsidP="005D2D54">
            <w:pPr>
              <w:spacing w:line="480" w:lineRule="auto"/>
              <w:jc w:val="both"/>
            </w:pPr>
            <w:r w:rsidRPr="00B85CB7">
              <w:t>Crude Protein (%)</w:t>
            </w:r>
          </w:p>
        </w:tc>
        <w:tc>
          <w:tcPr>
            <w:tcW w:w="3485" w:type="dxa"/>
            <w:shd w:val="clear" w:color="auto" w:fill="FFFFFF"/>
            <w:tcMar>
              <w:top w:w="80" w:type="dxa"/>
              <w:left w:w="120" w:type="dxa"/>
              <w:bottom w:w="80" w:type="dxa"/>
              <w:right w:w="120" w:type="dxa"/>
            </w:tcMar>
            <w:vAlign w:val="center"/>
          </w:tcPr>
          <w:p w14:paraId="1723EECB" w14:textId="77777777" w:rsidR="00C73A73" w:rsidRPr="00B85CB7" w:rsidRDefault="00C73A73" w:rsidP="005D2D54">
            <w:pPr>
              <w:spacing w:line="480" w:lineRule="auto"/>
              <w:jc w:val="both"/>
            </w:pPr>
            <w:r w:rsidRPr="00B85CB7">
              <w:t>1.97 ± 0.12</w:t>
            </w:r>
          </w:p>
        </w:tc>
      </w:tr>
      <w:tr w:rsidR="00C73A73" w:rsidRPr="00B85CB7" w14:paraId="16144E1F" w14:textId="77777777" w:rsidTr="005D2D54">
        <w:trPr>
          <w:cantSplit/>
        </w:trPr>
        <w:tc>
          <w:tcPr>
            <w:tcW w:w="3075" w:type="dxa"/>
            <w:shd w:val="clear" w:color="auto" w:fill="FFFFFF"/>
            <w:tcMar>
              <w:top w:w="80" w:type="dxa"/>
              <w:left w:w="120" w:type="dxa"/>
              <w:bottom w:w="80" w:type="dxa"/>
              <w:right w:w="120" w:type="dxa"/>
            </w:tcMar>
            <w:vAlign w:val="center"/>
          </w:tcPr>
          <w:p w14:paraId="244B3D1F" w14:textId="77777777" w:rsidR="00C73A73" w:rsidRPr="00B85CB7" w:rsidRDefault="00C73A73" w:rsidP="005D2D54">
            <w:pPr>
              <w:spacing w:line="480" w:lineRule="auto"/>
              <w:jc w:val="both"/>
            </w:pPr>
            <w:r w:rsidRPr="00B85CB7">
              <w:t>Crude Fibre (%)</w:t>
            </w:r>
          </w:p>
        </w:tc>
        <w:tc>
          <w:tcPr>
            <w:tcW w:w="3485" w:type="dxa"/>
            <w:shd w:val="clear" w:color="auto" w:fill="FFFFFF"/>
            <w:tcMar>
              <w:top w:w="80" w:type="dxa"/>
              <w:left w:w="120" w:type="dxa"/>
              <w:bottom w:w="80" w:type="dxa"/>
              <w:right w:w="120" w:type="dxa"/>
            </w:tcMar>
            <w:vAlign w:val="center"/>
          </w:tcPr>
          <w:p w14:paraId="75749F68" w14:textId="77777777" w:rsidR="00C73A73" w:rsidRPr="00B85CB7" w:rsidRDefault="00C73A73" w:rsidP="005D2D54">
            <w:pPr>
              <w:spacing w:line="480" w:lineRule="auto"/>
              <w:jc w:val="both"/>
            </w:pPr>
            <w:r w:rsidRPr="00B85CB7">
              <w:t>0.85 ± 0.18</w:t>
            </w:r>
          </w:p>
        </w:tc>
      </w:tr>
      <w:tr w:rsidR="00C73A73" w:rsidRPr="00B85CB7" w14:paraId="501F3EE7" w14:textId="77777777" w:rsidTr="005D2D54">
        <w:trPr>
          <w:cantSplit/>
        </w:trPr>
        <w:tc>
          <w:tcPr>
            <w:tcW w:w="3075" w:type="dxa"/>
            <w:shd w:val="clear" w:color="auto" w:fill="FFFFFF"/>
            <w:tcMar>
              <w:top w:w="80" w:type="dxa"/>
              <w:left w:w="120" w:type="dxa"/>
              <w:bottom w:w="80" w:type="dxa"/>
              <w:right w:w="120" w:type="dxa"/>
            </w:tcMar>
            <w:vAlign w:val="center"/>
          </w:tcPr>
          <w:p w14:paraId="2405C01F" w14:textId="77777777" w:rsidR="00C73A73" w:rsidRPr="00B85CB7" w:rsidRDefault="00C73A73" w:rsidP="005D2D54">
            <w:pPr>
              <w:spacing w:line="480" w:lineRule="auto"/>
              <w:jc w:val="both"/>
            </w:pPr>
            <w:r w:rsidRPr="00B85CB7">
              <w:t>Crude Lipid (%)</w:t>
            </w:r>
          </w:p>
        </w:tc>
        <w:tc>
          <w:tcPr>
            <w:tcW w:w="3485" w:type="dxa"/>
            <w:shd w:val="clear" w:color="auto" w:fill="FFFFFF"/>
            <w:tcMar>
              <w:top w:w="80" w:type="dxa"/>
              <w:left w:w="120" w:type="dxa"/>
              <w:bottom w:w="80" w:type="dxa"/>
              <w:right w:w="120" w:type="dxa"/>
            </w:tcMar>
            <w:vAlign w:val="center"/>
          </w:tcPr>
          <w:p w14:paraId="0BA83C55" w14:textId="77777777" w:rsidR="00C73A73" w:rsidRPr="00B85CB7" w:rsidRDefault="00C73A73" w:rsidP="005D2D54">
            <w:pPr>
              <w:spacing w:line="480" w:lineRule="auto"/>
              <w:jc w:val="both"/>
            </w:pPr>
            <w:r w:rsidRPr="00B85CB7">
              <w:t>0.40 ± 0.07</w:t>
            </w:r>
          </w:p>
        </w:tc>
      </w:tr>
      <w:tr w:rsidR="00C73A73" w:rsidRPr="00B85CB7" w14:paraId="41142846" w14:textId="77777777" w:rsidTr="005D2D54">
        <w:trPr>
          <w:cantSplit/>
        </w:trPr>
        <w:tc>
          <w:tcPr>
            <w:tcW w:w="3075" w:type="dxa"/>
            <w:tcBorders>
              <w:bottom w:val="single" w:sz="4" w:space="0" w:color="auto"/>
            </w:tcBorders>
            <w:shd w:val="clear" w:color="auto" w:fill="FFFFFF"/>
            <w:tcMar>
              <w:top w:w="80" w:type="dxa"/>
              <w:left w:w="120" w:type="dxa"/>
              <w:bottom w:w="80" w:type="dxa"/>
              <w:right w:w="120" w:type="dxa"/>
            </w:tcMar>
            <w:vAlign w:val="center"/>
          </w:tcPr>
          <w:p w14:paraId="59BCFC55" w14:textId="77777777" w:rsidR="00C73A73" w:rsidRPr="00B85CB7" w:rsidRDefault="00C73A73" w:rsidP="005D2D54">
            <w:pPr>
              <w:spacing w:line="480" w:lineRule="auto"/>
              <w:jc w:val="both"/>
            </w:pPr>
            <w:r w:rsidRPr="00B85CB7">
              <w:t>Carbohydrate (%)</w:t>
            </w:r>
          </w:p>
        </w:tc>
        <w:tc>
          <w:tcPr>
            <w:tcW w:w="3485" w:type="dxa"/>
            <w:tcBorders>
              <w:bottom w:val="single" w:sz="4" w:space="0" w:color="auto"/>
            </w:tcBorders>
            <w:shd w:val="clear" w:color="auto" w:fill="FFFFFF"/>
            <w:tcMar>
              <w:top w:w="80" w:type="dxa"/>
              <w:left w:w="120" w:type="dxa"/>
              <w:bottom w:w="80" w:type="dxa"/>
              <w:right w:w="120" w:type="dxa"/>
            </w:tcMar>
            <w:vAlign w:val="center"/>
          </w:tcPr>
          <w:p w14:paraId="42292F9B" w14:textId="77777777" w:rsidR="00C73A73" w:rsidRPr="00B85CB7" w:rsidRDefault="00C73A73" w:rsidP="005D2D54">
            <w:pPr>
              <w:spacing w:line="480" w:lineRule="auto"/>
              <w:jc w:val="both"/>
            </w:pPr>
            <w:r w:rsidRPr="00B85CB7">
              <w:t>16.50 ± 1.2</w:t>
            </w:r>
          </w:p>
        </w:tc>
      </w:tr>
    </w:tbl>
    <w:p w14:paraId="3D59CC8A" w14:textId="77777777" w:rsidR="00C73A73" w:rsidRPr="00524AD2" w:rsidRDefault="00C73A73" w:rsidP="00524AD2">
      <w:pPr>
        <w:spacing w:line="480" w:lineRule="auto"/>
        <w:jc w:val="both"/>
      </w:pPr>
      <w:r w:rsidRPr="00B85CB7">
        <w:rPr>
          <w:i/>
          <w:iCs/>
        </w:rPr>
        <w:t xml:space="preserve">                              Values are presented as Mean ± Standard Deviation.</w:t>
      </w:r>
      <w:bookmarkStart w:id="37" w:name="_Toc230616780"/>
    </w:p>
    <w:p w14:paraId="39088C12" w14:textId="77777777" w:rsidR="00C73A73" w:rsidRPr="00B85CB7" w:rsidRDefault="00C73A73" w:rsidP="00C73A73">
      <w:pPr>
        <w:pStyle w:val="Heading2"/>
        <w:spacing w:before="0" w:line="480" w:lineRule="auto"/>
        <w:jc w:val="both"/>
      </w:pPr>
      <w:r w:rsidRPr="00B85CB7">
        <w:t xml:space="preserve">Phytochemical Analysis of the Ethanol </w:t>
      </w:r>
      <w:r w:rsidR="00524AD2">
        <w:t>Leaf</w:t>
      </w:r>
      <w:r w:rsidRPr="00B85CB7">
        <w:t xml:space="preserve"> Extract of </w:t>
      </w:r>
      <w:r w:rsidRPr="00B85CB7">
        <w:rPr>
          <w:i/>
          <w:iCs/>
        </w:rPr>
        <w:t>Trichosanthes cucumerina</w:t>
      </w:r>
      <w:bookmarkEnd w:id="37"/>
    </w:p>
    <w:p w14:paraId="17F26263" w14:textId="77777777" w:rsidR="00C73A73" w:rsidRPr="00B85CB7" w:rsidRDefault="00C73A73" w:rsidP="00C73A73">
      <w:pPr>
        <w:pStyle w:val="Heading3"/>
        <w:spacing w:before="0" w:line="480" w:lineRule="auto"/>
        <w:jc w:val="both"/>
      </w:pPr>
      <w:bookmarkStart w:id="38" w:name="_Toc230616781"/>
      <w:r w:rsidRPr="00B85CB7">
        <w:t>Qualitative Phytochemical Screening</w:t>
      </w:r>
      <w:bookmarkEnd w:id="38"/>
    </w:p>
    <w:p w14:paraId="48B52D42" w14:textId="77777777" w:rsidR="00C73A73" w:rsidRPr="00B85CB7" w:rsidRDefault="00C73A73" w:rsidP="00C73A73">
      <w:pPr>
        <w:spacing w:line="480" w:lineRule="auto"/>
        <w:ind w:firstLine="720"/>
        <w:jc w:val="both"/>
      </w:pPr>
      <w:r w:rsidRPr="00B85CB7">
        <w:t xml:space="preserve">The qualitative phytochemical screening of </w:t>
      </w:r>
      <w:r w:rsidRPr="00B85CB7">
        <w:rPr>
          <w:i/>
          <w:iCs/>
        </w:rPr>
        <w:t>T. cucumerina</w:t>
      </w:r>
      <w:r w:rsidRPr="00B85CB7">
        <w:t xml:space="preserve"> revealed distinct patterns of bioactive compound distribution across its leaf, as shown in Table </w:t>
      </w:r>
      <w:r w:rsidR="00985B77">
        <w:t>5</w:t>
      </w:r>
      <w:r w:rsidRPr="00B85CB7">
        <w:t>. Flavonoids were most abundant in the leaf (+++)</w:t>
      </w:r>
      <w:r w:rsidR="00985B77">
        <w:t xml:space="preserve">; </w:t>
      </w:r>
      <w:r>
        <w:rPr>
          <w:highlight w:val="yellow"/>
        </w:rPr>
        <w:t>tannins were present at moderate levels in the leaf</w:t>
      </w:r>
      <w:r>
        <w:t xml:space="preserve"> (++). Carotenoids showed a high intensity in the leaf (+++), consistent with the leaf's photosynthetic pigment-accumulating function. Saponins were moderately present in the leaf (++). Alkaloids were weakly present (+). Oxalates were absent (-). </w:t>
      </w:r>
      <w:r>
        <w:rPr>
          <w:highlight w:val="yellow"/>
        </w:rPr>
        <w:t>Cardiac glycosides were absent from the leaf</w:t>
      </w:r>
      <w:r>
        <w:t xml:space="preserve">. </w:t>
      </w:r>
    </w:p>
    <w:p w14:paraId="699606C7" w14:textId="77777777" w:rsidR="00C73A73" w:rsidRPr="00B85CB7" w:rsidRDefault="00C73A73" w:rsidP="00C73A73">
      <w:pPr>
        <w:spacing w:line="480" w:lineRule="auto"/>
        <w:ind w:firstLine="720"/>
        <w:jc w:val="both"/>
      </w:pPr>
      <w:r w:rsidRPr="00B85CB7">
        <w:t>A key of semi-quantitative scoring is provided: +++ = highly present; ++ = moderately present; + = slightly present; − = absent.</w:t>
      </w:r>
    </w:p>
    <w:p w14:paraId="3B8EFD46" w14:textId="77777777" w:rsidR="00C73A73" w:rsidRPr="00B85CB7" w:rsidRDefault="00C73A73" w:rsidP="00C73A73">
      <w:pPr>
        <w:rPr>
          <w:b/>
          <w:bCs/>
        </w:rPr>
      </w:pPr>
      <w:r w:rsidRPr="00B85CB7">
        <w:rPr>
          <w:b/>
          <w:bCs/>
        </w:rPr>
        <w:br w:type="page"/>
      </w:r>
    </w:p>
    <w:p w14:paraId="77973F5E" w14:textId="77777777" w:rsidR="00C73A73" w:rsidRPr="00B85CB7" w:rsidRDefault="00985B77" w:rsidP="00C73A73">
      <w:pPr>
        <w:spacing w:line="480" w:lineRule="auto"/>
        <w:jc w:val="center"/>
      </w:pPr>
      <w:r>
        <w:rPr>
          <w:b/>
          <w:bCs/>
        </w:rPr>
        <w:lastRenderedPageBreak/>
        <w:t>Table 5</w:t>
      </w:r>
      <w:r w:rsidR="00C73A73" w:rsidRPr="00B85CB7">
        <w:rPr>
          <w:b/>
          <w:bCs/>
        </w:rPr>
        <w:t xml:space="preserve">. Qualitative phytochemical screening of </w:t>
      </w:r>
      <w:r w:rsidR="00C73A73" w:rsidRPr="00B85CB7">
        <w:rPr>
          <w:b/>
          <w:bCs/>
          <w:i/>
          <w:iCs/>
        </w:rPr>
        <w:t>Trichosanthes cucumerina</w:t>
      </w:r>
      <w:r w:rsidR="00C73A73" w:rsidRPr="00B85CB7">
        <w:rPr>
          <w:b/>
          <w:bCs/>
        </w:rPr>
        <w:t xml:space="preserve"> plant parts</w:t>
      </w:r>
    </w:p>
    <w:tbl>
      <w:tblPr>
        <w:tblW w:w="6930" w:type="dxa"/>
        <w:tblInd w:w="895" w:type="dxa"/>
        <w:tblCellMar>
          <w:left w:w="10" w:type="dxa"/>
          <w:right w:w="10" w:type="dxa"/>
        </w:tblCellMar>
        <w:tblLook w:val="0000" w:firstRow="0" w:lastRow="0" w:firstColumn="0" w:lastColumn="0" w:noHBand="0" w:noVBand="0"/>
      </w:tblPr>
      <w:tblGrid>
        <w:gridCol w:w="3713"/>
        <w:gridCol w:w="3217"/>
      </w:tblGrid>
      <w:tr w:rsidR="00C73A73" w:rsidRPr="00B85CB7" w14:paraId="63A86241" w14:textId="77777777" w:rsidTr="005D2D54">
        <w:trPr>
          <w:cantSplit/>
          <w:tblHeader/>
        </w:trPr>
        <w:tc>
          <w:tcPr>
            <w:tcW w:w="371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066EA4B" w14:textId="77777777" w:rsidR="00C73A73" w:rsidRPr="00B85CB7" w:rsidRDefault="00C73A73" w:rsidP="005D2D54">
            <w:pPr>
              <w:spacing w:line="480" w:lineRule="auto"/>
              <w:jc w:val="both"/>
            </w:pPr>
            <w:r w:rsidRPr="00B85CB7">
              <w:rPr>
                <w:b/>
                <w:bCs/>
              </w:rPr>
              <w:t>Phytochemical</w:t>
            </w:r>
          </w:p>
        </w:tc>
        <w:tc>
          <w:tcPr>
            <w:tcW w:w="3217"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736FD84" w14:textId="77777777" w:rsidR="00C73A73" w:rsidRPr="00B85CB7" w:rsidRDefault="00C73A73" w:rsidP="005D2D54">
            <w:pPr>
              <w:spacing w:line="480" w:lineRule="auto"/>
              <w:jc w:val="both"/>
            </w:pPr>
            <w:r w:rsidRPr="00B85CB7">
              <w:rPr>
                <w:b/>
                <w:bCs/>
              </w:rPr>
              <w:t>Leaf</w:t>
            </w:r>
          </w:p>
        </w:tc>
      </w:tr>
      <w:tr w:rsidR="00C73A73" w:rsidRPr="00B85CB7" w14:paraId="0CF795B1" w14:textId="77777777" w:rsidTr="005D2D54">
        <w:trPr>
          <w:cantSplit/>
        </w:trPr>
        <w:tc>
          <w:tcPr>
            <w:tcW w:w="3713" w:type="dxa"/>
            <w:tcBorders>
              <w:top w:val="single" w:sz="4" w:space="0" w:color="auto"/>
            </w:tcBorders>
            <w:shd w:val="clear" w:color="auto" w:fill="FFFFFF"/>
            <w:tcMar>
              <w:top w:w="80" w:type="dxa"/>
              <w:left w:w="120" w:type="dxa"/>
              <w:bottom w:w="80" w:type="dxa"/>
              <w:right w:w="120" w:type="dxa"/>
            </w:tcMar>
            <w:vAlign w:val="center"/>
          </w:tcPr>
          <w:p w14:paraId="4DCE53C2" w14:textId="77777777" w:rsidR="00C73A73" w:rsidRPr="00B85CB7" w:rsidRDefault="00C73A73" w:rsidP="005D2D54">
            <w:pPr>
              <w:spacing w:line="480" w:lineRule="auto"/>
              <w:jc w:val="both"/>
            </w:pPr>
            <w:r w:rsidRPr="00B85CB7">
              <w:t>Tannins</w:t>
            </w:r>
          </w:p>
        </w:tc>
        <w:tc>
          <w:tcPr>
            <w:tcW w:w="3217" w:type="dxa"/>
            <w:tcBorders>
              <w:top w:val="single" w:sz="4" w:space="0" w:color="auto"/>
            </w:tcBorders>
            <w:shd w:val="clear" w:color="auto" w:fill="FFFFFF"/>
            <w:tcMar>
              <w:top w:w="80" w:type="dxa"/>
              <w:left w:w="120" w:type="dxa"/>
              <w:bottom w:w="80" w:type="dxa"/>
              <w:right w:w="120" w:type="dxa"/>
            </w:tcMar>
            <w:vAlign w:val="center"/>
          </w:tcPr>
          <w:p w14:paraId="7F702991" w14:textId="77777777" w:rsidR="00C73A73" w:rsidRPr="00B85CB7" w:rsidRDefault="00C73A73" w:rsidP="005D2D54">
            <w:pPr>
              <w:spacing w:line="480" w:lineRule="auto"/>
              <w:jc w:val="both"/>
            </w:pPr>
            <w:r w:rsidRPr="00B85CB7">
              <w:t>++</w:t>
            </w:r>
          </w:p>
        </w:tc>
      </w:tr>
      <w:tr w:rsidR="00C73A73" w:rsidRPr="00B85CB7" w14:paraId="0C19F150" w14:textId="77777777" w:rsidTr="005D2D54">
        <w:trPr>
          <w:cantSplit/>
        </w:trPr>
        <w:tc>
          <w:tcPr>
            <w:tcW w:w="3713" w:type="dxa"/>
            <w:shd w:val="clear" w:color="auto" w:fill="FFFFFF"/>
            <w:tcMar>
              <w:top w:w="80" w:type="dxa"/>
              <w:left w:w="120" w:type="dxa"/>
              <w:bottom w:w="80" w:type="dxa"/>
              <w:right w:w="120" w:type="dxa"/>
            </w:tcMar>
            <w:vAlign w:val="center"/>
          </w:tcPr>
          <w:p w14:paraId="11365E14" w14:textId="77777777" w:rsidR="00C73A73" w:rsidRPr="00B85CB7" w:rsidRDefault="00C73A73" w:rsidP="005D2D54">
            <w:pPr>
              <w:spacing w:line="480" w:lineRule="auto"/>
              <w:jc w:val="both"/>
            </w:pPr>
            <w:r w:rsidRPr="00B85CB7">
              <w:t>Saponins</w:t>
            </w:r>
          </w:p>
        </w:tc>
        <w:tc>
          <w:tcPr>
            <w:tcW w:w="3217" w:type="dxa"/>
            <w:shd w:val="clear" w:color="auto" w:fill="FFFFFF"/>
            <w:tcMar>
              <w:top w:w="80" w:type="dxa"/>
              <w:left w:w="120" w:type="dxa"/>
              <w:bottom w:w="80" w:type="dxa"/>
              <w:right w:w="120" w:type="dxa"/>
            </w:tcMar>
            <w:vAlign w:val="center"/>
          </w:tcPr>
          <w:p w14:paraId="6DC3D046" w14:textId="77777777" w:rsidR="00C73A73" w:rsidRPr="00B85CB7" w:rsidRDefault="00C73A73" w:rsidP="005D2D54">
            <w:pPr>
              <w:spacing w:line="480" w:lineRule="auto"/>
              <w:jc w:val="both"/>
            </w:pPr>
            <w:r w:rsidRPr="00B85CB7">
              <w:t>++</w:t>
            </w:r>
          </w:p>
        </w:tc>
      </w:tr>
      <w:tr w:rsidR="00C73A73" w:rsidRPr="00B85CB7" w14:paraId="51740D02" w14:textId="77777777" w:rsidTr="005D2D54">
        <w:trPr>
          <w:cantSplit/>
        </w:trPr>
        <w:tc>
          <w:tcPr>
            <w:tcW w:w="3713" w:type="dxa"/>
            <w:shd w:val="clear" w:color="auto" w:fill="FFFFFF"/>
            <w:tcMar>
              <w:top w:w="80" w:type="dxa"/>
              <w:left w:w="120" w:type="dxa"/>
              <w:bottom w:w="80" w:type="dxa"/>
              <w:right w:w="120" w:type="dxa"/>
            </w:tcMar>
            <w:vAlign w:val="center"/>
          </w:tcPr>
          <w:p w14:paraId="5A4B427B" w14:textId="77777777" w:rsidR="00C73A73" w:rsidRPr="00B85CB7" w:rsidRDefault="00C73A73" w:rsidP="005D2D54">
            <w:pPr>
              <w:spacing w:line="480" w:lineRule="auto"/>
              <w:jc w:val="both"/>
            </w:pPr>
            <w:r w:rsidRPr="00B85CB7">
              <w:t>Flavonoids</w:t>
            </w:r>
          </w:p>
        </w:tc>
        <w:tc>
          <w:tcPr>
            <w:tcW w:w="3217" w:type="dxa"/>
            <w:shd w:val="clear" w:color="auto" w:fill="FFFFFF"/>
            <w:tcMar>
              <w:top w:w="80" w:type="dxa"/>
              <w:left w:w="120" w:type="dxa"/>
              <w:bottom w:w="80" w:type="dxa"/>
              <w:right w:w="120" w:type="dxa"/>
            </w:tcMar>
            <w:vAlign w:val="center"/>
          </w:tcPr>
          <w:p w14:paraId="14426046" w14:textId="77777777" w:rsidR="00C73A73" w:rsidRPr="00B85CB7" w:rsidRDefault="00C73A73" w:rsidP="005D2D54">
            <w:pPr>
              <w:spacing w:line="480" w:lineRule="auto"/>
              <w:jc w:val="both"/>
            </w:pPr>
            <w:r w:rsidRPr="00B85CB7">
              <w:t>+++</w:t>
            </w:r>
          </w:p>
        </w:tc>
      </w:tr>
      <w:tr w:rsidR="00C73A73" w:rsidRPr="00B85CB7" w14:paraId="3E5E85AA" w14:textId="77777777" w:rsidTr="005D2D54">
        <w:trPr>
          <w:cantSplit/>
        </w:trPr>
        <w:tc>
          <w:tcPr>
            <w:tcW w:w="3713" w:type="dxa"/>
            <w:shd w:val="clear" w:color="auto" w:fill="FFFFFF"/>
            <w:tcMar>
              <w:top w:w="80" w:type="dxa"/>
              <w:left w:w="120" w:type="dxa"/>
              <w:bottom w:w="80" w:type="dxa"/>
              <w:right w:w="120" w:type="dxa"/>
            </w:tcMar>
            <w:vAlign w:val="center"/>
          </w:tcPr>
          <w:p w14:paraId="6C23ECAD" w14:textId="77777777" w:rsidR="00C73A73" w:rsidRPr="00B85CB7" w:rsidRDefault="00C73A73" w:rsidP="005D2D54">
            <w:pPr>
              <w:spacing w:line="480" w:lineRule="auto"/>
              <w:jc w:val="both"/>
            </w:pPr>
            <w:r w:rsidRPr="00B85CB7">
              <w:t>Oxalates</w:t>
            </w:r>
          </w:p>
        </w:tc>
        <w:tc>
          <w:tcPr>
            <w:tcW w:w="3217" w:type="dxa"/>
            <w:shd w:val="clear" w:color="auto" w:fill="FFFFFF"/>
            <w:tcMar>
              <w:top w:w="80" w:type="dxa"/>
              <w:left w:w="120" w:type="dxa"/>
              <w:bottom w:w="80" w:type="dxa"/>
              <w:right w:w="120" w:type="dxa"/>
            </w:tcMar>
            <w:vAlign w:val="center"/>
          </w:tcPr>
          <w:p w14:paraId="393B98B7" w14:textId="77777777" w:rsidR="00C73A73" w:rsidRPr="00B85CB7" w:rsidRDefault="00C73A73" w:rsidP="005D2D54">
            <w:pPr>
              <w:spacing w:line="480" w:lineRule="auto"/>
              <w:jc w:val="both"/>
            </w:pPr>
            <w:r w:rsidRPr="00B85CB7">
              <w:t>−</w:t>
            </w:r>
          </w:p>
        </w:tc>
      </w:tr>
      <w:tr w:rsidR="00C73A73" w:rsidRPr="00B85CB7" w14:paraId="19827713" w14:textId="77777777" w:rsidTr="005D2D54">
        <w:trPr>
          <w:cantSplit/>
        </w:trPr>
        <w:tc>
          <w:tcPr>
            <w:tcW w:w="3713" w:type="dxa"/>
            <w:shd w:val="clear" w:color="auto" w:fill="FFFFFF"/>
            <w:tcMar>
              <w:top w:w="80" w:type="dxa"/>
              <w:left w:w="120" w:type="dxa"/>
              <w:bottom w:w="80" w:type="dxa"/>
              <w:right w:w="120" w:type="dxa"/>
            </w:tcMar>
            <w:vAlign w:val="center"/>
          </w:tcPr>
          <w:p w14:paraId="4B3A94C9" w14:textId="77777777" w:rsidR="00C73A73" w:rsidRPr="00B85CB7" w:rsidRDefault="00C73A73" w:rsidP="005D2D54">
            <w:pPr>
              <w:spacing w:line="480" w:lineRule="auto"/>
              <w:jc w:val="both"/>
            </w:pPr>
            <w:r w:rsidRPr="00B85CB7">
              <w:t>Alkaloids</w:t>
            </w:r>
          </w:p>
        </w:tc>
        <w:tc>
          <w:tcPr>
            <w:tcW w:w="3217" w:type="dxa"/>
            <w:shd w:val="clear" w:color="auto" w:fill="FFFFFF"/>
            <w:tcMar>
              <w:top w:w="80" w:type="dxa"/>
              <w:left w:w="120" w:type="dxa"/>
              <w:bottom w:w="80" w:type="dxa"/>
              <w:right w:w="120" w:type="dxa"/>
            </w:tcMar>
            <w:vAlign w:val="center"/>
          </w:tcPr>
          <w:p w14:paraId="216ACE8B" w14:textId="77777777" w:rsidR="00C73A73" w:rsidRPr="00B85CB7" w:rsidRDefault="00C73A73" w:rsidP="005D2D54">
            <w:pPr>
              <w:spacing w:line="480" w:lineRule="auto"/>
              <w:jc w:val="both"/>
            </w:pPr>
            <w:r w:rsidRPr="00B85CB7">
              <w:t>+</w:t>
            </w:r>
          </w:p>
        </w:tc>
      </w:tr>
      <w:tr w:rsidR="00C73A73" w:rsidRPr="00B85CB7" w14:paraId="203B8D64" w14:textId="77777777" w:rsidTr="005D2D54">
        <w:trPr>
          <w:cantSplit/>
        </w:trPr>
        <w:tc>
          <w:tcPr>
            <w:tcW w:w="3713" w:type="dxa"/>
            <w:shd w:val="clear" w:color="auto" w:fill="FFFFFF"/>
            <w:tcMar>
              <w:top w:w="80" w:type="dxa"/>
              <w:left w:w="120" w:type="dxa"/>
              <w:bottom w:w="80" w:type="dxa"/>
              <w:right w:w="120" w:type="dxa"/>
            </w:tcMar>
            <w:vAlign w:val="center"/>
          </w:tcPr>
          <w:p w14:paraId="3D1EDFCE" w14:textId="77777777" w:rsidR="00C73A73" w:rsidRPr="00B85CB7" w:rsidRDefault="00C73A73" w:rsidP="005D2D54">
            <w:pPr>
              <w:spacing w:line="480" w:lineRule="auto"/>
              <w:jc w:val="both"/>
            </w:pPr>
            <w:r w:rsidRPr="00B85CB7">
              <w:t>Carotenoids</w:t>
            </w:r>
          </w:p>
        </w:tc>
        <w:tc>
          <w:tcPr>
            <w:tcW w:w="3217" w:type="dxa"/>
            <w:shd w:val="clear" w:color="auto" w:fill="FFFFFF"/>
            <w:tcMar>
              <w:top w:w="80" w:type="dxa"/>
              <w:left w:w="120" w:type="dxa"/>
              <w:bottom w:w="80" w:type="dxa"/>
              <w:right w:w="120" w:type="dxa"/>
            </w:tcMar>
            <w:vAlign w:val="center"/>
          </w:tcPr>
          <w:p w14:paraId="647CBBBF" w14:textId="77777777" w:rsidR="00C73A73" w:rsidRPr="00B85CB7" w:rsidRDefault="00C73A73" w:rsidP="005D2D54">
            <w:pPr>
              <w:spacing w:line="480" w:lineRule="auto"/>
              <w:jc w:val="both"/>
            </w:pPr>
            <w:r w:rsidRPr="00B85CB7">
              <w:t>+++</w:t>
            </w:r>
          </w:p>
        </w:tc>
      </w:tr>
      <w:tr w:rsidR="00C73A73" w:rsidRPr="00B85CB7" w14:paraId="646CF94E" w14:textId="77777777" w:rsidTr="005D2D54">
        <w:trPr>
          <w:cantSplit/>
        </w:trPr>
        <w:tc>
          <w:tcPr>
            <w:tcW w:w="3713" w:type="dxa"/>
            <w:tcBorders>
              <w:bottom w:val="single" w:sz="4" w:space="0" w:color="auto"/>
            </w:tcBorders>
            <w:shd w:val="clear" w:color="auto" w:fill="FFFFFF"/>
            <w:tcMar>
              <w:top w:w="80" w:type="dxa"/>
              <w:left w:w="120" w:type="dxa"/>
              <w:bottom w:w="80" w:type="dxa"/>
              <w:right w:w="120" w:type="dxa"/>
            </w:tcMar>
            <w:vAlign w:val="center"/>
          </w:tcPr>
          <w:p w14:paraId="27AC0A99" w14:textId="77777777" w:rsidR="00C73A73" w:rsidRPr="00B85CB7" w:rsidRDefault="00C73A73" w:rsidP="005D2D54">
            <w:pPr>
              <w:spacing w:line="480" w:lineRule="auto"/>
              <w:jc w:val="both"/>
            </w:pPr>
            <w:r w:rsidRPr="00B85CB7">
              <w:t>Cardiac Glycosides</w:t>
            </w:r>
          </w:p>
        </w:tc>
        <w:tc>
          <w:tcPr>
            <w:tcW w:w="3217" w:type="dxa"/>
            <w:tcBorders>
              <w:bottom w:val="single" w:sz="4" w:space="0" w:color="auto"/>
            </w:tcBorders>
            <w:shd w:val="clear" w:color="auto" w:fill="FFFFFF"/>
            <w:tcMar>
              <w:top w:w="80" w:type="dxa"/>
              <w:left w:w="120" w:type="dxa"/>
              <w:bottom w:w="80" w:type="dxa"/>
              <w:right w:w="120" w:type="dxa"/>
            </w:tcMar>
            <w:vAlign w:val="center"/>
          </w:tcPr>
          <w:p w14:paraId="0E1F5E2F" w14:textId="77777777" w:rsidR="00C73A73" w:rsidRPr="00B85CB7" w:rsidRDefault="00C73A73" w:rsidP="005D2D54">
            <w:pPr>
              <w:spacing w:line="480" w:lineRule="auto"/>
              <w:jc w:val="both"/>
            </w:pPr>
            <w:r w:rsidRPr="00B85CB7">
              <w:t>−</w:t>
            </w:r>
          </w:p>
        </w:tc>
      </w:tr>
    </w:tbl>
    <w:p w14:paraId="43A50312" w14:textId="77777777" w:rsidR="00C73A73" w:rsidRPr="00B85CB7" w:rsidRDefault="00C73A73" w:rsidP="00C73A73">
      <w:pPr>
        <w:rPr>
          <w:b/>
          <w:bCs/>
          <w:color w:val="000000"/>
        </w:rPr>
      </w:pPr>
      <w:bookmarkStart w:id="39" w:name="_Toc230616782"/>
      <w:r w:rsidRPr="00B85CB7">
        <w:br w:type="page"/>
      </w:r>
    </w:p>
    <w:p w14:paraId="2C73AC4C" w14:textId="77777777" w:rsidR="00C73A73" w:rsidRPr="00B85CB7" w:rsidRDefault="00C73A73" w:rsidP="00C73A73">
      <w:pPr>
        <w:pStyle w:val="Heading3"/>
        <w:spacing w:before="0" w:line="480" w:lineRule="auto"/>
        <w:jc w:val="both"/>
      </w:pPr>
      <w:r w:rsidRPr="00B85CB7">
        <w:lastRenderedPageBreak/>
        <w:t>Quantitative Phytochemical Analysis</w:t>
      </w:r>
      <w:bookmarkEnd w:id="39"/>
    </w:p>
    <w:p w14:paraId="6CA5A285" w14:textId="77777777" w:rsidR="00C73A73" w:rsidRPr="00524AD2" w:rsidRDefault="00C73A73" w:rsidP="00524AD2">
      <w:pPr>
        <w:spacing w:line="480" w:lineRule="auto"/>
        <w:ind w:firstLine="720"/>
        <w:jc w:val="both"/>
      </w:pPr>
      <w:r w:rsidRPr="00B85CB7">
        <w:t xml:space="preserve">The quantitative analysis of major phytochemicals in </w:t>
      </w:r>
      <w:r w:rsidRPr="00B85CB7">
        <w:rPr>
          <w:i/>
          <w:iCs/>
        </w:rPr>
        <w:t>T. cucumerina</w:t>
      </w:r>
      <w:r w:rsidRPr="00B85CB7">
        <w:t xml:space="preserve"> is presented in Table</w:t>
      </w:r>
      <w:r w:rsidR="00985B77">
        <w:t xml:space="preserve"> 6</w:t>
      </w:r>
      <w:r w:rsidRPr="00B85CB7">
        <w:t xml:space="preserve">, with concentrations expressed in mg/100g. The leaf contained the highest levels of flavonoids (861.67 ± 45 mg/100g), tannins (555.00 ± 32 mg/100g), and carotenoids (205.33 ± 112 mg/100g), affirming its richness in antioxidant compounds. Alkaloid content was also greatest in the leaf (93.33 ± 8.2 mg/100g). Oxalate concentrations </w:t>
      </w:r>
      <w:r w:rsidR="00985B77">
        <w:t>were</w:t>
      </w:r>
      <w:r w:rsidRPr="00B85CB7">
        <w:t xml:space="preserve"> low in the leaf (3.70 ± 6.0 mg/100g). Cardiac glycosides remained low across </w:t>
      </w:r>
      <w:r w:rsidR="00985B77">
        <w:t xml:space="preserve">the </w:t>
      </w:r>
      <w:r w:rsidRPr="00B85CB7">
        <w:t>plant leaf (8–12 mg/100g).</w:t>
      </w:r>
    </w:p>
    <w:p w14:paraId="2958AA06" w14:textId="77777777" w:rsidR="00C73A73" w:rsidRPr="00B85CB7" w:rsidRDefault="00985B77" w:rsidP="00C73A73">
      <w:pPr>
        <w:spacing w:line="480" w:lineRule="auto"/>
        <w:jc w:val="center"/>
      </w:pPr>
      <w:r>
        <w:rPr>
          <w:b/>
          <w:bCs/>
        </w:rPr>
        <w:t>Table 6</w:t>
      </w:r>
      <w:r w:rsidR="00C73A73" w:rsidRPr="00B85CB7">
        <w:rPr>
          <w:b/>
          <w:bCs/>
        </w:rPr>
        <w:t xml:space="preserve"> Quantitative phytochemical composition of </w:t>
      </w:r>
      <w:r w:rsidR="00C73A73" w:rsidRPr="00B85CB7">
        <w:rPr>
          <w:b/>
          <w:bCs/>
          <w:i/>
          <w:iCs/>
        </w:rPr>
        <w:t>Trichosanthes cucumerina</w:t>
      </w:r>
      <w:r w:rsidR="00C73A73" w:rsidRPr="00B85CB7">
        <w:rPr>
          <w:b/>
          <w:bCs/>
        </w:rPr>
        <w:t xml:space="preserve"> plant parts (mg/100g)</w:t>
      </w:r>
    </w:p>
    <w:tbl>
      <w:tblPr>
        <w:tblW w:w="7350" w:type="dxa"/>
        <w:tblInd w:w="1255" w:type="dxa"/>
        <w:tblCellMar>
          <w:left w:w="10" w:type="dxa"/>
          <w:right w:w="10" w:type="dxa"/>
        </w:tblCellMar>
        <w:tblLook w:val="0000" w:firstRow="0" w:lastRow="0" w:firstColumn="0" w:lastColumn="0" w:noHBand="0" w:noVBand="0"/>
      </w:tblPr>
      <w:tblGrid>
        <w:gridCol w:w="4230"/>
        <w:gridCol w:w="3120"/>
      </w:tblGrid>
      <w:tr w:rsidR="00C73A73" w:rsidRPr="00B85CB7" w14:paraId="44DC8BAC" w14:textId="77777777" w:rsidTr="005D2D54">
        <w:trPr>
          <w:cantSplit/>
          <w:trHeight w:val="529"/>
          <w:tblHeader/>
        </w:trPr>
        <w:tc>
          <w:tcPr>
            <w:tcW w:w="423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97F7CA0" w14:textId="77777777" w:rsidR="00C73A73" w:rsidRPr="00B85CB7" w:rsidRDefault="00C73A73" w:rsidP="005D2D54">
            <w:pPr>
              <w:spacing w:line="480" w:lineRule="auto"/>
              <w:jc w:val="both"/>
            </w:pPr>
            <w:r w:rsidRPr="00B85CB7">
              <w:rPr>
                <w:b/>
                <w:bCs/>
              </w:rPr>
              <w:t>Phytochemical (mg/100g)</w:t>
            </w:r>
          </w:p>
        </w:tc>
        <w:tc>
          <w:tcPr>
            <w:tcW w:w="312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3ADCD4CD" w14:textId="77777777" w:rsidR="00C73A73" w:rsidRPr="00B85CB7" w:rsidRDefault="00C73A73" w:rsidP="005D2D54">
            <w:pPr>
              <w:spacing w:line="480" w:lineRule="auto"/>
              <w:jc w:val="both"/>
            </w:pPr>
            <w:r w:rsidRPr="00B85CB7">
              <w:rPr>
                <w:b/>
                <w:bCs/>
              </w:rPr>
              <w:t>Leaf</w:t>
            </w:r>
          </w:p>
        </w:tc>
      </w:tr>
      <w:tr w:rsidR="00C73A73" w:rsidRPr="00B85CB7" w14:paraId="53862E5E" w14:textId="77777777" w:rsidTr="005D2D54">
        <w:trPr>
          <w:cantSplit/>
          <w:trHeight w:val="258"/>
        </w:trPr>
        <w:tc>
          <w:tcPr>
            <w:tcW w:w="4230" w:type="dxa"/>
            <w:tcBorders>
              <w:top w:val="single" w:sz="4" w:space="0" w:color="auto"/>
            </w:tcBorders>
            <w:shd w:val="clear" w:color="auto" w:fill="FFFFFF"/>
            <w:tcMar>
              <w:top w:w="80" w:type="dxa"/>
              <w:left w:w="120" w:type="dxa"/>
              <w:bottom w:w="80" w:type="dxa"/>
              <w:right w:w="120" w:type="dxa"/>
            </w:tcMar>
            <w:vAlign w:val="center"/>
          </w:tcPr>
          <w:p w14:paraId="5BE71F19" w14:textId="77777777" w:rsidR="00C73A73" w:rsidRPr="00B85CB7" w:rsidRDefault="00C73A73" w:rsidP="005D2D54">
            <w:pPr>
              <w:spacing w:line="480" w:lineRule="auto"/>
              <w:jc w:val="both"/>
            </w:pPr>
            <w:r w:rsidRPr="00B85CB7">
              <w:t>Tannins</w:t>
            </w:r>
          </w:p>
        </w:tc>
        <w:tc>
          <w:tcPr>
            <w:tcW w:w="3120" w:type="dxa"/>
            <w:tcBorders>
              <w:top w:val="single" w:sz="4" w:space="0" w:color="auto"/>
            </w:tcBorders>
            <w:shd w:val="clear" w:color="auto" w:fill="FFFFFF"/>
            <w:tcMar>
              <w:top w:w="80" w:type="dxa"/>
              <w:left w:w="120" w:type="dxa"/>
              <w:bottom w:w="80" w:type="dxa"/>
              <w:right w:w="120" w:type="dxa"/>
            </w:tcMar>
            <w:vAlign w:val="center"/>
          </w:tcPr>
          <w:p w14:paraId="4CA0E536" w14:textId="77777777" w:rsidR="00C73A73" w:rsidRPr="00B85CB7" w:rsidRDefault="00C73A73" w:rsidP="005D2D54">
            <w:pPr>
              <w:spacing w:line="480" w:lineRule="auto"/>
              <w:jc w:val="both"/>
            </w:pPr>
            <w:r w:rsidRPr="00B85CB7">
              <w:t>555.00 ± 32</w:t>
            </w:r>
          </w:p>
        </w:tc>
      </w:tr>
      <w:tr w:rsidR="00C73A73" w:rsidRPr="00B85CB7" w14:paraId="318C2020"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5DADBF9D" w14:textId="77777777" w:rsidR="00C73A73" w:rsidRPr="00B85CB7" w:rsidRDefault="00C73A73" w:rsidP="005D2D54">
            <w:pPr>
              <w:spacing w:line="480" w:lineRule="auto"/>
              <w:jc w:val="both"/>
            </w:pPr>
            <w:r w:rsidRPr="00B85CB7">
              <w:t>Saponins</w:t>
            </w:r>
          </w:p>
        </w:tc>
        <w:tc>
          <w:tcPr>
            <w:tcW w:w="3120" w:type="dxa"/>
            <w:shd w:val="clear" w:color="auto" w:fill="FFFFFF"/>
            <w:tcMar>
              <w:top w:w="80" w:type="dxa"/>
              <w:left w:w="120" w:type="dxa"/>
              <w:bottom w:w="80" w:type="dxa"/>
              <w:right w:w="120" w:type="dxa"/>
            </w:tcMar>
            <w:vAlign w:val="center"/>
          </w:tcPr>
          <w:p w14:paraId="6D9CC05A" w14:textId="77777777" w:rsidR="00C73A73" w:rsidRPr="00B85CB7" w:rsidRDefault="00C73A73" w:rsidP="005D2D54">
            <w:pPr>
              <w:spacing w:line="480" w:lineRule="auto"/>
              <w:jc w:val="both"/>
            </w:pPr>
            <w:r w:rsidRPr="00B85CB7">
              <w:t>39.67 ± 45</w:t>
            </w:r>
          </w:p>
        </w:tc>
      </w:tr>
      <w:tr w:rsidR="00C73A73" w:rsidRPr="00B85CB7" w14:paraId="52DE381F"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67B946F6" w14:textId="77777777" w:rsidR="00C73A73" w:rsidRPr="00B85CB7" w:rsidRDefault="00C73A73" w:rsidP="005D2D54">
            <w:pPr>
              <w:spacing w:line="480" w:lineRule="auto"/>
              <w:jc w:val="both"/>
            </w:pPr>
            <w:r w:rsidRPr="00B85CB7">
              <w:t>Flavonoids</w:t>
            </w:r>
          </w:p>
        </w:tc>
        <w:tc>
          <w:tcPr>
            <w:tcW w:w="3120" w:type="dxa"/>
            <w:shd w:val="clear" w:color="auto" w:fill="FFFFFF"/>
            <w:tcMar>
              <w:top w:w="80" w:type="dxa"/>
              <w:left w:w="120" w:type="dxa"/>
              <w:bottom w:w="80" w:type="dxa"/>
              <w:right w:w="120" w:type="dxa"/>
            </w:tcMar>
            <w:vAlign w:val="center"/>
          </w:tcPr>
          <w:p w14:paraId="49E43551" w14:textId="77777777" w:rsidR="00C73A73" w:rsidRPr="00B85CB7" w:rsidRDefault="00C73A73" w:rsidP="005D2D54">
            <w:pPr>
              <w:spacing w:line="480" w:lineRule="auto"/>
              <w:jc w:val="both"/>
            </w:pPr>
            <w:r w:rsidRPr="00B85CB7">
              <w:t>861.67 ± 45</w:t>
            </w:r>
          </w:p>
        </w:tc>
      </w:tr>
      <w:tr w:rsidR="00C73A73" w:rsidRPr="00B85CB7" w14:paraId="08C3E24E" w14:textId="77777777" w:rsidTr="005D2D54">
        <w:trPr>
          <w:cantSplit/>
          <w:trHeight w:val="269"/>
        </w:trPr>
        <w:tc>
          <w:tcPr>
            <w:tcW w:w="4230" w:type="dxa"/>
            <w:shd w:val="clear" w:color="auto" w:fill="FFFFFF"/>
            <w:tcMar>
              <w:top w:w="80" w:type="dxa"/>
              <w:left w:w="120" w:type="dxa"/>
              <w:bottom w:w="80" w:type="dxa"/>
              <w:right w:w="120" w:type="dxa"/>
            </w:tcMar>
            <w:vAlign w:val="center"/>
          </w:tcPr>
          <w:p w14:paraId="321BD2FB" w14:textId="77777777" w:rsidR="00C73A73" w:rsidRPr="00B85CB7" w:rsidRDefault="00C73A73" w:rsidP="005D2D54">
            <w:pPr>
              <w:spacing w:line="480" w:lineRule="auto"/>
              <w:jc w:val="both"/>
            </w:pPr>
            <w:r w:rsidRPr="00B85CB7">
              <w:t>Oxalates</w:t>
            </w:r>
          </w:p>
        </w:tc>
        <w:tc>
          <w:tcPr>
            <w:tcW w:w="3120" w:type="dxa"/>
            <w:shd w:val="clear" w:color="auto" w:fill="FFFFFF"/>
            <w:tcMar>
              <w:top w:w="80" w:type="dxa"/>
              <w:left w:w="120" w:type="dxa"/>
              <w:bottom w:w="80" w:type="dxa"/>
              <w:right w:w="120" w:type="dxa"/>
            </w:tcMar>
            <w:vAlign w:val="center"/>
          </w:tcPr>
          <w:p w14:paraId="7079B93A" w14:textId="77777777" w:rsidR="00C73A73" w:rsidRPr="00B85CB7" w:rsidRDefault="00C73A73" w:rsidP="005D2D54">
            <w:pPr>
              <w:spacing w:line="480" w:lineRule="auto"/>
              <w:jc w:val="both"/>
            </w:pPr>
            <w:r w:rsidRPr="00B85CB7">
              <w:t>3.70 ± 6.0</w:t>
            </w:r>
          </w:p>
        </w:tc>
      </w:tr>
      <w:tr w:rsidR="00C73A73" w:rsidRPr="00B85CB7" w14:paraId="4F59A400"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5DCD841B" w14:textId="77777777" w:rsidR="00C73A73" w:rsidRPr="00B85CB7" w:rsidRDefault="00C73A73" w:rsidP="005D2D54">
            <w:pPr>
              <w:spacing w:line="480" w:lineRule="auto"/>
              <w:jc w:val="both"/>
            </w:pPr>
            <w:r w:rsidRPr="00B85CB7">
              <w:t>Alkaloids</w:t>
            </w:r>
          </w:p>
        </w:tc>
        <w:tc>
          <w:tcPr>
            <w:tcW w:w="3120" w:type="dxa"/>
            <w:shd w:val="clear" w:color="auto" w:fill="FFFFFF"/>
            <w:tcMar>
              <w:top w:w="80" w:type="dxa"/>
              <w:left w:w="120" w:type="dxa"/>
              <w:bottom w:w="80" w:type="dxa"/>
              <w:right w:w="120" w:type="dxa"/>
            </w:tcMar>
            <w:vAlign w:val="center"/>
          </w:tcPr>
          <w:p w14:paraId="3051DB5F" w14:textId="77777777" w:rsidR="00C73A73" w:rsidRPr="00B85CB7" w:rsidRDefault="00C73A73" w:rsidP="005D2D54">
            <w:pPr>
              <w:spacing w:line="480" w:lineRule="auto"/>
              <w:jc w:val="both"/>
            </w:pPr>
            <w:r w:rsidRPr="00B85CB7">
              <w:t>93.33 ± 8.2</w:t>
            </w:r>
          </w:p>
        </w:tc>
      </w:tr>
      <w:tr w:rsidR="00C73A73" w:rsidRPr="00B85CB7" w14:paraId="31EC22B6"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3CF581B2" w14:textId="77777777" w:rsidR="00C73A73" w:rsidRPr="00B85CB7" w:rsidRDefault="00C73A73" w:rsidP="005D2D54">
            <w:pPr>
              <w:spacing w:line="480" w:lineRule="auto"/>
              <w:jc w:val="both"/>
            </w:pPr>
            <w:r w:rsidRPr="00B85CB7">
              <w:t>Carotenoids</w:t>
            </w:r>
          </w:p>
        </w:tc>
        <w:tc>
          <w:tcPr>
            <w:tcW w:w="3120" w:type="dxa"/>
            <w:shd w:val="clear" w:color="auto" w:fill="FFFFFF"/>
            <w:tcMar>
              <w:top w:w="80" w:type="dxa"/>
              <w:left w:w="120" w:type="dxa"/>
              <w:bottom w:w="80" w:type="dxa"/>
              <w:right w:w="120" w:type="dxa"/>
            </w:tcMar>
            <w:vAlign w:val="center"/>
          </w:tcPr>
          <w:p w14:paraId="317D6082" w14:textId="77777777" w:rsidR="00C73A73" w:rsidRPr="00B85CB7" w:rsidRDefault="00C73A73" w:rsidP="005D2D54">
            <w:pPr>
              <w:spacing w:line="480" w:lineRule="auto"/>
              <w:jc w:val="both"/>
            </w:pPr>
            <w:r w:rsidRPr="00B85CB7">
              <w:t>205.33 ± 112</w:t>
            </w:r>
          </w:p>
        </w:tc>
      </w:tr>
      <w:tr w:rsidR="00C73A73" w:rsidRPr="00B85CB7" w14:paraId="3A39CB41" w14:textId="77777777" w:rsidTr="005D2D54">
        <w:trPr>
          <w:cantSplit/>
          <w:trHeight w:val="269"/>
        </w:trPr>
        <w:tc>
          <w:tcPr>
            <w:tcW w:w="4230" w:type="dxa"/>
            <w:tcBorders>
              <w:bottom w:val="single" w:sz="4" w:space="0" w:color="auto"/>
            </w:tcBorders>
            <w:shd w:val="clear" w:color="auto" w:fill="FFFFFF"/>
            <w:tcMar>
              <w:top w:w="80" w:type="dxa"/>
              <w:left w:w="120" w:type="dxa"/>
              <w:bottom w:w="80" w:type="dxa"/>
              <w:right w:w="120" w:type="dxa"/>
            </w:tcMar>
            <w:vAlign w:val="center"/>
          </w:tcPr>
          <w:p w14:paraId="4AFC5E88" w14:textId="77777777" w:rsidR="00C73A73" w:rsidRPr="00B85CB7" w:rsidRDefault="00C73A73" w:rsidP="005D2D54">
            <w:pPr>
              <w:spacing w:line="480" w:lineRule="auto"/>
              <w:jc w:val="both"/>
            </w:pPr>
            <w:r w:rsidRPr="00B85CB7">
              <w:t>Cardiac Glycosides</w:t>
            </w:r>
          </w:p>
        </w:tc>
        <w:tc>
          <w:tcPr>
            <w:tcW w:w="3120" w:type="dxa"/>
            <w:tcBorders>
              <w:bottom w:val="single" w:sz="4" w:space="0" w:color="auto"/>
            </w:tcBorders>
            <w:shd w:val="clear" w:color="auto" w:fill="FFFFFF"/>
            <w:tcMar>
              <w:top w:w="80" w:type="dxa"/>
              <w:left w:w="120" w:type="dxa"/>
              <w:bottom w:w="80" w:type="dxa"/>
              <w:right w:w="120" w:type="dxa"/>
            </w:tcMar>
            <w:vAlign w:val="center"/>
          </w:tcPr>
          <w:p w14:paraId="4EC36D02" w14:textId="77777777" w:rsidR="00C73A73" w:rsidRPr="00B85CB7" w:rsidRDefault="00C73A73" w:rsidP="005D2D54">
            <w:pPr>
              <w:spacing w:line="480" w:lineRule="auto"/>
              <w:jc w:val="both"/>
            </w:pPr>
            <w:r w:rsidRPr="00B85CB7">
              <w:t>9.90 ± 1.8</w:t>
            </w:r>
          </w:p>
        </w:tc>
      </w:tr>
    </w:tbl>
    <w:p w14:paraId="56375B2C" w14:textId="77777777" w:rsidR="00C73A73" w:rsidRPr="00B85CB7" w:rsidRDefault="00C73A73" w:rsidP="00C73A73">
      <w:pPr>
        <w:spacing w:line="480" w:lineRule="auto"/>
        <w:jc w:val="both"/>
      </w:pPr>
      <w:r w:rsidRPr="00B85CB7">
        <w:rPr>
          <w:i/>
          <w:iCs/>
        </w:rPr>
        <w:t xml:space="preserve">                                                 Values are presented as Mean ± Standard Deviation.</w:t>
      </w:r>
    </w:p>
    <w:p w14:paraId="24B189AB" w14:textId="77777777" w:rsidR="00C73A73" w:rsidRPr="00B85CB7" w:rsidRDefault="00C73A73" w:rsidP="00C73A73">
      <w:pPr>
        <w:pStyle w:val="Heading2"/>
        <w:spacing w:before="0" w:line="480" w:lineRule="auto"/>
        <w:jc w:val="both"/>
      </w:pPr>
      <w:bookmarkStart w:id="40" w:name="_Toc230616783"/>
      <w:r w:rsidRPr="00B85CB7">
        <w:t xml:space="preserve">Antinutrient Analysis of the Ethanol leaf Extract of </w:t>
      </w:r>
      <w:r w:rsidRPr="00B85CB7">
        <w:rPr>
          <w:i/>
          <w:iCs/>
        </w:rPr>
        <w:t>Trichosanthes cucumerina</w:t>
      </w:r>
      <w:bookmarkEnd w:id="40"/>
    </w:p>
    <w:p w14:paraId="49FB2110" w14:textId="77777777" w:rsidR="00C73A73" w:rsidRPr="00524AD2" w:rsidRDefault="00C73A73" w:rsidP="00524AD2">
      <w:pPr>
        <w:spacing w:line="480" w:lineRule="auto"/>
        <w:ind w:firstLine="720"/>
        <w:jc w:val="both"/>
      </w:pPr>
      <w:r w:rsidRPr="00B85CB7">
        <w:t xml:space="preserve">The antinutrient profile of </w:t>
      </w:r>
      <w:r w:rsidRPr="00B85CB7">
        <w:rPr>
          <w:i/>
          <w:iCs/>
        </w:rPr>
        <w:t>T. cucumerina</w:t>
      </w:r>
      <w:r w:rsidRPr="00B85CB7">
        <w:t xml:space="preserve"> plant leaf </w:t>
      </w:r>
      <w:r w:rsidR="0052111D">
        <w:t xml:space="preserve">is presented in </w:t>
      </w:r>
      <w:r>
        <w:rPr>
          <w:highlight w:val="yellow"/>
        </w:rPr>
        <w:t>Table 7.</w:t>
      </w:r>
      <w:r>
        <w:t xml:space="preserve"> </w:t>
      </w:r>
      <w:r>
        <w:rPr>
          <w:highlight w:val="yellow"/>
        </w:rPr>
        <w:t>The leaf showed concentrations of all three antinutrients</w:t>
      </w:r>
      <w:r>
        <w:t xml:space="preserve"> (oxalates: 25.5 ± 0.3; phytates: 15 ± 0.1; tannins: 20 ± 0.2 mg/100g), </w:t>
      </w:r>
      <w:r>
        <w:rPr>
          <w:highlight w:val="yellow"/>
        </w:rPr>
        <w:t>suggesting that it is safe for therapeutic consumption</w:t>
      </w:r>
      <w:r>
        <w:t>.</w:t>
      </w:r>
    </w:p>
    <w:p w14:paraId="423048A4" w14:textId="77777777" w:rsidR="00C73A73" w:rsidRPr="00B85CB7" w:rsidRDefault="00C73A73" w:rsidP="00C73A73">
      <w:pPr>
        <w:spacing w:line="480" w:lineRule="auto"/>
        <w:jc w:val="center"/>
      </w:pPr>
      <w:r w:rsidRPr="00B85CB7">
        <w:rPr>
          <w:b/>
          <w:bCs/>
        </w:rPr>
        <w:t>T</w:t>
      </w:r>
      <w:r w:rsidR="0052111D">
        <w:rPr>
          <w:b/>
          <w:bCs/>
        </w:rPr>
        <w:t>able 7</w:t>
      </w:r>
      <w:r w:rsidRPr="00B85CB7">
        <w:rPr>
          <w:b/>
          <w:bCs/>
        </w:rPr>
        <w:t xml:space="preserve">. Antinutrient content of </w:t>
      </w:r>
      <w:r w:rsidRPr="00B85CB7">
        <w:rPr>
          <w:b/>
          <w:bCs/>
          <w:i/>
          <w:iCs/>
        </w:rPr>
        <w:t>Trichosanthes cucumerina</w:t>
      </w:r>
      <w:r w:rsidRPr="00B85CB7">
        <w:rPr>
          <w:b/>
          <w:bCs/>
        </w:rPr>
        <w:t xml:space="preserve"> plant parts (mg/100g)</w:t>
      </w:r>
    </w:p>
    <w:tbl>
      <w:tblPr>
        <w:tblW w:w="6925" w:type="dxa"/>
        <w:jc w:val="center"/>
        <w:tblCellMar>
          <w:left w:w="10" w:type="dxa"/>
          <w:right w:w="10" w:type="dxa"/>
        </w:tblCellMar>
        <w:tblLook w:val="0000" w:firstRow="0" w:lastRow="0" w:firstColumn="0" w:lastColumn="0" w:noHBand="0" w:noVBand="0"/>
      </w:tblPr>
      <w:tblGrid>
        <w:gridCol w:w="3025"/>
        <w:gridCol w:w="3900"/>
      </w:tblGrid>
      <w:tr w:rsidR="00C73A73" w:rsidRPr="00B85CB7" w14:paraId="31D8034E" w14:textId="77777777" w:rsidTr="005D2D54">
        <w:trPr>
          <w:cantSplit/>
          <w:trHeight w:val="714"/>
          <w:tblHeader/>
          <w:jc w:val="center"/>
        </w:trPr>
        <w:tc>
          <w:tcPr>
            <w:tcW w:w="302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15F8FA6" w14:textId="77777777" w:rsidR="00C73A73" w:rsidRPr="00B85CB7" w:rsidRDefault="00C73A73" w:rsidP="005D2D54">
            <w:pPr>
              <w:spacing w:line="480" w:lineRule="auto"/>
              <w:jc w:val="both"/>
            </w:pPr>
            <w:r w:rsidRPr="00B85CB7">
              <w:rPr>
                <w:b/>
                <w:bCs/>
              </w:rPr>
              <w:t>Antinutrient (mg/100g)</w:t>
            </w:r>
          </w:p>
        </w:tc>
        <w:tc>
          <w:tcPr>
            <w:tcW w:w="39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A16A580" w14:textId="77777777" w:rsidR="00C73A73" w:rsidRPr="00B85CB7" w:rsidRDefault="00C73A73" w:rsidP="005D2D54">
            <w:pPr>
              <w:spacing w:line="480" w:lineRule="auto"/>
              <w:jc w:val="both"/>
            </w:pPr>
            <w:r w:rsidRPr="00B85CB7">
              <w:rPr>
                <w:b/>
                <w:bCs/>
              </w:rPr>
              <w:t>Leaf</w:t>
            </w:r>
          </w:p>
        </w:tc>
      </w:tr>
      <w:tr w:rsidR="00C73A73" w:rsidRPr="00B85CB7" w14:paraId="578BBD44" w14:textId="77777777" w:rsidTr="005D2D54">
        <w:trPr>
          <w:cantSplit/>
          <w:trHeight w:val="350"/>
          <w:jc w:val="center"/>
        </w:trPr>
        <w:tc>
          <w:tcPr>
            <w:tcW w:w="3025" w:type="dxa"/>
            <w:tcBorders>
              <w:top w:val="single" w:sz="4" w:space="0" w:color="auto"/>
            </w:tcBorders>
            <w:shd w:val="clear" w:color="auto" w:fill="FFFFFF"/>
            <w:tcMar>
              <w:top w:w="80" w:type="dxa"/>
              <w:left w:w="120" w:type="dxa"/>
              <w:bottom w:w="80" w:type="dxa"/>
              <w:right w:w="120" w:type="dxa"/>
            </w:tcMar>
            <w:vAlign w:val="center"/>
          </w:tcPr>
          <w:p w14:paraId="47039F14" w14:textId="77777777" w:rsidR="00C73A73" w:rsidRPr="00B85CB7" w:rsidRDefault="00C73A73" w:rsidP="005D2D54">
            <w:pPr>
              <w:spacing w:line="480" w:lineRule="auto"/>
              <w:jc w:val="both"/>
            </w:pPr>
            <w:r w:rsidRPr="00B85CB7">
              <w:t>Oxalates</w:t>
            </w:r>
          </w:p>
        </w:tc>
        <w:tc>
          <w:tcPr>
            <w:tcW w:w="3900" w:type="dxa"/>
            <w:tcBorders>
              <w:top w:val="single" w:sz="4" w:space="0" w:color="auto"/>
            </w:tcBorders>
            <w:shd w:val="clear" w:color="auto" w:fill="FFFFFF"/>
            <w:tcMar>
              <w:top w:w="80" w:type="dxa"/>
              <w:left w:w="120" w:type="dxa"/>
              <w:bottom w:w="80" w:type="dxa"/>
              <w:right w:w="120" w:type="dxa"/>
            </w:tcMar>
            <w:vAlign w:val="center"/>
          </w:tcPr>
          <w:p w14:paraId="70FA90A3" w14:textId="77777777" w:rsidR="00C73A73" w:rsidRPr="00B85CB7" w:rsidRDefault="00C73A73" w:rsidP="005D2D54">
            <w:pPr>
              <w:spacing w:line="480" w:lineRule="auto"/>
              <w:jc w:val="both"/>
            </w:pPr>
            <w:r w:rsidRPr="00B85CB7">
              <w:t>25.5 ± 0.3</w:t>
            </w:r>
          </w:p>
        </w:tc>
      </w:tr>
      <w:tr w:rsidR="00C73A73" w:rsidRPr="00B85CB7" w14:paraId="42C2502D" w14:textId="77777777" w:rsidTr="005D2D54">
        <w:trPr>
          <w:cantSplit/>
          <w:trHeight w:val="350"/>
          <w:jc w:val="center"/>
        </w:trPr>
        <w:tc>
          <w:tcPr>
            <w:tcW w:w="3025" w:type="dxa"/>
            <w:shd w:val="clear" w:color="auto" w:fill="FFFFFF"/>
            <w:tcMar>
              <w:top w:w="80" w:type="dxa"/>
              <w:left w:w="120" w:type="dxa"/>
              <w:bottom w:w="80" w:type="dxa"/>
              <w:right w:w="120" w:type="dxa"/>
            </w:tcMar>
            <w:vAlign w:val="center"/>
          </w:tcPr>
          <w:p w14:paraId="26E8C3E1" w14:textId="77777777" w:rsidR="00C73A73" w:rsidRPr="00B85CB7" w:rsidRDefault="00C73A73" w:rsidP="005D2D54">
            <w:pPr>
              <w:spacing w:line="480" w:lineRule="auto"/>
              <w:jc w:val="both"/>
            </w:pPr>
            <w:r w:rsidRPr="00B85CB7">
              <w:t>Phytates</w:t>
            </w:r>
          </w:p>
        </w:tc>
        <w:tc>
          <w:tcPr>
            <w:tcW w:w="3900" w:type="dxa"/>
            <w:shd w:val="clear" w:color="auto" w:fill="FFFFFF"/>
            <w:tcMar>
              <w:top w:w="80" w:type="dxa"/>
              <w:left w:w="120" w:type="dxa"/>
              <w:bottom w:w="80" w:type="dxa"/>
              <w:right w:w="120" w:type="dxa"/>
            </w:tcMar>
            <w:vAlign w:val="center"/>
          </w:tcPr>
          <w:p w14:paraId="4AAF50F9" w14:textId="77777777" w:rsidR="00C73A73" w:rsidRPr="00B85CB7" w:rsidRDefault="00C73A73" w:rsidP="005D2D54">
            <w:pPr>
              <w:spacing w:line="480" w:lineRule="auto"/>
              <w:jc w:val="both"/>
            </w:pPr>
            <w:r w:rsidRPr="00B85CB7">
              <w:t>15 ± 0.1</w:t>
            </w:r>
          </w:p>
        </w:tc>
      </w:tr>
      <w:tr w:rsidR="00C73A73" w:rsidRPr="00B85CB7" w14:paraId="41333A4B" w14:textId="77777777" w:rsidTr="005D2D54">
        <w:trPr>
          <w:cantSplit/>
          <w:trHeight w:val="350"/>
          <w:jc w:val="center"/>
        </w:trPr>
        <w:tc>
          <w:tcPr>
            <w:tcW w:w="3025" w:type="dxa"/>
            <w:tcBorders>
              <w:bottom w:val="single" w:sz="4" w:space="0" w:color="auto"/>
            </w:tcBorders>
            <w:shd w:val="clear" w:color="auto" w:fill="FFFFFF"/>
            <w:tcMar>
              <w:top w:w="80" w:type="dxa"/>
              <w:left w:w="120" w:type="dxa"/>
              <w:bottom w:w="80" w:type="dxa"/>
              <w:right w:w="120" w:type="dxa"/>
            </w:tcMar>
            <w:vAlign w:val="center"/>
          </w:tcPr>
          <w:p w14:paraId="338AA185" w14:textId="77777777" w:rsidR="00C73A73" w:rsidRPr="00B85CB7" w:rsidRDefault="00C73A73" w:rsidP="005D2D54">
            <w:pPr>
              <w:spacing w:line="480" w:lineRule="auto"/>
              <w:jc w:val="both"/>
            </w:pPr>
            <w:r w:rsidRPr="00B85CB7">
              <w:lastRenderedPageBreak/>
              <w:t>Tannins</w:t>
            </w:r>
          </w:p>
        </w:tc>
        <w:tc>
          <w:tcPr>
            <w:tcW w:w="3900" w:type="dxa"/>
            <w:tcBorders>
              <w:bottom w:val="single" w:sz="4" w:space="0" w:color="auto"/>
            </w:tcBorders>
            <w:shd w:val="clear" w:color="auto" w:fill="FFFFFF"/>
            <w:tcMar>
              <w:top w:w="80" w:type="dxa"/>
              <w:left w:w="120" w:type="dxa"/>
              <w:bottom w:w="80" w:type="dxa"/>
              <w:right w:w="120" w:type="dxa"/>
            </w:tcMar>
            <w:vAlign w:val="center"/>
          </w:tcPr>
          <w:p w14:paraId="6863369E" w14:textId="77777777" w:rsidR="00C73A73" w:rsidRPr="00B85CB7" w:rsidRDefault="00C73A73" w:rsidP="005D2D54">
            <w:pPr>
              <w:spacing w:line="480" w:lineRule="auto"/>
              <w:jc w:val="both"/>
            </w:pPr>
            <w:r w:rsidRPr="00B85CB7">
              <w:t>20 ± 0.2</w:t>
            </w:r>
          </w:p>
        </w:tc>
      </w:tr>
    </w:tbl>
    <w:p w14:paraId="6550227D" w14:textId="77777777" w:rsidR="00C73A73" w:rsidRPr="00B85CB7" w:rsidRDefault="00C73A73" w:rsidP="00C73A73">
      <w:pPr>
        <w:spacing w:line="480" w:lineRule="auto"/>
        <w:jc w:val="both"/>
      </w:pPr>
      <w:r w:rsidRPr="00B85CB7">
        <w:rPr>
          <w:i/>
          <w:iCs/>
        </w:rPr>
        <w:t>Values are presented as Mean ± Standard Deviation.</w:t>
      </w:r>
    </w:p>
    <w:p w14:paraId="4E480E0B" w14:textId="77777777" w:rsidR="00985B77" w:rsidRPr="00B85CB7" w:rsidRDefault="00985B77" w:rsidP="00985B77">
      <w:pPr>
        <w:pStyle w:val="Heading2"/>
        <w:spacing w:before="0" w:line="480" w:lineRule="auto"/>
        <w:jc w:val="both"/>
      </w:pPr>
      <w:r w:rsidRPr="00B85CB7">
        <w:t xml:space="preserve">Effect of the Ethanolic Extract of </w:t>
      </w:r>
      <w:r w:rsidRPr="00B85CB7">
        <w:rPr>
          <w:i/>
          <w:iCs/>
        </w:rPr>
        <w:t>Trichosanthes cucumerina</w:t>
      </w:r>
      <w:r w:rsidRPr="00B85CB7">
        <w:t xml:space="preserve"> on Hyperglycaemic Index</w:t>
      </w:r>
    </w:p>
    <w:p w14:paraId="3D4FA6C5" w14:textId="77777777" w:rsidR="00985B77" w:rsidRPr="00524AD2" w:rsidRDefault="00985B77" w:rsidP="00524AD2">
      <w:pPr>
        <w:spacing w:line="480" w:lineRule="auto"/>
        <w:ind w:firstLine="720"/>
        <w:jc w:val="both"/>
      </w:pPr>
      <w:r w:rsidRPr="00B85CB7">
        <w:t xml:space="preserve">The effects of TCE on hyperglycaemic index parameters in STZ-induced diabetic albino rats are presented in Table </w:t>
      </w:r>
      <w:r w:rsidR="0052111D">
        <w:t>8</w:t>
      </w:r>
      <w:r w:rsidRPr="00B85CB7">
        <w:t xml:space="preserve">. The negative control group exhibited severe hyperglycaemia and insulin resistance, as evidenced by markedly elevated FBG (285.72 ± 6.45ᶜ mg/dL) and HbA1c (10.42 ± 0.35ᶜ %), drastically reduced serum insulin (6.21 ± 0.82ᵃ µIU/mL), and significantly elevated HOMA-IR (8.78 ± 0.51ᶜ), compared to the normal control group (FBG: 92.45 ± 3.20ᵃ mg/dL; HbA1c: 4.85 ± 0.21ᵃ %; insulin: 15.62 ± 1.15ᵈ µIU/mL; HOMA-IR: 3.56 ± 0.28ᵃ). Treatment with metformin (positive control) and both doses of TCE produced significant, dose-dependent improvements in all glycaemic parameters. The high-dose TCE group achieved </w:t>
      </w:r>
      <w:r>
        <w:rPr>
          <w:highlight w:val="yellow"/>
        </w:rPr>
        <w:t>outcomes nearly comparable to those of metformin</w:t>
      </w:r>
      <w:r>
        <w:t>: FBG (130.82 ± 4.55ᵃᵇ mg/dL), HbA1c (6.35 ± 0.26ᵇ %), serum insulin (12.62 ± 1.10ᶜ µIU/mL), and HOMA-IR (4.32 ± 0.30ᵇ). The low-dose group exhibited significant but intermediate amelioration (FBG: 175.30 ± 5.18ᵇ; HbA1c: 7.85 ± 0.31ᵇ; insulin: 9.75 ± 0.94ᵇ; HOMA-IR: 5.92 ± 0.42ᵇ), confirming a dose-response relationship (p &lt; 0.05).</w:t>
      </w:r>
    </w:p>
    <w:p w14:paraId="33BDA730" w14:textId="77777777" w:rsidR="00985B77" w:rsidRPr="00B85CB7" w:rsidRDefault="0052111D" w:rsidP="00985B77">
      <w:pPr>
        <w:spacing w:line="480" w:lineRule="auto"/>
        <w:jc w:val="center"/>
      </w:pPr>
      <w:r>
        <w:rPr>
          <w:b/>
          <w:bCs/>
        </w:rPr>
        <w:t>Table 8</w:t>
      </w:r>
      <w:r w:rsidR="00985B77" w:rsidRPr="00B85CB7">
        <w:rPr>
          <w:b/>
          <w:bCs/>
        </w:rPr>
        <w:t xml:space="preserve">. Effect of </w:t>
      </w:r>
      <w:r w:rsidR="00985B77" w:rsidRPr="00B85CB7">
        <w:rPr>
          <w:b/>
          <w:bCs/>
          <w:i/>
          <w:iCs/>
        </w:rPr>
        <w:t>T. cucumerina</w:t>
      </w:r>
      <w:r w:rsidR="00985B77" w:rsidRPr="00B85CB7">
        <w:rPr>
          <w:b/>
          <w:bCs/>
        </w:rPr>
        <w:t xml:space="preserve"> ethanolic extract on the hyperglycaemic index of STZ-induced diabetic albino rats</w:t>
      </w:r>
    </w:p>
    <w:tbl>
      <w:tblPr>
        <w:tblW w:w="9026" w:type="dxa"/>
        <w:tblCellMar>
          <w:left w:w="10" w:type="dxa"/>
          <w:right w:w="10" w:type="dxa"/>
        </w:tblCellMar>
        <w:tblLook w:val="0000" w:firstRow="0" w:lastRow="0" w:firstColumn="0" w:lastColumn="0" w:noHBand="0" w:noVBand="0"/>
      </w:tblPr>
      <w:tblGrid>
        <w:gridCol w:w="1900"/>
        <w:gridCol w:w="1781"/>
        <w:gridCol w:w="1781"/>
        <w:gridCol w:w="1782"/>
        <w:gridCol w:w="1782"/>
      </w:tblGrid>
      <w:tr w:rsidR="00985B77" w:rsidRPr="00B85CB7" w14:paraId="658B2A94" w14:textId="77777777" w:rsidTr="005D2D54">
        <w:trPr>
          <w:cantSplit/>
          <w:tblHeader/>
        </w:trPr>
        <w:tc>
          <w:tcPr>
            <w:tcW w:w="19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DC3AB31" w14:textId="77777777" w:rsidR="00985B77" w:rsidRPr="00B85CB7" w:rsidRDefault="00985B77" w:rsidP="005D2D54">
            <w:pPr>
              <w:spacing w:line="480" w:lineRule="auto"/>
              <w:jc w:val="both"/>
            </w:pPr>
            <w:r w:rsidRPr="00B85CB7">
              <w:rPr>
                <w:b/>
                <w:bCs/>
              </w:rPr>
              <w:t>Group</w:t>
            </w:r>
          </w:p>
        </w:tc>
        <w:tc>
          <w:tcPr>
            <w:tcW w:w="1781"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268B269B" w14:textId="77777777" w:rsidR="00985B77" w:rsidRPr="00B85CB7" w:rsidRDefault="00985B77" w:rsidP="005D2D54">
            <w:pPr>
              <w:spacing w:line="480" w:lineRule="auto"/>
              <w:jc w:val="both"/>
            </w:pPr>
            <w:r w:rsidRPr="00B85CB7">
              <w:rPr>
                <w:b/>
                <w:bCs/>
              </w:rPr>
              <w:t>FBG (mg/dL)</w:t>
            </w:r>
          </w:p>
        </w:tc>
        <w:tc>
          <w:tcPr>
            <w:tcW w:w="1781"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354DDCD" w14:textId="77777777" w:rsidR="00985B77" w:rsidRPr="00B85CB7" w:rsidRDefault="00985B77" w:rsidP="005D2D54">
            <w:pPr>
              <w:spacing w:line="480" w:lineRule="auto"/>
              <w:jc w:val="both"/>
            </w:pPr>
            <w:r w:rsidRPr="00B85CB7">
              <w:rPr>
                <w:b/>
                <w:bCs/>
              </w:rPr>
              <w:t>HbA1c (%)</w:t>
            </w:r>
          </w:p>
        </w:tc>
        <w:tc>
          <w:tcPr>
            <w:tcW w:w="1782"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29CDE4FB" w14:textId="77777777" w:rsidR="00985B77" w:rsidRPr="00B85CB7" w:rsidRDefault="00985B77" w:rsidP="005D2D54">
            <w:pPr>
              <w:spacing w:line="480" w:lineRule="auto"/>
              <w:jc w:val="both"/>
            </w:pPr>
            <w:r w:rsidRPr="00B85CB7">
              <w:rPr>
                <w:b/>
                <w:bCs/>
              </w:rPr>
              <w:t>Serum Insulin (µIU/mL)</w:t>
            </w:r>
          </w:p>
        </w:tc>
        <w:tc>
          <w:tcPr>
            <w:tcW w:w="1782"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AD62D0D" w14:textId="77777777" w:rsidR="00985B77" w:rsidRPr="00B85CB7" w:rsidRDefault="00985B77" w:rsidP="005D2D54">
            <w:pPr>
              <w:spacing w:line="480" w:lineRule="auto"/>
              <w:jc w:val="both"/>
            </w:pPr>
            <w:r w:rsidRPr="00B85CB7">
              <w:rPr>
                <w:b/>
                <w:bCs/>
              </w:rPr>
              <w:t>HOMA-IR</w:t>
            </w:r>
          </w:p>
        </w:tc>
      </w:tr>
      <w:tr w:rsidR="00985B77" w:rsidRPr="00B85CB7" w14:paraId="0D73678D" w14:textId="77777777" w:rsidTr="005D2D54">
        <w:trPr>
          <w:cantSplit/>
        </w:trPr>
        <w:tc>
          <w:tcPr>
            <w:tcW w:w="1900" w:type="dxa"/>
            <w:tcBorders>
              <w:top w:val="single" w:sz="4" w:space="0" w:color="auto"/>
            </w:tcBorders>
            <w:shd w:val="clear" w:color="auto" w:fill="FFFFFF"/>
            <w:tcMar>
              <w:top w:w="80" w:type="dxa"/>
              <w:left w:w="120" w:type="dxa"/>
              <w:bottom w:w="80" w:type="dxa"/>
              <w:right w:w="120" w:type="dxa"/>
            </w:tcMar>
            <w:vAlign w:val="center"/>
          </w:tcPr>
          <w:p w14:paraId="26ED6E52" w14:textId="77777777" w:rsidR="00985B77" w:rsidRPr="00B85CB7" w:rsidRDefault="00985B77" w:rsidP="005D2D54">
            <w:pPr>
              <w:spacing w:line="480" w:lineRule="auto"/>
              <w:jc w:val="both"/>
            </w:pPr>
            <w:r w:rsidRPr="00B85CB7">
              <w:t>Normal Control</w:t>
            </w:r>
          </w:p>
        </w:tc>
        <w:tc>
          <w:tcPr>
            <w:tcW w:w="1781" w:type="dxa"/>
            <w:tcBorders>
              <w:top w:val="single" w:sz="4" w:space="0" w:color="auto"/>
            </w:tcBorders>
            <w:shd w:val="clear" w:color="auto" w:fill="FFFFFF"/>
            <w:tcMar>
              <w:top w:w="80" w:type="dxa"/>
              <w:left w:w="120" w:type="dxa"/>
              <w:bottom w:w="80" w:type="dxa"/>
              <w:right w:w="120" w:type="dxa"/>
            </w:tcMar>
            <w:vAlign w:val="center"/>
          </w:tcPr>
          <w:p w14:paraId="7DAE119B" w14:textId="77777777" w:rsidR="00985B77" w:rsidRPr="00B85CB7" w:rsidRDefault="00985B77" w:rsidP="005D2D54">
            <w:pPr>
              <w:spacing w:line="480" w:lineRule="auto"/>
              <w:jc w:val="both"/>
            </w:pPr>
            <w:r w:rsidRPr="00B85CB7">
              <w:t>92.45 ± 3.20ᵃ</w:t>
            </w:r>
          </w:p>
        </w:tc>
        <w:tc>
          <w:tcPr>
            <w:tcW w:w="1781" w:type="dxa"/>
            <w:tcBorders>
              <w:top w:val="single" w:sz="4" w:space="0" w:color="auto"/>
            </w:tcBorders>
            <w:shd w:val="clear" w:color="auto" w:fill="FFFFFF"/>
            <w:tcMar>
              <w:top w:w="80" w:type="dxa"/>
              <w:left w:w="120" w:type="dxa"/>
              <w:bottom w:w="80" w:type="dxa"/>
              <w:right w:w="120" w:type="dxa"/>
            </w:tcMar>
            <w:vAlign w:val="center"/>
          </w:tcPr>
          <w:p w14:paraId="19E67500" w14:textId="77777777" w:rsidR="00985B77" w:rsidRPr="00B85CB7" w:rsidRDefault="00985B77" w:rsidP="005D2D54">
            <w:pPr>
              <w:spacing w:line="480" w:lineRule="auto"/>
              <w:jc w:val="both"/>
            </w:pPr>
            <w:r w:rsidRPr="00B85CB7">
              <w:t>4.85 ± 0.21ᵃ</w:t>
            </w:r>
          </w:p>
        </w:tc>
        <w:tc>
          <w:tcPr>
            <w:tcW w:w="1782" w:type="dxa"/>
            <w:tcBorders>
              <w:top w:val="single" w:sz="4" w:space="0" w:color="auto"/>
            </w:tcBorders>
            <w:shd w:val="clear" w:color="auto" w:fill="FFFFFF"/>
            <w:tcMar>
              <w:top w:w="80" w:type="dxa"/>
              <w:left w:w="120" w:type="dxa"/>
              <w:bottom w:w="80" w:type="dxa"/>
              <w:right w:w="120" w:type="dxa"/>
            </w:tcMar>
            <w:vAlign w:val="center"/>
          </w:tcPr>
          <w:p w14:paraId="3923470F" w14:textId="77777777" w:rsidR="00985B77" w:rsidRPr="00B85CB7" w:rsidRDefault="00985B77" w:rsidP="005D2D54">
            <w:pPr>
              <w:spacing w:line="480" w:lineRule="auto"/>
              <w:jc w:val="both"/>
            </w:pPr>
            <w:r w:rsidRPr="00B85CB7">
              <w:t>15.62 ± 1.15ᵈ</w:t>
            </w:r>
          </w:p>
        </w:tc>
        <w:tc>
          <w:tcPr>
            <w:tcW w:w="1782" w:type="dxa"/>
            <w:tcBorders>
              <w:top w:val="single" w:sz="4" w:space="0" w:color="auto"/>
            </w:tcBorders>
            <w:shd w:val="clear" w:color="auto" w:fill="FFFFFF"/>
            <w:tcMar>
              <w:top w:w="80" w:type="dxa"/>
              <w:left w:w="120" w:type="dxa"/>
              <w:bottom w:w="80" w:type="dxa"/>
              <w:right w:w="120" w:type="dxa"/>
            </w:tcMar>
            <w:vAlign w:val="center"/>
          </w:tcPr>
          <w:p w14:paraId="1969DDEC" w14:textId="77777777" w:rsidR="00985B77" w:rsidRPr="00B85CB7" w:rsidRDefault="00985B77" w:rsidP="005D2D54">
            <w:pPr>
              <w:spacing w:line="480" w:lineRule="auto"/>
              <w:jc w:val="both"/>
            </w:pPr>
            <w:r w:rsidRPr="00B85CB7">
              <w:t>3.56 ± 0.28ᵃ</w:t>
            </w:r>
          </w:p>
        </w:tc>
      </w:tr>
      <w:tr w:rsidR="00985B77" w:rsidRPr="00B85CB7" w14:paraId="2FDE5304" w14:textId="77777777" w:rsidTr="005D2D54">
        <w:trPr>
          <w:cantSplit/>
        </w:trPr>
        <w:tc>
          <w:tcPr>
            <w:tcW w:w="1900" w:type="dxa"/>
            <w:shd w:val="clear" w:color="auto" w:fill="FFFFFF"/>
            <w:tcMar>
              <w:top w:w="80" w:type="dxa"/>
              <w:left w:w="120" w:type="dxa"/>
              <w:bottom w:w="80" w:type="dxa"/>
              <w:right w:w="120" w:type="dxa"/>
            </w:tcMar>
            <w:vAlign w:val="center"/>
          </w:tcPr>
          <w:p w14:paraId="1F584445" w14:textId="77777777" w:rsidR="00985B77" w:rsidRPr="00B85CB7" w:rsidRDefault="00985B77" w:rsidP="005D2D54">
            <w:pPr>
              <w:spacing w:line="480" w:lineRule="auto"/>
              <w:jc w:val="both"/>
            </w:pPr>
            <w:r w:rsidRPr="00B85CB7">
              <w:t>Negative Control</w:t>
            </w:r>
          </w:p>
        </w:tc>
        <w:tc>
          <w:tcPr>
            <w:tcW w:w="1781" w:type="dxa"/>
            <w:shd w:val="clear" w:color="auto" w:fill="FFFFFF"/>
            <w:tcMar>
              <w:top w:w="80" w:type="dxa"/>
              <w:left w:w="120" w:type="dxa"/>
              <w:bottom w:w="80" w:type="dxa"/>
              <w:right w:w="120" w:type="dxa"/>
            </w:tcMar>
            <w:vAlign w:val="center"/>
          </w:tcPr>
          <w:p w14:paraId="183FDFD0" w14:textId="77777777" w:rsidR="00985B77" w:rsidRPr="00B85CB7" w:rsidRDefault="00985B77" w:rsidP="005D2D54">
            <w:pPr>
              <w:spacing w:line="480" w:lineRule="auto"/>
              <w:jc w:val="both"/>
            </w:pPr>
            <w:r w:rsidRPr="00B85CB7">
              <w:t>285.72 ± 6.45ᶜ</w:t>
            </w:r>
          </w:p>
        </w:tc>
        <w:tc>
          <w:tcPr>
            <w:tcW w:w="1781" w:type="dxa"/>
            <w:shd w:val="clear" w:color="auto" w:fill="FFFFFF"/>
            <w:tcMar>
              <w:top w:w="80" w:type="dxa"/>
              <w:left w:w="120" w:type="dxa"/>
              <w:bottom w:w="80" w:type="dxa"/>
              <w:right w:w="120" w:type="dxa"/>
            </w:tcMar>
            <w:vAlign w:val="center"/>
          </w:tcPr>
          <w:p w14:paraId="6579F2BF" w14:textId="77777777" w:rsidR="00985B77" w:rsidRPr="00B85CB7" w:rsidRDefault="00985B77" w:rsidP="005D2D54">
            <w:pPr>
              <w:spacing w:line="480" w:lineRule="auto"/>
              <w:jc w:val="both"/>
            </w:pPr>
            <w:r w:rsidRPr="00B85CB7">
              <w:t>10.42 ± 0.35ᶜ</w:t>
            </w:r>
          </w:p>
        </w:tc>
        <w:tc>
          <w:tcPr>
            <w:tcW w:w="1782" w:type="dxa"/>
            <w:shd w:val="clear" w:color="auto" w:fill="FFFFFF"/>
            <w:tcMar>
              <w:top w:w="80" w:type="dxa"/>
              <w:left w:w="120" w:type="dxa"/>
              <w:bottom w:w="80" w:type="dxa"/>
              <w:right w:w="120" w:type="dxa"/>
            </w:tcMar>
            <w:vAlign w:val="center"/>
          </w:tcPr>
          <w:p w14:paraId="12626E78" w14:textId="77777777" w:rsidR="00985B77" w:rsidRPr="00B85CB7" w:rsidRDefault="00985B77" w:rsidP="005D2D54">
            <w:pPr>
              <w:spacing w:line="480" w:lineRule="auto"/>
              <w:jc w:val="both"/>
            </w:pPr>
            <w:r w:rsidRPr="00B85CB7">
              <w:t>6.21 ± 0.82ᵃ</w:t>
            </w:r>
          </w:p>
        </w:tc>
        <w:tc>
          <w:tcPr>
            <w:tcW w:w="1782" w:type="dxa"/>
            <w:shd w:val="clear" w:color="auto" w:fill="FFFFFF"/>
            <w:tcMar>
              <w:top w:w="80" w:type="dxa"/>
              <w:left w:w="120" w:type="dxa"/>
              <w:bottom w:w="80" w:type="dxa"/>
              <w:right w:w="120" w:type="dxa"/>
            </w:tcMar>
            <w:vAlign w:val="center"/>
          </w:tcPr>
          <w:p w14:paraId="6534A657" w14:textId="77777777" w:rsidR="00985B77" w:rsidRPr="00B85CB7" w:rsidRDefault="00985B77" w:rsidP="005D2D54">
            <w:pPr>
              <w:spacing w:line="480" w:lineRule="auto"/>
              <w:jc w:val="both"/>
            </w:pPr>
            <w:r w:rsidRPr="00B85CB7">
              <w:t>8.78 ± 0.51ᶜ</w:t>
            </w:r>
          </w:p>
        </w:tc>
      </w:tr>
      <w:tr w:rsidR="00985B77" w:rsidRPr="00B85CB7" w14:paraId="508911C7" w14:textId="77777777" w:rsidTr="005D2D54">
        <w:trPr>
          <w:cantSplit/>
        </w:trPr>
        <w:tc>
          <w:tcPr>
            <w:tcW w:w="1900" w:type="dxa"/>
            <w:shd w:val="clear" w:color="auto" w:fill="FFFFFF"/>
            <w:tcMar>
              <w:top w:w="80" w:type="dxa"/>
              <w:left w:w="120" w:type="dxa"/>
              <w:bottom w:w="80" w:type="dxa"/>
              <w:right w:w="120" w:type="dxa"/>
            </w:tcMar>
            <w:vAlign w:val="center"/>
          </w:tcPr>
          <w:p w14:paraId="7F237A25" w14:textId="77777777" w:rsidR="00985B77" w:rsidRPr="00B85CB7" w:rsidRDefault="00985B77" w:rsidP="005D2D54">
            <w:pPr>
              <w:spacing w:line="480" w:lineRule="auto"/>
              <w:jc w:val="both"/>
            </w:pPr>
            <w:r w:rsidRPr="00B85CB7">
              <w:t>Positive Control (Metformin)</w:t>
            </w:r>
          </w:p>
        </w:tc>
        <w:tc>
          <w:tcPr>
            <w:tcW w:w="1781" w:type="dxa"/>
            <w:shd w:val="clear" w:color="auto" w:fill="FFFFFF"/>
            <w:tcMar>
              <w:top w:w="80" w:type="dxa"/>
              <w:left w:w="120" w:type="dxa"/>
              <w:bottom w:w="80" w:type="dxa"/>
              <w:right w:w="120" w:type="dxa"/>
            </w:tcMar>
            <w:vAlign w:val="center"/>
          </w:tcPr>
          <w:p w14:paraId="0F11D867" w14:textId="77777777" w:rsidR="00985B77" w:rsidRPr="00B85CB7" w:rsidRDefault="00985B77" w:rsidP="005D2D54">
            <w:pPr>
              <w:spacing w:line="480" w:lineRule="auto"/>
              <w:jc w:val="both"/>
            </w:pPr>
            <w:r w:rsidRPr="00B85CB7">
              <w:t>118.64 ± 4.02ᵃᵇ</w:t>
            </w:r>
          </w:p>
        </w:tc>
        <w:tc>
          <w:tcPr>
            <w:tcW w:w="1781" w:type="dxa"/>
            <w:shd w:val="clear" w:color="auto" w:fill="FFFFFF"/>
            <w:tcMar>
              <w:top w:w="80" w:type="dxa"/>
              <w:left w:w="120" w:type="dxa"/>
              <w:bottom w:w="80" w:type="dxa"/>
              <w:right w:w="120" w:type="dxa"/>
            </w:tcMar>
            <w:vAlign w:val="center"/>
          </w:tcPr>
          <w:p w14:paraId="3AA79DBE" w14:textId="77777777" w:rsidR="00985B77" w:rsidRPr="00B85CB7" w:rsidRDefault="00985B77" w:rsidP="005D2D54">
            <w:pPr>
              <w:spacing w:line="480" w:lineRule="auto"/>
              <w:jc w:val="both"/>
            </w:pPr>
            <w:r w:rsidRPr="00B85CB7">
              <w:t>5.92 ± 0.28ᵇ</w:t>
            </w:r>
          </w:p>
        </w:tc>
        <w:tc>
          <w:tcPr>
            <w:tcW w:w="1782" w:type="dxa"/>
            <w:shd w:val="clear" w:color="auto" w:fill="FFFFFF"/>
            <w:tcMar>
              <w:top w:w="80" w:type="dxa"/>
              <w:left w:w="120" w:type="dxa"/>
              <w:bottom w:w="80" w:type="dxa"/>
              <w:right w:w="120" w:type="dxa"/>
            </w:tcMar>
            <w:vAlign w:val="center"/>
          </w:tcPr>
          <w:p w14:paraId="4B5B4FF3" w14:textId="77777777" w:rsidR="00985B77" w:rsidRPr="00B85CB7" w:rsidRDefault="00985B77" w:rsidP="005D2D54">
            <w:pPr>
              <w:spacing w:line="480" w:lineRule="auto"/>
              <w:jc w:val="both"/>
            </w:pPr>
            <w:r w:rsidRPr="00B85CB7">
              <w:t>13.84 ± 1.02ᶜᵈ</w:t>
            </w:r>
          </w:p>
        </w:tc>
        <w:tc>
          <w:tcPr>
            <w:tcW w:w="1782" w:type="dxa"/>
            <w:shd w:val="clear" w:color="auto" w:fill="FFFFFF"/>
            <w:tcMar>
              <w:top w:w="80" w:type="dxa"/>
              <w:left w:w="120" w:type="dxa"/>
              <w:bottom w:w="80" w:type="dxa"/>
              <w:right w:w="120" w:type="dxa"/>
            </w:tcMar>
            <w:vAlign w:val="center"/>
          </w:tcPr>
          <w:p w14:paraId="0916F386" w14:textId="77777777" w:rsidR="00985B77" w:rsidRPr="00B85CB7" w:rsidRDefault="00985B77" w:rsidP="005D2D54">
            <w:pPr>
              <w:spacing w:line="480" w:lineRule="auto"/>
              <w:jc w:val="both"/>
            </w:pPr>
            <w:r w:rsidRPr="00B85CB7">
              <w:t>4.05 ± 0.34ᵇ</w:t>
            </w:r>
          </w:p>
        </w:tc>
      </w:tr>
      <w:tr w:rsidR="00985B77" w:rsidRPr="00B85CB7" w14:paraId="676AB272" w14:textId="77777777" w:rsidTr="005D2D54">
        <w:trPr>
          <w:cantSplit/>
        </w:trPr>
        <w:tc>
          <w:tcPr>
            <w:tcW w:w="1900" w:type="dxa"/>
            <w:shd w:val="clear" w:color="auto" w:fill="FFFFFF"/>
            <w:tcMar>
              <w:top w:w="80" w:type="dxa"/>
              <w:left w:w="120" w:type="dxa"/>
              <w:bottom w:w="80" w:type="dxa"/>
              <w:right w:w="120" w:type="dxa"/>
            </w:tcMar>
            <w:vAlign w:val="center"/>
          </w:tcPr>
          <w:p w14:paraId="357BDEAD" w14:textId="77777777" w:rsidR="00985B77" w:rsidRPr="00B85CB7" w:rsidRDefault="00985B77" w:rsidP="005D2D54">
            <w:pPr>
              <w:spacing w:line="480" w:lineRule="auto"/>
              <w:jc w:val="both"/>
            </w:pPr>
            <w:r w:rsidRPr="00B85CB7">
              <w:t>TC Low Dose (200 mg/kg)</w:t>
            </w:r>
          </w:p>
        </w:tc>
        <w:tc>
          <w:tcPr>
            <w:tcW w:w="1781" w:type="dxa"/>
            <w:shd w:val="clear" w:color="auto" w:fill="FFFFFF"/>
            <w:tcMar>
              <w:top w:w="80" w:type="dxa"/>
              <w:left w:w="120" w:type="dxa"/>
              <w:bottom w:w="80" w:type="dxa"/>
              <w:right w:w="120" w:type="dxa"/>
            </w:tcMar>
            <w:vAlign w:val="center"/>
          </w:tcPr>
          <w:p w14:paraId="6C1A7573" w14:textId="77777777" w:rsidR="00985B77" w:rsidRPr="00B85CB7" w:rsidRDefault="00985B77" w:rsidP="005D2D54">
            <w:pPr>
              <w:spacing w:line="480" w:lineRule="auto"/>
              <w:jc w:val="both"/>
            </w:pPr>
            <w:r w:rsidRPr="00B85CB7">
              <w:t>175.30 ± 5.18ᵇ</w:t>
            </w:r>
          </w:p>
        </w:tc>
        <w:tc>
          <w:tcPr>
            <w:tcW w:w="1781" w:type="dxa"/>
            <w:shd w:val="clear" w:color="auto" w:fill="FFFFFF"/>
            <w:tcMar>
              <w:top w:w="80" w:type="dxa"/>
              <w:left w:w="120" w:type="dxa"/>
              <w:bottom w:w="80" w:type="dxa"/>
              <w:right w:w="120" w:type="dxa"/>
            </w:tcMar>
            <w:vAlign w:val="center"/>
          </w:tcPr>
          <w:p w14:paraId="4E18BE7A" w14:textId="77777777" w:rsidR="00985B77" w:rsidRPr="00B85CB7" w:rsidRDefault="00985B77" w:rsidP="005D2D54">
            <w:pPr>
              <w:spacing w:line="480" w:lineRule="auto"/>
              <w:jc w:val="both"/>
            </w:pPr>
            <w:r w:rsidRPr="00B85CB7">
              <w:t>7.85 ± 0.31ᵇ</w:t>
            </w:r>
          </w:p>
        </w:tc>
        <w:tc>
          <w:tcPr>
            <w:tcW w:w="1782" w:type="dxa"/>
            <w:shd w:val="clear" w:color="auto" w:fill="FFFFFF"/>
            <w:tcMar>
              <w:top w:w="80" w:type="dxa"/>
              <w:left w:w="120" w:type="dxa"/>
              <w:bottom w:w="80" w:type="dxa"/>
              <w:right w:w="120" w:type="dxa"/>
            </w:tcMar>
            <w:vAlign w:val="center"/>
          </w:tcPr>
          <w:p w14:paraId="26503859" w14:textId="77777777" w:rsidR="00985B77" w:rsidRPr="00B85CB7" w:rsidRDefault="00985B77" w:rsidP="005D2D54">
            <w:pPr>
              <w:spacing w:line="480" w:lineRule="auto"/>
              <w:jc w:val="both"/>
            </w:pPr>
            <w:r w:rsidRPr="00B85CB7">
              <w:t>9.75 ± 0.94ᵇ</w:t>
            </w:r>
          </w:p>
        </w:tc>
        <w:tc>
          <w:tcPr>
            <w:tcW w:w="1782" w:type="dxa"/>
            <w:shd w:val="clear" w:color="auto" w:fill="FFFFFF"/>
            <w:tcMar>
              <w:top w:w="80" w:type="dxa"/>
              <w:left w:w="120" w:type="dxa"/>
              <w:bottom w:w="80" w:type="dxa"/>
              <w:right w:w="120" w:type="dxa"/>
            </w:tcMar>
            <w:vAlign w:val="center"/>
          </w:tcPr>
          <w:p w14:paraId="6E8E62A1" w14:textId="77777777" w:rsidR="00985B77" w:rsidRPr="00B85CB7" w:rsidRDefault="00985B77" w:rsidP="005D2D54">
            <w:pPr>
              <w:spacing w:line="480" w:lineRule="auto"/>
              <w:jc w:val="both"/>
            </w:pPr>
            <w:r w:rsidRPr="00B85CB7">
              <w:t>5.92 ± 0.42ᵇ</w:t>
            </w:r>
          </w:p>
        </w:tc>
      </w:tr>
      <w:tr w:rsidR="00985B77" w:rsidRPr="00B85CB7" w14:paraId="2AD3A1D4" w14:textId="77777777" w:rsidTr="005D2D54">
        <w:trPr>
          <w:cantSplit/>
        </w:trPr>
        <w:tc>
          <w:tcPr>
            <w:tcW w:w="1900" w:type="dxa"/>
            <w:tcBorders>
              <w:bottom w:val="single" w:sz="4" w:space="0" w:color="auto"/>
            </w:tcBorders>
            <w:shd w:val="clear" w:color="auto" w:fill="FFFFFF"/>
            <w:tcMar>
              <w:top w:w="80" w:type="dxa"/>
              <w:left w:w="120" w:type="dxa"/>
              <w:bottom w:w="80" w:type="dxa"/>
              <w:right w:w="120" w:type="dxa"/>
            </w:tcMar>
            <w:vAlign w:val="center"/>
          </w:tcPr>
          <w:p w14:paraId="034CB847" w14:textId="77777777" w:rsidR="00985B77" w:rsidRPr="00B85CB7" w:rsidRDefault="00985B77" w:rsidP="005D2D54">
            <w:pPr>
              <w:spacing w:line="480" w:lineRule="auto"/>
              <w:jc w:val="both"/>
            </w:pPr>
            <w:r w:rsidRPr="00B85CB7">
              <w:t>TC High Dose (400 mg/kg)</w:t>
            </w:r>
          </w:p>
        </w:tc>
        <w:tc>
          <w:tcPr>
            <w:tcW w:w="1781" w:type="dxa"/>
            <w:tcBorders>
              <w:bottom w:val="single" w:sz="4" w:space="0" w:color="auto"/>
            </w:tcBorders>
            <w:shd w:val="clear" w:color="auto" w:fill="FFFFFF"/>
            <w:tcMar>
              <w:top w:w="80" w:type="dxa"/>
              <w:left w:w="120" w:type="dxa"/>
              <w:bottom w:w="80" w:type="dxa"/>
              <w:right w:w="120" w:type="dxa"/>
            </w:tcMar>
            <w:vAlign w:val="center"/>
          </w:tcPr>
          <w:p w14:paraId="31462EBF" w14:textId="77777777" w:rsidR="00985B77" w:rsidRPr="00B85CB7" w:rsidRDefault="00985B77" w:rsidP="005D2D54">
            <w:pPr>
              <w:spacing w:line="480" w:lineRule="auto"/>
              <w:jc w:val="both"/>
            </w:pPr>
            <w:r w:rsidRPr="00B85CB7">
              <w:t>130.82 ± 4.55ᵃᵇ</w:t>
            </w:r>
          </w:p>
        </w:tc>
        <w:tc>
          <w:tcPr>
            <w:tcW w:w="1781" w:type="dxa"/>
            <w:tcBorders>
              <w:bottom w:val="single" w:sz="4" w:space="0" w:color="auto"/>
            </w:tcBorders>
            <w:shd w:val="clear" w:color="auto" w:fill="FFFFFF"/>
            <w:tcMar>
              <w:top w:w="80" w:type="dxa"/>
              <w:left w:w="120" w:type="dxa"/>
              <w:bottom w:w="80" w:type="dxa"/>
              <w:right w:w="120" w:type="dxa"/>
            </w:tcMar>
            <w:vAlign w:val="center"/>
          </w:tcPr>
          <w:p w14:paraId="6C7C1CA5" w14:textId="77777777" w:rsidR="00985B77" w:rsidRPr="00B85CB7" w:rsidRDefault="00985B77" w:rsidP="005D2D54">
            <w:pPr>
              <w:spacing w:line="480" w:lineRule="auto"/>
              <w:jc w:val="both"/>
            </w:pPr>
            <w:r w:rsidRPr="00B85CB7">
              <w:t>6.35 ± 0.26ᵇ</w:t>
            </w:r>
          </w:p>
        </w:tc>
        <w:tc>
          <w:tcPr>
            <w:tcW w:w="1782" w:type="dxa"/>
            <w:tcBorders>
              <w:bottom w:val="single" w:sz="4" w:space="0" w:color="auto"/>
            </w:tcBorders>
            <w:shd w:val="clear" w:color="auto" w:fill="FFFFFF"/>
            <w:tcMar>
              <w:top w:w="80" w:type="dxa"/>
              <w:left w:w="120" w:type="dxa"/>
              <w:bottom w:w="80" w:type="dxa"/>
              <w:right w:w="120" w:type="dxa"/>
            </w:tcMar>
            <w:vAlign w:val="center"/>
          </w:tcPr>
          <w:p w14:paraId="7063CCD1" w14:textId="77777777" w:rsidR="00985B77" w:rsidRPr="00B85CB7" w:rsidRDefault="00985B77" w:rsidP="005D2D54">
            <w:pPr>
              <w:spacing w:line="480" w:lineRule="auto"/>
              <w:jc w:val="both"/>
            </w:pPr>
            <w:r w:rsidRPr="00B85CB7">
              <w:t>12.62 ± 1.10ᶜ</w:t>
            </w:r>
          </w:p>
        </w:tc>
        <w:tc>
          <w:tcPr>
            <w:tcW w:w="1782" w:type="dxa"/>
            <w:tcBorders>
              <w:bottom w:val="single" w:sz="4" w:space="0" w:color="auto"/>
            </w:tcBorders>
            <w:shd w:val="clear" w:color="auto" w:fill="FFFFFF"/>
            <w:tcMar>
              <w:top w:w="80" w:type="dxa"/>
              <w:left w:w="120" w:type="dxa"/>
              <w:bottom w:w="80" w:type="dxa"/>
              <w:right w:w="120" w:type="dxa"/>
            </w:tcMar>
            <w:vAlign w:val="center"/>
          </w:tcPr>
          <w:p w14:paraId="3FB556E7" w14:textId="77777777" w:rsidR="00985B77" w:rsidRPr="00B85CB7" w:rsidRDefault="00985B77" w:rsidP="005D2D54">
            <w:pPr>
              <w:spacing w:line="480" w:lineRule="auto"/>
              <w:jc w:val="both"/>
            </w:pPr>
            <w:r w:rsidRPr="00B85CB7">
              <w:t>4.32 ± 0.30ᵇ</w:t>
            </w:r>
          </w:p>
        </w:tc>
      </w:tr>
    </w:tbl>
    <w:p w14:paraId="13F4078D" w14:textId="77777777" w:rsidR="00C96916" w:rsidRDefault="00985B77" w:rsidP="0052111D">
      <w:pPr>
        <w:spacing w:line="480" w:lineRule="auto"/>
        <w:jc w:val="both"/>
        <w:rPr>
          <w:b/>
        </w:rPr>
      </w:pPr>
      <w:r w:rsidRPr="00B85CB7">
        <w:rPr>
          <w:i/>
          <w:iCs/>
        </w:rPr>
        <w:lastRenderedPageBreak/>
        <w:t>Values with different superscripts differ significantly (p &lt; 0.05, one-way ANOVA with Dunnett's post-hoc test). FBG = Fasting Blood Glucose; HbA1c = Glycated Haemoglobin; HOMA-IR = Homeostatic Model Assessment of Insulin Resistance.</w:t>
      </w:r>
      <w:r w:rsidR="0052111D">
        <w:rPr>
          <w:i/>
          <w:iCs/>
        </w:rPr>
        <w:br/>
      </w:r>
    </w:p>
    <w:p w14:paraId="13D27548" w14:textId="77777777" w:rsidR="0052111D" w:rsidRDefault="0052111D" w:rsidP="0052111D">
      <w:pPr>
        <w:spacing w:line="480" w:lineRule="auto"/>
        <w:jc w:val="both"/>
      </w:pPr>
      <w:r w:rsidRPr="0052111D">
        <w:rPr>
          <w:b/>
        </w:rPr>
        <w:t>DISCUSSION</w:t>
      </w:r>
      <w:r>
        <w:t xml:space="preserve">  </w:t>
      </w:r>
    </w:p>
    <w:p w14:paraId="0BEA0275" w14:textId="77777777" w:rsidR="0052111D" w:rsidRDefault="0052111D" w:rsidP="0052111D">
      <w:pPr>
        <w:spacing w:line="480" w:lineRule="auto"/>
        <w:jc w:val="both"/>
      </w:pPr>
      <w:r>
        <w:t xml:space="preserve">The </w:t>
      </w:r>
      <w:r>
        <w:rPr>
          <w:highlight w:val="yellow"/>
        </w:rPr>
        <w:t>hyperglycaemic</w:t>
      </w:r>
      <w:r>
        <w:t xml:space="preserve"> indices assessed in this study, namely fasting blood glucose (FBG), glycated haemoglobin (HbA1c), serum insulin, and Homeostatic Model Assessment of Insulin Resistance (HOMA-IR), demonstrated significant improvements following administration of the ethanolic extract of </w:t>
      </w:r>
      <w:r>
        <w:rPr>
          <w:i/>
        </w:rPr>
        <w:t>Trichosanthes cucumerina</w:t>
      </w:r>
      <w:r>
        <w:t xml:space="preserve"> (TCE) to STZ-induced diabetic rats. The untreated diabetic control group exhibited marked hyperglycaemia, reflecting the impaired glucose regulation associated with streptozotocin-induced diabetes. In contrast, TCE-treated groups showed significant, dose-dependent reductions in FBG and HbA1c compared with the diabetic control (p &lt; 0.05).</w:t>
      </w:r>
    </w:p>
    <w:p w14:paraId="2B6CF7EE" w14:textId="77777777" w:rsidR="0052111D" w:rsidRDefault="0052111D" w:rsidP="0052111D">
      <w:pPr>
        <w:spacing w:line="480" w:lineRule="auto"/>
        <w:jc w:val="both"/>
      </w:pPr>
      <w:r>
        <w:t>The highest treatment dose of 400 mg/kg produced the most pronounced improvement, reducing FBG to 130.82 ± 4.55 mg/dL and HbA1c to 6.35 ± 0.26%. The reduction in HbA1c is particularly indicative of improved glycaemic control and a lower chronic glycaemic burden following treatment. In addition, TCE administration increased serum insulin concentration to 12.62 ± 1.10 µIU/mL at the high dose, suggesting improvement in insulin availability in the treated diabetic rats. The corresponding reduction in HOMA-IR to 4.32 ± 0.30 further indicates improved insulin sensitivity compared with the untreated diabetic group.</w:t>
      </w:r>
    </w:p>
    <w:p w14:paraId="0E702C7F" w14:textId="68731D73" w:rsidR="00985B77" w:rsidRPr="00B85CB7" w:rsidRDefault="0052111D" w:rsidP="0052111D">
      <w:pPr>
        <w:spacing w:line="480" w:lineRule="auto"/>
        <w:jc w:val="both"/>
      </w:pPr>
      <w:r>
        <w:t xml:space="preserve">The dose-dependent pattern observed across FBG, HbA1c, serum insulin, and HOMA-IR demonstrates a consistent improvement in glucose homeostasis with increasing TCE administration. These effects suggest that the extract may enhance peripheral insulin sensitivity, promote pancreatic β-cell functional recovery, and reduce persistent hyperglycaemia. The findings are consistent with previous reports that </w:t>
      </w:r>
      <w:r>
        <w:rPr>
          <w:i/>
        </w:rPr>
        <w:t>T. cucumerina</w:t>
      </w:r>
      <w:r>
        <w:t xml:space="preserve"> and related cucurbit extracts can improve insulin sensitivity and glucose metabolism through antioxidant, anti-inflammatory, and </w:t>
      </w:r>
      <w:r>
        <w:rPr>
          <w:highlight w:val="yellow"/>
        </w:rPr>
        <w:t>insulin-sensitising</w:t>
      </w:r>
      <w:r>
        <w:t xml:space="preserve"> mechanisms (</w:t>
      </w:r>
      <w:r w:rsidR="00BC18CE" w:rsidRPr="00BC18CE">
        <w:t>Sathesh Kumar</w:t>
      </w:r>
      <w:r w:rsidR="00BC18CE" w:rsidRPr="00BC18CE">
        <w:t xml:space="preserve"> </w:t>
      </w:r>
      <w:r>
        <w:t xml:space="preserve">et al., 2009; Arawwawala et al., 2009; Thapa and Walia, 2007). Overall, the observed improvements in the </w:t>
      </w:r>
      <w:r>
        <w:rPr>
          <w:highlight w:val="yellow"/>
        </w:rPr>
        <w:t>hyperglycaemic</w:t>
      </w:r>
      <w:r>
        <w:t xml:space="preserve"> indices support the antidiabetic potential of </w:t>
      </w:r>
      <w:r>
        <w:rPr>
          <w:i/>
        </w:rPr>
        <w:t>T. cucumerina</w:t>
      </w:r>
      <w:r>
        <w:t xml:space="preserve"> extract in STZ-induced diabetic rats.</w:t>
      </w:r>
    </w:p>
    <w:p w14:paraId="0067BF1C" w14:textId="77777777" w:rsidR="00B01FCD" w:rsidRDefault="00B01FCD" w:rsidP="00441B6F">
      <w:pPr>
        <w:pStyle w:val="ConcHead"/>
        <w:spacing w:after="0"/>
        <w:jc w:val="both"/>
        <w:rPr>
          <w:rFonts w:ascii="Arial" w:hAnsi="Arial" w:cs="Arial"/>
        </w:rPr>
      </w:pPr>
      <w:r w:rsidRPr="00FB3A86">
        <w:rPr>
          <w:rFonts w:ascii="Arial" w:hAnsi="Arial" w:cs="Arial"/>
        </w:rPr>
        <w:t>Conclusion</w:t>
      </w:r>
    </w:p>
    <w:p w14:paraId="271B46C7" w14:textId="77777777" w:rsidR="00790ADA" w:rsidRPr="00FB3A86" w:rsidRDefault="00790ADA" w:rsidP="00441B6F">
      <w:pPr>
        <w:pStyle w:val="ConcHead"/>
        <w:spacing w:after="0"/>
        <w:jc w:val="both"/>
        <w:rPr>
          <w:rFonts w:ascii="Arial" w:hAnsi="Arial" w:cs="Arial"/>
        </w:rPr>
      </w:pPr>
    </w:p>
    <w:p w14:paraId="5E8AFF78" w14:textId="77777777" w:rsidR="00C02823" w:rsidRDefault="00C02823" w:rsidP="00584C7D">
      <w:pPr>
        <w:pStyle w:val="ReferHead"/>
        <w:spacing w:after="0"/>
        <w:jc w:val="both"/>
        <w:rPr>
          <w:rFonts w:ascii="Arial" w:hAnsi="Arial" w:cs="Arial"/>
          <w:b w:val="0"/>
          <w:caps w:val="0"/>
          <w:sz w:val="20"/>
        </w:rPr>
      </w:pPr>
      <w:r w:rsidRPr="00C02823">
        <w:rPr>
          <w:rFonts w:ascii="Arial" w:hAnsi="Arial" w:cs="Arial"/>
          <w:b w:val="0"/>
          <w:caps w:val="0"/>
          <w:sz w:val="20"/>
        </w:rPr>
        <w:t xml:space="preserve">The ethanolic leaf extract of Trichosanthes cucumerina demonstrated antihyperglycaemic activity in streptozotocin-induced diabetic Wistar rats. Treatment produced dose-dependent reductions in fasting blood glucose, glycated haemoglobin, and HOMA-IR, together with an increase in serum insulin concentration relative to the untreated diabetic group. The 400 mg/kg dose produced the strongest response, with fasting blood glucose reduced to 130.82 ± 4.55 mg/dL, HbA1c to 6.35 ± 0.26%, serum insulin increased to 12.62 ± 1.10 µIU/mL, and HOMA-IR reduced to 4.32 ± 0.30. The extract also contained measurable phytochemical constituents, including flavonoids, tannins, carotenoids, saponins, and alkaloids. Collectively, these findings indicate that T. cucumerina extract improved the measured indices of glycaemic control and insulin sensitivity under the conditions of this experimental model. The findings provide experimental support </w:t>
      </w:r>
      <w:r w:rsidRPr="00C02823">
        <w:rPr>
          <w:rFonts w:ascii="Arial" w:hAnsi="Arial" w:cs="Arial"/>
          <w:b w:val="0"/>
          <w:caps w:val="0"/>
          <w:sz w:val="20"/>
        </w:rPr>
        <w:lastRenderedPageBreak/>
        <w:t>for further investigation of the plant's antihyperglycaemic properties. However, interpretation should remain confined to the streptozotocin-induced rat model. As this model does not reproduce the full aetiology or immune mechanisms of human diabetes, particularly T1DM, the present findings should not be interpreted as evidence of clinical efficacy and should not be directly extrapolated to humans.</w:t>
      </w:r>
    </w:p>
    <w:p w14:paraId="26FA41F8" w14:textId="77777777" w:rsidR="00C02823" w:rsidRDefault="00C02823" w:rsidP="00584C7D">
      <w:pPr>
        <w:pStyle w:val="ReferHead"/>
        <w:spacing w:after="0"/>
        <w:jc w:val="both"/>
        <w:rPr>
          <w:rFonts w:ascii="Arial" w:hAnsi="Arial" w:cs="Arial"/>
          <w:b w:val="0"/>
          <w:caps w:val="0"/>
          <w:sz w:val="20"/>
        </w:rPr>
      </w:pPr>
    </w:p>
    <w:p w14:paraId="3EF81FAB" w14:textId="77777777" w:rsidR="00C02823" w:rsidRDefault="00C02823" w:rsidP="00584C7D">
      <w:pPr>
        <w:pStyle w:val="ReferHead"/>
        <w:spacing w:after="0"/>
        <w:jc w:val="both"/>
        <w:rPr>
          <w:rFonts w:ascii="Arial" w:hAnsi="Arial" w:cs="Arial"/>
          <w:b w:val="0"/>
          <w:caps w:val="0"/>
          <w:sz w:val="20"/>
        </w:rPr>
      </w:pPr>
    </w:p>
    <w:p w14:paraId="6052C7B6" w14:textId="3C30DAE1" w:rsidR="00C02823" w:rsidRPr="00C02823" w:rsidRDefault="00C02823" w:rsidP="00C02823">
      <w:pPr>
        <w:spacing w:before="100" w:beforeAutospacing="1" w:after="100" w:afterAutospacing="1"/>
        <w:outlineLvl w:val="1"/>
        <w:rPr>
          <w:rFonts w:ascii="Times New Roman" w:hAnsi="Times New Roman"/>
          <w:b/>
          <w:bCs/>
          <w:sz w:val="36"/>
          <w:szCs w:val="36"/>
        </w:rPr>
      </w:pPr>
      <w:r w:rsidRPr="00C02823">
        <w:rPr>
          <w:rFonts w:ascii="Times New Roman" w:hAnsi="Times New Roman"/>
          <w:b/>
          <w:bCs/>
          <w:sz w:val="36"/>
          <w:szCs w:val="36"/>
        </w:rPr>
        <w:t>Limitation</w:t>
      </w:r>
    </w:p>
    <w:p w14:paraId="62C48C4C" w14:textId="77777777" w:rsidR="00C02823" w:rsidRPr="00C02823" w:rsidRDefault="00C02823" w:rsidP="00C02823">
      <w:pPr>
        <w:spacing w:before="100" w:beforeAutospacing="1" w:after="100" w:afterAutospacing="1"/>
        <w:rPr>
          <w:rFonts w:ascii="Times New Roman" w:hAnsi="Times New Roman"/>
          <w:sz w:val="24"/>
          <w:szCs w:val="24"/>
        </w:rPr>
      </w:pPr>
      <w:r w:rsidRPr="00C02823">
        <w:rPr>
          <w:rFonts w:ascii="Times New Roman" w:hAnsi="Times New Roman"/>
          <w:sz w:val="24"/>
          <w:szCs w:val="24"/>
        </w:rPr>
        <w:t>This study was limited to a small experimental sample of 25 male Wistar rats and a 28-day treatment period. Only two extract doses were evaluated; therefore, the findings cannot establish longer-term effects, sex-specific responses, or clinical efficacy in humans. The investigation also relied on selected glycaemic and biochemical indices within a streptozotocin-induced experimental model. Accordingly, the results should be interpreted within the scope of the study design and should not be directly extrapolated to human diabetes management.</w:t>
      </w:r>
    </w:p>
    <w:p w14:paraId="6DACE85B" w14:textId="77777777" w:rsidR="00C02823" w:rsidRDefault="00C02823" w:rsidP="00584C7D">
      <w:pPr>
        <w:pStyle w:val="ReferHead"/>
        <w:spacing w:after="0"/>
        <w:jc w:val="both"/>
        <w:rPr>
          <w:rFonts w:ascii="Arial" w:hAnsi="Arial" w:cs="Arial"/>
          <w:b w:val="0"/>
          <w:caps w:val="0"/>
          <w:sz w:val="20"/>
        </w:rPr>
      </w:pPr>
    </w:p>
    <w:p w14:paraId="42FD68F1" w14:textId="157790CA" w:rsidR="00584C7D" w:rsidRDefault="00584C7D" w:rsidP="00584C7D">
      <w:pPr>
        <w:pStyle w:val="ReferHead"/>
        <w:spacing w:after="0"/>
        <w:jc w:val="both"/>
        <w:rPr>
          <w:rFonts w:ascii="Arial" w:hAnsi="Arial" w:cs="Arial"/>
          <w:bCs/>
        </w:rPr>
      </w:pPr>
      <w:r>
        <w:rPr>
          <w:rFonts w:ascii="Arial" w:hAnsi="Arial" w:cs="Arial"/>
          <w:bCs/>
        </w:rPr>
        <w:t>Competing interests</w:t>
      </w:r>
    </w:p>
    <w:p w14:paraId="0EAFCB02" w14:textId="77777777" w:rsidR="00584C7D" w:rsidRDefault="001419EA" w:rsidP="00584C7D">
      <w:pPr>
        <w:pStyle w:val="ReferHead"/>
        <w:spacing w:after="0"/>
        <w:jc w:val="both"/>
        <w:rPr>
          <w:rFonts w:ascii="Arial" w:hAnsi="Arial" w:cs="Arial"/>
          <w:b w:val="0"/>
          <w:caps w:val="0"/>
          <w:sz w:val="20"/>
        </w:rPr>
      </w:pPr>
      <w:r>
        <w:rPr>
          <w:rFonts w:ascii="Arial" w:hAnsi="Arial" w:cs="Arial"/>
          <w:b w:val="0"/>
          <w:caps w:val="0"/>
          <w:sz w:val="20"/>
        </w:rPr>
        <w:t>The authors</w:t>
      </w:r>
      <w:r w:rsidR="00584C7D">
        <w:rPr>
          <w:rFonts w:ascii="Arial" w:hAnsi="Arial" w:cs="Arial"/>
          <w:b w:val="0"/>
          <w:caps w:val="0"/>
          <w:sz w:val="20"/>
        </w:rPr>
        <w:t xml:space="preserve"> have declared that no competing interests exist.</w:t>
      </w:r>
    </w:p>
    <w:p w14:paraId="0EDD855A" w14:textId="77777777" w:rsidR="00947723" w:rsidRDefault="00947723" w:rsidP="00584C7D">
      <w:pPr>
        <w:pStyle w:val="ReferHead"/>
        <w:spacing w:after="0"/>
        <w:jc w:val="both"/>
        <w:rPr>
          <w:rFonts w:ascii="Arial" w:hAnsi="Arial" w:cs="Arial"/>
          <w:b w:val="0"/>
          <w:caps w:val="0"/>
          <w:sz w:val="20"/>
        </w:rPr>
      </w:pPr>
    </w:p>
    <w:p w14:paraId="29A2879A" w14:textId="77777777" w:rsidR="00947723" w:rsidRPr="00947723" w:rsidRDefault="00947723" w:rsidP="00584C7D">
      <w:pPr>
        <w:pStyle w:val="ReferHead"/>
        <w:spacing w:after="0"/>
        <w:jc w:val="both"/>
        <w:rPr>
          <w:rFonts w:ascii="Arial" w:hAnsi="Arial" w:cs="Arial"/>
          <w:bCs/>
          <w:caps w:val="0"/>
          <w:sz w:val="20"/>
        </w:rPr>
      </w:pPr>
    </w:p>
    <w:p w14:paraId="33DB06A0" w14:textId="5CE8ECDC" w:rsidR="00947723" w:rsidRPr="00947723" w:rsidRDefault="00947723" w:rsidP="00584C7D">
      <w:pPr>
        <w:pStyle w:val="ReferHead"/>
        <w:spacing w:after="0"/>
        <w:jc w:val="both"/>
        <w:rPr>
          <w:rFonts w:ascii="Arial" w:hAnsi="Arial" w:cs="Arial"/>
          <w:bCs/>
          <w:caps w:val="0"/>
          <w:sz w:val="20"/>
        </w:rPr>
      </w:pPr>
      <w:r w:rsidRPr="00947723">
        <w:rPr>
          <w:rFonts w:ascii="Arial" w:hAnsi="Arial" w:cs="Arial"/>
          <w:bCs/>
          <w:caps w:val="0"/>
          <w:sz w:val="20"/>
        </w:rPr>
        <w:t>Ethical Approval</w:t>
      </w:r>
    </w:p>
    <w:p w14:paraId="44EC83C5" w14:textId="77777777" w:rsidR="00947723" w:rsidRDefault="00947723" w:rsidP="00584C7D">
      <w:pPr>
        <w:pStyle w:val="ReferHead"/>
        <w:spacing w:after="0"/>
        <w:jc w:val="both"/>
        <w:rPr>
          <w:rFonts w:ascii="Arial" w:hAnsi="Arial" w:cs="Arial"/>
          <w:b w:val="0"/>
          <w:caps w:val="0"/>
          <w:sz w:val="20"/>
        </w:rPr>
      </w:pPr>
    </w:p>
    <w:p w14:paraId="4B5929B0" w14:textId="47434061" w:rsidR="00947723" w:rsidRDefault="00947723" w:rsidP="00584C7D">
      <w:pPr>
        <w:pStyle w:val="ReferHead"/>
        <w:spacing w:after="0"/>
        <w:jc w:val="both"/>
        <w:rPr>
          <w:rFonts w:ascii="Arial" w:hAnsi="Arial" w:cs="Arial"/>
          <w:b w:val="0"/>
          <w:caps w:val="0"/>
          <w:sz w:val="20"/>
        </w:rPr>
      </w:pPr>
      <w:r w:rsidRPr="00947723">
        <w:rPr>
          <w:rFonts w:ascii="Arial" w:hAnsi="Arial" w:cs="Arial"/>
          <w:b w:val="0"/>
          <w:caps w:val="0"/>
          <w:sz w:val="20"/>
        </w:rPr>
        <w:t>. All experimental protocols were conducted in strict compliance with the National Institutes of Health (NIH) Guide for the Care and Use of Laboratory Animals and received institutional ethical approval from the Institutional Animal Care and Use Committee (IACUC), Approval Number: UI-BCH/2023/045 (Olson et al., 20</w:t>
      </w:r>
      <w:r w:rsidR="00BC18CE">
        <w:rPr>
          <w:rFonts w:ascii="Arial" w:hAnsi="Arial" w:cs="Arial"/>
          <w:b w:val="0"/>
          <w:caps w:val="0"/>
          <w:sz w:val="20"/>
        </w:rPr>
        <w:t>0</w:t>
      </w:r>
      <w:r w:rsidRPr="00947723">
        <w:rPr>
          <w:rFonts w:ascii="Arial" w:hAnsi="Arial" w:cs="Arial"/>
          <w:b w:val="0"/>
          <w:caps w:val="0"/>
          <w:sz w:val="20"/>
        </w:rPr>
        <w:t>0).</w:t>
      </w:r>
    </w:p>
    <w:p w14:paraId="090BBCF5" w14:textId="77777777" w:rsidR="00C96916" w:rsidRDefault="00C96916" w:rsidP="0036308B">
      <w:pPr>
        <w:rPr>
          <w:rFonts w:ascii="Times New Roman" w:hAnsi="Times New Roman"/>
          <w:b/>
        </w:rPr>
      </w:pPr>
    </w:p>
    <w:p w14:paraId="225CC372" w14:textId="77777777" w:rsidR="0036308B" w:rsidRDefault="0036308B" w:rsidP="0036308B">
      <w:pPr>
        <w:rPr>
          <w:rFonts w:ascii="Times New Roman" w:hAnsi="Times New Roman"/>
          <w:b/>
        </w:rPr>
      </w:pPr>
      <w:r w:rsidRPr="000839CE">
        <w:rPr>
          <w:rFonts w:ascii="Times New Roman" w:hAnsi="Times New Roman"/>
          <w:b/>
        </w:rPr>
        <w:t>Declaration of AI Use</w:t>
      </w:r>
    </w:p>
    <w:p w14:paraId="5BC2A7FB" w14:textId="77777777" w:rsidR="0036308B" w:rsidRDefault="0036308B" w:rsidP="0036308B">
      <w:pPr>
        <w:rPr>
          <w:rFonts w:ascii="Times New Roman" w:hAnsi="Times New Roman"/>
          <w:b/>
        </w:rPr>
      </w:pPr>
    </w:p>
    <w:p w14:paraId="55B33188" w14:textId="77777777" w:rsidR="0036308B" w:rsidRDefault="0036308B" w:rsidP="0036308B">
      <w:pPr>
        <w:rPr>
          <w:rFonts w:ascii="Times New Roman" w:hAnsi="Times New Roman"/>
          <w:b/>
        </w:rPr>
      </w:pPr>
    </w:p>
    <w:p w14:paraId="56801714" w14:textId="77777777" w:rsidR="0036308B" w:rsidRDefault="0036308B" w:rsidP="0036308B">
      <w:pPr>
        <w:rPr>
          <w:rFonts w:ascii="Times New Roman" w:hAnsi="Times New Roman"/>
          <w:b/>
        </w:rPr>
      </w:pPr>
    </w:p>
    <w:p w14:paraId="0B0250F5" w14:textId="77777777" w:rsidR="0036308B" w:rsidRPr="002D08AC" w:rsidRDefault="0036308B" w:rsidP="0036308B">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2E86FB0" w14:textId="77777777" w:rsidR="0036308B" w:rsidRDefault="0036308B" w:rsidP="00584C7D">
      <w:pPr>
        <w:pStyle w:val="ReferHead"/>
        <w:spacing w:after="0"/>
        <w:jc w:val="both"/>
        <w:rPr>
          <w:rFonts w:ascii="Arial" w:hAnsi="Arial" w:cs="Arial"/>
        </w:rPr>
      </w:pPr>
    </w:p>
    <w:p w14:paraId="5A11A4FA" w14:textId="77777777" w:rsidR="00860000" w:rsidRDefault="00860000" w:rsidP="00441B6F">
      <w:pPr>
        <w:pStyle w:val="ReferHead"/>
        <w:spacing w:after="0"/>
        <w:jc w:val="both"/>
        <w:rPr>
          <w:rFonts w:ascii="Arial" w:hAnsi="Arial" w:cs="Arial"/>
        </w:rPr>
      </w:pPr>
    </w:p>
    <w:p w14:paraId="71F2F657"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87DD5E1" w14:textId="77777777" w:rsidR="00BC18CE" w:rsidRDefault="00BC18CE" w:rsidP="00BC18CE">
      <w:pPr>
        <w:ind w:left="630" w:hanging="630"/>
        <w:jc w:val="both"/>
        <w:rPr>
          <w:rFonts w:ascii="Times New Roman" w:hAnsi="Times New Roman"/>
          <w:sz w:val="24"/>
          <w:szCs w:val="24"/>
        </w:rPr>
      </w:pPr>
    </w:p>
    <w:p w14:paraId="755B9309" w14:textId="6F4A17BE"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Albers, J. W., Herman, W. H., Pop-Busui, R., Feldman, E. L., Martin, C. L., Cleary, P. A., Waberski, B. H., Lachin, J. M., &amp; Diabetes Control and Complications Trial/Epidemiology of Diabetes Interventions and Complications Research Group. (2010). Effect of prior intensive insulin treatment during the Diabetes Control and Complications Trial (DCCT) on peripheral neuropathy in type 1 diabetes during the Epidemiology of Diabetes Interventions and Complications (EDIC) study. </w:t>
      </w:r>
      <w:r w:rsidRPr="00BC18CE">
        <w:rPr>
          <w:rFonts w:ascii="Times New Roman" w:hAnsi="Times New Roman"/>
          <w:i/>
          <w:iCs/>
          <w:sz w:val="24"/>
          <w:szCs w:val="24"/>
        </w:rPr>
        <w:t>Diabetes Care, 33</w:t>
      </w:r>
      <w:r w:rsidRPr="00BC18CE">
        <w:rPr>
          <w:rFonts w:ascii="Times New Roman" w:hAnsi="Times New Roman"/>
          <w:sz w:val="24"/>
          <w:szCs w:val="24"/>
        </w:rPr>
        <w:t xml:space="preserve">(5), 1090–1096. https://doi.org/10.2337/dc09-1941 </w:t>
      </w:r>
    </w:p>
    <w:p w14:paraId="5524B861" w14:textId="34461930" w:rsidR="00BC18CE" w:rsidRPr="00BC18CE" w:rsidRDefault="00BC18CE" w:rsidP="00BC18CE">
      <w:pPr>
        <w:ind w:left="630" w:hanging="630"/>
        <w:jc w:val="both"/>
        <w:rPr>
          <w:rFonts w:ascii="Times New Roman" w:hAnsi="Times New Roman"/>
          <w:sz w:val="24"/>
          <w:szCs w:val="24"/>
          <w:lang w:val="nl-BE"/>
        </w:rPr>
      </w:pPr>
      <w:r w:rsidRPr="00BC18CE">
        <w:rPr>
          <w:rFonts w:ascii="Times New Roman" w:hAnsi="Times New Roman"/>
          <w:sz w:val="24"/>
          <w:szCs w:val="24"/>
        </w:rPr>
        <w:t xml:space="preserve">Ahmad, S. I. (Ed.). (2013). </w:t>
      </w:r>
      <w:r w:rsidRPr="00BC18CE">
        <w:rPr>
          <w:rFonts w:ascii="Times New Roman" w:hAnsi="Times New Roman"/>
          <w:i/>
          <w:iCs/>
          <w:sz w:val="24"/>
          <w:szCs w:val="24"/>
        </w:rPr>
        <w:t>Diabetes: An old disease, a new insight</w:t>
      </w:r>
      <w:r w:rsidRPr="00BC18CE">
        <w:rPr>
          <w:rFonts w:ascii="Times New Roman" w:hAnsi="Times New Roman"/>
          <w:sz w:val="24"/>
          <w:szCs w:val="24"/>
        </w:rPr>
        <w:t xml:space="preserve"> (Vol. 771). </w:t>
      </w:r>
      <w:r w:rsidRPr="00BC18CE">
        <w:rPr>
          <w:rFonts w:ascii="Times New Roman" w:hAnsi="Times New Roman"/>
          <w:sz w:val="24"/>
          <w:szCs w:val="24"/>
          <w:lang w:val="nl-BE"/>
        </w:rPr>
        <w:t xml:space="preserve">Springer. </w:t>
      </w:r>
      <w:hyperlink r:id="rId14" w:tgtFrame="_blank" w:history="1">
        <w:r w:rsidRPr="00BC18CE">
          <w:rPr>
            <w:rFonts w:ascii="Times New Roman" w:hAnsi="Times New Roman"/>
            <w:color w:val="0000FF"/>
            <w:sz w:val="24"/>
            <w:szCs w:val="24"/>
            <w:u w:val="single"/>
            <w:lang w:val="nl-BE"/>
          </w:rPr>
          <w:t>https://doi.org/10.1007/978-1-4614-5441-0</w:t>
        </w:r>
      </w:hyperlink>
      <w:r w:rsidRPr="00BC18CE">
        <w:rPr>
          <w:rFonts w:ascii="Times New Roman" w:hAnsi="Times New Roman"/>
          <w:sz w:val="24"/>
          <w:szCs w:val="24"/>
          <w:lang w:val="nl-BE"/>
        </w:rPr>
        <w:t xml:space="preserve"> </w:t>
      </w:r>
    </w:p>
    <w:p w14:paraId="7CC241AB" w14:textId="2B1116FA"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lang w:val="nl-BE"/>
        </w:rPr>
        <w:t xml:space="preserve">Acan, D., Calan, M., Er, D., Arkan, T., Kocak, N., Bayraktar, F., &amp; Kaynak, S. (2018). </w:t>
      </w:r>
      <w:r w:rsidRPr="00BC18CE">
        <w:rPr>
          <w:rFonts w:ascii="Times New Roman" w:hAnsi="Times New Roman"/>
          <w:sz w:val="24"/>
          <w:szCs w:val="24"/>
        </w:rPr>
        <w:t xml:space="preserve">The prevalence and systemic risk factors of diabetic macular edema: A cross-sectional study from Turkey. </w:t>
      </w:r>
      <w:r w:rsidRPr="00BC18CE">
        <w:rPr>
          <w:rFonts w:ascii="Times New Roman" w:hAnsi="Times New Roman"/>
          <w:i/>
          <w:iCs/>
          <w:sz w:val="24"/>
          <w:szCs w:val="24"/>
        </w:rPr>
        <w:t>BMC Ophthalmology, 18</w:t>
      </w:r>
      <w:r w:rsidRPr="00BC18CE">
        <w:rPr>
          <w:rFonts w:ascii="Times New Roman" w:hAnsi="Times New Roman"/>
          <w:sz w:val="24"/>
          <w:szCs w:val="24"/>
        </w:rPr>
        <w:t>, 91. https://doi.org/10.1186/s12886-018-0753-y</w:t>
      </w:r>
    </w:p>
    <w:p w14:paraId="435E348F" w14:textId="0A1F34C4"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Ajuru, M., &amp; Nmom, F. (2017). A review on the economic uses of species of Cucurbitaceae and their sustainability in Nigeria. </w:t>
      </w:r>
      <w:r w:rsidRPr="00BC18CE">
        <w:rPr>
          <w:rFonts w:ascii="Times New Roman" w:hAnsi="Times New Roman"/>
          <w:i/>
          <w:iCs/>
          <w:sz w:val="24"/>
          <w:szCs w:val="24"/>
        </w:rPr>
        <w:t>American Journal of Plant Biology, 2</w:t>
      </w:r>
      <w:r w:rsidRPr="00BC18CE">
        <w:rPr>
          <w:rFonts w:ascii="Times New Roman" w:hAnsi="Times New Roman"/>
          <w:sz w:val="24"/>
          <w:szCs w:val="24"/>
        </w:rPr>
        <w:t xml:space="preserve">(1), 17–24. https://doi.org/10.11648/j.ajpb.20170201.14 </w:t>
      </w:r>
    </w:p>
    <w:p w14:paraId="10131A1C" w14:textId="0108C3D0"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lastRenderedPageBreak/>
        <w:t xml:space="preserve">Ansari, P., Khan, J. T., Chowdhury, S., Reberio, A. D., Kumar, S., Seidel, V., Abdel-Wahab, Y. H. A., &amp; Flatt, P. R. (2024). Plant-based diets and phytochemicals in the management of diabetes mellitus and prevention of its complications: A review. </w:t>
      </w:r>
      <w:r w:rsidRPr="00BC18CE">
        <w:rPr>
          <w:rFonts w:ascii="Times New Roman" w:hAnsi="Times New Roman"/>
          <w:i/>
          <w:iCs/>
          <w:sz w:val="24"/>
          <w:szCs w:val="24"/>
        </w:rPr>
        <w:t>Nutrients, 16</w:t>
      </w:r>
      <w:r w:rsidRPr="00BC18CE">
        <w:rPr>
          <w:rFonts w:ascii="Times New Roman" w:hAnsi="Times New Roman"/>
          <w:sz w:val="24"/>
          <w:szCs w:val="24"/>
        </w:rPr>
        <w:t xml:space="preserve">(21), 3709. </w:t>
      </w:r>
      <w:hyperlink r:id="rId15" w:tgtFrame="_blank" w:history="1">
        <w:r w:rsidRPr="00BC18CE">
          <w:rPr>
            <w:rFonts w:ascii="Times New Roman" w:hAnsi="Times New Roman"/>
            <w:color w:val="0000FF"/>
            <w:sz w:val="24"/>
            <w:szCs w:val="24"/>
            <w:u w:val="single"/>
          </w:rPr>
          <w:t>https://doi.org/10.3390/nu16213709</w:t>
        </w:r>
      </w:hyperlink>
      <w:r w:rsidRPr="00BC18CE">
        <w:rPr>
          <w:rFonts w:ascii="Times New Roman" w:hAnsi="Times New Roman"/>
          <w:sz w:val="24"/>
          <w:szCs w:val="24"/>
        </w:rPr>
        <w:t xml:space="preserve"> </w:t>
      </w:r>
    </w:p>
    <w:p w14:paraId="47DD5493" w14:textId="49AB3CFA"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Association of Official Analytical Chemists. (1990). </w:t>
      </w:r>
      <w:r w:rsidRPr="00BC18CE">
        <w:rPr>
          <w:rFonts w:ascii="Times New Roman" w:hAnsi="Times New Roman"/>
          <w:i/>
          <w:iCs/>
          <w:sz w:val="24"/>
          <w:szCs w:val="24"/>
        </w:rPr>
        <w:t>Official methods of analysis of the Association of Official Analytical Chemists</w:t>
      </w:r>
      <w:r w:rsidRPr="00BC18CE">
        <w:rPr>
          <w:rFonts w:ascii="Times New Roman" w:hAnsi="Times New Roman"/>
          <w:sz w:val="24"/>
          <w:szCs w:val="24"/>
        </w:rPr>
        <w:t xml:space="preserve"> (15th ed.). </w:t>
      </w:r>
    </w:p>
    <w:p w14:paraId="11027248" w14:textId="19093B7E"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Arena, R., McNeil, A., Sagner, M., &amp; Hills, A. P. (2017). The current global state of key lifestyle characteristics: Health and economic implications. </w:t>
      </w:r>
      <w:r w:rsidRPr="00BC18CE">
        <w:rPr>
          <w:rFonts w:ascii="Times New Roman" w:hAnsi="Times New Roman"/>
          <w:i/>
          <w:iCs/>
          <w:sz w:val="24"/>
          <w:szCs w:val="24"/>
        </w:rPr>
        <w:t>Progress in Cardiovascular Diseases, 59</w:t>
      </w:r>
      <w:r w:rsidRPr="00BC18CE">
        <w:rPr>
          <w:rFonts w:ascii="Times New Roman" w:hAnsi="Times New Roman"/>
          <w:sz w:val="24"/>
          <w:szCs w:val="24"/>
        </w:rPr>
        <w:t xml:space="preserve">(5), 422–429. https://doi.org/10.1016/j.pcad.2017.02.002 </w:t>
      </w:r>
    </w:p>
    <w:p w14:paraId="25E6F6B2" w14:textId="5B6F2A17"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Arawwawala, M., Thabrew, I., &amp; Arambewela, L. (2009). Antidiabetic activity of </w:t>
      </w:r>
      <w:r w:rsidRPr="00BC18CE">
        <w:rPr>
          <w:rFonts w:ascii="Times New Roman" w:hAnsi="Times New Roman"/>
          <w:i/>
          <w:iCs/>
          <w:sz w:val="24"/>
          <w:szCs w:val="24"/>
        </w:rPr>
        <w:t>Trichosanthes cucumerina</w:t>
      </w:r>
      <w:r w:rsidRPr="00BC18CE">
        <w:rPr>
          <w:rFonts w:ascii="Times New Roman" w:hAnsi="Times New Roman"/>
          <w:sz w:val="24"/>
          <w:szCs w:val="24"/>
        </w:rPr>
        <w:t xml:space="preserve"> in normal and streptozotocin-induced diabetic rats. </w:t>
      </w:r>
      <w:r w:rsidRPr="00BC18CE">
        <w:rPr>
          <w:rFonts w:ascii="Times New Roman" w:hAnsi="Times New Roman"/>
          <w:i/>
          <w:iCs/>
          <w:sz w:val="24"/>
          <w:szCs w:val="24"/>
        </w:rPr>
        <w:t>International Journal of Biological and Chemical Sciences, 3</w:t>
      </w:r>
      <w:r w:rsidRPr="00BC18CE">
        <w:rPr>
          <w:rFonts w:ascii="Times New Roman" w:hAnsi="Times New Roman"/>
          <w:sz w:val="24"/>
          <w:szCs w:val="24"/>
        </w:rPr>
        <w:t xml:space="preserve">(2), 287–296. </w:t>
      </w:r>
      <w:hyperlink r:id="rId16" w:tgtFrame="_blank" w:history="1">
        <w:r w:rsidRPr="00BC18CE">
          <w:rPr>
            <w:rFonts w:ascii="Times New Roman" w:hAnsi="Times New Roman"/>
            <w:color w:val="0000FF"/>
            <w:sz w:val="24"/>
            <w:szCs w:val="24"/>
            <w:u w:val="single"/>
          </w:rPr>
          <w:t>https://doi.org/10.4314/ijbcs.v3i2.44504</w:t>
        </w:r>
      </w:hyperlink>
      <w:r w:rsidRPr="00BC18CE">
        <w:rPr>
          <w:rFonts w:ascii="Times New Roman" w:hAnsi="Times New Roman"/>
          <w:sz w:val="24"/>
          <w:szCs w:val="24"/>
        </w:rPr>
        <w:t xml:space="preserve"> </w:t>
      </w:r>
    </w:p>
    <w:p w14:paraId="2892C988" w14:textId="75010FE4"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Athyros, V. G., Doumas, M., Imprialos, K. P., Stavropoulos, K., Georgianou, E., Katsimardou, A., &amp; Karagiannis, A. (2018). Diabetes and lipid metabolism. </w:t>
      </w:r>
      <w:r w:rsidRPr="00BC18CE">
        <w:rPr>
          <w:rFonts w:ascii="Times New Roman" w:hAnsi="Times New Roman"/>
          <w:i/>
          <w:iCs/>
          <w:sz w:val="24"/>
          <w:szCs w:val="24"/>
        </w:rPr>
        <w:t>Hormones, 17</w:t>
      </w:r>
      <w:r w:rsidRPr="00BC18CE">
        <w:rPr>
          <w:rFonts w:ascii="Times New Roman" w:hAnsi="Times New Roman"/>
          <w:sz w:val="24"/>
          <w:szCs w:val="24"/>
        </w:rPr>
        <w:t xml:space="preserve">(1), 61–67. https://doi.org/10.1007/s42000-018-0014-8 </w:t>
      </w:r>
    </w:p>
    <w:p w14:paraId="224A2918" w14:textId="75A4BBE2"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Awuchi, C. G., Igwe, V. S., &amp; Amagwula, I. O. (2020). Nutritional diseases and nutrient toxicities: A systematic review of the diets and nutrition for prevention and treatment. </w:t>
      </w:r>
      <w:r w:rsidRPr="00BC18CE">
        <w:rPr>
          <w:rFonts w:ascii="Times New Roman" w:hAnsi="Times New Roman"/>
          <w:i/>
          <w:iCs/>
          <w:sz w:val="24"/>
          <w:szCs w:val="24"/>
        </w:rPr>
        <w:t>International Journal of Advanced Academic Research, 6</w:t>
      </w:r>
      <w:r w:rsidRPr="00BC18CE">
        <w:rPr>
          <w:rFonts w:ascii="Times New Roman" w:hAnsi="Times New Roman"/>
          <w:sz w:val="24"/>
          <w:szCs w:val="24"/>
        </w:rPr>
        <w:t xml:space="preserve">(1), 1–46. </w:t>
      </w:r>
    </w:p>
    <w:p w14:paraId="12174A86" w14:textId="6EEE7187"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Campos, C. (2012). Chronic hyperglycemia and glucose toxicity: Pathology and clinical sequelae. </w:t>
      </w:r>
      <w:r w:rsidRPr="00BC18CE">
        <w:rPr>
          <w:rFonts w:ascii="Times New Roman" w:hAnsi="Times New Roman"/>
          <w:i/>
          <w:iCs/>
          <w:sz w:val="24"/>
          <w:szCs w:val="24"/>
        </w:rPr>
        <w:t>Postgraduate Medicine, 124</w:t>
      </w:r>
      <w:r w:rsidRPr="00BC18CE">
        <w:rPr>
          <w:rFonts w:ascii="Times New Roman" w:hAnsi="Times New Roman"/>
          <w:sz w:val="24"/>
          <w:szCs w:val="24"/>
        </w:rPr>
        <w:t xml:space="preserve">(6), 90–97. https://doi.org/10.3810/pgm.2012.11.2615 </w:t>
      </w:r>
    </w:p>
    <w:p w14:paraId="2292B120" w14:textId="6E3A4088"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American Diabetes Association Professional Practice Committee. (2022). 2. Classification and diagnosis of diabetes: Standards of Medical Care in Diabetes—2022. </w:t>
      </w:r>
      <w:r w:rsidRPr="00BC18CE">
        <w:rPr>
          <w:rFonts w:ascii="Times New Roman" w:hAnsi="Times New Roman"/>
          <w:i/>
          <w:iCs/>
          <w:sz w:val="24"/>
          <w:szCs w:val="24"/>
        </w:rPr>
        <w:t>Diabetes Care, 45</w:t>
      </w:r>
      <w:r w:rsidRPr="00BC18CE">
        <w:rPr>
          <w:rFonts w:ascii="Times New Roman" w:hAnsi="Times New Roman"/>
          <w:sz w:val="24"/>
          <w:szCs w:val="24"/>
        </w:rPr>
        <w:t xml:space="preserve">(Suppl. 1), S17–S38. </w:t>
      </w:r>
      <w:hyperlink r:id="rId17" w:tgtFrame="_blank" w:history="1">
        <w:r w:rsidRPr="00BC18CE">
          <w:rPr>
            <w:rFonts w:ascii="Times New Roman" w:hAnsi="Times New Roman"/>
            <w:color w:val="0000FF"/>
            <w:sz w:val="24"/>
            <w:szCs w:val="24"/>
            <w:u w:val="single"/>
          </w:rPr>
          <w:t>https://doi.org/10.2337/dc22-S002</w:t>
        </w:r>
      </w:hyperlink>
    </w:p>
    <w:p w14:paraId="70A1E62C" w14:textId="161E0B4E"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Chinko, B. C., &amp; Efebo, A. S. (2025). Evaluation of haematological and lipid profile parameters and their interrelationship in type 2 diabetes mellitus subjects in Yenagoa, Nigeria. </w:t>
      </w:r>
      <w:r w:rsidRPr="00BC18CE">
        <w:rPr>
          <w:rFonts w:ascii="Times New Roman" w:hAnsi="Times New Roman"/>
          <w:i/>
          <w:iCs/>
          <w:sz w:val="24"/>
          <w:szCs w:val="24"/>
        </w:rPr>
        <w:t>Asian Journal of Research and Reports in Endocrinology, 8</w:t>
      </w:r>
      <w:r w:rsidRPr="00BC18CE">
        <w:rPr>
          <w:rFonts w:ascii="Times New Roman" w:hAnsi="Times New Roman"/>
          <w:sz w:val="24"/>
          <w:szCs w:val="24"/>
        </w:rPr>
        <w:t xml:space="preserve">(1), 79–93. https://doi.org/10.9734/ajrre/2025/v8i1109 </w:t>
      </w:r>
    </w:p>
    <w:p w14:paraId="0E08261D" w14:textId="59524EDC"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Devi, N. D. (2017). Medicinal values of </w:t>
      </w:r>
      <w:r w:rsidRPr="00BC18CE">
        <w:rPr>
          <w:rFonts w:ascii="Times New Roman" w:hAnsi="Times New Roman"/>
          <w:i/>
          <w:iCs/>
          <w:sz w:val="24"/>
          <w:szCs w:val="24"/>
        </w:rPr>
        <w:t>Trichosanthus cucumerina</w:t>
      </w:r>
      <w:r w:rsidRPr="00BC18CE">
        <w:rPr>
          <w:rFonts w:ascii="Times New Roman" w:hAnsi="Times New Roman"/>
          <w:sz w:val="24"/>
          <w:szCs w:val="24"/>
        </w:rPr>
        <w:t xml:space="preserve"> L. (snake gourd)—A review. </w:t>
      </w:r>
      <w:r w:rsidRPr="00BC18CE">
        <w:rPr>
          <w:rFonts w:ascii="Times New Roman" w:hAnsi="Times New Roman"/>
          <w:i/>
          <w:iCs/>
          <w:sz w:val="24"/>
          <w:szCs w:val="24"/>
        </w:rPr>
        <w:t>Journal of Pharmaceutical Research International, 16</w:t>
      </w:r>
      <w:r w:rsidRPr="00BC18CE">
        <w:rPr>
          <w:rFonts w:ascii="Times New Roman" w:hAnsi="Times New Roman"/>
          <w:sz w:val="24"/>
          <w:szCs w:val="24"/>
        </w:rPr>
        <w:t xml:space="preserve">(5), 1–10. </w:t>
      </w:r>
      <w:hyperlink r:id="rId18" w:tgtFrame="_blank" w:history="1">
        <w:r w:rsidRPr="00BC18CE">
          <w:rPr>
            <w:rFonts w:ascii="Times New Roman" w:hAnsi="Times New Roman"/>
            <w:color w:val="0000FF"/>
            <w:sz w:val="24"/>
            <w:szCs w:val="24"/>
            <w:u w:val="single"/>
          </w:rPr>
          <w:t>https://doi.org/10.9734/BJPR/2017/33575</w:t>
        </w:r>
      </w:hyperlink>
      <w:r w:rsidRPr="00BC18CE">
        <w:rPr>
          <w:rFonts w:ascii="Times New Roman" w:hAnsi="Times New Roman"/>
          <w:sz w:val="24"/>
          <w:szCs w:val="24"/>
        </w:rPr>
        <w:t xml:space="preserve"> </w:t>
      </w:r>
    </w:p>
    <w:p w14:paraId="69AAF163" w14:textId="498C3624"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Gautam, V., Ranjan, A., Bajpai, K. G., Baqri, S. S. R., &amp; Saxena, A. M. (2025). Exploring the therapeutic potential of three cucurbit plants involving in vivo diabetes screening. </w:t>
      </w:r>
      <w:r w:rsidRPr="00BC18CE">
        <w:rPr>
          <w:rFonts w:ascii="Times New Roman" w:hAnsi="Times New Roman"/>
          <w:i/>
          <w:iCs/>
          <w:sz w:val="24"/>
          <w:szCs w:val="24"/>
        </w:rPr>
        <w:t>Cureus, 17</w:t>
      </w:r>
      <w:r w:rsidRPr="00BC18CE">
        <w:rPr>
          <w:rFonts w:ascii="Times New Roman" w:hAnsi="Times New Roman"/>
          <w:sz w:val="24"/>
          <w:szCs w:val="24"/>
        </w:rPr>
        <w:t xml:space="preserve">(2), e78861. </w:t>
      </w:r>
      <w:hyperlink r:id="rId19" w:tgtFrame="_blank" w:history="1">
        <w:r w:rsidRPr="00BC18CE">
          <w:rPr>
            <w:rFonts w:ascii="Times New Roman" w:hAnsi="Times New Roman"/>
            <w:color w:val="0000FF"/>
            <w:sz w:val="24"/>
            <w:szCs w:val="24"/>
            <w:u w:val="single"/>
          </w:rPr>
          <w:t>https://doi.org/10.7759/cureus.78861</w:t>
        </w:r>
      </w:hyperlink>
      <w:r w:rsidRPr="00BC18CE">
        <w:rPr>
          <w:rFonts w:ascii="Times New Roman" w:hAnsi="Times New Roman"/>
          <w:sz w:val="24"/>
          <w:szCs w:val="24"/>
        </w:rPr>
        <w:t xml:space="preserve"> </w:t>
      </w:r>
    </w:p>
    <w:p w14:paraId="5DFB4E69" w14:textId="4BCA8A75"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Hassanpour, S., Maheri-Sis, N., Eshratkhah, B., &amp; Baghbani Mehmandar, F. (2011). Plants and secondary metabolites (tannins): A review. </w:t>
      </w:r>
      <w:r w:rsidRPr="00BC18CE">
        <w:rPr>
          <w:rFonts w:ascii="Times New Roman" w:hAnsi="Times New Roman"/>
          <w:i/>
          <w:iCs/>
          <w:sz w:val="24"/>
          <w:szCs w:val="24"/>
        </w:rPr>
        <w:t>International Journal of Forest, Soil and Erosion, 1</w:t>
      </w:r>
      <w:r w:rsidRPr="00BC18CE">
        <w:rPr>
          <w:rFonts w:ascii="Times New Roman" w:hAnsi="Times New Roman"/>
          <w:sz w:val="24"/>
          <w:szCs w:val="24"/>
        </w:rPr>
        <w:t xml:space="preserve">(1), 47–53. </w:t>
      </w:r>
    </w:p>
    <w:p w14:paraId="0CFBFE1F" w14:textId="3A5BF6EC"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Karavanaki, K., Paschou, S. A., Tentolouris, N., Karachaliou, F., &amp; Soldatou, A. (2022). Type 2 diabetes in children and adolescents: Distinct characteristics and evidence-based management. </w:t>
      </w:r>
      <w:r w:rsidRPr="00BC18CE">
        <w:rPr>
          <w:rFonts w:ascii="Times New Roman" w:hAnsi="Times New Roman"/>
          <w:i/>
          <w:iCs/>
          <w:sz w:val="24"/>
          <w:szCs w:val="24"/>
        </w:rPr>
        <w:t>Endocrine, 78</w:t>
      </w:r>
      <w:r w:rsidRPr="00BC18CE">
        <w:rPr>
          <w:rFonts w:ascii="Times New Roman" w:hAnsi="Times New Roman"/>
          <w:sz w:val="24"/>
          <w:szCs w:val="24"/>
        </w:rPr>
        <w:t xml:space="preserve">(2), 280–295. https://doi.org/10.1007/s12020-022-03172-y </w:t>
      </w:r>
    </w:p>
    <w:p w14:paraId="3A5094EC" w14:textId="17CC3960"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Kesavan, K., &amp; Gnanasekaran, J. (2024). Assessment of the antidiabetic and antihyperlipidemic effects of aqueous extract from </w:t>
      </w:r>
      <w:r w:rsidRPr="00BC18CE">
        <w:rPr>
          <w:rFonts w:ascii="Times New Roman" w:hAnsi="Times New Roman"/>
          <w:i/>
          <w:iCs/>
          <w:sz w:val="24"/>
          <w:szCs w:val="24"/>
        </w:rPr>
        <w:t>Zanthoxylum armatum</w:t>
      </w:r>
      <w:r w:rsidRPr="00BC18CE">
        <w:rPr>
          <w:rFonts w:ascii="Times New Roman" w:hAnsi="Times New Roman"/>
          <w:sz w:val="24"/>
          <w:szCs w:val="24"/>
        </w:rPr>
        <w:t xml:space="preserve"> DC. in high-fat diet and streptozotocin-induced type 2 diabetic rats. </w:t>
      </w:r>
      <w:r w:rsidRPr="00BC18CE">
        <w:rPr>
          <w:rFonts w:ascii="Times New Roman" w:hAnsi="Times New Roman"/>
          <w:i/>
          <w:iCs/>
          <w:sz w:val="24"/>
          <w:szCs w:val="24"/>
        </w:rPr>
        <w:t>Uttar Pradesh Journal of Zoology, 45</w:t>
      </w:r>
      <w:r w:rsidRPr="00BC18CE">
        <w:rPr>
          <w:rFonts w:ascii="Times New Roman" w:hAnsi="Times New Roman"/>
          <w:sz w:val="24"/>
          <w:szCs w:val="24"/>
        </w:rPr>
        <w:t xml:space="preserve">(16), 318–325. </w:t>
      </w:r>
      <w:hyperlink r:id="rId20" w:tgtFrame="_blank" w:history="1">
        <w:r w:rsidRPr="00BC18CE">
          <w:rPr>
            <w:rFonts w:ascii="Times New Roman" w:hAnsi="Times New Roman"/>
            <w:color w:val="0000FF"/>
            <w:sz w:val="24"/>
            <w:szCs w:val="24"/>
            <w:u w:val="single"/>
          </w:rPr>
          <w:t>https://doi.org/10.56557/upjoz/2024/v45i164312</w:t>
        </w:r>
      </w:hyperlink>
      <w:r w:rsidRPr="00BC18CE">
        <w:rPr>
          <w:rFonts w:ascii="Times New Roman" w:hAnsi="Times New Roman"/>
          <w:sz w:val="24"/>
          <w:szCs w:val="24"/>
        </w:rPr>
        <w:t xml:space="preserve"> </w:t>
      </w:r>
    </w:p>
    <w:p w14:paraId="406DFB46" w14:textId="37CCD6A3"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Kropp, M., Golubnitschaja, O., Mazurakova, A., Koklesova, L., Sargheini, N., Vo, T.-T. K. S., de Clerck, E., Polivka, J., Jr., Potuznik, P., Polivka, J., Stetkarova, I., Kubatka, P., &amp; Thumann, G. (2023). Diabetic retinopathy as the leading cause of blindness and early predictor of cascading complications—Risks and mitigation. </w:t>
      </w:r>
      <w:r w:rsidRPr="00BC18CE">
        <w:rPr>
          <w:rFonts w:ascii="Times New Roman" w:hAnsi="Times New Roman"/>
          <w:i/>
          <w:iCs/>
          <w:sz w:val="24"/>
          <w:szCs w:val="24"/>
        </w:rPr>
        <w:t>EPMA Journal, 14</w:t>
      </w:r>
      <w:r w:rsidRPr="00BC18CE">
        <w:rPr>
          <w:rFonts w:ascii="Times New Roman" w:hAnsi="Times New Roman"/>
          <w:sz w:val="24"/>
          <w:szCs w:val="24"/>
        </w:rPr>
        <w:t xml:space="preserve">(1), 21–42. https://doi.org/10.1007/s13167-023-00314-8 </w:t>
      </w:r>
    </w:p>
    <w:p w14:paraId="564D8897" w14:textId="0F737422"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Sathesh Kumar, S., Ravi Kumar, B., &amp; Krishna Mohan, G. (2009). Hepatoprotective effect of </w:t>
      </w:r>
      <w:r w:rsidRPr="00BC18CE">
        <w:rPr>
          <w:rFonts w:ascii="Times New Roman" w:hAnsi="Times New Roman"/>
          <w:i/>
          <w:iCs/>
          <w:sz w:val="24"/>
          <w:szCs w:val="24"/>
        </w:rPr>
        <w:t>Trichosanthes cucumerina</w:t>
      </w:r>
      <w:r w:rsidRPr="00BC18CE">
        <w:rPr>
          <w:rFonts w:ascii="Times New Roman" w:hAnsi="Times New Roman"/>
          <w:sz w:val="24"/>
          <w:szCs w:val="24"/>
        </w:rPr>
        <w:t xml:space="preserve"> var. </w:t>
      </w:r>
      <w:r w:rsidRPr="00BC18CE">
        <w:rPr>
          <w:rFonts w:ascii="Times New Roman" w:hAnsi="Times New Roman"/>
          <w:i/>
          <w:iCs/>
          <w:sz w:val="24"/>
          <w:szCs w:val="24"/>
        </w:rPr>
        <w:t>cucumerina</w:t>
      </w:r>
      <w:r w:rsidRPr="00BC18CE">
        <w:rPr>
          <w:rFonts w:ascii="Times New Roman" w:hAnsi="Times New Roman"/>
          <w:sz w:val="24"/>
          <w:szCs w:val="24"/>
        </w:rPr>
        <w:t xml:space="preserve"> L. on carbon tetrachloride-induced liver damage in rats. </w:t>
      </w:r>
      <w:r w:rsidRPr="00BC18CE">
        <w:rPr>
          <w:rFonts w:ascii="Times New Roman" w:hAnsi="Times New Roman"/>
          <w:i/>
          <w:iCs/>
          <w:sz w:val="24"/>
          <w:szCs w:val="24"/>
        </w:rPr>
        <w:t>Journal of Ethnopharmacology, 123</w:t>
      </w:r>
      <w:r w:rsidRPr="00BC18CE">
        <w:rPr>
          <w:rFonts w:ascii="Times New Roman" w:hAnsi="Times New Roman"/>
          <w:sz w:val="24"/>
          <w:szCs w:val="24"/>
        </w:rPr>
        <w:t>(2), 347–350. https://doi.org/10.1016/j.jep.2009.02.023</w:t>
      </w:r>
    </w:p>
    <w:p w14:paraId="777DF2BA" w14:textId="45B20CB1"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Lenzen, S. (2008). The mechanisms of alloxan- and streptozotocin-induced diabetes. </w:t>
      </w:r>
      <w:r w:rsidRPr="00BC18CE">
        <w:rPr>
          <w:rFonts w:ascii="Times New Roman" w:hAnsi="Times New Roman"/>
          <w:i/>
          <w:iCs/>
          <w:sz w:val="24"/>
          <w:szCs w:val="24"/>
        </w:rPr>
        <w:t>Diabetologia, 51</w:t>
      </w:r>
      <w:r w:rsidRPr="00BC18CE">
        <w:rPr>
          <w:rFonts w:ascii="Times New Roman" w:hAnsi="Times New Roman"/>
          <w:sz w:val="24"/>
          <w:szCs w:val="24"/>
        </w:rPr>
        <w:t xml:space="preserve">(2), 216–226. </w:t>
      </w:r>
      <w:hyperlink r:id="rId21" w:tgtFrame="_blank" w:history="1">
        <w:r w:rsidRPr="00BC18CE">
          <w:rPr>
            <w:rFonts w:ascii="Times New Roman" w:hAnsi="Times New Roman"/>
            <w:color w:val="0000FF"/>
            <w:sz w:val="24"/>
            <w:szCs w:val="24"/>
            <w:u w:val="single"/>
          </w:rPr>
          <w:t>https://doi.org/10.1007/s00125-007-0886-7</w:t>
        </w:r>
      </w:hyperlink>
      <w:r w:rsidRPr="00BC18CE">
        <w:rPr>
          <w:rFonts w:ascii="Times New Roman" w:hAnsi="Times New Roman"/>
          <w:sz w:val="24"/>
          <w:szCs w:val="24"/>
        </w:rPr>
        <w:t xml:space="preserve"> </w:t>
      </w:r>
    </w:p>
    <w:p w14:paraId="35D5BCA9" w14:textId="3D65C535"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Lepenies, B., Lee, J., &amp; Sonkaria, S. (2013). Targeting C-type lectin receptors with multivalent carbohydrate ligands. </w:t>
      </w:r>
      <w:r w:rsidRPr="00BC18CE">
        <w:rPr>
          <w:rFonts w:ascii="Times New Roman" w:hAnsi="Times New Roman"/>
          <w:i/>
          <w:iCs/>
          <w:sz w:val="24"/>
          <w:szCs w:val="24"/>
        </w:rPr>
        <w:t>Advanced Drug Delivery Reviews, 65</w:t>
      </w:r>
      <w:r w:rsidRPr="00BC18CE">
        <w:rPr>
          <w:rFonts w:ascii="Times New Roman" w:hAnsi="Times New Roman"/>
          <w:sz w:val="24"/>
          <w:szCs w:val="24"/>
        </w:rPr>
        <w:t xml:space="preserve">(9), 1271–1281. https://doi.org/10.1016/j.addr.2013.05.007 </w:t>
      </w:r>
    </w:p>
    <w:p w14:paraId="63B3793B" w14:textId="0EB361E6"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lastRenderedPageBreak/>
        <w:t xml:space="preserve">Martínez, E., Portillo, N., Lizarralde, E., Grau, G., Vela, A., Rodríguez, A., &amp; Rica, I. (2018). For debate: Paediatric T1DM: DKA is still a problem. </w:t>
      </w:r>
      <w:r w:rsidRPr="00BC18CE">
        <w:rPr>
          <w:rFonts w:ascii="Times New Roman" w:hAnsi="Times New Roman"/>
          <w:i/>
          <w:iCs/>
          <w:sz w:val="24"/>
          <w:szCs w:val="24"/>
        </w:rPr>
        <w:t>Pediatric Endocrinology Reviews, 16</w:t>
      </w:r>
      <w:r w:rsidRPr="00BC18CE">
        <w:rPr>
          <w:rFonts w:ascii="Times New Roman" w:hAnsi="Times New Roman"/>
          <w:sz w:val="24"/>
          <w:szCs w:val="24"/>
        </w:rPr>
        <w:t xml:space="preserve">(2), 233–239. https://doi.org/10.17458/per.vol16.2018.mpr.fd.t1dmdka </w:t>
      </w:r>
    </w:p>
    <w:p w14:paraId="773EC477" w14:textId="31516072"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Matthews, D. R., Hosker, J. P., Rudenski, A. S., Naylor, B. A., Treacher, D. F., &amp; Turner, R. C. (1985). Homeostasis model assessment: Insulin resistance and β-cell function from fasting plasma glucose and insulin concentrations in man. </w:t>
      </w:r>
      <w:r w:rsidRPr="00BC18CE">
        <w:rPr>
          <w:rFonts w:ascii="Times New Roman" w:hAnsi="Times New Roman"/>
          <w:i/>
          <w:iCs/>
          <w:sz w:val="24"/>
          <w:szCs w:val="24"/>
        </w:rPr>
        <w:t>Diabetologia, 28</w:t>
      </w:r>
      <w:r w:rsidRPr="00BC18CE">
        <w:rPr>
          <w:rFonts w:ascii="Times New Roman" w:hAnsi="Times New Roman"/>
          <w:sz w:val="24"/>
          <w:szCs w:val="24"/>
        </w:rPr>
        <w:t xml:space="preserve">(7), 412–419. </w:t>
      </w:r>
      <w:hyperlink r:id="rId22" w:tgtFrame="_blank" w:history="1">
        <w:r w:rsidRPr="00BC18CE">
          <w:rPr>
            <w:rFonts w:ascii="Times New Roman" w:hAnsi="Times New Roman"/>
            <w:color w:val="0000FF"/>
            <w:sz w:val="24"/>
            <w:szCs w:val="24"/>
            <w:u w:val="single"/>
          </w:rPr>
          <w:t>https://doi.org/10.1007/BF00280883</w:t>
        </w:r>
      </w:hyperlink>
      <w:r w:rsidRPr="00BC18CE">
        <w:rPr>
          <w:rFonts w:ascii="Times New Roman" w:hAnsi="Times New Roman"/>
          <w:sz w:val="24"/>
          <w:szCs w:val="24"/>
        </w:rPr>
        <w:t xml:space="preserve"> </w:t>
      </w:r>
    </w:p>
    <w:p w14:paraId="3E0408FC" w14:textId="5B3AEC9B"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Murphy, S. L., Xu, J., Kochanek, K. D., Curtin, S. C., &amp; Arias, E. (2017). Deaths: Final data for 2015. </w:t>
      </w:r>
      <w:r w:rsidRPr="00BC18CE">
        <w:rPr>
          <w:rFonts w:ascii="Times New Roman" w:hAnsi="Times New Roman"/>
          <w:i/>
          <w:iCs/>
          <w:sz w:val="24"/>
          <w:szCs w:val="24"/>
        </w:rPr>
        <w:t>National Vital Statistics Reports, 66</w:t>
      </w:r>
      <w:r w:rsidRPr="00BC18CE">
        <w:rPr>
          <w:rFonts w:ascii="Times New Roman" w:hAnsi="Times New Roman"/>
          <w:sz w:val="24"/>
          <w:szCs w:val="24"/>
        </w:rPr>
        <w:t xml:space="preserve">(6), 1–75. </w:t>
      </w:r>
    </w:p>
    <w:p w14:paraId="3BD979D9" w14:textId="09FEDA4B"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DeFronzo, R. A. (2009). From the triumvirate to the ominous octet: A new paradigm for the treatment of type 2 diabetes mellitus. </w:t>
      </w:r>
      <w:r w:rsidRPr="00BC18CE">
        <w:rPr>
          <w:rFonts w:ascii="Times New Roman" w:hAnsi="Times New Roman"/>
          <w:i/>
          <w:iCs/>
          <w:sz w:val="24"/>
          <w:szCs w:val="24"/>
        </w:rPr>
        <w:t>Diabetes, 58</w:t>
      </w:r>
      <w:r w:rsidRPr="00BC18CE">
        <w:rPr>
          <w:rFonts w:ascii="Times New Roman" w:hAnsi="Times New Roman"/>
          <w:sz w:val="24"/>
          <w:szCs w:val="24"/>
        </w:rPr>
        <w:t>(4), 773–795. https://doi.org/10.2337/db09-9028</w:t>
      </w:r>
    </w:p>
    <w:p w14:paraId="21244C8E" w14:textId="69CFF263"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Nnaoma, I. E., Soronadi, N. M., &amp; Robinson, N. (2023). Evaluation of phytochemical screening and in vitro anti-oxidant activities of </w:t>
      </w:r>
      <w:r w:rsidRPr="00BC18CE">
        <w:rPr>
          <w:rFonts w:ascii="Times New Roman" w:hAnsi="Times New Roman"/>
          <w:i/>
          <w:iCs/>
          <w:sz w:val="24"/>
          <w:szCs w:val="24"/>
        </w:rPr>
        <w:t>Trichosanthes cucumerina</w:t>
      </w:r>
      <w:r w:rsidRPr="00BC18CE">
        <w:rPr>
          <w:rFonts w:ascii="Times New Roman" w:hAnsi="Times New Roman"/>
          <w:sz w:val="24"/>
          <w:szCs w:val="24"/>
        </w:rPr>
        <w:t xml:space="preserve">. </w:t>
      </w:r>
      <w:r w:rsidRPr="00BC18CE">
        <w:rPr>
          <w:rFonts w:ascii="Times New Roman" w:hAnsi="Times New Roman"/>
          <w:i/>
          <w:iCs/>
          <w:sz w:val="24"/>
          <w:szCs w:val="24"/>
        </w:rPr>
        <w:t>Scholars Academic Journal of Pharmacy, 12</w:t>
      </w:r>
      <w:r w:rsidRPr="00BC18CE">
        <w:rPr>
          <w:rFonts w:ascii="Times New Roman" w:hAnsi="Times New Roman"/>
          <w:sz w:val="24"/>
          <w:szCs w:val="24"/>
        </w:rPr>
        <w:t xml:space="preserve">(5), 96–103. https://doi.org/10.36347/sajp.2023.v12i05.001 </w:t>
      </w:r>
    </w:p>
    <w:p w14:paraId="0899AB72" w14:textId="04485A02"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Olson, H., Betton, G., Robinson, D., Thomas, K., Monro, A., Kolaja, G., Lilly, P., Sanders, J., Sipes, G., Bracken, W., Dorato, M., Van Deun, K., Smith, P., Berger, B., &amp; Heller, A. (2000). Concordance of the toxicity of pharmaceuticals in humans and in animals. </w:t>
      </w:r>
      <w:r w:rsidRPr="00BC18CE">
        <w:rPr>
          <w:rFonts w:ascii="Times New Roman" w:hAnsi="Times New Roman"/>
          <w:i/>
          <w:iCs/>
          <w:sz w:val="24"/>
          <w:szCs w:val="24"/>
        </w:rPr>
        <w:t>Regulatory Toxicology and Pharmacology, 32</w:t>
      </w:r>
      <w:r w:rsidRPr="00BC18CE">
        <w:rPr>
          <w:rFonts w:ascii="Times New Roman" w:hAnsi="Times New Roman"/>
          <w:sz w:val="24"/>
          <w:szCs w:val="24"/>
        </w:rPr>
        <w:t>(1), 56–67. https://doi.org/10.1006/rtph.2000.1399</w:t>
      </w:r>
    </w:p>
    <w:p w14:paraId="0A52EF50" w14:textId="1ADB9CB7"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Pabuprapap, W., &amp; Suksamrarn, A. (2021). Chemical constituents of the genus </w:t>
      </w:r>
      <w:r w:rsidRPr="00BC18CE">
        <w:rPr>
          <w:rFonts w:ascii="Times New Roman" w:hAnsi="Times New Roman"/>
          <w:i/>
          <w:iCs/>
          <w:sz w:val="24"/>
          <w:szCs w:val="24"/>
        </w:rPr>
        <w:t>Trichosanthes</w:t>
      </w:r>
      <w:r w:rsidRPr="00BC18CE">
        <w:rPr>
          <w:rFonts w:ascii="Times New Roman" w:hAnsi="Times New Roman"/>
          <w:sz w:val="24"/>
          <w:szCs w:val="24"/>
        </w:rPr>
        <w:t xml:space="preserve"> (Cucurbitaceae) and their biological activities: A review. </w:t>
      </w:r>
      <w:r w:rsidRPr="00BC18CE">
        <w:rPr>
          <w:rFonts w:ascii="Times New Roman" w:hAnsi="Times New Roman"/>
          <w:i/>
          <w:iCs/>
          <w:sz w:val="24"/>
          <w:szCs w:val="24"/>
        </w:rPr>
        <w:t>ScienceAsia, 47</w:t>
      </w:r>
      <w:r w:rsidRPr="00BC18CE">
        <w:rPr>
          <w:rFonts w:ascii="Times New Roman" w:hAnsi="Times New Roman"/>
          <w:sz w:val="24"/>
          <w:szCs w:val="24"/>
        </w:rPr>
        <w:t xml:space="preserve">(Suppl. 1), 1–13. </w:t>
      </w:r>
      <w:hyperlink r:id="rId23" w:tgtFrame="_blank" w:history="1">
        <w:r w:rsidRPr="00BC18CE">
          <w:rPr>
            <w:rFonts w:ascii="Times New Roman" w:hAnsi="Times New Roman"/>
            <w:color w:val="0000FF"/>
            <w:sz w:val="24"/>
            <w:szCs w:val="24"/>
            <w:u w:val="single"/>
          </w:rPr>
          <w:t>https://doi.org/10.2306/scienceasia1513-1874.2021.S012</w:t>
        </w:r>
      </w:hyperlink>
      <w:r w:rsidRPr="00BC18CE">
        <w:rPr>
          <w:rFonts w:ascii="Times New Roman" w:hAnsi="Times New Roman"/>
          <w:sz w:val="24"/>
          <w:szCs w:val="24"/>
        </w:rPr>
        <w:t xml:space="preserve"> </w:t>
      </w:r>
    </w:p>
    <w:p w14:paraId="2AB37AB3" w14:textId="51A09F07"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Pietta, P.-G. (2000). Flavonoids as antioxidants. </w:t>
      </w:r>
      <w:r w:rsidRPr="00BC18CE">
        <w:rPr>
          <w:rFonts w:ascii="Times New Roman" w:hAnsi="Times New Roman"/>
          <w:i/>
          <w:iCs/>
          <w:sz w:val="24"/>
          <w:szCs w:val="24"/>
        </w:rPr>
        <w:t>Journal of Natural Products, 63</w:t>
      </w:r>
      <w:r w:rsidRPr="00BC18CE">
        <w:rPr>
          <w:rFonts w:ascii="Times New Roman" w:hAnsi="Times New Roman"/>
          <w:sz w:val="24"/>
          <w:szCs w:val="24"/>
        </w:rPr>
        <w:t xml:space="preserve">(7), 1035–1042. </w:t>
      </w:r>
      <w:hyperlink r:id="rId24" w:tgtFrame="_blank" w:history="1">
        <w:r w:rsidRPr="00BC18CE">
          <w:rPr>
            <w:rFonts w:ascii="Times New Roman" w:hAnsi="Times New Roman"/>
            <w:color w:val="0000FF"/>
            <w:sz w:val="24"/>
            <w:szCs w:val="24"/>
            <w:u w:val="single"/>
          </w:rPr>
          <w:t>https://doi.org/10.1021/np9904509</w:t>
        </w:r>
      </w:hyperlink>
      <w:r w:rsidRPr="00BC18CE">
        <w:rPr>
          <w:rFonts w:ascii="Times New Roman" w:hAnsi="Times New Roman"/>
          <w:sz w:val="24"/>
          <w:szCs w:val="24"/>
        </w:rPr>
        <w:t xml:space="preserve"> </w:t>
      </w:r>
    </w:p>
    <w:p w14:paraId="4276E611" w14:textId="2AFDE85C"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Radharamanan, C., &amp; Perumal, S. (2026). Comparative antidiabetic efficacy of methanolic green fruit extracts of </w:t>
      </w:r>
      <w:r w:rsidRPr="00BC18CE">
        <w:rPr>
          <w:rFonts w:ascii="Times New Roman" w:hAnsi="Times New Roman"/>
          <w:i/>
          <w:iCs/>
          <w:sz w:val="24"/>
          <w:szCs w:val="24"/>
        </w:rPr>
        <w:t>Momordica balsamina</w:t>
      </w:r>
      <w:r w:rsidRPr="00BC18CE">
        <w:rPr>
          <w:rFonts w:ascii="Times New Roman" w:hAnsi="Times New Roman"/>
          <w:sz w:val="24"/>
          <w:szCs w:val="24"/>
        </w:rPr>
        <w:t xml:space="preserve"> L. and </w:t>
      </w:r>
      <w:r w:rsidRPr="00BC18CE">
        <w:rPr>
          <w:rFonts w:ascii="Times New Roman" w:hAnsi="Times New Roman"/>
          <w:i/>
          <w:iCs/>
          <w:sz w:val="24"/>
          <w:szCs w:val="24"/>
        </w:rPr>
        <w:t>Trichosanthes cucumerina</w:t>
      </w:r>
      <w:r w:rsidRPr="00BC18CE">
        <w:rPr>
          <w:rFonts w:ascii="Times New Roman" w:hAnsi="Times New Roman"/>
          <w:sz w:val="24"/>
          <w:szCs w:val="24"/>
        </w:rPr>
        <w:t xml:space="preserve"> subsp. </w:t>
      </w:r>
      <w:r w:rsidRPr="00BC18CE">
        <w:rPr>
          <w:rFonts w:ascii="Times New Roman" w:hAnsi="Times New Roman"/>
          <w:i/>
          <w:iCs/>
          <w:sz w:val="24"/>
          <w:szCs w:val="24"/>
        </w:rPr>
        <w:t>cucumerina</w:t>
      </w:r>
      <w:r w:rsidRPr="00BC18CE">
        <w:rPr>
          <w:rFonts w:ascii="Times New Roman" w:hAnsi="Times New Roman"/>
          <w:sz w:val="24"/>
          <w:szCs w:val="24"/>
        </w:rPr>
        <w:t xml:space="preserve"> in streptozotocin-induced diabetic Wistar rats. </w:t>
      </w:r>
      <w:r w:rsidRPr="00BC18CE">
        <w:rPr>
          <w:rFonts w:ascii="Times New Roman" w:hAnsi="Times New Roman"/>
          <w:i/>
          <w:iCs/>
          <w:sz w:val="24"/>
          <w:szCs w:val="24"/>
        </w:rPr>
        <w:t>Pharmacological Research - Natural Products, 11</w:t>
      </w:r>
      <w:r w:rsidRPr="00BC18CE">
        <w:rPr>
          <w:rFonts w:ascii="Times New Roman" w:hAnsi="Times New Roman"/>
          <w:sz w:val="24"/>
          <w:szCs w:val="24"/>
        </w:rPr>
        <w:t xml:space="preserve">, 100746. </w:t>
      </w:r>
      <w:hyperlink r:id="rId25" w:tgtFrame="_blank" w:history="1">
        <w:r w:rsidRPr="00BC18CE">
          <w:rPr>
            <w:rFonts w:ascii="Times New Roman" w:hAnsi="Times New Roman"/>
            <w:color w:val="0000FF"/>
            <w:sz w:val="24"/>
            <w:szCs w:val="24"/>
            <w:u w:val="single"/>
          </w:rPr>
          <w:t>https://doi.org/10.1016/j.prenap.2026.100746</w:t>
        </w:r>
      </w:hyperlink>
      <w:r w:rsidRPr="00BC18CE">
        <w:rPr>
          <w:rFonts w:ascii="Times New Roman" w:hAnsi="Times New Roman"/>
          <w:sz w:val="24"/>
          <w:szCs w:val="24"/>
        </w:rPr>
        <w:t xml:space="preserve"> </w:t>
      </w:r>
    </w:p>
    <w:p w14:paraId="6664E720" w14:textId="50EDF677"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Rao, G. H. R. (2011). Management of type-2 diabetes with anti-platelet therapies: Special reference to aspirin. </w:t>
      </w:r>
      <w:r w:rsidRPr="00BC18CE">
        <w:rPr>
          <w:rFonts w:ascii="Times New Roman" w:hAnsi="Times New Roman"/>
          <w:i/>
          <w:iCs/>
          <w:sz w:val="24"/>
          <w:szCs w:val="24"/>
        </w:rPr>
        <w:t>Frontiers in Bioscience (Scholar Edition), 3</w:t>
      </w:r>
      <w:r w:rsidRPr="00BC18CE">
        <w:rPr>
          <w:rFonts w:ascii="Times New Roman" w:hAnsi="Times New Roman"/>
          <w:sz w:val="24"/>
          <w:szCs w:val="24"/>
        </w:rPr>
        <w:t xml:space="preserve">(1), 1–15. </w:t>
      </w:r>
      <w:hyperlink r:id="rId26" w:tgtFrame="_blank" w:history="1">
        <w:r w:rsidRPr="00BC18CE">
          <w:rPr>
            <w:rFonts w:ascii="Times New Roman" w:hAnsi="Times New Roman"/>
            <w:color w:val="0000FF"/>
            <w:sz w:val="24"/>
            <w:szCs w:val="24"/>
            <w:u w:val="single"/>
          </w:rPr>
          <w:t>https://doi.org/10.2741/s127</w:t>
        </w:r>
      </w:hyperlink>
      <w:r w:rsidRPr="00BC18CE">
        <w:rPr>
          <w:rFonts w:ascii="Times New Roman" w:hAnsi="Times New Roman"/>
          <w:sz w:val="24"/>
          <w:szCs w:val="24"/>
        </w:rPr>
        <w:t xml:space="preserve"> </w:t>
      </w:r>
    </w:p>
    <w:p w14:paraId="4803A55E" w14:textId="4D934C59"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Rehman, H. U., Ullah, K., Rasool, A., Manzoor, R., Yuan, Y., Tareen, A. M., Kaleem, I., Riaz, N., Hameed, S., &amp; Bashir, S. (2023). Comparative impact of streptozotocin on altering normal glucose homeostasis in diabetic rats compared to normoglycemic rats. </w:t>
      </w:r>
      <w:r w:rsidRPr="00BC18CE">
        <w:rPr>
          <w:rFonts w:ascii="Times New Roman" w:hAnsi="Times New Roman"/>
          <w:i/>
          <w:iCs/>
          <w:sz w:val="24"/>
          <w:szCs w:val="24"/>
        </w:rPr>
        <w:t>Scientific Reports, 13</w:t>
      </w:r>
      <w:r w:rsidRPr="00BC18CE">
        <w:rPr>
          <w:rFonts w:ascii="Times New Roman" w:hAnsi="Times New Roman"/>
          <w:sz w:val="24"/>
          <w:szCs w:val="24"/>
        </w:rPr>
        <w:t xml:space="preserve">, 7921. https://doi.org/10.1038/s41598-023-29445-8 </w:t>
      </w:r>
    </w:p>
    <w:p w14:paraId="4EEBF2D2" w14:textId="1E3447CD"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Thapa, B. R., &amp; Walia, A. (2007). Liver function tests and their interpretation. </w:t>
      </w:r>
      <w:r w:rsidRPr="00BC18CE">
        <w:rPr>
          <w:rFonts w:ascii="Times New Roman" w:hAnsi="Times New Roman"/>
          <w:i/>
          <w:iCs/>
          <w:sz w:val="24"/>
          <w:szCs w:val="24"/>
        </w:rPr>
        <w:t>Indian Journal of Pediatrics, 74</w:t>
      </w:r>
      <w:r w:rsidRPr="00BC18CE">
        <w:rPr>
          <w:rFonts w:ascii="Times New Roman" w:hAnsi="Times New Roman"/>
          <w:sz w:val="24"/>
          <w:szCs w:val="24"/>
        </w:rPr>
        <w:t xml:space="preserve">(7), 663–671. https://doi.org/10.1007/s12098-007-0118-7 </w:t>
      </w:r>
    </w:p>
    <w:p w14:paraId="4CCF3CCD" w14:textId="1FBB38AC"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Tseng, C.-H. (2011). Diabetes and risk of bladder cancer: A study using the National Health Insurance database in Taiwan. </w:t>
      </w:r>
      <w:r w:rsidRPr="00BC18CE">
        <w:rPr>
          <w:rFonts w:ascii="Times New Roman" w:hAnsi="Times New Roman"/>
          <w:i/>
          <w:iCs/>
          <w:sz w:val="24"/>
          <w:szCs w:val="24"/>
        </w:rPr>
        <w:t>Diabetologia, 54</w:t>
      </w:r>
      <w:r w:rsidRPr="00BC18CE">
        <w:rPr>
          <w:rFonts w:ascii="Times New Roman" w:hAnsi="Times New Roman"/>
          <w:sz w:val="24"/>
          <w:szCs w:val="24"/>
        </w:rPr>
        <w:t xml:space="preserve">(8), 2009–2015. https://doi.org/10.1007/s00125-011-2171-z </w:t>
      </w:r>
    </w:p>
    <w:p w14:paraId="455C6E7F" w14:textId="7C289549"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Ugbaja, C. C., Fawibe, O. O., Oyelakin, A. S., Fadimu, I. O., Ajiboye, A. A., &amp; Agboola, D. A. (2017). Comparative phytochemical and nutritional composition of </w:t>
      </w:r>
      <w:r w:rsidRPr="00BC18CE">
        <w:rPr>
          <w:rFonts w:ascii="Times New Roman" w:hAnsi="Times New Roman"/>
          <w:i/>
          <w:iCs/>
          <w:sz w:val="24"/>
          <w:szCs w:val="24"/>
        </w:rPr>
        <w:t>Trichosanthes cucumerina</w:t>
      </w:r>
      <w:r w:rsidRPr="00BC18CE">
        <w:rPr>
          <w:rFonts w:ascii="Times New Roman" w:hAnsi="Times New Roman"/>
          <w:sz w:val="24"/>
          <w:szCs w:val="24"/>
        </w:rPr>
        <w:t xml:space="preserve"> (L.) and some </w:t>
      </w:r>
      <w:r w:rsidRPr="00BC18CE">
        <w:rPr>
          <w:rFonts w:ascii="Times New Roman" w:hAnsi="Times New Roman"/>
          <w:i/>
          <w:iCs/>
          <w:sz w:val="24"/>
          <w:szCs w:val="24"/>
        </w:rPr>
        <w:t>Solanum lycopersicum</w:t>
      </w:r>
      <w:r w:rsidRPr="00BC18CE">
        <w:rPr>
          <w:rFonts w:ascii="Times New Roman" w:hAnsi="Times New Roman"/>
          <w:sz w:val="24"/>
          <w:szCs w:val="24"/>
        </w:rPr>
        <w:t xml:space="preserve"> (L.) cultivars in Nigeria. </w:t>
      </w:r>
      <w:r w:rsidRPr="00BC18CE">
        <w:rPr>
          <w:rFonts w:ascii="Times New Roman" w:hAnsi="Times New Roman"/>
          <w:i/>
          <w:iCs/>
          <w:sz w:val="24"/>
          <w:szCs w:val="24"/>
        </w:rPr>
        <w:t>American Journal of Plant Sciences, 8</w:t>
      </w:r>
      <w:r w:rsidRPr="00BC18CE">
        <w:rPr>
          <w:rFonts w:ascii="Times New Roman" w:hAnsi="Times New Roman"/>
          <w:sz w:val="24"/>
          <w:szCs w:val="24"/>
        </w:rPr>
        <w:t xml:space="preserve">(2), 297–309. </w:t>
      </w:r>
      <w:hyperlink r:id="rId27" w:tgtFrame="_blank" w:history="1">
        <w:r w:rsidRPr="00BC18CE">
          <w:rPr>
            <w:rFonts w:ascii="Times New Roman" w:hAnsi="Times New Roman"/>
            <w:color w:val="0000FF"/>
            <w:sz w:val="24"/>
            <w:szCs w:val="24"/>
            <w:u w:val="single"/>
          </w:rPr>
          <w:t>https://doi.org/10.4236/ajps.2017.82021</w:t>
        </w:r>
      </w:hyperlink>
      <w:r w:rsidRPr="00BC18CE">
        <w:rPr>
          <w:rFonts w:ascii="Times New Roman" w:hAnsi="Times New Roman"/>
          <w:sz w:val="24"/>
          <w:szCs w:val="24"/>
        </w:rPr>
        <w:t xml:space="preserve"> </w:t>
      </w:r>
    </w:p>
    <w:p w14:paraId="0607D8CE" w14:textId="219D1B41" w:rsidR="00BC18CE" w:rsidRPr="00BC18CE" w:rsidRDefault="00BC18CE" w:rsidP="00BC18CE">
      <w:pPr>
        <w:ind w:left="630" w:hanging="630"/>
        <w:jc w:val="both"/>
        <w:rPr>
          <w:rFonts w:ascii="Times New Roman" w:hAnsi="Times New Roman"/>
          <w:sz w:val="24"/>
          <w:szCs w:val="24"/>
          <w:lang w:val="nl-BE"/>
        </w:rPr>
      </w:pPr>
      <w:r w:rsidRPr="00BC18CE">
        <w:rPr>
          <w:rFonts w:ascii="Times New Roman" w:hAnsi="Times New Roman"/>
          <w:sz w:val="24"/>
          <w:szCs w:val="24"/>
          <w:lang w:val="nl-BE"/>
        </w:rPr>
        <w:t xml:space="preserve">Victor, F. M., de Lima Andrade, S. R., &amp; Bandeira, F. (2022). </w:t>
      </w:r>
      <w:r w:rsidRPr="00BC18CE">
        <w:rPr>
          <w:rFonts w:ascii="Times New Roman" w:hAnsi="Times New Roman"/>
          <w:sz w:val="24"/>
          <w:szCs w:val="24"/>
        </w:rPr>
        <w:t xml:space="preserve">Diabetic ketoacidosis and hyperosmolar hyperglycemic state. In F. Bandeira, H. Gharib, L. Griz, &amp; M. Faria (Eds.), </w:t>
      </w:r>
      <w:r w:rsidRPr="00BC18CE">
        <w:rPr>
          <w:rFonts w:ascii="Times New Roman" w:hAnsi="Times New Roman"/>
          <w:i/>
          <w:iCs/>
          <w:sz w:val="24"/>
          <w:szCs w:val="24"/>
        </w:rPr>
        <w:t>Endocrinology and diabetes: A problem oriented approach</w:t>
      </w:r>
      <w:r w:rsidRPr="00BC18CE">
        <w:rPr>
          <w:rFonts w:ascii="Times New Roman" w:hAnsi="Times New Roman"/>
          <w:sz w:val="24"/>
          <w:szCs w:val="24"/>
        </w:rPr>
        <w:t xml:space="preserve"> (2nd ed., pp. 355–362). </w:t>
      </w:r>
      <w:r w:rsidRPr="00BC18CE">
        <w:rPr>
          <w:rFonts w:ascii="Times New Roman" w:hAnsi="Times New Roman"/>
          <w:sz w:val="24"/>
          <w:szCs w:val="24"/>
          <w:lang w:val="nl-BE"/>
        </w:rPr>
        <w:t xml:space="preserve">Springer. https://doi.org/10.1007/978-3-030-90684-9_33 </w:t>
      </w:r>
    </w:p>
    <w:p w14:paraId="76150211" w14:textId="6A6B76C7"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lang w:val="nl-BE"/>
        </w:rPr>
        <w:t xml:space="preserve">Wang, L., Yan, N., Zhang, M., Pan, R., Dang, Y., &amp; Niu, Y. (2022). </w:t>
      </w:r>
      <w:r w:rsidRPr="00BC18CE">
        <w:rPr>
          <w:rFonts w:ascii="Times New Roman" w:hAnsi="Times New Roman"/>
          <w:sz w:val="24"/>
          <w:szCs w:val="24"/>
        </w:rPr>
        <w:t xml:space="preserve">The association between blood glucose levels and lipids or lipid ratios in type 2 diabetes patients: A cross-sectional study. </w:t>
      </w:r>
      <w:r w:rsidRPr="00BC18CE">
        <w:rPr>
          <w:rFonts w:ascii="Times New Roman" w:hAnsi="Times New Roman"/>
          <w:i/>
          <w:iCs/>
          <w:sz w:val="24"/>
          <w:szCs w:val="24"/>
        </w:rPr>
        <w:t>Frontiers in Endocrinology, 13</w:t>
      </w:r>
      <w:r w:rsidRPr="00BC18CE">
        <w:rPr>
          <w:rFonts w:ascii="Times New Roman" w:hAnsi="Times New Roman"/>
          <w:sz w:val="24"/>
          <w:szCs w:val="24"/>
        </w:rPr>
        <w:t xml:space="preserve">, 969080. https://doi.org/10.3389/fendo.2022.969080 </w:t>
      </w:r>
    </w:p>
    <w:p w14:paraId="1EFD3EF6" w14:textId="018DB1F3"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Wannamethee, S. G., Shaper, A. G., Whincup, P. H., Lennon, L., &amp; Sattar, N. (2011). Impact of diabetes on cardiovascular disease risk and all-cause mortality in older men: Influence of age at onset, diabetes </w:t>
      </w:r>
      <w:r w:rsidRPr="00BC18CE">
        <w:rPr>
          <w:rFonts w:ascii="Times New Roman" w:hAnsi="Times New Roman"/>
          <w:sz w:val="24"/>
          <w:szCs w:val="24"/>
        </w:rPr>
        <w:lastRenderedPageBreak/>
        <w:t xml:space="preserve">duration, and established and novel risk factors. </w:t>
      </w:r>
      <w:r w:rsidRPr="00BC18CE">
        <w:rPr>
          <w:rFonts w:ascii="Times New Roman" w:hAnsi="Times New Roman"/>
          <w:i/>
          <w:iCs/>
          <w:sz w:val="24"/>
          <w:szCs w:val="24"/>
        </w:rPr>
        <w:t>Archives of Internal Medicine, 171</w:t>
      </w:r>
      <w:r w:rsidRPr="00BC18CE">
        <w:rPr>
          <w:rFonts w:ascii="Times New Roman" w:hAnsi="Times New Roman"/>
          <w:sz w:val="24"/>
          <w:szCs w:val="24"/>
        </w:rPr>
        <w:t xml:space="preserve">(5), 404–410. https://doi.org/10.1001/archinternmed.2011.2 </w:t>
      </w:r>
    </w:p>
    <w:p w14:paraId="746535B6" w14:textId="4F555AA1" w:rsidR="00BC18CE" w:rsidRPr="00BC18CE" w:rsidRDefault="00BC18CE" w:rsidP="00BC18CE">
      <w:pPr>
        <w:ind w:left="630" w:hanging="630"/>
        <w:jc w:val="both"/>
        <w:rPr>
          <w:rFonts w:ascii="Times New Roman" w:hAnsi="Times New Roman"/>
          <w:sz w:val="24"/>
          <w:szCs w:val="24"/>
        </w:rPr>
      </w:pPr>
      <w:r w:rsidRPr="00BC18CE">
        <w:rPr>
          <w:rFonts w:ascii="Times New Roman" w:hAnsi="Times New Roman"/>
          <w:sz w:val="24"/>
          <w:szCs w:val="24"/>
        </w:rPr>
        <w:t xml:space="preserve">Yamazaki, D., Hitomi, H., &amp; Nishiyama, A. (2018). Hypertension with diabetes mellitus complications. </w:t>
      </w:r>
      <w:r w:rsidRPr="00BC18CE">
        <w:rPr>
          <w:rFonts w:ascii="Times New Roman" w:hAnsi="Times New Roman"/>
          <w:i/>
          <w:iCs/>
          <w:sz w:val="24"/>
          <w:szCs w:val="24"/>
        </w:rPr>
        <w:t>Hypertension Research, 41</w:t>
      </w:r>
      <w:r w:rsidRPr="00BC18CE">
        <w:rPr>
          <w:rFonts w:ascii="Times New Roman" w:hAnsi="Times New Roman"/>
          <w:sz w:val="24"/>
          <w:szCs w:val="24"/>
        </w:rPr>
        <w:t xml:space="preserve">(3), 147–156. https://doi.org/10.1038/s41440-017-0008-y </w:t>
      </w:r>
    </w:p>
    <w:p w14:paraId="28020885" w14:textId="394C9072" w:rsidR="00B01FCD" w:rsidRPr="00FB3A86" w:rsidRDefault="00BC18CE" w:rsidP="00BC18CE">
      <w:pPr>
        <w:pStyle w:val="Appendix"/>
        <w:ind w:left="630" w:hanging="630"/>
        <w:jc w:val="both"/>
        <w:rPr>
          <w:rFonts w:ascii="Arial" w:hAnsi="Arial" w:cs="Arial"/>
          <w:b w:val="0"/>
        </w:rPr>
      </w:pPr>
      <w:r w:rsidRPr="00BC18CE">
        <w:rPr>
          <w:rFonts w:ascii="Times New Roman" w:hAnsi="Times New Roman"/>
          <w:b w:val="0"/>
          <w:caps w:val="0"/>
          <w:sz w:val="24"/>
          <w:szCs w:val="24"/>
        </w:rPr>
        <w:t xml:space="preserve">Zafar, M., &amp; Naeem-ul-Hassan Naqvi, S. (2010). Effects of STZ-induced diabetes on the relative weights of kidney, liver and pancreas in albino rats: A comparative study. </w:t>
      </w:r>
      <w:r w:rsidRPr="00BC18CE">
        <w:rPr>
          <w:rFonts w:ascii="Times New Roman" w:hAnsi="Times New Roman"/>
          <w:b w:val="0"/>
          <w:i/>
          <w:iCs/>
          <w:caps w:val="0"/>
          <w:sz w:val="24"/>
          <w:szCs w:val="24"/>
        </w:rPr>
        <w:t>International Journal of Morphology, 28</w:t>
      </w:r>
      <w:r w:rsidRPr="00BC18CE">
        <w:rPr>
          <w:rFonts w:ascii="Times New Roman" w:hAnsi="Times New Roman"/>
          <w:b w:val="0"/>
          <w:caps w:val="0"/>
          <w:sz w:val="24"/>
          <w:szCs w:val="24"/>
        </w:rPr>
        <w:t>(1), 135–142. https://doi.org/10.4067/S0717-95022010000100019</w:t>
      </w:r>
    </w:p>
    <w:sectPr w:rsidR="00B01FCD" w:rsidRPr="00FB3A86" w:rsidSect="003F0273">
      <w:headerReference w:type="even" r:id="rId28"/>
      <w:headerReference w:type="default" r:id="rId29"/>
      <w:footerReference w:type="default" r:id="rId30"/>
      <w:headerReference w:type="first" r:id="rId3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D345A" w14:textId="77777777" w:rsidR="00954A9A" w:rsidRDefault="00954A9A" w:rsidP="00C37E61">
      <w:r>
        <w:separator/>
      </w:r>
    </w:p>
  </w:endnote>
  <w:endnote w:type="continuationSeparator" w:id="0">
    <w:p w14:paraId="54DF02E8" w14:textId="77777777" w:rsidR="00954A9A" w:rsidRDefault="00954A9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11D70" w14:textId="77777777" w:rsidR="00C96916" w:rsidRDefault="00C96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E4730" w14:textId="77777777" w:rsidR="00C96916" w:rsidRDefault="00C96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E12C" w14:textId="77777777" w:rsidR="005D2D54" w:rsidRPr="00C96916" w:rsidRDefault="005D2D54" w:rsidP="00C969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3842" w14:textId="77777777" w:rsidR="005D2D54" w:rsidRPr="00C37E61" w:rsidRDefault="005D2D54"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86CAC" w14:textId="77777777" w:rsidR="00954A9A" w:rsidRDefault="00954A9A" w:rsidP="00C37E61">
      <w:r>
        <w:separator/>
      </w:r>
    </w:p>
  </w:footnote>
  <w:footnote w:type="continuationSeparator" w:id="0">
    <w:p w14:paraId="0B11CA48" w14:textId="77777777" w:rsidR="00954A9A" w:rsidRDefault="00954A9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7DD79" w14:textId="77777777" w:rsidR="00C96916" w:rsidRDefault="00000000">
    <w:pPr>
      <w:pStyle w:val="Header"/>
    </w:pPr>
    <w:r>
      <w:rPr>
        <w:noProof/>
      </w:rPr>
      <w:pict w14:anchorId="2BB9E7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2"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11D0" w14:textId="77777777" w:rsidR="00C96916" w:rsidRDefault="00000000">
    <w:pPr>
      <w:pStyle w:val="Header"/>
    </w:pPr>
    <w:r>
      <w:rPr>
        <w:noProof/>
      </w:rPr>
      <w:pict w14:anchorId="098C88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3"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8456" w14:textId="77777777" w:rsidR="005D2D54" w:rsidRPr="00296529" w:rsidRDefault="00000000" w:rsidP="00296529">
    <w:pPr>
      <w:ind w:left="2160"/>
      <w:jc w:val="center"/>
      <w:rPr>
        <w:rFonts w:ascii="Times New Roman" w:eastAsia="Calibri" w:hAnsi="Times New Roman"/>
        <w:i/>
        <w:sz w:val="18"/>
        <w:szCs w:val="22"/>
      </w:rPr>
    </w:pPr>
    <w:r>
      <w:rPr>
        <w:noProof/>
      </w:rPr>
      <w:pict w14:anchorId="67B237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1"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6CB9AD4" w14:textId="77777777" w:rsidR="005D2D54" w:rsidRPr="00296529" w:rsidRDefault="005D2D5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BFF8AB6" w14:textId="77777777" w:rsidR="005D2D54" w:rsidRPr="00296529" w:rsidRDefault="005D2D5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5793DD5" w14:textId="77777777" w:rsidR="005D2D54" w:rsidRPr="00296529" w:rsidRDefault="005D2D5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7460CCA" w14:textId="77777777" w:rsidR="005D2D54" w:rsidRDefault="005D2D5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5657753" w14:textId="77777777" w:rsidR="005D2D54" w:rsidRDefault="005D2D5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09F921C" w14:textId="77777777" w:rsidR="005D2D54" w:rsidRDefault="005D2D54">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5BC8" w14:textId="77777777" w:rsidR="00C96916" w:rsidRDefault="00000000">
    <w:pPr>
      <w:pStyle w:val="Header"/>
    </w:pPr>
    <w:r>
      <w:rPr>
        <w:noProof/>
      </w:rPr>
      <w:pict w14:anchorId="1B1D99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5"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BB9BFA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6E67" w14:textId="77777777" w:rsidR="00C96916" w:rsidRDefault="00000000">
    <w:pPr>
      <w:pStyle w:val="Header"/>
    </w:pPr>
    <w:r>
      <w:rPr>
        <w:noProof/>
      </w:rPr>
      <w:pict w14:anchorId="57BA3B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6"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E08DA2D">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D85E" w14:textId="77777777" w:rsidR="00C96916" w:rsidRPr="00296529" w:rsidRDefault="00000000" w:rsidP="00296529">
    <w:pPr>
      <w:ind w:left="2160"/>
      <w:jc w:val="center"/>
      <w:rPr>
        <w:rFonts w:ascii="Times New Roman" w:eastAsia="Calibri" w:hAnsi="Times New Roman"/>
        <w:i/>
        <w:sz w:val="18"/>
        <w:szCs w:val="22"/>
      </w:rPr>
    </w:pPr>
    <w:r>
      <w:rPr>
        <w:noProof/>
      </w:rPr>
      <w:pict w14:anchorId="0788D4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4"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E131CD1">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2017194" w14:textId="77777777" w:rsidR="00C96916" w:rsidRPr="00296529" w:rsidRDefault="00C9691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C6F1607" w14:textId="77777777" w:rsidR="00C96916" w:rsidRPr="00296529" w:rsidRDefault="00C9691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CACED85" w14:textId="77777777" w:rsidR="00C96916" w:rsidRPr="00296529" w:rsidRDefault="00C9691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1210593" w14:textId="77777777" w:rsidR="00C96916" w:rsidRDefault="00C9691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ADF8E6D" w14:textId="77777777" w:rsidR="00C96916" w:rsidRDefault="00C9691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D67C404" w14:textId="77777777" w:rsidR="00C96916" w:rsidRDefault="00C9691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4D03E7C"/>
    <w:multiLevelType w:val="hybridMultilevel"/>
    <w:tmpl w:val="D5803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7C287F"/>
    <w:multiLevelType w:val="hybridMultilevel"/>
    <w:tmpl w:val="8892E8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883190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88399384">
    <w:abstractNumId w:val="15"/>
  </w:num>
  <w:num w:numId="3" w16cid:durableId="1726566171">
    <w:abstractNumId w:val="24"/>
  </w:num>
  <w:num w:numId="4" w16cid:durableId="156370985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27514323">
    <w:abstractNumId w:val="7"/>
  </w:num>
  <w:num w:numId="6" w16cid:durableId="979191272">
    <w:abstractNumId w:val="6"/>
  </w:num>
  <w:num w:numId="7" w16cid:durableId="793332705">
    <w:abstractNumId w:val="1"/>
  </w:num>
  <w:num w:numId="8" w16cid:durableId="1056973720">
    <w:abstractNumId w:val="12"/>
  </w:num>
  <w:num w:numId="9" w16cid:durableId="1187254142">
    <w:abstractNumId w:val="27"/>
  </w:num>
  <w:num w:numId="10" w16cid:durableId="1058943494">
    <w:abstractNumId w:val="2"/>
  </w:num>
  <w:num w:numId="11" w16cid:durableId="720062178">
    <w:abstractNumId w:val="19"/>
  </w:num>
  <w:num w:numId="12" w16cid:durableId="2004701379">
    <w:abstractNumId w:val="3"/>
  </w:num>
  <w:num w:numId="13" w16cid:durableId="1688367256">
    <w:abstractNumId w:val="17"/>
  </w:num>
  <w:num w:numId="14" w16cid:durableId="669452000">
    <w:abstractNumId w:val="8"/>
  </w:num>
  <w:num w:numId="15" w16cid:durableId="314338825">
    <w:abstractNumId w:val="22"/>
  </w:num>
  <w:num w:numId="16" w16cid:durableId="531381899">
    <w:abstractNumId w:val="5"/>
  </w:num>
  <w:num w:numId="17" w16cid:durableId="1203445177">
    <w:abstractNumId w:val="23"/>
  </w:num>
  <w:num w:numId="18" w16cid:durableId="983777832">
    <w:abstractNumId w:val="14"/>
  </w:num>
  <w:num w:numId="19" w16cid:durableId="966399136">
    <w:abstractNumId w:val="30"/>
  </w:num>
  <w:num w:numId="20" w16cid:durableId="69157691">
    <w:abstractNumId w:val="11"/>
  </w:num>
  <w:num w:numId="21" w16cid:durableId="177426770">
    <w:abstractNumId w:val="9"/>
  </w:num>
  <w:num w:numId="22" w16cid:durableId="45951620">
    <w:abstractNumId w:val="13"/>
  </w:num>
  <w:num w:numId="23" w16cid:durableId="537547405">
    <w:abstractNumId w:val="20"/>
  </w:num>
  <w:num w:numId="24" w16cid:durableId="1675259325">
    <w:abstractNumId w:val="28"/>
  </w:num>
  <w:num w:numId="25" w16cid:durableId="146098660">
    <w:abstractNumId w:val="4"/>
  </w:num>
  <w:num w:numId="26" w16cid:durableId="874539295">
    <w:abstractNumId w:val="16"/>
  </w:num>
  <w:num w:numId="27" w16cid:durableId="768476890">
    <w:abstractNumId w:val="21"/>
  </w:num>
  <w:num w:numId="28" w16cid:durableId="987787657">
    <w:abstractNumId w:val="29"/>
  </w:num>
  <w:num w:numId="29" w16cid:durableId="1125543225">
    <w:abstractNumId w:val="26"/>
  </w:num>
  <w:num w:numId="30" w16cid:durableId="1948346184">
    <w:abstractNumId w:val="10"/>
  </w:num>
  <w:num w:numId="31" w16cid:durableId="1401556604">
    <w:abstractNumId w:val="18"/>
  </w:num>
  <w:num w:numId="32" w16cid:durableId="131310050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18F1"/>
    <w:rsid w:val="0004579C"/>
    <w:rsid w:val="000A47FA"/>
    <w:rsid w:val="000A65D3"/>
    <w:rsid w:val="000B1E33"/>
    <w:rsid w:val="000D689F"/>
    <w:rsid w:val="000E7B7B"/>
    <w:rsid w:val="000E7D62"/>
    <w:rsid w:val="00103357"/>
    <w:rsid w:val="00123C9F"/>
    <w:rsid w:val="00126190"/>
    <w:rsid w:val="00130F17"/>
    <w:rsid w:val="001320BF"/>
    <w:rsid w:val="001419EA"/>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882"/>
    <w:rsid w:val="002B27FB"/>
    <w:rsid w:val="002B685A"/>
    <w:rsid w:val="002C57D2"/>
    <w:rsid w:val="002E0D56"/>
    <w:rsid w:val="00315186"/>
    <w:rsid w:val="0033343E"/>
    <w:rsid w:val="003512C2"/>
    <w:rsid w:val="0036308B"/>
    <w:rsid w:val="00371FB6"/>
    <w:rsid w:val="0037627D"/>
    <w:rsid w:val="003763C1"/>
    <w:rsid w:val="00376BBE"/>
    <w:rsid w:val="00376E36"/>
    <w:rsid w:val="0039224F"/>
    <w:rsid w:val="003A43A4"/>
    <w:rsid w:val="003A7E18"/>
    <w:rsid w:val="003C4C86"/>
    <w:rsid w:val="003C6258"/>
    <w:rsid w:val="003E2904"/>
    <w:rsid w:val="003F0273"/>
    <w:rsid w:val="00401927"/>
    <w:rsid w:val="00406D9C"/>
    <w:rsid w:val="0041027F"/>
    <w:rsid w:val="00412475"/>
    <w:rsid w:val="00412D64"/>
    <w:rsid w:val="00423789"/>
    <w:rsid w:val="00440F43"/>
    <w:rsid w:val="004412D8"/>
    <w:rsid w:val="00441B6F"/>
    <w:rsid w:val="00446221"/>
    <w:rsid w:val="00450E62"/>
    <w:rsid w:val="004536F8"/>
    <w:rsid w:val="004539DB"/>
    <w:rsid w:val="00471A80"/>
    <w:rsid w:val="00487FEC"/>
    <w:rsid w:val="004D305E"/>
    <w:rsid w:val="004D4277"/>
    <w:rsid w:val="00502516"/>
    <w:rsid w:val="00505F06"/>
    <w:rsid w:val="00506828"/>
    <w:rsid w:val="0052111D"/>
    <w:rsid w:val="00524AD2"/>
    <w:rsid w:val="0053056E"/>
    <w:rsid w:val="00554FDA"/>
    <w:rsid w:val="00584C7D"/>
    <w:rsid w:val="005C784C"/>
    <w:rsid w:val="005D17F6"/>
    <w:rsid w:val="005D2D54"/>
    <w:rsid w:val="005E5539"/>
    <w:rsid w:val="00602BF5"/>
    <w:rsid w:val="00617FDD"/>
    <w:rsid w:val="00620650"/>
    <w:rsid w:val="00633614"/>
    <w:rsid w:val="00633F68"/>
    <w:rsid w:val="00636EB2"/>
    <w:rsid w:val="006375B8"/>
    <w:rsid w:val="00654AF6"/>
    <w:rsid w:val="00661AA4"/>
    <w:rsid w:val="0066510A"/>
    <w:rsid w:val="00673F9F"/>
    <w:rsid w:val="00686953"/>
    <w:rsid w:val="00687DEA"/>
    <w:rsid w:val="00687E67"/>
    <w:rsid w:val="006967F7"/>
    <w:rsid w:val="00697D53"/>
    <w:rsid w:val="006A250C"/>
    <w:rsid w:val="006B21D3"/>
    <w:rsid w:val="006B2CCA"/>
    <w:rsid w:val="006B57D0"/>
    <w:rsid w:val="006D30FF"/>
    <w:rsid w:val="006D6940"/>
    <w:rsid w:val="006F11EC"/>
    <w:rsid w:val="0070082C"/>
    <w:rsid w:val="00712981"/>
    <w:rsid w:val="007369E6"/>
    <w:rsid w:val="00746E59"/>
    <w:rsid w:val="00754C9A"/>
    <w:rsid w:val="0075599A"/>
    <w:rsid w:val="00761D52"/>
    <w:rsid w:val="0077749E"/>
    <w:rsid w:val="00790ADA"/>
    <w:rsid w:val="007D1261"/>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47723"/>
    <w:rsid w:val="009500A6"/>
    <w:rsid w:val="0095083D"/>
    <w:rsid w:val="00954A9A"/>
    <w:rsid w:val="00957C18"/>
    <w:rsid w:val="009659BA"/>
    <w:rsid w:val="00983040"/>
    <w:rsid w:val="00985B77"/>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12BE"/>
    <w:rsid w:val="00AC6BB8"/>
    <w:rsid w:val="00AE008F"/>
    <w:rsid w:val="00B01FCD"/>
    <w:rsid w:val="00B1776C"/>
    <w:rsid w:val="00B43802"/>
    <w:rsid w:val="00B52583"/>
    <w:rsid w:val="00B52896"/>
    <w:rsid w:val="00B54752"/>
    <w:rsid w:val="00B95236"/>
    <w:rsid w:val="00B9616E"/>
    <w:rsid w:val="00B96BD9"/>
    <w:rsid w:val="00BA1B01"/>
    <w:rsid w:val="00BA2641"/>
    <w:rsid w:val="00BB37AA"/>
    <w:rsid w:val="00BC18CE"/>
    <w:rsid w:val="00BC53A0"/>
    <w:rsid w:val="00BC5F64"/>
    <w:rsid w:val="00BE62AD"/>
    <w:rsid w:val="00BF121F"/>
    <w:rsid w:val="00BF1F80"/>
    <w:rsid w:val="00C02823"/>
    <w:rsid w:val="00C04342"/>
    <w:rsid w:val="00C07FCC"/>
    <w:rsid w:val="00C166EF"/>
    <w:rsid w:val="00C17EB0"/>
    <w:rsid w:val="00C27F5F"/>
    <w:rsid w:val="00C30A0F"/>
    <w:rsid w:val="00C37E61"/>
    <w:rsid w:val="00C70F1B"/>
    <w:rsid w:val="00C71A47"/>
    <w:rsid w:val="00C73A73"/>
    <w:rsid w:val="00C7464C"/>
    <w:rsid w:val="00C85588"/>
    <w:rsid w:val="00C96916"/>
    <w:rsid w:val="00CA2F82"/>
    <w:rsid w:val="00CD6755"/>
    <w:rsid w:val="00CD6856"/>
    <w:rsid w:val="00CE0089"/>
    <w:rsid w:val="00CE793C"/>
    <w:rsid w:val="00CF193C"/>
    <w:rsid w:val="00D173F1"/>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0778C"/>
    <w:rsid w:val="00F17988"/>
    <w:rsid w:val="00F469F0"/>
    <w:rsid w:val="00F53273"/>
    <w:rsid w:val="00F755E4"/>
    <w:rsid w:val="00F77D02"/>
    <w:rsid w:val="00FB3A86"/>
    <w:rsid w:val="00FD36C8"/>
    <w:rsid w:val="00FE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041B568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487FE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487FE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487FE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487FEC"/>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BC1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54675581">
      <w:bodyDiv w:val="1"/>
      <w:marLeft w:val="0"/>
      <w:marRight w:val="0"/>
      <w:marTop w:val="0"/>
      <w:marBottom w:val="0"/>
      <w:divBdr>
        <w:top w:val="none" w:sz="0" w:space="0" w:color="auto"/>
        <w:left w:val="none" w:sz="0" w:space="0" w:color="auto"/>
        <w:bottom w:val="none" w:sz="0" w:space="0" w:color="auto"/>
        <w:right w:val="none" w:sz="0" w:space="0" w:color="auto"/>
      </w:divBdr>
    </w:div>
    <w:div w:id="305863488">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24058882">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9734/BJPR/2017/33575?utm_source=chatgpt.com" TargetMode="External"/><Relationship Id="rId26" Type="http://schemas.openxmlformats.org/officeDocument/2006/relationships/hyperlink" Target="https://doi.org/10.2741/s127?utm_source=chatgpt.com" TargetMode="External"/><Relationship Id="rId3" Type="http://schemas.openxmlformats.org/officeDocument/2006/relationships/styles" Target="styles.xml"/><Relationship Id="rId21" Type="http://schemas.openxmlformats.org/officeDocument/2006/relationships/hyperlink" Target="https://doi.org/10.1007/s00125-007-0886-7?utm_source=chatgpt.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2337/dc22-S002?utm_source=chatgpt.com" TargetMode="External"/><Relationship Id="rId25" Type="http://schemas.openxmlformats.org/officeDocument/2006/relationships/hyperlink" Target="https://doi.org/10.1016/j.prenap.2026.100746?utm_source=chatgpt.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4314/ijbcs.v3i2.44504?utm_source=chatgpt.com" TargetMode="External"/><Relationship Id="rId20" Type="http://schemas.openxmlformats.org/officeDocument/2006/relationships/hyperlink" Target="https://doi.org/10.56557/upjoz/2024/v45i164312?utm_source=chatgpt.com"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21/np9904509?utm_source=chatgpt.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390/nu16213709?utm_source=chatgpt.com" TargetMode="External"/><Relationship Id="rId23" Type="http://schemas.openxmlformats.org/officeDocument/2006/relationships/hyperlink" Target="https://doi.org/10.2306/scienceasia1513-1874.2021.S012?utm_source=chatgpt.com" TargetMode="External"/><Relationship Id="rId28" Type="http://schemas.openxmlformats.org/officeDocument/2006/relationships/header" Target="header4.xml"/><Relationship Id="rId10" Type="http://schemas.openxmlformats.org/officeDocument/2006/relationships/footer" Target="footer1.xml"/><Relationship Id="rId19" Type="http://schemas.openxmlformats.org/officeDocument/2006/relationships/hyperlink" Target="https://doi.org/10.7759/cureus.78861?utm_source=chatgpt.com"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07/978-1-4614-5441-0?utm_source=chatgpt.com" TargetMode="External"/><Relationship Id="rId22" Type="http://schemas.openxmlformats.org/officeDocument/2006/relationships/hyperlink" Target="https://doi.org/10.1007/BF00280883?utm_source=chatgpt.com" TargetMode="External"/><Relationship Id="rId27" Type="http://schemas.openxmlformats.org/officeDocument/2006/relationships/hyperlink" Target="https://doi.org/10.4236/ajps.2017.82021?utm_source=chatgpt.com" TargetMode="External"/><Relationship Id="rId30" Type="http://schemas.openxmlformats.org/officeDocument/2006/relationships/footer" Target="footer4.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81F57-9353-445B-AC9F-F36176F39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133</TotalTime>
  <Pages>26</Pages>
  <Words>8438</Words>
  <Characters>48101</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56427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21</cp:revision>
  <cp:lastPrinted>1999-07-06T11:00:00Z</cp:lastPrinted>
  <dcterms:created xsi:type="dcterms:W3CDTF">2014-10-25T14:34:00Z</dcterms:created>
  <dcterms:modified xsi:type="dcterms:W3CDTF">2026-09-21T09:45:00Z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5d1288f7-e13b-478e-a2ac-1467376e47ad</vt:lpwstr>
  </property>
</Properties>
</file>