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4823" w14:textId="77777777" w:rsidR="00E10AC9" w:rsidRPr="00E10AC9" w:rsidRDefault="00E10AC9" w:rsidP="00E10AC9">
      <w:pPr>
        <w:spacing w:after="240" w:line="400" w:lineRule="auto"/>
        <w:jc w:val="right"/>
        <w:rPr>
          <w:b/>
          <w:bCs/>
          <w:i/>
          <w:iCs/>
          <w:sz w:val="36"/>
          <w:szCs w:val="36"/>
          <w:u w:val="single"/>
          <w:lang w:val="en-US"/>
        </w:rPr>
      </w:pPr>
      <w:r w:rsidRPr="00E10AC9">
        <w:rPr>
          <w:b/>
          <w:bCs/>
          <w:i/>
          <w:iCs/>
          <w:sz w:val="36"/>
          <w:szCs w:val="36"/>
          <w:u w:val="single"/>
          <w:lang w:val="en-US"/>
        </w:rPr>
        <w:t>Review Article</w:t>
      </w:r>
    </w:p>
    <w:p w14:paraId="6698426D" w14:textId="77777777" w:rsidR="009E33F6" w:rsidRDefault="00000000">
      <w:pPr>
        <w:spacing w:after="240" w:line="400" w:lineRule="auto"/>
        <w:jc w:val="right"/>
      </w:pPr>
      <w:r>
        <w:rPr>
          <w:b/>
          <w:bCs/>
          <w:sz w:val="36"/>
          <w:szCs w:val="36"/>
        </w:rPr>
        <w:t xml:space="preserve">A Review of the Botanical Characteristics, Phytochemistry and Biological Activities of the Fingered Citron Fruit, </w:t>
      </w:r>
      <w:r>
        <w:rPr>
          <w:b/>
          <w:bCs/>
          <w:i/>
          <w:iCs/>
          <w:sz w:val="36"/>
          <w:szCs w:val="36"/>
        </w:rPr>
        <w:t>Citrus medica</w:t>
      </w:r>
      <w:r>
        <w:rPr>
          <w:b/>
          <w:bCs/>
          <w:sz w:val="36"/>
          <w:szCs w:val="36"/>
        </w:rPr>
        <w:t xml:space="preserve"> var. </w:t>
      </w:r>
      <w:proofErr w:type="spellStart"/>
      <w:r>
        <w:rPr>
          <w:b/>
          <w:bCs/>
          <w:i/>
          <w:iCs/>
          <w:sz w:val="36"/>
          <w:szCs w:val="36"/>
        </w:rPr>
        <w:t>sarcodactylis</w:t>
      </w:r>
      <w:proofErr w:type="spellEnd"/>
      <w:r>
        <w:rPr>
          <w:b/>
          <w:bCs/>
          <w:sz w:val="36"/>
          <w:szCs w:val="36"/>
        </w:rPr>
        <w:t xml:space="preserve"> (Noot.) Swingle</w:t>
      </w:r>
    </w:p>
    <w:p w14:paraId="7A393605" w14:textId="77777777" w:rsidR="00981F31" w:rsidRDefault="00981F31">
      <w:pPr>
        <w:pBdr>
          <w:bottom w:val="single" w:sz="6" w:space="8" w:color="000000"/>
        </w:pBdr>
        <w:spacing w:after="240"/>
        <w:jc w:val="right"/>
      </w:pPr>
    </w:p>
    <w:p w14:paraId="7FDA69A1" w14:textId="77777777" w:rsidR="009E33F6" w:rsidRDefault="00000000">
      <w:pPr>
        <w:spacing w:before="120" w:after="120"/>
      </w:pPr>
      <w:r>
        <w:rPr>
          <w:b/>
          <w:bCs/>
          <w:cap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9E33F6" w14:paraId="18B876D6" w14:textId="77777777">
        <w:tc>
          <w:tcPr>
            <w:tcW w:w="8208" w:type="dxa"/>
            <w:tcMar>
              <w:top w:w="120" w:type="dxa"/>
              <w:left w:w="120" w:type="dxa"/>
              <w:bottom w:w="120" w:type="dxa"/>
              <w:right w:w="120" w:type="dxa"/>
            </w:tcMar>
          </w:tcPr>
          <w:p w14:paraId="79134397" w14:textId="77777777" w:rsidR="009E33F6" w:rsidRDefault="00000000">
            <w:pPr>
              <w:spacing w:after="100"/>
              <w:jc w:val="both"/>
            </w:pPr>
            <w:r>
              <w:rPr>
                <w:b/>
                <w:bCs/>
              </w:rPr>
              <w:t xml:space="preserve">Aims: </w:t>
            </w:r>
            <w:r>
              <w:t xml:space="preserve">To bring together the taxonomy, morphology, phytochemistry, molecular pharmacology and toxicology of the fingered citron fruit, </w:t>
            </w:r>
            <w:r>
              <w:rPr>
                <w:i/>
                <w:iCs/>
              </w:rPr>
              <w:t>Citrus medica</w:t>
            </w:r>
            <w:r>
              <w:t xml:space="preserve"> var. </w:t>
            </w:r>
            <w:proofErr w:type="spellStart"/>
            <w:r>
              <w:rPr>
                <w:i/>
                <w:iCs/>
              </w:rPr>
              <w:t>sarcodactylis</w:t>
            </w:r>
            <w:proofErr w:type="spellEnd"/>
            <w:r>
              <w:t xml:space="preserve"> (Noot.) Swingle, and to identify the gaps that remain in Vietnamese research.</w:t>
            </w:r>
          </w:p>
          <w:p w14:paraId="7314ECAA" w14:textId="77777777" w:rsidR="009E33F6" w:rsidRDefault="00000000">
            <w:pPr>
              <w:spacing w:after="100"/>
              <w:jc w:val="both"/>
            </w:pPr>
            <w:r>
              <w:rPr>
                <w:b/>
                <w:bCs/>
              </w:rPr>
              <w:t xml:space="preserve">Methodology: </w:t>
            </w:r>
            <w:r>
              <w:t xml:space="preserve">The international literature on the species, drawn mainly from Chinese sources and covering both classical </w:t>
            </w:r>
            <w:proofErr w:type="spellStart"/>
            <w:r>
              <w:t>pharmacognostic</w:t>
            </w:r>
            <w:proofErr w:type="spellEnd"/>
            <w:r>
              <w:t xml:space="preserve"> work and recent GC-MS, HPLC-MS/MS and molecular pharmacology studies, was surveyed and organised by part of the fruit, by geographical origin, by class of constituent and by pharmacological target.</w:t>
            </w:r>
          </w:p>
          <w:p w14:paraId="04C83CDC" w14:textId="77777777" w:rsidR="009E33F6" w:rsidRDefault="00000000">
            <w:pPr>
              <w:spacing w:after="100"/>
              <w:jc w:val="both"/>
            </w:pPr>
            <w:r>
              <w:rPr>
                <w:b/>
                <w:bCs/>
              </w:rPr>
              <w:t xml:space="preserve">Results: </w:t>
            </w:r>
            <w:r>
              <w:t xml:space="preserve">The constituents show a marked tissue specificity. The exocarp is rich in essential oil (D-limonene 34.69 – 66.9 %), in coumarins and in free flavonoids (hesperidin 370.20 µg/g of dry extract), whereas the mesocarp is rich in limonoids, bound phenolics and polysaccharides. </w:t>
            </w:r>
            <w:r>
              <w:rPr>
                <w:highlight w:val="yellow"/>
              </w:rPr>
              <w:t>Pharmacologically, the fruit is antitussive</w:t>
            </w:r>
            <w:r>
              <w:t xml:space="preserve"> and attenuates lung injury by suppressing NF-</w:t>
            </w:r>
            <w:proofErr w:type="spellStart"/>
            <w:r>
              <w:t>κB</w:t>
            </w:r>
            <w:proofErr w:type="spellEnd"/>
            <w:r>
              <w:t xml:space="preserve"> and the NLRP3 inflammasome; it protects the gastric mucosa by modulating HMGB1/TLR4/NF-</w:t>
            </w:r>
            <w:proofErr w:type="spellStart"/>
            <w:r>
              <w:t>κB</w:t>
            </w:r>
            <w:proofErr w:type="spellEnd"/>
            <w:r>
              <w:t xml:space="preserve"> and maintaining PGE</w:t>
            </w:r>
            <w:r>
              <w:rPr>
                <w:vertAlign w:val="subscript"/>
              </w:rPr>
              <w:t>2</w:t>
            </w:r>
            <w:r>
              <w:t>; it lowers blood glucose and blood lipids by activating TGR5/GLP-1, PI3K/AKT/GLUT4 and AMPK/ACC; and it is strongly antimicrobial and antioxidant. No acute toxicity has been recorded, the oral LD</w:t>
            </w:r>
            <w:r>
              <w:rPr>
                <w:vertAlign w:val="subscript"/>
              </w:rPr>
              <w:t>50</w:t>
            </w:r>
            <w:r>
              <w:t xml:space="preserve"> exceeding 2000 mg/kg.</w:t>
            </w:r>
          </w:p>
          <w:p w14:paraId="10D36438" w14:textId="77777777" w:rsidR="009E33F6" w:rsidRDefault="00000000">
            <w:pPr>
              <w:spacing w:after="100"/>
              <w:jc w:val="both"/>
            </w:pPr>
            <w:r>
              <w:rPr>
                <w:b/>
                <w:bCs/>
              </w:rPr>
              <w:t xml:space="preserve">Conclusion: </w:t>
            </w:r>
            <w:r>
              <w:t>The fingered citron fruit is safe over the range of active doses and possesses a broad spectrum of activity. The data assembled here provide a basis for standardising the herbal material and for developing fingered citron preparations in Vietnam.</w:t>
            </w:r>
          </w:p>
        </w:tc>
      </w:tr>
    </w:tbl>
    <w:p w14:paraId="58E1083B" w14:textId="77777777" w:rsidR="00FD52D6" w:rsidRDefault="00000000" w:rsidP="00FD52D6">
      <w:pPr>
        <w:spacing w:before="160" w:after="240"/>
        <w:jc w:val="both"/>
        <w:rPr>
          <w:i/>
          <w:iCs/>
        </w:rPr>
      </w:pPr>
      <w:r>
        <w:rPr>
          <w:i/>
          <w:iCs/>
        </w:rPr>
        <w:t xml:space="preserve">Keywords: </w:t>
      </w:r>
      <w:r w:rsidR="00FD52D6" w:rsidRPr="00FD52D6">
        <w:rPr>
          <w:i/>
          <w:iCs/>
        </w:rPr>
        <w:t xml:space="preserve">Citrus medica var. </w:t>
      </w:r>
      <w:proofErr w:type="spellStart"/>
      <w:r w:rsidR="00FD52D6" w:rsidRPr="00FD52D6">
        <w:rPr>
          <w:i/>
          <w:iCs/>
        </w:rPr>
        <w:t>sarcodactylis</w:t>
      </w:r>
      <w:proofErr w:type="spellEnd"/>
      <w:r w:rsidR="00FD52D6" w:rsidRPr="00FD52D6">
        <w:rPr>
          <w:i/>
          <w:iCs/>
        </w:rPr>
        <w:t>; fingered citron; Buddha’s hand; phytochemistry; essential oil; flavonoids; coumarins; polysaccharides; pharmacological activity; molecular mechanisms; antioxidant activity; toxicity</w:t>
      </w:r>
    </w:p>
    <w:p w14:paraId="44580CAF" w14:textId="02C4F469" w:rsidR="009E33F6" w:rsidRDefault="00000000" w:rsidP="00FD52D6">
      <w:pPr>
        <w:spacing w:before="160" w:after="240"/>
        <w:jc w:val="both"/>
      </w:pPr>
      <w:r>
        <w:rPr>
          <w:b/>
          <w:bCs/>
          <w:caps/>
          <w:sz w:val="22"/>
          <w:szCs w:val="22"/>
        </w:rPr>
        <w:t>1. Introduction</w:t>
      </w:r>
    </w:p>
    <w:p w14:paraId="63E17E62" w14:textId="59FC82AC" w:rsidR="009E33F6" w:rsidRPr="00F67BF9" w:rsidRDefault="00000000">
      <w:pPr>
        <w:spacing w:after="160"/>
        <w:jc w:val="both"/>
        <w:rPr>
          <w:bCs/>
        </w:rPr>
      </w:pPr>
      <w:r>
        <w:t xml:space="preserve">The fingered citron, also known as Buddha's hand, is botanically </w:t>
      </w:r>
      <w:r>
        <w:rPr>
          <w:i/>
          <w:iCs/>
        </w:rPr>
        <w:t>Citrus medica</w:t>
      </w:r>
      <w:r>
        <w:t xml:space="preserve"> var. </w:t>
      </w:r>
      <w:proofErr w:type="spellStart"/>
      <w:r>
        <w:rPr>
          <w:i/>
          <w:iCs/>
        </w:rPr>
        <w:t>sarcodactylis</w:t>
      </w:r>
      <w:proofErr w:type="spellEnd"/>
      <w:r>
        <w:t xml:space="preserve"> (Noot.) Swingle. In traditional medicine the fruit is pungent, sour and bitter in taste and warm in nature, and is used for abdominal distension, gastralgia, vomiting and </w:t>
      </w:r>
      <w:r>
        <w:lastRenderedPageBreak/>
        <w:t xml:space="preserve">persistent productive cough. In India a distillate of the fruit is used against headache and fever and as a sedative (Do Huy Bich et al., 2006). In East Asian countries such as Vietnam, China and Japan the fruit is at once a symbol of cultural and spiritual significance and a traditional remedy that regulates qi, resolves phlegm, relieves pain and harmonises the stomach (Do Huy Bich et al., 2006; Liu et al., 2025). Over the past two decades the rapid development of modern analytical techniques such as GC-MS, HPLC-MS and NMR, combined with cellular and molecular screening models, has given a far more complete picture of this medicinal plant. Studies carried out worldwide, and principally in China, have shown that compounds extracted from the fruit possess anti-inflammatory, antitussive, expectorant, antimicrobial, gastrointestinal immunomodulatory, hypoglycaemic and </w:t>
      </w:r>
      <w:proofErr w:type="spellStart"/>
      <w:r>
        <w:t>hypolipidaemic</w:t>
      </w:r>
      <w:proofErr w:type="spellEnd"/>
      <w:r>
        <w:t xml:space="preserve"> activities.</w:t>
      </w:r>
      <w:r w:rsidR="00F67BF9">
        <w:t xml:space="preserve"> </w:t>
      </w:r>
      <w:r w:rsidRPr="00F67BF9">
        <w:rPr>
          <w:bCs/>
          <w:highlight w:val="yellow"/>
        </w:rPr>
        <w:t xml:space="preserve">Recent literature continues to strengthen the phytochemical basis for studying </w:t>
      </w:r>
      <w:r w:rsidRPr="00F67BF9">
        <w:rPr>
          <w:bCs/>
          <w:i/>
          <w:highlight w:val="yellow"/>
        </w:rPr>
        <w:t>Citrus medica</w:t>
      </w:r>
      <w:r w:rsidRPr="00F67BF9">
        <w:rPr>
          <w:bCs/>
          <w:highlight w:val="yellow"/>
        </w:rPr>
        <w:t xml:space="preserve">, with systematic and experimental studies documenting diverse phenolic and flavonoid constituents and their associated antioxidant properties; metabolomics work on </w:t>
      </w:r>
      <w:r w:rsidRPr="00F67BF9">
        <w:rPr>
          <w:bCs/>
          <w:i/>
          <w:highlight w:val="yellow"/>
        </w:rPr>
        <w:t>C. medica</w:t>
      </w:r>
      <w:r w:rsidRPr="00F67BF9">
        <w:rPr>
          <w:bCs/>
          <w:highlight w:val="yellow"/>
        </w:rPr>
        <w:t xml:space="preserve"> var. </w:t>
      </w:r>
      <w:proofErr w:type="spellStart"/>
      <w:r w:rsidRPr="00F67BF9">
        <w:rPr>
          <w:bCs/>
          <w:i/>
          <w:highlight w:val="yellow"/>
        </w:rPr>
        <w:t>sarcodactylis</w:t>
      </w:r>
      <w:proofErr w:type="spellEnd"/>
      <w:r w:rsidRPr="00F67BF9">
        <w:rPr>
          <w:bCs/>
          <w:highlight w:val="yellow"/>
        </w:rPr>
        <w:t xml:space="preserve"> has further expanded the characterisation of fruit- and leaf-derived metabolites (Benedetto et al., 2023; Mateus et al., 2024; El Sayed et al., 2024). More broadly, studies of other </w:t>
      </w:r>
      <w:r w:rsidRPr="00F67BF9">
        <w:rPr>
          <w:bCs/>
          <w:i/>
          <w:highlight w:val="yellow"/>
        </w:rPr>
        <w:t>Citrus</w:t>
      </w:r>
      <w:r w:rsidRPr="00F67BF9">
        <w:rPr>
          <w:bCs/>
          <w:highlight w:val="yellow"/>
        </w:rPr>
        <w:t xml:space="preserve"> species have also reported phytochemical-rich peel and leaf fractions with antioxidant and antimicrobial activities, providing comparative context for the evaluation and potential valorisation of fingered citron materials (Sengupta et al., 2024; </w:t>
      </w:r>
      <w:proofErr w:type="spellStart"/>
      <w:r w:rsidRPr="00F67BF9">
        <w:rPr>
          <w:bCs/>
          <w:highlight w:val="yellow"/>
        </w:rPr>
        <w:t>Boussoussa</w:t>
      </w:r>
      <w:proofErr w:type="spellEnd"/>
      <w:r w:rsidRPr="00F67BF9">
        <w:rPr>
          <w:bCs/>
          <w:highlight w:val="yellow"/>
        </w:rPr>
        <w:t xml:space="preserve"> et al., 2022).</w:t>
      </w:r>
    </w:p>
    <w:p w14:paraId="5CBA69AA" w14:textId="77777777" w:rsidR="009E33F6" w:rsidRDefault="00000000">
      <w:pPr>
        <w:spacing w:after="160"/>
        <w:jc w:val="both"/>
      </w:pPr>
      <w:r>
        <w:t>Work published in Vietnam, however, has been confined largely to the recovery of crude essential oil by classical steam distillation or to preliminary qualitative screening (Dung et al., 1996; Loi, 2017; Loi et al., 2015; Pham et al., 2021), which leaves a considerable gap both in the systematic understanding of the mechanisms of action and in the standardisation of the herbal material. The present review was therefore undertaken with four aims: to bring together the taxonomic position and the morphological characteristics of the fingered citron fruit; to compile in detail the qualitative and quantitative data on its principal phytochemical constituents, namely the essential oil, coumarins, flavonoids, polysaccharides and limonoids; to summarise the molecular mechanisms underlying the activities that have been demonstrated experimentally; and to assess the toxicity of the fruit. The data assembled here are intended to provide the scientific basis for experimental designs that will optimise the economic and medicinal value of the fingered citron in Vietnam.</w:t>
      </w:r>
    </w:p>
    <w:p w14:paraId="767491EB" w14:textId="77777777" w:rsidR="00D87462" w:rsidRDefault="00D87462">
      <w:pPr>
        <w:spacing w:before="240" w:after="160"/>
        <w:rPr>
          <w:b/>
          <w:bCs/>
          <w:caps/>
          <w:sz w:val="22"/>
          <w:szCs w:val="22"/>
          <w:lang w:val="en-US"/>
        </w:rPr>
      </w:pPr>
      <w:r>
        <w:rPr>
          <w:b/>
          <w:bCs/>
          <w:caps/>
          <w:sz w:val="22"/>
          <w:szCs w:val="22"/>
        </w:rPr>
        <w:t xml:space="preserve">2. </w:t>
      </w:r>
      <w:r w:rsidRPr="00D87462">
        <w:rPr>
          <w:b/>
          <w:bCs/>
          <w:caps/>
          <w:sz w:val="22"/>
          <w:szCs w:val="22"/>
          <w:lang w:val="en-US"/>
        </w:rPr>
        <w:t>Literature Search Methodology</w:t>
      </w:r>
    </w:p>
    <w:p w14:paraId="710EEB8A" w14:textId="77777777" w:rsidR="009D7285" w:rsidRPr="009D7285" w:rsidRDefault="009D7285" w:rsidP="009D7285">
      <w:pPr>
        <w:pStyle w:val="BodyText"/>
        <w:jc w:val="both"/>
        <w:rPr>
          <w:rFonts w:ascii="Arial" w:hAnsi="Arial" w:cs="Arial"/>
          <w:sz w:val="20"/>
          <w:szCs w:val="20"/>
        </w:rPr>
      </w:pPr>
      <w:r w:rsidRPr="009D7285">
        <w:rPr>
          <w:rFonts w:ascii="Arial" w:hAnsi="Arial" w:cs="Arial"/>
          <w:sz w:val="20"/>
          <w:szCs w:val="20"/>
        </w:rPr>
        <w:t>To ensure a transparent, systematic and reproducible literature survey, comprehensive bibliographic searches were performed across international and regional electronic databases — PubMed/MEDLINE, Web of Science, ScienceDirect (Elsevier), Scopus, Google Scholar and the China National Knowledge Infrastructure (CNKI) — covering publications from January 1990 to early 2026. The principal Boolean search strings combined taxonomic identifiers, vernacular names and discipline-specific keywords: (</w:t>
      </w:r>
      <w:r w:rsidRPr="009D7285">
        <w:rPr>
          <w:rFonts w:ascii="Arial" w:hAnsi="Arial" w:cs="Arial"/>
          <w:i/>
          <w:iCs/>
          <w:sz w:val="20"/>
          <w:szCs w:val="20"/>
        </w:rPr>
        <w:t xml:space="preserve">“Citrus medica var. </w:t>
      </w:r>
      <w:proofErr w:type="spellStart"/>
      <w:r w:rsidRPr="009D7285">
        <w:rPr>
          <w:rFonts w:ascii="Arial" w:hAnsi="Arial" w:cs="Arial"/>
          <w:i/>
          <w:iCs/>
          <w:sz w:val="20"/>
          <w:szCs w:val="20"/>
        </w:rPr>
        <w:t>sarcodactylis</w:t>
      </w:r>
      <w:proofErr w:type="spellEnd"/>
      <w:r w:rsidRPr="009D7285">
        <w:rPr>
          <w:rFonts w:ascii="Arial" w:hAnsi="Arial" w:cs="Arial"/>
          <w:i/>
          <w:iCs/>
          <w:sz w:val="20"/>
          <w:szCs w:val="20"/>
        </w:rPr>
        <w:t>”</w:t>
      </w:r>
      <w:r w:rsidRPr="009D7285">
        <w:rPr>
          <w:rFonts w:ascii="Arial" w:hAnsi="Arial" w:cs="Arial"/>
          <w:sz w:val="20"/>
          <w:szCs w:val="20"/>
        </w:rPr>
        <w:t xml:space="preserve"> OR </w:t>
      </w:r>
      <w:r w:rsidRPr="009D7285">
        <w:rPr>
          <w:rFonts w:ascii="Arial" w:hAnsi="Arial" w:cs="Arial"/>
          <w:i/>
          <w:iCs/>
          <w:sz w:val="20"/>
          <w:szCs w:val="20"/>
        </w:rPr>
        <w:t xml:space="preserve">“Citrus medica L. var. </w:t>
      </w:r>
      <w:proofErr w:type="spellStart"/>
      <w:r w:rsidRPr="009D7285">
        <w:rPr>
          <w:rFonts w:ascii="Arial" w:hAnsi="Arial" w:cs="Arial"/>
          <w:i/>
          <w:iCs/>
          <w:sz w:val="20"/>
          <w:szCs w:val="20"/>
        </w:rPr>
        <w:t>sarcodactylis</w:t>
      </w:r>
      <w:proofErr w:type="spellEnd"/>
      <w:r w:rsidRPr="009D7285">
        <w:rPr>
          <w:rFonts w:ascii="Arial" w:hAnsi="Arial" w:cs="Arial"/>
          <w:i/>
          <w:iCs/>
          <w:sz w:val="20"/>
          <w:szCs w:val="20"/>
        </w:rPr>
        <w:t>”</w:t>
      </w:r>
      <w:r w:rsidRPr="009D7285">
        <w:rPr>
          <w:rFonts w:ascii="Arial" w:hAnsi="Arial" w:cs="Arial"/>
          <w:sz w:val="20"/>
          <w:szCs w:val="20"/>
        </w:rPr>
        <w:t xml:space="preserve"> OR </w:t>
      </w:r>
      <w:r w:rsidRPr="009D7285">
        <w:rPr>
          <w:rFonts w:ascii="Arial" w:hAnsi="Arial" w:cs="Arial"/>
          <w:i/>
          <w:iCs/>
          <w:sz w:val="20"/>
          <w:szCs w:val="20"/>
        </w:rPr>
        <w:t xml:space="preserve">“Citri </w:t>
      </w:r>
      <w:proofErr w:type="spellStart"/>
      <w:r w:rsidRPr="009D7285">
        <w:rPr>
          <w:rFonts w:ascii="Arial" w:hAnsi="Arial" w:cs="Arial"/>
          <w:i/>
          <w:iCs/>
          <w:sz w:val="20"/>
          <w:szCs w:val="20"/>
        </w:rPr>
        <w:t>Sarcodactylis</w:t>
      </w:r>
      <w:proofErr w:type="spellEnd"/>
      <w:r w:rsidRPr="009D7285">
        <w:rPr>
          <w:rFonts w:ascii="Arial" w:hAnsi="Arial" w:cs="Arial"/>
          <w:i/>
          <w:iCs/>
          <w:sz w:val="20"/>
          <w:szCs w:val="20"/>
        </w:rPr>
        <w:t xml:space="preserve"> Fructus”</w:t>
      </w:r>
      <w:r w:rsidRPr="009D7285">
        <w:rPr>
          <w:rFonts w:ascii="Arial" w:hAnsi="Arial" w:cs="Arial"/>
          <w:sz w:val="20"/>
          <w:szCs w:val="20"/>
        </w:rPr>
        <w:t xml:space="preserve"> OR </w:t>
      </w:r>
      <w:r w:rsidRPr="009D7285">
        <w:rPr>
          <w:rFonts w:ascii="Arial" w:hAnsi="Arial" w:cs="Arial"/>
          <w:i/>
          <w:iCs/>
          <w:sz w:val="20"/>
          <w:szCs w:val="20"/>
        </w:rPr>
        <w:t>“fingered citron”</w:t>
      </w:r>
      <w:r w:rsidRPr="009D7285">
        <w:rPr>
          <w:rFonts w:ascii="Arial" w:hAnsi="Arial" w:cs="Arial"/>
          <w:sz w:val="20"/>
          <w:szCs w:val="20"/>
        </w:rPr>
        <w:t xml:space="preserve"> OR </w:t>
      </w:r>
      <w:r w:rsidRPr="009D7285">
        <w:rPr>
          <w:rFonts w:ascii="Arial" w:hAnsi="Arial" w:cs="Arial"/>
          <w:i/>
          <w:iCs/>
          <w:sz w:val="20"/>
          <w:szCs w:val="20"/>
        </w:rPr>
        <w:t>“Buddha’s hand”</w:t>
      </w:r>
      <w:r w:rsidRPr="009D7285">
        <w:rPr>
          <w:rFonts w:ascii="Arial" w:hAnsi="Arial" w:cs="Arial"/>
          <w:sz w:val="20"/>
          <w:szCs w:val="20"/>
        </w:rPr>
        <w:t xml:space="preserve"> OR </w:t>
      </w:r>
      <w:r w:rsidRPr="009D7285">
        <w:rPr>
          <w:rFonts w:ascii="Arial" w:hAnsi="Arial" w:cs="Arial"/>
          <w:i/>
          <w:iCs/>
          <w:sz w:val="20"/>
          <w:szCs w:val="20"/>
        </w:rPr>
        <w:t>“</w:t>
      </w:r>
      <w:proofErr w:type="spellStart"/>
      <w:r w:rsidRPr="009D7285">
        <w:rPr>
          <w:rFonts w:ascii="Arial" w:hAnsi="Arial" w:cs="Arial"/>
          <w:i/>
          <w:iCs/>
          <w:sz w:val="20"/>
          <w:szCs w:val="20"/>
        </w:rPr>
        <w:t>Foshou</w:t>
      </w:r>
      <w:proofErr w:type="spellEnd"/>
      <w:r w:rsidRPr="009D7285">
        <w:rPr>
          <w:rFonts w:ascii="Arial" w:hAnsi="Arial" w:cs="Arial"/>
          <w:i/>
          <w:iCs/>
          <w:sz w:val="20"/>
          <w:szCs w:val="20"/>
        </w:rPr>
        <w:t>”</w:t>
      </w:r>
      <w:r w:rsidRPr="009D7285">
        <w:rPr>
          <w:rFonts w:ascii="Arial" w:hAnsi="Arial" w:cs="Arial"/>
          <w:sz w:val="20"/>
          <w:szCs w:val="20"/>
        </w:rPr>
        <w:t>) AND (</w:t>
      </w:r>
      <w:r w:rsidRPr="009D7285">
        <w:rPr>
          <w:rFonts w:ascii="Arial" w:hAnsi="Arial" w:cs="Arial"/>
          <w:i/>
          <w:iCs/>
          <w:sz w:val="20"/>
          <w:szCs w:val="20"/>
        </w:rPr>
        <w:t>“phytochemistry”</w:t>
      </w:r>
      <w:r w:rsidRPr="009D7285">
        <w:rPr>
          <w:rFonts w:ascii="Arial" w:hAnsi="Arial" w:cs="Arial"/>
          <w:sz w:val="20"/>
          <w:szCs w:val="20"/>
        </w:rPr>
        <w:t xml:space="preserve"> OR </w:t>
      </w:r>
      <w:r w:rsidRPr="009D7285">
        <w:rPr>
          <w:rFonts w:ascii="Arial" w:hAnsi="Arial" w:cs="Arial"/>
          <w:i/>
          <w:iCs/>
          <w:sz w:val="20"/>
          <w:szCs w:val="20"/>
        </w:rPr>
        <w:t>“essential oil”</w:t>
      </w:r>
      <w:r w:rsidRPr="009D7285">
        <w:rPr>
          <w:rFonts w:ascii="Arial" w:hAnsi="Arial" w:cs="Arial"/>
          <w:sz w:val="20"/>
          <w:szCs w:val="20"/>
        </w:rPr>
        <w:t xml:space="preserve"> OR </w:t>
      </w:r>
      <w:r w:rsidRPr="009D7285">
        <w:rPr>
          <w:rFonts w:ascii="Arial" w:hAnsi="Arial" w:cs="Arial"/>
          <w:i/>
          <w:iCs/>
          <w:sz w:val="20"/>
          <w:szCs w:val="20"/>
        </w:rPr>
        <w:t>“flavonoids”</w:t>
      </w:r>
      <w:r w:rsidRPr="009D7285">
        <w:rPr>
          <w:rFonts w:ascii="Arial" w:hAnsi="Arial" w:cs="Arial"/>
          <w:sz w:val="20"/>
          <w:szCs w:val="20"/>
        </w:rPr>
        <w:t xml:space="preserve"> OR </w:t>
      </w:r>
      <w:r w:rsidRPr="009D7285">
        <w:rPr>
          <w:rFonts w:ascii="Arial" w:hAnsi="Arial" w:cs="Arial"/>
          <w:i/>
          <w:iCs/>
          <w:sz w:val="20"/>
          <w:szCs w:val="20"/>
        </w:rPr>
        <w:t>“polysaccharides”</w:t>
      </w:r>
      <w:r w:rsidRPr="009D7285">
        <w:rPr>
          <w:rFonts w:ascii="Arial" w:hAnsi="Arial" w:cs="Arial"/>
          <w:sz w:val="20"/>
          <w:szCs w:val="20"/>
        </w:rPr>
        <w:t xml:space="preserve"> OR </w:t>
      </w:r>
      <w:r w:rsidRPr="009D7285">
        <w:rPr>
          <w:rFonts w:ascii="Arial" w:hAnsi="Arial" w:cs="Arial"/>
          <w:i/>
          <w:iCs/>
          <w:sz w:val="20"/>
          <w:szCs w:val="20"/>
        </w:rPr>
        <w:t>“coumarins”</w:t>
      </w:r>
      <w:r w:rsidRPr="009D7285">
        <w:rPr>
          <w:rFonts w:ascii="Arial" w:hAnsi="Arial" w:cs="Arial"/>
          <w:sz w:val="20"/>
          <w:szCs w:val="20"/>
        </w:rPr>
        <w:t xml:space="preserve"> OR </w:t>
      </w:r>
      <w:r w:rsidRPr="009D7285">
        <w:rPr>
          <w:rFonts w:ascii="Arial" w:hAnsi="Arial" w:cs="Arial"/>
          <w:i/>
          <w:iCs/>
          <w:sz w:val="20"/>
          <w:szCs w:val="20"/>
        </w:rPr>
        <w:t>“limonoids”</w:t>
      </w:r>
      <w:r w:rsidRPr="009D7285">
        <w:rPr>
          <w:rFonts w:ascii="Arial" w:hAnsi="Arial" w:cs="Arial"/>
          <w:sz w:val="20"/>
          <w:szCs w:val="20"/>
        </w:rPr>
        <w:t xml:space="preserve"> OR </w:t>
      </w:r>
      <w:r w:rsidRPr="009D7285">
        <w:rPr>
          <w:rFonts w:ascii="Arial" w:hAnsi="Arial" w:cs="Arial"/>
          <w:i/>
          <w:iCs/>
          <w:sz w:val="20"/>
          <w:szCs w:val="20"/>
        </w:rPr>
        <w:t>“anti-inflammatory”</w:t>
      </w:r>
      <w:r w:rsidRPr="009D7285">
        <w:rPr>
          <w:rFonts w:ascii="Arial" w:hAnsi="Arial" w:cs="Arial"/>
          <w:sz w:val="20"/>
          <w:szCs w:val="20"/>
        </w:rPr>
        <w:t xml:space="preserve"> OR </w:t>
      </w:r>
      <w:r w:rsidRPr="009D7285">
        <w:rPr>
          <w:rFonts w:ascii="Arial" w:hAnsi="Arial" w:cs="Arial"/>
          <w:i/>
          <w:iCs/>
          <w:sz w:val="20"/>
          <w:szCs w:val="20"/>
        </w:rPr>
        <w:t>“antioxidant”</w:t>
      </w:r>
      <w:r w:rsidRPr="009D7285">
        <w:rPr>
          <w:rFonts w:ascii="Arial" w:hAnsi="Arial" w:cs="Arial"/>
          <w:sz w:val="20"/>
          <w:szCs w:val="20"/>
        </w:rPr>
        <w:t xml:space="preserve"> OR </w:t>
      </w:r>
      <w:r w:rsidRPr="009D7285">
        <w:rPr>
          <w:rFonts w:ascii="Arial" w:hAnsi="Arial" w:cs="Arial"/>
          <w:i/>
          <w:iCs/>
          <w:sz w:val="20"/>
          <w:szCs w:val="20"/>
        </w:rPr>
        <w:t>“gastroprotective”</w:t>
      </w:r>
      <w:r w:rsidRPr="009D7285">
        <w:rPr>
          <w:rFonts w:ascii="Arial" w:hAnsi="Arial" w:cs="Arial"/>
          <w:sz w:val="20"/>
          <w:szCs w:val="20"/>
        </w:rPr>
        <w:t xml:space="preserve"> OR </w:t>
      </w:r>
      <w:r w:rsidRPr="009D7285">
        <w:rPr>
          <w:rFonts w:ascii="Arial" w:hAnsi="Arial" w:cs="Arial"/>
          <w:i/>
          <w:iCs/>
          <w:sz w:val="20"/>
          <w:szCs w:val="20"/>
        </w:rPr>
        <w:t>“antitussive”</w:t>
      </w:r>
      <w:r w:rsidRPr="009D7285">
        <w:rPr>
          <w:rFonts w:ascii="Arial" w:hAnsi="Arial" w:cs="Arial"/>
          <w:sz w:val="20"/>
          <w:szCs w:val="20"/>
        </w:rPr>
        <w:t xml:space="preserve"> OR </w:t>
      </w:r>
      <w:r>
        <w:rPr>
          <w:rFonts w:ascii="Arial" w:hAnsi="Arial" w:cs="Arial"/>
          <w:i/>
          <w:iCs/>
          <w:sz w:val="20"/>
          <w:szCs w:val="20"/>
        </w:rPr>
        <w:t>“</w:t>
      </w:r>
      <w:proofErr w:type="spellStart"/>
      <w:r>
        <w:rPr>
          <w:rFonts w:ascii="Arial" w:hAnsi="Arial" w:cs="Arial"/>
          <w:i/>
          <w:iCs/>
          <w:sz w:val="20"/>
          <w:szCs w:val="20"/>
        </w:rPr>
        <w:t>hypo</w:t>
      </w:r>
      <w:r>
        <w:rPr>
          <w:rFonts w:ascii="Arial" w:hAnsi="Arial" w:cs="Arial"/>
          <w:i/>
          <w:iCs/>
          <w:sz w:val="20"/>
          <w:szCs w:val="20"/>
          <w:highlight w:val="yellow"/>
        </w:rPr>
        <w:t>glycaemic</w:t>
      </w:r>
      <w:proofErr w:type="spellEnd"/>
      <w:r>
        <w:rPr>
          <w:rFonts w:ascii="Arial" w:hAnsi="Arial" w:cs="Arial"/>
          <w:i/>
          <w:iCs/>
          <w:sz w:val="20"/>
          <w:szCs w:val="20"/>
        </w:rPr>
        <w:t>”</w:t>
      </w:r>
      <w:r w:rsidRPr="009D7285">
        <w:rPr>
          <w:rFonts w:ascii="Arial" w:hAnsi="Arial" w:cs="Arial"/>
          <w:sz w:val="20"/>
          <w:szCs w:val="20"/>
        </w:rPr>
        <w:t xml:space="preserve"> OR </w:t>
      </w:r>
      <w:r w:rsidRPr="009D7285">
        <w:rPr>
          <w:rFonts w:ascii="Arial" w:hAnsi="Arial" w:cs="Arial"/>
          <w:i/>
          <w:iCs/>
          <w:sz w:val="20"/>
          <w:szCs w:val="20"/>
        </w:rPr>
        <w:t>“hypolipidemic”</w:t>
      </w:r>
      <w:r w:rsidRPr="009D7285">
        <w:rPr>
          <w:rFonts w:ascii="Arial" w:hAnsi="Arial" w:cs="Arial"/>
          <w:sz w:val="20"/>
          <w:szCs w:val="20"/>
        </w:rPr>
        <w:t xml:space="preserve"> OR </w:t>
      </w:r>
      <w:r w:rsidRPr="009D7285">
        <w:rPr>
          <w:rFonts w:ascii="Arial" w:hAnsi="Arial" w:cs="Arial"/>
          <w:i/>
          <w:iCs/>
          <w:sz w:val="20"/>
          <w:szCs w:val="20"/>
        </w:rPr>
        <w:t>“toxicity”</w:t>
      </w:r>
      <w:r w:rsidRPr="009D7285">
        <w:rPr>
          <w:rFonts w:ascii="Arial" w:hAnsi="Arial" w:cs="Arial"/>
          <w:sz w:val="20"/>
          <w:szCs w:val="20"/>
        </w:rPr>
        <w:t xml:space="preserve"> OR </w:t>
      </w:r>
      <w:r w:rsidRPr="009D7285">
        <w:rPr>
          <w:rFonts w:ascii="Arial" w:hAnsi="Arial" w:cs="Arial"/>
          <w:i/>
          <w:iCs/>
          <w:sz w:val="20"/>
          <w:szCs w:val="20"/>
        </w:rPr>
        <w:t>“mechanisms”</w:t>
      </w:r>
      <w:r w:rsidRPr="009D7285">
        <w:rPr>
          <w:rFonts w:ascii="Arial" w:hAnsi="Arial" w:cs="Arial"/>
          <w:sz w:val="20"/>
          <w:szCs w:val="20"/>
        </w:rPr>
        <w:t xml:space="preserve"> OR </w:t>
      </w:r>
      <w:r w:rsidRPr="009D7285">
        <w:rPr>
          <w:rFonts w:ascii="Arial" w:hAnsi="Arial" w:cs="Arial"/>
          <w:i/>
          <w:iCs/>
          <w:sz w:val="20"/>
          <w:szCs w:val="20"/>
        </w:rPr>
        <w:t>“NF-</w:t>
      </w:r>
      <w:proofErr w:type="spellStart"/>
      <w:r w:rsidRPr="009D7285">
        <w:rPr>
          <w:rFonts w:ascii="Arial" w:hAnsi="Arial" w:cs="Arial"/>
          <w:i/>
          <w:iCs/>
          <w:sz w:val="20"/>
          <w:szCs w:val="20"/>
        </w:rPr>
        <w:t>κB</w:t>
      </w:r>
      <w:proofErr w:type="spellEnd"/>
      <w:r w:rsidRPr="009D7285">
        <w:rPr>
          <w:rFonts w:ascii="Arial" w:hAnsi="Arial" w:cs="Arial"/>
          <w:i/>
          <w:iCs/>
          <w:sz w:val="20"/>
          <w:szCs w:val="20"/>
        </w:rPr>
        <w:t>”</w:t>
      </w:r>
      <w:r w:rsidRPr="009D7285">
        <w:rPr>
          <w:rFonts w:ascii="Arial" w:hAnsi="Arial" w:cs="Arial"/>
          <w:sz w:val="20"/>
          <w:szCs w:val="20"/>
        </w:rPr>
        <w:t xml:space="preserve"> OR </w:t>
      </w:r>
      <w:r w:rsidRPr="009D7285">
        <w:rPr>
          <w:rFonts w:ascii="Arial" w:hAnsi="Arial" w:cs="Arial"/>
          <w:i/>
          <w:iCs/>
          <w:sz w:val="20"/>
          <w:szCs w:val="20"/>
        </w:rPr>
        <w:t>“NLRP3”</w:t>
      </w:r>
      <w:r w:rsidRPr="009D7285">
        <w:rPr>
          <w:rFonts w:ascii="Arial" w:hAnsi="Arial" w:cs="Arial"/>
          <w:sz w:val="20"/>
          <w:szCs w:val="20"/>
        </w:rPr>
        <w:t xml:space="preserve"> OR </w:t>
      </w:r>
      <w:r w:rsidRPr="009D7285">
        <w:rPr>
          <w:rFonts w:ascii="Arial" w:hAnsi="Arial" w:cs="Arial"/>
          <w:i/>
          <w:iCs/>
          <w:sz w:val="20"/>
          <w:szCs w:val="20"/>
        </w:rPr>
        <w:t>“TGR5”</w:t>
      </w:r>
      <w:r w:rsidRPr="009D7285">
        <w:rPr>
          <w:rFonts w:ascii="Arial" w:hAnsi="Arial" w:cs="Arial"/>
          <w:sz w:val="20"/>
          <w:szCs w:val="20"/>
        </w:rPr>
        <w:t>).</w:t>
      </w:r>
    </w:p>
    <w:p w14:paraId="646F010C" w14:textId="77777777" w:rsidR="009D7285" w:rsidRPr="009D7285" w:rsidRDefault="009D7285" w:rsidP="009D7285">
      <w:pPr>
        <w:pStyle w:val="BodyText"/>
        <w:jc w:val="both"/>
        <w:rPr>
          <w:rFonts w:ascii="Arial" w:hAnsi="Arial" w:cs="Arial"/>
          <w:sz w:val="20"/>
          <w:szCs w:val="20"/>
        </w:rPr>
      </w:pPr>
      <w:r w:rsidRPr="009D7285">
        <w:rPr>
          <w:rFonts w:ascii="Arial" w:hAnsi="Arial" w:cs="Arial"/>
          <w:sz w:val="20"/>
          <w:szCs w:val="20"/>
        </w:rPr>
        <w:t xml:space="preserve">Inclusion criteria comprised: (a) peer-reviewed original research and authoritative reviews reporting morphological, taxonomic, phytochemical, pharmacological or toxicological data on </w:t>
      </w:r>
      <w:r w:rsidRPr="009D7285">
        <w:rPr>
          <w:rFonts w:ascii="Arial" w:hAnsi="Arial" w:cs="Arial"/>
          <w:i/>
          <w:iCs/>
          <w:sz w:val="20"/>
          <w:szCs w:val="20"/>
        </w:rPr>
        <w:t>C. medica</w:t>
      </w:r>
      <w:r w:rsidRPr="009D7285">
        <w:rPr>
          <w:rFonts w:ascii="Arial" w:hAnsi="Arial" w:cs="Arial"/>
          <w:sz w:val="20"/>
          <w:szCs w:val="20"/>
        </w:rPr>
        <w:t xml:space="preserve"> var. </w:t>
      </w:r>
      <w:proofErr w:type="spellStart"/>
      <w:r w:rsidRPr="009D7285">
        <w:rPr>
          <w:rFonts w:ascii="Arial" w:hAnsi="Arial" w:cs="Arial"/>
          <w:i/>
          <w:iCs/>
          <w:sz w:val="20"/>
          <w:szCs w:val="20"/>
        </w:rPr>
        <w:t>sarcodactylis</w:t>
      </w:r>
      <w:proofErr w:type="spellEnd"/>
      <w:r w:rsidRPr="009D7285">
        <w:rPr>
          <w:rFonts w:ascii="Arial" w:hAnsi="Arial" w:cs="Arial"/>
          <w:sz w:val="20"/>
          <w:szCs w:val="20"/>
        </w:rPr>
        <w:t xml:space="preserve">; (b) studies providing verifiable extraction protocols, analytical identification (e.g. GC-MS, HPLC-MS/MS, NMR) and quantified yields; and (c) preclinical </w:t>
      </w:r>
      <w:r w:rsidRPr="009D7285">
        <w:rPr>
          <w:rFonts w:ascii="Arial" w:hAnsi="Arial" w:cs="Arial"/>
          <w:i/>
          <w:iCs/>
          <w:sz w:val="20"/>
          <w:szCs w:val="20"/>
        </w:rPr>
        <w:t>in vitro</w:t>
      </w:r>
      <w:r w:rsidRPr="009D7285">
        <w:rPr>
          <w:rFonts w:ascii="Arial" w:hAnsi="Arial" w:cs="Arial"/>
          <w:sz w:val="20"/>
          <w:szCs w:val="20"/>
        </w:rPr>
        <w:t xml:space="preserve">, </w:t>
      </w:r>
      <w:r w:rsidRPr="009D7285">
        <w:rPr>
          <w:rFonts w:ascii="Arial" w:hAnsi="Arial" w:cs="Arial"/>
          <w:i/>
          <w:iCs/>
          <w:sz w:val="20"/>
          <w:szCs w:val="20"/>
        </w:rPr>
        <w:t>ex vivo</w:t>
      </w:r>
      <w:r w:rsidRPr="009D7285">
        <w:rPr>
          <w:rFonts w:ascii="Arial" w:hAnsi="Arial" w:cs="Arial"/>
          <w:sz w:val="20"/>
          <w:szCs w:val="20"/>
        </w:rPr>
        <w:t xml:space="preserve"> and </w:t>
      </w:r>
      <w:r w:rsidRPr="009D7285">
        <w:rPr>
          <w:rFonts w:ascii="Arial" w:hAnsi="Arial" w:cs="Arial"/>
          <w:i/>
          <w:iCs/>
          <w:sz w:val="20"/>
          <w:szCs w:val="20"/>
        </w:rPr>
        <w:t>in vivo</w:t>
      </w:r>
      <w:r w:rsidRPr="009D7285">
        <w:rPr>
          <w:rFonts w:ascii="Arial" w:hAnsi="Arial" w:cs="Arial"/>
          <w:sz w:val="20"/>
          <w:szCs w:val="20"/>
        </w:rPr>
        <w:t xml:space="preserve"> assays with defined dose–response relationships. Exclusion criteria comprised: (a) unverified conference abstracts, commercial trade reports and non-peer-reviewed notes; (b) studies on generic </w:t>
      </w:r>
      <w:r w:rsidRPr="009D7285">
        <w:rPr>
          <w:rFonts w:ascii="Arial" w:hAnsi="Arial" w:cs="Arial"/>
          <w:i/>
          <w:iCs/>
          <w:sz w:val="20"/>
          <w:szCs w:val="20"/>
        </w:rPr>
        <w:t>Citrus medica</w:t>
      </w:r>
      <w:r w:rsidRPr="009D7285">
        <w:rPr>
          <w:rFonts w:ascii="Arial" w:hAnsi="Arial" w:cs="Arial"/>
          <w:sz w:val="20"/>
          <w:szCs w:val="20"/>
        </w:rPr>
        <w:t xml:space="preserve"> without explicit botanical confirmation of </w:t>
      </w:r>
      <w:r w:rsidRPr="009D7285">
        <w:rPr>
          <w:rFonts w:ascii="Arial" w:hAnsi="Arial" w:cs="Arial"/>
          <w:sz w:val="20"/>
          <w:szCs w:val="20"/>
        </w:rPr>
        <w:lastRenderedPageBreak/>
        <w:t xml:space="preserve">the variety </w:t>
      </w:r>
      <w:proofErr w:type="spellStart"/>
      <w:r w:rsidRPr="009D7285">
        <w:rPr>
          <w:rFonts w:ascii="Arial" w:hAnsi="Arial" w:cs="Arial"/>
          <w:i/>
          <w:iCs/>
          <w:sz w:val="20"/>
          <w:szCs w:val="20"/>
        </w:rPr>
        <w:t>sarcodactylis</w:t>
      </w:r>
      <w:proofErr w:type="spellEnd"/>
      <w:r w:rsidRPr="009D7285">
        <w:rPr>
          <w:rFonts w:ascii="Arial" w:hAnsi="Arial" w:cs="Arial"/>
          <w:sz w:val="20"/>
          <w:szCs w:val="20"/>
        </w:rPr>
        <w:t>; and (c) publications lacking experimental controls or reproducible quantitative phytochemical data. After removal of duplicates and screening of titles, abstracts and full texts, 39 publications meeting these criteria were retained for detailed comparative extraction and critical synthesis.</w:t>
      </w:r>
    </w:p>
    <w:p w14:paraId="11880334" w14:textId="77777777" w:rsidR="009E33F6" w:rsidRDefault="00713E64">
      <w:pPr>
        <w:spacing w:before="240" w:after="160"/>
      </w:pPr>
      <w:r>
        <w:rPr>
          <w:b/>
          <w:bCs/>
          <w:caps/>
          <w:sz w:val="22"/>
          <w:szCs w:val="22"/>
        </w:rPr>
        <w:t>3. Taxonomic Position, Botanical Characteristics and Distribution</w:t>
      </w:r>
    </w:p>
    <w:p w14:paraId="29EF8D33" w14:textId="77777777" w:rsidR="009E33F6" w:rsidRDefault="00713E64">
      <w:pPr>
        <w:spacing w:before="200" w:after="140"/>
      </w:pPr>
      <w:r>
        <w:rPr>
          <w:b/>
          <w:bCs/>
          <w:sz w:val="22"/>
          <w:szCs w:val="22"/>
        </w:rPr>
        <w:t>3.1 Taxonomic position</w:t>
      </w:r>
    </w:p>
    <w:p w14:paraId="6608B6EA" w14:textId="77777777" w:rsidR="009E33F6" w:rsidRDefault="00000000">
      <w:pPr>
        <w:spacing w:after="160"/>
        <w:jc w:val="both"/>
      </w:pPr>
      <w:r>
        <w:t xml:space="preserve">The fingered citron is a distinctive variety of the citron, </w:t>
      </w:r>
      <w:r>
        <w:rPr>
          <w:i/>
          <w:iCs/>
        </w:rPr>
        <w:t>Citrus medica</w:t>
      </w:r>
      <w:r>
        <w:t xml:space="preserve"> L. Its taxonomic position is as follows: Kingdom Plantae; Division </w:t>
      </w:r>
      <w:proofErr w:type="spellStart"/>
      <w:r>
        <w:t>Magnoliophyta</w:t>
      </w:r>
      <w:proofErr w:type="spellEnd"/>
      <w:r>
        <w:t xml:space="preserve">; Class Magnoliopsida; Order Sapindales; Family </w:t>
      </w:r>
      <w:proofErr w:type="spellStart"/>
      <w:r>
        <w:t>Rutaceae</w:t>
      </w:r>
      <w:proofErr w:type="spellEnd"/>
      <w:r>
        <w:t xml:space="preserve">; Genus </w:t>
      </w:r>
      <w:r>
        <w:rPr>
          <w:i/>
          <w:iCs/>
        </w:rPr>
        <w:t>Citrus</w:t>
      </w:r>
      <w:r>
        <w:t xml:space="preserve">; Species </w:t>
      </w:r>
      <w:r>
        <w:rPr>
          <w:i/>
          <w:iCs/>
        </w:rPr>
        <w:t>Citrus medica</w:t>
      </w:r>
      <w:r>
        <w:t xml:space="preserve"> L.; Variety </w:t>
      </w:r>
      <w:r>
        <w:rPr>
          <w:i/>
          <w:iCs/>
        </w:rPr>
        <w:t>Citrus medica</w:t>
      </w:r>
      <w:r>
        <w:t xml:space="preserve"> var. </w:t>
      </w:r>
      <w:proofErr w:type="spellStart"/>
      <w:r>
        <w:rPr>
          <w:i/>
          <w:iCs/>
        </w:rPr>
        <w:t>sarcodactylis</w:t>
      </w:r>
      <w:proofErr w:type="spellEnd"/>
      <w:r>
        <w:t xml:space="preserve"> (Noot.) Swingle.</w:t>
      </w:r>
    </w:p>
    <w:p w14:paraId="775E2398" w14:textId="77777777" w:rsidR="009E33F6" w:rsidRDefault="00713E64">
      <w:pPr>
        <w:spacing w:before="200" w:after="140"/>
      </w:pPr>
      <w:r>
        <w:rPr>
          <w:b/>
          <w:bCs/>
          <w:sz w:val="22"/>
          <w:szCs w:val="22"/>
        </w:rPr>
        <w:t>3.2 Morphological characteristics</w:t>
      </w:r>
    </w:p>
    <w:p w14:paraId="71887055" w14:textId="77777777" w:rsidR="009E33F6" w:rsidRDefault="00000000">
      <w:pPr>
        <w:spacing w:after="160"/>
        <w:jc w:val="both"/>
      </w:pPr>
      <w:r>
        <w:t xml:space="preserve">The plant is a shrub or small tree. The branchlets, leaf buds and flower buds are purple when young, and the branches bear spines about 4 cm long. The leaves are simple, or rarely with a single leaflet; the petiole is short and not winged; the blade is elliptic to oblong-elliptic, 6–12 × 3–6 cm or larger, with a serrate margin and a rounded, obtuse or rarely mucronate apex. </w:t>
      </w:r>
      <w:r>
        <w:rPr>
          <w:highlight w:val="yellow"/>
        </w:rPr>
        <w:t>The inflorescences are axillary and bear about twelve flowers; occasionally, the flowers are solitary.</w:t>
      </w:r>
      <w:r>
        <w:t xml:space="preserve"> The flowers are bisexual or sometimes </w:t>
      </w:r>
      <w:proofErr w:type="spellStart"/>
      <w:r>
        <w:t>staminate</w:t>
      </w:r>
      <w:proofErr w:type="spellEnd"/>
      <w:r>
        <w:t xml:space="preserve"> through almost complete degeneration of the gynoecium. There are five petals 1.5–2.0 cm long and 30–50 stamens. The carpels number 10–15, are free towards the base and are curved and incurved; the ovary is cylindrical, the style long and thick and the stigma clavate. The fruit is green when young and pale yellow when mature, elliptic to almost globose, weighing up to 2 kg, with a rough surface; the mesocarp is white, thick and spongy, and the endocarp is absent or very rarely present. The fruit bears fifteen to twenty or more finger-like segments in two whorls, those of the outer whorl larger than those of the inner, sour </w:t>
      </w:r>
      <w:proofErr w:type="gramStart"/>
      <w:r>
        <w:t>to</w:t>
      </w:r>
      <w:proofErr w:type="gramEnd"/>
      <w:r>
        <w:t xml:space="preserve"> slightly sweet and aromatic. Seeds are usually absent or very few; when present they are small, with a smooth </w:t>
      </w:r>
      <w:proofErr w:type="spellStart"/>
      <w:r>
        <w:t>testa</w:t>
      </w:r>
      <w:proofErr w:type="spellEnd"/>
      <w:r>
        <w:t xml:space="preserve">, </w:t>
      </w:r>
      <w:proofErr w:type="spellStart"/>
      <w:r>
        <w:t>monoembryonic</w:t>
      </w:r>
      <w:proofErr w:type="spellEnd"/>
      <w:r>
        <w:t xml:space="preserve"> to </w:t>
      </w:r>
      <w:proofErr w:type="spellStart"/>
      <w:r>
        <w:t>polyembryonic</w:t>
      </w:r>
      <w:proofErr w:type="spellEnd"/>
      <w:r>
        <w:t>, and with milky white cotyledons. Flowering occurs from May to August and fruiting from October to December (Do Huy Bich et al., 2006; Zhang, 2015).</w:t>
      </w:r>
    </w:p>
    <w:p w14:paraId="1A4A5F4C" w14:textId="77777777" w:rsidR="009E33F6" w:rsidRDefault="00000000">
      <w:pPr>
        <w:spacing w:after="160"/>
        <w:jc w:val="both"/>
      </w:pPr>
      <w:r>
        <w:t xml:space="preserve">What distinguishes the variety </w:t>
      </w:r>
      <w:proofErr w:type="spellStart"/>
      <w:r>
        <w:rPr>
          <w:i/>
          <w:iCs/>
        </w:rPr>
        <w:t>sarcodactylis</w:t>
      </w:r>
      <w:proofErr w:type="spellEnd"/>
      <w:r>
        <w:t xml:space="preserve"> is the structure of the gynoecium. In </w:t>
      </w:r>
      <w:r>
        <w:rPr>
          <w:i/>
          <w:iCs/>
        </w:rPr>
        <w:t>Citrus</w:t>
      </w:r>
      <w:r>
        <w:t xml:space="preserve"> species in general, and in </w:t>
      </w:r>
      <w:r>
        <w:rPr>
          <w:i/>
          <w:iCs/>
        </w:rPr>
        <w:t>C. medica</w:t>
      </w:r>
      <w:r>
        <w:t xml:space="preserve"> in particular, the carpels are fused into a closed ovary that develops into a globose or ovoid fruit containing juicy segments. In the fingered citron, by contrast, the carpels separate and elongate independently, so that the fruit becomes deeply divided into what resemble flexed fingers. As regards the pericarp, the fruit of </w:t>
      </w:r>
      <w:r>
        <w:rPr>
          <w:i/>
          <w:iCs/>
        </w:rPr>
        <w:t>Citrus</w:t>
      </w:r>
      <w:r>
        <w:t xml:space="preserve"> species comprises an exocarp, a mesocarp and an endocarp, the endocarp being divided into juicy segments. In the fingered citron the endocarp is lacking and the thick mesocarp accounts for about 95 % of the structure of the fruit (</w:t>
      </w:r>
      <w:proofErr w:type="spellStart"/>
      <w:r>
        <w:t>Sofiyanti</w:t>
      </w:r>
      <w:proofErr w:type="spellEnd"/>
      <w:r>
        <w:t xml:space="preserve"> et al., 2022).</w:t>
      </w:r>
    </w:p>
    <w:p w14:paraId="3236A82C" w14:textId="77777777" w:rsidR="009E33F6" w:rsidRDefault="00713E64">
      <w:pPr>
        <w:spacing w:before="200" w:after="140"/>
      </w:pPr>
      <w:r>
        <w:rPr>
          <w:b/>
          <w:bCs/>
          <w:sz w:val="22"/>
          <w:szCs w:val="22"/>
        </w:rPr>
        <w:t>3.3 Geographical distribution</w:t>
      </w:r>
    </w:p>
    <w:p w14:paraId="75DE7759" w14:textId="77777777" w:rsidR="009E33F6" w:rsidRDefault="00000000">
      <w:pPr>
        <w:spacing w:after="160"/>
        <w:jc w:val="both"/>
      </w:pPr>
      <w:r>
        <w:t>The fingered citron is a light-demanding species that grows well in warm tropical and subtropical climates; it tolerates neither frost nor waterlogging. The species originated in India and was subsequently introduced and cultivated on a large scale in many Asian countries including China, Japan, Laos, Thailand, Indonesia, Malaysia and Vietnam.</w:t>
      </w:r>
    </w:p>
    <w:p w14:paraId="72958997" w14:textId="77777777" w:rsidR="009E33F6" w:rsidRDefault="00000000">
      <w:pPr>
        <w:spacing w:after="160"/>
        <w:jc w:val="both"/>
      </w:pPr>
      <w:r>
        <w:t>In Vietnam the species was introduced long ago. It is now grown in dedicated production areas of considerable economic value in the outlying districts of Hanoi and in Bac Ninh, the fruit being harvested in autumn and winter (Do Huy Bich et al., 2006; Loi, 2017).</w:t>
      </w:r>
    </w:p>
    <w:p w14:paraId="6DCC5439" w14:textId="77777777" w:rsidR="009E33F6" w:rsidRDefault="00713E64">
      <w:pPr>
        <w:spacing w:before="240" w:after="160"/>
      </w:pPr>
      <w:r>
        <w:rPr>
          <w:b/>
          <w:bCs/>
          <w:caps/>
          <w:sz w:val="22"/>
          <w:szCs w:val="22"/>
        </w:rPr>
        <w:t>4. Phytochemical Constituents</w:t>
      </w:r>
    </w:p>
    <w:p w14:paraId="52C7FDFA" w14:textId="77777777" w:rsidR="009E33F6" w:rsidRDefault="00000000">
      <w:pPr>
        <w:spacing w:after="160"/>
        <w:jc w:val="both"/>
      </w:pPr>
      <w:r>
        <w:lastRenderedPageBreak/>
        <w:t>Analyses by gas chromatography coupled to mass spectrometry (GC-MS) and by high-performance liquid chromatography coupled to tandem mass spectrometry (HPLC-MS/MS) have identified several hundred secondary metabolites in the fingered citron fruit.</w:t>
      </w:r>
    </w:p>
    <w:p w14:paraId="5D672F9E" w14:textId="77777777" w:rsidR="009E33F6" w:rsidRDefault="00713E64">
      <w:pPr>
        <w:spacing w:before="200" w:after="140"/>
      </w:pPr>
      <w:r>
        <w:rPr>
          <w:b/>
          <w:bCs/>
          <w:sz w:val="22"/>
          <w:szCs w:val="22"/>
        </w:rPr>
        <w:t>4.1 Distribution of the constituents</w:t>
      </w:r>
    </w:p>
    <w:p w14:paraId="5A9AAB65" w14:textId="77777777" w:rsidR="009E33F6" w:rsidRDefault="00000000">
      <w:pPr>
        <w:spacing w:after="160"/>
        <w:jc w:val="both"/>
      </w:pPr>
      <w:r>
        <w:t xml:space="preserve">The amounts recovered depend on the plant material extracted. Phenolics, flavonoids and coumarins are most abundant in the exocarp, less abundant in the whole fruit and least abundant in the white spongy mesocarp, or albedo (Yang et al., 2015; </w:t>
      </w:r>
      <w:proofErr w:type="spellStart"/>
      <w:r>
        <w:t>Vitalini</w:t>
      </w:r>
      <w:proofErr w:type="spellEnd"/>
      <w:r>
        <w:t xml:space="preserve"> et al., 2022; Guo et al., 2026).</w:t>
      </w:r>
    </w:p>
    <w:p w14:paraId="7AAE2A37" w14:textId="77777777" w:rsidR="009E33F6" w:rsidRDefault="00713E64">
      <w:pPr>
        <w:spacing w:before="160" w:after="120"/>
      </w:pPr>
      <w:r>
        <w:rPr>
          <w:b/>
          <w:bCs/>
          <w:u w:val="single"/>
        </w:rPr>
        <w:t>4.1.1 Distribution between the parts of the fruit</w:t>
      </w:r>
    </w:p>
    <w:p w14:paraId="069668BC" w14:textId="77777777" w:rsidR="009E33F6" w:rsidRDefault="00000000">
      <w:pPr>
        <w:spacing w:after="160"/>
        <w:jc w:val="both"/>
      </w:pPr>
      <w:r>
        <w:t xml:space="preserve">Guo et al. (2026) demonstrated a clear tissue specificity in the distribution of the phenolic and flavonoid compounds of the fingered citron fruit. In the free form the compounds are most abundant in the exocarp: a sample of exocarp harvested in Guangxi reached a total free phenolic content of 106.34 ± 0.23 mg GAE/100 g fresh weight, a free flavonoid content of 15.31 ± 0.11 mg CE/100 g fresh weight, six times that of the albedo, and a free </w:t>
      </w:r>
      <w:proofErr w:type="spellStart"/>
      <w:r>
        <w:t>flavonol</w:t>
      </w:r>
      <w:proofErr w:type="spellEnd"/>
      <w:r>
        <w:t xml:space="preserve"> content of 37.20 ± 0.84 mg RE/100 g fresh weight. The albedo, by contrast, contains very little free phenolic material, a sample from Yunnan reaching only 12.41 ± 1.94 mg GAE/100 g fresh weight (Guo et al., 2026).</w:t>
      </w:r>
    </w:p>
    <w:p w14:paraId="533CA560" w14:textId="77777777" w:rsidR="009E33F6" w:rsidRDefault="00000000">
      <w:pPr>
        <w:spacing w:after="160"/>
        <w:jc w:val="both"/>
      </w:pPr>
      <w:r>
        <w:t>The insoluble bound compounds represent a very small proportion in both parts of the fruit. The predominant bound constituent is hesperidin, which reached 1067.13 ± 37.00 µg/g in the exocarp of the Guangxi sample, together with ferulic acid, 7-hydroxycoumarin and 5,7-dimethoxycoumarin. Bound flavonoids were not detected at all in the albedo or in the whole-fruit sample collected in Zhejiang (Liu et al., 2025; Guo et al., 2026).</w:t>
      </w:r>
    </w:p>
    <w:p w14:paraId="58A12CBD" w14:textId="77777777" w:rsidR="009E33F6" w:rsidRDefault="00000000">
      <w:pPr>
        <w:spacing w:after="160"/>
        <w:jc w:val="both"/>
      </w:pPr>
      <w:r>
        <w:t>The fruit is green when young and turns pale yellow and then deep yellow as it ripens. The flavonoid and coumarin contents are low in the young fruit and rise progressively as the fruit yellows. During ripening the monoterpene hydrocarbons such as limonene increase while the sesquiterpenes and the oxygenated constituents decrease (Liu et al., 2025; Yang et al., 2025). Processing also alters the composition, as in distillation or in prolonged salting: in salted fingered citron, known as Lao Xiang Huang, the flavonoid glycosides are transformed and polysaccharides are released (</w:t>
      </w:r>
      <w:proofErr w:type="spellStart"/>
      <w:r>
        <w:t>Vitalini</w:t>
      </w:r>
      <w:proofErr w:type="spellEnd"/>
      <w:r>
        <w:t xml:space="preserve"> et al., 2022; Chen et al., 2023; Luo et al., 2022).</w:t>
      </w:r>
    </w:p>
    <w:p w14:paraId="3A3E38D6" w14:textId="77777777" w:rsidR="009E33F6" w:rsidRDefault="00713E64">
      <w:pPr>
        <w:spacing w:before="160" w:after="120"/>
      </w:pPr>
      <w:r>
        <w:rPr>
          <w:b/>
          <w:bCs/>
          <w:u w:val="single"/>
        </w:rPr>
        <w:t>4.1.2 Distribution according to geographical origin</w:t>
      </w:r>
    </w:p>
    <w:p w14:paraId="00172BFC" w14:textId="77777777" w:rsidR="009E33F6" w:rsidRDefault="00000000">
      <w:pPr>
        <w:spacing w:after="160"/>
        <w:jc w:val="both"/>
      </w:pPr>
      <w:r>
        <w:t xml:space="preserve">Differences in climate, altitude, rainfall and soil type between the growing areas of China produce differences in the composition and in the relative proportions of the constituents. Fingered citron from Guangxi has the highest total phenolic, flavonoid and </w:t>
      </w:r>
      <w:proofErr w:type="spellStart"/>
      <w:r>
        <w:t>flavonol</w:t>
      </w:r>
      <w:proofErr w:type="spellEnd"/>
      <w:r>
        <w:t xml:space="preserve"> contents. Caffeic acid occurs only in samples harvested in Zhejiang and Sichuan and is entirely absent elsewhere. Material from the Jinhua area is rich in coumarins, including </w:t>
      </w:r>
      <w:proofErr w:type="spellStart"/>
      <w:r>
        <w:t>limettin</w:t>
      </w:r>
      <w:proofErr w:type="spellEnd"/>
      <w:r>
        <w:t xml:space="preserve"> (5,7-dimethoxycoumarin), phellopterin, 5-prenyloxy-7-methoxycoumarin, 6-hydroxy-7-methoxycoumarin and </w:t>
      </w:r>
      <w:proofErr w:type="spellStart"/>
      <w:r>
        <w:t>byakangelicol</w:t>
      </w:r>
      <w:proofErr w:type="spellEnd"/>
      <w:r>
        <w:t xml:space="preserve"> (Guo et al., 2026).</w:t>
      </w:r>
    </w:p>
    <w:p w14:paraId="13FF058B" w14:textId="77777777" w:rsidR="009E33F6" w:rsidRDefault="00713E64">
      <w:pPr>
        <w:spacing w:before="200" w:after="140"/>
      </w:pPr>
      <w:r>
        <w:rPr>
          <w:b/>
          <w:bCs/>
          <w:sz w:val="22"/>
          <w:szCs w:val="22"/>
        </w:rPr>
        <w:t>4.2 Classes of constituents of the fruit</w:t>
      </w:r>
    </w:p>
    <w:p w14:paraId="3984524E" w14:textId="77777777" w:rsidR="009E33F6" w:rsidRDefault="00713E64">
      <w:pPr>
        <w:spacing w:before="160" w:after="120"/>
      </w:pPr>
      <w:r>
        <w:rPr>
          <w:b/>
          <w:bCs/>
          <w:u w:val="single"/>
        </w:rPr>
        <w:t>4.2.1 Essential oil</w:t>
      </w:r>
    </w:p>
    <w:p w14:paraId="2456534C" w14:textId="77777777" w:rsidR="009E33F6" w:rsidRDefault="00000000">
      <w:pPr>
        <w:spacing w:after="160"/>
        <w:jc w:val="both"/>
      </w:pPr>
      <w:r>
        <w:t xml:space="preserve">The essential oil is contained in the secretory cavities of the exocarp, at a content ranging from 0.5 % to 1.8 % of the fresh weight of the fruit according to the stage of ripeness and the method of extraction (Loi, 2017). GC-MS studies carried out in Vietnam and elsewhere have shown that the oil contains more than forty volatile compounds accounting for 93 – 96 % of the total (Sun et al., 2026), belonging to the monoterpene hydrocarbons and the monoterpenoids. Limonene is the principal constituent, representing 34.69 % to 66.9 % of the oil (Yang et al., 2015; </w:t>
      </w:r>
      <w:proofErr w:type="spellStart"/>
      <w:r>
        <w:t>Vitalini</w:t>
      </w:r>
      <w:proofErr w:type="spellEnd"/>
      <w:r>
        <w:t xml:space="preserve"> et al., 2022); in the fresh fruit it accounts for 75.8 % of the oil of </w:t>
      </w:r>
      <w:r>
        <w:lastRenderedPageBreak/>
        <w:t>the exocarp and 76.2 % of that of the mesocarp (</w:t>
      </w:r>
      <w:proofErr w:type="spellStart"/>
      <w:r>
        <w:t>Vitalini</w:t>
      </w:r>
      <w:proofErr w:type="spellEnd"/>
      <w:r>
        <w:t xml:space="preserve"> et al., 2022). γ-Terpinene represents about 20 % of the oil of the whole fruit (Yang et al., 2015), and 16.5 % and 15.0 % of the oil of the exocarp and of the mesocarp respectively in the fresh fruit (</w:t>
      </w:r>
      <w:proofErr w:type="spellStart"/>
      <w:r>
        <w:t>Vitalini</w:t>
      </w:r>
      <w:proofErr w:type="spellEnd"/>
      <w:r>
        <w:t xml:space="preserve"> et al., 2022). β-Bisabolene accounts for about 4.59 % (Yang et al., 2015). Minor constituents present at more than 1 %, which nevertheless contribute to the characteristic odour and to the pharmacological activity, include lauric acid (2.98 %), α-terpineol (2.63 %), caryophyllene (2.53 %), myristic acid (1.98 %), terpinen-4-ol (1.91 %), α-pinene (1.48 %), β-ocimene (1.26 %), germacrene D (1.23 %) and D-α-pinene (1.20 %) (Yang et al., 2015).</w:t>
      </w:r>
    </w:p>
    <w:p w14:paraId="1EC64D86" w14:textId="77777777" w:rsidR="009E33F6" w:rsidRDefault="00000000">
      <w:pPr>
        <w:spacing w:after="160"/>
        <w:jc w:val="both"/>
      </w:pPr>
      <w:r>
        <w:t xml:space="preserve">Limonene is the principal constituent of the genus </w:t>
      </w:r>
      <w:r>
        <w:rPr>
          <w:i/>
          <w:iCs/>
        </w:rPr>
        <w:t>Citrus</w:t>
      </w:r>
      <w:r>
        <w:t xml:space="preserve"> as a whole, whereas D-α-pinene and α-</w:t>
      </w:r>
      <w:proofErr w:type="spellStart"/>
      <w:r>
        <w:t>bergamotene</w:t>
      </w:r>
      <w:proofErr w:type="spellEnd"/>
      <w:r>
        <w:t xml:space="preserve"> are responsible for the characteristic aroma of the fingered citron (Yang et al., 2015); fruit harvested in different regions accordingly differs in aroma (Xu et al., 2024). The method of extraction affects both the yield and the biological activity of the oil. The greatest amount of oil is obtained by distillation combined with extraction, followed by steam distillation and by extraction with organic solvents, cold pressing being the least productive. Although the yield of cold pressing is only about 1.0 – 1.6 %, the low temperature preserves geraniol and citronellal and gives higher DPPH and ABTS antioxidant activity, whereas steam distillation gives twice the yield, about 3.5 %, but readily hydrolyses the thermolabile constituents (Guo et al., 2026).</w:t>
      </w:r>
    </w:p>
    <w:p w14:paraId="3898C906" w14:textId="77777777" w:rsidR="009E33F6" w:rsidRDefault="00713E64">
      <w:pPr>
        <w:spacing w:before="160" w:after="120"/>
      </w:pPr>
      <w:r>
        <w:rPr>
          <w:b/>
          <w:bCs/>
          <w:u w:val="single"/>
        </w:rPr>
        <w:t>4.2.2 Coumarins and furanocoumarins</w:t>
      </w:r>
    </w:p>
    <w:p w14:paraId="5864BF9F" w14:textId="77777777" w:rsidR="009E33F6" w:rsidRDefault="00000000">
      <w:pPr>
        <w:spacing w:after="160"/>
        <w:jc w:val="both"/>
      </w:pPr>
      <w:r>
        <w:t xml:space="preserve">This class of compounds is responsible for the characteristic aroma of the fruit. Extraction with solvents of increasing polarity followed by column chromatography has allowed the isolation of </w:t>
      </w:r>
      <w:proofErr w:type="spellStart"/>
      <w:r>
        <w:t>limettin</w:t>
      </w:r>
      <w:proofErr w:type="spellEnd"/>
      <w:r>
        <w:t xml:space="preserve"> (5,7-dimethoxycoumarin), which is the most abundant coumarin, together with bergapten, </w:t>
      </w:r>
      <w:proofErr w:type="spellStart"/>
      <w:r>
        <w:t>bergaptol</w:t>
      </w:r>
      <w:proofErr w:type="spellEnd"/>
      <w:r>
        <w:t xml:space="preserve">, </w:t>
      </w:r>
      <w:proofErr w:type="spellStart"/>
      <w:r>
        <w:t>xanthotoxol</w:t>
      </w:r>
      <w:proofErr w:type="spellEnd"/>
      <w:r>
        <w:t xml:space="preserve">, oxypeucedanin, </w:t>
      </w:r>
      <w:proofErr w:type="spellStart"/>
      <w:r>
        <w:t>byakangelicin</w:t>
      </w:r>
      <w:proofErr w:type="spellEnd"/>
      <w:r>
        <w:t xml:space="preserve">, </w:t>
      </w:r>
      <w:proofErr w:type="spellStart"/>
      <w:r>
        <w:t>heraclenin</w:t>
      </w:r>
      <w:proofErr w:type="spellEnd"/>
      <w:r>
        <w:t xml:space="preserve">, herniarin, </w:t>
      </w:r>
      <w:proofErr w:type="spellStart"/>
      <w:r>
        <w:t>scopolin</w:t>
      </w:r>
      <w:proofErr w:type="spellEnd"/>
      <w:r>
        <w:t xml:space="preserve"> and 3,4,7-trimethoxycoumarin (Guo et al., 2026; Wang et al., 2023; Yang et al., 2021). In the methanol extract, 5,7-dimethoxycoumarin represents 50.6 % of the coumarin content of the exocarp but only 0.7 % of that of the mesocarp (</w:t>
      </w:r>
      <w:proofErr w:type="spellStart"/>
      <w:r>
        <w:t>Vitalini</w:t>
      </w:r>
      <w:proofErr w:type="spellEnd"/>
      <w:r>
        <w:t xml:space="preserve"> et al., 2022; Yang et al., 2025).</w:t>
      </w:r>
    </w:p>
    <w:p w14:paraId="2C182BCD" w14:textId="77777777" w:rsidR="009E33F6" w:rsidRDefault="00713E64">
      <w:pPr>
        <w:spacing w:before="160" w:after="120"/>
      </w:pPr>
      <w:r>
        <w:rPr>
          <w:b/>
          <w:bCs/>
          <w:u w:val="single"/>
        </w:rPr>
        <w:t>4.2.3 Flavonoids</w:t>
      </w:r>
    </w:p>
    <w:p w14:paraId="365526AC" w14:textId="77777777" w:rsidR="009E33F6" w:rsidRDefault="00000000">
      <w:pPr>
        <w:spacing w:after="160"/>
        <w:jc w:val="both"/>
      </w:pPr>
      <w:r>
        <w:t xml:space="preserve">The flavonoids of the fingered citron are diverse and comprise flavanone glycosides (hesperidin, naringin, </w:t>
      </w:r>
      <w:proofErr w:type="spellStart"/>
      <w:r>
        <w:t>neohesperidin</w:t>
      </w:r>
      <w:proofErr w:type="spellEnd"/>
      <w:r>
        <w:t xml:space="preserve">, narirutin, </w:t>
      </w:r>
      <w:proofErr w:type="spellStart"/>
      <w:r>
        <w:t>eriocitrin</w:t>
      </w:r>
      <w:proofErr w:type="spellEnd"/>
      <w:r>
        <w:t xml:space="preserve">), </w:t>
      </w:r>
      <w:proofErr w:type="spellStart"/>
      <w:r>
        <w:t>flavonol</w:t>
      </w:r>
      <w:proofErr w:type="spellEnd"/>
      <w:r>
        <w:t xml:space="preserve"> and flavone glycosides (rutin, </w:t>
      </w:r>
      <w:proofErr w:type="spellStart"/>
      <w:r>
        <w:t>rhoifolin</w:t>
      </w:r>
      <w:proofErr w:type="spellEnd"/>
      <w:r>
        <w:t xml:space="preserve">, vitexin, </w:t>
      </w:r>
      <w:proofErr w:type="spellStart"/>
      <w:r>
        <w:t>narcissoside</w:t>
      </w:r>
      <w:proofErr w:type="spellEnd"/>
      <w:r>
        <w:t xml:space="preserve">, </w:t>
      </w:r>
      <w:proofErr w:type="spellStart"/>
      <w:r>
        <w:t>diosmin</w:t>
      </w:r>
      <w:proofErr w:type="spellEnd"/>
      <w:r>
        <w:t>), flavonoid aglycones (</w:t>
      </w:r>
      <w:proofErr w:type="spellStart"/>
      <w:r>
        <w:t>hesperetin</w:t>
      </w:r>
      <w:proofErr w:type="spellEnd"/>
      <w:r>
        <w:t xml:space="preserve">, naringenin, luteolin, diosmetin, </w:t>
      </w:r>
      <w:proofErr w:type="spellStart"/>
      <w:r>
        <w:t>tangeretin</w:t>
      </w:r>
      <w:proofErr w:type="spellEnd"/>
      <w:r>
        <w:t xml:space="preserve">, </w:t>
      </w:r>
      <w:proofErr w:type="spellStart"/>
      <w:r>
        <w:t>sinensetin</w:t>
      </w:r>
      <w:proofErr w:type="spellEnd"/>
      <w:r>
        <w:t xml:space="preserve">) and </w:t>
      </w:r>
      <w:proofErr w:type="spellStart"/>
      <w:r>
        <w:t>biflavonoids</w:t>
      </w:r>
      <w:proofErr w:type="spellEnd"/>
      <w:r>
        <w:t xml:space="preserve">. Total flavonoids are concentrated in the exocarp at about 15.31 mg catechin equivalent/100 g fresh weight, six times the content of the albedo, and the flavonoid and </w:t>
      </w:r>
      <w:proofErr w:type="spellStart"/>
      <w:r>
        <w:t>flavonol</w:t>
      </w:r>
      <w:proofErr w:type="spellEnd"/>
      <w:r>
        <w:t xml:space="preserve"> contents are highest in material from Guangxi when compared with Zhejiang, Yunnan, Sichuan and Guangdong (Guo et al., 2026).</w:t>
      </w:r>
    </w:p>
    <w:p w14:paraId="7BB96E18" w14:textId="77777777" w:rsidR="009E33F6" w:rsidRDefault="00000000">
      <w:pPr>
        <w:spacing w:after="160"/>
        <w:jc w:val="both"/>
      </w:pPr>
      <w:r>
        <w:t xml:space="preserve">The contents reported for individual flavonoids are as follows. Hesperidin accounts for a high proportion of the exocarp: 370.20 ± 8.77 µg/g of dry extract in the methanol extract, and 124.1 ± 3.5 mg/kg in the total phenolic fraction of the fresh fruit (Guo et al., 2026; El-Abd et al., 2025; Hu et al., 2026). </w:t>
      </w:r>
      <w:proofErr w:type="spellStart"/>
      <w:r>
        <w:t>Melitidin</w:t>
      </w:r>
      <w:proofErr w:type="spellEnd"/>
      <w:r>
        <w:t xml:space="preserve"> reaches 136.24 ± 3.98 µg/g and </w:t>
      </w:r>
      <w:proofErr w:type="spellStart"/>
      <w:r>
        <w:t>hesperetin</w:t>
      </w:r>
      <w:proofErr w:type="spellEnd"/>
      <w:r>
        <w:t xml:space="preserve"> 109.07 ± 5.69 µg/g of dry extract (Hu et al., 2026). Rutin reaches 68.59 ± 13.34 µg/g of dry extract and 18.40 ± 0.60 mg/kg of dry fruit (Hu et al., 2026; Li et al., 2025), and </w:t>
      </w:r>
      <w:proofErr w:type="spellStart"/>
      <w:r>
        <w:t>rhoifolin</w:t>
      </w:r>
      <w:proofErr w:type="spellEnd"/>
      <w:r>
        <w:t xml:space="preserve"> 51.56 ± 6.56 µg/g of dry extract (Hu et al., 2026). Naringin, a flavanone glycoside responsible for bitterness, reaches 44.17 ± 2.38 µg/g of dry extract and 82.3 ± 2.1 mg/kg of the whole fruit (Hu et al., 2026; Li et al., 2025). </w:t>
      </w:r>
      <w:proofErr w:type="spellStart"/>
      <w:r>
        <w:t>Neohesperidin</w:t>
      </w:r>
      <w:proofErr w:type="spellEnd"/>
      <w:r>
        <w:t xml:space="preserve">, </w:t>
      </w:r>
      <w:proofErr w:type="spellStart"/>
      <w:r>
        <w:t>eriocitrin</w:t>
      </w:r>
      <w:proofErr w:type="spellEnd"/>
      <w:r>
        <w:t xml:space="preserve">, narirutin and </w:t>
      </w:r>
      <w:proofErr w:type="spellStart"/>
      <w:r>
        <w:t>narcissoside</w:t>
      </w:r>
      <w:proofErr w:type="spellEnd"/>
      <w:r>
        <w:t xml:space="preserve"> reach 156.2 ± 4.8, 42.1 ± 1.5, 28.6 ± 0.9 and 12.3 ± 0.4 mg/kg respectively (Li et al., 2025).</w:t>
      </w:r>
    </w:p>
    <w:p w14:paraId="13C19837" w14:textId="77777777" w:rsidR="009E33F6" w:rsidRDefault="00713E64">
      <w:pPr>
        <w:spacing w:before="160" w:after="120"/>
      </w:pPr>
      <w:r>
        <w:rPr>
          <w:b/>
          <w:bCs/>
          <w:u w:val="single"/>
        </w:rPr>
        <w:t>4.2.4 Polysaccharides</w:t>
      </w:r>
    </w:p>
    <w:p w14:paraId="04F93573" w14:textId="77777777" w:rsidR="009E33F6" w:rsidRDefault="00000000">
      <w:pPr>
        <w:spacing w:after="160"/>
        <w:jc w:val="both"/>
      </w:pPr>
      <w:r>
        <w:t xml:space="preserve">The white spongy mesocarp is rich in soluble polysaccharides of high molecular weight. These are chiefly </w:t>
      </w:r>
      <w:proofErr w:type="spellStart"/>
      <w:r>
        <w:t>pectins</w:t>
      </w:r>
      <w:proofErr w:type="spellEnd"/>
      <w:r>
        <w:t xml:space="preserve"> built from galacturonic acid (</w:t>
      </w:r>
      <w:proofErr w:type="spellStart"/>
      <w:r>
        <w:t>GalA</w:t>
      </w:r>
      <w:proofErr w:type="spellEnd"/>
      <w:r>
        <w:t xml:space="preserve">), galactose (Gal), arabinose, rhamnose </w:t>
      </w:r>
      <w:r>
        <w:lastRenderedPageBreak/>
        <w:t>(Rha), glucose (</w:t>
      </w:r>
      <w:proofErr w:type="spellStart"/>
      <w:r>
        <w:t>Glc</w:t>
      </w:r>
      <w:proofErr w:type="spellEnd"/>
      <w:r>
        <w:t>) and mannose (Man), linked either in linear homogalacturonan chains or in branched rhamnogalacturonan I chains. In the exocarp the monosaccharide composition is dominated by mannose (63.62 %), rhamnose (24.16 %) and galacturonic acid (10.62 %). Fermentation of the fruit alters both the range and the proportions of the monosaccharides, the number of monosaccharide types increasing to include galacturonic acid (42.49 – 56.34 %), galactose (14.40 – 30.57 %), rhamnose (4.96 – 10.04 %), fucose (3.00 – 13.41 %), arabinose (1.04 – 3.18 %) and glucuronic acid (1.41 – 5.71 %) (Zheng et al., 2022).</w:t>
      </w:r>
    </w:p>
    <w:p w14:paraId="67842A7B" w14:textId="77777777" w:rsidR="009E33F6" w:rsidRDefault="00000000">
      <w:pPr>
        <w:spacing w:after="160"/>
        <w:jc w:val="both"/>
      </w:pPr>
      <w:r>
        <w:t xml:space="preserve">Recovery of the polysaccharides from the fresh fruit with distilled water at 80 – 95 °C gives a yield of 4.26 – 4.45 %. </w:t>
      </w:r>
      <w:r>
        <w:rPr>
          <w:highlight w:val="yellow"/>
        </w:rPr>
        <w:t>Extraction with 80 % ethanol precipitates</w:t>
      </w:r>
      <w:r>
        <w:t xml:space="preserve"> the macromolecular polysaccharides above 100 </w:t>
      </w:r>
      <w:proofErr w:type="spellStart"/>
      <w:r>
        <w:t>kDa</w:t>
      </w:r>
      <w:proofErr w:type="spellEnd"/>
      <w:r>
        <w:t xml:space="preserve"> while enriching the low molecular weight oligosaccharide fractions of about 717.77 Da, which are rich in glucose and mannose (Hu et al., 2026).</w:t>
      </w:r>
    </w:p>
    <w:p w14:paraId="545EA93E" w14:textId="77777777" w:rsidR="009E33F6" w:rsidRDefault="00713E64">
      <w:pPr>
        <w:spacing w:before="160" w:after="120"/>
      </w:pPr>
      <w:r>
        <w:rPr>
          <w:b/>
          <w:bCs/>
          <w:u w:val="single"/>
        </w:rPr>
        <w:t>4.2.5 Limonoids and other constituents</w:t>
      </w:r>
    </w:p>
    <w:p w14:paraId="4E8F9354" w14:textId="77777777" w:rsidR="009E33F6" w:rsidRDefault="00000000">
      <w:pPr>
        <w:spacing w:after="160"/>
        <w:jc w:val="both"/>
      </w:pPr>
      <w:r>
        <w:t xml:space="preserve">The limonoids, such as limonin and </w:t>
      </w:r>
      <w:proofErr w:type="spellStart"/>
      <w:r>
        <w:t>nomilin</w:t>
      </w:r>
      <w:proofErr w:type="spellEnd"/>
      <w:r>
        <w:t xml:space="preserve">, are modified triterpenoids and are found mainly in the mesocarp. Limonin is the most abundant of the group and is responsible for the delayed bitterness of the fruit. Part of it exists as the non-bitter precursor </w:t>
      </w:r>
      <w:proofErr w:type="spellStart"/>
      <w:r>
        <w:t>limonoate</w:t>
      </w:r>
      <w:proofErr w:type="spellEnd"/>
      <w:r>
        <w:t xml:space="preserve"> A-ring lactone; when the tissue is disrupted or when extraction is carried out in mildly acidic conditions this precursor cyclises to the intensely bitter D-ring lactone form of limonin. Obacunone, </w:t>
      </w:r>
      <w:proofErr w:type="spellStart"/>
      <w:r>
        <w:t>nomilin</w:t>
      </w:r>
      <w:proofErr w:type="spellEnd"/>
      <w:r>
        <w:t xml:space="preserve"> and </w:t>
      </w:r>
      <w:proofErr w:type="spellStart"/>
      <w:r>
        <w:t>nomilinic</w:t>
      </w:r>
      <w:proofErr w:type="spellEnd"/>
      <w:r>
        <w:t xml:space="preserve"> acid are also present (Deng et al., 2023; Luo et al., 2025).</w:t>
      </w:r>
    </w:p>
    <w:p w14:paraId="7513D541" w14:textId="77777777" w:rsidR="009E33F6" w:rsidRDefault="00713E64">
      <w:pPr>
        <w:spacing w:before="240" w:after="160"/>
      </w:pPr>
      <w:r>
        <w:rPr>
          <w:b/>
          <w:bCs/>
          <w:caps/>
          <w:sz w:val="22"/>
          <w:szCs w:val="22"/>
        </w:rPr>
        <w:t>5. Biological Activities and Mechanisms of Action</w:t>
      </w:r>
    </w:p>
    <w:p w14:paraId="14E9135B" w14:textId="77777777" w:rsidR="009E33F6" w:rsidRDefault="00713E64">
      <w:pPr>
        <w:spacing w:before="200" w:after="140"/>
      </w:pPr>
      <w:r>
        <w:rPr>
          <w:b/>
          <w:bCs/>
          <w:sz w:val="22"/>
          <w:szCs w:val="22"/>
        </w:rPr>
        <w:t>5.1 Activity on the respiratory system</w:t>
      </w:r>
    </w:p>
    <w:p w14:paraId="4C983D89" w14:textId="77777777" w:rsidR="009E33F6" w:rsidRDefault="00000000">
      <w:pPr>
        <w:spacing w:after="160"/>
        <w:jc w:val="both"/>
      </w:pPr>
      <w:r>
        <w:t xml:space="preserve">The antitussive action of the traditional preparation of fingered citron steamed with rock sugar has been demonstrated in an </w:t>
      </w:r>
      <w:r>
        <w:rPr>
          <w:i/>
          <w:iCs/>
        </w:rPr>
        <w:t>in vivo</w:t>
      </w:r>
      <w:r>
        <w:t xml:space="preserve"> model: </w:t>
      </w:r>
      <w:r>
        <w:rPr>
          <w:highlight w:val="yellow"/>
        </w:rPr>
        <w:t>a 70 % ethanol extract of the fruit</w:t>
      </w:r>
      <w:r>
        <w:t xml:space="preserve"> markedly reduced coughing in mice in which cough had been induced with ammonium hydroxide solution, an effect attributed to the participation of the constituents of the extract in glycerophospholipid and sphingolipid metabolism (Deng et al., 2025; Li et al., 2024).</w:t>
      </w:r>
    </w:p>
    <w:p w14:paraId="077D8272" w14:textId="77777777" w:rsidR="009E33F6" w:rsidRDefault="00000000">
      <w:pPr>
        <w:spacing w:after="160"/>
        <w:jc w:val="both"/>
      </w:pPr>
      <w:r>
        <w:t xml:space="preserve">Modern pharmacological work indicates that bergapten and the flavonoids of the fruit reduce the release of inflammatory mediators and thereby protect lung tissue (Luo et al., 2025). </w:t>
      </w:r>
      <w:r>
        <w:rPr>
          <w:highlight w:val="yellow"/>
        </w:rPr>
        <w:t>Limonene in the volatile oil relieves</w:t>
      </w:r>
      <w:r>
        <w:t xml:space="preserve"> bronchospasm and promotes expectoration. In a mouse model of lipopolysaccharide-induced acute lung injury, the fingered citron attenuated the injury by suppressing NF-</w:t>
      </w:r>
      <w:proofErr w:type="spellStart"/>
      <w:r>
        <w:t>κB</w:t>
      </w:r>
      <w:proofErr w:type="spellEnd"/>
      <w:r>
        <w:t xml:space="preserve"> signalling and the inflammatory response mediated by activation of the NLRP3 inflammasome (Luo et al., 2025).</w:t>
      </w:r>
    </w:p>
    <w:p w14:paraId="75020270" w14:textId="77777777" w:rsidR="009E33F6" w:rsidRDefault="009E0A63">
      <w:pPr>
        <w:spacing w:before="200" w:after="140"/>
      </w:pPr>
      <w:r>
        <w:rPr>
          <w:b/>
          <w:bCs/>
          <w:sz w:val="22"/>
          <w:szCs w:val="22"/>
        </w:rPr>
        <w:t>5.2 Activity on the digestive system</w:t>
      </w:r>
    </w:p>
    <w:p w14:paraId="69247746" w14:textId="77777777" w:rsidR="009E33F6" w:rsidRDefault="00000000">
      <w:pPr>
        <w:spacing w:after="160"/>
        <w:jc w:val="both"/>
      </w:pPr>
      <w:r>
        <w:t>The fingered citron enhances intestinal immunity, protects the gastric mucosa and promotes the healing of ethanol-induced gastric ulceration.</w:t>
      </w:r>
    </w:p>
    <w:p w14:paraId="3700AA8C" w14:textId="77777777" w:rsidR="009E33F6" w:rsidRDefault="00000000">
      <w:pPr>
        <w:spacing w:after="160"/>
        <w:jc w:val="both"/>
      </w:pPr>
      <w:r>
        <w:t>Salted fingered citron may be used in the supportive treatment of gastric disorders. An aqueous extract of the salted fruit increased the secretion of trefoil factor 2 by human gastric mucosal cells, forming a protective mucous barrier, and reduced tumour necrosis factor α. Polysaccharides isolated from the fruit achieved a scratch-healing rate of 85.8 % in cell culture. In a rat model of ethanol-induced gastric ulceration, the extract of the salted fruit lowered the ulcer index by 27.91 %, an effect comparable to that of omeprazole; protection is thought to operate through suppression of the NF-</w:t>
      </w:r>
      <w:proofErr w:type="spellStart"/>
      <w:r>
        <w:t>κB</w:t>
      </w:r>
      <w:proofErr w:type="spellEnd"/>
      <w:r>
        <w:t>/caspase-1/IL-1β inflammatory axis (Chen et al., 2023).</w:t>
      </w:r>
    </w:p>
    <w:p w14:paraId="2F9B88D7" w14:textId="77777777" w:rsidR="009E33F6" w:rsidRDefault="00000000">
      <w:pPr>
        <w:spacing w:after="160"/>
        <w:jc w:val="both"/>
      </w:pPr>
      <w:r>
        <w:t xml:space="preserve">A flavonoid-rich extract, and hesperidin in particular, markedly reduced the area and the index of ethanol-induced gastric lesions. This effect is achieved by activation of the antioxidant pathway, with increased superoxide dismutase activity and increased endogenous glutathione </w:t>
      </w:r>
      <w:r>
        <w:lastRenderedPageBreak/>
        <w:t>together with a fall in malondialdehyde. The extract also maintains the concentration of endogenous prostaglandin E2, stimulates the synthesis and secretion of mucus by the gastric epithelium and promotes bicarbonate secretion, thereby reducing the acidity of the gastric juice (El-Abd et al., 2025; Li et al., 2025). Both the water-bath-steamed fruit and the direct extract of the fruit protect the stomach against ethanol-induced injury (Zhu et al., 2020).</w:t>
      </w:r>
    </w:p>
    <w:p w14:paraId="7CDD5A9F" w14:textId="77777777" w:rsidR="009E33F6" w:rsidRDefault="00000000">
      <w:pPr>
        <w:spacing w:after="160"/>
        <w:jc w:val="both"/>
      </w:pPr>
      <w:r>
        <w:t xml:space="preserve">Polysaccharides isolated from the fingered citron are not degraded by the human digestive enzymes but act as immunostimulants (Wang et al., 2023). In hyperlipidaemic subjects the short-chain fatty acid content increased progressively on administration of the exocarp or of the fermented fruit, with a fall in </w:t>
      </w:r>
      <w:proofErr w:type="spellStart"/>
      <w:r>
        <w:t>isobutyric</w:t>
      </w:r>
      <w:proofErr w:type="spellEnd"/>
      <w:r>
        <w:t xml:space="preserve"> and isovaleric acids, which are detrimental to intestinal health. This change in short-chain fatty acids is attributed to a shift in the composition of the gut microbiota (Wang et al., 2023; Zheng et al., 2022).</w:t>
      </w:r>
    </w:p>
    <w:p w14:paraId="52EA80A5" w14:textId="77777777" w:rsidR="009E33F6" w:rsidRDefault="009E0A63">
      <w:pPr>
        <w:spacing w:before="200" w:after="140"/>
      </w:pPr>
      <w:r>
        <w:rPr>
          <w:b/>
          <w:bCs/>
          <w:sz w:val="22"/>
          <w:szCs w:val="22"/>
        </w:rPr>
        <w:t>5.3 Anti-inflammatory and immunomodulatory activity</w:t>
      </w:r>
    </w:p>
    <w:p w14:paraId="09560F97" w14:textId="77777777" w:rsidR="009E33F6" w:rsidRDefault="00000000">
      <w:pPr>
        <w:spacing w:after="160"/>
        <w:jc w:val="both"/>
      </w:pPr>
      <w:r>
        <w:t>The constituents of the fingered citron regulate several intracellular signalling pathways involved in the control of inflammation. They inhibit MAPK signalling, either alone or together with the NF-</w:t>
      </w:r>
      <w:proofErr w:type="spellStart"/>
      <w:r>
        <w:t>κB</w:t>
      </w:r>
      <w:proofErr w:type="spellEnd"/>
      <w:r>
        <w:t xml:space="preserve"> pathway, and thereby reduce the synthesis of inflammatory mediators and of the chemokines that attract leukocytes, namely Ccl3, Ccl4, Ccl5, Ccl7, Cxcl1, Cxcl9, Cxcl10 and Cxcl11 (Hu et al., 2026; Kim et al., 2013).</w:t>
      </w:r>
    </w:p>
    <w:p w14:paraId="45A0B892" w14:textId="77777777" w:rsidR="009E33F6" w:rsidRDefault="00000000">
      <w:pPr>
        <w:spacing w:after="160"/>
        <w:jc w:val="both"/>
      </w:pPr>
      <w:r>
        <w:rPr>
          <w:b/>
          <w:bCs/>
        </w:rPr>
        <w:t>The NF-</w:t>
      </w:r>
      <w:proofErr w:type="spellStart"/>
      <w:r>
        <w:rPr>
          <w:b/>
          <w:bCs/>
        </w:rPr>
        <w:t>κB</w:t>
      </w:r>
      <w:proofErr w:type="spellEnd"/>
      <w:r>
        <w:rPr>
          <w:b/>
          <w:bCs/>
        </w:rPr>
        <w:t xml:space="preserve"> pathway. </w:t>
      </w:r>
      <w:r>
        <w:t xml:space="preserve">In RAW 264.7 macrophages stimulated with lipopolysaccharide, </w:t>
      </w:r>
      <w:r>
        <w:rPr>
          <w:highlight w:val="yellow"/>
        </w:rPr>
        <w:t>the compounds in the extract and the essential oil inhibit</w:t>
      </w:r>
      <w:r>
        <w:t xml:space="preserve"> the phosphorylation of </w:t>
      </w:r>
      <w:proofErr w:type="spellStart"/>
      <w:r>
        <w:t>IκB</w:t>
      </w:r>
      <w:proofErr w:type="spellEnd"/>
      <w:r>
        <w:t>α and so prevent its proteasomal degradation. The p65 subunit of NF-</w:t>
      </w:r>
      <w:proofErr w:type="spellStart"/>
      <w:r>
        <w:t>κB</w:t>
      </w:r>
      <w:proofErr w:type="spellEnd"/>
      <w:r>
        <w:t xml:space="preserve"> is thereby retained and held inactive in the cytoplasm, and transcription of the inflammatory genes in the nucleus does not take place. Inducible nitric oxide synthase and cyclooxygenase-2 fall in consequence, with a marked decrease in nitric oxide and in prostaglandin E2 (Hu et al., 2026; Kim et al., 2013).</w:t>
      </w:r>
    </w:p>
    <w:p w14:paraId="41D59307" w14:textId="77777777" w:rsidR="009E33F6" w:rsidRDefault="00000000">
      <w:pPr>
        <w:spacing w:after="160"/>
        <w:jc w:val="both"/>
      </w:pPr>
      <w:r>
        <w:rPr>
          <w:b/>
          <w:bCs/>
        </w:rPr>
        <w:t xml:space="preserve">The MAPK pathway. </w:t>
      </w:r>
      <w:r>
        <w:t>The extract and the essential oil inhibit the phosphorylation of all three kinase branches of the MAPK family. Suppression of the NF-</w:t>
      </w:r>
      <w:proofErr w:type="spellStart"/>
      <w:r>
        <w:t>κB</w:t>
      </w:r>
      <w:proofErr w:type="spellEnd"/>
      <w:r>
        <w:t xml:space="preserve"> and MAPK pathways together inhibits the release of the pro-inflammatory cytokines TNF-α, IL-1β and IL-6.</w:t>
      </w:r>
    </w:p>
    <w:p w14:paraId="39765327" w14:textId="77777777" w:rsidR="009E33F6" w:rsidRDefault="00000000">
      <w:pPr>
        <w:spacing w:after="160"/>
        <w:jc w:val="both"/>
      </w:pPr>
      <w:r>
        <w:rPr>
          <w:b/>
          <w:bCs/>
        </w:rPr>
        <w:t xml:space="preserve">Assembly of the NLRP3 inflammasome and </w:t>
      </w:r>
      <w:proofErr w:type="spellStart"/>
      <w:r>
        <w:rPr>
          <w:b/>
          <w:bCs/>
        </w:rPr>
        <w:t>pyroptosis</w:t>
      </w:r>
      <w:proofErr w:type="spellEnd"/>
      <w:r>
        <w:rPr>
          <w:b/>
          <w:bCs/>
        </w:rPr>
        <w:t xml:space="preserve">. </w:t>
      </w:r>
      <w:r>
        <w:rPr>
          <w:highlight w:val="yellow"/>
        </w:rPr>
        <w:t>At the tissue level,</w:t>
      </w:r>
      <w:r>
        <w:t xml:space="preserve"> whether in acutely injured lung or in gastric mucosa ulcerated by ethanol, the fingered citron prevents acute inflammation by suppressing the expression of the NLRP3, ASC, NEK7 and caspase-8 genes and proteins, and so prevents the formation of the NLRP3/ASC/caspase-1 complex. Caspase-1 is not cleaved, </w:t>
      </w:r>
      <w:proofErr w:type="spellStart"/>
      <w:r>
        <w:t>gasdermin</w:t>
      </w:r>
      <w:proofErr w:type="spellEnd"/>
      <w:r>
        <w:t xml:space="preserve"> D is therefore not cleaved either, and the cell does not enter </w:t>
      </w:r>
      <w:proofErr w:type="spellStart"/>
      <w:r>
        <w:t>pyroptosis</w:t>
      </w:r>
      <w:proofErr w:type="spellEnd"/>
      <w:r>
        <w:t>; at the same time the cleavage of pro-IL-1β and pro-IL-18 into their biologically active forms is abolished (Chen et al., 2023; Luo et al., 2025).</w:t>
      </w:r>
    </w:p>
    <w:p w14:paraId="0B60D052" w14:textId="77777777" w:rsidR="009E33F6" w:rsidRDefault="00000000">
      <w:pPr>
        <w:spacing w:after="160"/>
        <w:jc w:val="both"/>
      </w:pPr>
      <w:r>
        <w:rPr>
          <w:b/>
          <w:bCs/>
        </w:rPr>
        <w:t xml:space="preserve">Inhibition of the HMGB1/TLR4 pathway. </w:t>
      </w:r>
      <w:r>
        <w:t xml:space="preserve">The flavonoids and coumarins of the fruit, such as hesperidin, ferulic acid and </w:t>
      </w:r>
      <w:proofErr w:type="spellStart"/>
      <w:r>
        <w:t>limettin</w:t>
      </w:r>
      <w:proofErr w:type="spellEnd"/>
      <w:r>
        <w:t>, protect the mucosa by down-regulating the alarmin HMGB1 and the TLR4 receptor, thereby blocking the recognition of exogenous danger signals at the cell membrane (El-Abd et al., 2025).</w:t>
      </w:r>
    </w:p>
    <w:p w14:paraId="1C248267" w14:textId="77777777" w:rsidR="009E33F6" w:rsidRDefault="00000000">
      <w:pPr>
        <w:spacing w:after="160"/>
        <w:jc w:val="both"/>
      </w:pPr>
      <w:r>
        <w:rPr>
          <w:b/>
          <w:bCs/>
        </w:rPr>
        <w:t xml:space="preserve">Activation of the TGR5 receptor and restoration of the oxidative and inflammatory balance. </w:t>
      </w:r>
      <w:r>
        <w:t>In obese rats, an extract of the fingered citron activates the TGR5 receptor of the intestinal enteroendocrine cells and raises intracellular cAMP, which down-regulates NF-</w:t>
      </w:r>
      <w:proofErr w:type="spellStart"/>
      <w:r>
        <w:t>κB</w:t>
      </w:r>
      <w:proofErr w:type="spellEnd"/>
      <w:r>
        <w:t xml:space="preserve"> in the colonic mucosa and lowers the indices of systemic inflammation. Suppression of NF-</w:t>
      </w:r>
      <w:proofErr w:type="spellStart"/>
      <w:r>
        <w:t>κB</w:t>
      </w:r>
      <w:proofErr w:type="spellEnd"/>
      <w:r>
        <w:t xml:space="preserve"> at the same time relieves the inhibition of the transcription factor Nrf2 and promotes the synthesis of the endogenous antioxidant enzymes superoxide dismutase, glutathione peroxidase and catalase, lowering malondialdehyde and increasing the expression of heat shock protein 70, which protects the cell against reactive oxygen species (Yang et al., 2025; El-Abd et al., 2025; Hu et al., 2026).</w:t>
      </w:r>
    </w:p>
    <w:p w14:paraId="3FAB6E21" w14:textId="77777777" w:rsidR="009E33F6" w:rsidRDefault="009E0A63">
      <w:pPr>
        <w:spacing w:before="200" w:after="140"/>
      </w:pPr>
      <w:r>
        <w:rPr>
          <w:b/>
          <w:bCs/>
          <w:sz w:val="22"/>
          <w:szCs w:val="22"/>
        </w:rPr>
        <w:t>5.4 Antimicrobial activity</w:t>
      </w:r>
    </w:p>
    <w:p w14:paraId="2EACB11F" w14:textId="77777777" w:rsidR="009E33F6" w:rsidRDefault="00000000">
      <w:pPr>
        <w:spacing w:after="160"/>
        <w:jc w:val="both"/>
      </w:pPr>
      <w:r>
        <w:lastRenderedPageBreak/>
        <w:t>The essential oil of the fingered citron fruit inhibits Gram-positive bacteria, Gram-negative bacteria and moulds alike.</w:t>
      </w:r>
    </w:p>
    <w:p w14:paraId="3213B087" w14:textId="77777777" w:rsidR="009E33F6" w:rsidRDefault="00000000">
      <w:pPr>
        <w:spacing w:after="160"/>
        <w:jc w:val="both"/>
      </w:pPr>
      <w:r>
        <w:rPr>
          <w:b/>
          <w:bCs/>
        </w:rPr>
        <w:t xml:space="preserve">Antibacterial activity. </w:t>
      </w:r>
      <w:r>
        <w:t xml:space="preserve">The essential oil inhibits the growth of </w:t>
      </w:r>
      <w:r>
        <w:rPr>
          <w:i/>
          <w:iCs/>
        </w:rPr>
        <w:t>Staphylococcus aureus</w:t>
      </w:r>
      <w:r>
        <w:t xml:space="preserve">, </w:t>
      </w:r>
      <w:r>
        <w:rPr>
          <w:i/>
          <w:iCs/>
        </w:rPr>
        <w:t>Bacillus subtilis</w:t>
      </w:r>
      <w:r>
        <w:t xml:space="preserve"> and </w:t>
      </w:r>
      <w:r>
        <w:rPr>
          <w:i/>
          <w:iCs/>
        </w:rPr>
        <w:t>Micrococcus flavus</w:t>
      </w:r>
      <w:r>
        <w:t xml:space="preserve"> (Li et al., 2019). Against </w:t>
      </w:r>
      <w:r>
        <w:rPr>
          <w:i/>
          <w:iCs/>
        </w:rPr>
        <w:t>Bacillus cereus</w:t>
      </w:r>
      <w:r>
        <w:t xml:space="preserve"> the ethanol extract of the exocarp gave a minimum inhibitory concentration of 2.5 mg/mL and a minimum bactericidal concentration of 5.0 mg/mL, whereas the essential oil of the exocarp was more effective, with values of 0.5 and 1.0 mg/mL respectively (</w:t>
      </w:r>
      <w:proofErr w:type="spellStart"/>
      <w:r>
        <w:t>Vitalini</w:t>
      </w:r>
      <w:proofErr w:type="spellEnd"/>
      <w:r>
        <w:t xml:space="preserve"> et al., 2022). The monoterpene constituents, limonene and pinene, are hydrophobic and dissolve readily into the phospholipid bilayer of the bacterial membrane. This insertion disturbs the spatial organisation of the membrane and increases its permeability abnormally, so that intracellular components diffuse out, the membrane potential is lost and autolysis of the bacterial cell is triggered (</w:t>
      </w:r>
      <w:proofErr w:type="spellStart"/>
      <w:r>
        <w:t>Vitalini</w:t>
      </w:r>
      <w:proofErr w:type="spellEnd"/>
      <w:r>
        <w:t xml:space="preserve"> et al., 2022; Li et al., 2019).</w:t>
      </w:r>
    </w:p>
    <w:p w14:paraId="386802B6" w14:textId="77777777" w:rsidR="009E33F6" w:rsidRDefault="00000000">
      <w:pPr>
        <w:spacing w:after="160"/>
        <w:jc w:val="both"/>
      </w:pPr>
      <w:r>
        <w:rPr>
          <w:b/>
          <w:bCs/>
        </w:rPr>
        <w:t xml:space="preserve">Antifungal activity. </w:t>
      </w:r>
      <w:r>
        <w:t xml:space="preserve">The essential oil also strongly inhibits moulds and yeasts such as </w:t>
      </w:r>
      <w:r>
        <w:rPr>
          <w:i/>
          <w:iCs/>
        </w:rPr>
        <w:t>Aspergillus</w:t>
      </w:r>
      <w:r>
        <w:t xml:space="preserve"> species, </w:t>
      </w:r>
      <w:r>
        <w:rPr>
          <w:i/>
          <w:iCs/>
        </w:rPr>
        <w:t>Saccharomyces cerevisiae</w:t>
      </w:r>
      <w:r>
        <w:t xml:space="preserve"> and </w:t>
      </w:r>
      <w:r>
        <w:rPr>
          <w:i/>
          <w:iCs/>
        </w:rPr>
        <w:t>Candida albicans</w:t>
      </w:r>
      <w:r>
        <w:t xml:space="preserve"> (Zhang, 2015; Lim, 2012). Constituents of the oil such as </w:t>
      </w:r>
      <w:proofErr w:type="spellStart"/>
      <w:r>
        <w:t>limettin</w:t>
      </w:r>
      <w:proofErr w:type="spellEnd"/>
      <w:r>
        <w:t xml:space="preserve"> and bergapten disturb the permeability of the cell membrane, disrupt the ergosterol structure and inhibit the germination of fungal spores (Lim, 2012; Demircan &amp; </w:t>
      </w:r>
      <w:proofErr w:type="spellStart"/>
      <w:r>
        <w:t>Velioglu</w:t>
      </w:r>
      <w:proofErr w:type="spellEnd"/>
      <w:r>
        <w:t>, 2024).</w:t>
      </w:r>
    </w:p>
    <w:p w14:paraId="093CC787" w14:textId="77777777" w:rsidR="009E33F6" w:rsidRDefault="00000000">
      <w:pPr>
        <w:spacing w:after="160"/>
        <w:jc w:val="both"/>
      </w:pPr>
      <w:r>
        <w:rPr>
          <w:b/>
          <w:bCs/>
        </w:rPr>
        <w:t xml:space="preserve">Inhibition of biofilm formation. </w:t>
      </w:r>
      <w:r>
        <w:t xml:space="preserve">Phenolics from the exocarp completely prevented the formation of the biofilm of </w:t>
      </w:r>
      <w:r>
        <w:rPr>
          <w:i/>
          <w:iCs/>
        </w:rPr>
        <w:t>S. aureus</w:t>
      </w:r>
      <w:r>
        <w:t xml:space="preserve"> and inhibited that of </w:t>
      </w:r>
      <w:r>
        <w:rPr>
          <w:i/>
          <w:iCs/>
        </w:rPr>
        <w:t>Pseudomonas aeruginosa</w:t>
      </w:r>
      <w:r>
        <w:t xml:space="preserve"> by 82.8 % at 2.0 mg/</w:t>
      </w:r>
      <w:proofErr w:type="spellStart"/>
      <w:r>
        <w:t>mL.</w:t>
      </w:r>
      <w:proofErr w:type="spellEnd"/>
      <w:r>
        <w:t xml:space="preserve"> These compounds intercalate into the bacterial DNA and prevent adhesion and the establishment of the biofilm architecture (Wang et al., 2019).</w:t>
      </w:r>
    </w:p>
    <w:p w14:paraId="7BBF3D7D" w14:textId="77777777" w:rsidR="009E33F6" w:rsidRDefault="009E0A63">
      <w:pPr>
        <w:spacing w:before="200" w:after="140"/>
      </w:pPr>
      <w:r>
        <w:rPr>
          <w:b/>
          <w:bCs/>
          <w:sz w:val="22"/>
          <w:szCs w:val="22"/>
        </w:rPr>
        <w:t xml:space="preserve">5.5 Antidiabetic and </w:t>
      </w:r>
      <w:proofErr w:type="spellStart"/>
      <w:r>
        <w:rPr>
          <w:b/>
          <w:bCs/>
          <w:sz w:val="22"/>
          <w:szCs w:val="22"/>
        </w:rPr>
        <w:t>hypolipidaemic</w:t>
      </w:r>
      <w:proofErr w:type="spellEnd"/>
      <w:r>
        <w:rPr>
          <w:b/>
          <w:bCs/>
          <w:sz w:val="22"/>
          <w:szCs w:val="22"/>
        </w:rPr>
        <w:t xml:space="preserve"> activity</w:t>
      </w:r>
    </w:p>
    <w:p w14:paraId="72A6CE22" w14:textId="77777777" w:rsidR="009E33F6" w:rsidRDefault="00000000">
      <w:pPr>
        <w:spacing w:after="160"/>
        <w:jc w:val="both"/>
      </w:pPr>
      <w:r>
        <w:t xml:space="preserve">The essential oil and the extracts of the exocarp and of the mesocarp lower blood glucose, improve insulin sensitivity and regulate lipid metabolism in </w:t>
      </w:r>
      <w:r>
        <w:rPr>
          <w:i/>
          <w:iCs/>
        </w:rPr>
        <w:t>in vitro</w:t>
      </w:r>
      <w:r>
        <w:t xml:space="preserve"> and </w:t>
      </w:r>
      <w:r>
        <w:rPr>
          <w:i/>
          <w:iCs/>
        </w:rPr>
        <w:t>in vivo</w:t>
      </w:r>
      <w:r>
        <w:t xml:space="preserve"> models (Table 1).</w:t>
      </w:r>
    </w:p>
    <w:p w14:paraId="043ED395" w14:textId="77777777" w:rsidR="009E33F6" w:rsidRDefault="00000000">
      <w:pPr>
        <w:keepNext/>
        <w:spacing w:before="200" w:after="120"/>
      </w:pPr>
      <w:r>
        <w:rPr>
          <w:b/>
          <w:bCs/>
        </w:rPr>
        <w:t xml:space="preserve">Table 1. Antidiabetic and </w:t>
      </w:r>
      <w:proofErr w:type="spellStart"/>
      <w:r>
        <w:rPr>
          <w:b/>
          <w:bCs/>
        </w:rPr>
        <w:t>hypolipidaemic</w:t>
      </w:r>
      <w:proofErr w:type="spellEnd"/>
      <w:r>
        <w:rPr>
          <w:b/>
          <w:bCs/>
        </w:rPr>
        <w:t xml:space="preserve"> activities reported for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50"/>
        <w:gridCol w:w="3300"/>
        <w:gridCol w:w="1658"/>
      </w:tblGrid>
      <w:tr w:rsidR="009E33F6" w14:paraId="48B2AB4C" w14:textId="77777777">
        <w:trPr>
          <w:cantSplit/>
          <w:tblHeader/>
        </w:trPr>
        <w:tc>
          <w:tcPr>
            <w:tcW w:w="1500" w:type="dxa"/>
            <w:shd w:val="clear" w:color="auto" w:fill="D9D9D9"/>
            <w:tcMar>
              <w:top w:w="60" w:type="dxa"/>
              <w:left w:w="80" w:type="dxa"/>
              <w:bottom w:w="60" w:type="dxa"/>
              <w:right w:w="80" w:type="dxa"/>
            </w:tcMar>
            <w:vAlign w:val="center"/>
          </w:tcPr>
          <w:p w14:paraId="7947BDE3" w14:textId="77777777" w:rsidR="009E33F6" w:rsidRDefault="00000000">
            <w:pPr>
              <w:jc w:val="center"/>
            </w:pPr>
            <w:r>
              <w:rPr>
                <w:b/>
                <w:bCs/>
                <w:sz w:val="18"/>
                <w:szCs w:val="18"/>
              </w:rPr>
              <w:t>Fraction / compound</w:t>
            </w:r>
          </w:p>
        </w:tc>
        <w:tc>
          <w:tcPr>
            <w:tcW w:w="1750" w:type="dxa"/>
            <w:shd w:val="clear" w:color="auto" w:fill="D9D9D9"/>
            <w:tcMar>
              <w:top w:w="60" w:type="dxa"/>
              <w:left w:w="80" w:type="dxa"/>
              <w:bottom w:w="60" w:type="dxa"/>
              <w:right w:w="80" w:type="dxa"/>
            </w:tcMar>
            <w:vAlign w:val="center"/>
          </w:tcPr>
          <w:p w14:paraId="504CA799"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27C6756C"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039365BD" w14:textId="77777777" w:rsidR="009E33F6" w:rsidRDefault="00000000">
            <w:pPr>
              <w:jc w:val="center"/>
            </w:pPr>
            <w:r>
              <w:rPr>
                <w:b/>
                <w:bCs/>
                <w:sz w:val="18"/>
                <w:szCs w:val="18"/>
              </w:rPr>
              <w:t>Reference</w:t>
            </w:r>
          </w:p>
        </w:tc>
      </w:tr>
      <w:tr w:rsidR="009E33F6" w14:paraId="16F9E944" w14:textId="77777777">
        <w:trPr>
          <w:cantSplit/>
        </w:trPr>
        <w:tc>
          <w:tcPr>
            <w:tcW w:w="1500" w:type="dxa"/>
            <w:tcMar>
              <w:top w:w="60" w:type="dxa"/>
              <w:left w:w="80" w:type="dxa"/>
              <w:bottom w:w="60" w:type="dxa"/>
              <w:right w:w="80" w:type="dxa"/>
            </w:tcMar>
            <w:vAlign w:val="center"/>
          </w:tcPr>
          <w:p w14:paraId="09625FD3" w14:textId="77777777" w:rsidR="009E33F6" w:rsidRDefault="00000000">
            <w:r>
              <w:rPr>
                <w:sz w:val="18"/>
                <w:szCs w:val="18"/>
              </w:rPr>
              <w:t>Free phenolics of the exocarp</w:t>
            </w:r>
          </w:p>
        </w:tc>
        <w:tc>
          <w:tcPr>
            <w:tcW w:w="1750" w:type="dxa"/>
            <w:tcMar>
              <w:top w:w="60" w:type="dxa"/>
              <w:left w:w="80" w:type="dxa"/>
              <w:bottom w:w="60" w:type="dxa"/>
              <w:right w:w="80" w:type="dxa"/>
            </w:tcMar>
            <w:vAlign w:val="center"/>
          </w:tcPr>
          <w:p w14:paraId="1E02D3A2" w14:textId="77777777" w:rsidR="009E33F6" w:rsidRDefault="00000000">
            <w:r>
              <w:rPr>
                <w:i/>
                <w:iCs/>
                <w:sz w:val="18"/>
                <w:szCs w:val="18"/>
              </w:rPr>
              <w:t>In vitro</w:t>
            </w:r>
            <w:r>
              <w:rPr>
                <w:sz w:val="18"/>
                <w:szCs w:val="18"/>
              </w:rPr>
              <w:t xml:space="preserve"> (</w:t>
            </w:r>
            <w:r>
              <w:rPr>
                <w:i/>
                <w:iCs/>
                <w:sz w:val="18"/>
                <w:szCs w:val="18"/>
              </w:rPr>
              <w:t>α</w:t>
            </w:r>
            <w:r>
              <w:rPr>
                <w:sz w:val="18"/>
                <w:szCs w:val="18"/>
              </w:rPr>
              <w:t>-glucosidase)</w:t>
            </w:r>
          </w:p>
        </w:tc>
        <w:tc>
          <w:tcPr>
            <w:tcW w:w="3300" w:type="dxa"/>
            <w:tcMar>
              <w:top w:w="60" w:type="dxa"/>
              <w:left w:w="80" w:type="dxa"/>
              <w:bottom w:w="60" w:type="dxa"/>
              <w:right w:w="80" w:type="dxa"/>
            </w:tcMar>
            <w:vAlign w:val="center"/>
          </w:tcPr>
          <w:p w14:paraId="6D7DA73F" w14:textId="77777777" w:rsidR="009E33F6" w:rsidRDefault="00000000">
            <w:r>
              <w:rPr>
                <w:sz w:val="18"/>
                <w:szCs w:val="18"/>
              </w:rPr>
              <w:t>Up to 76.10 % enzyme inhibition at 80 mg/mL, comparable to the acarbose reference solution</w:t>
            </w:r>
          </w:p>
        </w:tc>
        <w:tc>
          <w:tcPr>
            <w:tcW w:w="1658" w:type="dxa"/>
            <w:tcMar>
              <w:top w:w="60" w:type="dxa"/>
              <w:left w:w="80" w:type="dxa"/>
              <w:bottom w:w="60" w:type="dxa"/>
              <w:right w:w="80" w:type="dxa"/>
            </w:tcMar>
            <w:vAlign w:val="center"/>
          </w:tcPr>
          <w:p w14:paraId="0885FAF9" w14:textId="77777777" w:rsidR="009E33F6" w:rsidRDefault="00000000">
            <w:r>
              <w:rPr>
                <w:sz w:val="18"/>
                <w:szCs w:val="18"/>
              </w:rPr>
              <w:t>(Guo et al., 2026)</w:t>
            </w:r>
          </w:p>
        </w:tc>
      </w:tr>
      <w:tr w:rsidR="009E33F6" w14:paraId="2A43F521" w14:textId="77777777">
        <w:trPr>
          <w:cantSplit/>
        </w:trPr>
        <w:tc>
          <w:tcPr>
            <w:tcW w:w="1500" w:type="dxa"/>
            <w:tcMar>
              <w:top w:w="60" w:type="dxa"/>
              <w:left w:w="80" w:type="dxa"/>
              <w:bottom w:w="60" w:type="dxa"/>
              <w:right w:w="80" w:type="dxa"/>
            </w:tcMar>
            <w:vAlign w:val="center"/>
          </w:tcPr>
          <w:p w14:paraId="0C76A222"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3E36B051" w14:textId="77777777" w:rsidR="009E33F6" w:rsidRDefault="00000000">
            <w:r>
              <w:rPr>
                <w:i/>
                <w:iCs/>
                <w:sz w:val="18"/>
                <w:szCs w:val="18"/>
              </w:rPr>
              <w:t>In vitro</w:t>
            </w:r>
            <w:r>
              <w:rPr>
                <w:sz w:val="18"/>
                <w:szCs w:val="18"/>
              </w:rPr>
              <w:t xml:space="preserve"> (</w:t>
            </w:r>
            <w:r>
              <w:rPr>
                <w:i/>
                <w:iCs/>
                <w:sz w:val="18"/>
                <w:szCs w:val="18"/>
              </w:rPr>
              <w:t>α</w:t>
            </w:r>
            <w:r>
              <w:rPr>
                <w:sz w:val="18"/>
                <w:szCs w:val="18"/>
              </w:rPr>
              <w:t>-amylase)</w:t>
            </w:r>
          </w:p>
        </w:tc>
        <w:tc>
          <w:tcPr>
            <w:tcW w:w="3300" w:type="dxa"/>
            <w:tcMar>
              <w:top w:w="60" w:type="dxa"/>
              <w:left w:w="80" w:type="dxa"/>
              <w:bottom w:w="60" w:type="dxa"/>
              <w:right w:w="80" w:type="dxa"/>
            </w:tcMar>
            <w:vAlign w:val="center"/>
          </w:tcPr>
          <w:p w14:paraId="5316F595" w14:textId="77777777" w:rsidR="009E33F6" w:rsidRDefault="00000000">
            <w:r>
              <w:rPr>
                <w:sz w:val="18"/>
                <w:szCs w:val="18"/>
              </w:rPr>
              <w:t>56.77 % inhibition at 400 mg/mL</w:t>
            </w:r>
          </w:p>
        </w:tc>
        <w:tc>
          <w:tcPr>
            <w:tcW w:w="1658" w:type="dxa"/>
            <w:tcMar>
              <w:top w:w="60" w:type="dxa"/>
              <w:left w:w="80" w:type="dxa"/>
              <w:bottom w:w="60" w:type="dxa"/>
              <w:right w:w="80" w:type="dxa"/>
            </w:tcMar>
            <w:vAlign w:val="center"/>
          </w:tcPr>
          <w:p w14:paraId="32D82D05" w14:textId="77777777" w:rsidR="009E33F6" w:rsidRDefault="00000000">
            <w:r>
              <w:rPr>
                <w:sz w:val="18"/>
                <w:szCs w:val="18"/>
              </w:rPr>
              <w:t>(Guo et al., 2026)</w:t>
            </w:r>
          </w:p>
        </w:tc>
      </w:tr>
      <w:tr w:rsidR="009E33F6" w14:paraId="4FD59A73" w14:textId="77777777">
        <w:trPr>
          <w:cantSplit/>
        </w:trPr>
        <w:tc>
          <w:tcPr>
            <w:tcW w:w="1500" w:type="dxa"/>
            <w:tcMar>
              <w:top w:w="60" w:type="dxa"/>
              <w:left w:w="80" w:type="dxa"/>
              <w:bottom w:w="60" w:type="dxa"/>
              <w:right w:w="80" w:type="dxa"/>
            </w:tcMar>
            <w:vAlign w:val="center"/>
          </w:tcPr>
          <w:p w14:paraId="0C1FC470"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39BFC12C" w14:textId="77777777" w:rsidR="009E33F6" w:rsidRDefault="00000000">
            <w:r>
              <w:rPr>
                <w:sz w:val="18"/>
                <w:szCs w:val="18"/>
              </w:rPr>
              <w:t>Glucose consumption by insulin-resistant IR-HepG2 cells</w:t>
            </w:r>
          </w:p>
        </w:tc>
        <w:tc>
          <w:tcPr>
            <w:tcW w:w="3300" w:type="dxa"/>
            <w:tcMar>
              <w:top w:w="60" w:type="dxa"/>
              <w:left w:w="80" w:type="dxa"/>
              <w:bottom w:w="60" w:type="dxa"/>
              <w:right w:w="80" w:type="dxa"/>
            </w:tcMar>
            <w:vAlign w:val="center"/>
          </w:tcPr>
          <w:p w14:paraId="0C628F93" w14:textId="77777777" w:rsidR="009E33F6" w:rsidRDefault="00000000">
            <w:r>
              <w:rPr>
                <w:sz w:val="18"/>
                <w:szCs w:val="18"/>
              </w:rPr>
              <w:t>5.48 mmol/L, higher than the metformin control (3.40 mmol/L)</w:t>
            </w:r>
          </w:p>
        </w:tc>
        <w:tc>
          <w:tcPr>
            <w:tcW w:w="1658" w:type="dxa"/>
            <w:tcMar>
              <w:top w:w="60" w:type="dxa"/>
              <w:left w:w="80" w:type="dxa"/>
              <w:bottom w:w="60" w:type="dxa"/>
              <w:right w:w="80" w:type="dxa"/>
            </w:tcMar>
            <w:vAlign w:val="center"/>
          </w:tcPr>
          <w:p w14:paraId="3C2AC508" w14:textId="77777777" w:rsidR="009E33F6" w:rsidRDefault="00000000">
            <w:r>
              <w:rPr>
                <w:sz w:val="18"/>
                <w:szCs w:val="18"/>
              </w:rPr>
              <w:t>(Guo et al., 2026)</w:t>
            </w:r>
          </w:p>
        </w:tc>
      </w:tr>
      <w:tr w:rsidR="009E33F6" w14:paraId="6B35C2F1" w14:textId="77777777">
        <w:trPr>
          <w:cantSplit/>
        </w:trPr>
        <w:tc>
          <w:tcPr>
            <w:tcW w:w="1500" w:type="dxa"/>
            <w:tcMar>
              <w:top w:w="60" w:type="dxa"/>
              <w:left w:w="80" w:type="dxa"/>
              <w:bottom w:w="60" w:type="dxa"/>
              <w:right w:w="80" w:type="dxa"/>
            </w:tcMar>
            <w:vAlign w:val="center"/>
          </w:tcPr>
          <w:p w14:paraId="5092FFC0" w14:textId="77777777" w:rsidR="009E33F6" w:rsidRDefault="00000000">
            <w:r>
              <w:rPr>
                <w:sz w:val="18"/>
                <w:szCs w:val="18"/>
              </w:rPr>
              <w:t>Exocarp essential oil</w:t>
            </w:r>
          </w:p>
        </w:tc>
        <w:tc>
          <w:tcPr>
            <w:tcW w:w="1750" w:type="dxa"/>
            <w:tcMar>
              <w:top w:w="60" w:type="dxa"/>
              <w:left w:w="80" w:type="dxa"/>
              <w:bottom w:w="60" w:type="dxa"/>
              <w:right w:w="80" w:type="dxa"/>
            </w:tcMar>
            <w:vAlign w:val="center"/>
          </w:tcPr>
          <w:p w14:paraId="326A37A7" w14:textId="77777777" w:rsidR="009E33F6" w:rsidRDefault="00000000">
            <w:r>
              <w:rPr>
                <w:i/>
                <w:iCs/>
                <w:sz w:val="18"/>
                <w:szCs w:val="18"/>
              </w:rPr>
              <w:t>In vivo</w:t>
            </w:r>
            <w:r>
              <w:rPr>
                <w:sz w:val="18"/>
                <w:szCs w:val="18"/>
              </w:rPr>
              <w:t xml:space="preserve"> (hamsters with diet-induced hyperlipidaemia)</w:t>
            </w:r>
          </w:p>
        </w:tc>
        <w:tc>
          <w:tcPr>
            <w:tcW w:w="3300" w:type="dxa"/>
            <w:tcMar>
              <w:top w:w="60" w:type="dxa"/>
              <w:left w:w="80" w:type="dxa"/>
              <w:bottom w:w="60" w:type="dxa"/>
              <w:right w:w="80" w:type="dxa"/>
            </w:tcMar>
            <w:vAlign w:val="center"/>
          </w:tcPr>
          <w:p w14:paraId="2FE5BF69" w14:textId="77777777" w:rsidR="009E33F6" w:rsidRDefault="00000000">
            <w:r>
              <w:rPr>
                <w:sz w:val="18"/>
                <w:szCs w:val="18"/>
              </w:rPr>
              <w:t>Lowered triglycerides, total cholesterol and LDL-cholesterol; reduced the LDL-C/HDL-C ratio from 80.27 % to 39.02 %; increased faecal sterol excretion; attenuated hepatic steatosis</w:t>
            </w:r>
          </w:p>
        </w:tc>
        <w:tc>
          <w:tcPr>
            <w:tcW w:w="1658" w:type="dxa"/>
            <w:tcMar>
              <w:top w:w="60" w:type="dxa"/>
              <w:left w:w="80" w:type="dxa"/>
              <w:bottom w:w="60" w:type="dxa"/>
              <w:right w:w="80" w:type="dxa"/>
            </w:tcMar>
            <w:vAlign w:val="center"/>
          </w:tcPr>
          <w:p w14:paraId="1BECEC66" w14:textId="77777777" w:rsidR="009E33F6" w:rsidRDefault="00000000">
            <w:r>
              <w:rPr>
                <w:sz w:val="18"/>
                <w:szCs w:val="18"/>
              </w:rPr>
              <w:t>(Yang et al., 2025)</w:t>
            </w:r>
          </w:p>
        </w:tc>
      </w:tr>
      <w:tr w:rsidR="009E33F6" w14:paraId="58DE4F1C" w14:textId="77777777">
        <w:trPr>
          <w:cantSplit/>
        </w:trPr>
        <w:tc>
          <w:tcPr>
            <w:tcW w:w="1500" w:type="dxa"/>
            <w:tcMar>
              <w:top w:w="60" w:type="dxa"/>
              <w:left w:w="80" w:type="dxa"/>
              <w:bottom w:w="60" w:type="dxa"/>
              <w:right w:w="80" w:type="dxa"/>
            </w:tcMar>
            <w:vAlign w:val="center"/>
          </w:tcPr>
          <w:p w14:paraId="0884991B" w14:textId="77777777" w:rsidR="009E33F6" w:rsidRDefault="00000000">
            <w:r>
              <w:rPr>
                <w:sz w:val="18"/>
                <w:szCs w:val="18"/>
              </w:rPr>
              <w:t>Soluble dietary fibre of the mesocarp</w:t>
            </w:r>
          </w:p>
        </w:tc>
        <w:tc>
          <w:tcPr>
            <w:tcW w:w="1750" w:type="dxa"/>
            <w:tcMar>
              <w:top w:w="60" w:type="dxa"/>
              <w:left w:w="80" w:type="dxa"/>
              <w:bottom w:w="60" w:type="dxa"/>
              <w:right w:w="80" w:type="dxa"/>
            </w:tcMar>
            <w:vAlign w:val="center"/>
          </w:tcPr>
          <w:p w14:paraId="61F25688" w14:textId="77777777" w:rsidR="009E33F6" w:rsidRDefault="00000000">
            <w:r>
              <w:rPr>
                <w:i/>
                <w:iCs/>
                <w:sz w:val="18"/>
                <w:szCs w:val="18"/>
              </w:rPr>
              <w:t>In vivo</w:t>
            </w:r>
            <w:r>
              <w:rPr>
                <w:sz w:val="18"/>
                <w:szCs w:val="18"/>
              </w:rPr>
              <w:t xml:space="preserve"> (diabetic rats)</w:t>
            </w:r>
          </w:p>
        </w:tc>
        <w:tc>
          <w:tcPr>
            <w:tcW w:w="3300" w:type="dxa"/>
            <w:tcMar>
              <w:top w:w="60" w:type="dxa"/>
              <w:left w:w="80" w:type="dxa"/>
              <w:bottom w:w="60" w:type="dxa"/>
              <w:right w:w="80" w:type="dxa"/>
            </w:tcMar>
            <w:vAlign w:val="center"/>
          </w:tcPr>
          <w:p w14:paraId="28EE8250" w14:textId="77777777" w:rsidR="009E33F6" w:rsidRDefault="00000000">
            <w:r>
              <w:rPr>
                <w:sz w:val="18"/>
                <w:szCs w:val="18"/>
              </w:rPr>
              <w:t>Adsorption of glucose and cholesterol; lowered fasting blood glucose, total cholesterol, triglycerides and LDL-cholesterol; improved glucose tolerance</w:t>
            </w:r>
          </w:p>
        </w:tc>
        <w:tc>
          <w:tcPr>
            <w:tcW w:w="1658" w:type="dxa"/>
            <w:tcMar>
              <w:top w:w="60" w:type="dxa"/>
              <w:left w:w="80" w:type="dxa"/>
              <w:bottom w:w="60" w:type="dxa"/>
              <w:right w:w="80" w:type="dxa"/>
            </w:tcMar>
            <w:vAlign w:val="center"/>
          </w:tcPr>
          <w:p w14:paraId="610A07E9" w14:textId="77777777" w:rsidR="009E33F6" w:rsidRDefault="00000000">
            <w:r>
              <w:rPr>
                <w:sz w:val="18"/>
                <w:szCs w:val="18"/>
              </w:rPr>
              <w:t>(Liu et al., 2025)</w:t>
            </w:r>
          </w:p>
        </w:tc>
      </w:tr>
      <w:tr w:rsidR="009E33F6" w14:paraId="7DD34C45" w14:textId="77777777">
        <w:trPr>
          <w:cantSplit/>
        </w:trPr>
        <w:tc>
          <w:tcPr>
            <w:tcW w:w="1500" w:type="dxa"/>
            <w:tcMar>
              <w:top w:w="60" w:type="dxa"/>
              <w:left w:w="80" w:type="dxa"/>
              <w:bottom w:w="60" w:type="dxa"/>
              <w:right w:w="80" w:type="dxa"/>
            </w:tcMar>
            <w:vAlign w:val="center"/>
          </w:tcPr>
          <w:p w14:paraId="638DBA5D" w14:textId="77777777" w:rsidR="009E33F6" w:rsidRDefault="00000000">
            <w:r>
              <w:rPr>
                <w:sz w:val="18"/>
                <w:szCs w:val="18"/>
              </w:rPr>
              <w:lastRenderedPageBreak/>
              <w:t>Polysaccharide FCP-N2</w:t>
            </w:r>
          </w:p>
        </w:tc>
        <w:tc>
          <w:tcPr>
            <w:tcW w:w="1750" w:type="dxa"/>
            <w:tcMar>
              <w:top w:w="60" w:type="dxa"/>
              <w:left w:w="80" w:type="dxa"/>
              <w:bottom w:w="60" w:type="dxa"/>
              <w:right w:w="80" w:type="dxa"/>
            </w:tcMar>
            <w:vAlign w:val="center"/>
          </w:tcPr>
          <w:p w14:paraId="4F336FC7" w14:textId="77777777" w:rsidR="009E33F6" w:rsidRDefault="00000000">
            <w:r>
              <w:rPr>
                <w:i/>
                <w:iCs/>
                <w:sz w:val="18"/>
                <w:szCs w:val="18"/>
              </w:rPr>
              <w:t>In vivo</w:t>
            </w:r>
            <w:r>
              <w:rPr>
                <w:sz w:val="18"/>
                <w:szCs w:val="18"/>
              </w:rPr>
              <w:t xml:space="preserve"> (obese, hyperlipidaemic mice)</w:t>
            </w:r>
          </w:p>
        </w:tc>
        <w:tc>
          <w:tcPr>
            <w:tcW w:w="3300" w:type="dxa"/>
            <w:tcMar>
              <w:top w:w="60" w:type="dxa"/>
              <w:left w:w="80" w:type="dxa"/>
              <w:bottom w:w="60" w:type="dxa"/>
              <w:right w:w="80" w:type="dxa"/>
            </w:tcMar>
            <w:vAlign w:val="center"/>
          </w:tcPr>
          <w:p w14:paraId="03541803" w14:textId="77777777" w:rsidR="009E33F6" w:rsidRDefault="00000000">
            <w:r>
              <w:rPr>
                <w:sz w:val="18"/>
                <w:szCs w:val="18"/>
              </w:rPr>
              <w:t>Activation of AMPK/ACC and PPARα/LXRα; decreased fatty acid synthase and acetyl-CoA carboxylase; increased lipoprotein lipase and hepatic lipase; lowered total cholesterol, triglycerides, ALT and AST</w:t>
            </w:r>
          </w:p>
        </w:tc>
        <w:tc>
          <w:tcPr>
            <w:tcW w:w="1658" w:type="dxa"/>
            <w:tcMar>
              <w:top w:w="60" w:type="dxa"/>
              <w:left w:w="80" w:type="dxa"/>
              <w:bottom w:w="60" w:type="dxa"/>
              <w:right w:w="80" w:type="dxa"/>
            </w:tcMar>
            <w:vAlign w:val="center"/>
          </w:tcPr>
          <w:p w14:paraId="4C29E216" w14:textId="77777777" w:rsidR="009E33F6" w:rsidRDefault="00000000">
            <w:r>
              <w:rPr>
                <w:sz w:val="18"/>
                <w:szCs w:val="18"/>
              </w:rPr>
              <w:t>(Ma et al., 2026)</w:t>
            </w:r>
          </w:p>
        </w:tc>
      </w:tr>
      <w:tr w:rsidR="009E33F6" w:rsidRPr="00EF2A6C" w14:paraId="5D127226" w14:textId="77777777">
        <w:trPr>
          <w:cantSplit/>
        </w:trPr>
        <w:tc>
          <w:tcPr>
            <w:tcW w:w="1500" w:type="dxa"/>
            <w:tcMar>
              <w:top w:w="60" w:type="dxa"/>
              <w:left w:w="80" w:type="dxa"/>
              <w:bottom w:w="60" w:type="dxa"/>
              <w:right w:w="80" w:type="dxa"/>
            </w:tcMar>
            <w:vAlign w:val="center"/>
          </w:tcPr>
          <w:p w14:paraId="2E21E196" w14:textId="77777777" w:rsidR="009E33F6" w:rsidRDefault="00000000">
            <w:r>
              <w:rPr>
                <w:sz w:val="18"/>
                <w:szCs w:val="18"/>
              </w:rPr>
              <w:t>Hesperidin-rich fraction and aqueous extract</w:t>
            </w:r>
          </w:p>
        </w:tc>
        <w:tc>
          <w:tcPr>
            <w:tcW w:w="1750" w:type="dxa"/>
            <w:tcMar>
              <w:top w:w="60" w:type="dxa"/>
              <w:left w:w="80" w:type="dxa"/>
              <w:bottom w:w="60" w:type="dxa"/>
              <w:right w:w="80" w:type="dxa"/>
            </w:tcMar>
            <w:vAlign w:val="center"/>
          </w:tcPr>
          <w:p w14:paraId="64D80E55" w14:textId="77777777" w:rsidR="009E33F6" w:rsidRDefault="00000000">
            <w:r>
              <w:rPr>
                <w:i/>
                <w:iCs/>
                <w:sz w:val="18"/>
                <w:szCs w:val="18"/>
              </w:rPr>
              <w:t>In vivo</w:t>
            </w:r>
            <w:r>
              <w:rPr>
                <w:sz w:val="18"/>
                <w:szCs w:val="18"/>
              </w:rPr>
              <w:t xml:space="preserve"> (obese and diabetic rats)</w:t>
            </w:r>
          </w:p>
        </w:tc>
        <w:tc>
          <w:tcPr>
            <w:tcW w:w="3300" w:type="dxa"/>
            <w:tcMar>
              <w:top w:w="60" w:type="dxa"/>
              <w:left w:w="80" w:type="dxa"/>
              <w:bottom w:w="60" w:type="dxa"/>
              <w:right w:w="80" w:type="dxa"/>
            </w:tcMar>
            <w:vAlign w:val="center"/>
          </w:tcPr>
          <w:p w14:paraId="4FAAC0B9" w14:textId="77777777" w:rsidR="009E33F6" w:rsidRDefault="00000000">
            <w:r>
              <w:rPr>
                <w:sz w:val="18"/>
                <w:szCs w:val="18"/>
              </w:rPr>
              <w:t>Activation of TGR5/GLP-1; increased endogenous insulin secretion; activation of PI3K/AKT/GLUT4; lowered fasting blood glucose and HOMA-IR</w:t>
            </w:r>
          </w:p>
        </w:tc>
        <w:tc>
          <w:tcPr>
            <w:tcW w:w="1658" w:type="dxa"/>
            <w:tcMar>
              <w:top w:w="60" w:type="dxa"/>
              <w:left w:w="80" w:type="dxa"/>
              <w:bottom w:w="60" w:type="dxa"/>
              <w:right w:w="80" w:type="dxa"/>
            </w:tcMar>
            <w:vAlign w:val="center"/>
          </w:tcPr>
          <w:p w14:paraId="64B05DFC" w14:textId="77777777" w:rsidR="009E33F6" w:rsidRPr="00EF2A6C" w:rsidRDefault="00000000">
            <w:pPr>
              <w:rPr>
                <w:lang w:val="nl-BE"/>
              </w:rPr>
            </w:pPr>
            <w:r w:rsidRPr="00EF2A6C">
              <w:rPr>
                <w:sz w:val="18"/>
                <w:szCs w:val="18"/>
                <w:lang w:val="nl-BE"/>
              </w:rPr>
              <w:t>(Yang et al., 2021; Peng et al., 2009)</w:t>
            </w:r>
          </w:p>
        </w:tc>
      </w:tr>
    </w:tbl>
    <w:p w14:paraId="27B20156" w14:textId="77777777" w:rsidR="009E33F6" w:rsidRPr="00EF2A6C" w:rsidRDefault="009E33F6">
      <w:pPr>
        <w:suppressLineNumbers/>
        <w:spacing w:after="120"/>
        <w:rPr>
          <w:lang w:val="nl-BE"/>
        </w:rPr>
      </w:pPr>
    </w:p>
    <w:p w14:paraId="72E9F870" w14:textId="77777777" w:rsidR="009E33F6" w:rsidRDefault="00000000">
      <w:pPr>
        <w:spacing w:after="160"/>
        <w:jc w:val="both"/>
      </w:pPr>
      <w:r>
        <w:t xml:space="preserve">The improvement in insulin sensitivity and the regulation of lipid metabolism operate through specific molecular pathways. The extract stimulates the TGR5 receptor, </w:t>
      </w:r>
      <w:r>
        <w:rPr>
          <w:highlight w:val="yellow"/>
        </w:rPr>
        <w:t>the G-protein-coupled bile acid receptor 5</w:t>
      </w:r>
      <w:r>
        <w:t>, on the surface of the enteroendocrine L cells of the intestinal mucosa. Activation of TGR5 raises the concentration of the second messenger cAMP and promotes the secretion of glucagon-like peptide 1, which enters the circulation, stimulates insulin secretion by the pancreas and at the same time inhibits the release of glucagon (Yang et al., 2021). Hesperidin and the polysaccharides activate the phosphorylation of PI3K and AKT, thereby promoting the translocation of the glucose transporters GLUT4 and GLUT2 to the cell membrane; uptake and consumption of glucose by muscle and liver increase and the HOMA-IR index of insulin resistance falls (Liu et al., 2025; Yang et al., 2021). Disturbance of lipid metabolism and hepatic steatosis are closely bound up with insulin resistance in diabetes. The polysaccharides act on the AMPK/ACC pathway, reducing lipid synthesis while down-regulating the formation of lipoprotein lipase and hepatic lipase (Ma et al., 2026). The polysaccharides and coumarins together stimulate mitochondrial β-oxidation of fatty acids and so reduce the triglycerides and total cholesterol accumulating in the hepatocytes (Ma et al., 2026; Li et al., 2026). The dietary fibre and polyphenols of the fruit increase the hepatic expression of CYP7A1, promoting the conversion of cholesterol into bile acids and increasing the faecal excretion of neutral sterols (Liu et al., 2025; Yang et al., 2025).</w:t>
      </w:r>
    </w:p>
    <w:p w14:paraId="14ECC35F" w14:textId="77777777" w:rsidR="009E33F6" w:rsidRDefault="009E0A63">
      <w:pPr>
        <w:spacing w:before="200" w:after="140"/>
      </w:pPr>
      <w:r>
        <w:rPr>
          <w:b/>
          <w:bCs/>
          <w:sz w:val="22"/>
          <w:szCs w:val="22"/>
        </w:rPr>
        <w:t>5.6 Antioxidant activity</w:t>
      </w:r>
    </w:p>
    <w:p w14:paraId="5A0FCF87" w14:textId="77777777" w:rsidR="009E33F6" w:rsidRDefault="00000000">
      <w:pPr>
        <w:spacing w:after="160"/>
        <w:jc w:val="both"/>
      </w:pPr>
      <w:r>
        <w:t>Oxidative stress arises from an imbalance between the accumulation of reactive oxygen species and the capacity of the endogenous antioxidant system, and is a principal cause of cellular injury, chronic inflammation, ageing and metabolic disease (Xu et al., 2024; Luo et al., 2020; Ozturk et al., 2024). The essential oil, phenolics, flavonoids, coumarins and polysaccharides of the fingered citron all show marked antioxidant activity in biochemical, cellular and animal models alike (</w:t>
      </w:r>
      <w:proofErr w:type="spellStart"/>
      <w:r>
        <w:t>Vitalini</w:t>
      </w:r>
      <w:proofErr w:type="spellEnd"/>
      <w:r>
        <w:t xml:space="preserve"> et al., 2022; Guo et al., 2026; Luo et al., 2025; Chen et al., 2020) (Table 2).</w:t>
      </w:r>
    </w:p>
    <w:p w14:paraId="2B995AD7" w14:textId="77777777" w:rsidR="009E33F6" w:rsidRDefault="00000000">
      <w:pPr>
        <w:keepNext/>
        <w:spacing w:before="200" w:after="120"/>
      </w:pPr>
      <w:r>
        <w:rPr>
          <w:b/>
          <w:bCs/>
        </w:rPr>
        <w:t>Table 2. Assays of the antioxidant activity of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15B99890" w14:textId="77777777">
        <w:trPr>
          <w:cantSplit/>
          <w:tblHeader/>
        </w:trPr>
        <w:tc>
          <w:tcPr>
            <w:tcW w:w="1550" w:type="dxa"/>
            <w:shd w:val="clear" w:color="auto" w:fill="D9D9D9"/>
            <w:tcMar>
              <w:top w:w="60" w:type="dxa"/>
              <w:left w:w="80" w:type="dxa"/>
              <w:bottom w:w="60" w:type="dxa"/>
              <w:right w:w="80" w:type="dxa"/>
            </w:tcMar>
            <w:vAlign w:val="center"/>
          </w:tcPr>
          <w:p w14:paraId="353EBA0E"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42747DA8"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0A057651"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0E98C491" w14:textId="77777777" w:rsidR="009E33F6" w:rsidRDefault="00000000">
            <w:pPr>
              <w:jc w:val="center"/>
            </w:pPr>
            <w:r>
              <w:rPr>
                <w:b/>
                <w:bCs/>
                <w:sz w:val="18"/>
                <w:szCs w:val="18"/>
              </w:rPr>
              <w:t>Reference</w:t>
            </w:r>
          </w:p>
        </w:tc>
      </w:tr>
      <w:tr w:rsidR="009E33F6" w:rsidRPr="00EF2A6C" w14:paraId="37AC4316" w14:textId="77777777">
        <w:trPr>
          <w:cantSplit/>
        </w:trPr>
        <w:tc>
          <w:tcPr>
            <w:tcW w:w="1550" w:type="dxa"/>
            <w:tcMar>
              <w:top w:w="60" w:type="dxa"/>
              <w:left w:w="80" w:type="dxa"/>
              <w:bottom w:w="60" w:type="dxa"/>
              <w:right w:w="80" w:type="dxa"/>
            </w:tcMar>
            <w:vAlign w:val="center"/>
          </w:tcPr>
          <w:p w14:paraId="0C1E9466" w14:textId="77777777" w:rsidR="009E33F6" w:rsidRDefault="00000000">
            <w:r>
              <w:rPr>
                <w:sz w:val="18"/>
                <w:szCs w:val="18"/>
              </w:rPr>
              <w:t>Exocarp essential oil</w:t>
            </w:r>
          </w:p>
        </w:tc>
        <w:tc>
          <w:tcPr>
            <w:tcW w:w="1700" w:type="dxa"/>
            <w:tcMar>
              <w:top w:w="60" w:type="dxa"/>
              <w:left w:w="80" w:type="dxa"/>
              <w:bottom w:w="60" w:type="dxa"/>
              <w:right w:w="80" w:type="dxa"/>
            </w:tcMar>
            <w:vAlign w:val="center"/>
          </w:tcPr>
          <w:p w14:paraId="0C2FB67E" w14:textId="77777777" w:rsidR="009E33F6" w:rsidRDefault="00000000">
            <w:r>
              <w:rPr>
                <w:i/>
                <w:iCs/>
                <w:sz w:val="18"/>
                <w:szCs w:val="18"/>
              </w:rPr>
              <w:t>In vitro</w:t>
            </w:r>
            <w:r>
              <w:rPr>
                <w:sz w:val="18"/>
                <w:szCs w:val="18"/>
              </w:rPr>
              <w:t xml:space="preserve"> and </w:t>
            </w:r>
            <w:r>
              <w:rPr>
                <w:i/>
                <w:iCs/>
                <w:sz w:val="18"/>
                <w:szCs w:val="18"/>
              </w:rPr>
              <w:t>in vivo</w:t>
            </w:r>
            <w:r>
              <w:rPr>
                <w:sz w:val="18"/>
                <w:szCs w:val="18"/>
              </w:rPr>
              <w:t xml:space="preserve"> (obese hamsters)</w:t>
            </w:r>
          </w:p>
        </w:tc>
        <w:tc>
          <w:tcPr>
            <w:tcW w:w="3300" w:type="dxa"/>
            <w:tcMar>
              <w:top w:w="60" w:type="dxa"/>
              <w:left w:w="80" w:type="dxa"/>
              <w:bottom w:w="60" w:type="dxa"/>
              <w:right w:w="80" w:type="dxa"/>
            </w:tcMar>
            <w:vAlign w:val="center"/>
          </w:tcPr>
          <w:p w14:paraId="1D78C469" w14:textId="77777777" w:rsidR="009E33F6" w:rsidRDefault="00000000">
            <w:r>
              <w:rPr>
                <w:sz w:val="18"/>
                <w:szCs w:val="18"/>
              </w:rPr>
              <w:t>Scavenging of DPPH and ABTS radicals; reduced lipid peroxidation of hepatocyte membranes</w:t>
            </w:r>
          </w:p>
        </w:tc>
        <w:tc>
          <w:tcPr>
            <w:tcW w:w="1658" w:type="dxa"/>
            <w:tcMar>
              <w:top w:w="60" w:type="dxa"/>
              <w:left w:w="80" w:type="dxa"/>
              <w:bottom w:w="60" w:type="dxa"/>
              <w:right w:w="80" w:type="dxa"/>
            </w:tcMar>
            <w:vAlign w:val="center"/>
          </w:tcPr>
          <w:p w14:paraId="3D13B24F" w14:textId="77777777" w:rsidR="009E33F6" w:rsidRPr="00EF2A6C" w:rsidRDefault="00000000">
            <w:pPr>
              <w:rPr>
                <w:lang w:val="nl-BE"/>
              </w:rPr>
            </w:pPr>
            <w:r w:rsidRPr="00EF2A6C">
              <w:rPr>
                <w:sz w:val="18"/>
                <w:szCs w:val="18"/>
                <w:lang w:val="nl-BE"/>
              </w:rPr>
              <w:t>(Vitalini et al., 2022; Yang et al., 2025)</w:t>
            </w:r>
          </w:p>
        </w:tc>
      </w:tr>
      <w:tr w:rsidR="009E33F6" w14:paraId="092D510D" w14:textId="77777777">
        <w:trPr>
          <w:cantSplit/>
        </w:trPr>
        <w:tc>
          <w:tcPr>
            <w:tcW w:w="1550" w:type="dxa"/>
            <w:tcMar>
              <w:top w:w="60" w:type="dxa"/>
              <w:left w:w="80" w:type="dxa"/>
              <w:bottom w:w="60" w:type="dxa"/>
              <w:right w:w="80" w:type="dxa"/>
            </w:tcMar>
            <w:vAlign w:val="center"/>
          </w:tcPr>
          <w:p w14:paraId="66967A48" w14:textId="77777777" w:rsidR="009E33F6" w:rsidRDefault="00000000">
            <w:r>
              <w:rPr>
                <w:sz w:val="18"/>
                <w:szCs w:val="18"/>
              </w:rPr>
              <w:lastRenderedPageBreak/>
              <w:t>Free phenolics of the exocarp</w:t>
            </w:r>
          </w:p>
        </w:tc>
        <w:tc>
          <w:tcPr>
            <w:tcW w:w="1700" w:type="dxa"/>
            <w:tcMar>
              <w:top w:w="60" w:type="dxa"/>
              <w:left w:w="80" w:type="dxa"/>
              <w:bottom w:w="60" w:type="dxa"/>
              <w:right w:w="80" w:type="dxa"/>
            </w:tcMar>
            <w:vAlign w:val="center"/>
          </w:tcPr>
          <w:p w14:paraId="35DE0D73" w14:textId="77777777" w:rsidR="009E33F6" w:rsidRDefault="00000000">
            <w:r>
              <w:rPr>
                <w:i/>
                <w:iCs/>
                <w:sz w:val="18"/>
                <w:szCs w:val="18"/>
              </w:rPr>
              <w:t>In vitro</w:t>
            </w:r>
            <w:r>
              <w:rPr>
                <w:sz w:val="18"/>
                <w:szCs w:val="18"/>
              </w:rPr>
              <w:t xml:space="preserve"> (FRAP, DPPH, ABTS)</w:t>
            </w:r>
          </w:p>
        </w:tc>
        <w:tc>
          <w:tcPr>
            <w:tcW w:w="3300" w:type="dxa"/>
            <w:tcMar>
              <w:top w:w="60" w:type="dxa"/>
              <w:left w:w="80" w:type="dxa"/>
              <w:bottom w:w="60" w:type="dxa"/>
              <w:right w:w="80" w:type="dxa"/>
            </w:tcMar>
            <w:vAlign w:val="center"/>
          </w:tcPr>
          <w:p w14:paraId="22B6C0D5" w14:textId="77777777" w:rsidR="009E33F6" w:rsidRDefault="00000000">
            <w:r>
              <w:rPr>
                <w:sz w:val="18"/>
                <w:szCs w:val="18"/>
              </w:rPr>
              <w:t>Highest ferric reducing antioxidant power and highest DPPH/ABTS scavenging capacity of all fruit parts</w:t>
            </w:r>
          </w:p>
        </w:tc>
        <w:tc>
          <w:tcPr>
            <w:tcW w:w="1658" w:type="dxa"/>
            <w:tcMar>
              <w:top w:w="60" w:type="dxa"/>
              <w:left w:w="80" w:type="dxa"/>
              <w:bottom w:w="60" w:type="dxa"/>
              <w:right w:w="80" w:type="dxa"/>
            </w:tcMar>
            <w:vAlign w:val="center"/>
          </w:tcPr>
          <w:p w14:paraId="58106CDD" w14:textId="77777777" w:rsidR="009E33F6" w:rsidRDefault="00000000">
            <w:r>
              <w:rPr>
                <w:sz w:val="18"/>
                <w:szCs w:val="18"/>
              </w:rPr>
              <w:t>(Guo et al., 2026)</w:t>
            </w:r>
          </w:p>
        </w:tc>
      </w:tr>
      <w:tr w:rsidR="009E33F6" w14:paraId="466D9884" w14:textId="77777777">
        <w:trPr>
          <w:cantSplit/>
        </w:trPr>
        <w:tc>
          <w:tcPr>
            <w:tcW w:w="1550" w:type="dxa"/>
            <w:tcMar>
              <w:top w:w="60" w:type="dxa"/>
              <w:left w:w="80" w:type="dxa"/>
              <w:bottom w:w="60" w:type="dxa"/>
              <w:right w:w="80" w:type="dxa"/>
            </w:tcMar>
            <w:vAlign w:val="center"/>
          </w:tcPr>
          <w:p w14:paraId="2A8B0F61" w14:textId="77777777" w:rsidR="009E33F6" w:rsidRDefault="00000000">
            <w:r>
              <w:rPr>
                <w:sz w:val="18"/>
                <w:szCs w:val="18"/>
              </w:rPr>
              <w:t>Bound phenolics of the exocarp and of the albedo</w:t>
            </w:r>
          </w:p>
        </w:tc>
        <w:tc>
          <w:tcPr>
            <w:tcW w:w="1700" w:type="dxa"/>
            <w:tcMar>
              <w:top w:w="60" w:type="dxa"/>
              <w:left w:w="80" w:type="dxa"/>
              <w:bottom w:w="60" w:type="dxa"/>
              <w:right w:w="80" w:type="dxa"/>
            </w:tcMar>
            <w:vAlign w:val="center"/>
          </w:tcPr>
          <w:p w14:paraId="33D9C3CC" w14:textId="77777777" w:rsidR="009E33F6" w:rsidRDefault="00000000">
            <w:r>
              <w:rPr>
                <w:i/>
                <w:iCs/>
                <w:sz w:val="18"/>
                <w:szCs w:val="18"/>
              </w:rPr>
              <w:t>In vitro</w:t>
            </w:r>
            <w:r>
              <w:rPr>
                <w:sz w:val="18"/>
                <w:szCs w:val="18"/>
              </w:rPr>
              <w:t xml:space="preserve"> (hydroxyl radical)</w:t>
            </w:r>
          </w:p>
        </w:tc>
        <w:tc>
          <w:tcPr>
            <w:tcW w:w="3300" w:type="dxa"/>
            <w:tcMar>
              <w:top w:w="60" w:type="dxa"/>
              <w:left w:w="80" w:type="dxa"/>
              <w:bottom w:w="60" w:type="dxa"/>
              <w:right w:w="80" w:type="dxa"/>
            </w:tcMar>
            <w:vAlign w:val="center"/>
          </w:tcPr>
          <w:p w14:paraId="44392E7E" w14:textId="77777777" w:rsidR="009E33F6" w:rsidRDefault="00000000">
            <w:r>
              <w:rPr>
                <w:sz w:val="18"/>
                <w:szCs w:val="18"/>
              </w:rPr>
              <w:t>Neutralisation of the hydroxyl radical with IC</w:t>
            </w:r>
            <w:r>
              <w:rPr>
                <w:sz w:val="18"/>
                <w:szCs w:val="18"/>
                <w:vertAlign w:val="subscript"/>
              </w:rPr>
              <w:t>50</w:t>
            </w:r>
            <w:r>
              <w:rPr>
                <w:sz w:val="18"/>
                <w:szCs w:val="18"/>
              </w:rPr>
              <w:t xml:space="preserve"> = 0.24 ± 0.01 mg fresh weight/mL</w:t>
            </w:r>
          </w:p>
        </w:tc>
        <w:tc>
          <w:tcPr>
            <w:tcW w:w="1658" w:type="dxa"/>
            <w:tcMar>
              <w:top w:w="60" w:type="dxa"/>
              <w:left w:w="80" w:type="dxa"/>
              <w:bottom w:w="60" w:type="dxa"/>
              <w:right w:w="80" w:type="dxa"/>
            </w:tcMar>
            <w:vAlign w:val="center"/>
          </w:tcPr>
          <w:p w14:paraId="60B97941" w14:textId="77777777" w:rsidR="009E33F6" w:rsidRDefault="00000000">
            <w:r>
              <w:rPr>
                <w:sz w:val="18"/>
                <w:szCs w:val="18"/>
              </w:rPr>
              <w:t>(Guo et al., 2026)</w:t>
            </w:r>
          </w:p>
        </w:tc>
      </w:tr>
      <w:tr w:rsidR="009E33F6" w14:paraId="53A3F3FC" w14:textId="77777777">
        <w:trPr>
          <w:cantSplit/>
        </w:trPr>
        <w:tc>
          <w:tcPr>
            <w:tcW w:w="1550" w:type="dxa"/>
            <w:tcMar>
              <w:top w:w="60" w:type="dxa"/>
              <w:left w:w="80" w:type="dxa"/>
              <w:bottom w:w="60" w:type="dxa"/>
              <w:right w:w="80" w:type="dxa"/>
            </w:tcMar>
            <w:vAlign w:val="center"/>
          </w:tcPr>
          <w:p w14:paraId="7580DAFD" w14:textId="77777777" w:rsidR="009E33F6" w:rsidRDefault="00000000">
            <w:r>
              <w:rPr>
                <w:sz w:val="18"/>
                <w:szCs w:val="18"/>
              </w:rPr>
              <w:t>Phosphorylated polysaccharides</w:t>
            </w:r>
          </w:p>
        </w:tc>
        <w:tc>
          <w:tcPr>
            <w:tcW w:w="1700" w:type="dxa"/>
            <w:tcMar>
              <w:top w:w="60" w:type="dxa"/>
              <w:left w:w="80" w:type="dxa"/>
              <w:bottom w:w="60" w:type="dxa"/>
              <w:right w:w="80" w:type="dxa"/>
            </w:tcMar>
            <w:vAlign w:val="center"/>
          </w:tcPr>
          <w:p w14:paraId="6B5E1059" w14:textId="77777777" w:rsidR="009E33F6" w:rsidRDefault="00000000">
            <w:r>
              <w:rPr>
                <w:i/>
                <w:iCs/>
                <w:sz w:val="18"/>
                <w:szCs w:val="18"/>
              </w:rPr>
              <w:t>In vitro</w:t>
            </w:r>
            <w:r>
              <w:rPr>
                <w:sz w:val="18"/>
                <w:szCs w:val="18"/>
              </w:rPr>
              <w:t xml:space="preserve"> (DPPH, ABTS)</w:t>
            </w:r>
          </w:p>
        </w:tc>
        <w:tc>
          <w:tcPr>
            <w:tcW w:w="3300" w:type="dxa"/>
            <w:tcMar>
              <w:top w:w="60" w:type="dxa"/>
              <w:left w:w="80" w:type="dxa"/>
              <w:bottom w:w="60" w:type="dxa"/>
              <w:right w:w="80" w:type="dxa"/>
            </w:tcMar>
            <w:vAlign w:val="center"/>
          </w:tcPr>
          <w:p w14:paraId="12A60AAA" w14:textId="77777777" w:rsidR="009E33F6" w:rsidRDefault="00000000">
            <w:r>
              <w:rPr>
                <w:sz w:val="18"/>
                <w:szCs w:val="18"/>
              </w:rPr>
              <w:t>Stronger hydrogen atom and electron donation than the native polysaccharides, attributed to the grafted phosphate groups</w:t>
            </w:r>
          </w:p>
        </w:tc>
        <w:tc>
          <w:tcPr>
            <w:tcW w:w="1658" w:type="dxa"/>
            <w:tcMar>
              <w:top w:w="60" w:type="dxa"/>
              <w:left w:w="80" w:type="dxa"/>
              <w:bottom w:w="60" w:type="dxa"/>
              <w:right w:w="80" w:type="dxa"/>
            </w:tcMar>
            <w:vAlign w:val="center"/>
          </w:tcPr>
          <w:p w14:paraId="06F3D7A1" w14:textId="77777777" w:rsidR="009E33F6" w:rsidRDefault="00000000">
            <w:r>
              <w:rPr>
                <w:sz w:val="18"/>
                <w:szCs w:val="18"/>
              </w:rPr>
              <w:t>(Wang et al., 2024)</w:t>
            </w:r>
          </w:p>
        </w:tc>
      </w:tr>
      <w:tr w:rsidR="009E33F6" w:rsidRPr="00EF2A6C" w14:paraId="45432D7B" w14:textId="77777777">
        <w:trPr>
          <w:cantSplit/>
        </w:trPr>
        <w:tc>
          <w:tcPr>
            <w:tcW w:w="1550" w:type="dxa"/>
            <w:tcMar>
              <w:top w:w="60" w:type="dxa"/>
              <w:left w:w="80" w:type="dxa"/>
              <w:bottom w:w="60" w:type="dxa"/>
              <w:right w:w="80" w:type="dxa"/>
            </w:tcMar>
            <w:vAlign w:val="center"/>
          </w:tcPr>
          <w:p w14:paraId="53D3E2BD" w14:textId="77777777" w:rsidR="009E33F6" w:rsidRDefault="00000000">
            <w:r>
              <w:rPr>
                <w:sz w:val="18"/>
                <w:szCs w:val="18"/>
              </w:rPr>
              <w:t>Aqueous and ethanol extracts</w:t>
            </w:r>
          </w:p>
        </w:tc>
        <w:tc>
          <w:tcPr>
            <w:tcW w:w="1700" w:type="dxa"/>
            <w:tcMar>
              <w:top w:w="60" w:type="dxa"/>
              <w:left w:w="80" w:type="dxa"/>
              <w:bottom w:w="60" w:type="dxa"/>
              <w:right w:w="80" w:type="dxa"/>
            </w:tcMar>
            <w:vAlign w:val="center"/>
          </w:tcPr>
          <w:p w14:paraId="02AE3E7C" w14:textId="77777777" w:rsidR="009E33F6" w:rsidRDefault="00000000">
            <w:r>
              <w:rPr>
                <w:i/>
                <w:iCs/>
                <w:sz w:val="18"/>
                <w:szCs w:val="18"/>
              </w:rPr>
              <w:t>In vivo</w:t>
            </w:r>
            <w:r>
              <w:rPr>
                <w:sz w:val="18"/>
                <w:szCs w:val="18"/>
              </w:rPr>
              <w:t xml:space="preserve"> (LPS-induced acute lung injury and gastric injury in mice)</w:t>
            </w:r>
          </w:p>
        </w:tc>
        <w:tc>
          <w:tcPr>
            <w:tcW w:w="3300" w:type="dxa"/>
            <w:tcMar>
              <w:top w:w="60" w:type="dxa"/>
              <w:left w:w="80" w:type="dxa"/>
              <w:bottom w:w="60" w:type="dxa"/>
              <w:right w:w="80" w:type="dxa"/>
            </w:tcMar>
            <w:vAlign w:val="center"/>
          </w:tcPr>
          <w:p w14:paraId="719FDC02" w14:textId="77777777" w:rsidR="009E33F6" w:rsidRDefault="00000000">
            <w:r>
              <w:rPr>
                <w:sz w:val="18"/>
                <w:szCs w:val="18"/>
              </w:rPr>
              <w:t>Increased endogenous SOD and GSH; lowered MDA; suppressed the ROS-driven NF-</w:t>
            </w:r>
            <w:proofErr w:type="spellStart"/>
            <w:r>
              <w:rPr>
                <w:sz w:val="18"/>
                <w:szCs w:val="18"/>
              </w:rPr>
              <w:t>κB</w:t>
            </w:r>
            <w:proofErr w:type="spellEnd"/>
            <w:r>
              <w:rPr>
                <w:sz w:val="18"/>
                <w:szCs w:val="18"/>
              </w:rPr>
              <w:t>/NLRP3 cascade</w:t>
            </w:r>
          </w:p>
        </w:tc>
        <w:tc>
          <w:tcPr>
            <w:tcW w:w="1658" w:type="dxa"/>
            <w:tcMar>
              <w:top w:w="60" w:type="dxa"/>
              <w:left w:w="80" w:type="dxa"/>
              <w:bottom w:w="60" w:type="dxa"/>
              <w:right w:w="80" w:type="dxa"/>
            </w:tcMar>
            <w:vAlign w:val="center"/>
          </w:tcPr>
          <w:p w14:paraId="1CC82514" w14:textId="77777777" w:rsidR="009E33F6" w:rsidRPr="00EF2A6C" w:rsidRDefault="00000000">
            <w:pPr>
              <w:rPr>
                <w:lang w:val="nl-BE"/>
              </w:rPr>
            </w:pPr>
            <w:r w:rsidRPr="00EF2A6C">
              <w:rPr>
                <w:sz w:val="18"/>
                <w:szCs w:val="18"/>
                <w:lang w:val="nl-BE"/>
              </w:rPr>
              <w:t>(Luo et al., 2025; Luo et al., 2020)</w:t>
            </w:r>
          </w:p>
        </w:tc>
      </w:tr>
      <w:tr w:rsidR="009E33F6" w:rsidRPr="00EF2A6C" w14:paraId="17D58DBE" w14:textId="77777777">
        <w:trPr>
          <w:cantSplit/>
        </w:trPr>
        <w:tc>
          <w:tcPr>
            <w:tcW w:w="1550" w:type="dxa"/>
            <w:tcMar>
              <w:top w:w="60" w:type="dxa"/>
              <w:left w:w="80" w:type="dxa"/>
              <w:bottom w:w="60" w:type="dxa"/>
              <w:right w:w="80" w:type="dxa"/>
            </w:tcMar>
            <w:vAlign w:val="center"/>
          </w:tcPr>
          <w:p w14:paraId="3D34B0E2" w14:textId="77777777" w:rsidR="009E33F6" w:rsidRDefault="00000000">
            <w:r>
              <w:rPr>
                <w:sz w:val="18"/>
                <w:szCs w:val="18"/>
              </w:rPr>
              <w:t>Flavonoid fraction</w:t>
            </w:r>
          </w:p>
        </w:tc>
        <w:tc>
          <w:tcPr>
            <w:tcW w:w="1700" w:type="dxa"/>
            <w:tcMar>
              <w:top w:w="60" w:type="dxa"/>
              <w:left w:w="80" w:type="dxa"/>
              <w:bottom w:w="60" w:type="dxa"/>
              <w:right w:w="80" w:type="dxa"/>
            </w:tcMar>
            <w:vAlign w:val="center"/>
          </w:tcPr>
          <w:p w14:paraId="2972A8D7" w14:textId="77777777" w:rsidR="009E33F6" w:rsidRDefault="00000000">
            <w:r>
              <w:rPr>
                <w:i/>
                <w:iCs/>
                <w:sz w:val="18"/>
                <w:szCs w:val="18"/>
              </w:rPr>
              <w:t>In vivo</w:t>
            </w:r>
            <w:r>
              <w:rPr>
                <w:sz w:val="18"/>
                <w:szCs w:val="18"/>
              </w:rPr>
              <w:t xml:space="preserve"> (</w:t>
            </w:r>
            <w:r>
              <w:rPr>
                <w:i/>
                <w:iCs/>
                <w:sz w:val="18"/>
                <w:szCs w:val="18"/>
              </w:rPr>
              <w:t>Caenorhabditis elegans</w:t>
            </w:r>
            <w:r>
              <w:rPr>
                <w:sz w:val="18"/>
                <w:szCs w:val="18"/>
              </w:rPr>
              <w:t>)</w:t>
            </w:r>
          </w:p>
        </w:tc>
        <w:tc>
          <w:tcPr>
            <w:tcW w:w="3300" w:type="dxa"/>
            <w:tcMar>
              <w:top w:w="60" w:type="dxa"/>
              <w:left w:w="80" w:type="dxa"/>
              <w:bottom w:w="60" w:type="dxa"/>
              <w:right w:w="80" w:type="dxa"/>
            </w:tcMar>
            <w:vAlign w:val="center"/>
          </w:tcPr>
          <w:p w14:paraId="2EC418AC" w14:textId="77777777" w:rsidR="009E33F6" w:rsidRDefault="00000000">
            <w:r>
              <w:rPr>
                <w:sz w:val="18"/>
                <w:szCs w:val="18"/>
              </w:rPr>
              <w:t xml:space="preserve">Scavenging of intracellular ROS; increased tolerance of oxidative stress; mean lifespan of </w:t>
            </w:r>
            <w:r>
              <w:rPr>
                <w:i/>
                <w:iCs/>
                <w:sz w:val="18"/>
                <w:szCs w:val="18"/>
              </w:rPr>
              <w:t>C. elegans</w:t>
            </w:r>
            <w:r>
              <w:rPr>
                <w:sz w:val="18"/>
                <w:szCs w:val="18"/>
              </w:rPr>
              <w:t xml:space="preserve"> extended by 31.26 %</w:t>
            </w:r>
          </w:p>
        </w:tc>
        <w:tc>
          <w:tcPr>
            <w:tcW w:w="1658" w:type="dxa"/>
            <w:tcMar>
              <w:top w:w="60" w:type="dxa"/>
              <w:left w:w="80" w:type="dxa"/>
              <w:bottom w:w="60" w:type="dxa"/>
              <w:right w:w="80" w:type="dxa"/>
            </w:tcMar>
            <w:vAlign w:val="center"/>
          </w:tcPr>
          <w:p w14:paraId="33F34CC9" w14:textId="77777777" w:rsidR="009E33F6" w:rsidRPr="00EF2A6C" w:rsidRDefault="00000000">
            <w:pPr>
              <w:rPr>
                <w:lang w:val="nl-BE"/>
              </w:rPr>
            </w:pPr>
            <w:r w:rsidRPr="00EF2A6C">
              <w:rPr>
                <w:sz w:val="18"/>
                <w:szCs w:val="18"/>
                <w:lang w:val="nl-BE"/>
              </w:rPr>
              <w:t>(Luo et al., 2020; Chen et al., 2020)</w:t>
            </w:r>
          </w:p>
        </w:tc>
      </w:tr>
    </w:tbl>
    <w:p w14:paraId="76AB79E0" w14:textId="77777777" w:rsidR="009E33F6" w:rsidRPr="00EF2A6C" w:rsidRDefault="009E33F6">
      <w:pPr>
        <w:suppressLineNumbers/>
        <w:spacing w:after="120"/>
        <w:rPr>
          <w:lang w:val="nl-BE"/>
        </w:rPr>
      </w:pPr>
    </w:p>
    <w:p w14:paraId="2B6F8DFF" w14:textId="77777777" w:rsidR="009E33F6" w:rsidRDefault="00000000">
      <w:pPr>
        <w:spacing w:after="160"/>
        <w:jc w:val="both"/>
      </w:pPr>
      <w:r>
        <w:t xml:space="preserve">The flavonoids, among them hesperidin, quercetin and </w:t>
      </w:r>
      <w:proofErr w:type="spellStart"/>
      <w:r>
        <w:t>diosmin</w:t>
      </w:r>
      <w:proofErr w:type="spellEnd"/>
      <w:r>
        <w:t>, and the coumarins quench free radicals directly: their phenolic hydroxyl groups donate a hydrogen atom or an electron to reactive oxygen and nitrogen species and convert them into stable neutral molecules (Luo et al., 2020; Chen et al., 2020). This interception terminates the chain reaction of membrane lipid peroxidation and so reduces the formation of malondialdehyde, the toxic end product of lipid oxidation (Luo et al., 2025; Ozturk et al., 2024).</w:t>
      </w:r>
    </w:p>
    <w:p w14:paraId="71A740C8" w14:textId="77777777" w:rsidR="009E33F6" w:rsidRDefault="00000000">
      <w:pPr>
        <w:spacing w:after="160"/>
        <w:jc w:val="both"/>
      </w:pPr>
      <w:r w:rsidRPr="00EF2A6C">
        <w:rPr>
          <w:lang w:val="nl-BE"/>
        </w:rPr>
        <w:t xml:space="preserve">Chen et al. (2020) and Luo et al. </w:t>
      </w:r>
      <w:r>
        <w:t xml:space="preserve">(2020) found that the flavonoids of the fingered citron increased resistance to heat stress and to oxidative stress induced by hydrogen peroxide in </w:t>
      </w:r>
      <w:r>
        <w:rPr>
          <w:i/>
          <w:iCs/>
        </w:rPr>
        <w:t>Caenorhabditis elegans</w:t>
      </w:r>
      <w:r>
        <w:t xml:space="preserve">, extending the mean lifespan of </w:t>
      </w:r>
      <w:r>
        <w:rPr>
          <w:i/>
          <w:iCs/>
        </w:rPr>
        <w:t>C. elegans</w:t>
      </w:r>
      <w:r>
        <w:t xml:space="preserve"> by as much as 31.26 % through a reduction in the accumulation of intracellular ROS and in the deposition of lipofuscin (Luo et al., 2020; Chen et al., 2020).</w:t>
      </w:r>
    </w:p>
    <w:p w14:paraId="386D2DFF" w14:textId="77777777" w:rsidR="00D87462" w:rsidRPr="009E0A63" w:rsidRDefault="009E0A63">
      <w:pPr>
        <w:spacing w:before="240" w:after="160"/>
        <w:rPr>
          <w:b/>
          <w:bCs/>
          <w:sz w:val="22"/>
          <w:szCs w:val="22"/>
        </w:rPr>
      </w:pPr>
      <w:r>
        <w:rPr>
          <w:b/>
          <w:bCs/>
          <w:caps/>
          <w:sz w:val="22"/>
          <w:szCs w:val="22"/>
        </w:rPr>
        <w:t>5.7</w:t>
      </w:r>
      <w:r w:rsidR="00D87462">
        <w:rPr>
          <w:b/>
          <w:bCs/>
          <w:caps/>
          <w:sz w:val="22"/>
          <w:szCs w:val="22"/>
        </w:rPr>
        <w:t xml:space="preserve">. </w:t>
      </w:r>
      <w:r w:rsidR="009D7285" w:rsidRPr="009D7285">
        <w:rPr>
          <w:b/>
          <w:bCs/>
          <w:sz w:val="22"/>
          <w:szCs w:val="22"/>
          <w:lang w:val="en-US"/>
        </w:rPr>
        <w:t>Critical appraisal of the literature: discrepancies, extraction artefacts and translational challenges</w:t>
      </w:r>
    </w:p>
    <w:p w14:paraId="4F8A547F" w14:textId="77777777" w:rsidR="009D7285" w:rsidRPr="009D7285" w:rsidRDefault="009D7285" w:rsidP="009D7285">
      <w:pPr>
        <w:spacing w:before="240" w:after="160"/>
        <w:jc w:val="both"/>
        <w:rPr>
          <w:lang w:val="en-US"/>
        </w:rPr>
      </w:pPr>
      <w:r w:rsidRPr="009D7285">
        <w:rPr>
          <w:lang w:val="en-US"/>
        </w:rPr>
        <w:t xml:space="preserve">Despite the extensive biological properties documented for </w:t>
      </w:r>
      <w:r w:rsidRPr="009D7285">
        <w:rPr>
          <w:i/>
          <w:iCs/>
          <w:lang w:val="en-US"/>
        </w:rPr>
        <w:t>C. medica</w:t>
      </w:r>
      <w:r w:rsidRPr="009D7285">
        <w:rPr>
          <w:lang w:val="en-US"/>
        </w:rPr>
        <w:t xml:space="preserve"> var. </w:t>
      </w:r>
      <w:proofErr w:type="spellStart"/>
      <w:r w:rsidRPr="009D7285">
        <w:rPr>
          <w:i/>
          <w:iCs/>
          <w:lang w:val="en-US"/>
        </w:rPr>
        <w:t>sarcodactylis</w:t>
      </w:r>
      <w:proofErr w:type="spellEnd"/>
      <w:r w:rsidRPr="009D7285">
        <w:rPr>
          <w:lang w:val="en-US"/>
        </w:rPr>
        <w:t>, a rigorous examination of the literature reveals notable experimental discrepancies, methodological limitations and translational barriers.</w:t>
      </w:r>
    </w:p>
    <w:p w14:paraId="08D86335" w14:textId="77777777" w:rsidR="009D7285" w:rsidRPr="009D7285" w:rsidRDefault="009D7285" w:rsidP="009D7285">
      <w:pPr>
        <w:spacing w:before="240" w:after="160"/>
        <w:jc w:val="both"/>
        <w:rPr>
          <w:lang w:val="en-US"/>
        </w:rPr>
      </w:pPr>
      <w:r w:rsidRPr="009D7285">
        <w:rPr>
          <w:b/>
          <w:bCs/>
          <w:i/>
          <w:iCs/>
          <w:lang w:val="en-US"/>
        </w:rPr>
        <w:t>In vitro</w:t>
      </w:r>
      <w:r w:rsidRPr="009D7285">
        <w:rPr>
          <w:b/>
          <w:bCs/>
          <w:lang w:val="en-US"/>
        </w:rPr>
        <w:t xml:space="preserve"> versus </w:t>
      </w:r>
      <w:r w:rsidRPr="009D7285">
        <w:rPr>
          <w:b/>
          <w:bCs/>
          <w:i/>
          <w:iCs/>
          <w:lang w:val="en-US"/>
        </w:rPr>
        <w:t>in vivo</w:t>
      </w:r>
      <w:r w:rsidRPr="009D7285">
        <w:rPr>
          <w:b/>
          <w:bCs/>
          <w:lang w:val="en-US"/>
        </w:rPr>
        <w:t xml:space="preserve"> translational disconnect and high-dosage artefacts.</w:t>
      </w:r>
      <w:r w:rsidRPr="009D7285">
        <w:rPr>
          <w:lang w:val="en-US"/>
        </w:rPr>
        <w:t xml:space="preserve"> A central point of contention concerns the concentration thresholds used in cell-free and enzymatic assays. Guo et al. (2026), for example, reported that the free phenolic fraction of Guangxi fingered citron peel inhibited α-glucosidase by 76.10 % at 80 mg/mL and α-amylase by 56.77 % at 400 mg/</w:t>
      </w:r>
      <w:proofErr w:type="spellStart"/>
      <w:r w:rsidRPr="009D7285">
        <w:rPr>
          <w:lang w:val="en-US"/>
        </w:rPr>
        <w:t>mL.</w:t>
      </w:r>
      <w:proofErr w:type="spellEnd"/>
      <w:r w:rsidRPr="009D7285">
        <w:rPr>
          <w:lang w:val="en-US"/>
        </w:rPr>
        <w:t xml:space="preserve"> Although these concentrations appear high at first sight, and might otherwise raise concern about non-specific protein denaturation or optical interference in conventional </w:t>
      </w:r>
      <w:r w:rsidRPr="009D7285">
        <w:rPr>
          <w:i/>
          <w:iCs/>
          <w:lang w:val="en-US"/>
        </w:rPr>
        <w:t>in vitro</w:t>
      </w:r>
      <w:r w:rsidRPr="009D7285">
        <w:rPr>
          <w:lang w:val="en-US"/>
        </w:rPr>
        <w:t xml:space="preserve"> assays, the authors expressed both figures in terms of fresh-weight tissue equivalents rather than isolated dry-substance concentrations; converted to acarbose equivalents, the activity corresponds to only 0.08 mg AE/100 g fresh weight, confirming that the active phytochemicals </w:t>
      </w:r>
      <w:r w:rsidRPr="009D7285">
        <w:rPr>
          <w:lang w:val="en-US"/>
        </w:rPr>
        <w:lastRenderedPageBreak/>
        <w:t>act at sub-milligram physiological concentrations. By contrast, in animal models of metabolic dysfunction and acute tissue injury, whole-extract doses have ranged from 50 mg/kg to 2.2 g/kg per day, yet few studies have related these effective rodent doses to the circulating plasma concentrations of the parent aglycones or their conjugates.</w:t>
      </w:r>
    </w:p>
    <w:p w14:paraId="70629E46" w14:textId="77777777" w:rsidR="009D7285" w:rsidRPr="009D7285" w:rsidRDefault="009D7285" w:rsidP="009D7285">
      <w:pPr>
        <w:spacing w:before="240" w:after="160"/>
        <w:jc w:val="both"/>
        <w:rPr>
          <w:lang w:val="en-US"/>
        </w:rPr>
      </w:pPr>
      <w:r w:rsidRPr="009D7285">
        <w:rPr>
          <w:b/>
          <w:bCs/>
          <w:lang w:val="en-US"/>
        </w:rPr>
        <w:t>Extraction technology and chemical alteration.</w:t>
      </w:r>
      <w:r w:rsidRPr="009D7285">
        <w:rPr>
          <w:lang w:val="en-US"/>
        </w:rPr>
        <w:t xml:space="preserve"> The extraction platform chosen markedly affects both chemical yield and the bioactivity demonstrated. Classical steam distillation, although it gives a crude volatile oil yield of up to 3.5 %, causes thermal degradation and hydrolysis of heat-sensitive monoterpenoids such as geraniol and citronellal. Cold pressing (yield 1.0–1.6 %) and the more modern subcritical or continuous phase-transition extraction methods, in contrast, preserve the labile terpene and flavonoid constituents and give markedly higher DPPH/ABTS radical-scavenging activity despite the lower crude mass recovered (Chen et al., 2020; Guo et al., 2026; Sun et al., 2026). Traditional secondary processing, and long-term salt-curing (</w:t>
      </w:r>
      <w:r w:rsidRPr="009D7285">
        <w:rPr>
          <w:i/>
          <w:iCs/>
          <w:lang w:val="en-US"/>
        </w:rPr>
        <w:t>Lao Xiang Huang</w:t>
      </w:r>
      <w:r w:rsidRPr="009D7285">
        <w:rPr>
          <w:lang w:val="en-US"/>
        </w:rPr>
        <w:t>) in particular, breaks down the pectic networks of the cell wall, releasing low-molecular-weight oligosaccharides while converting flavonoid glycosides into more bioavailable aglycones; this explains why the pickled product shows stronger gastroprotective and anti-inflammatory activity than the crude aqueous distillate (Chen et al., 2023; Zheng et al., 2022).</w:t>
      </w:r>
    </w:p>
    <w:p w14:paraId="125EE236" w14:textId="77777777" w:rsidR="009D7285" w:rsidRPr="009D7285" w:rsidRDefault="009D7285" w:rsidP="009D7285">
      <w:pPr>
        <w:spacing w:before="240" w:after="160"/>
        <w:jc w:val="both"/>
        <w:rPr>
          <w:lang w:val="en-US"/>
        </w:rPr>
      </w:pPr>
      <w:r w:rsidRPr="009D7285">
        <w:rPr>
          <w:b/>
          <w:bCs/>
          <w:lang w:val="en-US"/>
        </w:rPr>
        <w:t xml:space="preserve">Tissue-specific </w:t>
      </w:r>
      <w:proofErr w:type="spellStart"/>
      <w:r w:rsidRPr="009D7285">
        <w:rPr>
          <w:b/>
          <w:bCs/>
          <w:lang w:val="en-US"/>
        </w:rPr>
        <w:t>compartmentalisation</w:t>
      </w:r>
      <w:proofErr w:type="spellEnd"/>
      <w:r w:rsidRPr="009D7285">
        <w:rPr>
          <w:b/>
          <w:bCs/>
          <w:lang w:val="en-US"/>
        </w:rPr>
        <w:t xml:space="preserve"> versus whole-fruit use.</w:t>
      </w:r>
      <w:r w:rsidRPr="009D7285">
        <w:rPr>
          <w:lang w:val="en-US"/>
        </w:rPr>
        <w:t xml:space="preserve"> The flavedo (exocarp) and the spongy albedo (mesocarp) differ profoundly in their phytochemistry. Monoterpene volatiles (D-limonene up to 66.9 %), coumarins (</w:t>
      </w:r>
      <w:proofErr w:type="spellStart"/>
      <w:r w:rsidRPr="009D7285">
        <w:rPr>
          <w:lang w:val="en-US"/>
        </w:rPr>
        <w:t>limettin</w:t>
      </w:r>
      <w:proofErr w:type="spellEnd"/>
      <w:r w:rsidRPr="009D7285">
        <w:rPr>
          <w:lang w:val="en-US"/>
        </w:rPr>
        <w:t xml:space="preserve">) and free flavonoids (hesperidin, 370.20 µg/g of dry extract) are concentrated in the secretory cavities of the exocarp, whereas the mesocarp, which makes up about 95 % of the mass of the fruit, is almost devoid of free phenolics but rich in the bitter limonoids (limonin) and in immunostimulatory macromolecular </w:t>
      </w:r>
      <w:proofErr w:type="spellStart"/>
      <w:r w:rsidRPr="009D7285">
        <w:rPr>
          <w:lang w:val="en-US"/>
        </w:rPr>
        <w:t>pectins</w:t>
      </w:r>
      <w:proofErr w:type="spellEnd"/>
      <w:r w:rsidRPr="009D7285">
        <w:rPr>
          <w:lang w:val="en-US"/>
        </w:rPr>
        <w:t xml:space="preserve"> (Guo et al., 2026; </w:t>
      </w:r>
      <w:proofErr w:type="spellStart"/>
      <w:r w:rsidRPr="009D7285">
        <w:rPr>
          <w:lang w:val="en-US"/>
        </w:rPr>
        <w:t>Sofiyanti</w:t>
      </w:r>
      <w:proofErr w:type="spellEnd"/>
      <w:r w:rsidRPr="009D7285">
        <w:rPr>
          <w:lang w:val="en-US"/>
        </w:rPr>
        <w:t xml:space="preserve"> et al., 2022; </w:t>
      </w:r>
      <w:proofErr w:type="spellStart"/>
      <w:r w:rsidRPr="009D7285">
        <w:rPr>
          <w:lang w:val="en-US"/>
        </w:rPr>
        <w:t>Vitalini</w:t>
      </w:r>
      <w:proofErr w:type="spellEnd"/>
      <w:r w:rsidRPr="009D7285">
        <w:rPr>
          <w:lang w:val="en-US"/>
        </w:rPr>
        <w:t xml:space="preserve"> et al., 2022). Many commercial preparations process the whole fruit without separating the flavedo from the albedo, which leads to batch-to-batch inconsistency, variable therapeutic efficacy and an unpalatable delayed bitterness arising from the cyclisation of </w:t>
      </w:r>
      <w:proofErr w:type="spellStart"/>
      <w:r w:rsidRPr="009D7285">
        <w:rPr>
          <w:lang w:val="en-US"/>
        </w:rPr>
        <w:t>limonoate</w:t>
      </w:r>
      <w:proofErr w:type="spellEnd"/>
      <w:r w:rsidRPr="009D7285">
        <w:rPr>
          <w:lang w:val="en-US"/>
        </w:rPr>
        <w:t xml:space="preserve"> A-ring lactone to the D-ring lactone of limonin (Deng et al., 2023; Liu et al., 2025).</w:t>
      </w:r>
    </w:p>
    <w:p w14:paraId="5D18F1FB" w14:textId="77777777" w:rsidR="009D7285" w:rsidRPr="009D7285" w:rsidRDefault="009D7285" w:rsidP="009D7285">
      <w:pPr>
        <w:spacing w:before="240" w:after="160"/>
        <w:jc w:val="both"/>
        <w:rPr>
          <w:lang w:val="en-US"/>
        </w:rPr>
      </w:pPr>
      <w:r w:rsidRPr="009D7285">
        <w:rPr>
          <w:b/>
          <w:bCs/>
          <w:lang w:val="en-US"/>
        </w:rPr>
        <w:t>Geographical chemotypes and microclimatic variation.</w:t>
      </w:r>
      <w:r w:rsidRPr="009D7285">
        <w:rPr>
          <w:lang w:val="en-US"/>
        </w:rPr>
        <w:t xml:space="preserve"> Comparative profiling across the growing provinces of China shows that environmental factors and terroir markedly alter the secondary metabolome. Fingered citron from Guangxi has the highest cumulative content of free phenolics and flavonoids (106.34 mg GAE/100 g and 15.31 mg CE/100 g fresh weight respectively), whereas material from Jinhua, in Zhejiang, is distinguished by a high content of bioactive coumarins such as </w:t>
      </w:r>
      <w:proofErr w:type="spellStart"/>
      <w:r w:rsidRPr="009D7285">
        <w:rPr>
          <w:lang w:val="en-US"/>
        </w:rPr>
        <w:t>limettin</w:t>
      </w:r>
      <w:proofErr w:type="spellEnd"/>
      <w:r w:rsidRPr="009D7285">
        <w:rPr>
          <w:lang w:val="en-US"/>
        </w:rPr>
        <w:t xml:space="preserve">, phellopterin and </w:t>
      </w:r>
      <w:proofErr w:type="spellStart"/>
      <w:r w:rsidRPr="009D7285">
        <w:rPr>
          <w:lang w:val="en-US"/>
        </w:rPr>
        <w:t>byakangelicol</w:t>
      </w:r>
      <w:proofErr w:type="spellEnd"/>
      <w:r w:rsidRPr="009D7285">
        <w:rPr>
          <w:lang w:val="en-US"/>
        </w:rPr>
        <w:t xml:space="preserve">. Caffeic acid shows a strict regional distribution, being detected only in accessions from Zhejiang and Sichuan and remaining undetectable in the southern samples (Guo et al., 2026; Xu et al., 2024). This geographical divergence makes clear that no single chemical marker can serve as a </w:t>
      </w:r>
      <w:proofErr w:type="spellStart"/>
      <w:r w:rsidRPr="009D7285">
        <w:rPr>
          <w:lang w:val="en-US"/>
        </w:rPr>
        <w:t>standardisation</w:t>
      </w:r>
      <w:proofErr w:type="spellEnd"/>
      <w:r w:rsidRPr="009D7285">
        <w:rPr>
          <w:lang w:val="en-US"/>
        </w:rPr>
        <w:t xml:space="preserve"> criterion across all regional accessions without taking </w:t>
      </w:r>
      <w:proofErr w:type="spellStart"/>
      <w:r w:rsidRPr="009D7285">
        <w:rPr>
          <w:lang w:val="en-US"/>
        </w:rPr>
        <w:t>chemotypic</w:t>
      </w:r>
      <w:proofErr w:type="spellEnd"/>
      <w:r w:rsidRPr="009D7285">
        <w:rPr>
          <w:lang w:val="en-US"/>
        </w:rPr>
        <w:t xml:space="preserve"> variation into account.</w:t>
      </w:r>
    </w:p>
    <w:p w14:paraId="21080526" w14:textId="77777777" w:rsidR="009E33F6" w:rsidRPr="00D87462" w:rsidRDefault="00BE1036" w:rsidP="00D87462">
      <w:pPr>
        <w:spacing w:before="240" w:after="160"/>
        <w:jc w:val="both"/>
      </w:pPr>
      <w:r>
        <w:rPr>
          <w:b/>
          <w:bCs/>
          <w:caps/>
        </w:rPr>
        <w:t>6</w:t>
      </w:r>
      <w:r w:rsidRPr="00D87462">
        <w:rPr>
          <w:b/>
          <w:bCs/>
          <w:caps/>
        </w:rPr>
        <w:t>. Toxicity</w:t>
      </w:r>
    </w:p>
    <w:p w14:paraId="4BBA49E9" w14:textId="77777777" w:rsidR="009E33F6" w:rsidRPr="00D87462" w:rsidRDefault="00000000" w:rsidP="00D87462">
      <w:pPr>
        <w:spacing w:after="160"/>
        <w:jc w:val="both"/>
      </w:pPr>
      <w:r w:rsidRPr="00D87462">
        <w:t xml:space="preserve">The fingered citron has long been used in the traditional medicine of China. The published </w:t>
      </w:r>
      <w:r w:rsidRPr="00D87462">
        <w:rPr>
          <w:i/>
          <w:iCs/>
        </w:rPr>
        <w:t>in vitro</w:t>
      </w:r>
      <w:r w:rsidRPr="00D87462">
        <w:t xml:space="preserve"> and </w:t>
      </w:r>
      <w:r w:rsidRPr="00D87462">
        <w:rPr>
          <w:i/>
          <w:iCs/>
        </w:rPr>
        <w:t>in vivo</w:t>
      </w:r>
      <w:r w:rsidRPr="00D87462">
        <w:t xml:space="preserve"> studies of the essential oil, of the extracts of the exocarp and of the mesocarp and of the isolated polysaccharides have all found no acute toxicity over the range of active doses (Luo et al., 2022; Hu et al., 2026; Kim et al., 2013) (Table 3).</w:t>
      </w:r>
    </w:p>
    <w:p w14:paraId="44B257F2" w14:textId="77777777" w:rsidR="009E33F6" w:rsidRDefault="00000000">
      <w:pPr>
        <w:keepNext/>
        <w:spacing w:before="200" w:after="120"/>
      </w:pPr>
      <w:r>
        <w:rPr>
          <w:b/>
          <w:bCs/>
        </w:rPr>
        <w:lastRenderedPageBreak/>
        <w:t>Table 3. Toxicity studies of the fingered citron fruit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67C17DBE" w14:textId="77777777">
        <w:trPr>
          <w:cantSplit/>
          <w:tblHeader/>
        </w:trPr>
        <w:tc>
          <w:tcPr>
            <w:tcW w:w="1550" w:type="dxa"/>
            <w:shd w:val="clear" w:color="auto" w:fill="D9D9D9"/>
            <w:tcMar>
              <w:top w:w="60" w:type="dxa"/>
              <w:left w:w="80" w:type="dxa"/>
              <w:bottom w:w="60" w:type="dxa"/>
              <w:right w:w="80" w:type="dxa"/>
            </w:tcMar>
            <w:vAlign w:val="center"/>
          </w:tcPr>
          <w:p w14:paraId="08E4B2C3"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48AAA022"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54CE0228" w14:textId="77777777" w:rsidR="009E33F6" w:rsidRDefault="00000000">
            <w:pPr>
              <w:jc w:val="center"/>
            </w:pPr>
            <w:r>
              <w:rPr>
                <w:b/>
                <w:bCs/>
                <w:sz w:val="18"/>
                <w:szCs w:val="18"/>
              </w:rPr>
              <w:t>Outcome</w:t>
            </w:r>
          </w:p>
        </w:tc>
        <w:tc>
          <w:tcPr>
            <w:tcW w:w="1658" w:type="dxa"/>
            <w:shd w:val="clear" w:color="auto" w:fill="D9D9D9"/>
            <w:tcMar>
              <w:top w:w="60" w:type="dxa"/>
              <w:left w:w="80" w:type="dxa"/>
              <w:bottom w:w="60" w:type="dxa"/>
              <w:right w:w="80" w:type="dxa"/>
            </w:tcMar>
            <w:vAlign w:val="center"/>
          </w:tcPr>
          <w:p w14:paraId="7E358F25" w14:textId="77777777" w:rsidR="009E33F6" w:rsidRDefault="00000000">
            <w:pPr>
              <w:jc w:val="center"/>
            </w:pPr>
            <w:r>
              <w:rPr>
                <w:b/>
                <w:bCs/>
                <w:sz w:val="18"/>
                <w:szCs w:val="18"/>
              </w:rPr>
              <w:t>Reference</w:t>
            </w:r>
          </w:p>
        </w:tc>
      </w:tr>
      <w:tr w:rsidR="009E33F6" w:rsidRPr="00EF2A6C" w14:paraId="1F7B1441" w14:textId="77777777">
        <w:trPr>
          <w:cantSplit/>
        </w:trPr>
        <w:tc>
          <w:tcPr>
            <w:tcW w:w="1550" w:type="dxa"/>
            <w:tcMar>
              <w:top w:w="60" w:type="dxa"/>
              <w:left w:w="80" w:type="dxa"/>
              <w:bottom w:w="60" w:type="dxa"/>
              <w:right w:w="80" w:type="dxa"/>
            </w:tcMar>
            <w:vAlign w:val="center"/>
          </w:tcPr>
          <w:p w14:paraId="0501D33E" w14:textId="77777777" w:rsidR="009E33F6" w:rsidRDefault="00000000">
            <w:r>
              <w:rPr>
                <w:sz w:val="18"/>
                <w:szCs w:val="18"/>
              </w:rPr>
              <w:t>Essential oil</w:t>
            </w:r>
          </w:p>
        </w:tc>
        <w:tc>
          <w:tcPr>
            <w:tcW w:w="1700" w:type="dxa"/>
            <w:tcMar>
              <w:top w:w="60" w:type="dxa"/>
              <w:left w:w="80" w:type="dxa"/>
              <w:bottom w:w="60" w:type="dxa"/>
              <w:right w:w="80" w:type="dxa"/>
            </w:tcMar>
            <w:vAlign w:val="center"/>
          </w:tcPr>
          <w:p w14:paraId="3211B69C"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6C974447" w14:textId="77777777" w:rsidR="009E33F6" w:rsidRDefault="00000000">
            <w:r>
              <w:rPr>
                <w:sz w:val="18"/>
                <w:szCs w:val="18"/>
              </w:rPr>
              <w:t>No cytotoxicity at 0.005 %, 0.01 % and 0.02 %; no release of lactate dehydrogenase; more than 95 % of cells viable</w:t>
            </w:r>
          </w:p>
        </w:tc>
        <w:tc>
          <w:tcPr>
            <w:tcW w:w="1658" w:type="dxa"/>
            <w:tcMar>
              <w:top w:w="60" w:type="dxa"/>
              <w:left w:w="80" w:type="dxa"/>
              <w:bottom w:w="60" w:type="dxa"/>
              <w:right w:w="80" w:type="dxa"/>
            </w:tcMar>
            <w:vAlign w:val="center"/>
          </w:tcPr>
          <w:p w14:paraId="02234E2F" w14:textId="77777777" w:rsidR="009E33F6" w:rsidRPr="00EF2A6C" w:rsidRDefault="00000000">
            <w:pPr>
              <w:rPr>
                <w:lang w:val="nl-BE"/>
              </w:rPr>
            </w:pPr>
            <w:r w:rsidRPr="00EF2A6C">
              <w:rPr>
                <w:sz w:val="18"/>
                <w:szCs w:val="18"/>
                <w:lang w:val="nl-BE"/>
              </w:rPr>
              <w:t>(Vitalini et al., 2022; Kim et al., 2013)</w:t>
            </w:r>
          </w:p>
        </w:tc>
      </w:tr>
      <w:tr w:rsidR="009E33F6" w14:paraId="7D26AA29" w14:textId="77777777">
        <w:trPr>
          <w:cantSplit/>
        </w:trPr>
        <w:tc>
          <w:tcPr>
            <w:tcW w:w="1550" w:type="dxa"/>
            <w:tcMar>
              <w:top w:w="60" w:type="dxa"/>
              <w:left w:w="80" w:type="dxa"/>
              <w:bottom w:w="60" w:type="dxa"/>
              <w:right w:w="80" w:type="dxa"/>
            </w:tcMar>
            <w:vAlign w:val="center"/>
          </w:tcPr>
          <w:p w14:paraId="4FC4B76A" w14:textId="77777777" w:rsidR="009E33F6" w:rsidRDefault="00000000">
            <w:r>
              <w:rPr>
                <w:sz w:val="18"/>
                <w:szCs w:val="18"/>
              </w:rPr>
              <w:t>Exocarp and whole-fruit extracts</w:t>
            </w:r>
          </w:p>
        </w:tc>
        <w:tc>
          <w:tcPr>
            <w:tcW w:w="1700" w:type="dxa"/>
            <w:tcMar>
              <w:top w:w="60" w:type="dxa"/>
              <w:left w:w="80" w:type="dxa"/>
              <w:bottom w:w="60" w:type="dxa"/>
              <w:right w:w="80" w:type="dxa"/>
            </w:tcMar>
            <w:vAlign w:val="center"/>
          </w:tcPr>
          <w:p w14:paraId="48BD3805" w14:textId="77777777" w:rsidR="009E33F6" w:rsidRDefault="00000000">
            <w:r>
              <w:rPr>
                <w:i/>
                <w:iCs/>
                <w:sz w:val="18"/>
                <w:szCs w:val="18"/>
              </w:rPr>
              <w:t>In vivo</w:t>
            </w:r>
            <w:r>
              <w:rPr>
                <w:sz w:val="18"/>
                <w:szCs w:val="18"/>
              </w:rPr>
              <w:t xml:space="preserve"> (oral administration to mice)</w:t>
            </w:r>
          </w:p>
        </w:tc>
        <w:tc>
          <w:tcPr>
            <w:tcW w:w="3300" w:type="dxa"/>
            <w:tcMar>
              <w:top w:w="60" w:type="dxa"/>
              <w:left w:w="80" w:type="dxa"/>
              <w:bottom w:w="60" w:type="dxa"/>
              <w:right w:w="80" w:type="dxa"/>
            </w:tcMar>
            <w:vAlign w:val="center"/>
          </w:tcPr>
          <w:p w14:paraId="1E1B01D8" w14:textId="77777777" w:rsidR="009E33F6" w:rsidRDefault="00000000">
            <w:r>
              <w:rPr>
                <w:sz w:val="18"/>
                <w:szCs w:val="18"/>
              </w:rPr>
              <w:t>A single dose of 2000 mg/kg caused no mortality and no clinical sign of toxicity; LD</w:t>
            </w:r>
            <w:r>
              <w:rPr>
                <w:sz w:val="18"/>
                <w:szCs w:val="18"/>
                <w:vertAlign w:val="subscript"/>
              </w:rPr>
              <w:t>50</w:t>
            </w:r>
            <w:r>
              <w:rPr>
                <w:sz w:val="18"/>
                <w:szCs w:val="18"/>
              </w:rPr>
              <w:t xml:space="preserve"> &gt; 2000 mg/kg</w:t>
            </w:r>
          </w:p>
        </w:tc>
        <w:tc>
          <w:tcPr>
            <w:tcW w:w="1658" w:type="dxa"/>
            <w:tcMar>
              <w:top w:w="60" w:type="dxa"/>
              <w:left w:w="80" w:type="dxa"/>
              <w:bottom w:w="60" w:type="dxa"/>
              <w:right w:w="80" w:type="dxa"/>
            </w:tcMar>
            <w:vAlign w:val="center"/>
          </w:tcPr>
          <w:p w14:paraId="0D226FC6" w14:textId="77777777" w:rsidR="009E33F6" w:rsidRDefault="00000000">
            <w:r>
              <w:rPr>
                <w:sz w:val="18"/>
                <w:szCs w:val="18"/>
              </w:rPr>
              <w:t>(Peng et al., 2009)</w:t>
            </w:r>
          </w:p>
        </w:tc>
      </w:tr>
      <w:tr w:rsidR="009E33F6" w14:paraId="33F87F52" w14:textId="77777777">
        <w:trPr>
          <w:cantSplit/>
        </w:trPr>
        <w:tc>
          <w:tcPr>
            <w:tcW w:w="1550" w:type="dxa"/>
            <w:tcMar>
              <w:top w:w="60" w:type="dxa"/>
              <w:left w:w="80" w:type="dxa"/>
              <w:bottom w:w="60" w:type="dxa"/>
              <w:right w:w="80" w:type="dxa"/>
            </w:tcMar>
            <w:vAlign w:val="center"/>
          </w:tcPr>
          <w:p w14:paraId="4F5ADFAE" w14:textId="77777777" w:rsidR="009E33F6" w:rsidRDefault="00000000">
            <w:r>
              <w:rPr>
                <w:sz w:val="18"/>
                <w:szCs w:val="18"/>
              </w:rPr>
              <w:t>Methanol extract of the whole fruit</w:t>
            </w:r>
          </w:p>
        </w:tc>
        <w:tc>
          <w:tcPr>
            <w:tcW w:w="1700" w:type="dxa"/>
            <w:tcMar>
              <w:top w:w="60" w:type="dxa"/>
              <w:left w:w="80" w:type="dxa"/>
              <w:bottom w:w="60" w:type="dxa"/>
              <w:right w:w="80" w:type="dxa"/>
            </w:tcMar>
            <w:vAlign w:val="center"/>
          </w:tcPr>
          <w:p w14:paraId="6C43E88E"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043D8155" w14:textId="77777777" w:rsidR="009E33F6" w:rsidRDefault="00000000">
            <w:r>
              <w:rPr>
                <w:sz w:val="18"/>
                <w:szCs w:val="18"/>
              </w:rPr>
              <w:t>Cell viability maintained at 111.2 – 127 % over 150 – 750 µg/mL</w:t>
            </w:r>
          </w:p>
        </w:tc>
        <w:tc>
          <w:tcPr>
            <w:tcW w:w="1658" w:type="dxa"/>
            <w:tcMar>
              <w:top w:w="60" w:type="dxa"/>
              <w:left w:w="80" w:type="dxa"/>
              <w:bottom w:w="60" w:type="dxa"/>
              <w:right w:w="80" w:type="dxa"/>
            </w:tcMar>
            <w:vAlign w:val="center"/>
          </w:tcPr>
          <w:p w14:paraId="4697432A" w14:textId="77777777" w:rsidR="009E33F6" w:rsidRDefault="00000000">
            <w:r>
              <w:rPr>
                <w:sz w:val="18"/>
                <w:szCs w:val="18"/>
              </w:rPr>
              <w:t>(Hu et al., 2026)</w:t>
            </w:r>
          </w:p>
        </w:tc>
      </w:tr>
      <w:tr w:rsidR="009E33F6" w14:paraId="50B47146" w14:textId="77777777">
        <w:trPr>
          <w:cantSplit/>
        </w:trPr>
        <w:tc>
          <w:tcPr>
            <w:tcW w:w="1550" w:type="dxa"/>
            <w:tcMar>
              <w:top w:w="60" w:type="dxa"/>
              <w:left w:w="80" w:type="dxa"/>
              <w:bottom w:w="60" w:type="dxa"/>
              <w:right w:w="80" w:type="dxa"/>
            </w:tcMar>
            <w:vAlign w:val="center"/>
          </w:tcPr>
          <w:p w14:paraId="5F393731" w14:textId="77777777" w:rsidR="009E33F6" w:rsidRDefault="00000000">
            <w:r>
              <w:rPr>
                <w:sz w:val="18"/>
                <w:szCs w:val="18"/>
              </w:rPr>
              <w:t>Isolated polysaccharides</w:t>
            </w:r>
          </w:p>
        </w:tc>
        <w:tc>
          <w:tcPr>
            <w:tcW w:w="1700" w:type="dxa"/>
            <w:tcMar>
              <w:top w:w="60" w:type="dxa"/>
              <w:left w:w="80" w:type="dxa"/>
              <w:bottom w:w="60" w:type="dxa"/>
              <w:right w:w="80" w:type="dxa"/>
            </w:tcMar>
            <w:vAlign w:val="center"/>
          </w:tcPr>
          <w:p w14:paraId="31073ACD"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7D67A8CE" w14:textId="77777777" w:rsidR="009E33F6" w:rsidRDefault="00000000">
            <w:r>
              <w:rPr>
                <w:sz w:val="18"/>
                <w:szCs w:val="18"/>
              </w:rPr>
              <w:t>No cytotoxicity over 10 – 400 µg/mL; more than 95 % of cells viable</w:t>
            </w:r>
          </w:p>
        </w:tc>
        <w:tc>
          <w:tcPr>
            <w:tcW w:w="1658" w:type="dxa"/>
            <w:tcMar>
              <w:top w:w="60" w:type="dxa"/>
              <w:left w:w="80" w:type="dxa"/>
              <w:bottom w:w="60" w:type="dxa"/>
              <w:right w:w="80" w:type="dxa"/>
            </w:tcMar>
            <w:vAlign w:val="center"/>
          </w:tcPr>
          <w:p w14:paraId="0CC3DAFA" w14:textId="77777777" w:rsidR="009E33F6" w:rsidRDefault="00000000">
            <w:r>
              <w:rPr>
                <w:sz w:val="18"/>
                <w:szCs w:val="18"/>
              </w:rPr>
              <w:t>(Luo et al., 2022)</w:t>
            </w:r>
          </w:p>
        </w:tc>
      </w:tr>
      <w:tr w:rsidR="009E33F6" w:rsidRPr="00EF2A6C" w14:paraId="3F9E652B" w14:textId="77777777">
        <w:trPr>
          <w:cantSplit/>
        </w:trPr>
        <w:tc>
          <w:tcPr>
            <w:tcW w:w="1550" w:type="dxa"/>
            <w:tcMar>
              <w:top w:w="60" w:type="dxa"/>
              <w:left w:w="80" w:type="dxa"/>
              <w:bottom w:w="60" w:type="dxa"/>
              <w:right w:w="80" w:type="dxa"/>
            </w:tcMar>
            <w:vAlign w:val="center"/>
          </w:tcPr>
          <w:p w14:paraId="356A7D12" w14:textId="77777777" w:rsidR="009E33F6" w:rsidRDefault="00000000">
            <w:r>
              <w:rPr>
                <w:sz w:val="18"/>
                <w:szCs w:val="18"/>
              </w:rPr>
              <w:t>Ethanol 70 % and aqueous extracts of the exocarp</w:t>
            </w:r>
          </w:p>
        </w:tc>
        <w:tc>
          <w:tcPr>
            <w:tcW w:w="1700" w:type="dxa"/>
            <w:tcMar>
              <w:top w:w="60" w:type="dxa"/>
              <w:left w:w="80" w:type="dxa"/>
              <w:bottom w:w="60" w:type="dxa"/>
              <w:right w:w="80" w:type="dxa"/>
            </w:tcMar>
            <w:vAlign w:val="center"/>
          </w:tcPr>
          <w:p w14:paraId="514CF1EE" w14:textId="77777777" w:rsidR="009E33F6" w:rsidRDefault="00000000">
            <w:r>
              <w:rPr>
                <w:i/>
                <w:iCs/>
                <w:sz w:val="18"/>
                <w:szCs w:val="18"/>
              </w:rPr>
              <w:t>In vivo</w:t>
            </w:r>
            <w:r>
              <w:rPr>
                <w:sz w:val="18"/>
                <w:szCs w:val="18"/>
              </w:rPr>
              <w:t xml:space="preserve"> (C57BL/6 and Sprague-Dawley rats)</w:t>
            </w:r>
          </w:p>
        </w:tc>
        <w:tc>
          <w:tcPr>
            <w:tcW w:w="3300" w:type="dxa"/>
            <w:tcMar>
              <w:top w:w="60" w:type="dxa"/>
              <w:left w:w="80" w:type="dxa"/>
              <w:bottom w:w="60" w:type="dxa"/>
              <w:right w:w="80" w:type="dxa"/>
            </w:tcMar>
            <w:vAlign w:val="center"/>
          </w:tcPr>
          <w:p w14:paraId="0FEA21DD" w14:textId="77777777" w:rsidR="009E33F6" w:rsidRDefault="00000000">
            <w:r>
              <w:rPr>
                <w:sz w:val="18"/>
                <w:szCs w:val="18"/>
              </w:rPr>
              <w:t>Doses of 50 – 100 mg/kg and 2.2 g/kg/day did not raise ALT or AST and caused no hepatic or pulmonary injury</w:t>
            </w:r>
          </w:p>
        </w:tc>
        <w:tc>
          <w:tcPr>
            <w:tcW w:w="1658" w:type="dxa"/>
            <w:tcMar>
              <w:top w:w="60" w:type="dxa"/>
              <w:left w:w="80" w:type="dxa"/>
              <w:bottom w:w="60" w:type="dxa"/>
              <w:right w:w="80" w:type="dxa"/>
            </w:tcMar>
            <w:vAlign w:val="center"/>
          </w:tcPr>
          <w:p w14:paraId="2421CC11" w14:textId="77777777" w:rsidR="009E33F6" w:rsidRPr="00EF2A6C" w:rsidRDefault="00000000">
            <w:pPr>
              <w:rPr>
                <w:lang w:val="nl-BE"/>
              </w:rPr>
            </w:pPr>
            <w:r w:rsidRPr="00EF2A6C">
              <w:rPr>
                <w:sz w:val="18"/>
                <w:szCs w:val="18"/>
                <w:lang w:val="nl-BE"/>
              </w:rPr>
              <w:t>(Yang et al., 2021; Luo et al., 2025)</w:t>
            </w:r>
          </w:p>
        </w:tc>
      </w:tr>
    </w:tbl>
    <w:p w14:paraId="3A9BF6EB" w14:textId="77777777" w:rsidR="009E33F6" w:rsidRPr="00EF2A6C" w:rsidRDefault="009E33F6">
      <w:pPr>
        <w:suppressLineNumbers/>
        <w:spacing w:after="120"/>
        <w:rPr>
          <w:lang w:val="nl-BE"/>
        </w:rPr>
      </w:pPr>
    </w:p>
    <w:p w14:paraId="0C5C561D" w14:textId="77777777" w:rsidR="009E33F6" w:rsidRDefault="00000000">
      <w:pPr>
        <w:spacing w:after="160"/>
        <w:jc w:val="both"/>
      </w:pPr>
      <w:r>
        <w:t xml:space="preserve">The absence of cytotoxicity rests on the maintenance and reinforcement of membrane stability. The phenolics and polysaccharides of the fruit do not alter membrane permeability and do not cause the release of lactate dehydrogenase, while hesperidin, naringin and rutin increase the stability of the lipid membrane through their capacity to scavenge peroxyl radicals (Hu et al., 2026; Luo et al., 2025; Kim et al., 2013). The constituents maintain a balanced concentration of reactive oxygen species and prevent mitochondrial injury, so that cytochrome c is not released and the caspase-9/caspase-3 apoptotic pathway is not activated (Hu et al., 2026; Luo et al., 2025). </w:t>
      </w:r>
      <w:r>
        <w:rPr>
          <w:highlight w:val="yellow"/>
        </w:rPr>
        <w:t>Extracts from the various parts of the fruit</w:t>
      </w:r>
      <w:r>
        <w:t xml:space="preserve"> likewise had no effect on the liver or the kidneys of the experimental animals (Yang et al., 2021; Luo et al., 2025).</w:t>
      </w:r>
    </w:p>
    <w:p w14:paraId="4D60479D" w14:textId="77777777" w:rsidR="00713E64" w:rsidRDefault="00BE1036">
      <w:pPr>
        <w:spacing w:before="240" w:after="160"/>
        <w:rPr>
          <w:b/>
          <w:bCs/>
          <w:caps/>
          <w:sz w:val="22"/>
          <w:szCs w:val="22"/>
        </w:rPr>
      </w:pPr>
      <w:r>
        <w:rPr>
          <w:b/>
          <w:bCs/>
          <w:caps/>
          <w:sz w:val="22"/>
          <w:szCs w:val="22"/>
        </w:rPr>
        <w:t xml:space="preserve">7. </w:t>
      </w:r>
      <w:r w:rsidR="00713E64" w:rsidRPr="00713E64">
        <w:rPr>
          <w:b/>
          <w:bCs/>
          <w:caps/>
          <w:sz w:val="22"/>
          <w:szCs w:val="22"/>
        </w:rPr>
        <w:t>Research Gaps and Future Directions</w:t>
      </w:r>
    </w:p>
    <w:p w14:paraId="01A82AE7" w14:textId="77777777" w:rsidR="009D7285" w:rsidRPr="009D7285" w:rsidRDefault="009D7285" w:rsidP="009D7285">
      <w:pPr>
        <w:spacing w:before="240" w:after="160"/>
        <w:rPr>
          <w:lang w:val="en-US"/>
        </w:rPr>
      </w:pPr>
      <w:r w:rsidRPr="009D7285">
        <w:rPr>
          <w:lang w:val="en-US"/>
        </w:rPr>
        <w:t xml:space="preserve">Although the multi-target pharmacological actions of </w:t>
      </w:r>
      <w:r w:rsidRPr="009D7285">
        <w:rPr>
          <w:i/>
          <w:iCs/>
          <w:lang w:val="en-US"/>
        </w:rPr>
        <w:t>C. medica</w:t>
      </w:r>
      <w:r w:rsidRPr="009D7285">
        <w:rPr>
          <w:lang w:val="en-US"/>
        </w:rPr>
        <w:t xml:space="preserve"> var. </w:t>
      </w:r>
      <w:proofErr w:type="spellStart"/>
      <w:r w:rsidRPr="009D7285">
        <w:rPr>
          <w:i/>
          <w:iCs/>
          <w:lang w:val="en-US"/>
        </w:rPr>
        <w:t>sarcodactylis</w:t>
      </w:r>
      <w:proofErr w:type="spellEnd"/>
      <w:r w:rsidRPr="009D7285">
        <w:rPr>
          <w:lang w:val="en-US"/>
        </w:rPr>
        <w:t xml:space="preserve"> are well substantiated in acute preclinical models, several critical gaps remain to be resolved before clinical translation is possible.</w:t>
      </w:r>
    </w:p>
    <w:p w14:paraId="2B82A3BB" w14:textId="77777777" w:rsidR="009D7285" w:rsidRPr="009D7285" w:rsidRDefault="009D7285" w:rsidP="009D7285">
      <w:pPr>
        <w:spacing w:before="240" w:after="160"/>
        <w:rPr>
          <w:lang w:val="en-US"/>
        </w:rPr>
      </w:pPr>
      <w:r w:rsidRPr="009D7285">
        <w:rPr>
          <w:b/>
          <w:bCs/>
          <w:lang w:val="en-US"/>
        </w:rPr>
        <w:t>Absence of chronic toxicity, subchronic safety and genotoxicity data.</w:t>
      </w:r>
      <w:r w:rsidRPr="009D7285">
        <w:rPr>
          <w:lang w:val="en-US"/>
        </w:rPr>
        <w:t xml:space="preserve"> The existing safety data are confined to acute oral exposure (LD50 &gt; 2000 mg/kg in rodents) and to short-term, 14-day rodent administration showing stable hepatic transaminases (ALT, AST) (Luo et al., 2025; Peng et al., 2009; Yang et al., 2021). Formal OECD-compliant 90-day subchronic toxicity studies, reproductive and teratogenicity studies, and </w:t>
      </w:r>
      <w:proofErr w:type="gramStart"/>
      <w:r w:rsidRPr="009D7285">
        <w:rPr>
          <w:lang w:val="en-US"/>
        </w:rPr>
        <w:t>Ames</w:t>
      </w:r>
      <w:proofErr w:type="gramEnd"/>
      <w:r w:rsidRPr="009D7285">
        <w:rPr>
          <w:lang w:val="en-US"/>
        </w:rPr>
        <w:t xml:space="preserve"> genotoxicity testing are entirely lacking. Given the abundance of furanocoumarins, such as bergapten and oxypeucedanin, which are known to be phototoxic and to inhibit CYP3A4, long-term toxicological </w:t>
      </w:r>
      <w:proofErr w:type="spellStart"/>
      <w:r w:rsidRPr="009D7285">
        <w:rPr>
          <w:lang w:val="en-US"/>
        </w:rPr>
        <w:t>characterisation</w:t>
      </w:r>
      <w:proofErr w:type="spellEnd"/>
      <w:r w:rsidRPr="009D7285">
        <w:rPr>
          <w:lang w:val="en-US"/>
        </w:rPr>
        <w:t xml:space="preserve"> is essential.</w:t>
      </w:r>
    </w:p>
    <w:p w14:paraId="4DCFFF2C" w14:textId="77777777" w:rsidR="009D7285" w:rsidRPr="009D7285" w:rsidRDefault="009D7285" w:rsidP="009D7285">
      <w:pPr>
        <w:spacing w:before="240" w:after="160"/>
        <w:rPr>
          <w:lang w:val="en-US"/>
        </w:rPr>
      </w:pPr>
      <w:r w:rsidRPr="009D7285">
        <w:rPr>
          <w:b/>
          <w:bCs/>
          <w:lang w:val="en-US"/>
        </w:rPr>
        <w:t>Bioavailability, pharmacokinetics and metabolic fate.</w:t>
      </w:r>
      <w:r w:rsidRPr="009D7285">
        <w:rPr>
          <w:lang w:val="en-US"/>
        </w:rPr>
        <w:t xml:space="preserve"> The high-molecular-weight polysaccharides (&gt;100 </w:t>
      </w:r>
      <w:proofErr w:type="spellStart"/>
      <w:r w:rsidRPr="009D7285">
        <w:rPr>
          <w:lang w:val="en-US"/>
        </w:rPr>
        <w:t>kDa</w:t>
      </w:r>
      <w:proofErr w:type="spellEnd"/>
      <w:r w:rsidRPr="009D7285">
        <w:rPr>
          <w:lang w:val="en-US"/>
        </w:rPr>
        <w:t xml:space="preserve">) and the flavonoid </w:t>
      </w:r>
      <w:proofErr w:type="spellStart"/>
      <w:r w:rsidRPr="009D7285">
        <w:rPr>
          <w:lang w:val="en-US"/>
        </w:rPr>
        <w:t>rutinosides</w:t>
      </w:r>
      <w:proofErr w:type="spellEnd"/>
      <w:r w:rsidRPr="009D7285">
        <w:rPr>
          <w:lang w:val="en-US"/>
        </w:rPr>
        <w:t xml:space="preserve"> (hesperidin, naringin) of the fruit are known to have poor intestinal permeability and low oral bioavailability. Deng et al. (2023) have mapped the circulating metabolites in a preliminary </w:t>
      </w:r>
      <w:r w:rsidRPr="009D7285">
        <w:rPr>
          <w:i/>
          <w:iCs/>
          <w:lang w:val="en-US"/>
        </w:rPr>
        <w:t>in vivo</w:t>
      </w:r>
      <w:r w:rsidRPr="009D7285">
        <w:rPr>
          <w:lang w:val="en-US"/>
        </w:rPr>
        <w:t xml:space="preserve"> study, but systematic human pharmacokinetic and pharmacodynamic parameters — peak plasma concentration (</w:t>
      </w:r>
      <w:proofErr w:type="spellStart"/>
      <w:r w:rsidRPr="009D7285">
        <w:rPr>
          <w:lang w:val="en-US"/>
        </w:rPr>
        <w:t>Cmax</w:t>
      </w:r>
      <w:proofErr w:type="spellEnd"/>
      <w:r w:rsidRPr="009D7285">
        <w:rPr>
          <w:lang w:val="en-US"/>
        </w:rPr>
        <w:t xml:space="preserve">), half-life (t1/2), area under the curve (AUC), enterohepatic recycling and colonic catabolism to </w:t>
      </w:r>
      <w:r w:rsidRPr="009D7285">
        <w:rPr>
          <w:lang w:val="en-US"/>
        </w:rPr>
        <w:lastRenderedPageBreak/>
        <w:t xml:space="preserve">small phenolic acids — remain largely </w:t>
      </w:r>
      <w:proofErr w:type="spellStart"/>
      <w:r w:rsidRPr="009D7285">
        <w:rPr>
          <w:lang w:val="en-US"/>
        </w:rPr>
        <w:t>uncharacterised</w:t>
      </w:r>
      <w:proofErr w:type="spellEnd"/>
      <w:r w:rsidRPr="009D7285">
        <w:rPr>
          <w:lang w:val="en-US"/>
        </w:rPr>
        <w:t>. Novel delivery systems, such as the nano-emulsion tested by El-Abd et al. (2025), offer a promising means of overcoming the barriers of solubility and mucosal absorption.</w:t>
      </w:r>
    </w:p>
    <w:p w14:paraId="3F7D0FD7" w14:textId="77777777" w:rsidR="009D7285" w:rsidRPr="009D7285" w:rsidRDefault="009D7285" w:rsidP="009D7285">
      <w:pPr>
        <w:spacing w:before="240" w:after="160"/>
        <w:rPr>
          <w:lang w:val="en-US"/>
        </w:rPr>
      </w:pPr>
      <w:r w:rsidRPr="009D7285">
        <w:rPr>
          <w:b/>
          <w:bCs/>
          <w:lang w:val="en-US"/>
        </w:rPr>
        <w:t>Mechanistic validation by genetic methods.</w:t>
      </w:r>
      <w:r w:rsidRPr="009D7285">
        <w:rPr>
          <w:lang w:val="en-US"/>
        </w:rPr>
        <w:t xml:space="preserve"> Most of the claims made for the anti-inflammatory and metabolic activity of the fruit rest on Western blotting and RT-qPCR quantification of pathway nodes, such as phosphorylation of the p65 subunit of NF-</w:t>
      </w:r>
      <w:proofErr w:type="spellStart"/>
      <w:r w:rsidRPr="009D7285">
        <w:rPr>
          <w:lang w:val="en-US"/>
        </w:rPr>
        <w:t>κB</w:t>
      </w:r>
      <w:proofErr w:type="spellEnd"/>
      <w:r w:rsidRPr="009D7285">
        <w:rPr>
          <w:lang w:val="en-US"/>
        </w:rPr>
        <w:t>, down-regulation of the p38/ERK/JNK branches of MAPK, suppression of NLRP3 and activation of TGR5/GLP-1, in chemically induced models (Hu et al., 2026; Kim et al., 2013; Luo et al., 2025; Yang et al., 2021). Establishing causality with confidence will require validation in target-specific gene knockdown or knockout models — NLRP3−/−, TGR5−/− or Nrf2−/− rodents, for example — together with selective pharmacological antagonists and cellular thermal shift assays (CETSA) to confirm direct ligand–receptor binding.</w:t>
      </w:r>
    </w:p>
    <w:p w14:paraId="3BD58CF6" w14:textId="77777777" w:rsidR="009D7285" w:rsidRPr="009D7285" w:rsidRDefault="009D7285" w:rsidP="009D7285">
      <w:pPr>
        <w:spacing w:before="240" w:after="160"/>
        <w:rPr>
          <w:lang w:val="en-US"/>
        </w:rPr>
      </w:pPr>
      <w:proofErr w:type="spellStart"/>
      <w:r w:rsidRPr="009D7285">
        <w:rPr>
          <w:b/>
          <w:bCs/>
          <w:lang w:val="en-US"/>
        </w:rPr>
        <w:t>Standardisation</w:t>
      </w:r>
      <w:proofErr w:type="spellEnd"/>
      <w:r w:rsidRPr="009D7285">
        <w:rPr>
          <w:b/>
          <w:bCs/>
          <w:lang w:val="en-US"/>
        </w:rPr>
        <w:t xml:space="preserve"> of Vietnamese germplasm.</w:t>
      </w:r>
      <w:r w:rsidRPr="009D7285">
        <w:rPr>
          <w:lang w:val="en-US"/>
        </w:rPr>
        <w:t xml:space="preserve"> Vietnamese research remains confined to the basic steam distillation of the essential oil (Dung et al., 1996; Loi, 2017; Loi et al., 2015; Pham et al., 2021). There is an urgent need to fingerprint domestic cultivars grown in Hanoi and Bac Ninh chemically, by LC-MS/MS and GC-MS, and to compare them with the Chinese monographs so as to establish quality-control standards proper to the Vietnamese Pharmacopoeia.</w:t>
      </w:r>
    </w:p>
    <w:p w14:paraId="0A8D9BC0" w14:textId="77777777" w:rsidR="00BE315C" w:rsidRDefault="00BE315C">
      <w:pPr>
        <w:spacing w:before="240" w:after="160"/>
        <w:rPr>
          <w:b/>
          <w:bCs/>
          <w:caps/>
          <w:sz w:val="22"/>
          <w:szCs w:val="22"/>
        </w:rPr>
      </w:pPr>
      <w:r>
        <w:rPr>
          <w:b/>
          <w:bCs/>
          <w:caps/>
          <w:sz w:val="22"/>
          <w:szCs w:val="22"/>
        </w:rPr>
        <w:t xml:space="preserve">8. </w:t>
      </w:r>
      <w:r w:rsidRPr="00BE315C">
        <w:rPr>
          <w:b/>
          <w:bCs/>
          <w:caps/>
          <w:sz w:val="22"/>
          <w:szCs w:val="22"/>
        </w:rPr>
        <w:t>Limitations of the Review</w:t>
      </w:r>
    </w:p>
    <w:p w14:paraId="759CDB2E" w14:textId="77777777" w:rsidR="009D7285" w:rsidRPr="009D7285" w:rsidRDefault="009D7285" w:rsidP="009D7285">
      <w:pPr>
        <w:spacing w:before="240" w:after="160"/>
        <w:jc w:val="both"/>
        <w:rPr>
          <w:lang w:val="en-US"/>
        </w:rPr>
      </w:pPr>
      <w:r w:rsidRPr="009D7285">
        <w:rPr>
          <w:lang w:val="en-US"/>
        </w:rPr>
        <w:t>Several methodological and structural limitations of this review should be acknowledged.</w:t>
      </w:r>
    </w:p>
    <w:p w14:paraId="1D916A06" w14:textId="77777777" w:rsidR="009D7285" w:rsidRPr="009D7285" w:rsidRDefault="009D7285" w:rsidP="009D7285">
      <w:pPr>
        <w:spacing w:before="240" w:after="160"/>
        <w:jc w:val="both"/>
        <w:rPr>
          <w:lang w:val="en-US"/>
        </w:rPr>
      </w:pPr>
      <w:r w:rsidRPr="009D7285">
        <w:rPr>
          <w:lang w:val="en-US"/>
        </w:rPr>
        <w:t xml:space="preserve">Geographical and language bias in the primary literature: the great majority of rigorous molecular and phytochemical studies on </w:t>
      </w:r>
      <w:r w:rsidRPr="009D7285">
        <w:rPr>
          <w:i/>
          <w:iCs/>
          <w:lang w:val="en-US"/>
        </w:rPr>
        <w:t>C. medica</w:t>
      </w:r>
      <w:r w:rsidRPr="009D7285">
        <w:rPr>
          <w:lang w:val="en-US"/>
        </w:rPr>
        <w:t xml:space="preserve"> var. </w:t>
      </w:r>
      <w:proofErr w:type="spellStart"/>
      <w:r w:rsidRPr="009D7285">
        <w:rPr>
          <w:i/>
          <w:iCs/>
          <w:lang w:val="en-US"/>
        </w:rPr>
        <w:t>sarcodactylis</w:t>
      </w:r>
      <w:proofErr w:type="spellEnd"/>
      <w:r w:rsidRPr="009D7285">
        <w:rPr>
          <w:lang w:val="en-US"/>
        </w:rPr>
        <w:t xml:space="preserve"> originate from Chinese research institutions and regional Asian databases. Although the principal databases were searched comprehensively, relevant studies published in non-indexed Vietnamese or regional Asian journals that lack digital archiving may have been missed.</w:t>
      </w:r>
    </w:p>
    <w:p w14:paraId="6E9D3AD3" w14:textId="77777777" w:rsidR="009D7285" w:rsidRPr="009D7285" w:rsidRDefault="009D7285" w:rsidP="009D7285">
      <w:pPr>
        <w:spacing w:before="240" w:after="160"/>
        <w:jc w:val="both"/>
        <w:rPr>
          <w:lang w:val="en-US"/>
        </w:rPr>
      </w:pPr>
      <w:r w:rsidRPr="009D7285">
        <w:rPr>
          <w:lang w:val="en-US"/>
        </w:rPr>
        <w:t xml:space="preserve">Absence of clinical trials: all of the therapeutic mechanisms </w:t>
      </w:r>
      <w:proofErr w:type="spellStart"/>
      <w:r w:rsidRPr="009D7285">
        <w:rPr>
          <w:lang w:val="en-US"/>
        </w:rPr>
        <w:t>synthesised</w:t>
      </w:r>
      <w:proofErr w:type="spellEnd"/>
      <w:r w:rsidRPr="009D7285">
        <w:rPr>
          <w:lang w:val="en-US"/>
        </w:rPr>
        <w:t xml:space="preserve"> here derive from </w:t>
      </w:r>
      <w:r w:rsidRPr="009D7285">
        <w:rPr>
          <w:i/>
          <w:iCs/>
          <w:lang w:val="en-US"/>
        </w:rPr>
        <w:t>in vitro</w:t>
      </w:r>
      <w:r w:rsidRPr="009D7285">
        <w:rPr>
          <w:lang w:val="en-US"/>
        </w:rPr>
        <w:t xml:space="preserve"> cell models, </w:t>
      </w:r>
      <w:r w:rsidRPr="009D7285">
        <w:rPr>
          <w:i/>
          <w:iCs/>
          <w:lang w:val="en-US"/>
        </w:rPr>
        <w:t>ex vivo</w:t>
      </w:r>
      <w:r w:rsidRPr="009D7285">
        <w:rPr>
          <w:lang w:val="en-US"/>
        </w:rPr>
        <w:t xml:space="preserve"> tissue preparations or preclinical rodent models — mice, rats, Syrian hamsters and </w:t>
      </w:r>
      <w:r w:rsidRPr="009D7285">
        <w:rPr>
          <w:i/>
          <w:iCs/>
          <w:lang w:val="en-US"/>
        </w:rPr>
        <w:t>Caenorhabditis elegans</w:t>
      </w:r>
      <w:r w:rsidRPr="009D7285">
        <w:rPr>
          <w:lang w:val="en-US"/>
        </w:rPr>
        <w:t xml:space="preserve"> (Chen et al., 2020; Luo et al., 2025; Yang et al., 2025). No </w:t>
      </w:r>
      <w:proofErr w:type="spellStart"/>
      <w:r w:rsidRPr="009D7285">
        <w:rPr>
          <w:lang w:val="en-US"/>
        </w:rPr>
        <w:t>randomised</w:t>
      </w:r>
      <w:proofErr w:type="spellEnd"/>
      <w:r w:rsidRPr="009D7285">
        <w:rPr>
          <w:lang w:val="en-US"/>
        </w:rPr>
        <w:t xml:space="preserve"> controlled trial or human pharmacokinetic study has yet been conducted, which limits any direct extrapolation to clinical efficacy or safety in humans.</w:t>
      </w:r>
    </w:p>
    <w:p w14:paraId="20E697E8" w14:textId="77777777" w:rsidR="009D7285" w:rsidRPr="009D7285" w:rsidRDefault="009D7285" w:rsidP="009D7285">
      <w:pPr>
        <w:spacing w:before="240" w:after="160"/>
        <w:jc w:val="both"/>
        <w:rPr>
          <w:lang w:val="en-US"/>
        </w:rPr>
      </w:pPr>
      <w:r w:rsidRPr="009D7285">
        <w:rPr>
          <w:lang w:val="en-US"/>
        </w:rPr>
        <w:t xml:space="preserve">Heterogeneity of experimental methods: the literature shows wide variation in solvent systems (crude aqueous decoction, 70–95 % ethanol, pure methanol, petroleum ether), in the part of the fruit and the stage of ripeness examined, and in the units used to express quantitative results (from mg/g of dry extract to mg/100 g fresh weight, or acarbose equivalents) (Guo et al., 2026; Hu et al., 2026; </w:t>
      </w:r>
      <w:proofErr w:type="spellStart"/>
      <w:r w:rsidRPr="009D7285">
        <w:rPr>
          <w:lang w:val="en-US"/>
        </w:rPr>
        <w:t>Vitalini</w:t>
      </w:r>
      <w:proofErr w:type="spellEnd"/>
      <w:r w:rsidRPr="009D7285">
        <w:rPr>
          <w:lang w:val="en-US"/>
        </w:rPr>
        <w:t xml:space="preserve"> et al., 2022). This heterogeneity precluded a quantitative meta-analysis and required a qualitative, narrative synthesis instead.</w:t>
      </w:r>
    </w:p>
    <w:p w14:paraId="495E5E72" w14:textId="77777777" w:rsidR="009E33F6" w:rsidRDefault="00BE315C">
      <w:pPr>
        <w:spacing w:before="240" w:after="160"/>
      </w:pPr>
      <w:r>
        <w:rPr>
          <w:b/>
          <w:bCs/>
          <w:caps/>
          <w:sz w:val="22"/>
          <w:szCs w:val="22"/>
        </w:rPr>
        <w:t>9. Conclusion</w:t>
      </w:r>
    </w:p>
    <w:p w14:paraId="445A19F9" w14:textId="77777777" w:rsidR="009E33F6" w:rsidRDefault="00000000">
      <w:pPr>
        <w:spacing w:after="160"/>
        <w:jc w:val="both"/>
      </w:pPr>
      <w:r>
        <w:t xml:space="preserve">This review has outlined the taxonomic position and the morphological characteristics of the fingered citron and has set out in detail the contents and the composition of the flavonoids, coumarins and polysaccharides of the several parts of the fruit and of material from different geographical origins, together with its antioxidant, anti-inflammatory, gastroprotective, </w:t>
      </w:r>
      <w:proofErr w:type="spellStart"/>
      <w:r>
        <w:t>hypolipidaemic</w:t>
      </w:r>
      <w:proofErr w:type="spellEnd"/>
      <w:r>
        <w:t xml:space="preserve"> and glucose-regulating activities. By bringing together the work published on </w:t>
      </w:r>
      <w:r>
        <w:rPr>
          <w:i/>
          <w:iCs/>
        </w:rPr>
        <w:t>Citrus medica</w:t>
      </w:r>
      <w:r>
        <w:t xml:space="preserve"> var. </w:t>
      </w:r>
      <w:proofErr w:type="spellStart"/>
      <w:r>
        <w:rPr>
          <w:i/>
          <w:iCs/>
        </w:rPr>
        <w:t>sarcodactylis</w:t>
      </w:r>
      <w:proofErr w:type="spellEnd"/>
      <w:r>
        <w:t xml:space="preserve"> worldwide, and principally in China, it provides the scientific basis for standardising the herbal material, for optimising the extraction process and for </w:t>
      </w:r>
      <w:r>
        <w:lastRenderedPageBreak/>
        <w:t>developing high-quality preparations to support the treatment of digestive, respiratory and metabolic disorders. Given the gaps that remain in Vietnamese research, the fingered citron fruit may become a strategic domestic raw material and contribute substantially to the pharmaceutical industry and to high-technology agriculture in Vietnam.</w:t>
      </w:r>
    </w:p>
    <w:p w14:paraId="4FA34823" w14:textId="77777777" w:rsidR="009E33F6" w:rsidRDefault="00000000">
      <w:pPr>
        <w:spacing w:before="240" w:after="160"/>
      </w:pPr>
      <w:r>
        <w:rPr>
          <w:b/>
          <w:bCs/>
          <w:caps/>
          <w:sz w:val="22"/>
          <w:szCs w:val="22"/>
        </w:rPr>
        <w:t>Competing Interests</w:t>
      </w:r>
    </w:p>
    <w:p w14:paraId="46134905" w14:textId="77777777" w:rsidR="009E33F6" w:rsidRDefault="00000000">
      <w:pPr>
        <w:spacing w:after="160"/>
        <w:jc w:val="both"/>
      </w:pPr>
      <w:r>
        <w:t>Author has declared that no competing interests exist.</w:t>
      </w:r>
    </w:p>
    <w:p w14:paraId="6CE52AA4" w14:textId="77777777" w:rsidR="00722AFD" w:rsidRDefault="00722AFD" w:rsidP="00E10AC9">
      <w:pPr>
        <w:rPr>
          <w:rFonts w:ascii="Times New Roman" w:hAnsi="Times New Roman" w:cs="Times New Roman"/>
          <w:b/>
        </w:rPr>
      </w:pPr>
    </w:p>
    <w:p w14:paraId="2EA1D003" w14:textId="77777777" w:rsidR="00E10AC9" w:rsidRDefault="00E10AC9" w:rsidP="00E10AC9">
      <w:pPr>
        <w:rPr>
          <w:rFonts w:ascii="Times New Roman" w:hAnsi="Times New Roman" w:cs="Times New Roman"/>
          <w:b/>
        </w:rPr>
      </w:pPr>
      <w:r w:rsidRPr="000839CE">
        <w:rPr>
          <w:rFonts w:ascii="Times New Roman" w:hAnsi="Times New Roman" w:cs="Times New Roman"/>
          <w:b/>
        </w:rPr>
        <w:t>Declaration of AI Use</w:t>
      </w:r>
    </w:p>
    <w:p w14:paraId="10B5D570" w14:textId="77777777" w:rsidR="00E10AC9" w:rsidRDefault="00E10AC9" w:rsidP="00E10AC9">
      <w:pPr>
        <w:rPr>
          <w:rFonts w:ascii="Times New Roman" w:hAnsi="Times New Roman" w:cs="Times New Roman"/>
          <w:b/>
        </w:rPr>
      </w:pPr>
    </w:p>
    <w:p w14:paraId="2AC9F511" w14:textId="77777777" w:rsidR="00E10AC9" w:rsidRPr="002D08AC" w:rsidRDefault="00E10AC9" w:rsidP="00E10AC9">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CB5CAD" w14:textId="77777777" w:rsidR="00E10AC9" w:rsidRDefault="00E10AC9" w:rsidP="00E10AC9">
      <w:pPr>
        <w:rPr>
          <w:rFonts w:ascii="Times New Roman" w:hAnsi="Times New Roman" w:cs="Times New Roman"/>
          <w:b/>
        </w:rPr>
      </w:pPr>
    </w:p>
    <w:p w14:paraId="34AF27F9" w14:textId="77777777" w:rsidR="009E33F6" w:rsidRDefault="00000000">
      <w:pPr>
        <w:spacing w:before="240" w:after="160"/>
      </w:pPr>
      <w:r>
        <w:rPr>
          <w:b/>
          <w:bCs/>
          <w:caps/>
          <w:sz w:val="22"/>
          <w:szCs w:val="22"/>
        </w:rPr>
        <w:t>References</w:t>
      </w:r>
    </w:p>
    <w:p w14:paraId="3CCD76DB" w14:textId="7FDDA5D3" w:rsidR="00EF2A6C" w:rsidRPr="00EF2A6C" w:rsidRDefault="00EF2A6C" w:rsidP="00EF2A6C">
      <w:pPr>
        <w:ind w:left="630" w:hanging="630"/>
        <w:jc w:val="both"/>
        <w:rPr>
          <w:rFonts w:ascii="Times New Roman" w:eastAsia="Times New Roman" w:hAnsi="Times New Roman" w:cs="Times New Roman"/>
          <w:sz w:val="24"/>
          <w:szCs w:val="24"/>
          <w:lang w:val="en-US" w:eastAsia="en-US"/>
        </w:rPr>
      </w:pPr>
      <w:proofErr w:type="spellStart"/>
      <w:r w:rsidRPr="00EF2A6C">
        <w:rPr>
          <w:rFonts w:ascii="Times New Roman" w:eastAsia="Times New Roman" w:hAnsi="Times New Roman" w:cs="Times New Roman"/>
          <w:sz w:val="24"/>
          <w:szCs w:val="24"/>
          <w:lang w:val="en-US" w:eastAsia="en-US"/>
        </w:rPr>
        <w:t>Đỗ</w:t>
      </w:r>
      <w:proofErr w:type="spellEnd"/>
      <w:r w:rsidRPr="00EF2A6C">
        <w:rPr>
          <w:rFonts w:ascii="Times New Roman" w:eastAsia="Times New Roman" w:hAnsi="Times New Roman" w:cs="Times New Roman"/>
          <w:sz w:val="24"/>
          <w:szCs w:val="24"/>
          <w:lang w:val="en-US" w:eastAsia="en-US"/>
        </w:rPr>
        <w:t xml:space="preserve">, H. B., Đặng, Q. C., Bùi, X. C., Nguyễn, T. D., </w:t>
      </w:r>
      <w:proofErr w:type="spellStart"/>
      <w:r w:rsidRPr="00EF2A6C">
        <w:rPr>
          <w:rFonts w:ascii="Times New Roman" w:eastAsia="Times New Roman" w:hAnsi="Times New Roman" w:cs="Times New Roman"/>
          <w:sz w:val="24"/>
          <w:szCs w:val="24"/>
          <w:lang w:val="en-US" w:eastAsia="en-US"/>
        </w:rPr>
        <w:t>Đỗ</w:t>
      </w:r>
      <w:proofErr w:type="spellEnd"/>
      <w:r w:rsidRPr="00EF2A6C">
        <w:rPr>
          <w:rFonts w:ascii="Times New Roman" w:eastAsia="Times New Roman" w:hAnsi="Times New Roman" w:cs="Times New Roman"/>
          <w:sz w:val="24"/>
          <w:szCs w:val="24"/>
          <w:lang w:val="en-US" w:eastAsia="en-US"/>
        </w:rPr>
        <w:t xml:space="preserve">, T. Đ., Phạm, V. H., Vũ, N. L., Phạm, D. M., Phạm, K. M., Đoàn, T. N., Nguyễn, T., &amp; Trần, T. (2006). </w:t>
      </w:r>
      <w:proofErr w:type="spellStart"/>
      <w:r w:rsidRPr="00EF2A6C">
        <w:rPr>
          <w:rFonts w:ascii="Times New Roman" w:eastAsia="Times New Roman" w:hAnsi="Times New Roman" w:cs="Times New Roman"/>
          <w:i/>
          <w:iCs/>
          <w:sz w:val="24"/>
          <w:szCs w:val="24"/>
          <w:lang w:val="en-US" w:eastAsia="en-US"/>
        </w:rPr>
        <w:t>Cây</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thuốc</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và</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động</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vật</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làm</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thuốc</w:t>
      </w:r>
      <w:proofErr w:type="spellEnd"/>
      <w:r w:rsidRPr="00EF2A6C">
        <w:rPr>
          <w:rFonts w:ascii="Times New Roman" w:eastAsia="Times New Roman" w:hAnsi="Times New Roman" w:cs="Times New Roman"/>
          <w:i/>
          <w:iCs/>
          <w:sz w:val="24"/>
          <w:szCs w:val="24"/>
          <w:lang w:val="en-US" w:eastAsia="en-US"/>
        </w:rPr>
        <w:t xml:space="preserve"> ở Việt Nam</w:t>
      </w:r>
      <w:r w:rsidRPr="00EF2A6C">
        <w:rPr>
          <w:rFonts w:ascii="Times New Roman" w:eastAsia="Times New Roman" w:hAnsi="Times New Roman" w:cs="Times New Roman"/>
          <w:sz w:val="24"/>
          <w:szCs w:val="24"/>
          <w:lang w:val="en-US" w:eastAsia="en-US"/>
        </w:rPr>
        <w:t xml:space="preserve"> [Medicinal plants and animals in Vietnam] (Vol. 2). </w:t>
      </w:r>
      <w:proofErr w:type="spellStart"/>
      <w:r w:rsidRPr="00EF2A6C">
        <w:rPr>
          <w:rFonts w:ascii="Times New Roman" w:eastAsia="Times New Roman" w:hAnsi="Times New Roman" w:cs="Times New Roman"/>
          <w:sz w:val="24"/>
          <w:szCs w:val="24"/>
          <w:lang w:val="en-US" w:eastAsia="en-US"/>
        </w:rPr>
        <w:t>Nhà</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xuất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bản</w:t>
      </w:r>
      <w:proofErr w:type="spellEnd"/>
      <w:r w:rsidRPr="00EF2A6C">
        <w:rPr>
          <w:rFonts w:ascii="Times New Roman" w:eastAsia="Times New Roman" w:hAnsi="Times New Roman" w:cs="Times New Roman"/>
          <w:sz w:val="24"/>
          <w:szCs w:val="24"/>
          <w:lang w:val="en-US" w:eastAsia="en-US"/>
        </w:rPr>
        <w:t xml:space="preserve"> Khoa </w:t>
      </w:r>
      <w:proofErr w:type="spellStart"/>
      <w:r w:rsidRPr="00EF2A6C">
        <w:rPr>
          <w:rFonts w:ascii="Times New Roman" w:eastAsia="Times New Roman" w:hAnsi="Times New Roman" w:cs="Times New Roman"/>
          <w:sz w:val="24"/>
          <w:szCs w:val="24"/>
          <w:lang w:val="en-US" w:eastAsia="en-US"/>
        </w:rPr>
        <w:t>học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và</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Kỹ</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thuật</w:t>
      </w:r>
      <w:proofErr w:type="spellEnd"/>
      <w:r w:rsidRPr="00EF2A6C">
        <w:rPr>
          <w:rFonts w:ascii="Times New Roman" w:eastAsia="Times New Roman" w:hAnsi="Times New Roman" w:cs="Times New Roman"/>
          <w:sz w:val="24"/>
          <w:szCs w:val="24"/>
          <w:lang w:val="en-US" w:eastAsia="en-US"/>
        </w:rPr>
        <w:t xml:space="preserve">. </w:t>
      </w:r>
    </w:p>
    <w:p w14:paraId="31557159" w14:textId="1899D4D9"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Liu, H., Wu, Y., &amp; Zhou, A. (2025). </w:t>
      </w:r>
      <w:r w:rsidRPr="00EF2A6C">
        <w:rPr>
          <w:rFonts w:ascii="Times New Roman" w:eastAsia="Times New Roman" w:hAnsi="Times New Roman" w:cs="Times New Roman"/>
          <w:sz w:val="24"/>
          <w:szCs w:val="24"/>
          <w:lang w:val="en-US" w:eastAsia="en-US"/>
        </w:rPr>
        <w:t xml:space="preserve">Research progress on bioactive components and health benefits of finger citron and prospects for microbial transformation. </w:t>
      </w:r>
      <w:r w:rsidRPr="00EF2A6C">
        <w:rPr>
          <w:rFonts w:ascii="Times New Roman" w:eastAsia="Times New Roman" w:hAnsi="Times New Roman" w:cs="Times New Roman"/>
          <w:i/>
          <w:iCs/>
          <w:sz w:val="24"/>
          <w:szCs w:val="24"/>
          <w:lang w:val="en-US" w:eastAsia="en-US"/>
        </w:rPr>
        <w:t>Food Science, 46</w:t>
      </w:r>
      <w:r w:rsidRPr="00EF2A6C">
        <w:rPr>
          <w:rFonts w:ascii="Times New Roman" w:eastAsia="Times New Roman" w:hAnsi="Times New Roman" w:cs="Times New Roman"/>
          <w:sz w:val="24"/>
          <w:szCs w:val="24"/>
          <w:lang w:val="en-US" w:eastAsia="en-US"/>
        </w:rPr>
        <w:t xml:space="preserve">(19), 399–413. https://doi.org/10.7506/spkx1002-6630-20250514-081 </w:t>
      </w:r>
    </w:p>
    <w:p w14:paraId="35EA293E" w14:textId="60E33FA9"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Dung, N. X., Pha, N. M., Lo, V. N., Thien, N. H., &amp; Leclercq, P. A. (1996). Chemical investigation of the fruit peel oil of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(Noot.) Swingle from Vietnam. </w:t>
      </w:r>
      <w:r w:rsidRPr="00EF2A6C">
        <w:rPr>
          <w:rFonts w:ascii="Times New Roman" w:eastAsia="Times New Roman" w:hAnsi="Times New Roman" w:cs="Times New Roman"/>
          <w:i/>
          <w:iCs/>
          <w:sz w:val="24"/>
          <w:szCs w:val="24"/>
          <w:lang w:val="en-US" w:eastAsia="en-US"/>
        </w:rPr>
        <w:t>Journal of Essential Oil Research, 8</w:t>
      </w:r>
      <w:r w:rsidRPr="00EF2A6C">
        <w:rPr>
          <w:rFonts w:ascii="Times New Roman" w:eastAsia="Times New Roman" w:hAnsi="Times New Roman" w:cs="Times New Roman"/>
          <w:sz w:val="24"/>
          <w:szCs w:val="24"/>
          <w:lang w:val="en-US" w:eastAsia="en-US"/>
        </w:rPr>
        <w:t xml:space="preserve">(1), 15–18. https://doi.org/10.1080/10412905.1996.9700547 </w:t>
      </w:r>
    </w:p>
    <w:p w14:paraId="733CF50E" w14:textId="752F916D"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Lợi, N. V. (2017). </w:t>
      </w:r>
      <w:proofErr w:type="spellStart"/>
      <w:r w:rsidRPr="00EF2A6C">
        <w:rPr>
          <w:rFonts w:ascii="Times New Roman" w:eastAsia="Times New Roman" w:hAnsi="Times New Roman" w:cs="Times New Roman"/>
          <w:sz w:val="24"/>
          <w:szCs w:val="24"/>
          <w:lang w:val="en-US" w:eastAsia="en-US"/>
        </w:rPr>
        <w:t>Nghiên</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cứu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xác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định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các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cấu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tử</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của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tinh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dầu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vỏ</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quả</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phật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thủ</w:t>
      </w:r>
      <w:proofErr w:type="spellEnd"/>
      <w:r w:rsidRPr="00EF2A6C">
        <w:rPr>
          <w:rFonts w:ascii="Times New Roman" w:eastAsia="Times New Roman" w:hAnsi="Times New Roman" w:cs="Times New Roman"/>
          <w:sz w:val="24"/>
          <w:szCs w:val="24"/>
          <w:lang w:val="en-US" w:eastAsia="en-US"/>
        </w:rPr>
        <w:t xml:space="preserve"> ở </w:t>
      </w:r>
      <w:proofErr w:type="spellStart"/>
      <w:r w:rsidRPr="00EF2A6C">
        <w:rPr>
          <w:rFonts w:ascii="Times New Roman" w:eastAsia="Times New Roman" w:hAnsi="Times New Roman" w:cs="Times New Roman"/>
          <w:sz w:val="24"/>
          <w:szCs w:val="24"/>
          <w:lang w:val="en-US" w:eastAsia="en-US"/>
        </w:rPr>
        <w:t>các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thời</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điểm</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hoạch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khác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nhau</w:t>
      </w:r>
      <w:proofErr w:type="spellEnd"/>
      <w:r w:rsidRPr="00EF2A6C">
        <w:rPr>
          <w:rFonts w:ascii="Times New Roman" w:eastAsia="Times New Roman" w:hAnsi="Times New Roman" w:cs="Times New Roman"/>
          <w:sz w:val="24"/>
          <w:szCs w:val="24"/>
          <w:lang w:val="en-US" w:eastAsia="en-US"/>
        </w:rPr>
        <w:t xml:space="preserve"> [Determination of the constituents of fingered citron peel essential oil at different harvesting times]. </w:t>
      </w:r>
      <w:proofErr w:type="spellStart"/>
      <w:r w:rsidRPr="00EF2A6C">
        <w:rPr>
          <w:rFonts w:ascii="Times New Roman" w:eastAsia="Times New Roman" w:hAnsi="Times New Roman" w:cs="Times New Roman"/>
          <w:i/>
          <w:iCs/>
          <w:sz w:val="24"/>
          <w:szCs w:val="24"/>
          <w:lang w:val="en-US" w:eastAsia="en-US"/>
        </w:rPr>
        <w:t>Bản</w:t>
      </w:r>
      <w:proofErr w:type="spellEnd"/>
      <w:r w:rsidRPr="00EF2A6C">
        <w:rPr>
          <w:rFonts w:ascii="Times New Roman" w:eastAsia="Times New Roman" w:hAnsi="Times New Roman" w:cs="Times New Roman"/>
          <w:i/>
          <w:iCs/>
          <w:sz w:val="24"/>
          <w:szCs w:val="24"/>
          <w:lang w:val="en-US" w:eastAsia="en-US"/>
        </w:rPr>
        <w:t xml:space="preserve"> B </w:t>
      </w:r>
      <w:proofErr w:type="spellStart"/>
      <w:r w:rsidRPr="00EF2A6C">
        <w:rPr>
          <w:rFonts w:ascii="Times New Roman" w:eastAsia="Times New Roman" w:hAnsi="Times New Roman" w:cs="Times New Roman"/>
          <w:i/>
          <w:iCs/>
          <w:sz w:val="24"/>
          <w:szCs w:val="24"/>
          <w:lang w:val="en-US" w:eastAsia="en-US"/>
        </w:rPr>
        <w:t>của</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Tạp</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chí</w:t>
      </w:r>
      <w:proofErr w:type="spellEnd"/>
      <w:r w:rsidRPr="00EF2A6C">
        <w:rPr>
          <w:rFonts w:ascii="Times New Roman" w:eastAsia="Times New Roman" w:hAnsi="Times New Roman" w:cs="Times New Roman"/>
          <w:i/>
          <w:iCs/>
          <w:sz w:val="24"/>
          <w:szCs w:val="24"/>
          <w:lang w:val="en-US" w:eastAsia="en-US"/>
        </w:rPr>
        <w:t xml:space="preserve"> Khoa </w:t>
      </w:r>
      <w:proofErr w:type="spellStart"/>
      <w:r w:rsidRPr="00EF2A6C">
        <w:rPr>
          <w:rFonts w:ascii="Times New Roman" w:eastAsia="Times New Roman" w:hAnsi="Times New Roman" w:cs="Times New Roman"/>
          <w:i/>
          <w:iCs/>
          <w:sz w:val="24"/>
          <w:szCs w:val="24"/>
          <w:lang w:val="en-US" w:eastAsia="en-US"/>
        </w:rPr>
        <w:t>học</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và</w:t>
      </w:r>
      <w:proofErr w:type="spellEnd"/>
      <w:r w:rsidRPr="00EF2A6C">
        <w:rPr>
          <w:rFonts w:ascii="Times New Roman" w:eastAsia="Times New Roman" w:hAnsi="Times New Roman" w:cs="Times New Roman"/>
          <w:i/>
          <w:iCs/>
          <w:sz w:val="24"/>
          <w:szCs w:val="24"/>
          <w:lang w:val="en-US" w:eastAsia="en-US"/>
        </w:rPr>
        <w:t xml:space="preserve"> Công </w:t>
      </w:r>
      <w:proofErr w:type="spellStart"/>
      <w:r w:rsidRPr="00EF2A6C">
        <w:rPr>
          <w:rFonts w:ascii="Times New Roman" w:eastAsia="Times New Roman" w:hAnsi="Times New Roman" w:cs="Times New Roman"/>
          <w:i/>
          <w:iCs/>
          <w:sz w:val="24"/>
          <w:szCs w:val="24"/>
          <w:lang w:val="en-US" w:eastAsia="en-US"/>
        </w:rPr>
        <w:t>nghệ</w:t>
      </w:r>
      <w:proofErr w:type="spellEnd"/>
      <w:r w:rsidRPr="00EF2A6C">
        <w:rPr>
          <w:rFonts w:ascii="Times New Roman" w:eastAsia="Times New Roman" w:hAnsi="Times New Roman" w:cs="Times New Roman"/>
          <w:i/>
          <w:iCs/>
          <w:sz w:val="24"/>
          <w:szCs w:val="24"/>
          <w:lang w:val="en-US" w:eastAsia="en-US"/>
        </w:rPr>
        <w:t xml:space="preserve"> Việt Nam, 59</w:t>
      </w:r>
      <w:r w:rsidRPr="00EF2A6C">
        <w:rPr>
          <w:rFonts w:ascii="Times New Roman" w:eastAsia="Times New Roman" w:hAnsi="Times New Roman" w:cs="Times New Roman"/>
          <w:sz w:val="24"/>
          <w:szCs w:val="24"/>
          <w:lang w:val="en-US" w:eastAsia="en-US"/>
        </w:rPr>
        <w:t xml:space="preserve">(5), 46–49. </w:t>
      </w:r>
    </w:p>
    <w:p w14:paraId="04920982" w14:textId="3D4A8D5E"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Lợi, N. V., Tú, N. T. M., &amp; </w:t>
      </w:r>
      <w:proofErr w:type="spellStart"/>
      <w:r w:rsidRPr="00EF2A6C">
        <w:rPr>
          <w:rFonts w:ascii="Times New Roman" w:eastAsia="Times New Roman" w:hAnsi="Times New Roman" w:cs="Times New Roman"/>
          <w:sz w:val="24"/>
          <w:szCs w:val="24"/>
          <w:lang w:val="en-US" w:eastAsia="en-US"/>
        </w:rPr>
        <w:t>Hòa</w:t>
      </w:r>
      <w:proofErr w:type="spellEnd"/>
      <w:r w:rsidRPr="00EF2A6C">
        <w:rPr>
          <w:rFonts w:ascii="Times New Roman" w:eastAsia="Times New Roman" w:hAnsi="Times New Roman" w:cs="Times New Roman"/>
          <w:sz w:val="24"/>
          <w:szCs w:val="24"/>
          <w:lang w:val="en-US" w:eastAsia="en-US"/>
        </w:rPr>
        <w:t xml:space="preserve">, H. Đ. (2015). </w:t>
      </w:r>
      <w:proofErr w:type="spellStart"/>
      <w:r w:rsidRPr="00EF2A6C">
        <w:rPr>
          <w:rFonts w:ascii="Times New Roman" w:eastAsia="Times New Roman" w:hAnsi="Times New Roman" w:cs="Times New Roman"/>
          <w:sz w:val="24"/>
          <w:szCs w:val="24"/>
          <w:lang w:val="en-US" w:eastAsia="en-US"/>
        </w:rPr>
        <w:t>Nghiên</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cứu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thành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phần</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hóa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học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chỉ</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số</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hóa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lý</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và</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hoạt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tính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sinh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học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của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tinh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dầu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quả</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phật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thủ</w:t>
      </w:r>
      <w:proofErr w:type="spellEnd"/>
      <w:r w:rsidRPr="00EF2A6C">
        <w:rPr>
          <w:rFonts w:ascii="Times New Roman" w:eastAsia="Times New Roman" w:hAnsi="Times New Roman" w:cs="Times New Roman"/>
          <w:sz w:val="24"/>
          <w:szCs w:val="24"/>
          <w:lang w:val="en-US" w:eastAsia="en-US"/>
        </w:rPr>
        <w:t xml:space="preserve"> Việt Nam [Study of the chemical composition, physicochemical indices, and biological activity of Vietnamese fingered citron fruit essential oil]. </w:t>
      </w:r>
      <w:r w:rsidRPr="00EF2A6C">
        <w:rPr>
          <w:rFonts w:ascii="Times New Roman" w:eastAsia="Times New Roman" w:hAnsi="Times New Roman" w:cs="Times New Roman"/>
          <w:i/>
          <w:iCs/>
          <w:sz w:val="24"/>
          <w:szCs w:val="24"/>
          <w:lang w:val="en-US" w:eastAsia="en-US"/>
        </w:rPr>
        <w:t>Vietnam Journal of Chemistry, 53</w:t>
      </w:r>
      <w:r w:rsidRPr="00EF2A6C">
        <w:rPr>
          <w:rFonts w:ascii="Times New Roman" w:eastAsia="Times New Roman" w:hAnsi="Times New Roman" w:cs="Times New Roman"/>
          <w:sz w:val="24"/>
          <w:szCs w:val="24"/>
          <w:lang w:val="en-US" w:eastAsia="en-US"/>
        </w:rPr>
        <w:t xml:space="preserve">(1), 107–111. https://doi.org/10.15625/0866-7144.2015-0097 </w:t>
      </w:r>
    </w:p>
    <w:p w14:paraId="71837799" w14:textId="3CEAF384"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Phạm, T. T., Trần, H. T., Nguyễn, L. H. A. D., Nguyễn, H. N., Lê, T. N. M., Cao, H. P. A., Nguyễn, H. P., &amp; </w:t>
      </w:r>
      <w:proofErr w:type="spellStart"/>
      <w:r w:rsidRPr="00EF2A6C">
        <w:rPr>
          <w:rFonts w:ascii="Times New Roman" w:eastAsia="Times New Roman" w:hAnsi="Times New Roman" w:cs="Times New Roman"/>
          <w:sz w:val="24"/>
          <w:szCs w:val="24"/>
          <w:lang w:val="en-US" w:eastAsia="en-US"/>
        </w:rPr>
        <w:t>Trì</w:t>
      </w:r>
      <w:proofErr w:type="spellEnd"/>
      <w:r w:rsidRPr="00EF2A6C">
        <w:rPr>
          <w:rFonts w:ascii="Times New Roman" w:eastAsia="Times New Roman" w:hAnsi="Times New Roman" w:cs="Times New Roman"/>
          <w:sz w:val="24"/>
          <w:szCs w:val="24"/>
          <w:lang w:val="en-US" w:eastAsia="en-US"/>
        </w:rPr>
        <w:t xml:space="preserve">, K. N. (2021). Thành </w:t>
      </w:r>
      <w:proofErr w:type="spellStart"/>
      <w:r w:rsidRPr="00EF2A6C">
        <w:rPr>
          <w:rFonts w:ascii="Times New Roman" w:eastAsia="Times New Roman" w:hAnsi="Times New Roman" w:cs="Times New Roman"/>
          <w:sz w:val="24"/>
          <w:szCs w:val="24"/>
          <w:lang w:val="en-US" w:eastAsia="en-US"/>
        </w:rPr>
        <w:t>phần</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hóa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học</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và</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hoạt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tính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kháng</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khuẩn</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của</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tinh</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dầu</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vỏ</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quả</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bưởi</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Citrus grandis</w:t>
      </w:r>
      <w:r w:rsidRPr="00EF2A6C">
        <w:rPr>
          <w:rFonts w:ascii="Times New Roman" w:eastAsia="Times New Roman" w:hAnsi="Times New Roman" w:cs="Times New Roman"/>
          <w:sz w:val="24"/>
          <w:szCs w:val="24"/>
          <w:lang w:val="en-US" w:eastAsia="en-US"/>
        </w:rPr>
        <w:t xml:space="preserve"> (L.) Osbeck] </w:t>
      </w:r>
      <w:proofErr w:type="spellStart"/>
      <w:r w:rsidRPr="00EF2A6C">
        <w:rPr>
          <w:rFonts w:ascii="Times New Roman" w:eastAsia="Times New Roman" w:hAnsi="Times New Roman" w:cs="Times New Roman"/>
          <w:sz w:val="24"/>
          <w:szCs w:val="24"/>
          <w:lang w:val="en-US" w:eastAsia="en-US"/>
        </w:rPr>
        <w:t>và</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phật</w:t>
      </w:r>
      <w:proofErr w:type="spellEnd"/>
      <w:r w:rsidRPr="00EF2A6C">
        <w:rPr>
          <w:rFonts w:ascii="Times New Roman" w:eastAsia="Times New Roman" w:hAnsi="Times New Roman" w:cs="Times New Roman"/>
          <w:sz w:val="24"/>
          <w:szCs w:val="24"/>
          <w:lang w:val="en-US" w:eastAsia="en-US"/>
        </w:rPr>
        <w:t xml:space="preserve"> </w:t>
      </w:r>
      <w:proofErr w:type="spellStart"/>
      <w:r w:rsidRPr="00EF2A6C">
        <w:rPr>
          <w:rFonts w:ascii="Times New Roman" w:eastAsia="Times New Roman" w:hAnsi="Times New Roman" w:cs="Times New Roman"/>
          <w:sz w:val="24"/>
          <w:szCs w:val="24"/>
          <w:lang w:val="en-US" w:eastAsia="en-US"/>
        </w:rPr>
        <w:t>thủ</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(Noot.) Swingle] [Chemical composition and antibacterial activity of the peel essential oils of pomelo and fingered </w:t>
      </w:r>
      <w:r w:rsidRPr="00EF2A6C">
        <w:rPr>
          <w:rFonts w:ascii="Times New Roman" w:eastAsia="Times New Roman" w:hAnsi="Times New Roman" w:cs="Times New Roman"/>
          <w:sz w:val="24"/>
          <w:szCs w:val="24"/>
          <w:lang w:val="en-US" w:eastAsia="en-US"/>
        </w:rPr>
        <w:lastRenderedPageBreak/>
        <w:t xml:space="preserve">citron]. </w:t>
      </w:r>
      <w:proofErr w:type="spellStart"/>
      <w:r w:rsidRPr="00EF2A6C">
        <w:rPr>
          <w:rFonts w:ascii="Times New Roman" w:eastAsia="Times New Roman" w:hAnsi="Times New Roman" w:cs="Times New Roman"/>
          <w:i/>
          <w:iCs/>
          <w:sz w:val="24"/>
          <w:szCs w:val="24"/>
          <w:lang w:val="en-US" w:eastAsia="en-US"/>
        </w:rPr>
        <w:t>Tạp</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chí</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Nghiên</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cứu</w:t>
      </w:r>
      <w:proofErr w:type="spellEnd"/>
      <w:r w:rsidRPr="00EF2A6C">
        <w:rPr>
          <w:rFonts w:ascii="Times New Roman" w:eastAsia="Times New Roman" w:hAnsi="Times New Roman" w:cs="Times New Roman"/>
          <w:i/>
          <w:iCs/>
          <w:sz w:val="24"/>
          <w:szCs w:val="24"/>
          <w:lang w:val="en-US" w:eastAsia="en-US"/>
        </w:rPr>
        <w:t xml:space="preserve"> Khoa </w:t>
      </w:r>
      <w:proofErr w:type="spellStart"/>
      <w:r w:rsidRPr="00EF2A6C">
        <w:rPr>
          <w:rFonts w:ascii="Times New Roman" w:eastAsia="Times New Roman" w:hAnsi="Times New Roman" w:cs="Times New Roman"/>
          <w:i/>
          <w:iCs/>
          <w:sz w:val="24"/>
          <w:szCs w:val="24"/>
          <w:lang w:val="en-US" w:eastAsia="en-US"/>
        </w:rPr>
        <w:t>học</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và</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Phát</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triển</w:t>
      </w:r>
      <w:proofErr w:type="spellEnd"/>
      <w:r w:rsidRPr="00EF2A6C">
        <w:rPr>
          <w:rFonts w:ascii="Times New Roman" w:eastAsia="Times New Roman" w:hAnsi="Times New Roman" w:cs="Times New Roman"/>
          <w:i/>
          <w:iCs/>
          <w:sz w:val="24"/>
          <w:szCs w:val="24"/>
          <w:lang w:val="en-US" w:eastAsia="en-US"/>
        </w:rPr>
        <w:t xml:space="preserve"> Kinh </w:t>
      </w:r>
      <w:proofErr w:type="spellStart"/>
      <w:r w:rsidRPr="00EF2A6C">
        <w:rPr>
          <w:rFonts w:ascii="Times New Roman" w:eastAsia="Times New Roman" w:hAnsi="Times New Roman" w:cs="Times New Roman"/>
          <w:i/>
          <w:iCs/>
          <w:sz w:val="24"/>
          <w:szCs w:val="24"/>
          <w:lang w:val="en-US" w:eastAsia="en-US"/>
        </w:rPr>
        <w:t>tế</w:t>
      </w:r>
      <w:proofErr w:type="spellEnd"/>
      <w:r w:rsidRPr="00EF2A6C">
        <w:rPr>
          <w:rFonts w:ascii="Times New Roman" w:eastAsia="Times New Roman" w:hAnsi="Times New Roman" w:cs="Times New Roman"/>
          <w:i/>
          <w:iCs/>
          <w:sz w:val="24"/>
          <w:szCs w:val="24"/>
          <w:lang w:val="en-US" w:eastAsia="en-US"/>
        </w:rPr>
        <w:t xml:space="preserve"> Trường </w:t>
      </w:r>
      <w:proofErr w:type="spellStart"/>
      <w:r w:rsidRPr="00EF2A6C">
        <w:rPr>
          <w:rFonts w:ascii="Times New Roman" w:eastAsia="Times New Roman" w:hAnsi="Times New Roman" w:cs="Times New Roman"/>
          <w:i/>
          <w:iCs/>
          <w:sz w:val="24"/>
          <w:szCs w:val="24"/>
          <w:lang w:val="en-US" w:eastAsia="en-US"/>
        </w:rPr>
        <w:t>Đại</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học</w:t>
      </w:r>
      <w:proofErr w:type="spellEnd"/>
      <w:r w:rsidRPr="00EF2A6C">
        <w:rPr>
          <w:rFonts w:ascii="Times New Roman" w:eastAsia="Times New Roman" w:hAnsi="Times New Roman" w:cs="Times New Roman"/>
          <w:i/>
          <w:iCs/>
          <w:sz w:val="24"/>
          <w:szCs w:val="24"/>
          <w:lang w:val="en-US" w:eastAsia="en-US"/>
        </w:rPr>
        <w:t xml:space="preserve"> Tây </w:t>
      </w:r>
      <w:proofErr w:type="spellStart"/>
      <w:r w:rsidRPr="00EF2A6C">
        <w:rPr>
          <w:rFonts w:ascii="Times New Roman" w:eastAsia="Times New Roman" w:hAnsi="Times New Roman" w:cs="Times New Roman"/>
          <w:i/>
          <w:iCs/>
          <w:sz w:val="24"/>
          <w:szCs w:val="24"/>
          <w:lang w:val="en-US" w:eastAsia="en-US"/>
        </w:rPr>
        <w:t>Đô</w:t>
      </w:r>
      <w:proofErr w:type="spellEnd"/>
      <w:r w:rsidRPr="00EF2A6C">
        <w:rPr>
          <w:rFonts w:ascii="Times New Roman" w:eastAsia="Times New Roman" w:hAnsi="Times New Roman" w:cs="Times New Roman"/>
          <w:i/>
          <w:iCs/>
          <w:sz w:val="24"/>
          <w:szCs w:val="24"/>
          <w:lang w:val="en-US" w:eastAsia="en-US"/>
        </w:rPr>
        <w:t>, 12</w:t>
      </w:r>
      <w:r w:rsidRPr="00EF2A6C">
        <w:rPr>
          <w:rFonts w:ascii="Times New Roman" w:eastAsia="Times New Roman" w:hAnsi="Times New Roman" w:cs="Times New Roman"/>
          <w:sz w:val="24"/>
          <w:szCs w:val="24"/>
          <w:lang w:val="en-US" w:eastAsia="en-US"/>
        </w:rPr>
        <w:t xml:space="preserve">, 227–237. </w:t>
      </w:r>
    </w:p>
    <w:p w14:paraId="5B900B56" w14:textId="1B0759DB"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Zhang, Q.-W. (2015).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Swingle (</w:t>
      </w:r>
      <w:proofErr w:type="spellStart"/>
      <w:r w:rsidRPr="00EF2A6C">
        <w:rPr>
          <w:rFonts w:ascii="Times New Roman" w:eastAsia="Times New Roman" w:hAnsi="Times New Roman" w:cs="Times New Roman"/>
          <w:sz w:val="24"/>
          <w:szCs w:val="24"/>
          <w:lang w:val="en-US" w:eastAsia="en-US"/>
        </w:rPr>
        <w:t>Foshou</w:t>
      </w:r>
      <w:proofErr w:type="spellEnd"/>
      <w:r w:rsidRPr="00EF2A6C">
        <w:rPr>
          <w:rFonts w:ascii="Times New Roman" w:eastAsia="Times New Roman" w:hAnsi="Times New Roman" w:cs="Times New Roman"/>
          <w:sz w:val="24"/>
          <w:szCs w:val="24"/>
          <w:lang w:val="en-US" w:eastAsia="en-US"/>
        </w:rPr>
        <w:t xml:space="preserve">, finger citron). In Y. Liu, Z. M. Wang, &amp; J. Z. Zhang (Eds.), </w:t>
      </w:r>
      <w:r w:rsidRPr="00EF2A6C">
        <w:rPr>
          <w:rFonts w:ascii="Times New Roman" w:eastAsia="Times New Roman" w:hAnsi="Times New Roman" w:cs="Times New Roman"/>
          <w:i/>
          <w:iCs/>
          <w:sz w:val="24"/>
          <w:szCs w:val="24"/>
          <w:lang w:val="en-US" w:eastAsia="en-US"/>
        </w:rPr>
        <w:t>Dietary Chinese herbs: Chemistry, pharmacology and clinical evidence</w:t>
      </w:r>
      <w:r w:rsidRPr="00EF2A6C">
        <w:rPr>
          <w:rFonts w:ascii="Times New Roman" w:eastAsia="Times New Roman" w:hAnsi="Times New Roman" w:cs="Times New Roman"/>
          <w:sz w:val="24"/>
          <w:szCs w:val="24"/>
          <w:lang w:val="en-US" w:eastAsia="en-US"/>
        </w:rPr>
        <w:t xml:space="preserve"> (pp. 327–331). Springer. https://doi.org/10.1007/978-3-211-99448-1_37 </w:t>
      </w:r>
    </w:p>
    <w:p w14:paraId="400FCBAB" w14:textId="4ADDE55A" w:rsidR="00EF2A6C" w:rsidRPr="00EF2A6C" w:rsidRDefault="00EF2A6C" w:rsidP="00EF2A6C">
      <w:pPr>
        <w:ind w:left="630" w:hanging="630"/>
        <w:jc w:val="both"/>
        <w:rPr>
          <w:rFonts w:ascii="Times New Roman" w:eastAsia="Times New Roman" w:hAnsi="Times New Roman" w:cs="Times New Roman"/>
          <w:sz w:val="24"/>
          <w:szCs w:val="24"/>
          <w:lang w:val="en-US" w:eastAsia="en-US"/>
        </w:rPr>
      </w:pPr>
      <w:proofErr w:type="spellStart"/>
      <w:r w:rsidRPr="00EF2A6C">
        <w:rPr>
          <w:rFonts w:ascii="Times New Roman" w:eastAsia="Times New Roman" w:hAnsi="Times New Roman" w:cs="Times New Roman"/>
          <w:sz w:val="24"/>
          <w:szCs w:val="24"/>
          <w:lang w:val="en-US" w:eastAsia="en-US"/>
        </w:rPr>
        <w:t>Sofiyanti</w:t>
      </w:r>
      <w:proofErr w:type="spellEnd"/>
      <w:r w:rsidRPr="00EF2A6C">
        <w:rPr>
          <w:rFonts w:ascii="Times New Roman" w:eastAsia="Times New Roman" w:hAnsi="Times New Roman" w:cs="Times New Roman"/>
          <w:sz w:val="24"/>
          <w:szCs w:val="24"/>
          <w:lang w:val="en-US" w:eastAsia="en-US"/>
        </w:rPr>
        <w:t xml:space="preserve">, N., </w:t>
      </w:r>
      <w:proofErr w:type="spellStart"/>
      <w:r w:rsidRPr="00EF2A6C">
        <w:rPr>
          <w:rFonts w:ascii="Times New Roman" w:eastAsia="Times New Roman" w:hAnsi="Times New Roman" w:cs="Times New Roman"/>
          <w:sz w:val="24"/>
          <w:szCs w:val="24"/>
          <w:lang w:val="en-US" w:eastAsia="en-US"/>
        </w:rPr>
        <w:t>Iriani</w:t>
      </w:r>
      <w:proofErr w:type="spellEnd"/>
      <w:r w:rsidRPr="00EF2A6C">
        <w:rPr>
          <w:rFonts w:ascii="Times New Roman" w:eastAsia="Times New Roman" w:hAnsi="Times New Roman" w:cs="Times New Roman"/>
          <w:sz w:val="24"/>
          <w:szCs w:val="24"/>
          <w:lang w:val="en-US" w:eastAsia="en-US"/>
        </w:rPr>
        <w:t xml:space="preserve">, D., Wahyuni, P. I., Idani, N., &amp; Lestari, P. (2022). Identification, morphology of </w:t>
      </w:r>
      <w:r w:rsidRPr="00EF2A6C">
        <w:rPr>
          <w:rFonts w:ascii="Times New Roman" w:eastAsia="Times New Roman" w:hAnsi="Times New Roman" w:cs="Times New Roman"/>
          <w:i/>
          <w:iCs/>
          <w:sz w:val="24"/>
          <w:szCs w:val="24"/>
          <w:lang w:val="en-US" w:eastAsia="en-US"/>
        </w:rPr>
        <w:t>Citrus</w:t>
      </w:r>
      <w:r w:rsidRPr="00EF2A6C">
        <w:rPr>
          <w:rFonts w:ascii="Times New Roman" w:eastAsia="Times New Roman" w:hAnsi="Times New Roman" w:cs="Times New Roman"/>
          <w:sz w:val="24"/>
          <w:szCs w:val="24"/>
          <w:lang w:val="en-US" w:eastAsia="en-US"/>
        </w:rPr>
        <w:t xml:space="preserve"> L. (</w:t>
      </w:r>
      <w:proofErr w:type="spellStart"/>
      <w:r w:rsidRPr="00EF2A6C">
        <w:rPr>
          <w:rFonts w:ascii="Times New Roman" w:eastAsia="Times New Roman" w:hAnsi="Times New Roman" w:cs="Times New Roman"/>
          <w:sz w:val="24"/>
          <w:szCs w:val="24"/>
          <w:lang w:val="en-US" w:eastAsia="en-US"/>
        </w:rPr>
        <w:t>Aurantioideae-Rutaceae</w:t>
      </w:r>
      <w:proofErr w:type="spellEnd"/>
      <w:r w:rsidRPr="00EF2A6C">
        <w:rPr>
          <w:rFonts w:ascii="Times New Roman" w:eastAsia="Times New Roman" w:hAnsi="Times New Roman" w:cs="Times New Roman"/>
          <w:sz w:val="24"/>
          <w:szCs w:val="24"/>
          <w:lang w:val="en-US" w:eastAsia="en-US"/>
        </w:rPr>
        <w:t xml:space="preserve"> Juss.) and its traditional uses in Riau Province, Indonesia. </w:t>
      </w:r>
      <w:proofErr w:type="spellStart"/>
      <w:r w:rsidRPr="00EF2A6C">
        <w:rPr>
          <w:rFonts w:ascii="Times New Roman" w:eastAsia="Times New Roman" w:hAnsi="Times New Roman" w:cs="Times New Roman"/>
          <w:i/>
          <w:iCs/>
          <w:sz w:val="24"/>
          <w:szCs w:val="24"/>
          <w:lang w:val="en-US" w:eastAsia="en-US"/>
        </w:rPr>
        <w:t>Biodiversitas</w:t>
      </w:r>
      <w:proofErr w:type="spellEnd"/>
      <w:r w:rsidRPr="00EF2A6C">
        <w:rPr>
          <w:rFonts w:ascii="Times New Roman" w:eastAsia="Times New Roman" w:hAnsi="Times New Roman" w:cs="Times New Roman"/>
          <w:i/>
          <w:iCs/>
          <w:sz w:val="24"/>
          <w:szCs w:val="24"/>
          <w:lang w:val="en-US" w:eastAsia="en-US"/>
        </w:rPr>
        <w:t xml:space="preserve"> Journal of Biological Diversity, 23</w:t>
      </w:r>
      <w:r w:rsidRPr="00EF2A6C">
        <w:rPr>
          <w:rFonts w:ascii="Times New Roman" w:eastAsia="Times New Roman" w:hAnsi="Times New Roman" w:cs="Times New Roman"/>
          <w:sz w:val="24"/>
          <w:szCs w:val="24"/>
          <w:lang w:val="en-US" w:eastAsia="en-US"/>
        </w:rPr>
        <w:t xml:space="preserve">(2), 1038–1047. https://doi.org/10.13057/biodiv/d230247 </w:t>
      </w:r>
    </w:p>
    <w:p w14:paraId="39052867" w14:textId="7027CFF1"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Yang, J., Gao, H., Chu, G., Li, Z., Niu, Y., Cai, M., Hu, A., &amp; Jiang, J. (2015). Characterization of volatile constituents and odorous compounds in essential oil of finger citron. </w:t>
      </w:r>
      <w:r w:rsidRPr="00EF2A6C">
        <w:rPr>
          <w:rFonts w:ascii="Times New Roman" w:eastAsia="Times New Roman" w:hAnsi="Times New Roman" w:cs="Times New Roman"/>
          <w:i/>
          <w:iCs/>
          <w:sz w:val="24"/>
          <w:szCs w:val="24"/>
          <w:lang w:val="en-US" w:eastAsia="en-US"/>
        </w:rPr>
        <w:t>Food Science, 36</w:t>
      </w:r>
      <w:r w:rsidRPr="00EF2A6C">
        <w:rPr>
          <w:rFonts w:ascii="Times New Roman" w:eastAsia="Times New Roman" w:hAnsi="Times New Roman" w:cs="Times New Roman"/>
          <w:sz w:val="24"/>
          <w:szCs w:val="24"/>
          <w:lang w:val="en-US" w:eastAsia="en-US"/>
        </w:rPr>
        <w:t xml:space="preserve">(20), 194–197. https://doi.org/10.7506/spkx1002-6630-201520037 </w:t>
      </w:r>
    </w:p>
    <w:p w14:paraId="15EBC39F" w14:textId="76DF9075" w:rsidR="00EF2A6C" w:rsidRPr="00EF2A6C" w:rsidRDefault="00EF2A6C" w:rsidP="00EF2A6C">
      <w:pPr>
        <w:ind w:left="630" w:hanging="630"/>
        <w:jc w:val="both"/>
        <w:rPr>
          <w:rFonts w:ascii="Times New Roman" w:eastAsia="Times New Roman" w:hAnsi="Times New Roman" w:cs="Times New Roman"/>
          <w:sz w:val="24"/>
          <w:szCs w:val="24"/>
          <w:lang w:val="en-US" w:eastAsia="en-US"/>
        </w:rPr>
      </w:pPr>
      <w:proofErr w:type="spellStart"/>
      <w:r w:rsidRPr="00EF2A6C">
        <w:rPr>
          <w:rFonts w:ascii="Times New Roman" w:eastAsia="Times New Roman" w:hAnsi="Times New Roman" w:cs="Times New Roman"/>
          <w:sz w:val="24"/>
          <w:szCs w:val="24"/>
          <w:lang w:val="en-US" w:eastAsia="en-US"/>
        </w:rPr>
        <w:t>Vitalini</w:t>
      </w:r>
      <w:proofErr w:type="spellEnd"/>
      <w:r w:rsidRPr="00EF2A6C">
        <w:rPr>
          <w:rFonts w:ascii="Times New Roman" w:eastAsia="Times New Roman" w:hAnsi="Times New Roman" w:cs="Times New Roman"/>
          <w:sz w:val="24"/>
          <w:szCs w:val="24"/>
          <w:lang w:val="en-US" w:eastAsia="en-US"/>
        </w:rPr>
        <w:t xml:space="preserve">, S., </w:t>
      </w:r>
      <w:proofErr w:type="spellStart"/>
      <w:r w:rsidRPr="00EF2A6C">
        <w:rPr>
          <w:rFonts w:ascii="Times New Roman" w:eastAsia="Times New Roman" w:hAnsi="Times New Roman" w:cs="Times New Roman"/>
          <w:sz w:val="24"/>
          <w:szCs w:val="24"/>
          <w:lang w:val="en-US" w:eastAsia="en-US"/>
        </w:rPr>
        <w:t>Iriti</w:t>
      </w:r>
      <w:proofErr w:type="spellEnd"/>
      <w:r w:rsidRPr="00EF2A6C">
        <w:rPr>
          <w:rFonts w:ascii="Times New Roman" w:eastAsia="Times New Roman" w:hAnsi="Times New Roman" w:cs="Times New Roman"/>
          <w:sz w:val="24"/>
          <w:szCs w:val="24"/>
          <w:lang w:val="en-US" w:eastAsia="en-US"/>
        </w:rPr>
        <w:t xml:space="preserve">, M., </w:t>
      </w:r>
      <w:proofErr w:type="spellStart"/>
      <w:r w:rsidRPr="00EF2A6C">
        <w:rPr>
          <w:rFonts w:ascii="Times New Roman" w:eastAsia="Times New Roman" w:hAnsi="Times New Roman" w:cs="Times New Roman"/>
          <w:sz w:val="24"/>
          <w:szCs w:val="24"/>
          <w:lang w:val="en-US" w:eastAsia="en-US"/>
        </w:rPr>
        <w:t>Ovidi</w:t>
      </w:r>
      <w:proofErr w:type="spellEnd"/>
      <w:r w:rsidRPr="00EF2A6C">
        <w:rPr>
          <w:rFonts w:ascii="Times New Roman" w:eastAsia="Times New Roman" w:hAnsi="Times New Roman" w:cs="Times New Roman"/>
          <w:sz w:val="24"/>
          <w:szCs w:val="24"/>
          <w:lang w:val="en-US" w:eastAsia="en-US"/>
        </w:rPr>
        <w:t xml:space="preserve">, E., </w:t>
      </w:r>
      <w:proofErr w:type="spellStart"/>
      <w:r w:rsidRPr="00EF2A6C">
        <w:rPr>
          <w:rFonts w:ascii="Times New Roman" w:eastAsia="Times New Roman" w:hAnsi="Times New Roman" w:cs="Times New Roman"/>
          <w:sz w:val="24"/>
          <w:szCs w:val="24"/>
          <w:lang w:val="en-US" w:eastAsia="en-US"/>
        </w:rPr>
        <w:t>Laghezza</w:t>
      </w:r>
      <w:proofErr w:type="spellEnd"/>
      <w:r w:rsidRPr="00EF2A6C">
        <w:rPr>
          <w:rFonts w:ascii="Times New Roman" w:eastAsia="Times New Roman" w:hAnsi="Times New Roman" w:cs="Times New Roman"/>
          <w:sz w:val="24"/>
          <w:szCs w:val="24"/>
          <w:lang w:val="en-US" w:eastAsia="en-US"/>
        </w:rPr>
        <w:t xml:space="preserve"> Masci, V., Tiezzi, A., &amp; </w:t>
      </w:r>
      <w:proofErr w:type="spellStart"/>
      <w:r w:rsidRPr="00EF2A6C">
        <w:rPr>
          <w:rFonts w:ascii="Times New Roman" w:eastAsia="Times New Roman" w:hAnsi="Times New Roman" w:cs="Times New Roman"/>
          <w:sz w:val="24"/>
          <w:szCs w:val="24"/>
          <w:lang w:val="en-US" w:eastAsia="en-US"/>
        </w:rPr>
        <w:t>Garzoli</w:t>
      </w:r>
      <w:proofErr w:type="spellEnd"/>
      <w:r w:rsidRPr="00EF2A6C">
        <w:rPr>
          <w:rFonts w:ascii="Times New Roman" w:eastAsia="Times New Roman" w:hAnsi="Times New Roman" w:cs="Times New Roman"/>
          <w:sz w:val="24"/>
          <w:szCs w:val="24"/>
          <w:lang w:val="en-US" w:eastAsia="en-US"/>
        </w:rPr>
        <w:t xml:space="preserve">, S. (2022). Detection of volatiles by HS-SPME-GC/MS and biological effect evaluation of Buddha’s hand fruit. </w:t>
      </w:r>
      <w:r w:rsidRPr="00EF2A6C">
        <w:rPr>
          <w:rFonts w:ascii="Times New Roman" w:eastAsia="Times New Roman" w:hAnsi="Times New Roman" w:cs="Times New Roman"/>
          <w:i/>
          <w:iCs/>
          <w:sz w:val="24"/>
          <w:szCs w:val="24"/>
          <w:lang w:val="en-US" w:eastAsia="en-US"/>
        </w:rPr>
        <w:t>Molecules, 27</w:t>
      </w:r>
      <w:r w:rsidRPr="00EF2A6C">
        <w:rPr>
          <w:rFonts w:ascii="Times New Roman" w:eastAsia="Times New Roman" w:hAnsi="Times New Roman" w:cs="Times New Roman"/>
          <w:sz w:val="24"/>
          <w:szCs w:val="24"/>
          <w:lang w:val="en-US" w:eastAsia="en-US"/>
        </w:rPr>
        <w:t xml:space="preserve">(5), 1666. </w:t>
      </w:r>
      <w:hyperlink r:id="rId7" w:tgtFrame="_blank" w:history="1">
        <w:r w:rsidRPr="00EF2A6C">
          <w:rPr>
            <w:rFonts w:ascii="Times New Roman" w:eastAsia="Times New Roman" w:hAnsi="Times New Roman" w:cs="Times New Roman"/>
            <w:color w:val="0000FF"/>
            <w:sz w:val="24"/>
            <w:szCs w:val="24"/>
            <w:u w:val="single"/>
            <w:lang w:val="en-US" w:eastAsia="en-US"/>
          </w:rPr>
          <w:t>https://doi.org/10.3390/molecules27051666</w:t>
        </w:r>
      </w:hyperlink>
      <w:r w:rsidRPr="00EF2A6C">
        <w:rPr>
          <w:rFonts w:ascii="Times New Roman" w:eastAsia="Times New Roman" w:hAnsi="Times New Roman" w:cs="Times New Roman"/>
          <w:sz w:val="24"/>
          <w:szCs w:val="24"/>
          <w:lang w:val="en-US" w:eastAsia="en-US"/>
        </w:rPr>
        <w:t xml:space="preserve"> </w:t>
      </w:r>
    </w:p>
    <w:p w14:paraId="10BC7A30" w14:textId="41760C78"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Guo, W., Zhuang, G., Zhang, J., He, H., Jia, Y., &amp; Chen, Y. (2026). Tissue-specific profiles of free and bound phenolics and </w:t>
      </w:r>
      <w:proofErr w:type="spellStart"/>
      <w:r w:rsidRPr="00EF2A6C">
        <w:rPr>
          <w:rFonts w:ascii="Times New Roman" w:eastAsia="Times New Roman" w:hAnsi="Times New Roman" w:cs="Times New Roman"/>
          <w:sz w:val="24"/>
          <w:szCs w:val="24"/>
          <w:lang w:val="en-US" w:eastAsia="en-US"/>
        </w:rPr>
        <w:t>their</w:t>
      </w:r>
      <w:proofErr w:type="spellEnd"/>
      <w:r w:rsidRPr="00EF2A6C">
        <w:rPr>
          <w:rFonts w:ascii="Times New Roman" w:eastAsia="Times New Roman" w:hAnsi="Times New Roman" w:cs="Times New Roman"/>
          <w:sz w:val="24"/>
          <w:szCs w:val="24"/>
          <w:lang w:val="en-US" w:eastAsia="en-US"/>
        </w:rPr>
        <w:t xml:space="preserve"> in vitro antioxidant and glycemic-regulation-related activities in fingered citron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(Siebold ex </w:t>
      </w:r>
      <w:proofErr w:type="spellStart"/>
      <w:r w:rsidRPr="00EF2A6C">
        <w:rPr>
          <w:rFonts w:ascii="Times New Roman" w:eastAsia="Times New Roman" w:hAnsi="Times New Roman" w:cs="Times New Roman"/>
          <w:sz w:val="24"/>
          <w:szCs w:val="24"/>
          <w:lang w:val="en-US" w:eastAsia="en-US"/>
        </w:rPr>
        <w:t>Hoola</w:t>
      </w:r>
      <w:proofErr w:type="spellEnd"/>
      <w:r w:rsidRPr="00EF2A6C">
        <w:rPr>
          <w:rFonts w:ascii="Times New Roman" w:eastAsia="Times New Roman" w:hAnsi="Times New Roman" w:cs="Times New Roman"/>
          <w:sz w:val="24"/>
          <w:szCs w:val="24"/>
          <w:lang w:val="en-US" w:eastAsia="en-US"/>
        </w:rPr>
        <w:t xml:space="preserve"> van </w:t>
      </w:r>
      <w:proofErr w:type="spellStart"/>
      <w:r w:rsidRPr="00EF2A6C">
        <w:rPr>
          <w:rFonts w:ascii="Times New Roman" w:eastAsia="Times New Roman" w:hAnsi="Times New Roman" w:cs="Times New Roman"/>
          <w:sz w:val="24"/>
          <w:szCs w:val="24"/>
          <w:lang w:val="en-US" w:eastAsia="en-US"/>
        </w:rPr>
        <w:t>Nooten</w:t>
      </w:r>
      <w:proofErr w:type="spellEnd"/>
      <w:r w:rsidRPr="00EF2A6C">
        <w:rPr>
          <w:rFonts w:ascii="Times New Roman" w:eastAsia="Times New Roman" w:hAnsi="Times New Roman" w:cs="Times New Roman"/>
          <w:sz w:val="24"/>
          <w:szCs w:val="24"/>
          <w:lang w:val="en-US" w:eastAsia="en-US"/>
        </w:rPr>
        <w:t xml:space="preserve">) Swingle). </w:t>
      </w:r>
      <w:r w:rsidRPr="00EF2A6C">
        <w:rPr>
          <w:rFonts w:ascii="Times New Roman" w:eastAsia="Times New Roman" w:hAnsi="Times New Roman" w:cs="Times New Roman"/>
          <w:i/>
          <w:iCs/>
          <w:sz w:val="24"/>
          <w:szCs w:val="24"/>
          <w:lang w:val="en-US" w:eastAsia="en-US"/>
        </w:rPr>
        <w:t>Antioxidants, 15</w:t>
      </w:r>
      <w:r w:rsidRPr="00EF2A6C">
        <w:rPr>
          <w:rFonts w:ascii="Times New Roman" w:eastAsia="Times New Roman" w:hAnsi="Times New Roman" w:cs="Times New Roman"/>
          <w:sz w:val="24"/>
          <w:szCs w:val="24"/>
          <w:lang w:val="en-US" w:eastAsia="en-US"/>
        </w:rPr>
        <w:t xml:space="preserve">(5), 564. https://doi.org/10.3390/antiox15050564 </w:t>
      </w:r>
    </w:p>
    <w:p w14:paraId="29A84B98" w14:textId="17C0DFE0"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Yang, K.-M., Chen, H.-C., Chuang, C.-H., Chiang, Y.-C., &amp; Lin, L.-Y. (2025). Effects of fingered citron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essential oil on improvement in diet-induced hyperlipidemia Syrian hamsters. </w:t>
      </w:r>
      <w:r w:rsidRPr="00EF2A6C">
        <w:rPr>
          <w:rFonts w:ascii="Times New Roman" w:eastAsia="Times New Roman" w:hAnsi="Times New Roman" w:cs="Times New Roman"/>
          <w:i/>
          <w:iCs/>
          <w:sz w:val="24"/>
          <w:szCs w:val="24"/>
          <w:lang w:val="en-US" w:eastAsia="en-US"/>
        </w:rPr>
        <w:t>Journal of Oleo Science, 74</w:t>
      </w:r>
      <w:r w:rsidRPr="00EF2A6C">
        <w:rPr>
          <w:rFonts w:ascii="Times New Roman" w:eastAsia="Times New Roman" w:hAnsi="Times New Roman" w:cs="Times New Roman"/>
          <w:sz w:val="24"/>
          <w:szCs w:val="24"/>
          <w:lang w:val="en-US" w:eastAsia="en-US"/>
        </w:rPr>
        <w:t xml:space="preserve">(3), 321–328. https://doi.org/10.5650/jos.ess24171 </w:t>
      </w:r>
    </w:p>
    <w:p w14:paraId="3868DCFD" w14:textId="7FCF7837"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Chen, X., Yang, D., Wang, Q., &amp; Zhou, A. (2023). </w:t>
      </w:r>
      <w:r w:rsidRPr="00EF2A6C">
        <w:rPr>
          <w:rFonts w:ascii="Times New Roman" w:eastAsia="Times New Roman" w:hAnsi="Times New Roman" w:cs="Times New Roman"/>
          <w:sz w:val="24"/>
          <w:szCs w:val="24"/>
          <w:lang w:val="en-US" w:eastAsia="en-US"/>
        </w:rPr>
        <w:t xml:space="preserve">Gastroprotective effects of the aqueous extract of finger citron pickled products against ethanol-induced gastric damage: In vitro and in vivo studies. </w:t>
      </w:r>
      <w:r w:rsidRPr="00EF2A6C">
        <w:rPr>
          <w:rFonts w:ascii="Times New Roman" w:eastAsia="Times New Roman" w:hAnsi="Times New Roman" w:cs="Times New Roman"/>
          <w:i/>
          <w:iCs/>
          <w:sz w:val="24"/>
          <w:szCs w:val="24"/>
          <w:lang w:val="en-US" w:eastAsia="en-US"/>
        </w:rPr>
        <w:t>Foods, 12</w:t>
      </w:r>
      <w:r w:rsidRPr="00EF2A6C">
        <w:rPr>
          <w:rFonts w:ascii="Times New Roman" w:eastAsia="Times New Roman" w:hAnsi="Times New Roman" w:cs="Times New Roman"/>
          <w:sz w:val="24"/>
          <w:szCs w:val="24"/>
          <w:lang w:val="en-US" w:eastAsia="en-US"/>
        </w:rPr>
        <w:t xml:space="preserve">(12), 2355. https://doi.org/10.3390/foods12122355 </w:t>
      </w:r>
    </w:p>
    <w:p w14:paraId="29F2966D" w14:textId="25265838"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Luo, B., </w:t>
      </w:r>
      <w:proofErr w:type="spellStart"/>
      <w:r w:rsidRPr="00EF2A6C">
        <w:rPr>
          <w:rFonts w:ascii="Times New Roman" w:eastAsia="Times New Roman" w:hAnsi="Times New Roman" w:cs="Times New Roman"/>
          <w:sz w:val="24"/>
          <w:szCs w:val="24"/>
          <w:lang w:val="en-US" w:eastAsia="en-US"/>
        </w:rPr>
        <w:t>Lv</w:t>
      </w:r>
      <w:proofErr w:type="spellEnd"/>
      <w:r w:rsidRPr="00EF2A6C">
        <w:rPr>
          <w:rFonts w:ascii="Times New Roman" w:eastAsia="Times New Roman" w:hAnsi="Times New Roman" w:cs="Times New Roman"/>
          <w:sz w:val="24"/>
          <w:szCs w:val="24"/>
          <w:lang w:val="en-US" w:eastAsia="en-US"/>
        </w:rPr>
        <w:t xml:space="preserve">, J., Li, K., Liao, P., &amp; Chen, P. (2022). Structural characterization and anti-inflammatory activity of a </w:t>
      </w:r>
      <w:proofErr w:type="spellStart"/>
      <w:r w:rsidRPr="00EF2A6C">
        <w:rPr>
          <w:rFonts w:ascii="Times New Roman" w:eastAsia="Times New Roman" w:hAnsi="Times New Roman" w:cs="Times New Roman"/>
          <w:sz w:val="24"/>
          <w:szCs w:val="24"/>
          <w:lang w:val="en-US" w:eastAsia="en-US"/>
        </w:rPr>
        <w:t>galactorhamnan</w:t>
      </w:r>
      <w:proofErr w:type="spellEnd"/>
      <w:r w:rsidRPr="00EF2A6C">
        <w:rPr>
          <w:rFonts w:ascii="Times New Roman" w:eastAsia="Times New Roman" w:hAnsi="Times New Roman" w:cs="Times New Roman"/>
          <w:sz w:val="24"/>
          <w:szCs w:val="24"/>
          <w:lang w:val="en-US" w:eastAsia="en-US"/>
        </w:rPr>
        <w:t xml:space="preserve"> polysaccharide from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Frontiers in Nutrition, 9</w:t>
      </w:r>
      <w:r w:rsidRPr="00EF2A6C">
        <w:rPr>
          <w:rFonts w:ascii="Times New Roman" w:eastAsia="Times New Roman" w:hAnsi="Times New Roman" w:cs="Times New Roman"/>
          <w:sz w:val="24"/>
          <w:szCs w:val="24"/>
          <w:lang w:val="en-US" w:eastAsia="en-US"/>
        </w:rPr>
        <w:t xml:space="preserve">, 916976. https://doi.org/10.3389/fnut.2022.916976 </w:t>
      </w:r>
    </w:p>
    <w:p w14:paraId="5A819622" w14:textId="1C73BC87"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Sun, C., Tang, S., Chen, B., &amp; Adu, M.-Z.-L. (2026). Fingered citron volatile oil: Extraction methods, chemical composition, biological activity, and product development. </w:t>
      </w:r>
      <w:r w:rsidRPr="00EF2A6C">
        <w:rPr>
          <w:rFonts w:ascii="Times New Roman" w:eastAsia="Times New Roman" w:hAnsi="Times New Roman" w:cs="Times New Roman"/>
          <w:i/>
          <w:iCs/>
          <w:sz w:val="24"/>
          <w:szCs w:val="24"/>
          <w:lang w:val="en-US" w:eastAsia="en-US"/>
        </w:rPr>
        <w:t>Current Issues in Molecular Biology, 48</w:t>
      </w:r>
      <w:r w:rsidRPr="00EF2A6C">
        <w:rPr>
          <w:rFonts w:ascii="Times New Roman" w:eastAsia="Times New Roman" w:hAnsi="Times New Roman" w:cs="Times New Roman"/>
          <w:sz w:val="24"/>
          <w:szCs w:val="24"/>
          <w:lang w:val="en-US" w:eastAsia="en-US"/>
        </w:rPr>
        <w:t xml:space="preserve">(6), 584. https://doi.org/10.3390/cimb48060584 </w:t>
      </w:r>
    </w:p>
    <w:p w14:paraId="38697B95" w14:textId="09F1CE88"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Xu, Y., Yao, L., Wang, Y., Shen, J., Chen, D., &amp; Feng, T. (2024). Comparative analysis of the aromatic profiles of 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Fructus from various geographical regions using GC-IMS, GC-MS, and sensory evaluation. </w:t>
      </w:r>
      <w:r w:rsidRPr="00EF2A6C">
        <w:rPr>
          <w:rFonts w:ascii="Times New Roman" w:eastAsia="Times New Roman" w:hAnsi="Times New Roman" w:cs="Times New Roman"/>
          <w:i/>
          <w:iCs/>
          <w:sz w:val="24"/>
          <w:szCs w:val="24"/>
          <w:lang w:val="en-US" w:eastAsia="en-US"/>
        </w:rPr>
        <w:t>Food Bioscience, 58</w:t>
      </w:r>
      <w:r w:rsidRPr="00EF2A6C">
        <w:rPr>
          <w:rFonts w:ascii="Times New Roman" w:eastAsia="Times New Roman" w:hAnsi="Times New Roman" w:cs="Times New Roman"/>
          <w:sz w:val="24"/>
          <w:szCs w:val="24"/>
          <w:lang w:val="en-US" w:eastAsia="en-US"/>
        </w:rPr>
        <w:t xml:space="preserve">, 103752. https://doi.org/10.1016/j.fbio.2024.103752 </w:t>
      </w:r>
    </w:p>
    <w:p w14:paraId="41B6C5D1" w14:textId="6731363D"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lastRenderedPageBreak/>
        <w:t xml:space="preserve">Wang, S., Yang, Y., Wang, Q., Wu, Z., Liu, X., Chen, S., &amp; Zhou, A. (2023). </w:t>
      </w:r>
      <w:r w:rsidRPr="00EF2A6C">
        <w:rPr>
          <w:rFonts w:ascii="Times New Roman" w:eastAsia="Times New Roman" w:hAnsi="Times New Roman" w:cs="Times New Roman"/>
          <w:sz w:val="24"/>
          <w:szCs w:val="24"/>
          <w:lang w:val="en-US" w:eastAsia="en-US"/>
        </w:rPr>
        <w:t xml:space="preserve">Structural characterization and immunomodulatory activity of a polysaccharide from finger citron extracted by continuous phase-transition extraction. </w:t>
      </w:r>
      <w:r w:rsidRPr="00EF2A6C">
        <w:rPr>
          <w:rFonts w:ascii="Times New Roman" w:eastAsia="Times New Roman" w:hAnsi="Times New Roman" w:cs="Times New Roman"/>
          <w:i/>
          <w:iCs/>
          <w:sz w:val="24"/>
          <w:szCs w:val="24"/>
          <w:lang w:val="en-US" w:eastAsia="en-US"/>
        </w:rPr>
        <w:t>International Journal of Biological Macromolecules, 240</w:t>
      </w:r>
      <w:r w:rsidRPr="00EF2A6C">
        <w:rPr>
          <w:rFonts w:ascii="Times New Roman" w:eastAsia="Times New Roman" w:hAnsi="Times New Roman" w:cs="Times New Roman"/>
          <w:sz w:val="24"/>
          <w:szCs w:val="24"/>
          <w:lang w:val="en-US" w:eastAsia="en-US"/>
        </w:rPr>
        <w:t xml:space="preserve">, 124491. https://doi.org/10.1016/j.ijbiomac.2023.124491 </w:t>
      </w:r>
    </w:p>
    <w:p w14:paraId="1BCFAFBB" w14:textId="6259D21D"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Yang, Y., Tian, A., Wu, Z., Wei, Y., Hu, X., &amp; Guo, J. (2021). </w:t>
      </w:r>
      <w:r w:rsidRPr="00EF2A6C">
        <w:rPr>
          <w:rFonts w:ascii="Times New Roman" w:eastAsia="Times New Roman" w:hAnsi="Times New Roman" w:cs="Times New Roman"/>
          <w:sz w:val="24"/>
          <w:szCs w:val="24"/>
          <w:lang w:val="en-US" w:eastAsia="en-US"/>
        </w:rPr>
        <w:t xml:space="preserve">Finger citron extract ameliorates glycolipid metabolism and inflammation by regulating GLP-1 secretion via TGR5 receptors in obese rats. </w:t>
      </w:r>
      <w:r w:rsidRPr="00EF2A6C">
        <w:rPr>
          <w:rFonts w:ascii="Times New Roman" w:eastAsia="Times New Roman" w:hAnsi="Times New Roman" w:cs="Times New Roman"/>
          <w:i/>
          <w:iCs/>
          <w:sz w:val="24"/>
          <w:szCs w:val="24"/>
          <w:lang w:val="en-US" w:eastAsia="en-US"/>
        </w:rPr>
        <w:t>Evidence-Based Complementary and Alternative Medicine, 2021</w:t>
      </w:r>
      <w:r w:rsidRPr="00EF2A6C">
        <w:rPr>
          <w:rFonts w:ascii="Times New Roman" w:eastAsia="Times New Roman" w:hAnsi="Times New Roman" w:cs="Times New Roman"/>
          <w:sz w:val="24"/>
          <w:szCs w:val="24"/>
          <w:lang w:val="en-US" w:eastAsia="en-US"/>
        </w:rPr>
        <w:t xml:space="preserve">, 6623379. https://doi.org/10.1155/2021/6623379 </w:t>
      </w:r>
    </w:p>
    <w:p w14:paraId="09955362" w14:textId="287659DB"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El-Abd, E. A. W., Baraka, S. M., Kassem, I. A. A., El-Gendy, Z. A., El-Sayed, A. F., Ibrahim, S., </w:t>
      </w:r>
      <w:proofErr w:type="spellStart"/>
      <w:r w:rsidRPr="00EF2A6C">
        <w:rPr>
          <w:rFonts w:ascii="Times New Roman" w:eastAsia="Times New Roman" w:hAnsi="Times New Roman" w:cs="Times New Roman"/>
          <w:sz w:val="24"/>
          <w:szCs w:val="24"/>
          <w:lang w:val="en-US" w:eastAsia="en-US"/>
        </w:rPr>
        <w:t>Korany</w:t>
      </w:r>
      <w:proofErr w:type="spellEnd"/>
      <w:r w:rsidRPr="00EF2A6C">
        <w:rPr>
          <w:rFonts w:ascii="Times New Roman" w:eastAsia="Times New Roman" w:hAnsi="Times New Roman" w:cs="Times New Roman"/>
          <w:sz w:val="24"/>
          <w:szCs w:val="24"/>
          <w:lang w:val="en-US" w:eastAsia="en-US"/>
        </w:rPr>
        <w:t xml:space="preserve">, R. M. S., &amp; </w:t>
      </w:r>
      <w:proofErr w:type="spellStart"/>
      <w:r w:rsidRPr="00EF2A6C">
        <w:rPr>
          <w:rFonts w:ascii="Times New Roman" w:eastAsia="Times New Roman" w:hAnsi="Times New Roman" w:cs="Times New Roman"/>
          <w:sz w:val="24"/>
          <w:szCs w:val="24"/>
          <w:lang w:val="en-US" w:eastAsia="en-US"/>
        </w:rPr>
        <w:t>Elbatanony</w:t>
      </w:r>
      <w:proofErr w:type="spellEnd"/>
      <w:r w:rsidRPr="00EF2A6C">
        <w:rPr>
          <w:rFonts w:ascii="Times New Roman" w:eastAsia="Times New Roman" w:hAnsi="Times New Roman" w:cs="Times New Roman"/>
          <w:sz w:val="24"/>
          <w:szCs w:val="24"/>
          <w:lang w:val="en-US" w:eastAsia="en-US"/>
        </w:rPr>
        <w:t xml:space="preserve">, M. M. (2025). Anti-ulcerogenic activity of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fruit extract nano-emulsion in gastric ulcer rat model through modulating HMBG1/TLR4/NF-</w:t>
      </w:r>
      <w:proofErr w:type="spellStart"/>
      <w:r w:rsidRPr="00EF2A6C">
        <w:rPr>
          <w:rFonts w:ascii="Times New Roman" w:eastAsia="Times New Roman" w:hAnsi="Times New Roman" w:cs="Times New Roman"/>
          <w:sz w:val="24"/>
          <w:szCs w:val="24"/>
          <w:lang w:val="en-US" w:eastAsia="en-US"/>
        </w:rPr>
        <w:t>κB</w:t>
      </w:r>
      <w:proofErr w:type="spellEnd"/>
      <w:r w:rsidRPr="00EF2A6C">
        <w:rPr>
          <w:rFonts w:ascii="Times New Roman" w:eastAsia="Times New Roman" w:hAnsi="Times New Roman" w:cs="Times New Roman"/>
          <w:sz w:val="24"/>
          <w:szCs w:val="24"/>
          <w:lang w:val="en-US" w:eastAsia="en-US"/>
        </w:rPr>
        <w:t xml:space="preserve"> and Nrf2/HSP70/PGE2 signaling pathways. </w:t>
      </w:r>
      <w:r w:rsidRPr="00EF2A6C">
        <w:rPr>
          <w:rFonts w:ascii="Times New Roman" w:eastAsia="Times New Roman" w:hAnsi="Times New Roman" w:cs="Times New Roman"/>
          <w:i/>
          <w:iCs/>
          <w:sz w:val="24"/>
          <w:szCs w:val="24"/>
          <w:lang w:val="en-US" w:eastAsia="en-US"/>
        </w:rPr>
        <w:t>Journal of Drug Delivery Science and Technology, 104</w:t>
      </w:r>
      <w:r w:rsidRPr="00EF2A6C">
        <w:rPr>
          <w:rFonts w:ascii="Times New Roman" w:eastAsia="Times New Roman" w:hAnsi="Times New Roman" w:cs="Times New Roman"/>
          <w:sz w:val="24"/>
          <w:szCs w:val="24"/>
          <w:lang w:val="en-US" w:eastAsia="en-US"/>
        </w:rPr>
        <w:t xml:space="preserve">, 106465. https://doi.org/10.1016/j.jddst.2024.106465 </w:t>
      </w:r>
    </w:p>
    <w:p w14:paraId="40AC7DCA" w14:textId="60D5B568" w:rsidR="00EF2A6C" w:rsidRPr="00EF2A6C" w:rsidRDefault="00EF2A6C" w:rsidP="00EF2A6C">
      <w:pPr>
        <w:ind w:left="630" w:hanging="630"/>
        <w:jc w:val="both"/>
        <w:rPr>
          <w:rFonts w:ascii="Times New Roman" w:eastAsia="Times New Roman" w:hAnsi="Times New Roman" w:cs="Times New Roman"/>
          <w:sz w:val="24"/>
          <w:szCs w:val="24"/>
          <w:lang w:val="nl-BE" w:eastAsia="en-US"/>
        </w:rPr>
      </w:pPr>
      <w:r w:rsidRPr="00EF2A6C">
        <w:rPr>
          <w:rFonts w:ascii="Times New Roman" w:eastAsia="Times New Roman" w:hAnsi="Times New Roman" w:cs="Times New Roman"/>
          <w:sz w:val="24"/>
          <w:szCs w:val="24"/>
          <w:lang w:val="nl-BE" w:eastAsia="en-US"/>
        </w:rPr>
        <w:t xml:space="preserve">Hu, J., Yu, Y., Tang, Y., Bu, Z., Xu, Y., Wu, J., Xiao, G., &amp; Zou, B. (2026). </w:t>
      </w:r>
      <w:r w:rsidRPr="00EF2A6C">
        <w:rPr>
          <w:rFonts w:ascii="Times New Roman" w:eastAsia="Times New Roman" w:hAnsi="Times New Roman" w:cs="Times New Roman"/>
          <w:sz w:val="24"/>
          <w:szCs w:val="24"/>
          <w:lang w:val="en-US" w:eastAsia="en-US"/>
        </w:rPr>
        <w:t>Anti-inflammatory effect of finger citron extract on RAW264.7 macrophages via NF-</w:t>
      </w:r>
      <w:proofErr w:type="spellStart"/>
      <w:r w:rsidRPr="00EF2A6C">
        <w:rPr>
          <w:rFonts w:ascii="Times New Roman" w:eastAsia="Times New Roman" w:hAnsi="Times New Roman" w:cs="Times New Roman"/>
          <w:sz w:val="24"/>
          <w:szCs w:val="24"/>
          <w:lang w:val="en-US" w:eastAsia="en-US"/>
        </w:rPr>
        <w:t>κB</w:t>
      </w:r>
      <w:proofErr w:type="spellEnd"/>
      <w:r w:rsidRPr="00EF2A6C">
        <w:rPr>
          <w:rFonts w:ascii="Times New Roman" w:eastAsia="Times New Roman" w:hAnsi="Times New Roman" w:cs="Times New Roman"/>
          <w:sz w:val="24"/>
          <w:szCs w:val="24"/>
          <w:lang w:val="en-US" w:eastAsia="en-US"/>
        </w:rPr>
        <w:t xml:space="preserve"> and MAPK signaling pathways. </w:t>
      </w:r>
      <w:r w:rsidRPr="00EF2A6C">
        <w:rPr>
          <w:rFonts w:ascii="Times New Roman" w:eastAsia="Times New Roman" w:hAnsi="Times New Roman" w:cs="Times New Roman"/>
          <w:i/>
          <w:iCs/>
          <w:sz w:val="24"/>
          <w:szCs w:val="24"/>
          <w:lang w:val="nl-BE" w:eastAsia="en-US"/>
        </w:rPr>
        <w:t>Foods, 15</w:t>
      </w:r>
      <w:r w:rsidRPr="00EF2A6C">
        <w:rPr>
          <w:rFonts w:ascii="Times New Roman" w:eastAsia="Times New Roman" w:hAnsi="Times New Roman" w:cs="Times New Roman"/>
          <w:sz w:val="24"/>
          <w:szCs w:val="24"/>
          <w:lang w:val="nl-BE" w:eastAsia="en-US"/>
        </w:rPr>
        <w:t xml:space="preserve">(4), 688. https://doi.org/10.3390/foods15040688 </w:t>
      </w:r>
    </w:p>
    <w:p w14:paraId="34628826" w14:textId="1E88E7C7"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Li, X., Wu, Z., Luo, L., Zeng, L., Wang, Y., Wang, Y., &amp; Luo, W. (2025). </w:t>
      </w:r>
      <w:r w:rsidRPr="00EF2A6C">
        <w:rPr>
          <w:rFonts w:ascii="Times New Roman" w:eastAsia="Times New Roman" w:hAnsi="Times New Roman" w:cs="Times New Roman"/>
          <w:sz w:val="24"/>
          <w:szCs w:val="24"/>
          <w:lang w:val="en-US" w:eastAsia="en-US"/>
        </w:rPr>
        <w:t>Protective effect of bergamot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Swingle) extract on acute alcoholic gastric ulcer. </w:t>
      </w:r>
      <w:r w:rsidRPr="00EF2A6C">
        <w:rPr>
          <w:rFonts w:ascii="Times New Roman" w:eastAsia="Times New Roman" w:hAnsi="Times New Roman" w:cs="Times New Roman"/>
          <w:i/>
          <w:iCs/>
          <w:sz w:val="24"/>
          <w:szCs w:val="24"/>
          <w:lang w:val="en-US" w:eastAsia="en-US"/>
        </w:rPr>
        <w:t>Food Bioscience, 71</w:t>
      </w:r>
      <w:r w:rsidRPr="00EF2A6C">
        <w:rPr>
          <w:rFonts w:ascii="Times New Roman" w:eastAsia="Times New Roman" w:hAnsi="Times New Roman" w:cs="Times New Roman"/>
          <w:sz w:val="24"/>
          <w:szCs w:val="24"/>
          <w:lang w:val="en-US" w:eastAsia="en-US"/>
        </w:rPr>
        <w:t xml:space="preserve">, 107012. https://doi.org/10.1016/j.fbio.2025.107012 </w:t>
      </w:r>
    </w:p>
    <w:p w14:paraId="430DE482" w14:textId="2670B661"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Zheng, Y., Wang, Y., Luo, D., Lin, L., Lu, X., Gao, J., Xiao, C., &amp; Zhao, M. (2022). </w:t>
      </w:r>
      <w:r w:rsidRPr="00EF2A6C">
        <w:rPr>
          <w:rFonts w:ascii="Times New Roman" w:eastAsia="Times New Roman" w:hAnsi="Times New Roman" w:cs="Times New Roman"/>
          <w:sz w:val="24"/>
          <w:szCs w:val="24"/>
          <w:lang w:val="en-US" w:eastAsia="en-US"/>
        </w:rPr>
        <w:t xml:space="preserve">Effect of bergamot and </w:t>
      </w:r>
      <w:proofErr w:type="spellStart"/>
      <w:r w:rsidRPr="00EF2A6C">
        <w:rPr>
          <w:rFonts w:ascii="Times New Roman" w:eastAsia="Times New Roman" w:hAnsi="Times New Roman" w:cs="Times New Roman"/>
          <w:sz w:val="24"/>
          <w:szCs w:val="24"/>
          <w:lang w:val="en-US" w:eastAsia="en-US"/>
        </w:rPr>
        <w:t>laoxianghuang</w:t>
      </w:r>
      <w:proofErr w:type="spellEnd"/>
      <w:r w:rsidRPr="00EF2A6C">
        <w:rPr>
          <w:rFonts w:ascii="Times New Roman" w:eastAsia="Times New Roman" w:hAnsi="Times New Roman" w:cs="Times New Roman"/>
          <w:sz w:val="24"/>
          <w:szCs w:val="24"/>
          <w:lang w:val="en-US" w:eastAsia="en-US"/>
        </w:rPr>
        <w:t xml:space="preserve"> polysaccharides on gut microbiota derived from patients with hyperlipidemia: An integrative analysis of microbiome and metabolome during in vitro fermentation. </w:t>
      </w:r>
      <w:r w:rsidRPr="00EF2A6C">
        <w:rPr>
          <w:rFonts w:ascii="Times New Roman" w:eastAsia="Times New Roman" w:hAnsi="Times New Roman" w:cs="Times New Roman"/>
          <w:i/>
          <w:iCs/>
          <w:sz w:val="24"/>
          <w:szCs w:val="24"/>
          <w:lang w:val="en-US" w:eastAsia="en-US"/>
        </w:rPr>
        <w:t>Foods, 11</w:t>
      </w:r>
      <w:r w:rsidRPr="00EF2A6C">
        <w:rPr>
          <w:rFonts w:ascii="Times New Roman" w:eastAsia="Times New Roman" w:hAnsi="Times New Roman" w:cs="Times New Roman"/>
          <w:sz w:val="24"/>
          <w:szCs w:val="24"/>
          <w:lang w:val="en-US" w:eastAsia="en-US"/>
        </w:rPr>
        <w:t xml:space="preserve">(14), 2039. https://doi.org/10.3390/foods11142039 </w:t>
      </w:r>
    </w:p>
    <w:p w14:paraId="07042CBE" w14:textId="32E5C451" w:rsidR="00EF2A6C" w:rsidRPr="00EF2A6C" w:rsidRDefault="00EF2A6C" w:rsidP="00EF2A6C">
      <w:pPr>
        <w:ind w:left="630" w:hanging="630"/>
        <w:jc w:val="both"/>
        <w:rPr>
          <w:rFonts w:ascii="Times New Roman" w:eastAsia="Times New Roman" w:hAnsi="Times New Roman" w:cs="Times New Roman"/>
          <w:sz w:val="24"/>
          <w:szCs w:val="24"/>
          <w:lang w:val="nl-BE" w:eastAsia="en-US"/>
        </w:rPr>
      </w:pPr>
      <w:r w:rsidRPr="00EF2A6C">
        <w:rPr>
          <w:rFonts w:ascii="Times New Roman" w:eastAsia="Times New Roman" w:hAnsi="Times New Roman" w:cs="Times New Roman"/>
          <w:sz w:val="24"/>
          <w:szCs w:val="24"/>
          <w:lang w:val="nl-BE" w:eastAsia="en-US"/>
        </w:rPr>
        <w:t xml:space="preserve">Deng, F., Li, X.-M., Gong, Q.-Q., Zheng, Z.-X., Zeng, L., Zhang, M.-J., Duan, T.-Y., Liu, X., Zhang, M.-Z., &amp; Guo, D.-L. (2023). </w:t>
      </w:r>
      <w:r w:rsidRPr="00EF2A6C">
        <w:rPr>
          <w:rFonts w:ascii="Times New Roman" w:eastAsia="Times New Roman" w:hAnsi="Times New Roman" w:cs="Times New Roman"/>
          <w:sz w:val="24"/>
          <w:szCs w:val="24"/>
          <w:lang w:val="en-US" w:eastAsia="en-US"/>
        </w:rPr>
        <w:t xml:space="preserve">Identification of in vivo metabolites of 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Fructus by UHPLC-Q/Orbitrap HRMS. </w:t>
      </w:r>
      <w:r w:rsidRPr="00EF2A6C">
        <w:rPr>
          <w:rFonts w:ascii="Times New Roman" w:eastAsia="Times New Roman" w:hAnsi="Times New Roman" w:cs="Times New Roman"/>
          <w:i/>
          <w:iCs/>
          <w:sz w:val="24"/>
          <w:szCs w:val="24"/>
          <w:lang w:val="nl-BE" w:eastAsia="en-US"/>
        </w:rPr>
        <w:t>Phytochemical Analysis, 34</w:t>
      </w:r>
      <w:r w:rsidRPr="00EF2A6C">
        <w:rPr>
          <w:rFonts w:ascii="Times New Roman" w:eastAsia="Times New Roman" w:hAnsi="Times New Roman" w:cs="Times New Roman"/>
          <w:sz w:val="24"/>
          <w:szCs w:val="24"/>
          <w:lang w:val="nl-BE" w:eastAsia="en-US"/>
        </w:rPr>
        <w:t xml:space="preserve">(8), 938–949. https://doi.org/10.1002/pca.3262 </w:t>
      </w:r>
    </w:p>
    <w:p w14:paraId="46351C83" w14:textId="00D53870"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Luo, Z., Xu, Z., Wang, K., Hu, H., &amp; Huang, J. (2025). </w:t>
      </w:r>
      <w:r w:rsidRPr="00EF2A6C">
        <w:rPr>
          <w:rFonts w:ascii="Times New Roman" w:eastAsia="Times New Roman" w:hAnsi="Times New Roman" w:cs="Times New Roman"/>
          <w:sz w:val="24"/>
          <w:szCs w:val="24"/>
          <w:lang w:val="en-US" w:eastAsia="en-US"/>
        </w:rPr>
        <w:t xml:space="preserve">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Fructus alleviates LPS-induced acute lung injury by inhibiting inflammation and inflammasome activation. </w:t>
      </w:r>
      <w:r w:rsidRPr="00EF2A6C">
        <w:rPr>
          <w:rFonts w:ascii="Times New Roman" w:eastAsia="Times New Roman" w:hAnsi="Times New Roman" w:cs="Times New Roman"/>
          <w:i/>
          <w:iCs/>
          <w:sz w:val="24"/>
          <w:szCs w:val="24"/>
          <w:lang w:val="en-US" w:eastAsia="en-US"/>
        </w:rPr>
        <w:t>Food Science &amp; Nutrition, 13</w:t>
      </w:r>
      <w:r w:rsidRPr="00EF2A6C">
        <w:rPr>
          <w:rFonts w:ascii="Times New Roman" w:eastAsia="Times New Roman" w:hAnsi="Times New Roman" w:cs="Times New Roman"/>
          <w:sz w:val="24"/>
          <w:szCs w:val="24"/>
          <w:lang w:val="en-US" w:eastAsia="en-US"/>
        </w:rPr>
        <w:t xml:space="preserve">(9), e70881. https://doi.org/10.1002/fsn3.70881 </w:t>
      </w:r>
    </w:p>
    <w:p w14:paraId="7E939CDC" w14:textId="4672A3DC"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Deng, X., Luo, R., Lu, Y., Zhang, C., Chen, Y., Li, X., Yi, Q., &amp; Deng, F. (2025). Study on material basis and mechanism of the expectorant effect by 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Fructus: Integrated network pharmacology, spectrum-effect relationship, metabolomics and pharmacokinetics. </w:t>
      </w:r>
      <w:r w:rsidRPr="00EF2A6C">
        <w:rPr>
          <w:rFonts w:ascii="Times New Roman" w:eastAsia="Times New Roman" w:hAnsi="Times New Roman" w:cs="Times New Roman"/>
          <w:i/>
          <w:iCs/>
          <w:sz w:val="24"/>
          <w:szCs w:val="24"/>
          <w:lang w:val="en-US" w:eastAsia="en-US"/>
        </w:rPr>
        <w:t>Journal of Ethnopharmacology, 351</w:t>
      </w:r>
      <w:r w:rsidRPr="00EF2A6C">
        <w:rPr>
          <w:rFonts w:ascii="Times New Roman" w:eastAsia="Times New Roman" w:hAnsi="Times New Roman" w:cs="Times New Roman"/>
          <w:sz w:val="24"/>
          <w:szCs w:val="24"/>
          <w:lang w:val="en-US" w:eastAsia="en-US"/>
        </w:rPr>
        <w:t xml:space="preserve">, 120118. https://doi.org/10.1016/j.jep.2025.120118 </w:t>
      </w:r>
    </w:p>
    <w:p w14:paraId="7FF5AADD" w14:textId="272E7B86"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Li, X., Liu, X., Gong, Q., Duan, T., Zhang, M., Guo, D., Wu, W., &amp; Deng, F. (2024). </w:t>
      </w:r>
      <w:r w:rsidRPr="00EF2A6C">
        <w:rPr>
          <w:rFonts w:ascii="Times New Roman" w:eastAsia="Times New Roman" w:hAnsi="Times New Roman" w:cs="Times New Roman"/>
          <w:sz w:val="24"/>
          <w:szCs w:val="24"/>
          <w:lang w:val="en-US" w:eastAsia="en-US"/>
        </w:rPr>
        <w:t xml:space="preserve">Discovery of antitussive material basis and mechanisms in 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sz w:val="24"/>
          <w:szCs w:val="24"/>
          <w:lang w:val="en-US" w:eastAsia="en-US"/>
        </w:rPr>
        <w:lastRenderedPageBreak/>
        <w:t xml:space="preserve">Fructus by coupling UHPLC-Q/Orbitrap HRMS combined spectrum-effect relationship and metabolomics analyses. </w:t>
      </w:r>
      <w:r w:rsidRPr="00EF2A6C">
        <w:rPr>
          <w:rFonts w:ascii="Times New Roman" w:eastAsia="Times New Roman" w:hAnsi="Times New Roman" w:cs="Times New Roman"/>
          <w:i/>
          <w:iCs/>
          <w:sz w:val="24"/>
          <w:szCs w:val="24"/>
          <w:lang w:val="en-US" w:eastAsia="en-US"/>
        </w:rPr>
        <w:t>Journal of Chromatography B, 1233</w:t>
      </w:r>
      <w:r w:rsidRPr="00EF2A6C">
        <w:rPr>
          <w:rFonts w:ascii="Times New Roman" w:eastAsia="Times New Roman" w:hAnsi="Times New Roman" w:cs="Times New Roman"/>
          <w:sz w:val="24"/>
          <w:szCs w:val="24"/>
          <w:lang w:val="en-US" w:eastAsia="en-US"/>
        </w:rPr>
        <w:t xml:space="preserve">, 123987. https://doi.org/10.1016/j.jchromb.2023.123987 </w:t>
      </w:r>
    </w:p>
    <w:p w14:paraId="0EA8E5BC" w14:textId="73A0327E"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Zhu, Y., Zhang, Q., Gao, M., Wang, H., He, H., Wang, J., &amp; Chen, K. (2020). Comparisons of chemical profiles and gastroprotective effects of Citri </w:t>
      </w:r>
      <w:proofErr w:type="spellStart"/>
      <w:r w:rsidRPr="00EF2A6C">
        <w:rPr>
          <w:rFonts w:ascii="Times New Roman" w:eastAsia="Times New Roman" w:hAnsi="Times New Roman" w:cs="Times New Roman"/>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Fructus pre- and post-steam processing. </w:t>
      </w:r>
      <w:r w:rsidRPr="00EF2A6C">
        <w:rPr>
          <w:rFonts w:ascii="Times New Roman" w:eastAsia="Times New Roman" w:hAnsi="Times New Roman" w:cs="Times New Roman"/>
          <w:i/>
          <w:iCs/>
          <w:sz w:val="24"/>
          <w:szCs w:val="24"/>
          <w:lang w:val="en-US" w:eastAsia="en-US"/>
        </w:rPr>
        <w:t>Evidence-Based Complementary and Alternative Medicine, 2020</w:t>
      </w:r>
      <w:r w:rsidRPr="00EF2A6C">
        <w:rPr>
          <w:rFonts w:ascii="Times New Roman" w:eastAsia="Times New Roman" w:hAnsi="Times New Roman" w:cs="Times New Roman"/>
          <w:sz w:val="24"/>
          <w:szCs w:val="24"/>
          <w:lang w:val="en-US" w:eastAsia="en-US"/>
        </w:rPr>
        <w:t xml:space="preserve">, 8491375. </w:t>
      </w:r>
      <w:hyperlink r:id="rId8" w:tgtFrame="_blank" w:history="1">
        <w:r w:rsidRPr="00EF2A6C">
          <w:rPr>
            <w:rFonts w:ascii="Times New Roman" w:eastAsia="Times New Roman" w:hAnsi="Times New Roman" w:cs="Times New Roman"/>
            <w:color w:val="0000FF"/>
            <w:sz w:val="24"/>
            <w:szCs w:val="24"/>
            <w:u w:val="single"/>
            <w:lang w:val="en-US" w:eastAsia="en-US"/>
          </w:rPr>
          <w:t>https://doi.org/10.1155/2020/8491375</w:t>
        </w:r>
      </w:hyperlink>
      <w:r w:rsidRPr="00EF2A6C">
        <w:rPr>
          <w:rFonts w:ascii="Times New Roman" w:eastAsia="Times New Roman" w:hAnsi="Times New Roman" w:cs="Times New Roman"/>
          <w:sz w:val="24"/>
          <w:szCs w:val="24"/>
          <w:lang w:val="en-US" w:eastAsia="en-US"/>
        </w:rPr>
        <w:t xml:space="preserve"> </w:t>
      </w:r>
    </w:p>
    <w:p w14:paraId="0082241C" w14:textId="2D6F054E"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Kim, K.-N., Ko, Y.-J., Yang, H.-M., Ham, Y.-M., Roh, S. W., Jeon, Y.-J., Ahn, G., Kang, M.-C., Yoon, W.-J., Kim, D., &amp; Oda, T. (2013). Anti-inflammatory effect of essential oil and its constituents from fingered citron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through blocking JNK, ERK and NF-</w:t>
      </w:r>
      <w:proofErr w:type="spellStart"/>
      <w:r w:rsidRPr="00EF2A6C">
        <w:rPr>
          <w:rFonts w:ascii="Times New Roman" w:eastAsia="Times New Roman" w:hAnsi="Times New Roman" w:cs="Times New Roman"/>
          <w:sz w:val="24"/>
          <w:szCs w:val="24"/>
          <w:lang w:val="en-US" w:eastAsia="en-US"/>
        </w:rPr>
        <w:t>κB</w:t>
      </w:r>
      <w:proofErr w:type="spellEnd"/>
      <w:r w:rsidRPr="00EF2A6C">
        <w:rPr>
          <w:rFonts w:ascii="Times New Roman" w:eastAsia="Times New Roman" w:hAnsi="Times New Roman" w:cs="Times New Roman"/>
          <w:sz w:val="24"/>
          <w:szCs w:val="24"/>
          <w:lang w:val="en-US" w:eastAsia="en-US"/>
        </w:rPr>
        <w:t xml:space="preserve"> signaling pathways in LPS-activated RAW 264.7 cells. </w:t>
      </w:r>
      <w:r w:rsidRPr="00EF2A6C">
        <w:rPr>
          <w:rFonts w:ascii="Times New Roman" w:eastAsia="Times New Roman" w:hAnsi="Times New Roman" w:cs="Times New Roman"/>
          <w:i/>
          <w:iCs/>
          <w:sz w:val="24"/>
          <w:szCs w:val="24"/>
          <w:lang w:val="en-US" w:eastAsia="en-US"/>
        </w:rPr>
        <w:t>Food and Chemical Toxicology, 57</w:t>
      </w:r>
      <w:r w:rsidRPr="00EF2A6C">
        <w:rPr>
          <w:rFonts w:ascii="Times New Roman" w:eastAsia="Times New Roman" w:hAnsi="Times New Roman" w:cs="Times New Roman"/>
          <w:sz w:val="24"/>
          <w:szCs w:val="24"/>
          <w:lang w:val="en-US" w:eastAsia="en-US"/>
        </w:rPr>
        <w:t xml:space="preserve">, 126–131. https://doi.org/10.1016/j.fct.2013.03.017 </w:t>
      </w:r>
    </w:p>
    <w:p w14:paraId="1BAFEC3D" w14:textId="31F556A7"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Li, Z.-H., Cai, M., Liu, Y.-S., Sun, P.-L., &amp; Luo, S.-L. (2019). </w:t>
      </w:r>
      <w:r w:rsidRPr="00EF2A6C">
        <w:rPr>
          <w:rFonts w:ascii="Times New Roman" w:eastAsia="Times New Roman" w:hAnsi="Times New Roman" w:cs="Times New Roman"/>
          <w:sz w:val="24"/>
          <w:szCs w:val="24"/>
          <w:lang w:val="en-US" w:eastAsia="en-US"/>
        </w:rPr>
        <w:t xml:space="preserve">Antibacterial activity and mechanisms of essential oil from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Molecules, 24</w:t>
      </w:r>
      <w:r w:rsidRPr="00EF2A6C">
        <w:rPr>
          <w:rFonts w:ascii="Times New Roman" w:eastAsia="Times New Roman" w:hAnsi="Times New Roman" w:cs="Times New Roman"/>
          <w:sz w:val="24"/>
          <w:szCs w:val="24"/>
          <w:lang w:val="en-US" w:eastAsia="en-US"/>
        </w:rPr>
        <w:t xml:space="preserve">(8), 1577. </w:t>
      </w:r>
      <w:hyperlink r:id="rId9" w:tgtFrame="_blank" w:history="1">
        <w:r w:rsidRPr="00EF2A6C">
          <w:rPr>
            <w:rFonts w:ascii="Times New Roman" w:eastAsia="Times New Roman" w:hAnsi="Times New Roman" w:cs="Times New Roman"/>
            <w:color w:val="0000FF"/>
            <w:sz w:val="24"/>
            <w:szCs w:val="24"/>
            <w:u w:val="single"/>
            <w:lang w:val="en-US" w:eastAsia="en-US"/>
          </w:rPr>
          <w:t>https://doi.org/10.3390/molecules24081577</w:t>
        </w:r>
      </w:hyperlink>
      <w:r w:rsidRPr="00EF2A6C">
        <w:rPr>
          <w:rFonts w:ascii="Times New Roman" w:eastAsia="Times New Roman" w:hAnsi="Times New Roman" w:cs="Times New Roman"/>
          <w:sz w:val="24"/>
          <w:szCs w:val="24"/>
          <w:lang w:val="en-US" w:eastAsia="en-US"/>
        </w:rPr>
        <w:t xml:space="preserve"> </w:t>
      </w:r>
    </w:p>
    <w:p w14:paraId="47069E20" w14:textId="15480662"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Lim, T. K. (2012).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In </w:t>
      </w:r>
      <w:r w:rsidRPr="00EF2A6C">
        <w:rPr>
          <w:rFonts w:ascii="Times New Roman" w:eastAsia="Times New Roman" w:hAnsi="Times New Roman" w:cs="Times New Roman"/>
          <w:i/>
          <w:iCs/>
          <w:sz w:val="24"/>
          <w:szCs w:val="24"/>
          <w:lang w:val="en-US" w:eastAsia="en-US"/>
        </w:rPr>
        <w:t>Edible medicinal and non-medicinal plants: Volume 4, Fruits</w:t>
      </w:r>
      <w:r w:rsidRPr="00EF2A6C">
        <w:rPr>
          <w:rFonts w:ascii="Times New Roman" w:eastAsia="Times New Roman" w:hAnsi="Times New Roman" w:cs="Times New Roman"/>
          <w:sz w:val="24"/>
          <w:szCs w:val="24"/>
          <w:lang w:val="en-US" w:eastAsia="en-US"/>
        </w:rPr>
        <w:t xml:space="preserve"> (pp. 690–694). Springer. https://doi.org/10.1007/978-94-007-4053-2_85 </w:t>
      </w:r>
    </w:p>
    <w:p w14:paraId="63ED1F48" w14:textId="6B2B44A0"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Demircan, B., &amp; </w:t>
      </w:r>
      <w:proofErr w:type="spellStart"/>
      <w:r w:rsidRPr="00EF2A6C">
        <w:rPr>
          <w:rFonts w:ascii="Times New Roman" w:eastAsia="Times New Roman" w:hAnsi="Times New Roman" w:cs="Times New Roman"/>
          <w:sz w:val="24"/>
          <w:szCs w:val="24"/>
          <w:lang w:val="en-US" w:eastAsia="en-US"/>
        </w:rPr>
        <w:t>Velioglu</w:t>
      </w:r>
      <w:proofErr w:type="spellEnd"/>
      <w:r w:rsidRPr="00EF2A6C">
        <w:rPr>
          <w:rFonts w:ascii="Times New Roman" w:eastAsia="Times New Roman" w:hAnsi="Times New Roman" w:cs="Times New Roman"/>
          <w:sz w:val="24"/>
          <w:szCs w:val="24"/>
          <w:lang w:val="en-US" w:eastAsia="en-US"/>
        </w:rPr>
        <w:t xml:space="preserve">, Y. S. (2024). The effect of phenolics from bergamot juice powder extracted with different solvents on the physicochemical and antibacterial properties of chitosan films. </w:t>
      </w:r>
      <w:r w:rsidRPr="00EF2A6C">
        <w:rPr>
          <w:rFonts w:ascii="Times New Roman" w:eastAsia="Times New Roman" w:hAnsi="Times New Roman" w:cs="Times New Roman"/>
          <w:i/>
          <w:iCs/>
          <w:sz w:val="24"/>
          <w:szCs w:val="24"/>
          <w:lang w:val="en-US" w:eastAsia="en-US"/>
        </w:rPr>
        <w:t>Food Packaging and Shelf Life, 42</w:t>
      </w:r>
      <w:r w:rsidRPr="00EF2A6C">
        <w:rPr>
          <w:rFonts w:ascii="Times New Roman" w:eastAsia="Times New Roman" w:hAnsi="Times New Roman" w:cs="Times New Roman"/>
          <w:sz w:val="24"/>
          <w:szCs w:val="24"/>
          <w:lang w:val="en-US" w:eastAsia="en-US"/>
        </w:rPr>
        <w:t xml:space="preserve">, 101265. https://doi.org/10.1016/j.fpsl.2024.101265 </w:t>
      </w:r>
    </w:p>
    <w:p w14:paraId="1AD5F3A9" w14:textId="753027AC"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Wang, E., Li, Y., Maguy, B. L. L., Lou, Z., Wang, H., Zhao, W., &amp; Chen, X. (2019). </w:t>
      </w:r>
      <w:r w:rsidRPr="00EF2A6C">
        <w:rPr>
          <w:rFonts w:ascii="Times New Roman" w:eastAsia="Times New Roman" w:hAnsi="Times New Roman" w:cs="Times New Roman"/>
          <w:sz w:val="24"/>
          <w:szCs w:val="24"/>
          <w:lang w:val="en-US" w:eastAsia="en-US"/>
        </w:rPr>
        <w:t xml:space="preserve">Separation and enrichment of phenolics improved the antibiofilm and antibacterial activity of the fractions from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in vitro and in tofu. </w:t>
      </w:r>
      <w:r w:rsidRPr="00EF2A6C">
        <w:rPr>
          <w:rFonts w:ascii="Times New Roman" w:eastAsia="Times New Roman" w:hAnsi="Times New Roman" w:cs="Times New Roman"/>
          <w:i/>
          <w:iCs/>
          <w:sz w:val="24"/>
          <w:szCs w:val="24"/>
          <w:lang w:val="en-US" w:eastAsia="en-US"/>
        </w:rPr>
        <w:t>Food Chemistry, 294</w:t>
      </w:r>
      <w:r w:rsidRPr="00EF2A6C">
        <w:rPr>
          <w:rFonts w:ascii="Times New Roman" w:eastAsia="Times New Roman" w:hAnsi="Times New Roman" w:cs="Times New Roman"/>
          <w:sz w:val="24"/>
          <w:szCs w:val="24"/>
          <w:lang w:val="en-US" w:eastAsia="en-US"/>
        </w:rPr>
        <w:t xml:space="preserve">, 533–538. https://doi.org/10.1016/j.foodchem.2019.05.038 </w:t>
      </w:r>
    </w:p>
    <w:p w14:paraId="1CF16074" w14:textId="17D479E8"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nl-BE" w:eastAsia="en-US"/>
        </w:rPr>
        <w:t xml:space="preserve">Ma, J.-J., Xie, X., Ma, L.-K., Wang, Q., Xiao, G.-S., &amp; Liu, H.-F. (2026). </w:t>
      </w:r>
      <w:r w:rsidRPr="00EF2A6C">
        <w:rPr>
          <w:rFonts w:ascii="Times New Roman" w:eastAsia="Times New Roman" w:hAnsi="Times New Roman" w:cs="Times New Roman"/>
          <w:sz w:val="24"/>
          <w:szCs w:val="24"/>
          <w:lang w:val="en-US" w:eastAsia="en-US"/>
        </w:rPr>
        <w:t xml:space="preserve">Structural characterization and hypolipidemic activity of polysaccharides from finger citron. </w:t>
      </w:r>
      <w:r w:rsidRPr="00EF2A6C">
        <w:rPr>
          <w:rFonts w:ascii="Times New Roman" w:eastAsia="Times New Roman" w:hAnsi="Times New Roman" w:cs="Times New Roman"/>
          <w:i/>
          <w:iCs/>
          <w:sz w:val="24"/>
          <w:szCs w:val="24"/>
          <w:lang w:val="en-US" w:eastAsia="en-US"/>
        </w:rPr>
        <w:t>Journal of Functional Foods, 138</w:t>
      </w:r>
      <w:r w:rsidRPr="00EF2A6C">
        <w:rPr>
          <w:rFonts w:ascii="Times New Roman" w:eastAsia="Times New Roman" w:hAnsi="Times New Roman" w:cs="Times New Roman"/>
          <w:sz w:val="24"/>
          <w:szCs w:val="24"/>
          <w:lang w:val="en-US" w:eastAsia="en-US"/>
        </w:rPr>
        <w:t xml:space="preserve">, 107185. https://doi.org/10.1016/j.jff.2026.107185 </w:t>
      </w:r>
    </w:p>
    <w:p w14:paraId="730E159C" w14:textId="525217CB"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Peng, C.-H., Ker, Y.-B., Weng, C.-F., Peng, C.-C., Huang, C.-N., Lin, L.-Y., &amp; Peng, R. Y. (2009). Insulin secretagogue bioactivity of finger citron fruit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Hort, </w:t>
      </w:r>
      <w:proofErr w:type="spellStart"/>
      <w:r w:rsidRPr="00EF2A6C">
        <w:rPr>
          <w:rFonts w:ascii="Times New Roman" w:eastAsia="Times New Roman" w:hAnsi="Times New Roman" w:cs="Times New Roman"/>
          <w:sz w:val="24"/>
          <w:szCs w:val="24"/>
          <w:lang w:val="en-US" w:eastAsia="en-US"/>
        </w:rPr>
        <w:t>Rutaceae</w:t>
      </w:r>
      <w:proofErr w:type="spellEnd"/>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Journal of Agricultural and Food Chemistry, 57</w:t>
      </w:r>
      <w:r w:rsidRPr="00EF2A6C">
        <w:rPr>
          <w:rFonts w:ascii="Times New Roman" w:eastAsia="Times New Roman" w:hAnsi="Times New Roman" w:cs="Times New Roman"/>
          <w:sz w:val="24"/>
          <w:szCs w:val="24"/>
          <w:lang w:val="en-US" w:eastAsia="en-US"/>
        </w:rPr>
        <w:t xml:space="preserve">(19), 8812–8819. https://doi.org/10.1021/jf902143x </w:t>
      </w:r>
    </w:p>
    <w:p w14:paraId="7E5FE8D8" w14:textId="375475DB"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Li, Q., Sun, H., Chen, X., Chen, C., Chen, Y., He, H., Yang, F., Wang, D., &amp; Zhou, L. (2026). Integrative network pharmacology, molecular docking, and in vitro insights into the mechanism of finger citron for non-alcoholic fatty liver disease. </w:t>
      </w:r>
      <w:r w:rsidRPr="00EF2A6C">
        <w:rPr>
          <w:rFonts w:ascii="Times New Roman" w:eastAsia="Times New Roman" w:hAnsi="Times New Roman" w:cs="Times New Roman"/>
          <w:i/>
          <w:iCs/>
          <w:sz w:val="24"/>
          <w:szCs w:val="24"/>
          <w:lang w:val="en-US" w:eastAsia="en-US"/>
        </w:rPr>
        <w:t>Food Science &amp; Nutrition, 14</w:t>
      </w:r>
      <w:r w:rsidRPr="00EF2A6C">
        <w:rPr>
          <w:rFonts w:ascii="Times New Roman" w:eastAsia="Times New Roman" w:hAnsi="Times New Roman" w:cs="Times New Roman"/>
          <w:sz w:val="24"/>
          <w:szCs w:val="24"/>
          <w:lang w:val="en-US" w:eastAsia="en-US"/>
        </w:rPr>
        <w:t xml:space="preserve">(4), e71695. https://doi.org/10.1002/fsn3.71695 </w:t>
      </w:r>
    </w:p>
    <w:p w14:paraId="4074AB51" w14:textId="167F5B16"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Luo, X., Wang, J., Chen, H., Zhou, A., Song, M., Zhong, Q., Chen, H., &amp; Cao, Y. (2020). Identification of flavonoids from finger citron and evaluation on their </w:t>
      </w:r>
      <w:r w:rsidRPr="00EF2A6C">
        <w:rPr>
          <w:rFonts w:ascii="Times New Roman" w:eastAsia="Times New Roman" w:hAnsi="Times New Roman" w:cs="Times New Roman"/>
          <w:sz w:val="24"/>
          <w:szCs w:val="24"/>
          <w:lang w:val="en-US" w:eastAsia="en-US"/>
        </w:rPr>
        <w:lastRenderedPageBreak/>
        <w:t xml:space="preserve">antioxidative and antiaging activities. </w:t>
      </w:r>
      <w:r w:rsidRPr="00EF2A6C">
        <w:rPr>
          <w:rFonts w:ascii="Times New Roman" w:eastAsia="Times New Roman" w:hAnsi="Times New Roman" w:cs="Times New Roman"/>
          <w:i/>
          <w:iCs/>
          <w:sz w:val="24"/>
          <w:szCs w:val="24"/>
          <w:lang w:val="en-US" w:eastAsia="en-US"/>
        </w:rPr>
        <w:t>Frontiers in Nutrition, 7</w:t>
      </w:r>
      <w:r w:rsidRPr="00EF2A6C">
        <w:rPr>
          <w:rFonts w:ascii="Times New Roman" w:eastAsia="Times New Roman" w:hAnsi="Times New Roman" w:cs="Times New Roman"/>
          <w:sz w:val="24"/>
          <w:szCs w:val="24"/>
          <w:lang w:val="en-US" w:eastAsia="en-US"/>
        </w:rPr>
        <w:t xml:space="preserve">, 584900. https://doi.org/10.3389/fnut.2020.584900 </w:t>
      </w:r>
    </w:p>
    <w:p w14:paraId="56DD1E36" w14:textId="79813675"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Öztürk, N., Ceylan, H., &amp; Demir, Y. (2024). The hepatoprotective potential of tannic acid against doxorubicin-induced hepatotoxicity: Insights into its antioxidative, anti-inflammatory, and antiapoptotic mechanisms. </w:t>
      </w:r>
      <w:r w:rsidRPr="00EF2A6C">
        <w:rPr>
          <w:rFonts w:ascii="Times New Roman" w:eastAsia="Times New Roman" w:hAnsi="Times New Roman" w:cs="Times New Roman"/>
          <w:i/>
          <w:iCs/>
          <w:sz w:val="24"/>
          <w:szCs w:val="24"/>
          <w:lang w:val="en-US" w:eastAsia="en-US"/>
        </w:rPr>
        <w:t>Journal of Biochemical and Molecular Toxicology, 38</w:t>
      </w:r>
      <w:r w:rsidRPr="00EF2A6C">
        <w:rPr>
          <w:rFonts w:ascii="Times New Roman" w:eastAsia="Times New Roman" w:hAnsi="Times New Roman" w:cs="Times New Roman"/>
          <w:sz w:val="24"/>
          <w:szCs w:val="24"/>
          <w:lang w:val="en-US" w:eastAsia="en-US"/>
        </w:rPr>
        <w:t xml:space="preserve">(8), e23798. https://doi.org/10.1002/jbt.23798 </w:t>
      </w:r>
    </w:p>
    <w:p w14:paraId="7BDCEB02" w14:textId="4D2FF053"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Chen, H., Wang, J., Liu, X., Zhou, A., Xiao, J., Huang, K., Chen, H., &amp; Cao, Y. (2020). Optimization in continuous phase-transition extraction of crude flavonoids from finger citron fruit and evaluation on their antiaging activities. </w:t>
      </w:r>
      <w:r w:rsidRPr="00EF2A6C">
        <w:rPr>
          <w:rFonts w:ascii="Times New Roman" w:eastAsia="Times New Roman" w:hAnsi="Times New Roman" w:cs="Times New Roman"/>
          <w:i/>
          <w:iCs/>
          <w:sz w:val="24"/>
          <w:szCs w:val="24"/>
          <w:lang w:val="en-US" w:eastAsia="en-US"/>
        </w:rPr>
        <w:t>Food Science &amp; Nutrition, 8</w:t>
      </w:r>
      <w:r w:rsidRPr="00EF2A6C">
        <w:rPr>
          <w:rFonts w:ascii="Times New Roman" w:eastAsia="Times New Roman" w:hAnsi="Times New Roman" w:cs="Times New Roman"/>
          <w:sz w:val="24"/>
          <w:szCs w:val="24"/>
          <w:lang w:val="en-US" w:eastAsia="en-US"/>
        </w:rPr>
        <w:t xml:space="preserve">(3), 1636–1648. https://doi.org/10.1002/fsn3.1450 </w:t>
      </w:r>
    </w:p>
    <w:p w14:paraId="6530B36B" w14:textId="6C956EAE"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Wang, F., Hu, H., Li, Y., Zhong, J., Pan, H., Sheng, Y., Bi, Y., &amp; Kong, F. (2024). Characterization, antioxidant and α-amylase inhibition of polysaccharides and phosphorylated derivatives from finger citron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Swingle). </w:t>
      </w:r>
      <w:r w:rsidRPr="00EF2A6C">
        <w:rPr>
          <w:rFonts w:ascii="Times New Roman" w:eastAsia="Times New Roman" w:hAnsi="Times New Roman" w:cs="Times New Roman"/>
          <w:i/>
          <w:iCs/>
          <w:sz w:val="24"/>
          <w:szCs w:val="24"/>
          <w:lang w:val="en-US" w:eastAsia="en-US"/>
        </w:rPr>
        <w:t>Food Bioscience, 59</w:t>
      </w:r>
      <w:r w:rsidRPr="00EF2A6C">
        <w:rPr>
          <w:rFonts w:ascii="Times New Roman" w:eastAsia="Times New Roman" w:hAnsi="Times New Roman" w:cs="Times New Roman"/>
          <w:sz w:val="24"/>
          <w:szCs w:val="24"/>
          <w:lang w:val="en-US" w:eastAsia="en-US"/>
        </w:rPr>
        <w:t xml:space="preserve">, 103985. https://doi.org/10.1016/j.fbio.2024.103985 </w:t>
      </w:r>
    </w:p>
    <w:p w14:paraId="18600E47" w14:textId="28438D54"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Benedetto, N., Carlucci, V., Faraone, I., Lela, L., Ponticelli, M., Russo, D., Mangieri, C., Tzvetkov, N. T., &amp; </w:t>
      </w:r>
      <w:proofErr w:type="spellStart"/>
      <w:r w:rsidRPr="00EF2A6C">
        <w:rPr>
          <w:rFonts w:ascii="Times New Roman" w:eastAsia="Times New Roman" w:hAnsi="Times New Roman" w:cs="Times New Roman"/>
          <w:sz w:val="24"/>
          <w:szCs w:val="24"/>
          <w:lang w:val="en-US" w:eastAsia="en-US"/>
        </w:rPr>
        <w:t>Milella</w:t>
      </w:r>
      <w:proofErr w:type="spellEnd"/>
      <w:r w:rsidRPr="00EF2A6C">
        <w:rPr>
          <w:rFonts w:ascii="Times New Roman" w:eastAsia="Times New Roman" w:hAnsi="Times New Roman" w:cs="Times New Roman"/>
          <w:sz w:val="24"/>
          <w:szCs w:val="24"/>
          <w:lang w:val="en-US" w:eastAsia="en-US"/>
        </w:rPr>
        <w:t xml:space="preserve">, L. (2023). An insight into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Linn.: A systematic review on phytochemical profile and biological activities. </w:t>
      </w:r>
      <w:r w:rsidRPr="00EF2A6C">
        <w:rPr>
          <w:rFonts w:ascii="Times New Roman" w:eastAsia="Times New Roman" w:hAnsi="Times New Roman" w:cs="Times New Roman"/>
          <w:i/>
          <w:iCs/>
          <w:sz w:val="24"/>
          <w:szCs w:val="24"/>
          <w:lang w:val="en-US" w:eastAsia="en-US"/>
        </w:rPr>
        <w:t>Plants, 12</w:t>
      </w:r>
      <w:r w:rsidRPr="00EF2A6C">
        <w:rPr>
          <w:rFonts w:ascii="Times New Roman" w:eastAsia="Times New Roman" w:hAnsi="Times New Roman" w:cs="Times New Roman"/>
          <w:sz w:val="24"/>
          <w:szCs w:val="24"/>
          <w:lang w:val="en-US" w:eastAsia="en-US"/>
        </w:rPr>
        <w:t xml:space="preserve">(12), 2267. </w:t>
      </w:r>
      <w:hyperlink r:id="rId10" w:tgtFrame="_blank" w:history="1">
        <w:r w:rsidRPr="00EF2A6C">
          <w:rPr>
            <w:rFonts w:ascii="Times New Roman" w:eastAsia="Times New Roman" w:hAnsi="Times New Roman" w:cs="Times New Roman"/>
            <w:color w:val="0000FF"/>
            <w:sz w:val="24"/>
            <w:szCs w:val="24"/>
            <w:u w:val="single"/>
            <w:lang w:val="en-US" w:eastAsia="en-US"/>
          </w:rPr>
          <w:t>https://doi.org/10.3390/plants12122267</w:t>
        </w:r>
      </w:hyperlink>
      <w:r w:rsidRPr="00EF2A6C">
        <w:rPr>
          <w:rFonts w:ascii="Times New Roman" w:eastAsia="Times New Roman" w:hAnsi="Times New Roman" w:cs="Times New Roman"/>
          <w:sz w:val="24"/>
          <w:szCs w:val="24"/>
          <w:lang w:val="en-US" w:eastAsia="en-US"/>
        </w:rPr>
        <w:t xml:space="preserve"> </w:t>
      </w:r>
    </w:p>
    <w:p w14:paraId="38107DAE" w14:textId="69DCC509"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Mateus, A. R. S., Teixeira, J. D., Barros, S. C., Almeida, C., Silva, S., &amp; Sanches-Silva, A. (2024). Unlocking the potential of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L.: Antioxidant capacity and phenolic profile across peel, pulp, and seeds. </w:t>
      </w:r>
      <w:r w:rsidRPr="00EF2A6C">
        <w:rPr>
          <w:rFonts w:ascii="Times New Roman" w:eastAsia="Times New Roman" w:hAnsi="Times New Roman" w:cs="Times New Roman"/>
          <w:i/>
          <w:iCs/>
          <w:sz w:val="24"/>
          <w:szCs w:val="24"/>
          <w:lang w:val="en-US" w:eastAsia="en-US"/>
        </w:rPr>
        <w:t>Molecules, 29</w:t>
      </w:r>
      <w:r w:rsidRPr="00EF2A6C">
        <w:rPr>
          <w:rFonts w:ascii="Times New Roman" w:eastAsia="Times New Roman" w:hAnsi="Times New Roman" w:cs="Times New Roman"/>
          <w:sz w:val="24"/>
          <w:szCs w:val="24"/>
          <w:lang w:val="en-US" w:eastAsia="en-US"/>
        </w:rPr>
        <w:t xml:space="preserve">(15), 3533. </w:t>
      </w:r>
      <w:hyperlink r:id="rId11" w:tgtFrame="_blank" w:history="1">
        <w:r w:rsidRPr="00EF2A6C">
          <w:rPr>
            <w:rFonts w:ascii="Times New Roman" w:eastAsia="Times New Roman" w:hAnsi="Times New Roman" w:cs="Times New Roman"/>
            <w:color w:val="0000FF"/>
            <w:sz w:val="24"/>
            <w:szCs w:val="24"/>
            <w:u w:val="single"/>
            <w:lang w:val="en-US" w:eastAsia="en-US"/>
          </w:rPr>
          <w:t>https://doi.org/10.3390/molecules29153533</w:t>
        </w:r>
      </w:hyperlink>
      <w:r w:rsidRPr="00EF2A6C">
        <w:rPr>
          <w:rFonts w:ascii="Times New Roman" w:eastAsia="Times New Roman" w:hAnsi="Times New Roman" w:cs="Times New Roman"/>
          <w:sz w:val="24"/>
          <w:szCs w:val="24"/>
          <w:lang w:val="en-US" w:eastAsia="en-US"/>
        </w:rPr>
        <w:t xml:space="preserve"> </w:t>
      </w:r>
    </w:p>
    <w:p w14:paraId="6BB2456A" w14:textId="2D123B7A"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El Sayed, A. M., El-Abd, E. A. W., Afifi, A. H., Hashim, F. A., </w:t>
      </w:r>
      <w:proofErr w:type="spellStart"/>
      <w:r w:rsidRPr="00EF2A6C">
        <w:rPr>
          <w:rFonts w:ascii="Times New Roman" w:eastAsia="Times New Roman" w:hAnsi="Times New Roman" w:cs="Times New Roman"/>
          <w:sz w:val="24"/>
          <w:szCs w:val="24"/>
          <w:lang w:val="en-US" w:eastAsia="en-US"/>
        </w:rPr>
        <w:t>Kutkat</w:t>
      </w:r>
      <w:proofErr w:type="spellEnd"/>
      <w:r w:rsidRPr="00EF2A6C">
        <w:rPr>
          <w:rFonts w:ascii="Times New Roman" w:eastAsia="Times New Roman" w:hAnsi="Times New Roman" w:cs="Times New Roman"/>
          <w:sz w:val="24"/>
          <w:szCs w:val="24"/>
          <w:lang w:val="en-US" w:eastAsia="en-US"/>
        </w:rPr>
        <w:t xml:space="preserve">, O., Ali, M. A., El Raey, M. A., &amp; El </w:t>
      </w:r>
      <w:proofErr w:type="spellStart"/>
      <w:r w:rsidRPr="00EF2A6C">
        <w:rPr>
          <w:rFonts w:ascii="Times New Roman" w:eastAsia="Times New Roman" w:hAnsi="Times New Roman" w:cs="Times New Roman"/>
          <w:sz w:val="24"/>
          <w:szCs w:val="24"/>
          <w:lang w:val="en-US" w:eastAsia="en-US"/>
        </w:rPr>
        <w:t>Hawary</w:t>
      </w:r>
      <w:proofErr w:type="spellEnd"/>
      <w:r w:rsidRPr="00EF2A6C">
        <w:rPr>
          <w:rFonts w:ascii="Times New Roman" w:eastAsia="Times New Roman" w:hAnsi="Times New Roman" w:cs="Times New Roman"/>
          <w:sz w:val="24"/>
          <w:szCs w:val="24"/>
          <w:lang w:val="en-US" w:eastAsia="en-US"/>
        </w:rPr>
        <w:t xml:space="preserve">, S. S. (2024). Comparative metabolomics analysis of </w:t>
      </w:r>
      <w:r w:rsidRPr="00EF2A6C">
        <w:rPr>
          <w:rFonts w:ascii="Times New Roman" w:eastAsia="Times New Roman" w:hAnsi="Times New Roman" w:cs="Times New Roman"/>
          <w:i/>
          <w:iCs/>
          <w:sz w:val="24"/>
          <w:szCs w:val="24"/>
          <w:lang w:val="en-US" w:eastAsia="en-US"/>
        </w:rPr>
        <w:t>Citrus medica</w:t>
      </w:r>
      <w:r w:rsidRPr="00EF2A6C">
        <w:rPr>
          <w:rFonts w:ascii="Times New Roman" w:eastAsia="Times New Roman" w:hAnsi="Times New Roman" w:cs="Times New Roman"/>
          <w:sz w:val="24"/>
          <w:szCs w:val="24"/>
          <w:lang w:val="en-US" w:eastAsia="en-US"/>
        </w:rPr>
        <w:t xml:space="preserve"> var. </w:t>
      </w:r>
      <w:proofErr w:type="spellStart"/>
      <w:r w:rsidRPr="00EF2A6C">
        <w:rPr>
          <w:rFonts w:ascii="Times New Roman" w:eastAsia="Times New Roman" w:hAnsi="Times New Roman" w:cs="Times New Roman"/>
          <w:i/>
          <w:iCs/>
          <w:sz w:val="24"/>
          <w:szCs w:val="24"/>
          <w:lang w:val="en-US" w:eastAsia="en-US"/>
        </w:rPr>
        <w:t>sarcodactylis</w:t>
      </w:r>
      <w:proofErr w:type="spellEnd"/>
      <w:r w:rsidRPr="00EF2A6C">
        <w:rPr>
          <w:rFonts w:ascii="Times New Roman" w:eastAsia="Times New Roman" w:hAnsi="Times New Roman" w:cs="Times New Roman"/>
          <w:sz w:val="24"/>
          <w:szCs w:val="24"/>
          <w:lang w:val="en-US" w:eastAsia="en-US"/>
        </w:rPr>
        <w:t xml:space="preserve"> Swingle and </w:t>
      </w:r>
      <w:proofErr w:type="spellStart"/>
      <w:r w:rsidRPr="00EF2A6C">
        <w:rPr>
          <w:rFonts w:ascii="Times New Roman" w:eastAsia="Times New Roman" w:hAnsi="Times New Roman" w:cs="Times New Roman"/>
          <w:i/>
          <w:iCs/>
          <w:sz w:val="24"/>
          <w:szCs w:val="24"/>
          <w:lang w:val="en-US" w:eastAsia="en-US"/>
        </w:rPr>
        <w:t>Limonia</w:t>
      </w:r>
      <w:proofErr w:type="spellEnd"/>
      <w:r w:rsidRPr="00EF2A6C">
        <w:rPr>
          <w:rFonts w:ascii="Times New Roman" w:eastAsia="Times New Roman" w:hAnsi="Times New Roman" w:cs="Times New Roman"/>
          <w:i/>
          <w:iCs/>
          <w:sz w:val="24"/>
          <w:szCs w:val="24"/>
          <w:lang w:val="en-US" w:eastAsia="en-US"/>
        </w:rPr>
        <w:t xml:space="preserve"> </w:t>
      </w:r>
      <w:proofErr w:type="spellStart"/>
      <w:r w:rsidRPr="00EF2A6C">
        <w:rPr>
          <w:rFonts w:ascii="Times New Roman" w:eastAsia="Times New Roman" w:hAnsi="Times New Roman" w:cs="Times New Roman"/>
          <w:i/>
          <w:iCs/>
          <w:sz w:val="24"/>
          <w:szCs w:val="24"/>
          <w:lang w:val="en-US" w:eastAsia="en-US"/>
        </w:rPr>
        <w:t>acidissima</w:t>
      </w:r>
      <w:proofErr w:type="spellEnd"/>
      <w:r w:rsidRPr="00EF2A6C">
        <w:rPr>
          <w:rFonts w:ascii="Times New Roman" w:eastAsia="Times New Roman" w:hAnsi="Times New Roman" w:cs="Times New Roman"/>
          <w:sz w:val="24"/>
          <w:szCs w:val="24"/>
          <w:lang w:val="en-US" w:eastAsia="en-US"/>
        </w:rPr>
        <w:t xml:space="preserve"> Linn. fruits and leaves cultivated in Egypt in context to their antiviral effects. </w:t>
      </w:r>
      <w:proofErr w:type="spellStart"/>
      <w:r w:rsidRPr="00EF2A6C">
        <w:rPr>
          <w:rFonts w:ascii="Times New Roman" w:eastAsia="Times New Roman" w:hAnsi="Times New Roman" w:cs="Times New Roman"/>
          <w:i/>
          <w:iCs/>
          <w:sz w:val="24"/>
          <w:szCs w:val="24"/>
          <w:lang w:val="en-US" w:eastAsia="en-US"/>
        </w:rPr>
        <w:t>Heliyon</w:t>
      </w:r>
      <w:proofErr w:type="spellEnd"/>
      <w:r w:rsidRPr="00EF2A6C">
        <w:rPr>
          <w:rFonts w:ascii="Times New Roman" w:eastAsia="Times New Roman" w:hAnsi="Times New Roman" w:cs="Times New Roman"/>
          <w:i/>
          <w:iCs/>
          <w:sz w:val="24"/>
          <w:szCs w:val="24"/>
          <w:lang w:val="en-US" w:eastAsia="en-US"/>
        </w:rPr>
        <w:t>, 10</w:t>
      </w:r>
      <w:r w:rsidRPr="00EF2A6C">
        <w:rPr>
          <w:rFonts w:ascii="Times New Roman" w:eastAsia="Times New Roman" w:hAnsi="Times New Roman" w:cs="Times New Roman"/>
          <w:sz w:val="24"/>
          <w:szCs w:val="24"/>
          <w:lang w:val="en-US" w:eastAsia="en-US"/>
        </w:rPr>
        <w:t xml:space="preserve">(11), e32335. </w:t>
      </w:r>
      <w:hyperlink r:id="rId12" w:tgtFrame="_blank" w:history="1">
        <w:r w:rsidRPr="00EF2A6C">
          <w:rPr>
            <w:rFonts w:ascii="Times New Roman" w:eastAsia="Times New Roman" w:hAnsi="Times New Roman" w:cs="Times New Roman"/>
            <w:color w:val="0000FF"/>
            <w:sz w:val="24"/>
            <w:szCs w:val="24"/>
            <w:u w:val="single"/>
            <w:lang w:val="en-US" w:eastAsia="en-US"/>
          </w:rPr>
          <w:t>https://doi.org/10.1016/j.heliyon.2024.e32335</w:t>
        </w:r>
      </w:hyperlink>
      <w:r w:rsidRPr="00EF2A6C">
        <w:rPr>
          <w:rFonts w:ascii="Times New Roman" w:eastAsia="Times New Roman" w:hAnsi="Times New Roman" w:cs="Times New Roman"/>
          <w:sz w:val="24"/>
          <w:szCs w:val="24"/>
          <w:lang w:val="en-US" w:eastAsia="en-US"/>
        </w:rPr>
        <w:t xml:space="preserve"> </w:t>
      </w:r>
    </w:p>
    <w:p w14:paraId="311DDF1B" w14:textId="68A779D8" w:rsidR="00EF2A6C" w:rsidRPr="00EF2A6C" w:rsidRDefault="00EF2A6C" w:rsidP="00EF2A6C">
      <w:pPr>
        <w:ind w:left="630" w:hanging="630"/>
        <w:jc w:val="both"/>
        <w:rPr>
          <w:rFonts w:ascii="Times New Roman" w:eastAsia="Times New Roman" w:hAnsi="Times New Roman" w:cs="Times New Roman"/>
          <w:sz w:val="24"/>
          <w:szCs w:val="24"/>
          <w:lang w:val="en-US" w:eastAsia="en-US"/>
        </w:rPr>
      </w:pPr>
      <w:r w:rsidRPr="00EF2A6C">
        <w:rPr>
          <w:rFonts w:ascii="Times New Roman" w:eastAsia="Times New Roman" w:hAnsi="Times New Roman" w:cs="Times New Roman"/>
          <w:sz w:val="24"/>
          <w:szCs w:val="24"/>
          <w:lang w:val="en-US" w:eastAsia="en-US"/>
        </w:rPr>
        <w:t xml:space="preserve">Sengupta, S., Khatun, R., Kumari, A., Rai, R., Dutta, S., Mondal, T., Chattaraj, B., &amp; Bhattacharya, M. (2024). Nutritional, antioxidant and antimicrobial properties of citrus peels: A sustainable valorization approach. </w:t>
      </w:r>
      <w:r w:rsidRPr="00EF2A6C">
        <w:rPr>
          <w:rFonts w:ascii="Times New Roman" w:eastAsia="Times New Roman" w:hAnsi="Times New Roman" w:cs="Times New Roman"/>
          <w:i/>
          <w:iCs/>
          <w:sz w:val="24"/>
          <w:szCs w:val="24"/>
          <w:lang w:val="en-US" w:eastAsia="en-US"/>
        </w:rPr>
        <w:t>Microbiology Research Journal International, 34</w:t>
      </w:r>
      <w:r w:rsidRPr="00EF2A6C">
        <w:rPr>
          <w:rFonts w:ascii="Times New Roman" w:eastAsia="Times New Roman" w:hAnsi="Times New Roman" w:cs="Times New Roman"/>
          <w:sz w:val="24"/>
          <w:szCs w:val="24"/>
          <w:lang w:val="en-US" w:eastAsia="en-US"/>
        </w:rPr>
        <w:t xml:space="preserve">(12), 149–161. </w:t>
      </w:r>
      <w:hyperlink r:id="rId13" w:tgtFrame="_blank" w:history="1">
        <w:r w:rsidRPr="00EF2A6C">
          <w:rPr>
            <w:rFonts w:ascii="Times New Roman" w:eastAsia="Times New Roman" w:hAnsi="Times New Roman" w:cs="Times New Roman"/>
            <w:color w:val="0000FF"/>
            <w:sz w:val="24"/>
            <w:szCs w:val="24"/>
            <w:u w:val="single"/>
            <w:lang w:val="en-US" w:eastAsia="en-US"/>
          </w:rPr>
          <w:t>https://doi.org/10.9734/mrji/2024/v34i121517</w:t>
        </w:r>
      </w:hyperlink>
      <w:r w:rsidRPr="00EF2A6C">
        <w:rPr>
          <w:rFonts w:ascii="Times New Roman" w:eastAsia="Times New Roman" w:hAnsi="Times New Roman" w:cs="Times New Roman"/>
          <w:sz w:val="24"/>
          <w:szCs w:val="24"/>
          <w:lang w:val="en-US" w:eastAsia="en-US"/>
        </w:rPr>
        <w:t xml:space="preserve"> </w:t>
      </w:r>
    </w:p>
    <w:p w14:paraId="16397083" w14:textId="79B1DCE7" w:rsidR="006D3C8E" w:rsidRDefault="00EF2A6C" w:rsidP="00EF2A6C">
      <w:pPr>
        <w:spacing w:after="120"/>
        <w:ind w:left="630" w:hanging="630"/>
        <w:jc w:val="both"/>
      </w:pPr>
      <w:proofErr w:type="spellStart"/>
      <w:r w:rsidRPr="00EF2A6C">
        <w:rPr>
          <w:rFonts w:ascii="Times New Roman" w:eastAsia="Times New Roman" w:hAnsi="Times New Roman" w:cs="Times New Roman"/>
          <w:sz w:val="24"/>
          <w:szCs w:val="24"/>
          <w:lang w:val="en-US" w:eastAsia="en-US"/>
        </w:rPr>
        <w:t>Boussoussa</w:t>
      </w:r>
      <w:proofErr w:type="spellEnd"/>
      <w:r w:rsidRPr="00EF2A6C">
        <w:rPr>
          <w:rFonts w:ascii="Times New Roman" w:eastAsia="Times New Roman" w:hAnsi="Times New Roman" w:cs="Times New Roman"/>
          <w:sz w:val="24"/>
          <w:szCs w:val="24"/>
          <w:lang w:val="en-US" w:eastAsia="en-US"/>
        </w:rPr>
        <w:t xml:space="preserve">, H., </w:t>
      </w:r>
      <w:proofErr w:type="spellStart"/>
      <w:r w:rsidRPr="00EF2A6C">
        <w:rPr>
          <w:rFonts w:ascii="Times New Roman" w:eastAsia="Times New Roman" w:hAnsi="Times New Roman" w:cs="Times New Roman"/>
          <w:sz w:val="24"/>
          <w:szCs w:val="24"/>
          <w:lang w:val="en-US" w:eastAsia="en-US"/>
        </w:rPr>
        <w:t>Khacheba</w:t>
      </w:r>
      <w:proofErr w:type="spellEnd"/>
      <w:r w:rsidRPr="00EF2A6C">
        <w:rPr>
          <w:rFonts w:ascii="Times New Roman" w:eastAsia="Times New Roman" w:hAnsi="Times New Roman" w:cs="Times New Roman"/>
          <w:sz w:val="24"/>
          <w:szCs w:val="24"/>
          <w:lang w:val="en-US" w:eastAsia="en-US"/>
        </w:rPr>
        <w:t xml:space="preserve">, I., </w:t>
      </w:r>
      <w:proofErr w:type="spellStart"/>
      <w:r w:rsidRPr="00EF2A6C">
        <w:rPr>
          <w:rFonts w:ascii="Times New Roman" w:eastAsia="Times New Roman" w:hAnsi="Times New Roman" w:cs="Times New Roman"/>
          <w:sz w:val="24"/>
          <w:szCs w:val="24"/>
          <w:lang w:val="en-US" w:eastAsia="en-US"/>
        </w:rPr>
        <w:t>Boukhalkhal</w:t>
      </w:r>
      <w:proofErr w:type="spellEnd"/>
      <w:r w:rsidRPr="00EF2A6C">
        <w:rPr>
          <w:rFonts w:ascii="Times New Roman" w:eastAsia="Times New Roman" w:hAnsi="Times New Roman" w:cs="Times New Roman"/>
          <w:sz w:val="24"/>
          <w:szCs w:val="24"/>
          <w:lang w:val="en-US" w:eastAsia="en-US"/>
        </w:rPr>
        <w:t xml:space="preserve">, S., Lamri, Y., </w:t>
      </w:r>
      <w:proofErr w:type="spellStart"/>
      <w:r w:rsidRPr="00EF2A6C">
        <w:rPr>
          <w:rFonts w:ascii="Times New Roman" w:eastAsia="Times New Roman" w:hAnsi="Times New Roman" w:cs="Times New Roman"/>
          <w:sz w:val="24"/>
          <w:szCs w:val="24"/>
          <w:lang w:val="en-US" w:eastAsia="en-US"/>
        </w:rPr>
        <w:t>Bouti</w:t>
      </w:r>
      <w:proofErr w:type="spellEnd"/>
      <w:r w:rsidRPr="00EF2A6C">
        <w:rPr>
          <w:rFonts w:ascii="Times New Roman" w:eastAsia="Times New Roman" w:hAnsi="Times New Roman" w:cs="Times New Roman"/>
          <w:sz w:val="24"/>
          <w:szCs w:val="24"/>
          <w:lang w:val="en-US" w:eastAsia="en-US"/>
        </w:rPr>
        <w:t xml:space="preserve">, A., Silva, A. M. S., &amp; </w:t>
      </w:r>
      <w:proofErr w:type="spellStart"/>
      <w:r w:rsidRPr="00EF2A6C">
        <w:rPr>
          <w:rFonts w:ascii="Times New Roman" w:eastAsia="Times New Roman" w:hAnsi="Times New Roman" w:cs="Times New Roman"/>
          <w:sz w:val="24"/>
          <w:szCs w:val="24"/>
          <w:lang w:val="en-US" w:eastAsia="en-US"/>
        </w:rPr>
        <w:t>Yousfi</w:t>
      </w:r>
      <w:proofErr w:type="spellEnd"/>
      <w:r w:rsidRPr="00EF2A6C">
        <w:rPr>
          <w:rFonts w:ascii="Times New Roman" w:eastAsia="Times New Roman" w:hAnsi="Times New Roman" w:cs="Times New Roman"/>
          <w:sz w:val="24"/>
          <w:szCs w:val="24"/>
          <w:lang w:val="en-US" w:eastAsia="en-US"/>
        </w:rPr>
        <w:t xml:space="preserve">, M. (2022). Chemical composition by GC-MS, antioxidant and antibacterial activities of peels and leaves extracts from </w:t>
      </w:r>
      <w:r w:rsidRPr="00EF2A6C">
        <w:rPr>
          <w:rFonts w:ascii="Times New Roman" w:eastAsia="Times New Roman" w:hAnsi="Times New Roman" w:cs="Times New Roman"/>
          <w:i/>
          <w:iCs/>
          <w:sz w:val="24"/>
          <w:szCs w:val="24"/>
          <w:lang w:val="en-US" w:eastAsia="en-US"/>
        </w:rPr>
        <w:t>Citrus limon</w:t>
      </w:r>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Citrus sinensis</w:t>
      </w:r>
      <w:r w:rsidRPr="00EF2A6C">
        <w:rPr>
          <w:rFonts w:ascii="Times New Roman" w:eastAsia="Times New Roman" w:hAnsi="Times New Roman" w:cs="Times New Roman"/>
          <w:sz w:val="24"/>
          <w:szCs w:val="24"/>
          <w:lang w:val="en-US" w:eastAsia="en-US"/>
        </w:rPr>
        <w:t xml:space="preserve"> and </w:t>
      </w:r>
      <w:r w:rsidRPr="00EF2A6C">
        <w:rPr>
          <w:rFonts w:ascii="Times New Roman" w:eastAsia="Times New Roman" w:hAnsi="Times New Roman" w:cs="Times New Roman"/>
          <w:i/>
          <w:iCs/>
          <w:sz w:val="24"/>
          <w:szCs w:val="24"/>
          <w:lang w:val="en-US" w:eastAsia="en-US"/>
        </w:rPr>
        <w:t>Citrus reticulata</w:t>
      </w:r>
      <w:r w:rsidRPr="00EF2A6C">
        <w:rPr>
          <w:rFonts w:ascii="Times New Roman" w:eastAsia="Times New Roman" w:hAnsi="Times New Roman" w:cs="Times New Roman"/>
          <w:sz w:val="24"/>
          <w:szCs w:val="24"/>
          <w:lang w:val="en-US" w:eastAsia="en-US"/>
        </w:rPr>
        <w:t xml:space="preserve">. </w:t>
      </w:r>
      <w:r w:rsidRPr="00EF2A6C">
        <w:rPr>
          <w:rFonts w:ascii="Times New Roman" w:eastAsia="Times New Roman" w:hAnsi="Times New Roman" w:cs="Times New Roman"/>
          <w:i/>
          <w:iCs/>
          <w:sz w:val="24"/>
          <w:szCs w:val="24"/>
          <w:lang w:val="en-US" w:eastAsia="en-US"/>
        </w:rPr>
        <w:t>Plant Cell Biotechnology and Molecular Biology, 23</w:t>
      </w:r>
      <w:r w:rsidRPr="00EF2A6C">
        <w:rPr>
          <w:rFonts w:ascii="Times New Roman" w:eastAsia="Times New Roman" w:hAnsi="Times New Roman" w:cs="Times New Roman"/>
          <w:sz w:val="24"/>
          <w:szCs w:val="24"/>
          <w:lang w:val="en-US" w:eastAsia="en-US"/>
        </w:rPr>
        <w:t xml:space="preserve">(35–36), 86–90. </w:t>
      </w:r>
      <w:hyperlink r:id="rId14" w:tgtFrame="_blank" w:history="1">
        <w:r w:rsidRPr="00EF2A6C">
          <w:rPr>
            <w:rFonts w:ascii="Times New Roman" w:eastAsia="Times New Roman" w:hAnsi="Times New Roman" w:cs="Times New Roman"/>
            <w:color w:val="0000FF"/>
            <w:sz w:val="24"/>
            <w:szCs w:val="24"/>
            <w:u w:val="single"/>
            <w:lang w:val="en-US" w:eastAsia="en-US"/>
          </w:rPr>
          <w:t>https://doi.org/10.56557/pcbmb/2022/v23i35-367885</w:t>
        </w:r>
      </w:hyperlink>
    </w:p>
    <w:sectPr w:rsidR="006D3C8E" w:rsidSect="00722AFD">
      <w:headerReference w:type="even" r:id="rId15"/>
      <w:headerReference w:type="default" r:id="rId16"/>
      <w:headerReference w:type="first" r:id="rId17"/>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0B794" w14:textId="77777777" w:rsidR="00CB38B8" w:rsidRDefault="00CB38B8">
      <w:r>
        <w:separator/>
      </w:r>
    </w:p>
  </w:endnote>
  <w:endnote w:type="continuationSeparator" w:id="0">
    <w:p w14:paraId="5D994F59" w14:textId="77777777" w:rsidR="00CB38B8" w:rsidRDefault="00CB3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9928" w14:textId="77777777" w:rsidR="00CB38B8" w:rsidRDefault="00CB38B8">
      <w:r>
        <w:separator/>
      </w:r>
    </w:p>
  </w:footnote>
  <w:footnote w:type="continuationSeparator" w:id="0">
    <w:p w14:paraId="3CEA797E" w14:textId="77777777" w:rsidR="00CB38B8" w:rsidRDefault="00CB3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B81F" w14:textId="77777777" w:rsidR="00722AFD" w:rsidRDefault="00000000">
    <w:pPr>
      <w:pStyle w:val="Header"/>
    </w:pPr>
    <w:r>
      <w:rPr>
        <w:noProof/>
      </w:rPr>
      <w:pict w14:anchorId="4014DF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7BAC" w14:textId="77777777" w:rsidR="00722AFD" w:rsidRDefault="00000000">
    <w:pPr>
      <w:pStyle w:val="Header"/>
    </w:pPr>
    <w:r>
      <w:rPr>
        <w:noProof/>
      </w:rPr>
      <w:pict w14:anchorId="09D463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2479" w14:textId="77777777" w:rsidR="00722AFD" w:rsidRDefault="00000000">
    <w:pPr>
      <w:pStyle w:val="Header"/>
    </w:pPr>
    <w:r>
      <w:rPr>
        <w:noProof/>
      </w:rPr>
      <w:pict w14:anchorId="40A86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4"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46281"/>
    <w:multiLevelType w:val="hybridMultilevel"/>
    <w:tmpl w:val="5542421E"/>
    <w:lvl w:ilvl="0" w:tplc="0972BEC2">
      <w:start w:val="1"/>
      <w:numFmt w:val="bullet"/>
      <w:lvlText w:val="●"/>
      <w:lvlJc w:val="left"/>
      <w:pPr>
        <w:ind w:left="720" w:hanging="360"/>
      </w:pPr>
    </w:lvl>
    <w:lvl w:ilvl="1" w:tplc="8FC4E6AA">
      <w:start w:val="1"/>
      <w:numFmt w:val="bullet"/>
      <w:lvlText w:val="○"/>
      <w:lvlJc w:val="left"/>
      <w:pPr>
        <w:ind w:left="1440" w:hanging="360"/>
      </w:pPr>
    </w:lvl>
    <w:lvl w:ilvl="2" w:tplc="BD389DB0">
      <w:start w:val="1"/>
      <w:numFmt w:val="bullet"/>
      <w:lvlText w:val="■"/>
      <w:lvlJc w:val="left"/>
      <w:pPr>
        <w:ind w:left="2160" w:hanging="360"/>
      </w:pPr>
    </w:lvl>
    <w:lvl w:ilvl="3" w:tplc="EE42F850">
      <w:start w:val="1"/>
      <w:numFmt w:val="bullet"/>
      <w:lvlText w:val="●"/>
      <w:lvlJc w:val="left"/>
      <w:pPr>
        <w:ind w:left="2880" w:hanging="360"/>
      </w:pPr>
    </w:lvl>
    <w:lvl w:ilvl="4" w:tplc="D548D65E">
      <w:start w:val="1"/>
      <w:numFmt w:val="bullet"/>
      <w:lvlText w:val="○"/>
      <w:lvlJc w:val="left"/>
      <w:pPr>
        <w:ind w:left="3600" w:hanging="360"/>
      </w:pPr>
    </w:lvl>
    <w:lvl w:ilvl="5" w:tplc="4C083BBA">
      <w:start w:val="1"/>
      <w:numFmt w:val="bullet"/>
      <w:lvlText w:val="■"/>
      <w:lvlJc w:val="left"/>
      <w:pPr>
        <w:ind w:left="4320" w:hanging="360"/>
      </w:pPr>
    </w:lvl>
    <w:lvl w:ilvl="6" w:tplc="A18AB506">
      <w:start w:val="1"/>
      <w:numFmt w:val="bullet"/>
      <w:lvlText w:val="●"/>
      <w:lvlJc w:val="left"/>
      <w:pPr>
        <w:ind w:left="5040" w:hanging="360"/>
      </w:pPr>
    </w:lvl>
    <w:lvl w:ilvl="7" w:tplc="1AACA2E8">
      <w:start w:val="1"/>
      <w:numFmt w:val="bullet"/>
      <w:lvlText w:val="●"/>
      <w:lvlJc w:val="left"/>
      <w:pPr>
        <w:ind w:left="5760" w:hanging="360"/>
      </w:pPr>
    </w:lvl>
    <w:lvl w:ilvl="8" w:tplc="1C788418">
      <w:start w:val="1"/>
      <w:numFmt w:val="bullet"/>
      <w:lvlText w:val="●"/>
      <w:lvlJc w:val="left"/>
      <w:pPr>
        <w:ind w:left="6480" w:hanging="360"/>
      </w:pPr>
    </w:lvl>
  </w:abstractNum>
  <w:abstractNum w:abstractNumId="1" w15:restartNumberingAfterBreak="0">
    <w:nsid w:val="4B250D88"/>
    <w:multiLevelType w:val="hybridMultilevel"/>
    <w:tmpl w:val="0ECADEF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92DC1"/>
    <w:multiLevelType w:val="hybridMultilevel"/>
    <w:tmpl w:val="0CDCC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624850">
    <w:abstractNumId w:val="0"/>
    <w:lvlOverride w:ilvl="0">
      <w:startOverride w:val="1"/>
    </w:lvlOverride>
  </w:num>
  <w:num w:numId="2" w16cid:durableId="292102288">
    <w:abstractNumId w:val="2"/>
  </w:num>
  <w:num w:numId="3" w16cid:durableId="1427925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3F6"/>
    <w:rsid w:val="00080FAE"/>
    <w:rsid w:val="00151776"/>
    <w:rsid w:val="00283888"/>
    <w:rsid w:val="002A0FC6"/>
    <w:rsid w:val="002B1471"/>
    <w:rsid w:val="00350B23"/>
    <w:rsid w:val="003A4A59"/>
    <w:rsid w:val="00425D51"/>
    <w:rsid w:val="00503E72"/>
    <w:rsid w:val="00552770"/>
    <w:rsid w:val="006821FC"/>
    <w:rsid w:val="006D3C8E"/>
    <w:rsid w:val="00713E64"/>
    <w:rsid w:val="00722AFD"/>
    <w:rsid w:val="00773BD6"/>
    <w:rsid w:val="00777699"/>
    <w:rsid w:val="007A5C77"/>
    <w:rsid w:val="00981F31"/>
    <w:rsid w:val="00990ED6"/>
    <w:rsid w:val="009D7285"/>
    <w:rsid w:val="009E0A63"/>
    <w:rsid w:val="009E33F6"/>
    <w:rsid w:val="009E7852"/>
    <w:rsid w:val="00A65629"/>
    <w:rsid w:val="00AB1E31"/>
    <w:rsid w:val="00B44F95"/>
    <w:rsid w:val="00B62353"/>
    <w:rsid w:val="00BE1036"/>
    <w:rsid w:val="00BE315C"/>
    <w:rsid w:val="00CB38B8"/>
    <w:rsid w:val="00CC2316"/>
    <w:rsid w:val="00D87462"/>
    <w:rsid w:val="00E10AC9"/>
    <w:rsid w:val="00E35E47"/>
    <w:rsid w:val="00EF0A51"/>
    <w:rsid w:val="00EF2A6C"/>
    <w:rsid w:val="00F67BF9"/>
    <w:rsid w:val="00FD52D6"/>
    <w:rsid w:val="00FF1C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9644C"/>
  <w15:docId w15:val="{F8D8E4C7-85E3-4C96-8667-0D788F85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552770"/>
  </w:style>
  <w:style w:type="paragraph" w:styleId="Header">
    <w:name w:val="header"/>
    <w:basedOn w:val="Normal"/>
    <w:link w:val="HeaderChar"/>
    <w:uiPriority w:val="99"/>
    <w:unhideWhenUsed/>
    <w:rsid w:val="00981F31"/>
    <w:pPr>
      <w:tabs>
        <w:tab w:val="center" w:pos="4513"/>
        <w:tab w:val="right" w:pos="9026"/>
      </w:tabs>
    </w:pPr>
  </w:style>
  <w:style w:type="character" w:customStyle="1" w:styleId="HeaderChar">
    <w:name w:val="Header Char"/>
    <w:basedOn w:val="DefaultParagraphFont"/>
    <w:link w:val="Header"/>
    <w:uiPriority w:val="99"/>
    <w:rsid w:val="00981F31"/>
  </w:style>
  <w:style w:type="paragraph" w:styleId="Footer">
    <w:name w:val="footer"/>
    <w:basedOn w:val="Normal"/>
    <w:link w:val="FooterChar"/>
    <w:uiPriority w:val="99"/>
    <w:unhideWhenUsed/>
    <w:rsid w:val="00981F31"/>
    <w:pPr>
      <w:tabs>
        <w:tab w:val="center" w:pos="4513"/>
        <w:tab w:val="right" w:pos="9026"/>
      </w:tabs>
    </w:pPr>
  </w:style>
  <w:style w:type="character" w:customStyle="1" w:styleId="FooterChar">
    <w:name w:val="Footer Char"/>
    <w:basedOn w:val="DefaultParagraphFont"/>
    <w:link w:val="Footer"/>
    <w:uiPriority w:val="99"/>
    <w:rsid w:val="00981F31"/>
  </w:style>
  <w:style w:type="paragraph" w:styleId="NormalWeb">
    <w:name w:val="Normal (Web)"/>
    <w:basedOn w:val="Normal"/>
    <w:uiPriority w:val="99"/>
    <w:semiHidden/>
    <w:unhideWhenUsed/>
    <w:rsid w:val="00D87462"/>
    <w:pPr>
      <w:spacing w:before="100" w:beforeAutospacing="1" w:after="100" w:afterAutospacing="1"/>
    </w:pPr>
    <w:rPr>
      <w:rFonts w:ascii="Times New Roman" w:eastAsia="Times New Roman" w:hAnsi="Times New Roman" w:cs="Times New Roman"/>
      <w:sz w:val="24"/>
      <w:szCs w:val="24"/>
      <w:lang w:val="en-US" w:eastAsia="zh-CN"/>
    </w:rPr>
  </w:style>
  <w:style w:type="paragraph" w:styleId="BodyText">
    <w:name w:val="Body Text"/>
    <w:basedOn w:val="Normal"/>
    <w:link w:val="BodyTextChar"/>
    <w:qFormat/>
    <w:rsid w:val="009D7285"/>
    <w:pPr>
      <w:spacing w:before="180" w:after="180"/>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9D7285"/>
    <w:rPr>
      <w:rFonts w:asciiTheme="minorHAnsi" w:eastAsiaTheme="minorHAnsi"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55/2020/8491375?utm_source=chatgpt.com" TargetMode="External"/><Relationship Id="rId13" Type="http://schemas.openxmlformats.org/officeDocument/2006/relationships/hyperlink" Target="https://doi.org/10.9734/mrji/2024/v34i121517?utm_source=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390/molecules27051666?utm_source=chatgpt.com" TargetMode="External"/><Relationship Id="rId12" Type="http://schemas.openxmlformats.org/officeDocument/2006/relationships/hyperlink" Target="https://doi.org/10.1016/j.heliyon.2024.e32335?utm_source=chatgpt.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molecules29153533?utm_source=chatgpt.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3390/plants12122267?utm_source=chatgp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90/molecules24081577?utm_source=chatgpt.com" TargetMode="External"/><Relationship Id="rId14" Type="http://schemas.openxmlformats.org/officeDocument/2006/relationships/hyperlink" Target="https://doi.org/10.56557/pcbmb/2022/v23i35-367885?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18</Pages>
  <Words>9066</Words>
  <Characters>51678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22</cp:revision>
  <dcterms:created xsi:type="dcterms:W3CDTF">2026-09-07T23:45:00Z</dcterms:created>
  <dcterms:modified xsi:type="dcterms:W3CDTF">2026-09-14T08:22:00Z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d6449180-f96f-4724-b641-57ecd5ec693a</vt:lpwstr>
  </property>
</Properties>
</file>