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BFCF9" w14:textId="77777777" w:rsidR="00510C23" w:rsidRDefault="00000000">
      <w:pPr>
        <w:spacing w:after="240" w:line="400" w:lineRule="auto"/>
        <w:jc w:val="right"/>
      </w:pPr>
      <w:r>
        <w:rPr>
          <w:b/>
          <w:bCs/>
          <w:sz w:val="36"/>
          <w:szCs w:val="36"/>
        </w:rPr>
        <w:t>Evaluation of Acute Oral Toxicity, Anti-inflammatory and Anti-</w:t>
      </w:r>
      <w:proofErr w:type="spellStart"/>
      <w:r>
        <w:rPr>
          <w:b/>
          <w:bCs/>
          <w:sz w:val="36"/>
          <w:szCs w:val="36"/>
        </w:rPr>
        <w:t>hyperuricemic</w:t>
      </w:r>
      <w:proofErr w:type="spellEnd"/>
      <w:r>
        <w:rPr>
          <w:b/>
          <w:bCs/>
          <w:sz w:val="36"/>
          <w:szCs w:val="36"/>
        </w:rPr>
        <w:t xml:space="preserve"> Activities of the Herbal Remedy </w:t>
      </w:r>
      <w:proofErr w:type="spellStart"/>
      <w:r>
        <w:rPr>
          <w:b/>
          <w:bCs/>
          <w:sz w:val="36"/>
          <w:szCs w:val="36"/>
        </w:rPr>
        <w:t>Lamgout</w:t>
      </w:r>
      <w:proofErr w:type="spellEnd"/>
      <w:r>
        <w:rPr>
          <w:b/>
          <w:bCs/>
          <w:sz w:val="36"/>
          <w:szCs w:val="36"/>
        </w:rPr>
        <w:t xml:space="preserve"> in Mice</w:t>
      </w:r>
    </w:p>
    <w:p w14:paraId="7FE49E77" w14:textId="77777777" w:rsidR="00CA3849" w:rsidRDefault="00CA3849">
      <w:pPr>
        <w:pBdr>
          <w:bottom w:val="single" w:sz="6" w:space="8" w:color="000000"/>
        </w:pBdr>
        <w:spacing w:after="240"/>
        <w:jc w:val="right"/>
      </w:pPr>
    </w:p>
    <w:p w14:paraId="00A03C69" w14:textId="77777777" w:rsidR="00510C23" w:rsidRDefault="00000000">
      <w:pPr>
        <w:spacing w:before="120" w:after="120"/>
        <w:rPr>
          <w:b/>
          <w:bCs/>
          <w:caps/>
          <w:sz w:val="22"/>
          <w:szCs w:val="22"/>
        </w:rPr>
      </w:pPr>
      <w:r>
        <w:rPr>
          <w:b/>
          <w:bCs/>
          <w:caps/>
          <w:sz w:val="22"/>
          <w:szCs w:val="22"/>
        </w:rPr>
        <w:t>Abstract</w:t>
      </w:r>
    </w:p>
    <w:p w14:paraId="1E3A4151" w14:textId="77777777" w:rsidR="00CE50DD" w:rsidRPr="00CC1E22" w:rsidRDefault="00CE50DD" w:rsidP="00387158">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Background:</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Lamgout</w:t>
      </w:r>
      <w:proofErr w:type="spellEnd"/>
      <w:r>
        <w:rPr>
          <w:rFonts w:ascii="Times New Roman" w:eastAsia="Times New Roman" w:hAnsi="Times New Roman" w:cs="Times New Roman"/>
          <w:sz w:val="24"/>
          <w:szCs w:val="24"/>
        </w:rPr>
        <w:t xml:space="preserve"> is a herbal preparation containing eight medicinal plants and was experimentally</w:t>
      </w:r>
      <w:r>
        <w:rPr>
          <w:rFonts w:ascii="Times New Roman" w:eastAsia="Times New Roman" w:hAnsi="Times New Roman" w:cs="Times New Roman"/>
          <w:sz w:val="24"/>
          <w:szCs w:val="24"/>
          <w:highlight w:val="yellow"/>
        </w:rPr>
        <w:t xml:space="preserve"> evaluated</w:t>
      </w:r>
      <w:r>
        <w:rPr>
          <w:rFonts w:ascii="Times New Roman" w:eastAsia="Times New Roman" w:hAnsi="Times New Roman" w:cs="Times New Roman"/>
          <w:sz w:val="24"/>
          <w:szCs w:val="24"/>
        </w:rPr>
        <w:t xml:space="preserve"> for acute oral toxicity, anti-inflammatory activity, and uric acid-lowering effects in mice. </w:t>
      </w:r>
      <w:r>
        <w:rPr>
          <w:rFonts w:ascii="Times New Roman" w:eastAsia="Times New Roman" w:hAnsi="Times New Roman" w:cs="Times New Roman"/>
          <w:b/>
          <w:bCs/>
          <w:sz w:val="24"/>
          <w:szCs w:val="24"/>
        </w:rPr>
        <w:t>Methods:</w:t>
      </w:r>
      <w:r>
        <w:rPr>
          <w:rFonts w:ascii="Times New Roman" w:eastAsia="Times New Roman" w:hAnsi="Times New Roman" w:cs="Times New Roman"/>
          <w:sz w:val="24"/>
          <w:szCs w:val="24"/>
        </w:rPr>
        <w:t xml:space="preserve"> Swiss albino mice were used for the experiments. Acute oral toxicity was assessed following administration of the maximum feasible volume of </w:t>
      </w:r>
      <w:proofErr w:type="spellStart"/>
      <w:r>
        <w:rPr>
          <w:rFonts w:ascii="Times New Roman" w:eastAsia="Times New Roman" w:hAnsi="Times New Roman" w:cs="Times New Roman"/>
          <w:sz w:val="24"/>
          <w:szCs w:val="24"/>
        </w:rPr>
        <w:t>Lamgout</w:t>
      </w:r>
      <w:proofErr w:type="spellEnd"/>
      <w:r>
        <w:rPr>
          <w:rFonts w:ascii="Times New Roman" w:eastAsia="Times New Roman" w:hAnsi="Times New Roman" w:cs="Times New Roman"/>
          <w:sz w:val="24"/>
          <w:szCs w:val="24"/>
        </w:rPr>
        <w:t xml:space="preserve"> extract, corresponding to 182 g of dried herbal material/kg, </w:t>
      </w:r>
      <w:r>
        <w:rPr>
          <w:rFonts w:ascii="Times New Roman" w:eastAsia="Times New Roman" w:hAnsi="Times New Roman" w:cs="Times New Roman"/>
          <w:sz w:val="24"/>
          <w:szCs w:val="24"/>
          <w:highlight w:val="yellow"/>
        </w:rPr>
        <w:t xml:space="preserve">and </w:t>
      </w:r>
      <w:r>
        <w:rPr>
          <w:rFonts w:ascii="Times New Roman" w:eastAsia="Times New Roman" w:hAnsi="Times New Roman" w:cs="Times New Roman"/>
          <w:sz w:val="24"/>
          <w:szCs w:val="24"/>
        </w:rPr>
        <w:t>th</w:t>
      </w:r>
      <w:r>
        <w:rPr>
          <w:rFonts w:ascii="Times New Roman" w:eastAsia="Times New Roman" w:hAnsi="Times New Roman" w:cs="Times New Roman"/>
          <w:sz w:val="24"/>
          <w:szCs w:val="24"/>
          <w:highlight w:val="yellow"/>
        </w:rPr>
        <w:t>e animals were</w:t>
      </w:r>
      <w:r>
        <w:rPr>
          <w:rFonts w:ascii="Times New Roman" w:eastAsia="Times New Roman" w:hAnsi="Times New Roman" w:cs="Times New Roman"/>
          <w:sz w:val="24"/>
          <w:szCs w:val="24"/>
        </w:rPr>
        <w:t xml:space="preserve"> observ</w:t>
      </w:r>
      <w:r>
        <w:rPr>
          <w:rFonts w:ascii="Times New Roman" w:eastAsia="Times New Roman" w:hAnsi="Times New Roman" w:cs="Times New Roman"/>
          <w:sz w:val="24"/>
          <w:szCs w:val="24"/>
          <w:highlight w:val="yellow"/>
        </w:rPr>
        <w:t>ed</w:t>
      </w:r>
      <w:r>
        <w:rPr>
          <w:rFonts w:ascii="Times New Roman" w:eastAsia="Times New Roman" w:hAnsi="Times New Roman" w:cs="Times New Roman"/>
          <w:sz w:val="24"/>
          <w:szCs w:val="24"/>
        </w:rPr>
        <w:t xml:space="preserve"> for up to 14 days. Anti-inflammatory activity was evaluated using </w:t>
      </w:r>
      <w:r>
        <w:rPr>
          <w:rFonts w:ascii="Times New Roman" w:eastAsia="Times New Roman" w:hAnsi="Times New Roman" w:cs="Times New Roman"/>
          <w:sz w:val="24"/>
          <w:szCs w:val="24"/>
          <w:highlight w:val="yellow"/>
        </w:rPr>
        <w:t xml:space="preserve">a </w:t>
      </w:r>
      <w:r>
        <w:rPr>
          <w:rFonts w:ascii="Times New Roman" w:eastAsia="Times New Roman" w:hAnsi="Times New Roman" w:cs="Times New Roman"/>
          <w:sz w:val="24"/>
          <w:szCs w:val="24"/>
        </w:rPr>
        <w:t xml:space="preserve">1% carrageenan-induced hind paw </w:t>
      </w:r>
      <w:r>
        <w:rPr>
          <w:rFonts w:ascii="Times New Roman" w:eastAsia="Times New Roman" w:hAnsi="Times New Roman" w:cs="Times New Roman"/>
          <w:sz w:val="24"/>
          <w:szCs w:val="24"/>
          <w:highlight w:val="yellow"/>
        </w:rPr>
        <w:t>o</w:t>
      </w:r>
      <w:r>
        <w:rPr>
          <w:rFonts w:ascii="Times New Roman" w:eastAsia="Times New Roman" w:hAnsi="Times New Roman" w:cs="Times New Roman"/>
          <w:sz w:val="24"/>
          <w:szCs w:val="24"/>
        </w:rPr>
        <w:t>edema</w:t>
      </w:r>
      <w:r>
        <w:rPr>
          <w:rFonts w:ascii="Times New Roman" w:eastAsia="Times New Roman" w:hAnsi="Times New Roman" w:cs="Times New Roman"/>
          <w:sz w:val="24"/>
          <w:szCs w:val="24"/>
          <w:highlight w:val="yellow"/>
        </w:rPr>
        <w:t xml:space="preserve"> model</w:t>
      </w:r>
      <w:r>
        <w:rPr>
          <w:rFonts w:ascii="Times New Roman" w:eastAsia="Times New Roman" w:hAnsi="Times New Roman" w:cs="Times New Roman"/>
          <w:sz w:val="24"/>
          <w:szCs w:val="24"/>
        </w:rPr>
        <w:t xml:space="preserve"> after oral treatment with </w:t>
      </w:r>
      <w:proofErr w:type="spellStart"/>
      <w:r>
        <w:rPr>
          <w:rFonts w:ascii="Times New Roman" w:eastAsia="Times New Roman" w:hAnsi="Times New Roman" w:cs="Times New Roman"/>
          <w:sz w:val="24"/>
          <w:szCs w:val="24"/>
        </w:rPr>
        <w:t>Lamgout</w:t>
      </w:r>
      <w:proofErr w:type="spellEnd"/>
      <w:r>
        <w:rPr>
          <w:rFonts w:ascii="Times New Roman" w:eastAsia="Times New Roman" w:hAnsi="Times New Roman" w:cs="Times New Roman"/>
          <w:sz w:val="24"/>
          <w:szCs w:val="24"/>
        </w:rPr>
        <w:t xml:space="preserve"> at 7 or 14 g of dried herb/kg; diclofenac 5 mg/kg served as the positive control. Anti-</w:t>
      </w:r>
      <w:proofErr w:type="spellStart"/>
      <w:r>
        <w:rPr>
          <w:rFonts w:ascii="Times New Roman" w:eastAsia="Times New Roman" w:hAnsi="Times New Roman" w:cs="Times New Roman"/>
          <w:sz w:val="24"/>
          <w:szCs w:val="24"/>
        </w:rPr>
        <w:t>hyperuric</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emic</w:t>
      </w:r>
      <w:proofErr w:type="spellEnd"/>
      <w:r>
        <w:rPr>
          <w:rFonts w:ascii="Times New Roman" w:eastAsia="Times New Roman" w:hAnsi="Times New Roman" w:cs="Times New Roman"/>
          <w:sz w:val="24"/>
          <w:szCs w:val="24"/>
        </w:rPr>
        <w:t xml:space="preserve"> activity was assessed in potassium </w:t>
      </w:r>
      <w:proofErr w:type="spellStart"/>
      <w:r>
        <w:rPr>
          <w:rFonts w:ascii="Times New Roman" w:eastAsia="Times New Roman" w:hAnsi="Times New Roman" w:cs="Times New Roman"/>
          <w:sz w:val="24"/>
          <w:szCs w:val="24"/>
        </w:rPr>
        <w:t>oxonate</w:t>
      </w:r>
      <w:proofErr w:type="spellEnd"/>
      <w:r>
        <w:rPr>
          <w:rFonts w:ascii="Times New Roman" w:eastAsia="Times New Roman" w:hAnsi="Times New Roman" w:cs="Times New Roman"/>
          <w:sz w:val="24"/>
          <w:szCs w:val="24"/>
        </w:rPr>
        <w:t>-induced hyperuric</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 xml:space="preserve">emia using preventive and therapeutic models, with allopurinol 10 mg/kg as the positive control. </w:t>
      </w:r>
      <w:r>
        <w:rPr>
          <w:rFonts w:ascii="Times New Roman" w:eastAsia="Times New Roman" w:hAnsi="Times New Roman" w:cs="Times New Roman"/>
          <w:b/>
          <w:bCs/>
          <w:sz w:val="24"/>
          <w:szCs w:val="24"/>
        </w:rPr>
        <w:t>Results:</w:t>
      </w:r>
      <w:r>
        <w:rPr>
          <w:rFonts w:ascii="Times New Roman" w:eastAsia="Times New Roman" w:hAnsi="Times New Roman" w:cs="Times New Roman"/>
          <w:sz w:val="24"/>
          <w:szCs w:val="24"/>
        </w:rPr>
        <w:t xml:space="preserve"> No mortality or observable signs of acute toxicity occurred following administration of 182 g of dried herb/kg. Both </w:t>
      </w:r>
      <w:proofErr w:type="spellStart"/>
      <w:r>
        <w:rPr>
          <w:rFonts w:ascii="Times New Roman" w:eastAsia="Times New Roman" w:hAnsi="Times New Roman" w:cs="Times New Roman"/>
          <w:sz w:val="24"/>
          <w:szCs w:val="24"/>
        </w:rPr>
        <w:t>Lamgout</w:t>
      </w:r>
      <w:proofErr w:type="spellEnd"/>
      <w:r>
        <w:rPr>
          <w:rFonts w:ascii="Times New Roman" w:eastAsia="Times New Roman" w:hAnsi="Times New Roman" w:cs="Times New Roman"/>
          <w:sz w:val="24"/>
          <w:szCs w:val="24"/>
        </w:rPr>
        <w:t xml:space="preserve"> doses significantly reduced carrageenan-induced paw </w:t>
      </w:r>
      <w:r>
        <w:rPr>
          <w:rFonts w:ascii="Times New Roman" w:eastAsia="Times New Roman" w:hAnsi="Times New Roman" w:cs="Times New Roman"/>
          <w:sz w:val="24"/>
          <w:szCs w:val="24"/>
          <w:highlight w:val="yellow"/>
        </w:rPr>
        <w:t>o</w:t>
      </w:r>
      <w:r>
        <w:rPr>
          <w:rFonts w:ascii="Times New Roman" w:eastAsia="Times New Roman" w:hAnsi="Times New Roman" w:cs="Times New Roman"/>
          <w:sz w:val="24"/>
          <w:szCs w:val="24"/>
        </w:rPr>
        <w:t xml:space="preserve">edema compared with the model control. In the preventive model, plasma uric acid was reduced by 37.07% and 50.86% at 7 and 14 g/kg, respectively, compared with 82.76% for allopurinol. In the therapeutic model, the corresponding reductions were 40.52%, 43.97%, and 74.14%. </w:t>
      </w:r>
      <w:r>
        <w:rPr>
          <w:rFonts w:ascii="Times New Roman" w:eastAsia="Times New Roman" w:hAnsi="Times New Roman" w:cs="Times New Roman"/>
          <w:b/>
          <w:bCs/>
          <w:sz w:val="24"/>
          <w:szCs w:val="24"/>
        </w:rPr>
        <w:t>Conclusion:</w:t>
      </w:r>
      <w:r>
        <w:rPr>
          <w:rFonts w:ascii="Times New Roman" w:eastAsia="Times New Roman" w:hAnsi="Times New Roman" w:cs="Times New Roman"/>
          <w:sz w:val="24"/>
          <w:szCs w:val="24"/>
        </w:rPr>
        <w:t xml:space="preserve"> Under the experimental conditions used, </w:t>
      </w:r>
      <w:proofErr w:type="spellStart"/>
      <w:r>
        <w:rPr>
          <w:rFonts w:ascii="Times New Roman" w:eastAsia="Times New Roman" w:hAnsi="Times New Roman" w:cs="Times New Roman"/>
          <w:sz w:val="24"/>
          <w:szCs w:val="24"/>
        </w:rPr>
        <w:t>Lamgout</w:t>
      </w:r>
      <w:proofErr w:type="spellEnd"/>
      <w:r>
        <w:rPr>
          <w:rFonts w:ascii="Times New Roman" w:eastAsia="Times New Roman" w:hAnsi="Times New Roman" w:cs="Times New Roman"/>
          <w:sz w:val="24"/>
          <w:szCs w:val="24"/>
        </w:rPr>
        <w:t xml:space="preserve"> showed no observable acute oral toxicity at the maximum tested dose and demonstrated anti-inflammatory and uric acid-lowering activities in mice. Further studies are required to characteri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 its active constituents, mechanisms, longer-term safety, and potential clinical relevance.</w:t>
      </w:r>
    </w:p>
    <w:p w14:paraId="3BE88A9B" w14:textId="77777777" w:rsidR="00CE50DD" w:rsidRDefault="00CE50DD">
      <w:pPr>
        <w:spacing w:before="120" w:after="120"/>
      </w:pPr>
    </w:p>
    <w:p w14:paraId="631A3AE7" w14:textId="77777777" w:rsidR="00510C23" w:rsidRDefault="00000000">
      <w:pPr>
        <w:spacing w:before="160" w:after="240"/>
        <w:jc w:val="both"/>
      </w:pPr>
      <w:r>
        <w:rPr>
          <w:i/>
          <w:iCs/>
        </w:rPr>
        <w:t xml:space="preserve">Keywords: </w:t>
      </w:r>
      <w:proofErr w:type="spellStart"/>
      <w:r>
        <w:rPr>
          <w:i/>
          <w:iCs/>
        </w:rPr>
        <w:t>Lamgout</w:t>
      </w:r>
      <w:proofErr w:type="spellEnd"/>
      <w:r>
        <w:rPr>
          <w:i/>
          <w:iCs/>
        </w:rPr>
        <w:t xml:space="preserve">; acute oral toxicity; anti-inflammatory; hyperuricemia; carrageenan; potassium </w:t>
      </w:r>
      <w:proofErr w:type="spellStart"/>
      <w:r>
        <w:rPr>
          <w:i/>
          <w:iCs/>
        </w:rPr>
        <w:t>oxonate</w:t>
      </w:r>
      <w:proofErr w:type="spellEnd"/>
      <w:r>
        <w:rPr>
          <w:i/>
          <w:iCs/>
        </w:rPr>
        <w:t>.</w:t>
      </w:r>
    </w:p>
    <w:p w14:paraId="0052A94E" w14:textId="77777777" w:rsidR="00510C23" w:rsidRDefault="00000000">
      <w:pPr>
        <w:spacing w:before="240" w:after="160"/>
      </w:pPr>
      <w:r>
        <w:rPr>
          <w:b/>
          <w:bCs/>
          <w:caps/>
          <w:sz w:val="22"/>
          <w:szCs w:val="22"/>
        </w:rPr>
        <w:t>1. Introduction</w:t>
      </w:r>
    </w:p>
    <w:p w14:paraId="7E35D2B3" w14:textId="77777777" w:rsidR="00510C23" w:rsidRDefault="00000000">
      <w:pPr>
        <w:spacing w:after="160"/>
        <w:jc w:val="both"/>
      </w:pPr>
      <w:r>
        <w:t>For a long time</w:t>
      </w:r>
      <w:r>
        <w:rPr>
          <w:highlight w:val="yellow"/>
        </w:rPr>
        <w:t>,</w:t>
      </w:r>
      <w:r>
        <w:t xml:space="preserve"> gout was regarded as a rare condition</w:t>
      </w:r>
      <w:r>
        <w:rPr>
          <w:highlight w:val="yellow"/>
        </w:rPr>
        <w:t xml:space="preserve"> and</w:t>
      </w:r>
      <w:r>
        <w:t xml:space="preserve"> a disease of the wealthy. Since the beginning of the twenty-first century, however, its prevalence has been rising rapidly worldwide: between 1990 and 2017</w:t>
      </w:r>
      <w:r>
        <w:rPr>
          <w:highlight w:val="yellow"/>
        </w:rPr>
        <w:t>,</w:t>
      </w:r>
      <w:r>
        <w:t xml:space="preserve"> approximately 7.4 million new cases were reported every year, and both the incidence and the number of years lived with disability attributable to gout have continued to increase across most regions (Safiri et al., 2020). Gout results from a </w:t>
      </w:r>
      <w:r>
        <w:lastRenderedPageBreak/>
        <w:t>disturbance of purine metabolism that raises the concentration of uric acid in the blood; when the solubility limit is exceeded, monosodium urate crystals precipitate in joints and soft tissues and trigger an intense inflammatory response.</w:t>
      </w:r>
    </w:p>
    <w:p w14:paraId="25C078DC" w14:textId="77777777" w:rsidR="00B82A8A" w:rsidRPr="00586008" w:rsidRDefault="00000000">
      <w:pPr>
        <w:spacing w:after="160"/>
        <w:jc w:val="both"/>
        <w:rPr>
          <w:bCs/>
          <w:highlight w:val="yellow"/>
        </w:rPr>
      </w:pPr>
      <w:r>
        <w:t xml:space="preserve">The management of gout in modern medicine requires </w:t>
      </w:r>
      <w:r>
        <w:rPr>
          <w:highlight w:val="yellow"/>
        </w:rPr>
        <w:t>a</w:t>
      </w:r>
      <w:r>
        <w:t xml:space="preserve"> combination of several classes of drugs: non-steroidal anti-inflammatory drugs and colchicine for the acute flare, and xanthine oxidase inhibitors such as allopurinol or febuxostat for long-term control of serum urate (Pillinger </w:t>
      </w:r>
      <w:r>
        <w:rPr>
          <w:highlight w:val="yellow"/>
        </w:rPr>
        <w:t>&amp; Mand</w:t>
      </w:r>
      <w:r>
        <w:t>el</w:t>
      </w:r>
      <w:r>
        <w:rPr>
          <w:highlight w:val="yellow"/>
        </w:rPr>
        <w:t>l</w:t>
      </w:r>
      <w:r>
        <w:t>, 2020). Beneficial as they are, these agents are associated with adverse effects</w:t>
      </w:r>
      <w:r>
        <w:rPr>
          <w:highlight w:val="yellow"/>
        </w:rPr>
        <w:t>,</w:t>
      </w:r>
      <w:r>
        <w:t xml:space="preserve"> including gastritis, gastrointestinal bleeding, urticaria and erythema. Allopurinol</w:t>
      </w:r>
      <w:r>
        <w:rPr>
          <w:highlight w:val="yellow"/>
        </w:rPr>
        <w:t>,</w:t>
      </w:r>
      <w:r>
        <w:t xml:space="preserve"> in particular</w:t>
      </w:r>
      <w:r>
        <w:rPr>
          <w:highlight w:val="yellow"/>
        </w:rPr>
        <w:t>,</w:t>
      </w:r>
      <w:r>
        <w:t xml:space="preserve"> may cause peptic ulceration, rash, Stevens-Johnson syndrome, hepatocellular necrosis and hepatic granulomas (Rundles, 1985). These limitations explain the sustained interest of researchers in herbal preparations that combine an effective urate-lowering action with a more favourable safety profile.</w:t>
      </w:r>
      <w:r w:rsidR="00B82A8A">
        <w:t xml:space="preserve"> </w:t>
      </w:r>
      <w:r w:rsidRPr="00586008">
        <w:rPr>
          <w:bCs/>
          <w:highlight w:val="yellow"/>
        </w:rPr>
        <w:t>Recent reviews of herbal and phytochemical approaches to hyperuricaemia and gout indicate that plant-derived interventions are being investigated for urate-lowering and anti-inflammatory effects, while also emphasising the need for stronger mechanistic and clinical validation (</w:t>
      </w:r>
      <w:proofErr w:type="spellStart"/>
      <w:r w:rsidRPr="00586008">
        <w:rPr>
          <w:bCs/>
          <w:highlight w:val="yellow"/>
        </w:rPr>
        <w:t>Chenchula</w:t>
      </w:r>
      <w:proofErr w:type="spellEnd"/>
      <w:r w:rsidRPr="00586008">
        <w:rPr>
          <w:bCs/>
          <w:highlight w:val="yellow"/>
        </w:rPr>
        <w:t xml:space="preserve"> et al., 2025; Li et al., 2025; </w:t>
      </w:r>
      <w:proofErr w:type="spellStart"/>
      <w:r w:rsidRPr="00586008">
        <w:rPr>
          <w:bCs/>
          <w:highlight w:val="yellow"/>
        </w:rPr>
        <w:t>Mahomoodally</w:t>
      </w:r>
      <w:proofErr w:type="spellEnd"/>
      <w:r w:rsidRPr="00586008">
        <w:rPr>
          <w:bCs/>
          <w:highlight w:val="yellow"/>
        </w:rPr>
        <w:t xml:space="preserve"> et al., 2024).</w:t>
      </w:r>
      <w:r w:rsidR="00B82A8A" w:rsidRPr="00586008">
        <w:rPr>
          <w:bCs/>
          <w:highlight w:val="yellow"/>
        </w:rPr>
        <w:t xml:space="preserve"> </w:t>
      </w:r>
    </w:p>
    <w:p w14:paraId="4B0DE9AC" w14:textId="216473F0" w:rsidR="00F46E07" w:rsidRPr="00586008" w:rsidRDefault="00000000">
      <w:pPr>
        <w:spacing w:after="160"/>
        <w:jc w:val="both"/>
        <w:rPr>
          <w:bCs/>
        </w:rPr>
      </w:pPr>
      <w:r w:rsidRPr="00586008">
        <w:rPr>
          <w:bCs/>
          <w:highlight w:val="yellow"/>
        </w:rPr>
        <w:t xml:space="preserve">Preclinical evidence also includes uric-acid-lowering effects of an ethanolic </w:t>
      </w:r>
      <w:proofErr w:type="spellStart"/>
      <w:r w:rsidRPr="00586008">
        <w:rPr>
          <w:bCs/>
          <w:i/>
          <w:highlight w:val="yellow"/>
        </w:rPr>
        <w:t>Elephantopus</w:t>
      </w:r>
      <w:proofErr w:type="spellEnd"/>
      <w:r w:rsidRPr="00586008">
        <w:rPr>
          <w:bCs/>
          <w:i/>
          <w:highlight w:val="yellow"/>
        </w:rPr>
        <w:t xml:space="preserve"> </w:t>
      </w:r>
      <w:proofErr w:type="spellStart"/>
      <w:r w:rsidRPr="00586008">
        <w:rPr>
          <w:bCs/>
          <w:i/>
          <w:highlight w:val="yellow"/>
        </w:rPr>
        <w:t>scaber</w:t>
      </w:r>
      <w:proofErr w:type="spellEnd"/>
      <w:r w:rsidRPr="00586008">
        <w:rPr>
          <w:bCs/>
          <w:highlight w:val="yellow"/>
        </w:rPr>
        <w:t xml:space="preserve"> extract in </w:t>
      </w:r>
      <w:proofErr w:type="spellStart"/>
      <w:r w:rsidRPr="00586008">
        <w:rPr>
          <w:bCs/>
          <w:highlight w:val="yellow"/>
        </w:rPr>
        <w:t>hyperuricaemic</w:t>
      </w:r>
      <w:proofErr w:type="spellEnd"/>
      <w:r w:rsidRPr="00586008">
        <w:rPr>
          <w:bCs/>
          <w:highlight w:val="yellow"/>
        </w:rPr>
        <w:t xml:space="preserve"> rats, illustrating the continued experimental evaluation of plant-derived urate-lowering interventions (</w:t>
      </w:r>
      <w:proofErr w:type="spellStart"/>
      <w:r w:rsidRPr="00586008">
        <w:rPr>
          <w:bCs/>
          <w:highlight w:val="yellow"/>
        </w:rPr>
        <w:t>Musdja</w:t>
      </w:r>
      <w:proofErr w:type="spellEnd"/>
      <w:r w:rsidRPr="00586008">
        <w:rPr>
          <w:bCs/>
          <w:highlight w:val="yellow"/>
        </w:rPr>
        <w:t xml:space="preserve"> et al., 2019).</w:t>
      </w:r>
    </w:p>
    <w:p w14:paraId="3E3CAE0A" w14:textId="1A1D8025" w:rsidR="00F46E07" w:rsidRPr="00586008" w:rsidRDefault="00000000">
      <w:pPr>
        <w:spacing w:after="160"/>
        <w:jc w:val="both"/>
        <w:rPr>
          <w:bCs/>
        </w:rPr>
      </w:pPr>
      <w:r w:rsidRPr="00586008">
        <w:rPr>
          <w:bCs/>
        </w:rPr>
        <w:t xml:space="preserve">The </w:t>
      </w:r>
      <w:proofErr w:type="spellStart"/>
      <w:r w:rsidRPr="00586008">
        <w:rPr>
          <w:bCs/>
        </w:rPr>
        <w:t>Lamgout</w:t>
      </w:r>
      <w:proofErr w:type="spellEnd"/>
      <w:r w:rsidRPr="00586008">
        <w:rPr>
          <w:bCs/>
        </w:rPr>
        <w:t xml:space="preserve"> remedy was formulated from eight medicinal plants whose uric acid-lowering activity has been documented in Vietnam and abroad: </w:t>
      </w:r>
      <w:proofErr w:type="spellStart"/>
      <w:r w:rsidRPr="00586008">
        <w:rPr>
          <w:bCs/>
          <w:i/>
          <w:iCs/>
        </w:rPr>
        <w:t>Gnetum</w:t>
      </w:r>
      <w:proofErr w:type="spellEnd"/>
      <w:r w:rsidRPr="00586008">
        <w:rPr>
          <w:bCs/>
          <w:i/>
          <w:iCs/>
        </w:rPr>
        <w:t xml:space="preserve"> montanum</w:t>
      </w:r>
      <w:r w:rsidRPr="00586008">
        <w:rPr>
          <w:bCs/>
        </w:rPr>
        <w:t xml:space="preserve"> </w:t>
      </w:r>
      <w:proofErr w:type="spellStart"/>
      <w:r w:rsidRPr="00586008">
        <w:rPr>
          <w:bCs/>
        </w:rPr>
        <w:t>Markgr</w:t>
      </w:r>
      <w:proofErr w:type="spellEnd"/>
      <w:r w:rsidRPr="00586008">
        <w:rPr>
          <w:bCs/>
        </w:rPr>
        <w:t xml:space="preserve">., </w:t>
      </w:r>
      <w:proofErr w:type="spellStart"/>
      <w:r w:rsidRPr="00586008">
        <w:rPr>
          <w:bCs/>
          <w:i/>
          <w:iCs/>
        </w:rPr>
        <w:t>Siegesbeckia</w:t>
      </w:r>
      <w:proofErr w:type="spellEnd"/>
      <w:r w:rsidRPr="00586008">
        <w:rPr>
          <w:bCs/>
          <w:i/>
          <w:iCs/>
        </w:rPr>
        <w:t xml:space="preserve"> orientalis</w:t>
      </w:r>
      <w:r w:rsidRPr="00586008">
        <w:rPr>
          <w:bCs/>
        </w:rPr>
        <w:t xml:space="preserve"> L., </w:t>
      </w:r>
      <w:r w:rsidRPr="00586008">
        <w:rPr>
          <w:bCs/>
          <w:i/>
          <w:iCs/>
        </w:rPr>
        <w:t xml:space="preserve">Caesalpinia </w:t>
      </w:r>
      <w:proofErr w:type="spellStart"/>
      <w:r w:rsidRPr="00586008">
        <w:rPr>
          <w:bCs/>
          <w:i/>
          <w:iCs/>
        </w:rPr>
        <w:t>sappan</w:t>
      </w:r>
      <w:proofErr w:type="spellEnd"/>
      <w:r w:rsidRPr="00586008">
        <w:rPr>
          <w:bCs/>
        </w:rPr>
        <w:t xml:space="preserve"> L., </w:t>
      </w:r>
      <w:proofErr w:type="spellStart"/>
      <w:r w:rsidRPr="00586008">
        <w:rPr>
          <w:bCs/>
          <w:i/>
          <w:iCs/>
        </w:rPr>
        <w:t>Tinospora</w:t>
      </w:r>
      <w:proofErr w:type="spellEnd"/>
      <w:r w:rsidRPr="00586008">
        <w:rPr>
          <w:bCs/>
          <w:i/>
          <w:iCs/>
        </w:rPr>
        <w:t xml:space="preserve"> sinensis</w:t>
      </w:r>
      <w:r w:rsidRPr="00586008">
        <w:rPr>
          <w:bCs/>
        </w:rPr>
        <w:t xml:space="preserve"> (Lour.) </w:t>
      </w:r>
      <w:proofErr w:type="spellStart"/>
      <w:r w:rsidRPr="00586008">
        <w:rPr>
          <w:bCs/>
        </w:rPr>
        <w:t>Merr</w:t>
      </w:r>
      <w:proofErr w:type="spellEnd"/>
      <w:r w:rsidRPr="00586008">
        <w:rPr>
          <w:bCs/>
        </w:rPr>
        <w:t xml:space="preserve">., </w:t>
      </w:r>
      <w:r w:rsidRPr="00586008">
        <w:rPr>
          <w:bCs/>
          <w:i/>
          <w:iCs/>
        </w:rPr>
        <w:t xml:space="preserve">Angelica </w:t>
      </w:r>
      <w:proofErr w:type="spellStart"/>
      <w:r w:rsidRPr="00586008">
        <w:rPr>
          <w:bCs/>
          <w:i/>
          <w:iCs/>
        </w:rPr>
        <w:t>acutiloba</w:t>
      </w:r>
      <w:proofErr w:type="spellEnd"/>
      <w:r w:rsidRPr="00586008">
        <w:rPr>
          <w:bCs/>
        </w:rPr>
        <w:t xml:space="preserve"> (Siebold &amp; </w:t>
      </w:r>
      <w:proofErr w:type="spellStart"/>
      <w:r w:rsidRPr="00586008">
        <w:rPr>
          <w:bCs/>
        </w:rPr>
        <w:t>Zucc</w:t>
      </w:r>
      <w:proofErr w:type="spellEnd"/>
      <w:r w:rsidRPr="00586008">
        <w:rPr>
          <w:bCs/>
        </w:rPr>
        <w:t xml:space="preserve">.) </w:t>
      </w:r>
      <w:proofErr w:type="spellStart"/>
      <w:r w:rsidRPr="00586008">
        <w:rPr>
          <w:bCs/>
        </w:rPr>
        <w:t>Kitag</w:t>
      </w:r>
      <w:proofErr w:type="spellEnd"/>
      <w:r w:rsidRPr="00586008">
        <w:rPr>
          <w:bCs/>
        </w:rPr>
        <w:t xml:space="preserve">., </w:t>
      </w:r>
      <w:proofErr w:type="spellStart"/>
      <w:r w:rsidRPr="00586008">
        <w:rPr>
          <w:bCs/>
          <w:i/>
          <w:iCs/>
        </w:rPr>
        <w:t>Cibotium</w:t>
      </w:r>
      <w:proofErr w:type="spellEnd"/>
      <w:r w:rsidRPr="00586008">
        <w:rPr>
          <w:bCs/>
          <w:i/>
          <w:iCs/>
        </w:rPr>
        <w:t xml:space="preserve"> barometz</w:t>
      </w:r>
      <w:r w:rsidRPr="00586008">
        <w:rPr>
          <w:bCs/>
        </w:rPr>
        <w:t xml:space="preserve"> J. Sm., </w:t>
      </w:r>
      <w:r w:rsidRPr="00586008">
        <w:rPr>
          <w:bCs/>
          <w:i/>
          <w:iCs/>
        </w:rPr>
        <w:t>Cinnamomum cassia</w:t>
      </w:r>
      <w:r w:rsidRPr="00586008">
        <w:rPr>
          <w:bCs/>
        </w:rPr>
        <w:t xml:space="preserve"> Blume and </w:t>
      </w:r>
      <w:r w:rsidRPr="00586008">
        <w:rPr>
          <w:bCs/>
          <w:i/>
          <w:iCs/>
        </w:rPr>
        <w:t xml:space="preserve">Stevia </w:t>
      </w:r>
      <w:proofErr w:type="spellStart"/>
      <w:r w:rsidRPr="00586008">
        <w:rPr>
          <w:bCs/>
          <w:i/>
          <w:iCs/>
        </w:rPr>
        <w:t>rebaudiana</w:t>
      </w:r>
      <w:proofErr w:type="spellEnd"/>
      <w:r w:rsidRPr="00586008">
        <w:rPr>
          <w:bCs/>
        </w:rPr>
        <w:t xml:space="preserve"> (Bertoni) Hemsley (Trinh </w:t>
      </w:r>
      <w:r w:rsidRPr="00586008">
        <w:rPr>
          <w:bCs/>
          <w:highlight w:val="yellow"/>
        </w:rPr>
        <w:t>&amp; H</w:t>
      </w:r>
      <w:r w:rsidRPr="00586008">
        <w:rPr>
          <w:bCs/>
        </w:rPr>
        <w:t>uyn</w:t>
      </w:r>
      <w:r w:rsidRPr="00586008">
        <w:rPr>
          <w:bCs/>
          <w:highlight w:val="yellow"/>
        </w:rPr>
        <w:t>h</w:t>
      </w:r>
      <w:r w:rsidRPr="00586008">
        <w:rPr>
          <w:bCs/>
        </w:rPr>
        <w:t>, 2017). Before such a formula can be recommended for clinical use in gout or gouty arthritis, however, its safety and anti-inflammatory and urate-lowering efficacy must be established experimentally.</w:t>
      </w:r>
      <w:r w:rsidR="009E016B" w:rsidRPr="00586008">
        <w:rPr>
          <w:bCs/>
        </w:rPr>
        <w:t xml:space="preserve"> </w:t>
      </w:r>
      <w:r w:rsidRPr="00586008">
        <w:rPr>
          <w:bCs/>
          <w:highlight w:val="yellow"/>
        </w:rPr>
        <w:t xml:space="preserve">A recent review of cinnamon, including </w:t>
      </w:r>
      <w:r w:rsidRPr="00586008">
        <w:rPr>
          <w:bCs/>
          <w:i/>
          <w:highlight w:val="yellow"/>
        </w:rPr>
        <w:t>Cinnamomum cassia</w:t>
      </w:r>
      <w:r w:rsidRPr="00586008">
        <w:rPr>
          <w:bCs/>
          <w:highlight w:val="yellow"/>
        </w:rPr>
        <w:t xml:space="preserve">, describes anti-inflammatory activity among its reported pharmacological properties, providing additional context for the anti-inflammatory component of the </w:t>
      </w:r>
      <w:proofErr w:type="spellStart"/>
      <w:r w:rsidRPr="00586008">
        <w:rPr>
          <w:bCs/>
          <w:highlight w:val="yellow"/>
        </w:rPr>
        <w:t>Lamgout</w:t>
      </w:r>
      <w:proofErr w:type="spellEnd"/>
      <w:r w:rsidRPr="00586008">
        <w:rPr>
          <w:bCs/>
          <w:highlight w:val="yellow"/>
        </w:rPr>
        <w:t xml:space="preserve"> formulation (Bansal et al., 2025).</w:t>
      </w:r>
    </w:p>
    <w:p w14:paraId="38ED9012" w14:textId="77777777" w:rsidR="00F46E07" w:rsidRPr="00586008" w:rsidRDefault="00000000">
      <w:pPr>
        <w:spacing w:after="160"/>
        <w:jc w:val="both"/>
        <w:rPr>
          <w:bCs/>
        </w:rPr>
      </w:pPr>
      <w:r w:rsidRPr="00586008">
        <w:rPr>
          <w:bCs/>
          <w:highlight w:val="yellow"/>
        </w:rPr>
        <w:t xml:space="preserve">Accordingly, an evidence gap remains for the complete </w:t>
      </w:r>
      <w:proofErr w:type="spellStart"/>
      <w:r w:rsidRPr="00586008">
        <w:rPr>
          <w:bCs/>
          <w:highlight w:val="yellow"/>
        </w:rPr>
        <w:t>Lamgout</w:t>
      </w:r>
      <w:proofErr w:type="spellEnd"/>
      <w:r w:rsidRPr="00586008">
        <w:rPr>
          <w:bCs/>
          <w:highlight w:val="yellow"/>
        </w:rPr>
        <w:t xml:space="preserve"> formulation with respect to the three outcomes examined in this study: acute oral safety, anti-inflammatory activity, and urate-lowering activity.</w:t>
      </w:r>
    </w:p>
    <w:p w14:paraId="0CBCE599" w14:textId="77777777" w:rsidR="00510C23" w:rsidRDefault="00000000">
      <w:pPr>
        <w:spacing w:after="160"/>
        <w:jc w:val="both"/>
      </w:pPr>
      <w:r>
        <w:t xml:space="preserve">The present study was therefore undertaken with three specific objectives: to determine the acute oral toxicity of the </w:t>
      </w:r>
      <w:proofErr w:type="spellStart"/>
      <w:r>
        <w:t>Lamgout</w:t>
      </w:r>
      <w:proofErr w:type="spellEnd"/>
      <w:r>
        <w:t xml:space="preserve"> extract; to evaluate its anti-inflammatory activity in vivo </w:t>
      </w:r>
      <w:r>
        <w:rPr>
          <w:highlight w:val="yellow"/>
        </w:rPr>
        <w:t>usi</w:t>
      </w:r>
      <w:r>
        <w:t>n</w:t>
      </w:r>
      <w:r>
        <w:rPr>
          <w:highlight w:val="yellow"/>
        </w:rPr>
        <w:t>g</w:t>
      </w:r>
      <w:r>
        <w:t xml:space="preserve"> the 1 % carrageenan-induced paw </w:t>
      </w:r>
      <w:r>
        <w:rPr>
          <w:highlight w:val="yellow"/>
        </w:rPr>
        <w:t>o</w:t>
      </w:r>
      <w:r>
        <w:t xml:space="preserve">edema model; and to evaluate its preventive and therapeutic effects on potassium </w:t>
      </w:r>
      <w:proofErr w:type="spellStart"/>
      <w:r>
        <w:t>oxonate</w:t>
      </w:r>
      <w:proofErr w:type="spellEnd"/>
      <w:r>
        <w:t>-induced hyperuric</w:t>
      </w:r>
      <w:r>
        <w:rPr>
          <w:highlight w:val="yellow"/>
        </w:rPr>
        <w:t>a</w:t>
      </w:r>
      <w:r>
        <w:t>emia in mice.</w:t>
      </w:r>
    </w:p>
    <w:p w14:paraId="45C0D701" w14:textId="77777777" w:rsidR="00510C23" w:rsidRDefault="00000000">
      <w:pPr>
        <w:spacing w:before="240" w:after="160"/>
      </w:pPr>
      <w:r>
        <w:rPr>
          <w:b/>
          <w:bCs/>
          <w:caps/>
          <w:sz w:val="22"/>
          <w:szCs w:val="22"/>
        </w:rPr>
        <w:t>2. Materials and Methods</w:t>
      </w:r>
    </w:p>
    <w:p w14:paraId="12051297" w14:textId="77777777" w:rsidR="00510C23" w:rsidRDefault="00000000">
      <w:pPr>
        <w:spacing w:before="200" w:after="140"/>
      </w:pPr>
      <w:r>
        <w:rPr>
          <w:b/>
          <w:bCs/>
          <w:sz w:val="22"/>
          <w:szCs w:val="22"/>
        </w:rPr>
        <w:t>2.1 Materials and instruments</w:t>
      </w:r>
    </w:p>
    <w:p w14:paraId="67A6DA6F" w14:textId="77777777" w:rsidR="00510C23" w:rsidRDefault="00000000">
      <w:pPr>
        <w:spacing w:before="160" w:after="120"/>
      </w:pPr>
      <w:r>
        <w:rPr>
          <w:b/>
          <w:bCs/>
          <w:u w:val="single"/>
        </w:rPr>
        <w:t>2.1.1 Test material</w:t>
      </w:r>
    </w:p>
    <w:p w14:paraId="0716BB48" w14:textId="77777777" w:rsidR="00510C23" w:rsidRDefault="00000000">
      <w:pPr>
        <w:spacing w:after="160"/>
        <w:jc w:val="both"/>
      </w:pPr>
      <w:r>
        <w:t xml:space="preserve">The aqueous </w:t>
      </w:r>
      <w:proofErr w:type="spellStart"/>
      <w:r>
        <w:t>Lamgout</w:t>
      </w:r>
      <w:proofErr w:type="spellEnd"/>
      <w:r>
        <w:t xml:space="preserve"> extract was supplied by M</w:t>
      </w:r>
      <w:r>
        <w:rPr>
          <w:highlight w:val="yellow"/>
        </w:rPr>
        <w:t>S</w:t>
      </w:r>
      <w:r>
        <w:t>c Hoang Van Lam, formerly a lecturer at the Department of Botany, Hanoi University of Pharmacy. All the herbal ingredients complied with the standards laid down in the Vietnamese Pharmacopoeia V. The composition of one dose of the remedy is presented in Table 1.</w:t>
      </w:r>
    </w:p>
    <w:p w14:paraId="0E1B5C4D" w14:textId="77777777" w:rsidR="00510C23" w:rsidRDefault="00000000">
      <w:pPr>
        <w:keepNext/>
        <w:spacing w:before="200" w:after="120"/>
      </w:pPr>
      <w:r>
        <w:rPr>
          <w:b/>
          <w:bCs/>
        </w:rPr>
        <w:lastRenderedPageBreak/>
        <w:t xml:space="preserve">Table 1. Composition of one dose of the </w:t>
      </w:r>
      <w:proofErr w:type="spellStart"/>
      <w:r>
        <w:rPr>
          <w:b/>
          <w:bCs/>
        </w:rPr>
        <w:t>Lamgout</w:t>
      </w:r>
      <w:proofErr w:type="spellEnd"/>
      <w:r>
        <w:rPr>
          <w:b/>
          <w:bCs/>
        </w:rPr>
        <w:t xml:space="preserve"> remedy</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00"/>
        <w:gridCol w:w="3108"/>
      </w:tblGrid>
      <w:tr w:rsidR="00510C23" w14:paraId="5C1E9E8F" w14:textId="77777777">
        <w:trPr>
          <w:cantSplit/>
          <w:tblHeader/>
        </w:trPr>
        <w:tc>
          <w:tcPr>
            <w:tcW w:w="5100" w:type="dxa"/>
            <w:shd w:val="clear" w:color="auto" w:fill="D9D9D9"/>
            <w:tcMar>
              <w:top w:w="60" w:type="dxa"/>
              <w:left w:w="80" w:type="dxa"/>
              <w:bottom w:w="60" w:type="dxa"/>
              <w:right w:w="80" w:type="dxa"/>
            </w:tcMar>
            <w:vAlign w:val="center"/>
          </w:tcPr>
          <w:p w14:paraId="4AB0B0B7" w14:textId="77777777" w:rsidR="00510C23" w:rsidRDefault="00000000">
            <w:r>
              <w:rPr>
                <w:b/>
                <w:bCs/>
                <w:sz w:val="18"/>
                <w:szCs w:val="18"/>
              </w:rPr>
              <w:t>Ingredient (Vietnamese name / botanical name)</w:t>
            </w:r>
          </w:p>
        </w:tc>
        <w:tc>
          <w:tcPr>
            <w:tcW w:w="3108" w:type="dxa"/>
            <w:shd w:val="clear" w:color="auto" w:fill="D9D9D9"/>
            <w:tcMar>
              <w:top w:w="60" w:type="dxa"/>
              <w:left w:w="80" w:type="dxa"/>
              <w:bottom w:w="60" w:type="dxa"/>
              <w:right w:w="80" w:type="dxa"/>
            </w:tcMar>
            <w:vAlign w:val="center"/>
          </w:tcPr>
          <w:p w14:paraId="777845E7" w14:textId="77777777" w:rsidR="00510C23" w:rsidRDefault="00000000">
            <w:pPr>
              <w:jc w:val="center"/>
            </w:pPr>
            <w:r>
              <w:rPr>
                <w:b/>
                <w:bCs/>
                <w:sz w:val="18"/>
                <w:szCs w:val="18"/>
              </w:rPr>
              <w:t>Weight (mg)</w:t>
            </w:r>
          </w:p>
        </w:tc>
      </w:tr>
      <w:tr w:rsidR="00510C23" w14:paraId="69CF762C" w14:textId="77777777">
        <w:trPr>
          <w:cantSplit/>
        </w:trPr>
        <w:tc>
          <w:tcPr>
            <w:tcW w:w="5100" w:type="dxa"/>
            <w:tcMar>
              <w:top w:w="60" w:type="dxa"/>
              <w:left w:w="80" w:type="dxa"/>
              <w:bottom w:w="60" w:type="dxa"/>
              <w:right w:w="80" w:type="dxa"/>
            </w:tcMar>
            <w:vAlign w:val="center"/>
          </w:tcPr>
          <w:p w14:paraId="1DB5C6AB" w14:textId="77777777" w:rsidR="00510C23" w:rsidRDefault="00000000">
            <w:r>
              <w:rPr>
                <w:sz w:val="18"/>
                <w:szCs w:val="18"/>
              </w:rPr>
              <w:t>Gam (</w:t>
            </w:r>
            <w:proofErr w:type="spellStart"/>
            <w:r>
              <w:rPr>
                <w:i/>
                <w:iCs/>
                <w:sz w:val="18"/>
                <w:szCs w:val="18"/>
              </w:rPr>
              <w:t>Gnetum</w:t>
            </w:r>
            <w:proofErr w:type="spellEnd"/>
            <w:r>
              <w:rPr>
                <w:i/>
                <w:iCs/>
                <w:sz w:val="18"/>
                <w:szCs w:val="18"/>
              </w:rPr>
              <w:t xml:space="preserve"> montanum</w:t>
            </w:r>
            <w:r>
              <w:rPr>
                <w:sz w:val="18"/>
                <w:szCs w:val="18"/>
              </w:rPr>
              <w:t xml:space="preserve"> </w:t>
            </w:r>
            <w:proofErr w:type="spellStart"/>
            <w:r>
              <w:rPr>
                <w:sz w:val="18"/>
                <w:szCs w:val="18"/>
              </w:rPr>
              <w:t>Markgr</w:t>
            </w:r>
            <w:proofErr w:type="spellEnd"/>
            <w:r>
              <w:rPr>
                <w:sz w:val="18"/>
                <w:szCs w:val="18"/>
              </w:rPr>
              <w:t>.)</w:t>
            </w:r>
          </w:p>
        </w:tc>
        <w:tc>
          <w:tcPr>
            <w:tcW w:w="3108" w:type="dxa"/>
            <w:tcMar>
              <w:top w:w="60" w:type="dxa"/>
              <w:left w:w="80" w:type="dxa"/>
              <w:bottom w:w="60" w:type="dxa"/>
              <w:right w:w="80" w:type="dxa"/>
            </w:tcMar>
            <w:vAlign w:val="center"/>
          </w:tcPr>
          <w:p w14:paraId="6193451E" w14:textId="77777777" w:rsidR="00510C23" w:rsidRDefault="00000000">
            <w:pPr>
              <w:jc w:val="center"/>
            </w:pPr>
            <w:r>
              <w:rPr>
                <w:sz w:val="18"/>
                <w:szCs w:val="18"/>
              </w:rPr>
              <w:t>8000</w:t>
            </w:r>
          </w:p>
        </w:tc>
      </w:tr>
      <w:tr w:rsidR="00510C23" w14:paraId="1818F5F4" w14:textId="77777777">
        <w:trPr>
          <w:cantSplit/>
        </w:trPr>
        <w:tc>
          <w:tcPr>
            <w:tcW w:w="5100" w:type="dxa"/>
            <w:tcMar>
              <w:top w:w="60" w:type="dxa"/>
              <w:left w:w="80" w:type="dxa"/>
              <w:bottom w:w="60" w:type="dxa"/>
              <w:right w:w="80" w:type="dxa"/>
            </w:tcMar>
            <w:vAlign w:val="center"/>
          </w:tcPr>
          <w:p w14:paraId="56F573DD" w14:textId="77777777" w:rsidR="00510C23" w:rsidRDefault="00000000">
            <w:r>
              <w:rPr>
                <w:sz w:val="18"/>
                <w:szCs w:val="18"/>
              </w:rPr>
              <w:t xml:space="preserve">Hy </w:t>
            </w:r>
            <w:proofErr w:type="spellStart"/>
            <w:r>
              <w:rPr>
                <w:sz w:val="18"/>
                <w:szCs w:val="18"/>
              </w:rPr>
              <w:t>thiem</w:t>
            </w:r>
            <w:proofErr w:type="spellEnd"/>
            <w:r>
              <w:rPr>
                <w:sz w:val="18"/>
                <w:szCs w:val="18"/>
              </w:rPr>
              <w:t xml:space="preserve"> (</w:t>
            </w:r>
            <w:proofErr w:type="spellStart"/>
            <w:r>
              <w:rPr>
                <w:i/>
                <w:iCs/>
                <w:sz w:val="18"/>
                <w:szCs w:val="18"/>
              </w:rPr>
              <w:t>Siegesbeckia</w:t>
            </w:r>
            <w:proofErr w:type="spellEnd"/>
            <w:r>
              <w:rPr>
                <w:i/>
                <w:iCs/>
                <w:sz w:val="18"/>
                <w:szCs w:val="18"/>
              </w:rPr>
              <w:t xml:space="preserve"> orientalis</w:t>
            </w:r>
            <w:r>
              <w:rPr>
                <w:sz w:val="18"/>
                <w:szCs w:val="18"/>
              </w:rPr>
              <w:t xml:space="preserve"> L.)</w:t>
            </w:r>
          </w:p>
        </w:tc>
        <w:tc>
          <w:tcPr>
            <w:tcW w:w="3108" w:type="dxa"/>
            <w:tcMar>
              <w:top w:w="60" w:type="dxa"/>
              <w:left w:w="80" w:type="dxa"/>
              <w:bottom w:w="60" w:type="dxa"/>
              <w:right w:w="80" w:type="dxa"/>
            </w:tcMar>
            <w:vAlign w:val="center"/>
          </w:tcPr>
          <w:p w14:paraId="216AC51F" w14:textId="77777777" w:rsidR="00510C23" w:rsidRDefault="00000000">
            <w:pPr>
              <w:jc w:val="center"/>
            </w:pPr>
            <w:r>
              <w:rPr>
                <w:sz w:val="18"/>
                <w:szCs w:val="18"/>
              </w:rPr>
              <w:t>5000</w:t>
            </w:r>
          </w:p>
        </w:tc>
      </w:tr>
      <w:tr w:rsidR="00510C23" w14:paraId="61A38557" w14:textId="77777777">
        <w:trPr>
          <w:cantSplit/>
        </w:trPr>
        <w:tc>
          <w:tcPr>
            <w:tcW w:w="5100" w:type="dxa"/>
            <w:tcMar>
              <w:top w:w="60" w:type="dxa"/>
              <w:left w:w="80" w:type="dxa"/>
              <w:bottom w:w="60" w:type="dxa"/>
              <w:right w:w="80" w:type="dxa"/>
            </w:tcMar>
            <w:vAlign w:val="center"/>
          </w:tcPr>
          <w:p w14:paraId="10A05441" w14:textId="77777777" w:rsidR="00510C23" w:rsidRDefault="00000000">
            <w:r>
              <w:rPr>
                <w:sz w:val="18"/>
                <w:szCs w:val="18"/>
              </w:rPr>
              <w:t xml:space="preserve">To </w:t>
            </w:r>
            <w:proofErr w:type="spellStart"/>
            <w:r>
              <w:rPr>
                <w:sz w:val="18"/>
                <w:szCs w:val="18"/>
              </w:rPr>
              <w:t>moc</w:t>
            </w:r>
            <w:proofErr w:type="spellEnd"/>
            <w:r>
              <w:rPr>
                <w:sz w:val="18"/>
                <w:szCs w:val="18"/>
              </w:rPr>
              <w:t xml:space="preserve"> (</w:t>
            </w:r>
            <w:r>
              <w:rPr>
                <w:i/>
                <w:iCs/>
                <w:sz w:val="18"/>
                <w:szCs w:val="18"/>
              </w:rPr>
              <w:t xml:space="preserve">Caesalpinia </w:t>
            </w:r>
            <w:proofErr w:type="spellStart"/>
            <w:r>
              <w:rPr>
                <w:i/>
                <w:iCs/>
                <w:sz w:val="18"/>
                <w:szCs w:val="18"/>
              </w:rPr>
              <w:t>sappan</w:t>
            </w:r>
            <w:proofErr w:type="spellEnd"/>
            <w:r>
              <w:rPr>
                <w:sz w:val="18"/>
                <w:szCs w:val="18"/>
              </w:rPr>
              <w:t xml:space="preserve"> L.)</w:t>
            </w:r>
          </w:p>
        </w:tc>
        <w:tc>
          <w:tcPr>
            <w:tcW w:w="3108" w:type="dxa"/>
            <w:tcMar>
              <w:top w:w="60" w:type="dxa"/>
              <w:left w:w="80" w:type="dxa"/>
              <w:bottom w:w="60" w:type="dxa"/>
              <w:right w:w="80" w:type="dxa"/>
            </w:tcMar>
            <w:vAlign w:val="center"/>
          </w:tcPr>
          <w:p w14:paraId="71CD0772" w14:textId="77777777" w:rsidR="00510C23" w:rsidRDefault="00000000">
            <w:pPr>
              <w:jc w:val="center"/>
            </w:pPr>
            <w:r>
              <w:rPr>
                <w:sz w:val="18"/>
                <w:szCs w:val="18"/>
              </w:rPr>
              <w:t>5000</w:t>
            </w:r>
          </w:p>
        </w:tc>
      </w:tr>
      <w:tr w:rsidR="00510C23" w14:paraId="1BD92EC6" w14:textId="77777777">
        <w:trPr>
          <w:cantSplit/>
        </w:trPr>
        <w:tc>
          <w:tcPr>
            <w:tcW w:w="5100" w:type="dxa"/>
            <w:tcMar>
              <w:top w:w="60" w:type="dxa"/>
              <w:left w:w="80" w:type="dxa"/>
              <w:bottom w:w="60" w:type="dxa"/>
              <w:right w:w="80" w:type="dxa"/>
            </w:tcMar>
            <w:vAlign w:val="center"/>
          </w:tcPr>
          <w:p w14:paraId="593F4E38" w14:textId="77777777" w:rsidR="00510C23" w:rsidRDefault="00000000">
            <w:r>
              <w:rPr>
                <w:sz w:val="18"/>
                <w:szCs w:val="18"/>
              </w:rPr>
              <w:t xml:space="preserve">Day </w:t>
            </w:r>
            <w:proofErr w:type="spellStart"/>
            <w:r>
              <w:rPr>
                <w:sz w:val="18"/>
                <w:szCs w:val="18"/>
              </w:rPr>
              <w:t>dau</w:t>
            </w:r>
            <w:proofErr w:type="spellEnd"/>
            <w:r>
              <w:rPr>
                <w:sz w:val="18"/>
                <w:szCs w:val="18"/>
              </w:rPr>
              <w:t xml:space="preserve"> </w:t>
            </w:r>
            <w:proofErr w:type="spellStart"/>
            <w:r>
              <w:rPr>
                <w:sz w:val="18"/>
                <w:szCs w:val="18"/>
              </w:rPr>
              <w:t>xuong</w:t>
            </w:r>
            <w:proofErr w:type="spellEnd"/>
            <w:r>
              <w:rPr>
                <w:sz w:val="18"/>
                <w:szCs w:val="18"/>
              </w:rPr>
              <w:t xml:space="preserve"> (</w:t>
            </w:r>
            <w:proofErr w:type="spellStart"/>
            <w:r>
              <w:rPr>
                <w:i/>
                <w:iCs/>
                <w:sz w:val="18"/>
                <w:szCs w:val="18"/>
              </w:rPr>
              <w:t>Tinospora</w:t>
            </w:r>
            <w:proofErr w:type="spellEnd"/>
            <w:r>
              <w:rPr>
                <w:i/>
                <w:iCs/>
                <w:sz w:val="18"/>
                <w:szCs w:val="18"/>
              </w:rPr>
              <w:t xml:space="preserve"> sinensis</w:t>
            </w:r>
            <w:r>
              <w:rPr>
                <w:sz w:val="18"/>
                <w:szCs w:val="18"/>
              </w:rPr>
              <w:t xml:space="preserve"> (Lour.) </w:t>
            </w:r>
            <w:proofErr w:type="spellStart"/>
            <w:r>
              <w:rPr>
                <w:sz w:val="18"/>
                <w:szCs w:val="18"/>
              </w:rPr>
              <w:t>Merr</w:t>
            </w:r>
            <w:proofErr w:type="spellEnd"/>
            <w:r>
              <w:rPr>
                <w:sz w:val="18"/>
                <w:szCs w:val="18"/>
              </w:rPr>
              <w:t>.)</w:t>
            </w:r>
          </w:p>
        </w:tc>
        <w:tc>
          <w:tcPr>
            <w:tcW w:w="3108" w:type="dxa"/>
            <w:tcMar>
              <w:top w:w="60" w:type="dxa"/>
              <w:left w:w="80" w:type="dxa"/>
              <w:bottom w:w="60" w:type="dxa"/>
              <w:right w:w="80" w:type="dxa"/>
            </w:tcMar>
            <w:vAlign w:val="center"/>
          </w:tcPr>
          <w:p w14:paraId="6CA89E98" w14:textId="77777777" w:rsidR="00510C23" w:rsidRDefault="00000000">
            <w:pPr>
              <w:jc w:val="center"/>
            </w:pPr>
            <w:r>
              <w:rPr>
                <w:sz w:val="18"/>
                <w:szCs w:val="18"/>
              </w:rPr>
              <w:t>4500</w:t>
            </w:r>
          </w:p>
        </w:tc>
      </w:tr>
      <w:tr w:rsidR="00510C23" w14:paraId="368F8C40" w14:textId="77777777">
        <w:trPr>
          <w:cantSplit/>
        </w:trPr>
        <w:tc>
          <w:tcPr>
            <w:tcW w:w="5100" w:type="dxa"/>
            <w:tcMar>
              <w:top w:w="60" w:type="dxa"/>
              <w:left w:w="80" w:type="dxa"/>
              <w:bottom w:w="60" w:type="dxa"/>
              <w:right w:w="80" w:type="dxa"/>
            </w:tcMar>
            <w:vAlign w:val="center"/>
          </w:tcPr>
          <w:p w14:paraId="75E417A6" w14:textId="77777777" w:rsidR="00510C23" w:rsidRDefault="00000000">
            <w:r>
              <w:rPr>
                <w:sz w:val="18"/>
                <w:szCs w:val="18"/>
              </w:rPr>
              <w:t xml:space="preserve">Duong </w:t>
            </w:r>
            <w:proofErr w:type="spellStart"/>
            <w:r>
              <w:rPr>
                <w:sz w:val="18"/>
                <w:szCs w:val="18"/>
              </w:rPr>
              <w:t>quy</w:t>
            </w:r>
            <w:proofErr w:type="spellEnd"/>
            <w:r>
              <w:rPr>
                <w:sz w:val="18"/>
                <w:szCs w:val="18"/>
              </w:rPr>
              <w:t xml:space="preserve"> (</w:t>
            </w:r>
            <w:r>
              <w:rPr>
                <w:i/>
                <w:iCs/>
                <w:sz w:val="18"/>
                <w:szCs w:val="18"/>
              </w:rPr>
              <w:t xml:space="preserve">Angelica </w:t>
            </w:r>
            <w:proofErr w:type="spellStart"/>
            <w:r>
              <w:rPr>
                <w:i/>
                <w:iCs/>
                <w:sz w:val="18"/>
                <w:szCs w:val="18"/>
              </w:rPr>
              <w:t>acutiloba</w:t>
            </w:r>
            <w:proofErr w:type="spellEnd"/>
            <w:r>
              <w:rPr>
                <w:sz w:val="18"/>
                <w:szCs w:val="18"/>
              </w:rPr>
              <w:t xml:space="preserve"> (Siebold &amp; </w:t>
            </w:r>
            <w:proofErr w:type="spellStart"/>
            <w:r>
              <w:rPr>
                <w:sz w:val="18"/>
                <w:szCs w:val="18"/>
              </w:rPr>
              <w:t>Zucc</w:t>
            </w:r>
            <w:proofErr w:type="spellEnd"/>
            <w:r>
              <w:rPr>
                <w:sz w:val="18"/>
                <w:szCs w:val="18"/>
              </w:rPr>
              <w:t xml:space="preserve">.) </w:t>
            </w:r>
            <w:proofErr w:type="spellStart"/>
            <w:r>
              <w:rPr>
                <w:sz w:val="18"/>
                <w:szCs w:val="18"/>
              </w:rPr>
              <w:t>Kitag</w:t>
            </w:r>
            <w:proofErr w:type="spellEnd"/>
            <w:r>
              <w:rPr>
                <w:sz w:val="18"/>
                <w:szCs w:val="18"/>
              </w:rPr>
              <w:t>.)</w:t>
            </w:r>
          </w:p>
        </w:tc>
        <w:tc>
          <w:tcPr>
            <w:tcW w:w="3108" w:type="dxa"/>
            <w:tcMar>
              <w:top w:w="60" w:type="dxa"/>
              <w:left w:w="80" w:type="dxa"/>
              <w:bottom w:w="60" w:type="dxa"/>
              <w:right w:w="80" w:type="dxa"/>
            </w:tcMar>
            <w:vAlign w:val="center"/>
          </w:tcPr>
          <w:p w14:paraId="4A6C4493" w14:textId="77777777" w:rsidR="00510C23" w:rsidRDefault="00000000">
            <w:pPr>
              <w:jc w:val="center"/>
            </w:pPr>
            <w:r>
              <w:rPr>
                <w:sz w:val="18"/>
                <w:szCs w:val="18"/>
              </w:rPr>
              <w:t>4000</w:t>
            </w:r>
          </w:p>
        </w:tc>
      </w:tr>
      <w:tr w:rsidR="00510C23" w14:paraId="71E7FD7A" w14:textId="77777777">
        <w:trPr>
          <w:cantSplit/>
        </w:trPr>
        <w:tc>
          <w:tcPr>
            <w:tcW w:w="5100" w:type="dxa"/>
            <w:tcMar>
              <w:top w:w="60" w:type="dxa"/>
              <w:left w:w="80" w:type="dxa"/>
              <w:bottom w:w="60" w:type="dxa"/>
              <w:right w:w="80" w:type="dxa"/>
            </w:tcMar>
            <w:vAlign w:val="center"/>
          </w:tcPr>
          <w:p w14:paraId="3C044CB7" w14:textId="77777777" w:rsidR="00510C23" w:rsidRDefault="00000000">
            <w:r>
              <w:rPr>
                <w:sz w:val="18"/>
                <w:szCs w:val="18"/>
              </w:rPr>
              <w:t>Cau tich (</w:t>
            </w:r>
            <w:proofErr w:type="spellStart"/>
            <w:r>
              <w:rPr>
                <w:i/>
                <w:iCs/>
                <w:sz w:val="18"/>
                <w:szCs w:val="18"/>
              </w:rPr>
              <w:t>Cibotium</w:t>
            </w:r>
            <w:proofErr w:type="spellEnd"/>
            <w:r>
              <w:rPr>
                <w:i/>
                <w:iCs/>
                <w:sz w:val="18"/>
                <w:szCs w:val="18"/>
              </w:rPr>
              <w:t xml:space="preserve"> barometz</w:t>
            </w:r>
            <w:r>
              <w:rPr>
                <w:sz w:val="18"/>
                <w:szCs w:val="18"/>
              </w:rPr>
              <w:t xml:space="preserve"> J. Sm.)</w:t>
            </w:r>
          </w:p>
        </w:tc>
        <w:tc>
          <w:tcPr>
            <w:tcW w:w="3108" w:type="dxa"/>
            <w:tcMar>
              <w:top w:w="60" w:type="dxa"/>
              <w:left w:w="80" w:type="dxa"/>
              <w:bottom w:w="60" w:type="dxa"/>
              <w:right w:w="80" w:type="dxa"/>
            </w:tcMar>
            <w:vAlign w:val="center"/>
          </w:tcPr>
          <w:p w14:paraId="0BFFDDAD" w14:textId="77777777" w:rsidR="00510C23" w:rsidRDefault="00000000">
            <w:pPr>
              <w:jc w:val="center"/>
            </w:pPr>
            <w:r>
              <w:rPr>
                <w:sz w:val="18"/>
                <w:szCs w:val="18"/>
              </w:rPr>
              <w:t>4000</w:t>
            </w:r>
          </w:p>
        </w:tc>
      </w:tr>
      <w:tr w:rsidR="00510C23" w14:paraId="6899C8B5" w14:textId="77777777">
        <w:trPr>
          <w:cantSplit/>
        </w:trPr>
        <w:tc>
          <w:tcPr>
            <w:tcW w:w="5100" w:type="dxa"/>
            <w:tcMar>
              <w:top w:w="60" w:type="dxa"/>
              <w:left w:w="80" w:type="dxa"/>
              <w:bottom w:w="60" w:type="dxa"/>
              <w:right w:w="80" w:type="dxa"/>
            </w:tcMar>
            <w:vAlign w:val="center"/>
          </w:tcPr>
          <w:p w14:paraId="6BF42408" w14:textId="77777777" w:rsidR="00510C23" w:rsidRDefault="00000000">
            <w:proofErr w:type="spellStart"/>
            <w:r>
              <w:rPr>
                <w:sz w:val="18"/>
                <w:szCs w:val="18"/>
              </w:rPr>
              <w:t>Que</w:t>
            </w:r>
            <w:proofErr w:type="spellEnd"/>
            <w:r>
              <w:rPr>
                <w:sz w:val="18"/>
                <w:szCs w:val="18"/>
              </w:rPr>
              <w:t xml:space="preserve"> chi (</w:t>
            </w:r>
            <w:r>
              <w:rPr>
                <w:i/>
                <w:iCs/>
                <w:sz w:val="18"/>
                <w:szCs w:val="18"/>
              </w:rPr>
              <w:t>Cinnamomum cassia</w:t>
            </w:r>
            <w:r>
              <w:rPr>
                <w:sz w:val="18"/>
                <w:szCs w:val="18"/>
              </w:rPr>
              <w:t xml:space="preserve"> Blume)</w:t>
            </w:r>
          </w:p>
        </w:tc>
        <w:tc>
          <w:tcPr>
            <w:tcW w:w="3108" w:type="dxa"/>
            <w:tcMar>
              <w:top w:w="60" w:type="dxa"/>
              <w:left w:w="80" w:type="dxa"/>
              <w:bottom w:w="60" w:type="dxa"/>
              <w:right w:w="80" w:type="dxa"/>
            </w:tcMar>
            <w:vAlign w:val="center"/>
          </w:tcPr>
          <w:p w14:paraId="10174AB5" w14:textId="77777777" w:rsidR="00510C23" w:rsidRDefault="00000000">
            <w:pPr>
              <w:jc w:val="center"/>
            </w:pPr>
            <w:r>
              <w:rPr>
                <w:sz w:val="18"/>
                <w:szCs w:val="18"/>
              </w:rPr>
              <w:t>4000</w:t>
            </w:r>
          </w:p>
        </w:tc>
      </w:tr>
      <w:tr w:rsidR="00510C23" w14:paraId="73E6528B" w14:textId="77777777">
        <w:trPr>
          <w:cantSplit/>
        </w:trPr>
        <w:tc>
          <w:tcPr>
            <w:tcW w:w="5100" w:type="dxa"/>
            <w:tcMar>
              <w:top w:w="60" w:type="dxa"/>
              <w:left w:w="80" w:type="dxa"/>
              <w:bottom w:w="60" w:type="dxa"/>
              <w:right w:w="80" w:type="dxa"/>
            </w:tcMar>
            <w:vAlign w:val="center"/>
          </w:tcPr>
          <w:p w14:paraId="6EB5C87A" w14:textId="77777777" w:rsidR="00510C23" w:rsidRDefault="00000000">
            <w:r>
              <w:rPr>
                <w:sz w:val="18"/>
                <w:szCs w:val="18"/>
              </w:rPr>
              <w:t xml:space="preserve">Co </w:t>
            </w:r>
            <w:proofErr w:type="spellStart"/>
            <w:r>
              <w:rPr>
                <w:sz w:val="18"/>
                <w:szCs w:val="18"/>
              </w:rPr>
              <w:t>ngot</w:t>
            </w:r>
            <w:proofErr w:type="spellEnd"/>
            <w:r>
              <w:rPr>
                <w:sz w:val="18"/>
                <w:szCs w:val="18"/>
              </w:rPr>
              <w:t xml:space="preserve"> (</w:t>
            </w:r>
            <w:r>
              <w:rPr>
                <w:i/>
                <w:iCs/>
                <w:sz w:val="18"/>
                <w:szCs w:val="18"/>
              </w:rPr>
              <w:t xml:space="preserve">Stevia </w:t>
            </w:r>
            <w:proofErr w:type="spellStart"/>
            <w:r>
              <w:rPr>
                <w:i/>
                <w:iCs/>
                <w:sz w:val="18"/>
                <w:szCs w:val="18"/>
              </w:rPr>
              <w:t>rebaudiana</w:t>
            </w:r>
            <w:proofErr w:type="spellEnd"/>
            <w:r>
              <w:rPr>
                <w:sz w:val="18"/>
                <w:szCs w:val="18"/>
              </w:rPr>
              <w:t xml:space="preserve"> (Bertoni) Hemsley)</w:t>
            </w:r>
          </w:p>
        </w:tc>
        <w:tc>
          <w:tcPr>
            <w:tcW w:w="3108" w:type="dxa"/>
            <w:tcMar>
              <w:top w:w="60" w:type="dxa"/>
              <w:left w:w="80" w:type="dxa"/>
              <w:bottom w:w="60" w:type="dxa"/>
              <w:right w:w="80" w:type="dxa"/>
            </w:tcMar>
            <w:vAlign w:val="center"/>
          </w:tcPr>
          <w:p w14:paraId="4ED8F2C5" w14:textId="77777777" w:rsidR="00510C23" w:rsidRDefault="00000000">
            <w:pPr>
              <w:jc w:val="center"/>
            </w:pPr>
            <w:r>
              <w:rPr>
                <w:sz w:val="18"/>
                <w:szCs w:val="18"/>
              </w:rPr>
              <w:t>1900</w:t>
            </w:r>
          </w:p>
        </w:tc>
      </w:tr>
      <w:tr w:rsidR="00510C23" w14:paraId="761C235E" w14:textId="77777777">
        <w:trPr>
          <w:cantSplit/>
        </w:trPr>
        <w:tc>
          <w:tcPr>
            <w:tcW w:w="5100" w:type="dxa"/>
            <w:tcMar>
              <w:top w:w="60" w:type="dxa"/>
              <w:left w:w="80" w:type="dxa"/>
              <w:bottom w:w="60" w:type="dxa"/>
              <w:right w:w="80" w:type="dxa"/>
            </w:tcMar>
            <w:vAlign w:val="center"/>
          </w:tcPr>
          <w:p w14:paraId="65F99CAC" w14:textId="77777777" w:rsidR="00510C23" w:rsidRDefault="00000000">
            <w:r>
              <w:rPr>
                <w:b/>
                <w:bCs/>
                <w:sz w:val="18"/>
                <w:szCs w:val="18"/>
              </w:rPr>
              <w:t>Total</w:t>
            </w:r>
          </w:p>
        </w:tc>
        <w:tc>
          <w:tcPr>
            <w:tcW w:w="3108" w:type="dxa"/>
            <w:tcMar>
              <w:top w:w="60" w:type="dxa"/>
              <w:left w:w="80" w:type="dxa"/>
              <w:bottom w:w="60" w:type="dxa"/>
              <w:right w:w="80" w:type="dxa"/>
            </w:tcMar>
            <w:vAlign w:val="center"/>
          </w:tcPr>
          <w:p w14:paraId="33FC6E31" w14:textId="77777777" w:rsidR="00510C23" w:rsidRDefault="00000000">
            <w:pPr>
              <w:jc w:val="center"/>
            </w:pPr>
            <w:r>
              <w:rPr>
                <w:b/>
                <w:bCs/>
                <w:sz w:val="18"/>
                <w:szCs w:val="18"/>
              </w:rPr>
              <w:t>36400</w:t>
            </w:r>
          </w:p>
        </w:tc>
      </w:tr>
    </w:tbl>
    <w:p w14:paraId="3085B79F" w14:textId="77777777" w:rsidR="00510C23" w:rsidRDefault="00000000">
      <w:pPr>
        <w:spacing w:before="160" w:after="160"/>
        <w:jc w:val="both"/>
      </w:pPr>
      <w:r>
        <w:t xml:space="preserve">One dose of </w:t>
      </w:r>
      <w:proofErr w:type="spellStart"/>
      <w:r>
        <w:t>Lamgout</w:t>
      </w:r>
      <w:proofErr w:type="spellEnd"/>
      <w:r>
        <w:t xml:space="preserve"> contains a total of 36.4 g of dried herbal material, which was extracted with a suitable solvent and concentrated under vacuum to yield 3.54 g of soft extract; excipients, sodium benzoate as </w:t>
      </w:r>
      <w:r>
        <w:rPr>
          <w:highlight w:val="yellow"/>
        </w:rPr>
        <w:t xml:space="preserve">a </w:t>
      </w:r>
      <w:r>
        <w:t>preservative</w:t>
      </w:r>
      <w:r>
        <w:rPr>
          <w:highlight w:val="yellow"/>
        </w:rPr>
        <w:t>,</w:t>
      </w:r>
      <w:r>
        <w:t xml:space="preserve"> and purified water were then added to a final volume of 10 </w:t>
      </w:r>
      <w:proofErr w:type="spellStart"/>
      <w:r>
        <w:t>mL.</w:t>
      </w:r>
      <w:proofErr w:type="spellEnd"/>
      <w:r>
        <w:t xml:space="preserve"> For the pharmacological experiments</w:t>
      </w:r>
      <w:r>
        <w:rPr>
          <w:highlight w:val="yellow"/>
        </w:rPr>
        <w:t>,</w:t>
      </w:r>
      <w:r>
        <w:t xml:space="preserve"> the extract was diluted with distilled water to the required concentrations, and all doses are expressed as grams of dried herbal material per kilogram of body weight. The remedy is intended to be taken by a 60 kg adult at two doses per day, equivalent to 1.2 g of dried herb/kg; conversion to the mouse </w:t>
      </w:r>
      <w:r>
        <w:rPr>
          <w:highlight w:val="yellow"/>
        </w:rPr>
        <w:t>us</w:t>
      </w:r>
      <w:r>
        <w:t>i</w:t>
      </w:r>
      <w:r>
        <w:rPr>
          <w:highlight w:val="yellow"/>
        </w:rPr>
        <w:t>ng</w:t>
      </w:r>
      <w:r>
        <w:t xml:space="preserve"> a factor of 11.76 gives a projected effective dose of 14 g of dried herb/kg/day, corresponding to 3.8 mL of </w:t>
      </w:r>
      <w:proofErr w:type="spellStart"/>
      <w:r>
        <w:t>Lamgout</w:t>
      </w:r>
      <w:proofErr w:type="spellEnd"/>
      <w:r>
        <w:t xml:space="preserve"> extract/kg/day (Ministry of Health of Vietnam, 2015).</w:t>
      </w:r>
    </w:p>
    <w:p w14:paraId="14E22CF3" w14:textId="77777777" w:rsidR="00F46E07" w:rsidRDefault="00000000">
      <w:pPr>
        <w:spacing w:after="160"/>
        <w:jc w:val="both"/>
      </w:pPr>
      <w:r>
        <w:t>Each of the eight ingredients has been investigated phytochemically, and the classes of compound</w:t>
      </w:r>
      <w:r>
        <w:rPr>
          <w:highlight w:val="yellow"/>
        </w:rPr>
        <w:t>s</w:t>
      </w:r>
      <w:r>
        <w:t xml:space="preserve"> to which their reported anti-inflammatory and urate-lowering effects are attributed are summarised in Table 2. Several of these constituents, in particular the 2-phenylbenzofurans of </w:t>
      </w:r>
      <w:r>
        <w:rPr>
          <w:i/>
          <w:iCs/>
        </w:rPr>
        <w:t>G. montanum</w:t>
      </w:r>
      <w:r>
        <w:t xml:space="preserve"> and the </w:t>
      </w:r>
      <w:proofErr w:type="spellStart"/>
      <w:r>
        <w:t>homoisoflavonoids</w:t>
      </w:r>
      <w:proofErr w:type="spellEnd"/>
      <w:r>
        <w:t xml:space="preserve"> of </w:t>
      </w:r>
      <w:r>
        <w:rPr>
          <w:i/>
          <w:iCs/>
        </w:rPr>
        <w:t xml:space="preserve">C. </w:t>
      </w:r>
      <w:proofErr w:type="spellStart"/>
      <w:r>
        <w:rPr>
          <w:i/>
          <w:iCs/>
        </w:rPr>
        <w:t>sappan</w:t>
      </w:r>
      <w:proofErr w:type="spellEnd"/>
      <w:r>
        <w:t xml:space="preserve">, are documented inhibitors of xanthine oxidase, whereas the diterpenoids of </w:t>
      </w:r>
      <w:r>
        <w:rPr>
          <w:i/>
          <w:iCs/>
        </w:rPr>
        <w:t>S. orientalis</w:t>
      </w:r>
      <w:r>
        <w:t xml:space="preserve"> and the phthalides of </w:t>
      </w:r>
      <w:r>
        <w:rPr>
          <w:i/>
          <w:iCs/>
        </w:rPr>
        <w:t xml:space="preserve">A. </w:t>
      </w:r>
      <w:proofErr w:type="spellStart"/>
      <w:r>
        <w:rPr>
          <w:i/>
          <w:iCs/>
        </w:rPr>
        <w:t>acutiloba</w:t>
      </w:r>
      <w:proofErr w:type="spellEnd"/>
      <w:r>
        <w:t xml:space="preserve"> act chiefly on inflammatory mediators. The remedy therefore brings together, within a single preparation, constituents acting on both processes evaluated in the present study.</w:t>
      </w:r>
    </w:p>
    <w:p w14:paraId="43E3261E" w14:textId="77777777" w:rsidR="00F46E07" w:rsidRDefault="00000000">
      <w:pPr>
        <w:keepNext/>
        <w:spacing w:before="200" w:after="120"/>
      </w:pPr>
      <w:r>
        <w:rPr>
          <w:b/>
          <w:bCs/>
        </w:rPr>
        <w:t xml:space="preserve">Table 2. Principal constituents reported for the eight ingredients of the </w:t>
      </w:r>
      <w:proofErr w:type="spellStart"/>
      <w:r>
        <w:rPr>
          <w:b/>
          <w:bCs/>
        </w:rPr>
        <w:t>Lamgout</w:t>
      </w:r>
      <w:proofErr w:type="spellEnd"/>
      <w:r>
        <w:rPr>
          <w:b/>
          <w:bCs/>
        </w:rPr>
        <w:t xml:space="preserve"> remedy</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4200"/>
        <w:gridCol w:w="2258"/>
      </w:tblGrid>
      <w:tr w:rsidR="00F46E07" w14:paraId="62698BE3" w14:textId="77777777">
        <w:trPr>
          <w:cantSplit/>
          <w:tblHeader/>
        </w:trPr>
        <w:tc>
          <w:tcPr>
            <w:tcW w:w="1750" w:type="dxa"/>
            <w:shd w:val="clear" w:color="auto" w:fill="D9D9D9"/>
            <w:tcMar>
              <w:top w:w="60" w:type="dxa"/>
              <w:left w:w="80" w:type="dxa"/>
              <w:bottom w:w="60" w:type="dxa"/>
              <w:right w:w="80" w:type="dxa"/>
            </w:tcMar>
            <w:vAlign w:val="center"/>
          </w:tcPr>
          <w:p w14:paraId="7C3A1D71" w14:textId="77777777" w:rsidR="00F46E07" w:rsidRDefault="00000000">
            <w:r>
              <w:rPr>
                <w:b/>
                <w:bCs/>
                <w:sz w:val="18"/>
                <w:szCs w:val="18"/>
              </w:rPr>
              <w:t>Ingredient</w:t>
            </w:r>
          </w:p>
        </w:tc>
        <w:tc>
          <w:tcPr>
            <w:tcW w:w="4200" w:type="dxa"/>
            <w:shd w:val="clear" w:color="auto" w:fill="D9D9D9"/>
            <w:tcMar>
              <w:top w:w="60" w:type="dxa"/>
              <w:left w:w="80" w:type="dxa"/>
              <w:bottom w:w="60" w:type="dxa"/>
              <w:right w:w="80" w:type="dxa"/>
            </w:tcMar>
            <w:vAlign w:val="center"/>
          </w:tcPr>
          <w:p w14:paraId="5C88825E" w14:textId="77777777" w:rsidR="00F46E07" w:rsidRDefault="00000000">
            <w:r>
              <w:rPr>
                <w:b/>
                <w:bCs/>
                <w:sz w:val="18"/>
                <w:szCs w:val="18"/>
              </w:rPr>
              <w:t>Principal constituents reported</w:t>
            </w:r>
          </w:p>
        </w:tc>
        <w:tc>
          <w:tcPr>
            <w:tcW w:w="2258" w:type="dxa"/>
            <w:shd w:val="clear" w:color="auto" w:fill="D9D9D9"/>
            <w:tcMar>
              <w:top w:w="60" w:type="dxa"/>
              <w:left w:w="80" w:type="dxa"/>
              <w:bottom w:w="60" w:type="dxa"/>
              <w:right w:w="80" w:type="dxa"/>
            </w:tcMar>
            <w:vAlign w:val="center"/>
          </w:tcPr>
          <w:p w14:paraId="7BFE35F9" w14:textId="77777777" w:rsidR="00F46E07" w:rsidRDefault="00000000">
            <w:r>
              <w:rPr>
                <w:b/>
                <w:bCs/>
                <w:sz w:val="18"/>
                <w:szCs w:val="18"/>
              </w:rPr>
              <w:t>Reference</w:t>
            </w:r>
          </w:p>
        </w:tc>
      </w:tr>
      <w:tr w:rsidR="00F46E07" w14:paraId="5BF711A9" w14:textId="77777777">
        <w:trPr>
          <w:cantSplit/>
        </w:trPr>
        <w:tc>
          <w:tcPr>
            <w:tcW w:w="1750" w:type="dxa"/>
            <w:tcMar>
              <w:top w:w="60" w:type="dxa"/>
              <w:left w:w="80" w:type="dxa"/>
              <w:bottom w:w="60" w:type="dxa"/>
              <w:right w:w="80" w:type="dxa"/>
            </w:tcMar>
            <w:vAlign w:val="center"/>
          </w:tcPr>
          <w:p w14:paraId="06287C2E" w14:textId="77777777" w:rsidR="00F46E07" w:rsidRDefault="00000000">
            <w:proofErr w:type="spellStart"/>
            <w:r>
              <w:rPr>
                <w:i/>
                <w:iCs/>
                <w:sz w:val="18"/>
                <w:szCs w:val="18"/>
              </w:rPr>
              <w:t>Gnetum</w:t>
            </w:r>
            <w:proofErr w:type="spellEnd"/>
            <w:r>
              <w:rPr>
                <w:i/>
                <w:iCs/>
                <w:sz w:val="18"/>
                <w:szCs w:val="18"/>
              </w:rPr>
              <w:t xml:space="preserve"> montanum</w:t>
            </w:r>
          </w:p>
        </w:tc>
        <w:tc>
          <w:tcPr>
            <w:tcW w:w="4200" w:type="dxa"/>
            <w:tcMar>
              <w:top w:w="60" w:type="dxa"/>
              <w:left w:w="80" w:type="dxa"/>
              <w:bottom w:w="60" w:type="dxa"/>
              <w:right w:w="80" w:type="dxa"/>
            </w:tcMar>
            <w:vAlign w:val="center"/>
          </w:tcPr>
          <w:p w14:paraId="5A3095B9" w14:textId="77777777" w:rsidR="00F46E07" w:rsidRDefault="00000000">
            <w:r>
              <w:rPr>
                <w:sz w:val="18"/>
                <w:szCs w:val="18"/>
              </w:rPr>
              <w:t xml:space="preserve">Stilbenes and 2-phenylbenzofurans (resveratrol, </w:t>
            </w:r>
            <w:proofErr w:type="spellStart"/>
            <w:r>
              <w:rPr>
                <w:sz w:val="18"/>
                <w:szCs w:val="18"/>
              </w:rPr>
              <w:t>gnetol</w:t>
            </w:r>
            <w:proofErr w:type="spellEnd"/>
            <w:r>
              <w:rPr>
                <w:sz w:val="18"/>
                <w:szCs w:val="18"/>
              </w:rPr>
              <w:t xml:space="preserve">, </w:t>
            </w:r>
            <w:proofErr w:type="spellStart"/>
            <w:r>
              <w:rPr>
                <w:sz w:val="18"/>
                <w:szCs w:val="18"/>
              </w:rPr>
              <w:t>gnetifolin</w:t>
            </w:r>
            <w:proofErr w:type="spellEnd"/>
            <w:r>
              <w:rPr>
                <w:sz w:val="18"/>
                <w:szCs w:val="18"/>
              </w:rPr>
              <w:t xml:space="preserve"> M, </w:t>
            </w:r>
            <w:proofErr w:type="spellStart"/>
            <w:r>
              <w:rPr>
                <w:sz w:val="18"/>
                <w:szCs w:val="18"/>
              </w:rPr>
              <w:t>gnetumgam</w:t>
            </w:r>
            <w:proofErr w:type="spellEnd"/>
            <w:r>
              <w:rPr>
                <w:sz w:val="18"/>
                <w:szCs w:val="18"/>
              </w:rPr>
              <w:t xml:space="preserve"> A and B); </w:t>
            </w:r>
            <w:proofErr w:type="spellStart"/>
            <w:r>
              <w:rPr>
                <w:sz w:val="18"/>
                <w:szCs w:val="18"/>
              </w:rPr>
              <w:t>gnetumgam</w:t>
            </w:r>
            <w:proofErr w:type="spellEnd"/>
            <w:r>
              <w:rPr>
                <w:sz w:val="18"/>
                <w:szCs w:val="18"/>
              </w:rPr>
              <w:t xml:space="preserve"> B and </w:t>
            </w:r>
            <w:proofErr w:type="spellStart"/>
            <w:r>
              <w:rPr>
                <w:sz w:val="18"/>
                <w:szCs w:val="18"/>
              </w:rPr>
              <w:t>gnetifolin</w:t>
            </w:r>
            <w:proofErr w:type="spellEnd"/>
            <w:r>
              <w:rPr>
                <w:sz w:val="18"/>
                <w:szCs w:val="18"/>
              </w:rPr>
              <w:t xml:space="preserve"> M inhibit xanthine oxidase</w:t>
            </w:r>
          </w:p>
        </w:tc>
        <w:tc>
          <w:tcPr>
            <w:tcW w:w="2258" w:type="dxa"/>
            <w:tcMar>
              <w:top w:w="60" w:type="dxa"/>
              <w:left w:w="80" w:type="dxa"/>
              <w:bottom w:w="60" w:type="dxa"/>
              <w:right w:w="80" w:type="dxa"/>
            </w:tcMar>
            <w:vAlign w:val="center"/>
          </w:tcPr>
          <w:p w14:paraId="14ECD012" w14:textId="77777777" w:rsidR="00F46E07" w:rsidRDefault="00000000">
            <w:r w:rsidRPr="00AE72E7">
              <w:rPr>
                <w:sz w:val="18"/>
                <w:szCs w:val="18"/>
                <w:lang w:val="nl-BE"/>
              </w:rPr>
              <w:t xml:space="preserve">Xiang et al. (2002); Do et al. </w:t>
            </w:r>
            <w:r>
              <w:rPr>
                <w:sz w:val="18"/>
                <w:szCs w:val="18"/>
              </w:rPr>
              <w:t>(2026)</w:t>
            </w:r>
          </w:p>
        </w:tc>
      </w:tr>
      <w:tr w:rsidR="00F46E07" w14:paraId="42453333" w14:textId="77777777">
        <w:trPr>
          <w:cantSplit/>
        </w:trPr>
        <w:tc>
          <w:tcPr>
            <w:tcW w:w="1750" w:type="dxa"/>
            <w:tcMar>
              <w:top w:w="60" w:type="dxa"/>
              <w:left w:w="80" w:type="dxa"/>
              <w:bottom w:w="60" w:type="dxa"/>
              <w:right w:w="80" w:type="dxa"/>
            </w:tcMar>
            <w:vAlign w:val="center"/>
          </w:tcPr>
          <w:p w14:paraId="306D7968" w14:textId="77777777" w:rsidR="00F46E07" w:rsidRDefault="00000000">
            <w:proofErr w:type="spellStart"/>
            <w:r>
              <w:rPr>
                <w:i/>
                <w:iCs/>
                <w:sz w:val="18"/>
                <w:szCs w:val="18"/>
              </w:rPr>
              <w:t>Siegesbeckia</w:t>
            </w:r>
            <w:proofErr w:type="spellEnd"/>
            <w:r>
              <w:rPr>
                <w:i/>
                <w:iCs/>
                <w:sz w:val="18"/>
                <w:szCs w:val="18"/>
              </w:rPr>
              <w:t xml:space="preserve"> orientalis</w:t>
            </w:r>
          </w:p>
        </w:tc>
        <w:tc>
          <w:tcPr>
            <w:tcW w:w="4200" w:type="dxa"/>
            <w:tcMar>
              <w:top w:w="60" w:type="dxa"/>
              <w:left w:w="80" w:type="dxa"/>
              <w:bottom w:w="60" w:type="dxa"/>
              <w:right w:w="80" w:type="dxa"/>
            </w:tcMar>
            <w:vAlign w:val="center"/>
          </w:tcPr>
          <w:p w14:paraId="72D74BAB" w14:textId="77777777" w:rsidR="00F46E07" w:rsidRDefault="00000000">
            <w:r>
              <w:rPr>
                <w:sz w:val="18"/>
                <w:szCs w:val="18"/>
              </w:rPr>
              <w:t xml:space="preserve">Diterpenoids, of which </w:t>
            </w:r>
            <w:proofErr w:type="spellStart"/>
            <w:r>
              <w:rPr>
                <w:sz w:val="18"/>
                <w:szCs w:val="18"/>
              </w:rPr>
              <w:t>kirenol</w:t>
            </w:r>
            <w:proofErr w:type="spellEnd"/>
            <w:r>
              <w:rPr>
                <w:sz w:val="18"/>
                <w:szCs w:val="18"/>
              </w:rPr>
              <w:t xml:space="preserve"> is the quality-control marker, together with phenolic acids and flavonoids</w:t>
            </w:r>
          </w:p>
        </w:tc>
        <w:tc>
          <w:tcPr>
            <w:tcW w:w="2258" w:type="dxa"/>
            <w:tcMar>
              <w:top w:w="60" w:type="dxa"/>
              <w:left w:w="80" w:type="dxa"/>
              <w:bottom w:w="60" w:type="dxa"/>
              <w:right w:w="80" w:type="dxa"/>
            </w:tcMar>
            <w:vAlign w:val="center"/>
          </w:tcPr>
          <w:p w14:paraId="487EC480" w14:textId="77777777" w:rsidR="00F46E07" w:rsidRDefault="00000000">
            <w:r w:rsidRPr="00AE72E7">
              <w:rPr>
                <w:sz w:val="18"/>
                <w:szCs w:val="18"/>
                <w:lang w:val="nl-BE"/>
              </w:rPr>
              <w:t xml:space="preserve">Wang J. P. et al. </w:t>
            </w:r>
            <w:r>
              <w:rPr>
                <w:sz w:val="18"/>
                <w:szCs w:val="18"/>
              </w:rPr>
              <w:t>(2011); Wang Q. et al. (2021)</w:t>
            </w:r>
          </w:p>
        </w:tc>
      </w:tr>
      <w:tr w:rsidR="00F46E07" w14:paraId="4BDDCF94" w14:textId="77777777">
        <w:trPr>
          <w:cantSplit/>
        </w:trPr>
        <w:tc>
          <w:tcPr>
            <w:tcW w:w="1750" w:type="dxa"/>
            <w:tcMar>
              <w:top w:w="60" w:type="dxa"/>
              <w:left w:w="80" w:type="dxa"/>
              <w:bottom w:w="60" w:type="dxa"/>
              <w:right w:w="80" w:type="dxa"/>
            </w:tcMar>
            <w:vAlign w:val="center"/>
          </w:tcPr>
          <w:p w14:paraId="73C9F70D" w14:textId="77777777" w:rsidR="00F46E07" w:rsidRDefault="00000000">
            <w:r>
              <w:rPr>
                <w:i/>
                <w:iCs/>
                <w:sz w:val="18"/>
                <w:szCs w:val="18"/>
              </w:rPr>
              <w:t xml:space="preserve">Caesalpinia </w:t>
            </w:r>
            <w:proofErr w:type="spellStart"/>
            <w:r>
              <w:rPr>
                <w:i/>
                <w:iCs/>
                <w:sz w:val="18"/>
                <w:szCs w:val="18"/>
              </w:rPr>
              <w:t>sappan</w:t>
            </w:r>
            <w:proofErr w:type="spellEnd"/>
          </w:p>
        </w:tc>
        <w:tc>
          <w:tcPr>
            <w:tcW w:w="4200" w:type="dxa"/>
            <w:tcMar>
              <w:top w:w="60" w:type="dxa"/>
              <w:left w:w="80" w:type="dxa"/>
              <w:bottom w:w="60" w:type="dxa"/>
              <w:right w:w="80" w:type="dxa"/>
            </w:tcMar>
            <w:vAlign w:val="center"/>
          </w:tcPr>
          <w:p w14:paraId="2617B186" w14:textId="77777777" w:rsidR="00F46E07" w:rsidRDefault="00000000">
            <w:proofErr w:type="spellStart"/>
            <w:r>
              <w:rPr>
                <w:sz w:val="18"/>
                <w:szCs w:val="18"/>
              </w:rPr>
              <w:t>Homoisoflavonoids</w:t>
            </w:r>
            <w:proofErr w:type="spellEnd"/>
            <w:r>
              <w:rPr>
                <w:sz w:val="18"/>
                <w:szCs w:val="18"/>
              </w:rPr>
              <w:t xml:space="preserve"> and </w:t>
            </w:r>
            <w:proofErr w:type="spellStart"/>
            <w:r>
              <w:rPr>
                <w:sz w:val="18"/>
                <w:szCs w:val="18"/>
              </w:rPr>
              <w:t>protosappanins</w:t>
            </w:r>
            <w:proofErr w:type="spellEnd"/>
            <w:r>
              <w:rPr>
                <w:sz w:val="18"/>
                <w:szCs w:val="18"/>
              </w:rPr>
              <w:t xml:space="preserve">, chiefly brazilin and </w:t>
            </w:r>
            <w:proofErr w:type="spellStart"/>
            <w:r>
              <w:rPr>
                <w:sz w:val="18"/>
                <w:szCs w:val="18"/>
              </w:rPr>
              <w:t>brazilein</w:t>
            </w:r>
            <w:proofErr w:type="spellEnd"/>
            <w:r>
              <w:rPr>
                <w:sz w:val="18"/>
                <w:szCs w:val="18"/>
              </w:rPr>
              <w:t>; several inhibit xanthine oxidase</w:t>
            </w:r>
          </w:p>
        </w:tc>
        <w:tc>
          <w:tcPr>
            <w:tcW w:w="2258" w:type="dxa"/>
            <w:tcMar>
              <w:top w:w="60" w:type="dxa"/>
              <w:left w:w="80" w:type="dxa"/>
              <w:bottom w:w="60" w:type="dxa"/>
              <w:right w:w="80" w:type="dxa"/>
            </w:tcMar>
            <w:vAlign w:val="center"/>
          </w:tcPr>
          <w:p w14:paraId="760228A2" w14:textId="77777777" w:rsidR="00F46E07" w:rsidRDefault="00000000">
            <w:r w:rsidRPr="00AE72E7">
              <w:rPr>
                <w:sz w:val="18"/>
                <w:szCs w:val="18"/>
                <w:lang w:val="nl-BE"/>
              </w:rPr>
              <w:t xml:space="preserve">Nguyen M. T. T. et al. </w:t>
            </w:r>
            <w:r>
              <w:rPr>
                <w:sz w:val="18"/>
                <w:szCs w:val="18"/>
              </w:rPr>
              <w:t>(2005); Nirmal et al. (2015)</w:t>
            </w:r>
          </w:p>
        </w:tc>
      </w:tr>
      <w:tr w:rsidR="00F46E07" w14:paraId="3C777F31" w14:textId="77777777">
        <w:trPr>
          <w:cantSplit/>
        </w:trPr>
        <w:tc>
          <w:tcPr>
            <w:tcW w:w="1750" w:type="dxa"/>
            <w:tcMar>
              <w:top w:w="60" w:type="dxa"/>
              <w:left w:w="80" w:type="dxa"/>
              <w:bottom w:w="60" w:type="dxa"/>
              <w:right w:w="80" w:type="dxa"/>
            </w:tcMar>
            <w:vAlign w:val="center"/>
          </w:tcPr>
          <w:p w14:paraId="17713D01" w14:textId="77777777" w:rsidR="00F46E07" w:rsidRDefault="00000000">
            <w:proofErr w:type="spellStart"/>
            <w:r>
              <w:rPr>
                <w:i/>
                <w:iCs/>
                <w:sz w:val="18"/>
                <w:szCs w:val="18"/>
              </w:rPr>
              <w:t>Tinospora</w:t>
            </w:r>
            <w:proofErr w:type="spellEnd"/>
            <w:r>
              <w:rPr>
                <w:i/>
                <w:iCs/>
                <w:sz w:val="18"/>
                <w:szCs w:val="18"/>
              </w:rPr>
              <w:t xml:space="preserve"> sinensis</w:t>
            </w:r>
          </w:p>
        </w:tc>
        <w:tc>
          <w:tcPr>
            <w:tcW w:w="4200" w:type="dxa"/>
            <w:tcMar>
              <w:top w:w="60" w:type="dxa"/>
              <w:left w:w="80" w:type="dxa"/>
              <w:bottom w:w="60" w:type="dxa"/>
              <w:right w:w="80" w:type="dxa"/>
            </w:tcMar>
            <w:vAlign w:val="center"/>
          </w:tcPr>
          <w:p w14:paraId="6E3E19D7" w14:textId="77777777" w:rsidR="00F46E07" w:rsidRDefault="00000000">
            <w:r>
              <w:rPr>
                <w:sz w:val="18"/>
                <w:szCs w:val="18"/>
              </w:rPr>
              <w:t xml:space="preserve">Alkaloids (berberine) and phenolic acids (caffeic acid, ferulic acid) together with the </w:t>
            </w:r>
            <w:proofErr w:type="spellStart"/>
            <w:r>
              <w:rPr>
                <w:sz w:val="18"/>
                <w:szCs w:val="18"/>
              </w:rPr>
              <w:t>flavonol</w:t>
            </w:r>
            <w:proofErr w:type="spellEnd"/>
            <w:r>
              <w:rPr>
                <w:sz w:val="18"/>
                <w:szCs w:val="18"/>
              </w:rPr>
              <w:t xml:space="preserve"> myricetin</w:t>
            </w:r>
          </w:p>
        </w:tc>
        <w:tc>
          <w:tcPr>
            <w:tcW w:w="2258" w:type="dxa"/>
            <w:tcMar>
              <w:top w:w="60" w:type="dxa"/>
              <w:left w:w="80" w:type="dxa"/>
              <w:bottom w:w="60" w:type="dxa"/>
              <w:right w:w="80" w:type="dxa"/>
            </w:tcMar>
            <w:vAlign w:val="center"/>
          </w:tcPr>
          <w:p w14:paraId="5F723C13" w14:textId="77777777" w:rsidR="00F46E07" w:rsidRDefault="00000000">
            <w:r>
              <w:rPr>
                <w:sz w:val="18"/>
                <w:szCs w:val="18"/>
              </w:rPr>
              <w:t>Chi et al. (2016)</w:t>
            </w:r>
          </w:p>
        </w:tc>
      </w:tr>
      <w:tr w:rsidR="00F46E07" w14:paraId="40664607" w14:textId="77777777">
        <w:trPr>
          <w:cantSplit/>
        </w:trPr>
        <w:tc>
          <w:tcPr>
            <w:tcW w:w="1750" w:type="dxa"/>
            <w:tcMar>
              <w:top w:w="60" w:type="dxa"/>
              <w:left w:w="80" w:type="dxa"/>
              <w:bottom w:w="60" w:type="dxa"/>
              <w:right w:w="80" w:type="dxa"/>
            </w:tcMar>
            <w:vAlign w:val="center"/>
          </w:tcPr>
          <w:p w14:paraId="4F574FEB" w14:textId="77777777" w:rsidR="00F46E07" w:rsidRDefault="00000000">
            <w:r>
              <w:rPr>
                <w:i/>
                <w:iCs/>
                <w:sz w:val="18"/>
                <w:szCs w:val="18"/>
              </w:rPr>
              <w:lastRenderedPageBreak/>
              <w:t xml:space="preserve">Angelica </w:t>
            </w:r>
            <w:proofErr w:type="spellStart"/>
            <w:r>
              <w:rPr>
                <w:i/>
                <w:iCs/>
                <w:sz w:val="18"/>
                <w:szCs w:val="18"/>
              </w:rPr>
              <w:t>acutiloba</w:t>
            </w:r>
            <w:proofErr w:type="spellEnd"/>
          </w:p>
        </w:tc>
        <w:tc>
          <w:tcPr>
            <w:tcW w:w="4200" w:type="dxa"/>
            <w:tcMar>
              <w:top w:w="60" w:type="dxa"/>
              <w:left w:w="80" w:type="dxa"/>
              <w:bottom w:w="60" w:type="dxa"/>
              <w:right w:w="80" w:type="dxa"/>
            </w:tcMar>
            <w:vAlign w:val="center"/>
          </w:tcPr>
          <w:p w14:paraId="63A1D165" w14:textId="77777777" w:rsidR="00F46E07" w:rsidRDefault="00000000">
            <w:r>
              <w:rPr>
                <w:sz w:val="18"/>
                <w:szCs w:val="18"/>
              </w:rPr>
              <w:t>Phthalides, of which Z-</w:t>
            </w:r>
            <w:proofErr w:type="spellStart"/>
            <w:r>
              <w:rPr>
                <w:sz w:val="18"/>
                <w:szCs w:val="18"/>
              </w:rPr>
              <w:t>ligustilide</w:t>
            </w:r>
            <w:proofErr w:type="spellEnd"/>
            <w:r>
              <w:rPr>
                <w:sz w:val="18"/>
                <w:szCs w:val="18"/>
              </w:rPr>
              <w:t xml:space="preserve"> is the principal anti-inflammatory constituent</w:t>
            </w:r>
          </w:p>
        </w:tc>
        <w:tc>
          <w:tcPr>
            <w:tcW w:w="2258" w:type="dxa"/>
            <w:tcMar>
              <w:top w:w="60" w:type="dxa"/>
              <w:left w:w="80" w:type="dxa"/>
              <w:bottom w:w="60" w:type="dxa"/>
              <w:right w:w="80" w:type="dxa"/>
            </w:tcMar>
            <w:vAlign w:val="center"/>
          </w:tcPr>
          <w:p w14:paraId="51EB0687" w14:textId="77777777" w:rsidR="00F46E07" w:rsidRDefault="00000000">
            <w:r>
              <w:rPr>
                <w:sz w:val="18"/>
                <w:szCs w:val="18"/>
              </w:rPr>
              <w:t>Uto et al. (2015)</w:t>
            </w:r>
          </w:p>
        </w:tc>
      </w:tr>
      <w:tr w:rsidR="00F46E07" w14:paraId="6C5D2CB3" w14:textId="77777777">
        <w:trPr>
          <w:cantSplit/>
        </w:trPr>
        <w:tc>
          <w:tcPr>
            <w:tcW w:w="1750" w:type="dxa"/>
            <w:tcMar>
              <w:top w:w="60" w:type="dxa"/>
              <w:left w:w="80" w:type="dxa"/>
              <w:bottom w:w="60" w:type="dxa"/>
              <w:right w:w="80" w:type="dxa"/>
            </w:tcMar>
            <w:vAlign w:val="center"/>
          </w:tcPr>
          <w:p w14:paraId="2E996458" w14:textId="77777777" w:rsidR="00F46E07" w:rsidRDefault="00000000">
            <w:proofErr w:type="spellStart"/>
            <w:r>
              <w:rPr>
                <w:i/>
                <w:iCs/>
                <w:sz w:val="18"/>
                <w:szCs w:val="18"/>
              </w:rPr>
              <w:t>Cibotium</w:t>
            </w:r>
            <w:proofErr w:type="spellEnd"/>
            <w:r>
              <w:rPr>
                <w:i/>
                <w:iCs/>
                <w:sz w:val="18"/>
                <w:szCs w:val="18"/>
              </w:rPr>
              <w:t xml:space="preserve"> barometz</w:t>
            </w:r>
          </w:p>
        </w:tc>
        <w:tc>
          <w:tcPr>
            <w:tcW w:w="4200" w:type="dxa"/>
            <w:tcMar>
              <w:top w:w="60" w:type="dxa"/>
              <w:left w:w="80" w:type="dxa"/>
              <w:bottom w:w="60" w:type="dxa"/>
              <w:right w:w="80" w:type="dxa"/>
            </w:tcMar>
            <w:vAlign w:val="center"/>
          </w:tcPr>
          <w:p w14:paraId="4DAB49BA" w14:textId="77777777" w:rsidR="00F46E07" w:rsidRDefault="00000000">
            <w:r>
              <w:rPr>
                <w:sz w:val="18"/>
                <w:szCs w:val="18"/>
              </w:rPr>
              <w:t>Phenolic acids (protocatechuic acid, caffeic acid) and their glycosides, and sesquiterpenes of the 1-indanone type</w:t>
            </w:r>
          </w:p>
        </w:tc>
        <w:tc>
          <w:tcPr>
            <w:tcW w:w="2258" w:type="dxa"/>
            <w:tcMar>
              <w:top w:w="60" w:type="dxa"/>
              <w:left w:w="80" w:type="dxa"/>
              <w:bottom w:w="60" w:type="dxa"/>
              <w:right w:w="80" w:type="dxa"/>
            </w:tcMar>
            <w:vAlign w:val="center"/>
          </w:tcPr>
          <w:p w14:paraId="3F384288" w14:textId="77777777" w:rsidR="00F46E07" w:rsidRDefault="00000000">
            <w:r w:rsidRPr="00AE72E7">
              <w:rPr>
                <w:sz w:val="18"/>
                <w:szCs w:val="18"/>
                <w:lang w:val="nl-BE"/>
              </w:rPr>
              <w:t xml:space="preserve">Nguyen X. C. et al. </w:t>
            </w:r>
            <w:r>
              <w:rPr>
                <w:sz w:val="18"/>
                <w:szCs w:val="18"/>
              </w:rPr>
              <w:t>(2009)</w:t>
            </w:r>
          </w:p>
        </w:tc>
      </w:tr>
      <w:tr w:rsidR="00F46E07" w14:paraId="54993811" w14:textId="77777777">
        <w:trPr>
          <w:cantSplit/>
        </w:trPr>
        <w:tc>
          <w:tcPr>
            <w:tcW w:w="1750" w:type="dxa"/>
            <w:tcMar>
              <w:top w:w="60" w:type="dxa"/>
              <w:left w:w="80" w:type="dxa"/>
              <w:bottom w:w="60" w:type="dxa"/>
              <w:right w:w="80" w:type="dxa"/>
            </w:tcMar>
            <w:vAlign w:val="center"/>
          </w:tcPr>
          <w:p w14:paraId="4D88D24D" w14:textId="77777777" w:rsidR="00F46E07" w:rsidRDefault="00000000">
            <w:r>
              <w:rPr>
                <w:i/>
                <w:iCs/>
                <w:sz w:val="18"/>
                <w:szCs w:val="18"/>
              </w:rPr>
              <w:t>Cinnamomum cassia</w:t>
            </w:r>
          </w:p>
        </w:tc>
        <w:tc>
          <w:tcPr>
            <w:tcW w:w="4200" w:type="dxa"/>
            <w:tcMar>
              <w:top w:w="60" w:type="dxa"/>
              <w:left w:w="80" w:type="dxa"/>
              <w:bottom w:w="60" w:type="dxa"/>
              <w:right w:w="80" w:type="dxa"/>
            </w:tcMar>
            <w:vAlign w:val="center"/>
          </w:tcPr>
          <w:p w14:paraId="14F8B6CE" w14:textId="77777777" w:rsidR="00F46E07" w:rsidRDefault="00000000">
            <w:r>
              <w:rPr>
                <w:sz w:val="18"/>
                <w:szCs w:val="18"/>
              </w:rPr>
              <w:t>Volatile constituents of the twig oil, chiefly cinnamaldehyde, which lower TNF-α, IL-1β and PGE2</w:t>
            </w:r>
          </w:p>
        </w:tc>
        <w:tc>
          <w:tcPr>
            <w:tcW w:w="2258" w:type="dxa"/>
            <w:tcMar>
              <w:top w:w="60" w:type="dxa"/>
              <w:left w:w="80" w:type="dxa"/>
              <w:bottom w:w="60" w:type="dxa"/>
              <w:right w:w="80" w:type="dxa"/>
            </w:tcMar>
            <w:vAlign w:val="center"/>
          </w:tcPr>
          <w:p w14:paraId="2489C6B8" w14:textId="77777777" w:rsidR="00F46E07" w:rsidRDefault="00000000">
            <w:r>
              <w:rPr>
                <w:sz w:val="18"/>
                <w:szCs w:val="18"/>
              </w:rPr>
              <w:t>Sun et al. (2016)</w:t>
            </w:r>
          </w:p>
        </w:tc>
      </w:tr>
      <w:tr w:rsidR="00F46E07" w14:paraId="041F1419" w14:textId="77777777">
        <w:trPr>
          <w:cantSplit/>
        </w:trPr>
        <w:tc>
          <w:tcPr>
            <w:tcW w:w="1750" w:type="dxa"/>
            <w:tcMar>
              <w:top w:w="60" w:type="dxa"/>
              <w:left w:w="80" w:type="dxa"/>
              <w:bottom w:w="60" w:type="dxa"/>
              <w:right w:w="80" w:type="dxa"/>
            </w:tcMar>
            <w:vAlign w:val="center"/>
          </w:tcPr>
          <w:p w14:paraId="1508B8FF" w14:textId="77777777" w:rsidR="00F46E07" w:rsidRDefault="00000000">
            <w:r>
              <w:rPr>
                <w:i/>
                <w:iCs/>
                <w:sz w:val="18"/>
                <w:szCs w:val="18"/>
              </w:rPr>
              <w:t xml:space="preserve">Stevia </w:t>
            </w:r>
            <w:proofErr w:type="spellStart"/>
            <w:r>
              <w:rPr>
                <w:i/>
                <w:iCs/>
                <w:sz w:val="18"/>
                <w:szCs w:val="18"/>
              </w:rPr>
              <w:t>rebaudiana</w:t>
            </w:r>
            <w:proofErr w:type="spellEnd"/>
          </w:p>
        </w:tc>
        <w:tc>
          <w:tcPr>
            <w:tcW w:w="4200" w:type="dxa"/>
            <w:tcMar>
              <w:top w:w="60" w:type="dxa"/>
              <w:left w:w="80" w:type="dxa"/>
              <w:bottom w:w="60" w:type="dxa"/>
              <w:right w:w="80" w:type="dxa"/>
            </w:tcMar>
            <w:vAlign w:val="center"/>
          </w:tcPr>
          <w:p w14:paraId="0AADD9CB" w14:textId="77777777" w:rsidR="00F46E07" w:rsidRDefault="00000000">
            <w:proofErr w:type="spellStart"/>
            <w:r>
              <w:rPr>
                <w:sz w:val="18"/>
                <w:szCs w:val="18"/>
              </w:rPr>
              <w:t>Steviol</w:t>
            </w:r>
            <w:proofErr w:type="spellEnd"/>
            <w:r>
              <w:rPr>
                <w:sz w:val="18"/>
                <w:szCs w:val="18"/>
              </w:rPr>
              <w:t xml:space="preserve"> glycosides, chiefly </w:t>
            </w:r>
            <w:proofErr w:type="spellStart"/>
            <w:r>
              <w:rPr>
                <w:sz w:val="18"/>
                <w:szCs w:val="18"/>
              </w:rPr>
              <w:t>stevioside</w:t>
            </w:r>
            <w:proofErr w:type="spellEnd"/>
            <w:r>
              <w:rPr>
                <w:sz w:val="18"/>
                <w:szCs w:val="18"/>
              </w:rPr>
              <w:t xml:space="preserve"> and </w:t>
            </w:r>
            <w:proofErr w:type="spellStart"/>
            <w:r>
              <w:rPr>
                <w:sz w:val="18"/>
                <w:szCs w:val="18"/>
              </w:rPr>
              <w:t>rebaudioside</w:t>
            </w:r>
            <w:proofErr w:type="spellEnd"/>
            <w:r>
              <w:rPr>
                <w:sz w:val="18"/>
                <w:szCs w:val="18"/>
              </w:rPr>
              <w:t xml:space="preserve"> A, with flavonoids and phenolic acids</w:t>
            </w:r>
          </w:p>
        </w:tc>
        <w:tc>
          <w:tcPr>
            <w:tcW w:w="2258" w:type="dxa"/>
            <w:tcMar>
              <w:top w:w="60" w:type="dxa"/>
              <w:left w:w="80" w:type="dxa"/>
              <w:bottom w:w="60" w:type="dxa"/>
              <w:right w:w="80" w:type="dxa"/>
            </w:tcMar>
            <w:vAlign w:val="center"/>
          </w:tcPr>
          <w:p w14:paraId="4A88FB57" w14:textId="77777777" w:rsidR="00F46E07" w:rsidRDefault="00000000">
            <w:r>
              <w:rPr>
                <w:sz w:val="18"/>
                <w:szCs w:val="18"/>
              </w:rPr>
              <w:t>Orellana-Paucar (2023)</w:t>
            </w:r>
          </w:p>
        </w:tc>
      </w:tr>
    </w:tbl>
    <w:p w14:paraId="3752AE3E" w14:textId="77777777" w:rsidR="00F46E07" w:rsidRDefault="00000000">
      <w:pPr>
        <w:spacing w:before="80" w:after="200"/>
      </w:pPr>
      <w:r>
        <w:rPr>
          <w:i/>
          <w:iCs/>
          <w:sz w:val="18"/>
          <w:szCs w:val="18"/>
        </w:rPr>
        <w:t>The constituents listed are those reported in the literature for each species; they were not quantified in the preparation used here.</w:t>
      </w:r>
    </w:p>
    <w:p w14:paraId="79F34BF9" w14:textId="77777777" w:rsidR="00510C23" w:rsidRDefault="00000000">
      <w:pPr>
        <w:spacing w:before="160" w:after="120"/>
      </w:pPr>
      <w:r>
        <w:rPr>
          <w:b/>
          <w:bCs/>
          <w:u w:val="single"/>
        </w:rPr>
        <w:t>2.1.2 Animals</w:t>
      </w:r>
    </w:p>
    <w:p w14:paraId="05B68C4B" w14:textId="77777777" w:rsidR="00510C23" w:rsidRDefault="00000000">
      <w:pPr>
        <w:spacing w:after="160"/>
        <w:jc w:val="both"/>
      </w:pPr>
      <w:r>
        <w:t>Male and female Swiss albino mice, 6-8 weeks old and weighing 22 ± 2 g, were provided by the Institute of Vaccines and Medical Biologicals, Nha Trang. Only healthy animals free from malformation</w:t>
      </w:r>
      <w:r>
        <w:rPr>
          <w:highlight w:val="yellow"/>
        </w:rPr>
        <w:t>s</w:t>
      </w:r>
      <w:r>
        <w:t xml:space="preserve"> or abnormal behaviour were used. They were housed in cages of 25 × 35 × 15 cm with rice husk bedding and were acclimatised to laboratory conditions for two to three days before the experiments; pelleted food and water were available ad libitum throughout the study.</w:t>
      </w:r>
    </w:p>
    <w:p w14:paraId="4730BE09" w14:textId="77777777" w:rsidR="00510C23" w:rsidRDefault="00000000">
      <w:pPr>
        <w:spacing w:before="160" w:after="120"/>
      </w:pPr>
      <w:r>
        <w:rPr>
          <w:b/>
          <w:bCs/>
          <w:u w:val="single"/>
        </w:rPr>
        <w:t>2.1.3 Chemicals</w:t>
      </w:r>
    </w:p>
    <w:p w14:paraId="33F7403A" w14:textId="77777777" w:rsidR="00510C23" w:rsidRDefault="00000000">
      <w:pPr>
        <w:spacing w:after="160"/>
        <w:jc w:val="both"/>
      </w:pPr>
      <w:r>
        <w:t xml:space="preserve">Uric acid assay kit (URIC ACID </w:t>
      </w:r>
      <w:proofErr w:type="spellStart"/>
      <w:r>
        <w:t>liquicolor</w:t>
      </w:r>
      <w:proofErr w:type="spellEnd"/>
      <w:r>
        <w:t>, Human Ltd. Co., Germany), uric acid standard (Randox Laboratories Limited, United Kingdom), uric acid reagent (</w:t>
      </w:r>
      <w:proofErr w:type="spellStart"/>
      <w:r>
        <w:t>Elitech</w:t>
      </w:r>
      <w:proofErr w:type="spellEnd"/>
      <w:r>
        <w:t xml:space="preserve">, France), carrageenan and potassium </w:t>
      </w:r>
      <w:proofErr w:type="spellStart"/>
      <w:r>
        <w:t>oxonate</w:t>
      </w:r>
      <w:proofErr w:type="spellEnd"/>
      <w:r>
        <w:t xml:space="preserve"> (Sigma Aldrich, USA), CMC-Na (</w:t>
      </w:r>
      <w:proofErr w:type="spellStart"/>
      <w:r>
        <w:t>Himedia</w:t>
      </w:r>
      <w:proofErr w:type="spellEnd"/>
      <w:r>
        <w:t>, India), water-repellent solution (Ugo Basile, Italy), EDTA K3 tubes (An Phu Medical Investment JSC, Vietnam), NaCl 0.9 % (B. Braun, Vietnam), allopurinol 300 mg tablets (</w:t>
      </w:r>
      <w:proofErr w:type="spellStart"/>
      <w:r>
        <w:t>Domesco</w:t>
      </w:r>
      <w:proofErr w:type="spellEnd"/>
      <w:r>
        <w:t xml:space="preserve">, Vietnam) and </w:t>
      </w:r>
      <w:proofErr w:type="spellStart"/>
      <w:r>
        <w:t>Voltaren</w:t>
      </w:r>
      <w:proofErr w:type="spellEnd"/>
      <w:r>
        <w:rPr>
          <w:vertAlign w:val="superscript"/>
        </w:rPr>
        <w:t>®</w:t>
      </w:r>
      <w:r>
        <w:t xml:space="preserve"> 50 tablets containing diclofenac 50 mg (Novartis, Turkey). Routine laboratory reagents were supplied by the Faculty of Pharmacy, Nguyen Tat Thanh University.</w:t>
      </w:r>
    </w:p>
    <w:p w14:paraId="2F67CC8F" w14:textId="77777777" w:rsidR="00510C23" w:rsidRDefault="00000000">
      <w:pPr>
        <w:spacing w:before="160" w:after="120"/>
      </w:pPr>
      <w:r>
        <w:rPr>
          <w:b/>
          <w:bCs/>
          <w:u w:val="single"/>
        </w:rPr>
        <w:t>2.1.4 Instruments</w:t>
      </w:r>
    </w:p>
    <w:p w14:paraId="3C1F5B79" w14:textId="77777777" w:rsidR="00510C23" w:rsidRDefault="00000000">
      <w:pPr>
        <w:spacing w:after="160"/>
        <w:jc w:val="both"/>
      </w:pPr>
      <w:r>
        <w:t xml:space="preserve">Satorius CP 4202S technical balance (Germany), Kern ALS 22-4N analytical balance (Germany), Ugo Basile </w:t>
      </w:r>
      <w:proofErr w:type="spellStart"/>
      <w:r>
        <w:t>plethysmometer</w:t>
      </w:r>
      <w:proofErr w:type="spellEnd"/>
      <w:r>
        <w:t xml:space="preserve"> (Italy), </w:t>
      </w:r>
      <w:proofErr w:type="spellStart"/>
      <w:r>
        <w:t>BioTek</w:t>
      </w:r>
      <w:proofErr w:type="spellEnd"/>
      <w:r>
        <w:t xml:space="preserve"> ELISA reader (USA), </w:t>
      </w:r>
      <w:proofErr w:type="spellStart"/>
      <w:r>
        <w:t>Hermle</w:t>
      </w:r>
      <w:proofErr w:type="spellEnd"/>
      <w:r>
        <w:t xml:space="preserve"> centrifuge (Germany), Gilson micropipettes 1-10 µL and 100-1000 µL (USA) and 96-well plates (</w:t>
      </w:r>
      <w:proofErr w:type="spellStart"/>
      <w:r>
        <w:t>Biologix</w:t>
      </w:r>
      <w:proofErr w:type="spellEnd"/>
      <w:r>
        <w:t>, Denmark).</w:t>
      </w:r>
    </w:p>
    <w:p w14:paraId="1A04FC6A" w14:textId="77777777" w:rsidR="00510C23" w:rsidRDefault="00000000">
      <w:pPr>
        <w:spacing w:before="200" w:after="140"/>
      </w:pPr>
      <w:r>
        <w:rPr>
          <w:b/>
          <w:bCs/>
          <w:sz w:val="22"/>
          <w:szCs w:val="22"/>
        </w:rPr>
        <w:t>2.2 Methods</w:t>
      </w:r>
    </w:p>
    <w:p w14:paraId="4C541E9D" w14:textId="77777777" w:rsidR="00510C23" w:rsidRDefault="00000000">
      <w:pPr>
        <w:spacing w:before="160" w:after="120"/>
      </w:pPr>
      <w:r>
        <w:rPr>
          <w:b/>
          <w:bCs/>
          <w:u w:val="single"/>
        </w:rPr>
        <w:t xml:space="preserve">2.2.1 Acute oral toxicity of the </w:t>
      </w:r>
      <w:proofErr w:type="spellStart"/>
      <w:r>
        <w:rPr>
          <w:b/>
          <w:bCs/>
          <w:u w:val="single"/>
        </w:rPr>
        <w:t>Lamgout</w:t>
      </w:r>
      <w:proofErr w:type="spellEnd"/>
      <w:r>
        <w:rPr>
          <w:b/>
          <w:bCs/>
          <w:u w:val="single"/>
        </w:rPr>
        <w:t xml:space="preserve"> extract</w:t>
      </w:r>
    </w:p>
    <w:p w14:paraId="5227380A" w14:textId="77777777" w:rsidR="00510C23" w:rsidRDefault="00000000">
      <w:pPr>
        <w:spacing w:after="160"/>
        <w:jc w:val="both"/>
      </w:pPr>
      <w:r>
        <w:t xml:space="preserve">The acute oral toxicity study followed the Litchfield-Wilcoxon method (Do, 2014) and the regulations of the Ministry of Health of Vietnam on the evaluation of the safety and efficacy of traditional medicines. </w:t>
      </w:r>
      <w:r>
        <w:rPr>
          <w:b/>
          <w:bCs/>
        </w:rPr>
        <w:t xml:space="preserve">Principle. </w:t>
      </w:r>
      <w:r>
        <w:t>The acute toxicity of a test sample is characterised, where possible, by the median lethal dose (LD</w:t>
      </w:r>
      <w:r>
        <w:rPr>
          <w:vertAlign w:val="subscript"/>
        </w:rPr>
        <w:t>50</w:t>
      </w:r>
      <w:r>
        <w:t>), that is</w:t>
      </w:r>
      <w:r>
        <w:rPr>
          <w:highlight w:val="yellow"/>
        </w:rPr>
        <w:t>,</w:t>
      </w:r>
      <w:r>
        <w:t xml:space="preserve"> the dose </w:t>
      </w:r>
      <w:r>
        <w:rPr>
          <w:highlight w:val="yellow"/>
        </w:rPr>
        <w:t xml:space="preserve">that </w:t>
      </w:r>
      <w:r>
        <w:t>kill</w:t>
      </w:r>
      <w:r>
        <w:rPr>
          <w:highlight w:val="yellow"/>
        </w:rPr>
        <w:t>s</w:t>
      </w:r>
      <w:r>
        <w:t xml:space="preserve"> 50 % of the animals under defined conditions. The LD</w:t>
      </w:r>
      <w:r>
        <w:rPr>
          <w:vertAlign w:val="subscript"/>
        </w:rPr>
        <w:t>50</w:t>
      </w:r>
      <w:r>
        <w:t xml:space="preserve"> allows the therapeutic index TI = LD</w:t>
      </w:r>
      <w:r>
        <w:rPr>
          <w:vertAlign w:val="subscript"/>
        </w:rPr>
        <w:t>50</w:t>
      </w:r>
      <w:r>
        <w:t>/ED</w:t>
      </w:r>
      <w:r>
        <w:rPr>
          <w:vertAlign w:val="subscript"/>
        </w:rPr>
        <w:t>50</w:t>
      </w:r>
      <w:r>
        <w:t xml:space="preserve"> to be calculated,</w:t>
      </w:r>
      <w:r>
        <w:rPr>
          <w:highlight w:val="yellow"/>
        </w:rPr>
        <w:t xml:space="preserve"> with</w:t>
      </w:r>
      <w:r>
        <w:t xml:space="preserve"> ED</w:t>
      </w:r>
      <w:r>
        <w:rPr>
          <w:vertAlign w:val="subscript"/>
        </w:rPr>
        <w:t>50</w:t>
      </w:r>
      <w:r>
        <w:t xml:space="preserve"> being the median effective dose; a substance is considered to have a satisfactory therapeutic window when TI ≥ 10. </w:t>
      </w:r>
      <w:r>
        <w:rPr>
          <w:b/>
          <w:bCs/>
        </w:rPr>
        <w:t xml:space="preserve">Procedure. </w:t>
      </w:r>
      <w:r>
        <w:t>Twelve healthy mice (50 % male, 50 % female) with glossy fur, clear eyes and normal behaviour were randomly allocated to two groups of six. The animals were kept under laboratory conditions for five to seven days and observed so that any abnormal individual could be excluded. Before the experiment</w:t>
      </w:r>
      <w:r>
        <w:rPr>
          <w:highlight w:val="yellow"/>
        </w:rPr>
        <w:t>,</w:t>
      </w:r>
      <w:r>
        <w:t xml:space="preserve"> the mice were </w:t>
      </w:r>
      <w:r>
        <w:lastRenderedPageBreak/>
        <w:t xml:space="preserve">fasted for at least 12 h with free access to water. The normal group then received distilled water, whereas the test group received a single oral dose of the </w:t>
      </w:r>
      <w:proofErr w:type="spellStart"/>
      <w:r>
        <w:t>Lamgout</w:t>
      </w:r>
      <w:proofErr w:type="spellEnd"/>
      <w:r>
        <w:t xml:space="preserve"> extract at the maximum feasible volume of 50 mL/kg body weight, in accordance with the national guidelines on preclinical and clinical trials of traditional medicines and herbal drugs (Ministry of Health of Vietnam, 2015). General motor activity, behaviour, coat condition, food and water intake, excretion and mortality were recorded for 72 h; if no abnormalit</w:t>
      </w:r>
      <w:r>
        <w:rPr>
          <w:highlight w:val="yellow"/>
        </w:rPr>
        <w:t>ies</w:t>
      </w:r>
      <w:r>
        <w:t xml:space="preserve"> or death</w:t>
      </w:r>
      <w:r>
        <w:rPr>
          <w:highlight w:val="yellow"/>
        </w:rPr>
        <w:t>s</w:t>
      </w:r>
      <w:r>
        <w:t xml:space="preserve"> occurred, observation</w:t>
      </w:r>
      <w:r>
        <w:rPr>
          <w:highlight w:val="yellow"/>
        </w:rPr>
        <w:t>s</w:t>
      </w:r>
      <w:r>
        <w:t xml:space="preserve"> w</w:t>
      </w:r>
      <w:r>
        <w:rPr>
          <w:highlight w:val="yellow"/>
        </w:rPr>
        <w:t>ere</w:t>
      </w:r>
      <w:r>
        <w:t xml:space="preserve"> continued for 14 days. Had deaths been observed, the dose would have been reduced to establish LD</w:t>
      </w:r>
      <w:r>
        <w:rPr>
          <w:vertAlign w:val="subscript"/>
        </w:rPr>
        <w:t>100</w:t>
      </w:r>
      <w:r>
        <w:t>, LD</w:t>
      </w:r>
      <w:r>
        <w:rPr>
          <w:vertAlign w:val="subscript"/>
        </w:rPr>
        <w:t>0</w:t>
      </w:r>
      <w:r>
        <w:t xml:space="preserve"> and LD</w:t>
      </w:r>
      <w:r>
        <w:rPr>
          <w:vertAlign w:val="subscript"/>
        </w:rPr>
        <w:t>50</w:t>
      </w:r>
      <w:r>
        <w:t>.</w:t>
      </w:r>
    </w:p>
    <w:p w14:paraId="459DAAA7" w14:textId="77777777" w:rsidR="00510C23" w:rsidRDefault="00000000">
      <w:pPr>
        <w:spacing w:before="160" w:after="120"/>
      </w:pPr>
      <w:r>
        <w:rPr>
          <w:b/>
          <w:bCs/>
          <w:u w:val="single"/>
        </w:rPr>
        <w:t xml:space="preserve">2.2.2 Anti-inflammatory activity on the carrageenan-induced paw </w:t>
      </w:r>
      <w:r>
        <w:rPr>
          <w:b/>
          <w:bCs/>
          <w:highlight w:val="yellow"/>
          <w:u w:val="single"/>
        </w:rPr>
        <w:t>o</w:t>
      </w:r>
      <w:r>
        <w:rPr>
          <w:b/>
          <w:bCs/>
          <w:u w:val="single"/>
        </w:rPr>
        <w:t>edema model</w:t>
      </w:r>
    </w:p>
    <w:p w14:paraId="4CA8AC66" w14:textId="77777777" w:rsidR="00510C23" w:rsidRDefault="00000000">
      <w:pPr>
        <w:spacing w:after="160"/>
        <w:jc w:val="both"/>
      </w:pPr>
      <w:r>
        <w:t xml:space="preserve">Anti-inflammatory activity was studied </w:t>
      </w:r>
      <w:r>
        <w:rPr>
          <w:highlight w:val="yellow"/>
        </w:rPr>
        <w:t>usi</w:t>
      </w:r>
      <w:r>
        <w:t>n</w:t>
      </w:r>
      <w:r>
        <w:rPr>
          <w:highlight w:val="yellow"/>
        </w:rPr>
        <w:t>g</w:t>
      </w:r>
      <w:r>
        <w:t xml:space="preserve"> hind paw </w:t>
      </w:r>
      <w:r>
        <w:rPr>
          <w:highlight w:val="yellow"/>
        </w:rPr>
        <w:t>o</w:t>
      </w:r>
      <w:r>
        <w:t xml:space="preserve">edema induced by λ-carrageenan according to the method of Winter et al. (1962). Carrageenan is a natural </w:t>
      </w:r>
      <w:proofErr w:type="spellStart"/>
      <w:r>
        <w:t>sulfated</w:t>
      </w:r>
      <w:proofErr w:type="spellEnd"/>
      <w:r>
        <w:t xml:space="preserve"> polysaccharide extracted from the red seaweed </w:t>
      </w:r>
      <w:r>
        <w:rPr>
          <w:i/>
          <w:iCs/>
        </w:rPr>
        <w:t>Chondrus crispus</w:t>
      </w:r>
      <w:r>
        <w:t>; in pharmacology</w:t>
      </w:r>
      <w:r>
        <w:rPr>
          <w:highlight w:val="yellow"/>
        </w:rPr>
        <w:t>,</w:t>
      </w:r>
      <w:r>
        <w:t xml:space="preserve"> it is widely used to screen anti-inflammatory agents, </w:t>
      </w:r>
      <w:r>
        <w:rPr>
          <w:highlight w:val="yellow"/>
        </w:rPr>
        <w:t>wi</w:t>
      </w:r>
      <w:r>
        <w:t xml:space="preserve">th maximum </w:t>
      </w:r>
      <w:r>
        <w:rPr>
          <w:highlight w:val="yellow"/>
        </w:rPr>
        <w:t>o</w:t>
      </w:r>
      <w:r>
        <w:t xml:space="preserve">edema being reached within 3 to 5 h. A test sample with anti-inflammatory activity reduces the volume of the injected paw. </w:t>
      </w:r>
      <w:r>
        <w:rPr>
          <w:b/>
          <w:bCs/>
        </w:rPr>
        <w:t xml:space="preserve">Preparation of solutions. </w:t>
      </w:r>
      <w:r>
        <w:t xml:space="preserve">A 1 % carrageenan suspension was soaked in 0.9 % NaCl for at least 2 h to allow complete swelling; the immersion solution consisted of 100 mL of 0.9 % NaCl in 900 mL of distilled water plus 1 mL of water-repellent solution. </w:t>
      </w:r>
      <w:r>
        <w:rPr>
          <w:b/>
          <w:bCs/>
        </w:rPr>
        <w:t xml:space="preserve">Procedure. </w:t>
      </w:r>
      <w:r>
        <w:t>The baseline volume (V</w:t>
      </w:r>
      <w:r>
        <w:rPr>
          <w:vertAlign w:val="subscript"/>
        </w:rPr>
        <w:t>0</w:t>
      </w:r>
      <w:r>
        <w:t>) of the left hind paw of e</w:t>
      </w:r>
      <w:r>
        <w:rPr>
          <w:highlight w:val="yellow"/>
        </w:rPr>
        <w:t>ach</w:t>
      </w:r>
      <w:r>
        <w:t xml:space="preserve"> mouse was measured with the </w:t>
      </w:r>
      <w:proofErr w:type="spellStart"/>
      <w:r>
        <w:t>plethysmometer</w:t>
      </w:r>
      <w:proofErr w:type="spellEnd"/>
      <w:r>
        <w:t xml:space="preserve"> by dipping the paw into the immersion solution up to the mark on the plantar surface; two readings were taken and averaged. The animals were then randomly allocated to five groups of ten s</w:t>
      </w:r>
      <w:r>
        <w:rPr>
          <w:highlight w:val="yellow"/>
        </w:rPr>
        <w:t>o</w:t>
      </w:r>
      <w:r>
        <w:t xml:space="preserve"> that V</w:t>
      </w:r>
      <w:r>
        <w:rPr>
          <w:vertAlign w:val="subscript"/>
        </w:rPr>
        <w:t>0</w:t>
      </w:r>
      <w:r>
        <w:t xml:space="preserve"> did not differ significantly between groups: group 1, normal (NOR), distilled water; group 2, model control (MC), distilled water; group 3, positive control (DIC 5), diclofenac 5 mg/kg; group 4 (L7), </w:t>
      </w:r>
      <w:proofErr w:type="spellStart"/>
      <w:r>
        <w:t>Lamgout</w:t>
      </w:r>
      <w:proofErr w:type="spellEnd"/>
      <w:r>
        <w:t xml:space="preserve"> extract 7 g of dried herb/kg; group 5 (L14), </w:t>
      </w:r>
      <w:proofErr w:type="spellStart"/>
      <w:r>
        <w:t>Lamgout</w:t>
      </w:r>
      <w:proofErr w:type="spellEnd"/>
      <w:r>
        <w:t xml:space="preserve"> extract 14 g of dried herb/kg. Distilled water, diclofenac or the test extract was administered orally once da</w:t>
      </w:r>
      <w:r>
        <w:rPr>
          <w:highlight w:val="yellow"/>
        </w:rPr>
        <w:t>il</w:t>
      </w:r>
      <w:r>
        <w:t xml:space="preserve">y at a volume of 10 mL/kg at a fixed </w:t>
      </w:r>
      <w:r>
        <w:rPr>
          <w:highlight w:val="yellow"/>
        </w:rPr>
        <w:t>time</w:t>
      </w:r>
      <w:r>
        <w:t xml:space="preserve"> for six consecutive days. On the seventh day, after 12 h of fasting and 1 h after dosing, the mice of groups 2 to 5 received 0.04 mL of the 1 % carrageenan suspension into the plantar surface of the left hind paw, while the animals of group 1 received 0.9 % NaCl. The mice were then kept in cages fitted with a wire grid to avoid contact of the inflamed paw with the bedding and thus to prevent injury and infection. The paw volume (V</w:t>
      </w:r>
      <w:r>
        <w:rPr>
          <w:vertAlign w:val="subscript"/>
        </w:rPr>
        <w:t>t</w:t>
      </w:r>
      <w:r>
        <w:t xml:space="preserve">) was measured 3, 5, 8, 24, 48 and 72 h after the injection. The degree of paw </w:t>
      </w:r>
      <w:r>
        <w:rPr>
          <w:highlight w:val="yellow"/>
        </w:rPr>
        <w:t>o</w:t>
      </w:r>
      <w:r>
        <w:t>edema X (%) was calculated as:</w:t>
      </w:r>
    </w:p>
    <w:p w14:paraId="7DEA95D3" w14:textId="77777777" w:rsidR="00510C23" w:rsidRDefault="00000000">
      <w:pPr>
        <w:spacing w:before="60" w:after="60"/>
        <w:jc w:val="center"/>
      </w:pPr>
      <w:r>
        <w:rPr>
          <w:i/>
          <w:iCs/>
        </w:rPr>
        <w:t>X (%) = [(V</w:t>
      </w:r>
      <w:r>
        <w:rPr>
          <w:i/>
          <w:iCs/>
          <w:vertAlign w:val="subscript"/>
        </w:rPr>
        <w:t>t</w:t>
      </w:r>
      <w:r>
        <w:rPr>
          <w:i/>
          <w:iCs/>
        </w:rPr>
        <w:t xml:space="preserve"> – V</w:t>
      </w:r>
      <w:r>
        <w:rPr>
          <w:i/>
          <w:iCs/>
          <w:vertAlign w:val="subscript"/>
        </w:rPr>
        <w:t>0</w:t>
      </w:r>
      <w:r>
        <w:rPr>
          <w:i/>
          <w:iCs/>
        </w:rPr>
        <w:t>) / V</w:t>
      </w:r>
      <w:r>
        <w:rPr>
          <w:i/>
          <w:iCs/>
          <w:vertAlign w:val="subscript"/>
        </w:rPr>
        <w:t>0</w:t>
      </w:r>
      <w:r>
        <w:rPr>
          <w:i/>
          <w:iCs/>
        </w:rPr>
        <w:t>] × 100</w:t>
      </w:r>
    </w:p>
    <w:p w14:paraId="2B82B883" w14:textId="77777777" w:rsidR="00510C23" w:rsidRDefault="00000000">
      <w:pPr>
        <w:spacing w:after="60"/>
        <w:jc w:val="both"/>
      </w:pPr>
      <w:r>
        <w:t>where:</w:t>
      </w:r>
    </w:p>
    <w:p w14:paraId="50ED52FB" w14:textId="77777777" w:rsidR="00510C23" w:rsidRDefault="00000000">
      <w:pPr>
        <w:spacing w:after="40"/>
        <w:ind w:left="431"/>
        <w:jc w:val="both"/>
      </w:pPr>
      <w:r>
        <w:rPr>
          <w:i/>
          <w:iCs/>
        </w:rPr>
        <w:t>X</w:t>
      </w:r>
      <w:r>
        <w:t xml:space="preserve">: degree of paw </w:t>
      </w:r>
      <w:proofErr w:type="spellStart"/>
      <w:r>
        <w:t>edema</w:t>
      </w:r>
      <w:proofErr w:type="spellEnd"/>
      <w:r>
        <w:t xml:space="preserve"> (%);</w:t>
      </w:r>
    </w:p>
    <w:p w14:paraId="3B953569" w14:textId="77777777" w:rsidR="00510C23" w:rsidRDefault="00000000">
      <w:pPr>
        <w:spacing w:after="40"/>
        <w:ind w:left="431"/>
        <w:jc w:val="both"/>
      </w:pPr>
      <w:r>
        <w:rPr>
          <w:i/>
          <w:iCs/>
        </w:rPr>
        <w:t>V</w:t>
      </w:r>
      <w:r>
        <w:rPr>
          <w:i/>
          <w:iCs/>
          <w:vertAlign w:val="subscript"/>
        </w:rPr>
        <w:t>0</w:t>
      </w:r>
      <w:r>
        <w:t>: paw volume before induction of inflammation (mL);</w:t>
      </w:r>
    </w:p>
    <w:p w14:paraId="662EC8E5" w14:textId="77777777" w:rsidR="00510C23" w:rsidRDefault="00000000">
      <w:pPr>
        <w:spacing w:after="160"/>
        <w:ind w:left="431"/>
        <w:jc w:val="both"/>
      </w:pPr>
      <w:r>
        <w:rPr>
          <w:i/>
          <w:iCs/>
        </w:rPr>
        <w:t>V</w:t>
      </w:r>
      <w:r>
        <w:rPr>
          <w:i/>
          <w:iCs/>
          <w:vertAlign w:val="subscript"/>
        </w:rPr>
        <w:t>t</w:t>
      </w:r>
      <w:r>
        <w:t>: paw volume at time t after induction of inflammation (mL).</w:t>
      </w:r>
    </w:p>
    <w:p w14:paraId="2BDDEB89" w14:textId="77777777" w:rsidR="00510C23" w:rsidRDefault="00000000">
      <w:pPr>
        <w:spacing w:before="160" w:after="120"/>
      </w:pPr>
      <w:r>
        <w:rPr>
          <w:b/>
          <w:bCs/>
          <w:u w:val="single"/>
        </w:rPr>
        <w:t xml:space="preserve">2.2.3 Preventive effect on potassium </w:t>
      </w:r>
      <w:proofErr w:type="spellStart"/>
      <w:r>
        <w:rPr>
          <w:b/>
          <w:bCs/>
          <w:u w:val="single"/>
        </w:rPr>
        <w:t>oxonate</w:t>
      </w:r>
      <w:proofErr w:type="spellEnd"/>
      <w:r>
        <w:rPr>
          <w:b/>
          <w:bCs/>
          <w:u w:val="single"/>
        </w:rPr>
        <w:t>-induced hyperuric</w:t>
      </w:r>
      <w:r>
        <w:rPr>
          <w:b/>
          <w:bCs/>
          <w:highlight w:val="yellow"/>
          <w:u w:val="single"/>
        </w:rPr>
        <w:t>a</w:t>
      </w:r>
      <w:r>
        <w:rPr>
          <w:b/>
          <w:bCs/>
          <w:u w:val="single"/>
        </w:rPr>
        <w:t>emia</w:t>
      </w:r>
    </w:p>
    <w:p w14:paraId="7BA1A149" w14:textId="77777777" w:rsidR="00510C23" w:rsidRDefault="00000000">
      <w:pPr>
        <w:spacing w:after="160"/>
        <w:jc w:val="both"/>
      </w:pPr>
      <w:r>
        <w:t xml:space="preserve">Potassium </w:t>
      </w:r>
      <w:proofErr w:type="spellStart"/>
      <w:r>
        <w:t>oxonate</w:t>
      </w:r>
      <w:proofErr w:type="spellEnd"/>
      <w:r>
        <w:t>, 1,4,5,6-tetrahydro-4,6-dioxo-s-triazine-2-carboxylic acid, is a uricase inhibitor. In studies of urate-lowering agents</w:t>
      </w:r>
      <w:r>
        <w:rPr>
          <w:highlight w:val="yellow"/>
        </w:rPr>
        <w:t>,</w:t>
      </w:r>
      <w:r>
        <w:t xml:space="preserve"> it partially blocks the conversion of uric acid into allantoin and thereby raises plasma uric acid in mice (Tang et al., 2017). Allopurinol 300 mg tablets (</w:t>
      </w:r>
      <w:proofErr w:type="spellStart"/>
      <w:r>
        <w:t>Domesco</w:t>
      </w:r>
      <w:proofErr w:type="spellEnd"/>
      <w:r>
        <w:t>, Vietnam) served as</w:t>
      </w:r>
      <w:r>
        <w:rPr>
          <w:highlight w:val="yellow"/>
        </w:rPr>
        <w:t xml:space="preserve"> the</w:t>
      </w:r>
      <w:r>
        <w:t xml:space="preserve"> positive control. Thirty mice were randomly allocated to five groups of six: group 1, normal (NOR), distilled water for 5 days; group 2, model control (MC), distilled water for 5 days; group 3 (ALLO 10), allopurinol 10 mg/kg for 5 days; groups 4 and 5, </w:t>
      </w:r>
      <w:proofErr w:type="spellStart"/>
      <w:r>
        <w:t>Lamgout</w:t>
      </w:r>
      <w:proofErr w:type="spellEnd"/>
      <w:r>
        <w:t xml:space="preserve"> extract at 7 g (L7) and 14 g (L14) of dried herb/kg for 5 days. All treatments were given orally at 10 mL/kg once daily for five consecutive days. On the fifth day, 1 h before dosing, the mice of groups 2 to 5 received an intraperitoneal injection of potassium </w:t>
      </w:r>
      <w:proofErr w:type="spellStart"/>
      <w:r>
        <w:t>oxonate</w:t>
      </w:r>
      <w:proofErr w:type="spellEnd"/>
      <w:r>
        <w:t xml:space="preserve"> 300 mg/kg at a volume of 10 mL/kg, whereas group 1 received 0.5 % CMC-Na at the same volume. Two hours after the injection, 50 µL of blood was collected from the tail vein into an EDTA K3 tube and centrifuged at 3000 rpm for 10 min at room temperature. </w:t>
      </w:r>
      <w:r>
        <w:lastRenderedPageBreak/>
        <w:t xml:space="preserve">Plasma uric acid was determined with the uric acid kit according to the </w:t>
      </w:r>
      <w:r>
        <w:rPr>
          <w:highlight w:val="yellow"/>
        </w:rPr>
        <w:t xml:space="preserve">manufacturer's </w:t>
      </w:r>
      <w:r>
        <w:t>instructions at a wavelength of 505 nm, in parallel with a blank and a uric acid standard, and was calculated as:</w:t>
      </w:r>
    </w:p>
    <w:p w14:paraId="02B56868" w14:textId="77777777" w:rsidR="00510C23" w:rsidRDefault="00000000">
      <w:pPr>
        <w:spacing w:before="60" w:after="60"/>
        <w:jc w:val="center"/>
      </w:pPr>
      <w:proofErr w:type="spellStart"/>
      <w:r>
        <w:rPr>
          <w:i/>
          <w:iCs/>
        </w:rPr>
        <w:t>C</w:t>
      </w:r>
      <w:r>
        <w:rPr>
          <w:i/>
          <w:iCs/>
          <w:vertAlign w:val="subscript"/>
        </w:rPr>
        <w:t>test</w:t>
      </w:r>
      <w:proofErr w:type="spellEnd"/>
      <w:r>
        <w:rPr>
          <w:i/>
          <w:iCs/>
        </w:rPr>
        <w:t xml:space="preserve"> = [(</w:t>
      </w:r>
      <w:proofErr w:type="spellStart"/>
      <w:r>
        <w:rPr>
          <w:i/>
          <w:iCs/>
        </w:rPr>
        <w:t>OD</w:t>
      </w:r>
      <w:r>
        <w:rPr>
          <w:i/>
          <w:iCs/>
          <w:vertAlign w:val="subscript"/>
        </w:rPr>
        <w:t>test</w:t>
      </w:r>
      <w:proofErr w:type="spellEnd"/>
      <w:r>
        <w:rPr>
          <w:i/>
          <w:iCs/>
        </w:rPr>
        <w:t xml:space="preserve"> – </w:t>
      </w:r>
      <w:proofErr w:type="spellStart"/>
      <w:r>
        <w:rPr>
          <w:i/>
          <w:iCs/>
        </w:rPr>
        <w:t>OD</w:t>
      </w:r>
      <w:r>
        <w:rPr>
          <w:i/>
          <w:iCs/>
          <w:vertAlign w:val="subscript"/>
        </w:rPr>
        <w:t>blank</w:t>
      </w:r>
      <w:proofErr w:type="spellEnd"/>
      <w:r>
        <w:rPr>
          <w:i/>
          <w:iCs/>
        </w:rPr>
        <w:t>) / (</w:t>
      </w:r>
      <w:proofErr w:type="spellStart"/>
      <w:r>
        <w:rPr>
          <w:i/>
          <w:iCs/>
        </w:rPr>
        <w:t>OD</w:t>
      </w:r>
      <w:r>
        <w:rPr>
          <w:i/>
          <w:iCs/>
          <w:vertAlign w:val="subscript"/>
        </w:rPr>
        <w:t>std</w:t>
      </w:r>
      <w:proofErr w:type="spellEnd"/>
      <w:r>
        <w:rPr>
          <w:i/>
          <w:iCs/>
        </w:rPr>
        <w:t xml:space="preserve"> – </w:t>
      </w:r>
      <w:proofErr w:type="spellStart"/>
      <w:r>
        <w:rPr>
          <w:i/>
          <w:iCs/>
        </w:rPr>
        <w:t>OD</w:t>
      </w:r>
      <w:r>
        <w:rPr>
          <w:i/>
          <w:iCs/>
          <w:vertAlign w:val="subscript"/>
        </w:rPr>
        <w:t>blank</w:t>
      </w:r>
      <w:proofErr w:type="spellEnd"/>
      <w:r>
        <w:rPr>
          <w:i/>
          <w:iCs/>
        </w:rPr>
        <w:t xml:space="preserve">)] × </w:t>
      </w:r>
      <w:proofErr w:type="spellStart"/>
      <w:r>
        <w:rPr>
          <w:i/>
          <w:iCs/>
        </w:rPr>
        <w:t>C</w:t>
      </w:r>
      <w:r>
        <w:rPr>
          <w:i/>
          <w:iCs/>
          <w:vertAlign w:val="subscript"/>
        </w:rPr>
        <w:t>std</w:t>
      </w:r>
      <w:proofErr w:type="spellEnd"/>
      <w:r>
        <w:t xml:space="preserve">          (1)</w:t>
      </w:r>
    </w:p>
    <w:p w14:paraId="04730D11" w14:textId="77777777" w:rsidR="00510C23" w:rsidRDefault="00000000">
      <w:pPr>
        <w:spacing w:after="60"/>
        <w:jc w:val="both"/>
      </w:pPr>
      <w:r>
        <w:t>where:</w:t>
      </w:r>
    </w:p>
    <w:p w14:paraId="4CC8E9E4" w14:textId="77777777" w:rsidR="00510C23" w:rsidRDefault="00000000">
      <w:pPr>
        <w:spacing w:after="40"/>
        <w:ind w:left="431"/>
        <w:jc w:val="both"/>
      </w:pPr>
      <w:proofErr w:type="spellStart"/>
      <w:r>
        <w:rPr>
          <w:i/>
          <w:iCs/>
        </w:rPr>
        <w:t>OD</w:t>
      </w:r>
      <w:r>
        <w:rPr>
          <w:i/>
          <w:iCs/>
          <w:vertAlign w:val="subscript"/>
        </w:rPr>
        <w:t>test</w:t>
      </w:r>
      <w:proofErr w:type="spellEnd"/>
      <w:r>
        <w:t xml:space="preserve">, </w:t>
      </w:r>
      <w:proofErr w:type="spellStart"/>
      <w:r>
        <w:rPr>
          <w:i/>
          <w:iCs/>
        </w:rPr>
        <w:t>OD</w:t>
      </w:r>
      <w:r>
        <w:rPr>
          <w:i/>
          <w:iCs/>
          <w:vertAlign w:val="subscript"/>
        </w:rPr>
        <w:t>blank</w:t>
      </w:r>
      <w:proofErr w:type="spellEnd"/>
      <w:r>
        <w:t xml:space="preserve">, </w:t>
      </w:r>
      <w:proofErr w:type="spellStart"/>
      <w:r>
        <w:rPr>
          <w:i/>
          <w:iCs/>
        </w:rPr>
        <w:t>OD</w:t>
      </w:r>
      <w:r>
        <w:rPr>
          <w:i/>
          <w:iCs/>
          <w:vertAlign w:val="subscript"/>
        </w:rPr>
        <w:t>std</w:t>
      </w:r>
      <w:proofErr w:type="spellEnd"/>
      <w:r>
        <w:t>: absorbance of the test sample, of the blank and of the uric acid standard measured at 505 nm;</w:t>
      </w:r>
    </w:p>
    <w:p w14:paraId="52C1C0CF" w14:textId="77777777" w:rsidR="00510C23" w:rsidRDefault="00000000">
      <w:pPr>
        <w:spacing w:after="40"/>
        <w:ind w:left="431"/>
        <w:jc w:val="both"/>
      </w:pPr>
      <w:proofErr w:type="spellStart"/>
      <w:r>
        <w:rPr>
          <w:i/>
          <w:iCs/>
        </w:rPr>
        <w:t>C</w:t>
      </w:r>
      <w:r>
        <w:rPr>
          <w:i/>
          <w:iCs/>
          <w:vertAlign w:val="subscript"/>
        </w:rPr>
        <w:t>std</w:t>
      </w:r>
      <w:proofErr w:type="spellEnd"/>
      <w:r>
        <w:t>: concentration of the uric acid standard, 9.22 mg/dL;</w:t>
      </w:r>
    </w:p>
    <w:p w14:paraId="6E0EB2D1" w14:textId="77777777" w:rsidR="00510C23" w:rsidRDefault="00000000">
      <w:pPr>
        <w:spacing w:after="120"/>
        <w:ind w:left="431"/>
        <w:jc w:val="both"/>
      </w:pPr>
      <w:proofErr w:type="spellStart"/>
      <w:r>
        <w:rPr>
          <w:i/>
          <w:iCs/>
        </w:rPr>
        <w:t>C</w:t>
      </w:r>
      <w:r>
        <w:rPr>
          <w:i/>
          <w:iCs/>
          <w:vertAlign w:val="subscript"/>
        </w:rPr>
        <w:t>test</w:t>
      </w:r>
      <w:proofErr w:type="spellEnd"/>
      <w:r>
        <w:t>: plasma uric acid concentration of the test sample.</w:t>
      </w:r>
    </w:p>
    <w:p w14:paraId="44EEF22A" w14:textId="77777777" w:rsidR="00510C23" w:rsidRDefault="00000000">
      <w:pPr>
        <w:spacing w:after="60"/>
        <w:jc w:val="both"/>
      </w:pPr>
      <w:r>
        <w:t>The percentage reduction of uric acid produced by a test sample was calculated as:</w:t>
      </w:r>
    </w:p>
    <w:p w14:paraId="1DCD0103" w14:textId="77777777" w:rsidR="00510C23" w:rsidRDefault="00000000">
      <w:pPr>
        <w:spacing w:before="40" w:after="60"/>
        <w:jc w:val="center"/>
      </w:pPr>
      <w:r>
        <w:rPr>
          <w:i/>
          <w:iCs/>
        </w:rPr>
        <w:t>Reduction (%) = [(UA</w:t>
      </w:r>
      <w:r>
        <w:rPr>
          <w:i/>
          <w:iCs/>
          <w:vertAlign w:val="subscript"/>
        </w:rPr>
        <w:t>MC</w:t>
      </w:r>
      <w:r>
        <w:rPr>
          <w:i/>
          <w:iCs/>
        </w:rPr>
        <w:t xml:space="preserve"> – </w:t>
      </w:r>
      <w:proofErr w:type="spellStart"/>
      <w:r>
        <w:rPr>
          <w:i/>
          <w:iCs/>
        </w:rPr>
        <w:t>UA</w:t>
      </w:r>
      <w:r>
        <w:rPr>
          <w:i/>
          <w:iCs/>
          <w:vertAlign w:val="subscript"/>
        </w:rPr>
        <w:t>test</w:t>
      </w:r>
      <w:proofErr w:type="spellEnd"/>
      <w:r>
        <w:rPr>
          <w:i/>
          <w:iCs/>
        </w:rPr>
        <w:t>) / UA</w:t>
      </w:r>
      <w:r>
        <w:rPr>
          <w:i/>
          <w:iCs/>
          <w:vertAlign w:val="subscript"/>
        </w:rPr>
        <w:t>MC</w:t>
      </w:r>
      <w:r>
        <w:rPr>
          <w:i/>
          <w:iCs/>
        </w:rPr>
        <w:t>] × 100</w:t>
      </w:r>
      <w:r>
        <w:t xml:space="preserve">          (2)</w:t>
      </w:r>
    </w:p>
    <w:p w14:paraId="5CAC9C11" w14:textId="77777777" w:rsidR="00510C23" w:rsidRDefault="00000000">
      <w:pPr>
        <w:spacing w:after="160"/>
        <w:jc w:val="both"/>
      </w:pPr>
      <w:r>
        <w:t>where UA</w:t>
      </w:r>
      <w:r>
        <w:rPr>
          <w:vertAlign w:val="subscript"/>
        </w:rPr>
        <w:t>MC</w:t>
      </w:r>
      <w:r>
        <w:t xml:space="preserve"> and </w:t>
      </w:r>
      <w:proofErr w:type="spellStart"/>
      <w:r>
        <w:t>UA</w:t>
      </w:r>
      <w:r>
        <w:rPr>
          <w:vertAlign w:val="subscript"/>
        </w:rPr>
        <w:t>test</w:t>
      </w:r>
      <w:proofErr w:type="spellEnd"/>
      <w:r>
        <w:t xml:space="preserve"> are the plasma uric acid concentrations of the model control group and of the treated group respectively.</w:t>
      </w:r>
    </w:p>
    <w:p w14:paraId="64EC190E" w14:textId="77777777" w:rsidR="00510C23" w:rsidRDefault="00000000">
      <w:pPr>
        <w:spacing w:before="160" w:after="120"/>
      </w:pPr>
      <w:r>
        <w:rPr>
          <w:b/>
          <w:bCs/>
          <w:u w:val="single"/>
        </w:rPr>
        <w:t>2.2.4 Therapeutic effect on acute hyperuric</w:t>
      </w:r>
      <w:r>
        <w:rPr>
          <w:b/>
          <w:bCs/>
          <w:highlight w:val="yellow"/>
          <w:u w:val="single"/>
        </w:rPr>
        <w:t>a</w:t>
      </w:r>
      <w:r>
        <w:rPr>
          <w:b/>
          <w:bCs/>
          <w:u w:val="single"/>
        </w:rPr>
        <w:t>emia</w:t>
      </w:r>
    </w:p>
    <w:p w14:paraId="508A28F8" w14:textId="77777777" w:rsidR="00510C23" w:rsidRDefault="00000000">
      <w:pPr>
        <w:spacing w:after="160"/>
        <w:jc w:val="both"/>
      </w:pPr>
      <w:r>
        <w:t>At time T0</w:t>
      </w:r>
      <w:r>
        <w:rPr>
          <w:highlight w:val="yellow"/>
        </w:rPr>
        <w:t>,</w:t>
      </w:r>
      <w:r>
        <w:t xml:space="preserve"> the mice were randomly allocated to five groups as described in section 2.2.3. The animals of the normal group received an intraperitoneal injection of 0.5 % CMC-Na, while acute hyperuric</w:t>
      </w:r>
      <w:r>
        <w:rPr>
          <w:highlight w:val="yellow"/>
        </w:rPr>
        <w:t>a</w:t>
      </w:r>
      <w:r>
        <w:t xml:space="preserve">emia was induced in the remaining groups by an intraperitoneal injection of potassium </w:t>
      </w:r>
      <w:proofErr w:type="spellStart"/>
      <w:r>
        <w:t>oxonate</w:t>
      </w:r>
      <w:proofErr w:type="spellEnd"/>
      <w:r>
        <w:t xml:space="preserve"> 300 mg/kg dissolved in 0.5 % CMC-Na at a volume of 10 mL/kg. One hour after the injection (T = 1 h)</w:t>
      </w:r>
      <w:r>
        <w:rPr>
          <w:highlight w:val="yellow"/>
        </w:rPr>
        <w:t>,</w:t>
      </w:r>
      <w:r>
        <w:t xml:space="preserve"> the mice received distilled water, allopurinol or the test extract orally at 10 mL/kg. One hour after dosing (T = 2 h)</w:t>
      </w:r>
      <w:r>
        <w:rPr>
          <w:highlight w:val="yellow"/>
        </w:rPr>
        <w:t>,</w:t>
      </w:r>
      <w:r>
        <w:t xml:space="preserve"> blood was collected from the tail vein and plasma uric acid was measured spectrophotometrically at 505 nm in parallel with a blank and a uric acid standard. The plasma uric acid concentration and the percentage reduction were calculated with equations (1) and (2)</w:t>
      </w:r>
      <w:r>
        <w:rPr>
          <w:highlight w:val="yellow"/>
        </w:rPr>
        <w:t>,</w:t>
      </w:r>
      <w:r>
        <w:t xml:space="preserve"> as</w:t>
      </w:r>
      <w:r>
        <w:rPr>
          <w:highlight w:val="yellow"/>
        </w:rPr>
        <w:t xml:space="preserve"> described</w:t>
      </w:r>
      <w:r>
        <w:t xml:space="preserve"> in section 2.2.3.</w:t>
      </w:r>
    </w:p>
    <w:p w14:paraId="5F5287BC" w14:textId="77777777" w:rsidR="00510C23" w:rsidRDefault="00000000">
      <w:pPr>
        <w:spacing w:before="160" w:after="120"/>
      </w:pPr>
      <w:r>
        <w:rPr>
          <w:b/>
          <w:bCs/>
          <w:u w:val="single"/>
        </w:rPr>
        <w:t>2.2.5 Statistical analysis</w:t>
      </w:r>
    </w:p>
    <w:p w14:paraId="7C2E28BC" w14:textId="77777777" w:rsidR="00510C23" w:rsidRDefault="00000000">
      <w:pPr>
        <w:spacing w:after="160"/>
        <w:jc w:val="both"/>
      </w:pPr>
      <w:r>
        <w:t>Data are expressed as mean ± SEM. Differences between groups in the inflammation and hyperuric</w:t>
      </w:r>
      <w:r>
        <w:rPr>
          <w:highlight w:val="yellow"/>
        </w:rPr>
        <w:t>a</w:t>
      </w:r>
      <w:r>
        <w:t>emia models were analysed by the Mann-Whitney and Kruskal-Wallis tests using SPSS 26.0. Differences were considered statistically significant at the 95 % confidence level, that is</w:t>
      </w:r>
      <w:r>
        <w:rPr>
          <w:highlight w:val="yellow"/>
        </w:rPr>
        <w:t>,</w:t>
      </w:r>
      <w:r>
        <w:t xml:space="preserve"> when </w:t>
      </w:r>
      <w:r>
        <w:rPr>
          <w:i/>
          <w:iCs/>
        </w:rPr>
        <w:t>P</w:t>
      </w:r>
      <w:r>
        <w:t xml:space="preserve"> &lt; .05.</w:t>
      </w:r>
    </w:p>
    <w:p w14:paraId="11DDB4A7" w14:textId="77777777" w:rsidR="00510C23" w:rsidRDefault="00000000">
      <w:pPr>
        <w:spacing w:before="240" w:after="160"/>
      </w:pPr>
      <w:r>
        <w:rPr>
          <w:b/>
          <w:bCs/>
          <w:caps/>
          <w:sz w:val="22"/>
          <w:szCs w:val="22"/>
        </w:rPr>
        <w:t>3. Results and Discussion</w:t>
      </w:r>
    </w:p>
    <w:p w14:paraId="016823FE" w14:textId="77777777" w:rsidR="00510C23" w:rsidRDefault="00000000">
      <w:pPr>
        <w:spacing w:before="200" w:after="140"/>
      </w:pPr>
      <w:r>
        <w:rPr>
          <w:b/>
          <w:bCs/>
          <w:sz w:val="22"/>
          <w:szCs w:val="22"/>
        </w:rPr>
        <w:t xml:space="preserve">3.1 Acute oral toxicity of the </w:t>
      </w:r>
      <w:proofErr w:type="spellStart"/>
      <w:r>
        <w:rPr>
          <w:b/>
          <w:bCs/>
          <w:sz w:val="22"/>
          <w:szCs w:val="22"/>
        </w:rPr>
        <w:t>Lamgout</w:t>
      </w:r>
      <w:proofErr w:type="spellEnd"/>
      <w:r>
        <w:rPr>
          <w:b/>
          <w:bCs/>
          <w:sz w:val="22"/>
          <w:szCs w:val="22"/>
        </w:rPr>
        <w:t xml:space="preserve"> extract</w:t>
      </w:r>
    </w:p>
    <w:p w14:paraId="13397907" w14:textId="77777777" w:rsidR="00510C23" w:rsidRDefault="00000000">
      <w:pPr>
        <w:spacing w:after="160"/>
        <w:jc w:val="both"/>
      </w:pPr>
      <w:r>
        <w:rPr>
          <w:highlight w:val="yellow"/>
        </w:rPr>
        <w:t>T</w:t>
      </w:r>
      <w:r>
        <w:t xml:space="preserve">o establish the scientific basis for the safety of the </w:t>
      </w:r>
      <w:proofErr w:type="spellStart"/>
      <w:r>
        <w:t>Lamgout</w:t>
      </w:r>
      <w:proofErr w:type="spellEnd"/>
      <w:r>
        <w:t xml:space="preserve"> extract in experimental animals, its acute toxicity was investigated first. The test was carried out on six mice (three males and three females) that received a single oral dose at the maximum feasible volume of 50 mL of extract/kg body weight, equivalent to 182 g of dried herbal material/kg. After administration</w:t>
      </w:r>
      <w:r>
        <w:rPr>
          <w:highlight w:val="yellow"/>
        </w:rPr>
        <w:t>,</w:t>
      </w:r>
      <w:r>
        <w:t xml:space="preserve"> all the animals remained healthy: they ate the pelleted food, drank normally, excreted normally and moved normally</w:t>
      </w:r>
      <w:r>
        <w:rPr>
          <w:highlight w:val="yellow"/>
        </w:rPr>
        <w:t>;</w:t>
      </w:r>
      <w:r>
        <w:t xml:space="preserve"> no abnormal sign</w:t>
      </w:r>
      <w:r>
        <w:rPr>
          <w:highlight w:val="yellow"/>
        </w:rPr>
        <w:t>s</w:t>
      </w:r>
      <w:r>
        <w:t xml:space="preserve"> w</w:t>
      </w:r>
      <w:r>
        <w:rPr>
          <w:highlight w:val="yellow"/>
        </w:rPr>
        <w:t>ere</w:t>
      </w:r>
      <w:r>
        <w:t xml:space="preserve"> observed</w:t>
      </w:r>
      <w:r>
        <w:rPr>
          <w:highlight w:val="yellow"/>
        </w:rPr>
        <w:t>,</w:t>
      </w:r>
      <w:r>
        <w:t xml:space="preserve"> and no mouse died within 72 h or during the following seven days of observation. Observation was continued for 14 days under normal husbandry conditions</w:t>
      </w:r>
      <w:r>
        <w:rPr>
          <w:highlight w:val="yellow"/>
        </w:rPr>
        <w:t>,</w:t>
      </w:r>
      <w:r>
        <w:t xml:space="preserve"> and no death</w:t>
      </w:r>
      <w:r>
        <w:rPr>
          <w:highlight w:val="yellow"/>
        </w:rPr>
        <w:t>s</w:t>
      </w:r>
      <w:r>
        <w:t xml:space="preserve"> or abnormalit</w:t>
      </w:r>
      <w:r>
        <w:rPr>
          <w:highlight w:val="yellow"/>
        </w:rPr>
        <w:t>ies</w:t>
      </w:r>
      <w:r>
        <w:t xml:space="preserve"> </w:t>
      </w:r>
      <w:r>
        <w:rPr>
          <w:highlight w:val="yellow"/>
        </w:rPr>
        <w:t>in</w:t>
      </w:r>
      <w:r>
        <w:t xml:space="preserve"> behaviour, coat condition, feeding or excretion</w:t>
      </w:r>
      <w:r>
        <w:rPr>
          <w:highlight w:val="yellow"/>
        </w:rPr>
        <w:t xml:space="preserve"> occurred</w:t>
      </w:r>
      <w:r>
        <w:t>. The results are presented in Table 3.</w:t>
      </w:r>
    </w:p>
    <w:p w14:paraId="1EE4CC66" w14:textId="77777777" w:rsidR="00510C23" w:rsidRDefault="00000000">
      <w:pPr>
        <w:keepNext/>
        <w:spacing w:before="200" w:after="120"/>
      </w:pPr>
      <w:r>
        <w:rPr>
          <w:b/>
          <w:bCs/>
        </w:rPr>
        <w:t>Table 3. Survival and mortality of mice in the acute oral toxicity test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8"/>
        <w:gridCol w:w="1600"/>
        <w:gridCol w:w="1700"/>
        <w:gridCol w:w="1600"/>
      </w:tblGrid>
      <w:tr w:rsidR="00510C23" w14:paraId="27A327EB" w14:textId="77777777">
        <w:trPr>
          <w:cantSplit/>
          <w:tblHeader/>
        </w:trPr>
        <w:tc>
          <w:tcPr>
            <w:tcW w:w="3308" w:type="dxa"/>
            <w:shd w:val="clear" w:color="auto" w:fill="D9D9D9"/>
            <w:tcMar>
              <w:top w:w="60" w:type="dxa"/>
              <w:left w:w="80" w:type="dxa"/>
              <w:bottom w:w="60" w:type="dxa"/>
              <w:right w:w="80" w:type="dxa"/>
            </w:tcMar>
            <w:vAlign w:val="center"/>
          </w:tcPr>
          <w:p w14:paraId="4A8235A4" w14:textId="77777777" w:rsidR="00510C23" w:rsidRDefault="00000000">
            <w:r>
              <w:rPr>
                <w:b/>
                <w:bCs/>
                <w:sz w:val="18"/>
                <w:szCs w:val="18"/>
              </w:rPr>
              <w:t>Group</w:t>
            </w:r>
          </w:p>
        </w:tc>
        <w:tc>
          <w:tcPr>
            <w:tcW w:w="1600" w:type="dxa"/>
            <w:shd w:val="clear" w:color="auto" w:fill="D9D9D9"/>
            <w:tcMar>
              <w:top w:w="60" w:type="dxa"/>
              <w:left w:w="80" w:type="dxa"/>
              <w:bottom w:w="60" w:type="dxa"/>
              <w:right w:w="80" w:type="dxa"/>
            </w:tcMar>
            <w:vAlign w:val="center"/>
          </w:tcPr>
          <w:p w14:paraId="0050A8D7" w14:textId="77777777" w:rsidR="00510C23" w:rsidRDefault="00000000">
            <w:pPr>
              <w:jc w:val="center"/>
            </w:pPr>
            <w:r>
              <w:rPr>
                <w:b/>
                <w:bCs/>
                <w:sz w:val="18"/>
                <w:szCs w:val="18"/>
              </w:rPr>
              <w:t>No. of mice</w:t>
            </w:r>
          </w:p>
        </w:tc>
        <w:tc>
          <w:tcPr>
            <w:tcW w:w="1700" w:type="dxa"/>
            <w:shd w:val="clear" w:color="auto" w:fill="D9D9D9"/>
            <w:tcMar>
              <w:top w:w="60" w:type="dxa"/>
              <w:left w:w="80" w:type="dxa"/>
              <w:bottom w:w="60" w:type="dxa"/>
              <w:right w:w="80" w:type="dxa"/>
            </w:tcMar>
            <w:vAlign w:val="center"/>
          </w:tcPr>
          <w:p w14:paraId="3169EA37" w14:textId="77777777" w:rsidR="00510C23" w:rsidRDefault="00000000">
            <w:pPr>
              <w:jc w:val="center"/>
            </w:pPr>
            <w:r>
              <w:rPr>
                <w:b/>
                <w:bCs/>
                <w:sz w:val="18"/>
                <w:szCs w:val="18"/>
              </w:rPr>
              <w:t>No. of deaths</w:t>
            </w:r>
          </w:p>
        </w:tc>
        <w:tc>
          <w:tcPr>
            <w:tcW w:w="1600" w:type="dxa"/>
            <w:shd w:val="clear" w:color="auto" w:fill="D9D9D9"/>
            <w:tcMar>
              <w:top w:w="60" w:type="dxa"/>
              <w:left w:w="80" w:type="dxa"/>
              <w:bottom w:w="60" w:type="dxa"/>
              <w:right w:w="80" w:type="dxa"/>
            </w:tcMar>
            <w:vAlign w:val="center"/>
          </w:tcPr>
          <w:p w14:paraId="474B1CF8" w14:textId="77777777" w:rsidR="00510C23" w:rsidRDefault="00000000">
            <w:pPr>
              <w:jc w:val="center"/>
            </w:pPr>
            <w:r>
              <w:rPr>
                <w:b/>
                <w:bCs/>
                <w:sz w:val="18"/>
                <w:szCs w:val="18"/>
              </w:rPr>
              <w:t>Mortality (%)</w:t>
            </w:r>
          </w:p>
        </w:tc>
      </w:tr>
      <w:tr w:rsidR="00510C23" w14:paraId="6756E246" w14:textId="77777777">
        <w:trPr>
          <w:cantSplit/>
        </w:trPr>
        <w:tc>
          <w:tcPr>
            <w:tcW w:w="3308" w:type="dxa"/>
            <w:tcMar>
              <w:top w:w="60" w:type="dxa"/>
              <w:left w:w="80" w:type="dxa"/>
              <w:bottom w:w="60" w:type="dxa"/>
              <w:right w:w="80" w:type="dxa"/>
            </w:tcMar>
            <w:vAlign w:val="center"/>
          </w:tcPr>
          <w:p w14:paraId="393F2356" w14:textId="77777777" w:rsidR="00510C23" w:rsidRDefault="00000000">
            <w:r>
              <w:rPr>
                <w:sz w:val="18"/>
                <w:szCs w:val="18"/>
              </w:rPr>
              <w:t>Normal (distilled water)</w:t>
            </w:r>
          </w:p>
        </w:tc>
        <w:tc>
          <w:tcPr>
            <w:tcW w:w="1600" w:type="dxa"/>
            <w:tcMar>
              <w:top w:w="60" w:type="dxa"/>
              <w:left w:w="80" w:type="dxa"/>
              <w:bottom w:w="60" w:type="dxa"/>
              <w:right w:w="80" w:type="dxa"/>
            </w:tcMar>
            <w:vAlign w:val="center"/>
          </w:tcPr>
          <w:p w14:paraId="463B603A" w14:textId="77777777" w:rsidR="00510C23" w:rsidRDefault="00000000">
            <w:pPr>
              <w:jc w:val="center"/>
            </w:pPr>
            <w:r>
              <w:rPr>
                <w:sz w:val="18"/>
                <w:szCs w:val="18"/>
              </w:rPr>
              <w:t>6</w:t>
            </w:r>
          </w:p>
        </w:tc>
        <w:tc>
          <w:tcPr>
            <w:tcW w:w="1700" w:type="dxa"/>
            <w:tcMar>
              <w:top w:w="60" w:type="dxa"/>
              <w:left w:w="80" w:type="dxa"/>
              <w:bottom w:w="60" w:type="dxa"/>
              <w:right w:w="80" w:type="dxa"/>
            </w:tcMar>
            <w:vAlign w:val="center"/>
          </w:tcPr>
          <w:p w14:paraId="6EE75D92" w14:textId="77777777" w:rsidR="00510C23" w:rsidRDefault="00000000">
            <w:pPr>
              <w:jc w:val="center"/>
            </w:pPr>
            <w:r>
              <w:rPr>
                <w:sz w:val="18"/>
                <w:szCs w:val="18"/>
              </w:rPr>
              <w:t>0</w:t>
            </w:r>
          </w:p>
        </w:tc>
        <w:tc>
          <w:tcPr>
            <w:tcW w:w="1600" w:type="dxa"/>
            <w:tcMar>
              <w:top w:w="60" w:type="dxa"/>
              <w:left w:w="80" w:type="dxa"/>
              <w:bottom w:w="60" w:type="dxa"/>
              <w:right w:w="80" w:type="dxa"/>
            </w:tcMar>
            <w:vAlign w:val="center"/>
          </w:tcPr>
          <w:p w14:paraId="3CFD9556" w14:textId="77777777" w:rsidR="00510C23" w:rsidRDefault="00000000">
            <w:pPr>
              <w:jc w:val="center"/>
            </w:pPr>
            <w:r>
              <w:rPr>
                <w:sz w:val="18"/>
                <w:szCs w:val="18"/>
              </w:rPr>
              <w:t>0</w:t>
            </w:r>
          </w:p>
        </w:tc>
      </w:tr>
      <w:tr w:rsidR="00510C23" w14:paraId="71839D47" w14:textId="77777777">
        <w:trPr>
          <w:cantSplit/>
        </w:trPr>
        <w:tc>
          <w:tcPr>
            <w:tcW w:w="3308" w:type="dxa"/>
            <w:tcMar>
              <w:top w:w="60" w:type="dxa"/>
              <w:left w:w="80" w:type="dxa"/>
              <w:bottom w:w="60" w:type="dxa"/>
              <w:right w:w="80" w:type="dxa"/>
            </w:tcMar>
            <w:vAlign w:val="center"/>
          </w:tcPr>
          <w:p w14:paraId="0B339610" w14:textId="77777777" w:rsidR="00510C23" w:rsidRDefault="00000000">
            <w:proofErr w:type="spellStart"/>
            <w:r>
              <w:rPr>
                <w:sz w:val="18"/>
                <w:szCs w:val="18"/>
              </w:rPr>
              <w:t>Lamgout</w:t>
            </w:r>
            <w:proofErr w:type="spellEnd"/>
            <w:r>
              <w:rPr>
                <w:sz w:val="18"/>
                <w:szCs w:val="18"/>
              </w:rPr>
              <w:t xml:space="preserve"> extract, 182 g dried herb/kg</w:t>
            </w:r>
          </w:p>
        </w:tc>
        <w:tc>
          <w:tcPr>
            <w:tcW w:w="1600" w:type="dxa"/>
            <w:tcMar>
              <w:top w:w="60" w:type="dxa"/>
              <w:left w:w="80" w:type="dxa"/>
              <w:bottom w:w="60" w:type="dxa"/>
              <w:right w:w="80" w:type="dxa"/>
            </w:tcMar>
            <w:vAlign w:val="center"/>
          </w:tcPr>
          <w:p w14:paraId="5510963D" w14:textId="77777777" w:rsidR="00510C23" w:rsidRDefault="00000000">
            <w:pPr>
              <w:jc w:val="center"/>
            </w:pPr>
            <w:r>
              <w:rPr>
                <w:sz w:val="18"/>
                <w:szCs w:val="18"/>
              </w:rPr>
              <w:t>6</w:t>
            </w:r>
          </w:p>
        </w:tc>
        <w:tc>
          <w:tcPr>
            <w:tcW w:w="1700" w:type="dxa"/>
            <w:tcMar>
              <w:top w:w="60" w:type="dxa"/>
              <w:left w:w="80" w:type="dxa"/>
              <w:bottom w:w="60" w:type="dxa"/>
              <w:right w:w="80" w:type="dxa"/>
            </w:tcMar>
            <w:vAlign w:val="center"/>
          </w:tcPr>
          <w:p w14:paraId="7860855D" w14:textId="77777777" w:rsidR="00510C23" w:rsidRDefault="00000000">
            <w:pPr>
              <w:jc w:val="center"/>
            </w:pPr>
            <w:r>
              <w:rPr>
                <w:sz w:val="18"/>
                <w:szCs w:val="18"/>
              </w:rPr>
              <w:t>0</w:t>
            </w:r>
          </w:p>
        </w:tc>
        <w:tc>
          <w:tcPr>
            <w:tcW w:w="1600" w:type="dxa"/>
            <w:tcMar>
              <w:top w:w="60" w:type="dxa"/>
              <w:left w:w="80" w:type="dxa"/>
              <w:bottom w:w="60" w:type="dxa"/>
              <w:right w:w="80" w:type="dxa"/>
            </w:tcMar>
            <w:vAlign w:val="center"/>
          </w:tcPr>
          <w:p w14:paraId="29E92D82" w14:textId="77777777" w:rsidR="00510C23" w:rsidRDefault="00000000">
            <w:pPr>
              <w:jc w:val="center"/>
            </w:pPr>
            <w:r>
              <w:rPr>
                <w:sz w:val="18"/>
                <w:szCs w:val="18"/>
              </w:rPr>
              <w:t>0</w:t>
            </w:r>
          </w:p>
        </w:tc>
      </w:tr>
    </w:tbl>
    <w:p w14:paraId="6135B0D1" w14:textId="77777777" w:rsidR="00510C23" w:rsidRDefault="00000000">
      <w:pPr>
        <w:spacing w:before="160" w:after="160"/>
        <w:jc w:val="both"/>
      </w:pPr>
      <w:r>
        <w:lastRenderedPageBreak/>
        <w:t>No LD</w:t>
      </w:r>
      <w:r>
        <w:rPr>
          <w:vertAlign w:val="subscript"/>
        </w:rPr>
        <w:t>50</w:t>
      </w:r>
      <w:r>
        <w:t xml:space="preserve"> could therefore be determined for the </w:t>
      </w:r>
      <w:proofErr w:type="spellStart"/>
      <w:r>
        <w:t>Lamgout</w:t>
      </w:r>
      <w:proofErr w:type="spellEnd"/>
      <w:r>
        <w:t xml:space="preserve"> extract, which showed no acute oral toxicity at the maximum feasible dose </w:t>
      </w:r>
      <w:proofErr w:type="spellStart"/>
      <w:r>
        <w:t>D</w:t>
      </w:r>
      <w:r>
        <w:rPr>
          <w:vertAlign w:val="subscript"/>
        </w:rPr>
        <w:t>max</w:t>
      </w:r>
      <w:proofErr w:type="spellEnd"/>
      <w:r>
        <w:t xml:space="preserve"> of 182 g of dried herb/kg. Compared with the projected effective dose in the mouse of 14 g of dried herb/kg, </w:t>
      </w:r>
      <w:proofErr w:type="spellStart"/>
      <w:r>
        <w:t>D</w:t>
      </w:r>
      <w:r>
        <w:rPr>
          <w:vertAlign w:val="subscript"/>
        </w:rPr>
        <w:t>max</w:t>
      </w:r>
      <w:proofErr w:type="spellEnd"/>
      <w:r>
        <w:t xml:space="preserve"> is more than thirteen times higher, which corresponds to a therapeutic index TI ≥ 13. A drug is generally considered to possess a satisfactory therapeutic window when TI ≥ 10 (Do, 2014). These findings demonstrate that the </w:t>
      </w:r>
      <w:proofErr w:type="spellStart"/>
      <w:r>
        <w:t>Lamgout</w:t>
      </w:r>
      <w:proofErr w:type="spellEnd"/>
      <w:r>
        <w:t xml:space="preserve"> extract has a wide margin of safety and justif</w:t>
      </w:r>
      <w:r>
        <w:rPr>
          <w:highlight w:val="yellow"/>
        </w:rPr>
        <w:t>y</w:t>
      </w:r>
      <w:r>
        <w:t xml:space="preserve"> the selection of the two doses of 7 and 14 g of dried herb/kg, equivalent respectively to 1.9 and 3.8 mL of </w:t>
      </w:r>
      <w:proofErr w:type="spellStart"/>
      <w:r>
        <w:t>Lamgout</w:t>
      </w:r>
      <w:proofErr w:type="spellEnd"/>
      <w:r>
        <w:t xml:space="preserve"> extract/kg and to 1/26 and 1/13 of </w:t>
      </w:r>
      <w:proofErr w:type="spellStart"/>
      <w:r>
        <w:t>D</w:t>
      </w:r>
      <w:r>
        <w:rPr>
          <w:vertAlign w:val="subscript"/>
        </w:rPr>
        <w:t>max</w:t>
      </w:r>
      <w:proofErr w:type="spellEnd"/>
      <w:r>
        <w:t>, for the subsequent pharmacological experiments.</w:t>
      </w:r>
    </w:p>
    <w:p w14:paraId="63CD1DDC" w14:textId="77777777" w:rsidR="00510C23" w:rsidRDefault="00000000">
      <w:pPr>
        <w:spacing w:before="200" w:after="140"/>
      </w:pPr>
      <w:r>
        <w:rPr>
          <w:b/>
          <w:bCs/>
          <w:sz w:val="22"/>
          <w:szCs w:val="22"/>
        </w:rPr>
        <w:t xml:space="preserve">3.2 Anti-inflammatory activity of the </w:t>
      </w:r>
      <w:proofErr w:type="spellStart"/>
      <w:r>
        <w:rPr>
          <w:b/>
          <w:bCs/>
          <w:sz w:val="22"/>
          <w:szCs w:val="22"/>
        </w:rPr>
        <w:t>Lamgout</w:t>
      </w:r>
      <w:proofErr w:type="spellEnd"/>
      <w:r>
        <w:rPr>
          <w:b/>
          <w:bCs/>
          <w:sz w:val="22"/>
          <w:szCs w:val="22"/>
        </w:rPr>
        <w:t xml:space="preserve"> extract</w:t>
      </w:r>
    </w:p>
    <w:p w14:paraId="4EFF7C41" w14:textId="77777777" w:rsidR="00510C23" w:rsidRDefault="00000000">
      <w:pPr>
        <w:spacing w:after="160"/>
        <w:jc w:val="both"/>
      </w:pPr>
      <w:r>
        <w:t xml:space="preserve">The anti-inflammatory activity of the </w:t>
      </w:r>
      <w:proofErr w:type="spellStart"/>
      <w:r>
        <w:t>Lamgout</w:t>
      </w:r>
      <w:proofErr w:type="spellEnd"/>
      <w:r>
        <w:t xml:space="preserve"> extract at 7 and 14 g of dried herb/kg was evaluated </w:t>
      </w:r>
      <w:r>
        <w:rPr>
          <w:highlight w:val="yellow"/>
        </w:rPr>
        <w:t>usi</w:t>
      </w:r>
      <w:r>
        <w:t>n</w:t>
      </w:r>
      <w:r>
        <w:rPr>
          <w:highlight w:val="yellow"/>
        </w:rPr>
        <w:t>g</w:t>
      </w:r>
      <w:r>
        <w:t xml:space="preserve"> the model of paw </w:t>
      </w:r>
      <w:r>
        <w:rPr>
          <w:highlight w:val="yellow"/>
        </w:rPr>
        <w:t>o</w:t>
      </w:r>
      <w:r>
        <w:t xml:space="preserve">edema induced by a 1 % carrageenan suspension. After the injection, the paw volume of the mice </w:t>
      </w:r>
      <w:r>
        <w:rPr>
          <w:highlight w:val="yellow"/>
        </w:rPr>
        <w:t>in</w:t>
      </w:r>
      <w:r>
        <w:t xml:space="preserve"> all groups was measured 3, 5, 8, 24, 48 and 72 h later; the degrees of </w:t>
      </w:r>
      <w:r>
        <w:rPr>
          <w:highlight w:val="yellow"/>
        </w:rPr>
        <w:t>o</w:t>
      </w:r>
      <w:r>
        <w:t>edema obtained are presented in Table 4 and illustrated in Fig. 1.</w:t>
      </w:r>
    </w:p>
    <w:p w14:paraId="3A4EA2B4" w14:textId="77777777" w:rsidR="00510C23" w:rsidRDefault="00000000">
      <w:pPr>
        <w:keepNext/>
        <w:spacing w:before="200" w:after="120"/>
      </w:pPr>
      <w:r>
        <w:rPr>
          <w:b/>
          <w:bCs/>
        </w:rPr>
        <w:t xml:space="preserve">Table 4. Degree of paw </w:t>
      </w:r>
      <w:proofErr w:type="spellStart"/>
      <w:r>
        <w:rPr>
          <w:b/>
          <w:bCs/>
        </w:rPr>
        <w:t>edema</w:t>
      </w:r>
      <w:proofErr w:type="spellEnd"/>
      <w:r>
        <w:rPr>
          <w:b/>
          <w:bCs/>
        </w:rPr>
        <w:t xml:space="preserve"> (%) in the experimental groups over time</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68"/>
        <w:gridCol w:w="1240"/>
        <w:gridCol w:w="1140"/>
        <w:gridCol w:w="1140"/>
        <w:gridCol w:w="1140"/>
        <w:gridCol w:w="1140"/>
        <w:gridCol w:w="1140"/>
      </w:tblGrid>
      <w:tr w:rsidR="00510C23" w14:paraId="2E1B59B6" w14:textId="77777777">
        <w:trPr>
          <w:cantSplit/>
          <w:tblHeader/>
        </w:trPr>
        <w:tc>
          <w:tcPr>
            <w:tcW w:w="1268" w:type="dxa"/>
            <w:shd w:val="clear" w:color="auto" w:fill="D9D9D9"/>
            <w:tcMar>
              <w:top w:w="60" w:type="dxa"/>
              <w:left w:w="80" w:type="dxa"/>
              <w:bottom w:w="60" w:type="dxa"/>
              <w:right w:w="80" w:type="dxa"/>
            </w:tcMar>
            <w:vAlign w:val="center"/>
          </w:tcPr>
          <w:p w14:paraId="75C4AC1A" w14:textId="77777777" w:rsidR="00510C23" w:rsidRDefault="00000000">
            <w:pPr>
              <w:jc w:val="center"/>
            </w:pPr>
            <w:r>
              <w:rPr>
                <w:b/>
                <w:bCs/>
                <w:sz w:val="18"/>
                <w:szCs w:val="18"/>
              </w:rPr>
              <w:t>Group (n = 10)</w:t>
            </w:r>
          </w:p>
        </w:tc>
        <w:tc>
          <w:tcPr>
            <w:tcW w:w="1240" w:type="dxa"/>
            <w:shd w:val="clear" w:color="auto" w:fill="D9D9D9"/>
            <w:tcMar>
              <w:top w:w="60" w:type="dxa"/>
              <w:left w:w="80" w:type="dxa"/>
              <w:bottom w:w="60" w:type="dxa"/>
              <w:right w:w="80" w:type="dxa"/>
            </w:tcMar>
            <w:vAlign w:val="center"/>
          </w:tcPr>
          <w:p w14:paraId="150B640C" w14:textId="77777777" w:rsidR="00510C23" w:rsidRDefault="00000000">
            <w:pPr>
              <w:jc w:val="center"/>
            </w:pPr>
            <w:r>
              <w:rPr>
                <w:b/>
                <w:bCs/>
                <w:sz w:val="18"/>
                <w:szCs w:val="18"/>
              </w:rPr>
              <w:t>3 h</w:t>
            </w:r>
          </w:p>
        </w:tc>
        <w:tc>
          <w:tcPr>
            <w:tcW w:w="1140" w:type="dxa"/>
            <w:shd w:val="clear" w:color="auto" w:fill="D9D9D9"/>
            <w:tcMar>
              <w:top w:w="60" w:type="dxa"/>
              <w:left w:w="80" w:type="dxa"/>
              <w:bottom w:w="60" w:type="dxa"/>
              <w:right w:w="80" w:type="dxa"/>
            </w:tcMar>
            <w:vAlign w:val="center"/>
          </w:tcPr>
          <w:p w14:paraId="7109EAE9" w14:textId="77777777" w:rsidR="00510C23" w:rsidRDefault="00000000">
            <w:pPr>
              <w:jc w:val="center"/>
            </w:pPr>
            <w:r>
              <w:rPr>
                <w:b/>
                <w:bCs/>
                <w:sz w:val="18"/>
                <w:szCs w:val="18"/>
              </w:rPr>
              <w:t>5 h</w:t>
            </w:r>
          </w:p>
        </w:tc>
        <w:tc>
          <w:tcPr>
            <w:tcW w:w="1140" w:type="dxa"/>
            <w:shd w:val="clear" w:color="auto" w:fill="D9D9D9"/>
            <w:tcMar>
              <w:top w:w="60" w:type="dxa"/>
              <w:left w:w="80" w:type="dxa"/>
              <w:bottom w:w="60" w:type="dxa"/>
              <w:right w:w="80" w:type="dxa"/>
            </w:tcMar>
            <w:vAlign w:val="center"/>
          </w:tcPr>
          <w:p w14:paraId="2485E295" w14:textId="77777777" w:rsidR="00510C23" w:rsidRDefault="00000000">
            <w:pPr>
              <w:jc w:val="center"/>
            </w:pPr>
            <w:r>
              <w:rPr>
                <w:b/>
                <w:bCs/>
                <w:sz w:val="18"/>
                <w:szCs w:val="18"/>
              </w:rPr>
              <w:t>8 h</w:t>
            </w:r>
          </w:p>
        </w:tc>
        <w:tc>
          <w:tcPr>
            <w:tcW w:w="1140" w:type="dxa"/>
            <w:shd w:val="clear" w:color="auto" w:fill="D9D9D9"/>
            <w:tcMar>
              <w:top w:w="60" w:type="dxa"/>
              <w:left w:w="80" w:type="dxa"/>
              <w:bottom w:w="60" w:type="dxa"/>
              <w:right w:w="80" w:type="dxa"/>
            </w:tcMar>
            <w:vAlign w:val="center"/>
          </w:tcPr>
          <w:p w14:paraId="3F52445F" w14:textId="77777777" w:rsidR="00510C23" w:rsidRDefault="00000000">
            <w:pPr>
              <w:jc w:val="center"/>
            </w:pPr>
            <w:r>
              <w:rPr>
                <w:b/>
                <w:bCs/>
                <w:sz w:val="18"/>
                <w:szCs w:val="18"/>
              </w:rPr>
              <w:t>24 h</w:t>
            </w:r>
          </w:p>
        </w:tc>
        <w:tc>
          <w:tcPr>
            <w:tcW w:w="1140" w:type="dxa"/>
            <w:shd w:val="clear" w:color="auto" w:fill="D9D9D9"/>
            <w:tcMar>
              <w:top w:w="60" w:type="dxa"/>
              <w:left w:w="80" w:type="dxa"/>
              <w:bottom w:w="60" w:type="dxa"/>
              <w:right w:w="80" w:type="dxa"/>
            </w:tcMar>
            <w:vAlign w:val="center"/>
          </w:tcPr>
          <w:p w14:paraId="5215CCF9" w14:textId="77777777" w:rsidR="00510C23" w:rsidRDefault="00000000">
            <w:pPr>
              <w:jc w:val="center"/>
            </w:pPr>
            <w:r>
              <w:rPr>
                <w:b/>
                <w:bCs/>
                <w:sz w:val="18"/>
                <w:szCs w:val="18"/>
              </w:rPr>
              <w:t>48 h</w:t>
            </w:r>
          </w:p>
        </w:tc>
        <w:tc>
          <w:tcPr>
            <w:tcW w:w="1140" w:type="dxa"/>
            <w:shd w:val="clear" w:color="auto" w:fill="D9D9D9"/>
            <w:tcMar>
              <w:top w:w="60" w:type="dxa"/>
              <w:left w:w="80" w:type="dxa"/>
              <w:bottom w:w="60" w:type="dxa"/>
              <w:right w:w="80" w:type="dxa"/>
            </w:tcMar>
            <w:vAlign w:val="center"/>
          </w:tcPr>
          <w:p w14:paraId="29654BD8" w14:textId="77777777" w:rsidR="00510C23" w:rsidRDefault="00000000">
            <w:pPr>
              <w:jc w:val="center"/>
            </w:pPr>
            <w:r>
              <w:rPr>
                <w:b/>
                <w:bCs/>
                <w:sz w:val="18"/>
                <w:szCs w:val="18"/>
              </w:rPr>
              <w:t>72 h</w:t>
            </w:r>
          </w:p>
        </w:tc>
      </w:tr>
      <w:tr w:rsidR="00510C23" w14:paraId="0E1BE2F8" w14:textId="77777777">
        <w:trPr>
          <w:cantSplit/>
        </w:trPr>
        <w:tc>
          <w:tcPr>
            <w:tcW w:w="1268" w:type="dxa"/>
            <w:tcMar>
              <w:top w:w="60" w:type="dxa"/>
              <w:left w:w="80" w:type="dxa"/>
              <w:bottom w:w="60" w:type="dxa"/>
              <w:right w:w="80" w:type="dxa"/>
            </w:tcMar>
            <w:vAlign w:val="center"/>
          </w:tcPr>
          <w:p w14:paraId="6A4D7674" w14:textId="77777777" w:rsidR="00510C23" w:rsidRDefault="00000000">
            <w:r>
              <w:rPr>
                <w:b/>
                <w:bCs/>
                <w:sz w:val="18"/>
                <w:szCs w:val="18"/>
              </w:rPr>
              <w:t>NOR</w:t>
            </w:r>
          </w:p>
        </w:tc>
        <w:tc>
          <w:tcPr>
            <w:tcW w:w="1240" w:type="dxa"/>
            <w:tcMar>
              <w:top w:w="60" w:type="dxa"/>
              <w:left w:w="80" w:type="dxa"/>
              <w:bottom w:w="60" w:type="dxa"/>
              <w:right w:w="80" w:type="dxa"/>
            </w:tcMar>
            <w:vAlign w:val="center"/>
          </w:tcPr>
          <w:p w14:paraId="38C62A17" w14:textId="77777777" w:rsidR="00510C23" w:rsidRDefault="00000000">
            <w:pPr>
              <w:jc w:val="center"/>
            </w:pPr>
            <w:r>
              <w:rPr>
                <w:sz w:val="18"/>
                <w:szCs w:val="18"/>
              </w:rPr>
              <w:t>0.93 ± 0.62###</w:t>
            </w:r>
          </w:p>
        </w:tc>
        <w:tc>
          <w:tcPr>
            <w:tcW w:w="1140" w:type="dxa"/>
            <w:tcMar>
              <w:top w:w="60" w:type="dxa"/>
              <w:left w:w="80" w:type="dxa"/>
              <w:bottom w:w="60" w:type="dxa"/>
              <w:right w:w="80" w:type="dxa"/>
            </w:tcMar>
            <w:vAlign w:val="center"/>
          </w:tcPr>
          <w:p w14:paraId="2549880D" w14:textId="77777777" w:rsidR="00510C23" w:rsidRDefault="00000000">
            <w:pPr>
              <w:jc w:val="center"/>
            </w:pPr>
            <w:r>
              <w:rPr>
                <w:sz w:val="18"/>
                <w:szCs w:val="18"/>
              </w:rPr>
              <w:t>0.87 ± 0.58###</w:t>
            </w:r>
          </w:p>
        </w:tc>
        <w:tc>
          <w:tcPr>
            <w:tcW w:w="1140" w:type="dxa"/>
            <w:tcMar>
              <w:top w:w="60" w:type="dxa"/>
              <w:left w:w="80" w:type="dxa"/>
              <w:bottom w:w="60" w:type="dxa"/>
              <w:right w:w="80" w:type="dxa"/>
            </w:tcMar>
            <w:vAlign w:val="center"/>
          </w:tcPr>
          <w:p w14:paraId="10F53072" w14:textId="77777777" w:rsidR="00510C23" w:rsidRDefault="00000000">
            <w:pPr>
              <w:jc w:val="center"/>
            </w:pPr>
            <w:r>
              <w:rPr>
                <w:sz w:val="18"/>
                <w:szCs w:val="18"/>
              </w:rPr>
              <w:t>0.48 ± 0.48###</w:t>
            </w:r>
          </w:p>
        </w:tc>
        <w:tc>
          <w:tcPr>
            <w:tcW w:w="1140" w:type="dxa"/>
            <w:tcMar>
              <w:top w:w="60" w:type="dxa"/>
              <w:left w:w="80" w:type="dxa"/>
              <w:bottom w:w="60" w:type="dxa"/>
              <w:right w:w="80" w:type="dxa"/>
            </w:tcMar>
            <w:vAlign w:val="center"/>
          </w:tcPr>
          <w:p w14:paraId="29503119" w14:textId="77777777" w:rsidR="00510C23" w:rsidRDefault="00000000">
            <w:pPr>
              <w:jc w:val="center"/>
            </w:pPr>
            <w:r>
              <w:rPr>
                <w:sz w:val="18"/>
                <w:szCs w:val="18"/>
              </w:rPr>
              <w:t>0.91 ± 0.61###</w:t>
            </w:r>
          </w:p>
        </w:tc>
        <w:tc>
          <w:tcPr>
            <w:tcW w:w="1140" w:type="dxa"/>
            <w:tcMar>
              <w:top w:w="60" w:type="dxa"/>
              <w:left w:w="80" w:type="dxa"/>
              <w:bottom w:w="60" w:type="dxa"/>
              <w:right w:w="80" w:type="dxa"/>
            </w:tcMar>
            <w:vAlign w:val="center"/>
          </w:tcPr>
          <w:p w14:paraId="047861F4" w14:textId="77777777" w:rsidR="00510C23" w:rsidRDefault="00000000">
            <w:pPr>
              <w:jc w:val="center"/>
            </w:pPr>
            <w:r>
              <w:rPr>
                <w:sz w:val="18"/>
                <w:szCs w:val="18"/>
              </w:rPr>
              <w:t>1.35 ± 0.69###</w:t>
            </w:r>
          </w:p>
        </w:tc>
        <w:tc>
          <w:tcPr>
            <w:tcW w:w="1140" w:type="dxa"/>
            <w:tcMar>
              <w:top w:w="60" w:type="dxa"/>
              <w:left w:w="80" w:type="dxa"/>
              <w:bottom w:w="60" w:type="dxa"/>
              <w:right w:w="80" w:type="dxa"/>
            </w:tcMar>
            <w:vAlign w:val="center"/>
          </w:tcPr>
          <w:p w14:paraId="19528743" w14:textId="77777777" w:rsidR="00510C23" w:rsidRDefault="00000000">
            <w:pPr>
              <w:jc w:val="center"/>
            </w:pPr>
            <w:r>
              <w:rPr>
                <w:sz w:val="18"/>
                <w:szCs w:val="18"/>
              </w:rPr>
              <w:t>0.00 ± 0.00###</w:t>
            </w:r>
          </w:p>
        </w:tc>
      </w:tr>
      <w:tr w:rsidR="00510C23" w14:paraId="03891934" w14:textId="77777777">
        <w:trPr>
          <w:cantSplit/>
        </w:trPr>
        <w:tc>
          <w:tcPr>
            <w:tcW w:w="1268" w:type="dxa"/>
            <w:tcMar>
              <w:top w:w="60" w:type="dxa"/>
              <w:left w:w="80" w:type="dxa"/>
              <w:bottom w:w="60" w:type="dxa"/>
              <w:right w:w="80" w:type="dxa"/>
            </w:tcMar>
            <w:vAlign w:val="center"/>
          </w:tcPr>
          <w:p w14:paraId="5EDEFE76" w14:textId="77777777" w:rsidR="00510C23" w:rsidRDefault="00000000">
            <w:r>
              <w:rPr>
                <w:b/>
                <w:bCs/>
                <w:sz w:val="18"/>
                <w:szCs w:val="18"/>
              </w:rPr>
              <w:t>MC</w:t>
            </w:r>
          </w:p>
        </w:tc>
        <w:tc>
          <w:tcPr>
            <w:tcW w:w="1240" w:type="dxa"/>
            <w:tcMar>
              <w:top w:w="60" w:type="dxa"/>
              <w:left w:w="80" w:type="dxa"/>
              <w:bottom w:w="60" w:type="dxa"/>
              <w:right w:w="80" w:type="dxa"/>
            </w:tcMar>
            <w:vAlign w:val="center"/>
          </w:tcPr>
          <w:p w14:paraId="2BD4E1D1" w14:textId="77777777" w:rsidR="00510C23" w:rsidRDefault="00000000">
            <w:pPr>
              <w:jc w:val="center"/>
            </w:pPr>
            <w:r>
              <w:rPr>
                <w:sz w:val="18"/>
                <w:szCs w:val="18"/>
              </w:rPr>
              <w:t>71.65 ± 6.19***</w:t>
            </w:r>
          </w:p>
        </w:tc>
        <w:tc>
          <w:tcPr>
            <w:tcW w:w="1140" w:type="dxa"/>
            <w:tcMar>
              <w:top w:w="60" w:type="dxa"/>
              <w:left w:w="80" w:type="dxa"/>
              <w:bottom w:w="60" w:type="dxa"/>
              <w:right w:w="80" w:type="dxa"/>
            </w:tcMar>
            <w:vAlign w:val="center"/>
          </w:tcPr>
          <w:p w14:paraId="20E7C673" w14:textId="77777777" w:rsidR="00510C23" w:rsidRDefault="00000000">
            <w:pPr>
              <w:jc w:val="center"/>
            </w:pPr>
            <w:r>
              <w:rPr>
                <w:sz w:val="18"/>
                <w:szCs w:val="18"/>
              </w:rPr>
              <w:t>64.72 ± 4.66***</w:t>
            </w:r>
          </w:p>
        </w:tc>
        <w:tc>
          <w:tcPr>
            <w:tcW w:w="1140" w:type="dxa"/>
            <w:tcMar>
              <w:top w:w="60" w:type="dxa"/>
              <w:left w:w="80" w:type="dxa"/>
              <w:bottom w:w="60" w:type="dxa"/>
              <w:right w:w="80" w:type="dxa"/>
            </w:tcMar>
            <w:vAlign w:val="center"/>
          </w:tcPr>
          <w:p w14:paraId="76B4F41A" w14:textId="77777777" w:rsidR="00510C23" w:rsidRDefault="00000000">
            <w:pPr>
              <w:jc w:val="center"/>
            </w:pPr>
            <w:r>
              <w:rPr>
                <w:sz w:val="18"/>
                <w:szCs w:val="18"/>
              </w:rPr>
              <w:t>60.57 ± 5.46***</w:t>
            </w:r>
          </w:p>
        </w:tc>
        <w:tc>
          <w:tcPr>
            <w:tcW w:w="1140" w:type="dxa"/>
            <w:tcMar>
              <w:top w:w="60" w:type="dxa"/>
              <w:left w:w="80" w:type="dxa"/>
              <w:bottom w:w="60" w:type="dxa"/>
              <w:right w:w="80" w:type="dxa"/>
            </w:tcMar>
            <w:vAlign w:val="center"/>
          </w:tcPr>
          <w:p w14:paraId="170590D8" w14:textId="77777777" w:rsidR="00510C23" w:rsidRDefault="00000000">
            <w:pPr>
              <w:jc w:val="center"/>
            </w:pPr>
            <w:r>
              <w:rPr>
                <w:sz w:val="18"/>
                <w:szCs w:val="18"/>
              </w:rPr>
              <w:t>54.10 ± 3.68***</w:t>
            </w:r>
          </w:p>
        </w:tc>
        <w:tc>
          <w:tcPr>
            <w:tcW w:w="1140" w:type="dxa"/>
            <w:tcMar>
              <w:top w:w="60" w:type="dxa"/>
              <w:left w:w="80" w:type="dxa"/>
              <w:bottom w:w="60" w:type="dxa"/>
              <w:right w:w="80" w:type="dxa"/>
            </w:tcMar>
            <w:vAlign w:val="center"/>
          </w:tcPr>
          <w:p w14:paraId="4B926AA3" w14:textId="77777777" w:rsidR="00510C23" w:rsidRDefault="00000000">
            <w:pPr>
              <w:jc w:val="center"/>
            </w:pPr>
            <w:r>
              <w:rPr>
                <w:sz w:val="18"/>
                <w:szCs w:val="18"/>
              </w:rPr>
              <w:t>49.39 ± 4.62***</w:t>
            </w:r>
          </w:p>
        </w:tc>
        <w:tc>
          <w:tcPr>
            <w:tcW w:w="1140" w:type="dxa"/>
            <w:tcMar>
              <w:top w:w="60" w:type="dxa"/>
              <w:left w:w="80" w:type="dxa"/>
              <w:bottom w:w="60" w:type="dxa"/>
              <w:right w:w="80" w:type="dxa"/>
            </w:tcMar>
            <w:vAlign w:val="center"/>
          </w:tcPr>
          <w:p w14:paraId="4B11C395" w14:textId="77777777" w:rsidR="00510C23" w:rsidRDefault="00000000">
            <w:pPr>
              <w:jc w:val="center"/>
            </w:pPr>
            <w:r>
              <w:rPr>
                <w:sz w:val="18"/>
                <w:szCs w:val="18"/>
              </w:rPr>
              <w:t>42.97 ± 2.37***</w:t>
            </w:r>
          </w:p>
        </w:tc>
      </w:tr>
      <w:tr w:rsidR="00510C23" w14:paraId="379D61AE" w14:textId="77777777">
        <w:trPr>
          <w:cantSplit/>
        </w:trPr>
        <w:tc>
          <w:tcPr>
            <w:tcW w:w="1268" w:type="dxa"/>
            <w:tcMar>
              <w:top w:w="60" w:type="dxa"/>
              <w:left w:w="80" w:type="dxa"/>
              <w:bottom w:w="60" w:type="dxa"/>
              <w:right w:w="80" w:type="dxa"/>
            </w:tcMar>
            <w:vAlign w:val="center"/>
          </w:tcPr>
          <w:p w14:paraId="3D988CD9" w14:textId="77777777" w:rsidR="00510C23" w:rsidRDefault="00000000">
            <w:r>
              <w:rPr>
                <w:b/>
                <w:bCs/>
                <w:sz w:val="18"/>
                <w:szCs w:val="18"/>
              </w:rPr>
              <w:t>DIC 5</w:t>
            </w:r>
          </w:p>
        </w:tc>
        <w:tc>
          <w:tcPr>
            <w:tcW w:w="1240" w:type="dxa"/>
            <w:tcMar>
              <w:top w:w="60" w:type="dxa"/>
              <w:left w:w="80" w:type="dxa"/>
              <w:bottom w:w="60" w:type="dxa"/>
              <w:right w:w="80" w:type="dxa"/>
            </w:tcMar>
            <w:vAlign w:val="center"/>
          </w:tcPr>
          <w:p w14:paraId="20603A13" w14:textId="77777777" w:rsidR="00510C23" w:rsidRDefault="00000000">
            <w:pPr>
              <w:jc w:val="center"/>
            </w:pPr>
            <w:r>
              <w:rPr>
                <w:sz w:val="18"/>
                <w:szCs w:val="18"/>
              </w:rPr>
              <w:t>38.15 ± 3.36***###</w:t>
            </w:r>
          </w:p>
        </w:tc>
        <w:tc>
          <w:tcPr>
            <w:tcW w:w="1140" w:type="dxa"/>
            <w:tcMar>
              <w:top w:w="60" w:type="dxa"/>
              <w:left w:w="80" w:type="dxa"/>
              <w:bottom w:w="60" w:type="dxa"/>
              <w:right w:w="80" w:type="dxa"/>
            </w:tcMar>
            <w:vAlign w:val="center"/>
          </w:tcPr>
          <w:p w14:paraId="26A0AB31" w14:textId="77777777" w:rsidR="00510C23" w:rsidRDefault="00000000">
            <w:pPr>
              <w:jc w:val="center"/>
            </w:pPr>
            <w:r>
              <w:rPr>
                <w:sz w:val="18"/>
                <w:szCs w:val="18"/>
              </w:rPr>
              <w:t>33.10 ± 2.48***###</w:t>
            </w:r>
          </w:p>
        </w:tc>
        <w:tc>
          <w:tcPr>
            <w:tcW w:w="1140" w:type="dxa"/>
            <w:tcMar>
              <w:top w:w="60" w:type="dxa"/>
              <w:left w:w="80" w:type="dxa"/>
              <w:bottom w:w="60" w:type="dxa"/>
              <w:right w:w="80" w:type="dxa"/>
            </w:tcMar>
            <w:vAlign w:val="center"/>
          </w:tcPr>
          <w:p w14:paraId="7CD44ACB" w14:textId="77777777" w:rsidR="00510C23" w:rsidRDefault="00000000">
            <w:pPr>
              <w:jc w:val="center"/>
            </w:pPr>
            <w:r>
              <w:rPr>
                <w:sz w:val="18"/>
                <w:szCs w:val="18"/>
              </w:rPr>
              <w:t>26.33 ± 1.91***###</w:t>
            </w:r>
          </w:p>
        </w:tc>
        <w:tc>
          <w:tcPr>
            <w:tcW w:w="1140" w:type="dxa"/>
            <w:tcMar>
              <w:top w:w="60" w:type="dxa"/>
              <w:left w:w="80" w:type="dxa"/>
              <w:bottom w:w="60" w:type="dxa"/>
              <w:right w:w="80" w:type="dxa"/>
            </w:tcMar>
            <w:vAlign w:val="center"/>
          </w:tcPr>
          <w:p w14:paraId="77463F56" w14:textId="77777777" w:rsidR="00510C23" w:rsidRDefault="00000000">
            <w:pPr>
              <w:jc w:val="center"/>
            </w:pPr>
            <w:r>
              <w:rPr>
                <w:sz w:val="18"/>
                <w:szCs w:val="18"/>
              </w:rPr>
              <w:t>22.13 ± 1.40***###</w:t>
            </w:r>
          </w:p>
        </w:tc>
        <w:tc>
          <w:tcPr>
            <w:tcW w:w="1140" w:type="dxa"/>
            <w:tcMar>
              <w:top w:w="60" w:type="dxa"/>
              <w:left w:w="80" w:type="dxa"/>
              <w:bottom w:w="60" w:type="dxa"/>
              <w:right w:w="80" w:type="dxa"/>
            </w:tcMar>
            <w:vAlign w:val="center"/>
          </w:tcPr>
          <w:p w14:paraId="5CF8AE2B" w14:textId="77777777" w:rsidR="00510C23" w:rsidRDefault="00000000">
            <w:pPr>
              <w:jc w:val="center"/>
            </w:pPr>
            <w:r>
              <w:rPr>
                <w:sz w:val="18"/>
                <w:szCs w:val="18"/>
              </w:rPr>
              <w:t>25.21 ± 2.19***##</w:t>
            </w:r>
          </w:p>
        </w:tc>
        <w:tc>
          <w:tcPr>
            <w:tcW w:w="1140" w:type="dxa"/>
            <w:tcMar>
              <w:top w:w="60" w:type="dxa"/>
              <w:left w:w="80" w:type="dxa"/>
              <w:bottom w:w="60" w:type="dxa"/>
              <w:right w:w="80" w:type="dxa"/>
            </w:tcMar>
            <w:vAlign w:val="center"/>
          </w:tcPr>
          <w:p w14:paraId="4B3E7F10" w14:textId="77777777" w:rsidR="00510C23" w:rsidRDefault="00000000">
            <w:pPr>
              <w:jc w:val="center"/>
            </w:pPr>
            <w:r>
              <w:rPr>
                <w:sz w:val="18"/>
                <w:szCs w:val="18"/>
              </w:rPr>
              <w:t>16.95 ± 1.66***###</w:t>
            </w:r>
          </w:p>
        </w:tc>
      </w:tr>
      <w:tr w:rsidR="00510C23" w14:paraId="023AE374" w14:textId="77777777">
        <w:trPr>
          <w:cantSplit/>
        </w:trPr>
        <w:tc>
          <w:tcPr>
            <w:tcW w:w="1268" w:type="dxa"/>
            <w:tcMar>
              <w:top w:w="60" w:type="dxa"/>
              <w:left w:w="80" w:type="dxa"/>
              <w:bottom w:w="60" w:type="dxa"/>
              <w:right w:w="80" w:type="dxa"/>
            </w:tcMar>
            <w:vAlign w:val="center"/>
          </w:tcPr>
          <w:p w14:paraId="2BB91406" w14:textId="77777777" w:rsidR="00510C23" w:rsidRDefault="00000000">
            <w:r>
              <w:rPr>
                <w:b/>
                <w:bCs/>
                <w:sz w:val="18"/>
                <w:szCs w:val="18"/>
              </w:rPr>
              <w:t>L7</w:t>
            </w:r>
          </w:p>
        </w:tc>
        <w:tc>
          <w:tcPr>
            <w:tcW w:w="1240" w:type="dxa"/>
            <w:tcMar>
              <w:top w:w="60" w:type="dxa"/>
              <w:left w:w="80" w:type="dxa"/>
              <w:bottom w:w="60" w:type="dxa"/>
              <w:right w:w="80" w:type="dxa"/>
            </w:tcMar>
            <w:vAlign w:val="center"/>
          </w:tcPr>
          <w:p w14:paraId="7641EC6A" w14:textId="77777777" w:rsidR="00510C23" w:rsidRDefault="00000000">
            <w:pPr>
              <w:jc w:val="center"/>
            </w:pPr>
            <w:r>
              <w:rPr>
                <w:sz w:val="18"/>
                <w:szCs w:val="18"/>
              </w:rPr>
              <w:t>45.37 ± 2.65***##</w:t>
            </w:r>
          </w:p>
        </w:tc>
        <w:tc>
          <w:tcPr>
            <w:tcW w:w="1140" w:type="dxa"/>
            <w:tcMar>
              <w:top w:w="60" w:type="dxa"/>
              <w:left w:w="80" w:type="dxa"/>
              <w:bottom w:w="60" w:type="dxa"/>
              <w:right w:w="80" w:type="dxa"/>
            </w:tcMar>
            <w:vAlign w:val="center"/>
          </w:tcPr>
          <w:p w14:paraId="5A178E3A" w14:textId="77777777" w:rsidR="00510C23" w:rsidRDefault="00000000">
            <w:pPr>
              <w:jc w:val="center"/>
            </w:pPr>
            <w:r>
              <w:rPr>
                <w:sz w:val="18"/>
                <w:szCs w:val="18"/>
              </w:rPr>
              <w:t>38.15 ± 1.99***###</w:t>
            </w:r>
          </w:p>
        </w:tc>
        <w:tc>
          <w:tcPr>
            <w:tcW w:w="1140" w:type="dxa"/>
            <w:tcMar>
              <w:top w:w="60" w:type="dxa"/>
              <w:left w:w="80" w:type="dxa"/>
              <w:bottom w:w="60" w:type="dxa"/>
              <w:right w:w="80" w:type="dxa"/>
            </w:tcMar>
            <w:vAlign w:val="center"/>
          </w:tcPr>
          <w:p w14:paraId="54B81A51" w14:textId="77777777" w:rsidR="00510C23" w:rsidRDefault="00000000">
            <w:pPr>
              <w:jc w:val="center"/>
            </w:pPr>
            <w:r>
              <w:rPr>
                <w:sz w:val="18"/>
                <w:szCs w:val="18"/>
              </w:rPr>
              <w:t>32.26 ± 1.57***###</w:t>
            </w:r>
          </w:p>
        </w:tc>
        <w:tc>
          <w:tcPr>
            <w:tcW w:w="1140" w:type="dxa"/>
            <w:tcMar>
              <w:top w:w="60" w:type="dxa"/>
              <w:left w:w="80" w:type="dxa"/>
              <w:bottom w:w="60" w:type="dxa"/>
              <w:right w:w="80" w:type="dxa"/>
            </w:tcMar>
            <w:vAlign w:val="center"/>
          </w:tcPr>
          <w:p w14:paraId="35D667B3" w14:textId="77777777" w:rsidR="00510C23" w:rsidRDefault="00000000">
            <w:pPr>
              <w:jc w:val="center"/>
            </w:pPr>
            <w:r>
              <w:rPr>
                <w:sz w:val="18"/>
                <w:szCs w:val="18"/>
              </w:rPr>
              <w:t>26.57 ± 3.46***##</w:t>
            </w:r>
          </w:p>
        </w:tc>
        <w:tc>
          <w:tcPr>
            <w:tcW w:w="1140" w:type="dxa"/>
            <w:tcMar>
              <w:top w:w="60" w:type="dxa"/>
              <w:left w:w="80" w:type="dxa"/>
              <w:bottom w:w="60" w:type="dxa"/>
              <w:right w:w="80" w:type="dxa"/>
            </w:tcMar>
            <w:vAlign w:val="center"/>
          </w:tcPr>
          <w:p w14:paraId="7D55026F" w14:textId="77777777" w:rsidR="00510C23" w:rsidRDefault="00000000">
            <w:pPr>
              <w:jc w:val="center"/>
            </w:pPr>
            <w:r>
              <w:rPr>
                <w:sz w:val="18"/>
                <w:szCs w:val="18"/>
              </w:rPr>
              <w:t>28.10 ± 1.81***##</w:t>
            </w:r>
          </w:p>
        </w:tc>
        <w:tc>
          <w:tcPr>
            <w:tcW w:w="1140" w:type="dxa"/>
            <w:tcMar>
              <w:top w:w="60" w:type="dxa"/>
              <w:left w:w="80" w:type="dxa"/>
              <w:bottom w:w="60" w:type="dxa"/>
              <w:right w:w="80" w:type="dxa"/>
            </w:tcMar>
            <w:vAlign w:val="center"/>
          </w:tcPr>
          <w:p w14:paraId="414B564F" w14:textId="77777777" w:rsidR="00510C23" w:rsidRDefault="00000000">
            <w:pPr>
              <w:jc w:val="center"/>
            </w:pPr>
            <w:r>
              <w:rPr>
                <w:sz w:val="18"/>
                <w:szCs w:val="18"/>
              </w:rPr>
              <w:t>24.43 ± 2.20***###</w:t>
            </w:r>
          </w:p>
        </w:tc>
      </w:tr>
      <w:tr w:rsidR="00510C23" w14:paraId="63CAC9CF" w14:textId="77777777">
        <w:trPr>
          <w:cantSplit/>
        </w:trPr>
        <w:tc>
          <w:tcPr>
            <w:tcW w:w="1268" w:type="dxa"/>
            <w:tcMar>
              <w:top w:w="60" w:type="dxa"/>
              <w:left w:w="80" w:type="dxa"/>
              <w:bottom w:w="60" w:type="dxa"/>
              <w:right w:w="80" w:type="dxa"/>
            </w:tcMar>
            <w:vAlign w:val="center"/>
          </w:tcPr>
          <w:p w14:paraId="283488F2" w14:textId="77777777" w:rsidR="00510C23" w:rsidRDefault="00000000">
            <w:r>
              <w:rPr>
                <w:b/>
                <w:bCs/>
                <w:sz w:val="18"/>
                <w:szCs w:val="18"/>
              </w:rPr>
              <w:t>L14</w:t>
            </w:r>
          </w:p>
        </w:tc>
        <w:tc>
          <w:tcPr>
            <w:tcW w:w="1240" w:type="dxa"/>
            <w:tcMar>
              <w:top w:w="60" w:type="dxa"/>
              <w:left w:w="80" w:type="dxa"/>
              <w:bottom w:w="60" w:type="dxa"/>
              <w:right w:w="80" w:type="dxa"/>
            </w:tcMar>
            <w:vAlign w:val="center"/>
          </w:tcPr>
          <w:p w14:paraId="0276816A" w14:textId="77777777" w:rsidR="00510C23" w:rsidRDefault="00000000">
            <w:pPr>
              <w:jc w:val="center"/>
            </w:pPr>
            <w:r>
              <w:rPr>
                <w:sz w:val="18"/>
                <w:szCs w:val="18"/>
              </w:rPr>
              <w:t>43.73 ± 3.33***##</w:t>
            </w:r>
          </w:p>
        </w:tc>
        <w:tc>
          <w:tcPr>
            <w:tcW w:w="1140" w:type="dxa"/>
            <w:tcMar>
              <w:top w:w="60" w:type="dxa"/>
              <w:left w:w="80" w:type="dxa"/>
              <w:bottom w:w="60" w:type="dxa"/>
              <w:right w:w="80" w:type="dxa"/>
            </w:tcMar>
            <w:vAlign w:val="center"/>
          </w:tcPr>
          <w:p w14:paraId="174F6D4B" w14:textId="77777777" w:rsidR="00510C23" w:rsidRDefault="00000000">
            <w:pPr>
              <w:jc w:val="center"/>
            </w:pPr>
            <w:r>
              <w:rPr>
                <w:sz w:val="18"/>
                <w:szCs w:val="18"/>
              </w:rPr>
              <w:t>34.01 ± 2.30***###</w:t>
            </w:r>
          </w:p>
        </w:tc>
        <w:tc>
          <w:tcPr>
            <w:tcW w:w="1140" w:type="dxa"/>
            <w:tcMar>
              <w:top w:w="60" w:type="dxa"/>
              <w:left w:w="80" w:type="dxa"/>
              <w:bottom w:w="60" w:type="dxa"/>
              <w:right w:w="80" w:type="dxa"/>
            </w:tcMar>
            <w:vAlign w:val="center"/>
          </w:tcPr>
          <w:p w14:paraId="5D20890C" w14:textId="77777777" w:rsidR="00510C23" w:rsidRDefault="00000000">
            <w:pPr>
              <w:jc w:val="center"/>
            </w:pPr>
            <w:r>
              <w:rPr>
                <w:sz w:val="18"/>
                <w:szCs w:val="18"/>
              </w:rPr>
              <w:t>28.60 ± 2.04***###</w:t>
            </w:r>
          </w:p>
        </w:tc>
        <w:tc>
          <w:tcPr>
            <w:tcW w:w="1140" w:type="dxa"/>
            <w:tcMar>
              <w:top w:w="60" w:type="dxa"/>
              <w:left w:w="80" w:type="dxa"/>
              <w:bottom w:w="60" w:type="dxa"/>
              <w:right w:w="80" w:type="dxa"/>
            </w:tcMar>
            <w:vAlign w:val="center"/>
          </w:tcPr>
          <w:p w14:paraId="4436880C" w14:textId="77777777" w:rsidR="00510C23" w:rsidRDefault="00000000">
            <w:pPr>
              <w:jc w:val="center"/>
            </w:pPr>
            <w:r>
              <w:rPr>
                <w:sz w:val="18"/>
                <w:szCs w:val="18"/>
              </w:rPr>
              <w:t>24.87 ± 2.60***###</w:t>
            </w:r>
          </w:p>
        </w:tc>
        <w:tc>
          <w:tcPr>
            <w:tcW w:w="1140" w:type="dxa"/>
            <w:tcMar>
              <w:top w:w="60" w:type="dxa"/>
              <w:left w:w="80" w:type="dxa"/>
              <w:bottom w:w="60" w:type="dxa"/>
              <w:right w:w="80" w:type="dxa"/>
            </w:tcMar>
            <w:vAlign w:val="center"/>
          </w:tcPr>
          <w:p w14:paraId="7B0E0368" w14:textId="77777777" w:rsidR="00510C23" w:rsidRDefault="00000000">
            <w:pPr>
              <w:jc w:val="center"/>
            </w:pPr>
            <w:r>
              <w:rPr>
                <w:sz w:val="18"/>
                <w:szCs w:val="18"/>
              </w:rPr>
              <w:t>25.54 ± 0.94***###</w:t>
            </w:r>
          </w:p>
        </w:tc>
        <w:tc>
          <w:tcPr>
            <w:tcW w:w="1140" w:type="dxa"/>
            <w:tcMar>
              <w:top w:w="60" w:type="dxa"/>
              <w:left w:w="80" w:type="dxa"/>
              <w:bottom w:w="60" w:type="dxa"/>
              <w:right w:w="80" w:type="dxa"/>
            </w:tcMar>
            <w:vAlign w:val="center"/>
          </w:tcPr>
          <w:p w14:paraId="63A59ED2" w14:textId="77777777" w:rsidR="00510C23" w:rsidRDefault="00000000">
            <w:pPr>
              <w:jc w:val="center"/>
            </w:pPr>
            <w:r>
              <w:rPr>
                <w:sz w:val="18"/>
                <w:szCs w:val="18"/>
              </w:rPr>
              <w:t>22.99 ± 1.59***###</w:t>
            </w:r>
          </w:p>
        </w:tc>
      </w:tr>
    </w:tbl>
    <w:p w14:paraId="75ACFD23" w14:textId="77777777" w:rsidR="00510C23" w:rsidRDefault="00000000">
      <w:pPr>
        <w:spacing w:before="80" w:after="200"/>
      </w:pPr>
      <w:r>
        <w:rPr>
          <w:i/>
          <w:iCs/>
          <w:sz w:val="18"/>
          <w:szCs w:val="18"/>
        </w:rPr>
        <w:t xml:space="preserve">*, **, *** denote P &lt; .05, P &lt; .01 and P &lt; .001 respectively for the difference from the normal group at the same time point; #, ##, ### denote the same probability levels for the difference from the model control group at the same time point. NOR: normal; MC: model control; DIC 5: diclofenac 5 mg/kg; L7 and L14: </w:t>
      </w:r>
      <w:proofErr w:type="spellStart"/>
      <w:r>
        <w:rPr>
          <w:i/>
          <w:iCs/>
          <w:sz w:val="18"/>
          <w:szCs w:val="18"/>
        </w:rPr>
        <w:t>Lamgout</w:t>
      </w:r>
      <w:proofErr w:type="spellEnd"/>
      <w:r>
        <w:rPr>
          <w:i/>
          <w:iCs/>
          <w:sz w:val="18"/>
          <w:szCs w:val="18"/>
        </w:rPr>
        <w:t xml:space="preserve"> extract at 7 and 14 g of dried herb/kg.</w:t>
      </w:r>
    </w:p>
    <w:p w14:paraId="087819FC" w14:textId="77777777" w:rsidR="00510C23" w:rsidRDefault="00000000">
      <w:pPr>
        <w:keepNext/>
        <w:spacing w:before="160" w:after="60"/>
        <w:jc w:val="center"/>
      </w:pPr>
      <w:r>
        <w:rPr>
          <w:noProof/>
        </w:rPr>
        <w:drawing>
          <wp:inline distT="0" distB="0" distL="0" distR="0" wp14:anchorId="38CE5BF0" wp14:editId="5FA9EA37">
            <wp:extent cx="4476750" cy="2228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476750" cy="2228850"/>
                    </a:xfrm>
                    <a:prstGeom prst="rect">
                      <a:avLst/>
                    </a:prstGeom>
                  </pic:spPr>
                </pic:pic>
              </a:graphicData>
            </a:graphic>
          </wp:inline>
        </w:drawing>
      </w:r>
    </w:p>
    <w:p w14:paraId="02898C2D" w14:textId="77777777" w:rsidR="00510C23" w:rsidRDefault="00000000">
      <w:pPr>
        <w:spacing w:after="60"/>
        <w:jc w:val="center"/>
      </w:pPr>
      <w:r>
        <w:rPr>
          <w:b/>
          <w:bCs/>
        </w:rPr>
        <w:t xml:space="preserve">Fig. 1. Degree of paw </w:t>
      </w:r>
      <w:proofErr w:type="spellStart"/>
      <w:r>
        <w:rPr>
          <w:b/>
          <w:bCs/>
        </w:rPr>
        <w:t>edema</w:t>
      </w:r>
      <w:proofErr w:type="spellEnd"/>
      <w:r>
        <w:rPr>
          <w:b/>
          <w:bCs/>
        </w:rPr>
        <w:t xml:space="preserve"> of the experimental groups over time</w:t>
      </w:r>
    </w:p>
    <w:p w14:paraId="71D35397" w14:textId="77777777" w:rsidR="00510C23" w:rsidRDefault="00000000">
      <w:pPr>
        <w:spacing w:after="200"/>
        <w:jc w:val="center"/>
      </w:pPr>
      <w:r>
        <w:rPr>
          <w:i/>
          <w:iCs/>
          <w:sz w:val="18"/>
          <w:szCs w:val="18"/>
        </w:rPr>
        <w:lastRenderedPageBreak/>
        <w:t>Values are mean ± SEM (n = 10 per group).</w:t>
      </w:r>
    </w:p>
    <w:p w14:paraId="533ABF5E" w14:textId="77777777" w:rsidR="00510C23" w:rsidRDefault="00000000">
      <w:pPr>
        <w:spacing w:after="160"/>
        <w:jc w:val="both"/>
      </w:pPr>
      <w:r>
        <w:t>Three hours after the injection</w:t>
      </w:r>
      <w:r>
        <w:rPr>
          <w:highlight w:val="yellow"/>
        </w:rPr>
        <w:t>,</w:t>
      </w:r>
      <w:r>
        <w:t xml:space="preserve"> the degree of </w:t>
      </w:r>
      <w:r>
        <w:rPr>
          <w:highlight w:val="yellow"/>
        </w:rPr>
        <w:t>o</w:t>
      </w:r>
      <w:r>
        <w:t>edema in all the injected groups was significantly higher than in the normal group (</w:t>
      </w:r>
      <w:r>
        <w:rPr>
          <w:i/>
          <w:iCs/>
        </w:rPr>
        <w:t>P</w:t>
      </w:r>
      <w:r>
        <w:t xml:space="preserve"> &lt; .05), which shows that the injection procedure by itself did not induce inflammation of the paw. The paw of the model control group remained markedly swollen throughout the experiment, </w:t>
      </w:r>
      <w:r>
        <w:rPr>
          <w:highlight w:val="yellow"/>
        </w:rPr>
        <w:t>wi</w:t>
      </w:r>
      <w:r>
        <w:t>th swelling being maximal at 3 h and 5 h</w:t>
      </w:r>
      <w:r>
        <w:rPr>
          <w:highlight w:val="yellow"/>
        </w:rPr>
        <w:t>,</w:t>
      </w:r>
      <w:r>
        <w:t xml:space="preserve"> with values of 71.65 % and 64.72 %; this is entirely consistent with the known kinetics of carrageenan-induced </w:t>
      </w:r>
      <w:r>
        <w:rPr>
          <w:highlight w:val="yellow"/>
        </w:rPr>
        <w:t>o</w:t>
      </w:r>
      <w:r>
        <w:t>edema, whose peak occurs within the first hours (Winter et al., 1962). The model was therefore successfully established.</w:t>
      </w:r>
    </w:p>
    <w:p w14:paraId="0FCC5F21" w14:textId="77777777" w:rsidR="00510C23" w:rsidRDefault="00000000">
      <w:pPr>
        <w:spacing w:after="160"/>
        <w:jc w:val="both"/>
      </w:pPr>
      <w:r>
        <w:t xml:space="preserve">After seven days of treatment, the positive control group receiving diclofenac 5 mg/kg showed a significant reduction of paw </w:t>
      </w:r>
      <w:r>
        <w:rPr>
          <w:highlight w:val="yellow"/>
        </w:rPr>
        <w:t>o</w:t>
      </w:r>
      <w:r>
        <w:t>edema compared with the model control group (</w:t>
      </w:r>
      <w:r>
        <w:rPr>
          <w:i/>
          <w:iCs/>
        </w:rPr>
        <w:t>P</w:t>
      </w:r>
      <w:r>
        <w:t xml:space="preserve"> &lt; .05). The effect was already clear 3 h after the induction of inflammation, with a degree of </w:t>
      </w:r>
      <w:r>
        <w:rPr>
          <w:highlight w:val="yellow"/>
        </w:rPr>
        <w:t>o</w:t>
      </w:r>
      <w:r>
        <w:t>edema of 38.15 %, and was maintained until the end of the experiment (16.95 % at 72 h), demonstrat</w:t>
      </w:r>
      <w:r>
        <w:rPr>
          <w:highlight w:val="yellow"/>
        </w:rPr>
        <w:t>ing</w:t>
      </w:r>
      <w:r>
        <w:t xml:space="preserve"> that the model responds appropriately to the reference anti-inflammatory drug.</w:t>
      </w:r>
    </w:p>
    <w:p w14:paraId="2E6A30A2" w14:textId="77777777" w:rsidR="00510C23" w:rsidRDefault="00000000">
      <w:pPr>
        <w:spacing w:after="160"/>
        <w:jc w:val="both"/>
      </w:pPr>
      <w:r>
        <w:t xml:space="preserve">The degree of </w:t>
      </w:r>
      <w:r>
        <w:rPr>
          <w:highlight w:val="yellow"/>
        </w:rPr>
        <w:t>o</w:t>
      </w:r>
      <w:r>
        <w:t xml:space="preserve">edema in both </w:t>
      </w:r>
      <w:proofErr w:type="spellStart"/>
      <w:r>
        <w:t>Lamgout</w:t>
      </w:r>
      <w:proofErr w:type="spellEnd"/>
      <w:r>
        <w:t xml:space="preserve"> groups was lower than in the model control group at every time point examined (</w:t>
      </w:r>
      <w:r>
        <w:rPr>
          <w:i/>
          <w:iCs/>
        </w:rPr>
        <w:t>P</w:t>
      </w:r>
      <w:r>
        <w:t xml:space="preserve"> &lt; .05). At 3, 5 and 8 h after the injection</w:t>
      </w:r>
      <w:r>
        <w:rPr>
          <w:highlight w:val="yellow"/>
        </w:rPr>
        <w:t>,</w:t>
      </w:r>
      <w:r>
        <w:t xml:space="preserve"> the values were 45.37 %, 38.15 % and 32.26 % for the dose of 7 g/kg and 43.73 %, 34.01 % and 28.60 % for the dose of 14 g/kg, against 71.65 %, 64.72 % and 60.57 % in the model control group. The reduction was most pronounced on the first day, decreased slightly on the second day and then persisted until the end of the experiment, which is consistent with the acute nature of carrageenan-induced inflammation. The onset of action of the </w:t>
      </w:r>
      <w:proofErr w:type="spellStart"/>
      <w:r>
        <w:t>Lamgout</w:t>
      </w:r>
      <w:proofErr w:type="spellEnd"/>
      <w:r>
        <w:t xml:space="preserve"> extract was rapid, </w:t>
      </w:r>
      <w:r>
        <w:rPr>
          <w:highlight w:val="yellow"/>
        </w:rPr>
        <w:t xml:space="preserve">with </w:t>
      </w:r>
      <w:r>
        <w:t xml:space="preserve">an anti-inflammatory effect already evident 3 h after the induction of inflammation. When the two doses were compared with each other, the degrees of </w:t>
      </w:r>
      <w:r>
        <w:rPr>
          <w:highlight w:val="yellow"/>
        </w:rPr>
        <w:t>o</w:t>
      </w:r>
      <w:r>
        <w:t>edema did not differ significantly at any time point (</w:t>
      </w:r>
      <w:r>
        <w:rPr>
          <w:i/>
          <w:iCs/>
        </w:rPr>
        <w:t>P</w:t>
      </w:r>
      <w:r>
        <w:t xml:space="preserve"> &gt; .05), and </w:t>
      </w:r>
      <w:r>
        <w:rPr>
          <w:highlight w:val="yellow"/>
        </w:rPr>
        <w:t xml:space="preserve">the values for </w:t>
      </w:r>
      <w:r>
        <w:t>both</w:t>
      </w:r>
      <w:r>
        <w:rPr>
          <w:highlight w:val="yellow"/>
        </w:rPr>
        <w:t xml:space="preserve"> doses</w:t>
      </w:r>
      <w:r>
        <w:t xml:space="preserve"> were comparable </w:t>
      </w:r>
      <w:r>
        <w:rPr>
          <w:highlight w:val="yellow"/>
        </w:rPr>
        <w:t>wi</w:t>
      </w:r>
      <w:r>
        <w:t>t</w:t>
      </w:r>
      <w:r>
        <w:rPr>
          <w:highlight w:val="yellow"/>
        </w:rPr>
        <w:t>h</w:t>
      </w:r>
      <w:r>
        <w:t xml:space="preserve"> th</w:t>
      </w:r>
      <w:r>
        <w:rPr>
          <w:highlight w:val="yellow"/>
        </w:rPr>
        <w:t>ose</w:t>
      </w:r>
      <w:r>
        <w:t xml:space="preserve"> o</w:t>
      </w:r>
      <w:r>
        <w:rPr>
          <w:highlight w:val="yellow"/>
        </w:rPr>
        <w:t>bserved with</w:t>
      </w:r>
      <w:r>
        <w:t xml:space="preserve"> diclofenac 5 mg/kg.</w:t>
      </w:r>
    </w:p>
    <w:p w14:paraId="3AD880CE" w14:textId="77777777" w:rsidR="00510C23" w:rsidRDefault="00000000">
      <w:pPr>
        <w:spacing w:after="160"/>
        <w:jc w:val="both"/>
      </w:pPr>
      <w:r>
        <w:t xml:space="preserve">Carrageenan is a </w:t>
      </w:r>
      <w:proofErr w:type="spellStart"/>
      <w:r>
        <w:t>sulfated</w:t>
      </w:r>
      <w:proofErr w:type="spellEnd"/>
      <w:r>
        <w:t xml:space="preserve"> polysaccharide whose </w:t>
      </w:r>
      <w:proofErr w:type="spellStart"/>
      <w:r>
        <w:t>sulfate</w:t>
      </w:r>
      <w:proofErr w:type="spellEnd"/>
      <w:r>
        <w:t xml:space="preserve"> groups initiate the inflammatory process by activating phospholipase A2. The first phase of carrageenan-induced inflammation results from the local injury caused by the injection and from the release of inflammatory mediators, in particular serotonin and histamine, whereas prostaglandins are the main mediators of the second phase, which begins about 3 h after the injection (Winter et al., 1962). The activity observed here is consistent with previous reports on the constituent herbs of the remedy. An ethanol extract of </w:t>
      </w:r>
      <w:proofErr w:type="spellStart"/>
      <w:r>
        <w:rPr>
          <w:i/>
          <w:iCs/>
        </w:rPr>
        <w:t>Tinospora</w:t>
      </w:r>
      <w:proofErr w:type="spellEnd"/>
      <w:r>
        <w:t xml:space="preserve"> inhibits COX-1, COX-2, 5-lipoxygenase and phospholipase A2, </w:t>
      </w:r>
      <w:r>
        <w:rPr>
          <w:highlight w:val="yellow"/>
        </w:rPr>
        <w:t>t</w:t>
      </w:r>
      <w:r>
        <w:t>h</w:t>
      </w:r>
      <w:r>
        <w:rPr>
          <w:highlight w:val="yellow"/>
        </w:rPr>
        <w:t>ereby</w:t>
      </w:r>
      <w:r>
        <w:t xml:space="preserve"> decreas</w:t>
      </w:r>
      <w:r>
        <w:rPr>
          <w:highlight w:val="yellow"/>
        </w:rPr>
        <w:t>ing</w:t>
      </w:r>
      <w:r>
        <w:t xml:space="preserve"> the release of TNF-α, IL-4, nitric oxide and IgE (Chi et al., 2016). An extract of </w:t>
      </w:r>
      <w:r>
        <w:rPr>
          <w:i/>
          <w:iCs/>
        </w:rPr>
        <w:t>Cinnamomum cassia</w:t>
      </w:r>
      <w:r>
        <w:t xml:space="preserve"> twigs suppresses carrageenan-induced mechanical hypersensitivity and paw </w:t>
      </w:r>
      <w:r>
        <w:rPr>
          <w:highlight w:val="yellow"/>
        </w:rPr>
        <w:t>o</w:t>
      </w:r>
      <w:r>
        <w:t>edema by lowering the concentrations of TNF-α, IL-1β, nitric oxide and PGE</w:t>
      </w:r>
      <w:r>
        <w:rPr>
          <w:vertAlign w:val="subscript"/>
        </w:rPr>
        <w:t>2</w:t>
      </w:r>
      <w:r>
        <w:t>, while Western blot analysis shows reduced expression of COX-2 and inducible nitric oxide synthase in the plantar skin (Sun et al., 2016). Z-</w:t>
      </w:r>
      <w:proofErr w:type="spellStart"/>
      <w:r>
        <w:t>ligustilide</w:t>
      </w:r>
      <w:proofErr w:type="spellEnd"/>
      <w:r>
        <w:t xml:space="preserve">, an active constituent of </w:t>
      </w:r>
      <w:r>
        <w:rPr>
          <w:i/>
          <w:iCs/>
        </w:rPr>
        <w:t xml:space="preserve">Angelica </w:t>
      </w:r>
      <w:proofErr w:type="spellStart"/>
      <w:r>
        <w:rPr>
          <w:i/>
          <w:iCs/>
        </w:rPr>
        <w:t>acutiloba</w:t>
      </w:r>
      <w:proofErr w:type="spellEnd"/>
      <w:r>
        <w:t>, exerts anti-inflammatory activity by reducing the lipopolysaccharide-induced production of prostaglandin E</w:t>
      </w:r>
      <w:r>
        <w:rPr>
          <w:vertAlign w:val="subscript"/>
        </w:rPr>
        <w:t>2</w:t>
      </w:r>
      <w:r>
        <w:t xml:space="preserve">, nitric oxide and the pro-inflammatory cytokines interleukin-6 and tumour necrosis factor-α (Uto et al., 2015). The stems, leaves and rhizomes of </w:t>
      </w:r>
      <w:proofErr w:type="spellStart"/>
      <w:r>
        <w:rPr>
          <w:i/>
          <w:iCs/>
        </w:rPr>
        <w:t>Gnetum</w:t>
      </w:r>
      <w:proofErr w:type="spellEnd"/>
      <w:r>
        <w:rPr>
          <w:i/>
          <w:iCs/>
        </w:rPr>
        <w:t xml:space="preserve"> montanum</w:t>
      </w:r>
      <w:r>
        <w:t xml:space="preserve"> are rich in stilbenes and stilbene-related alkaloids and are used in folk medicine for lumbago and rheumatoid joint pain</w:t>
      </w:r>
      <w:r>
        <w:rPr>
          <w:highlight w:val="yellow"/>
        </w:rPr>
        <w:t>.</w:t>
      </w:r>
      <w:r>
        <w:t xml:space="preserve"> </w:t>
      </w:r>
      <w:r>
        <w:rPr>
          <w:highlight w:val="yellow"/>
        </w:rPr>
        <w:t>R</w:t>
      </w:r>
      <w:r>
        <w:t xml:space="preserve">ecent phytochemical work on </w:t>
      </w:r>
      <w:r>
        <w:rPr>
          <w:i/>
          <w:iCs/>
        </w:rPr>
        <w:t xml:space="preserve">Caesalpinia </w:t>
      </w:r>
      <w:proofErr w:type="spellStart"/>
      <w:r>
        <w:rPr>
          <w:i/>
          <w:iCs/>
        </w:rPr>
        <w:t>sappan</w:t>
      </w:r>
      <w:proofErr w:type="spellEnd"/>
      <w:r>
        <w:t xml:space="preserve"> has revealed </w:t>
      </w:r>
      <w:proofErr w:type="spellStart"/>
      <w:r>
        <w:t>cassane</w:t>
      </w:r>
      <w:proofErr w:type="spellEnd"/>
      <w:r>
        <w:t xml:space="preserve"> diterpenes, </w:t>
      </w:r>
      <w:proofErr w:type="spellStart"/>
      <w:r>
        <w:t>homoisoflavones</w:t>
      </w:r>
      <w:proofErr w:type="spellEnd"/>
      <w:r>
        <w:t xml:space="preserve"> and phenolic derivatives that provide a basis for the development of herbal medicines. The anti-inflammatory activity of the </w:t>
      </w:r>
      <w:proofErr w:type="spellStart"/>
      <w:r>
        <w:t>Lamgout</w:t>
      </w:r>
      <w:proofErr w:type="spellEnd"/>
      <w:r>
        <w:t xml:space="preserve"> remedy may thus be attributed to the combined contribution of its individual constituents.</w:t>
      </w:r>
    </w:p>
    <w:p w14:paraId="1ED24364" w14:textId="77777777" w:rsidR="00510C23" w:rsidRDefault="00000000">
      <w:pPr>
        <w:spacing w:after="160"/>
        <w:jc w:val="both"/>
      </w:pPr>
      <w:r>
        <w:t>Given these results, the doses of 7 and 14 g of dried herb/kg were retained for the evaluation of the uric acid-lowering activity in vivo.</w:t>
      </w:r>
    </w:p>
    <w:p w14:paraId="03702408" w14:textId="77777777" w:rsidR="00510C23" w:rsidRDefault="00000000">
      <w:pPr>
        <w:spacing w:before="200" w:after="140"/>
      </w:pPr>
      <w:r>
        <w:rPr>
          <w:b/>
          <w:bCs/>
          <w:sz w:val="22"/>
          <w:szCs w:val="22"/>
        </w:rPr>
        <w:t xml:space="preserve">3.3 Preventive effect of the </w:t>
      </w:r>
      <w:proofErr w:type="spellStart"/>
      <w:r>
        <w:rPr>
          <w:b/>
          <w:bCs/>
          <w:sz w:val="22"/>
          <w:szCs w:val="22"/>
        </w:rPr>
        <w:t>Lamgout</w:t>
      </w:r>
      <w:proofErr w:type="spellEnd"/>
      <w:r>
        <w:rPr>
          <w:b/>
          <w:bCs/>
          <w:sz w:val="22"/>
          <w:szCs w:val="22"/>
        </w:rPr>
        <w:t xml:space="preserve"> extract on hyperuric</w:t>
      </w:r>
      <w:r>
        <w:rPr>
          <w:b/>
          <w:bCs/>
          <w:sz w:val="22"/>
          <w:szCs w:val="22"/>
          <w:highlight w:val="yellow"/>
        </w:rPr>
        <w:t>a</w:t>
      </w:r>
      <w:r>
        <w:rPr>
          <w:b/>
          <w:bCs/>
          <w:sz w:val="22"/>
          <w:szCs w:val="22"/>
        </w:rPr>
        <w:t>emia</w:t>
      </w:r>
    </w:p>
    <w:p w14:paraId="0022EC13" w14:textId="77777777" w:rsidR="00510C23" w:rsidRDefault="00000000">
      <w:pPr>
        <w:spacing w:after="160"/>
        <w:jc w:val="both"/>
      </w:pPr>
      <w:r>
        <w:lastRenderedPageBreak/>
        <w:t xml:space="preserve">The plasma uric acid concentrations measured after the injection of potassium </w:t>
      </w:r>
      <w:proofErr w:type="spellStart"/>
      <w:r>
        <w:t>oxonate</w:t>
      </w:r>
      <w:proofErr w:type="spellEnd"/>
      <w:r>
        <w:t xml:space="preserve"> in the preventive model are presented in Table 5 and Fig. 2.</w:t>
      </w:r>
    </w:p>
    <w:p w14:paraId="56C74BF9" w14:textId="77777777" w:rsidR="00510C23" w:rsidRDefault="00000000">
      <w:pPr>
        <w:keepNext/>
        <w:spacing w:before="200" w:after="120"/>
      </w:pPr>
      <w:r>
        <w:rPr>
          <w:b/>
          <w:bCs/>
        </w:rPr>
        <w:t>Table 5. Plasma uric acid concentrations of the experimental groups in the preventive model</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8"/>
        <w:gridCol w:w="3100"/>
        <w:gridCol w:w="2700"/>
      </w:tblGrid>
      <w:tr w:rsidR="00510C23" w14:paraId="6EBD399B" w14:textId="77777777">
        <w:trPr>
          <w:cantSplit/>
          <w:tblHeader/>
        </w:trPr>
        <w:tc>
          <w:tcPr>
            <w:tcW w:w="2408" w:type="dxa"/>
            <w:shd w:val="clear" w:color="auto" w:fill="D9D9D9"/>
            <w:tcMar>
              <w:top w:w="60" w:type="dxa"/>
              <w:left w:w="80" w:type="dxa"/>
              <w:bottom w:w="60" w:type="dxa"/>
              <w:right w:w="80" w:type="dxa"/>
            </w:tcMar>
            <w:vAlign w:val="center"/>
          </w:tcPr>
          <w:p w14:paraId="36BA7CB4" w14:textId="77777777" w:rsidR="00510C23" w:rsidRDefault="00000000">
            <w:r>
              <w:rPr>
                <w:b/>
                <w:bCs/>
                <w:sz w:val="18"/>
                <w:szCs w:val="18"/>
              </w:rPr>
              <w:t>Group (n = 6)</w:t>
            </w:r>
          </w:p>
        </w:tc>
        <w:tc>
          <w:tcPr>
            <w:tcW w:w="3100" w:type="dxa"/>
            <w:shd w:val="clear" w:color="auto" w:fill="D9D9D9"/>
            <w:tcMar>
              <w:top w:w="60" w:type="dxa"/>
              <w:left w:w="80" w:type="dxa"/>
              <w:bottom w:w="60" w:type="dxa"/>
              <w:right w:w="80" w:type="dxa"/>
            </w:tcMar>
            <w:vAlign w:val="center"/>
          </w:tcPr>
          <w:p w14:paraId="2B4EE72C" w14:textId="77777777" w:rsidR="00510C23" w:rsidRDefault="00000000">
            <w:pPr>
              <w:jc w:val="center"/>
            </w:pPr>
            <w:r>
              <w:rPr>
                <w:b/>
                <w:bCs/>
                <w:sz w:val="18"/>
                <w:szCs w:val="18"/>
              </w:rPr>
              <w:t>Plasma uric acid (mg/dL)</w:t>
            </w:r>
          </w:p>
        </w:tc>
        <w:tc>
          <w:tcPr>
            <w:tcW w:w="2700" w:type="dxa"/>
            <w:shd w:val="clear" w:color="auto" w:fill="D9D9D9"/>
            <w:tcMar>
              <w:top w:w="60" w:type="dxa"/>
              <w:left w:w="80" w:type="dxa"/>
              <w:bottom w:w="60" w:type="dxa"/>
              <w:right w:w="80" w:type="dxa"/>
            </w:tcMar>
            <w:vAlign w:val="center"/>
          </w:tcPr>
          <w:p w14:paraId="0D075E66" w14:textId="77777777" w:rsidR="00510C23" w:rsidRDefault="00000000">
            <w:pPr>
              <w:jc w:val="center"/>
            </w:pPr>
            <w:r>
              <w:rPr>
                <w:b/>
                <w:bCs/>
                <w:sz w:val="18"/>
                <w:szCs w:val="18"/>
              </w:rPr>
              <w:t>Reduction vs. MC (%)</w:t>
            </w:r>
          </w:p>
        </w:tc>
      </w:tr>
      <w:tr w:rsidR="00510C23" w14:paraId="4CB50909" w14:textId="77777777">
        <w:trPr>
          <w:cantSplit/>
        </w:trPr>
        <w:tc>
          <w:tcPr>
            <w:tcW w:w="2408" w:type="dxa"/>
            <w:tcMar>
              <w:top w:w="60" w:type="dxa"/>
              <w:left w:w="80" w:type="dxa"/>
              <w:bottom w:w="60" w:type="dxa"/>
              <w:right w:w="80" w:type="dxa"/>
            </w:tcMar>
            <w:vAlign w:val="center"/>
          </w:tcPr>
          <w:p w14:paraId="6C57E53E" w14:textId="77777777" w:rsidR="00510C23" w:rsidRDefault="00000000">
            <w:r>
              <w:rPr>
                <w:b/>
                <w:bCs/>
                <w:sz w:val="18"/>
                <w:szCs w:val="18"/>
              </w:rPr>
              <w:t>NOR</w:t>
            </w:r>
          </w:p>
        </w:tc>
        <w:tc>
          <w:tcPr>
            <w:tcW w:w="3100" w:type="dxa"/>
            <w:tcMar>
              <w:top w:w="60" w:type="dxa"/>
              <w:left w:w="80" w:type="dxa"/>
              <w:bottom w:w="60" w:type="dxa"/>
              <w:right w:w="80" w:type="dxa"/>
            </w:tcMar>
            <w:vAlign w:val="center"/>
          </w:tcPr>
          <w:p w14:paraId="03027822" w14:textId="77777777" w:rsidR="00510C23" w:rsidRDefault="00000000">
            <w:pPr>
              <w:jc w:val="center"/>
            </w:pPr>
            <w:r>
              <w:rPr>
                <w:sz w:val="18"/>
                <w:szCs w:val="18"/>
              </w:rPr>
              <w:t>1.55 ± 0.16**</w:t>
            </w:r>
          </w:p>
        </w:tc>
        <w:tc>
          <w:tcPr>
            <w:tcW w:w="2700" w:type="dxa"/>
            <w:tcMar>
              <w:top w:w="60" w:type="dxa"/>
              <w:left w:w="80" w:type="dxa"/>
              <w:bottom w:w="60" w:type="dxa"/>
              <w:right w:w="80" w:type="dxa"/>
            </w:tcMar>
            <w:vAlign w:val="center"/>
          </w:tcPr>
          <w:p w14:paraId="10C76687" w14:textId="77777777" w:rsidR="00510C23" w:rsidRDefault="00000000">
            <w:pPr>
              <w:jc w:val="center"/>
            </w:pPr>
            <w:r>
              <w:rPr>
                <w:sz w:val="18"/>
                <w:szCs w:val="18"/>
              </w:rPr>
              <w:t>–</w:t>
            </w:r>
          </w:p>
        </w:tc>
      </w:tr>
      <w:tr w:rsidR="00510C23" w14:paraId="2440A727" w14:textId="77777777">
        <w:trPr>
          <w:cantSplit/>
        </w:trPr>
        <w:tc>
          <w:tcPr>
            <w:tcW w:w="2408" w:type="dxa"/>
            <w:tcMar>
              <w:top w:w="60" w:type="dxa"/>
              <w:left w:w="80" w:type="dxa"/>
              <w:bottom w:w="60" w:type="dxa"/>
              <w:right w:w="80" w:type="dxa"/>
            </w:tcMar>
            <w:vAlign w:val="center"/>
          </w:tcPr>
          <w:p w14:paraId="58286D65" w14:textId="77777777" w:rsidR="00510C23" w:rsidRDefault="00000000">
            <w:r>
              <w:rPr>
                <w:b/>
                <w:bCs/>
                <w:sz w:val="18"/>
                <w:szCs w:val="18"/>
              </w:rPr>
              <w:t>MC</w:t>
            </w:r>
          </w:p>
        </w:tc>
        <w:tc>
          <w:tcPr>
            <w:tcW w:w="3100" w:type="dxa"/>
            <w:tcMar>
              <w:top w:w="60" w:type="dxa"/>
              <w:left w:w="80" w:type="dxa"/>
              <w:bottom w:w="60" w:type="dxa"/>
              <w:right w:w="80" w:type="dxa"/>
            </w:tcMar>
            <w:vAlign w:val="center"/>
          </w:tcPr>
          <w:p w14:paraId="21F98E57" w14:textId="77777777" w:rsidR="00510C23" w:rsidRDefault="00000000">
            <w:pPr>
              <w:jc w:val="center"/>
            </w:pPr>
            <w:r>
              <w:rPr>
                <w:sz w:val="18"/>
                <w:szCs w:val="18"/>
              </w:rPr>
              <w:t>3.05 ± 0.22</w:t>
            </w:r>
          </w:p>
        </w:tc>
        <w:tc>
          <w:tcPr>
            <w:tcW w:w="2700" w:type="dxa"/>
            <w:tcMar>
              <w:top w:w="60" w:type="dxa"/>
              <w:left w:w="80" w:type="dxa"/>
              <w:bottom w:w="60" w:type="dxa"/>
              <w:right w:w="80" w:type="dxa"/>
            </w:tcMar>
            <w:vAlign w:val="center"/>
          </w:tcPr>
          <w:p w14:paraId="7DD6607D" w14:textId="77777777" w:rsidR="00510C23" w:rsidRDefault="00000000">
            <w:pPr>
              <w:jc w:val="center"/>
            </w:pPr>
            <w:r>
              <w:rPr>
                <w:sz w:val="18"/>
                <w:szCs w:val="18"/>
              </w:rPr>
              <w:t>–</w:t>
            </w:r>
          </w:p>
        </w:tc>
      </w:tr>
      <w:tr w:rsidR="00510C23" w14:paraId="31DD63E7" w14:textId="77777777">
        <w:trPr>
          <w:cantSplit/>
        </w:trPr>
        <w:tc>
          <w:tcPr>
            <w:tcW w:w="2408" w:type="dxa"/>
            <w:tcMar>
              <w:top w:w="60" w:type="dxa"/>
              <w:left w:w="80" w:type="dxa"/>
              <w:bottom w:w="60" w:type="dxa"/>
              <w:right w:w="80" w:type="dxa"/>
            </w:tcMar>
            <w:vAlign w:val="center"/>
          </w:tcPr>
          <w:p w14:paraId="5F5953DD" w14:textId="77777777" w:rsidR="00510C23" w:rsidRDefault="00000000">
            <w:r>
              <w:rPr>
                <w:b/>
                <w:bCs/>
                <w:sz w:val="18"/>
                <w:szCs w:val="18"/>
              </w:rPr>
              <w:t>ALLO 10</w:t>
            </w:r>
          </w:p>
        </w:tc>
        <w:tc>
          <w:tcPr>
            <w:tcW w:w="3100" w:type="dxa"/>
            <w:tcMar>
              <w:top w:w="60" w:type="dxa"/>
              <w:left w:w="80" w:type="dxa"/>
              <w:bottom w:w="60" w:type="dxa"/>
              <w:right w:w="80" w:type="dxa"/>
            </w:tcMar>
            <w:vAlign w:val="center"/>
          </w:tcPr>
          <w:p w14:paraId="00F3372E" w14:textId="77777777" w:rsidR="00510C23" w:rsidRDefault="00000000">
            <w:pPr>
              <w:jc w:val="center"/>
            </w:pPr>
            <w:r>
              <w:rPr>
                <w:sz w:val="18"/>
                <w:szCs w:val="18"/>
              </w:rPr>
              <w:t>0.53 ± 0.05**</w:t>
            </w:r>
          </w:p>
        </w:tc>
        <w:tc>
          <w:tcPr>
            <w:tcW w:w="2700" w:type="dxa"/>
            <w:tcMar>
              <w:top w:w="60" w:type="dxa"/>
              <w:left w:w="80" w:type="dxa"/>
              <w:bottom w:w="60" w:type="dxa"/>
              <w:right w:w="80" w:type="dxa"/>
            </w:tcMar>
            <w:vAlign w:val="center"/>
          </w:tcPr>
          <w:p w14:paraId="0D9896C9" w14:textId="77777777" w:rsidR="00510C23" w:rsidRDefault="00000000">
            <w:pPr>
              <w:jc w:val="center"/>
            </w:pPr>
            <w:r>
              <w:rPr>
                <w:sz w:val="18"/>
                <w:szCs w:val="18"/>
              </w:rPr>
              <w:t>82.76</w:t>
            </w:r>
          </w:p>
        </w:tc>
      </w:tr>
      <w:tr w:rsidR="00510C23" w14:paraId="07C21B31" w14:textId="77777777">
        <w:trPr>
          <w:cantSplit/>
        </w:trPr>
        <w:tc>
          <w:tcPr>
            <w:tcW w:w="2408" w:type="dxa"/>
            <w:tcMar>
              <w:top w:w="60" w:type="dxa"/>
              <w:left w:w="80" w:type="dxa"/>
              <w:bottom w:w="60" w:type="dxa"/>
              <w:right w:w="80" w:type="dxa"/>
            </w:tcMar>
            <w:vAlign w:val="center"/>
          </w:tcPr>
          <w:p w14:paraId="154E73D1" w14:textId="77777777" w:rsidR="00510C23" w:rsidRDefault="00000000">
            <w:r>
              <w:rPr>
                <w:b/>
                <w:bCs/>
                <w:sz w:val="18"/>
                <w:szCs w:val="18"/>
              </w:rPr>
              <w:t>L7</w:t>
            </w:r>
          </w:p>
        </w:tc>
        <w:tc>
          <w:tcPr>
            <w:tcW w:w="3100" w:type="dxa"/>
            <w:tcMar>
              <w:top w:w="60" w:type="dxa"/>
              <w:left w:w="80" w:type="dxa"/>
              <w:bottom w:w="60" w:type="dxa"/>
              <w:right w:w="80" w:type="dxa"/>
            </w:tcMar>
            <w:vAlign w:val="center"/>
          </w:tcPr>
          <w:p w14:paraId="7DBDE16A" w14:textId="77777777" w:rsidR="00510C23" w:rsidRDefault="00000000">
            <w:pPr>
              <w:jc w:val="center"/>
            </w:pPr>
            <w:r>
              <w:rPr>
                <w:sz w:val="18"/>
                <w:szCs w:val="18"/>
              </w:rPr>
              <w:t>1.92 ± 0.45*##</w:t>
            </w:r>
          </w:p>
        </w:tc>
        <w:tc>
          <w:tcPr>
            <w:tcW w:w="2700" w:type="dxa"/>
            <w:tcMar>
              <w:top w:w="60" w:type="dxa"/>
              <w:left w:w="80" w:type="dxa"/>
              <w:bottom w:w="60" w:type="dxa"/>
              <w:right w:w="80" w:type="dxa"/>
            </w:tcMar>
            <w:vAlign w:val="center"/>
          </w:tcPr>
          <w:p w14:paraId="787DA8D0" w14:textId="77777777" w:rsidR="00510C23" w:rsidRDefault="00000000">
            <w:pPr>
              <w:jc w:val="center"/>
            </w:pPr>
            <w:r>
              <w:rPr>
                <w:sz w:val="18"/>
                <w:szCs w:val="18"/>
              </w:rPr>
              <w:t>37.07</w:t>
            </w:r>
          </w:p>
        </w:tc>
      </w:tr>
      <w:tr w:rsidR="00510C23" w14:paraId="586CCCF6" w14:textId="77777777">
        <w:trPr>
          <w:cantSplit/>
        </w:trPr>
        <w:tc>
          <w:tcPr>
            <w:tcW w:w="2408" w:type="dxa"/>
            <w:tcMar>
              <w:top w:w="60" w:type="dxa"/>
              <w:left w:w="80" w:type="dxa"/>
              <w:bottom w:w="60" w:type="dxa"/>
              <w:right w:w="80" w:type="dxa"/>
            </w:tcMar>
            <w:vAlign w:val="center"/>
          </w:tcPr>
          <w:p w14:paraId="3C99E25F" w14:textId="77777777" w:rsidR="00510C23" w:rsidRDefault="00000000">
            <w:r>
              <w:rPr>
                <w:b/>
                <w:bCs/>
                <w:sz w:val="18"/>
                <w:szCs w:val="18"/>
              </w:rPr>
              <w:t>L14</w:t>
            </w:r>
          </w:p>
        </w:tc>
        <w:tc>
          <w:tcPr>
            <w:tcW w:w="3100" w:type="dxa"/>
            <w:tcMar>
              <w:top w:w="60" w:type="dxa"/>
              <w:left w:w="80" w:type="dxa"/>
              <w:bottom w:w="60" w:type="dxa"/>
              <w:right w:w="80" w:type="dxa"/>
            </w:tcMar>
            <w:vAlign w:val="center"/>
          </w:tcPr>
          <w:p w14:paraId="768E197F" w14:textId="77777777" w:rsidR="00510C23" w:rsidRDefault="00000000">
            <w:pPr>
              <w:jc w:val="center"/>
            </w:pPr>
            <w:r>
              <w:rPr>
                <w:sz w:val="18"/>
                <w:szCs w:val="18"/>
              </w:rPr>
              <w:t>1.50 ± 0.12**##</w:t>
            </w:r>
          </w:p>
        </w:tc>
        <w:tc>
          <w:tcPr>
            <w:tcW w:w="2700" w:type="dxa"/>
            <w:tcMar>
              <w:top w:w="60" w:type="dxa"/>
              <w:left w:w="80" w:type="dxa"/>
              <w:bottom w:w="60" w:type="dxa"/>
              <w:right w:w="80" w:type="dxa"/>
            </w:tcMar>
            <w:vAlign w:val="center"/>
          </w:tcPr>
          <w:p w14:paraId="447505D0" w14:textId="77777777" w:rsidR="00510C23" w:rsidRDefault="00000000">
            <w:pPr>
              <w:jc w:val="center"/>
            </w:pPr>
            <w:r>
              <w:rPr>
                <w:sz w:val="18"/>
                <w:szCs w:val="18"/>
              </w:rPr>
              <w:t>50.86</w:t>
            </w:r>
          </w:p>
        </w:tc>
      </w:tr>
    </w:tbl>
    <w:p w14:paraId="60FFCF62" w14:textId="77777777" w:rsidR="00510C23" w:rsidRDefault="00000000">
      <w:pPr>
        <w:spacing w:before="80" w:after="200"/>
      </w:pPr>
      <w:r>
        <w:rPr>
          <w:i/>
          <w:iCs/>
          <w:sz w:val="18"/>
          <w:szCs w:val="18"/>
        </w:rPr>
        <w:t xml:space="preserve">*, ** denote P &lt; .05 and P &lt; .01 respectively for the difference from the model control group; #, ## denote the same probability levels for the difference from the allopurinol 10 mg/kg group. NOR: normal; MC: model control; ALLO 10: allopurinol 10 mg/kg; L7 and L14: </w:t>
      </w:r>
      <w:proofErr w:type="spellStart"/>
      <w:r>
        <w:rPr>
          <w:i/>
          <w:iCs/>
          <w:sz w:val="18"/>
          <w:szCs w:val="18"/>
        </w:rPr>
        <w:t>Lamgout</w:t>
      </w:r>
      <w:proofErr w:type="spellEnd"/>
      <w:r>
        <w:rPr>
          <w:i/>
          <w:iCs/>
          <w:sz w:val="18"/>
          <w:szCs w:val="18"/>
        </w:rPr>
        <w:t xml:space="preserve"> extract at 7 and 14 g of dried herb/kg.</w:t>
      </w:r>
    </w:p>
    <w:p w14:paraId="50C3D085" w14:textId="77777777" w:rsidR="00510C23" w:rsidRDefault="00000000">
      <w:pPr>
        <w:keepNext/>
        <w:spacing w:before="160" w:after="60"/>
        <w:jc w:val="center"/>
      </w:pPr>
      <w:r>
        <w:rPr>
          <w:noProof/>
        </w:rPr>
        <w:drawing>
          <wp:inline distT="0" distB="0" distL="0" distR="0" wp14:anchorId="148B2CA1" wp14:editId="3A3BDE80">
            <wp:extent cx="4000500" cy="2200275"/>
            <wp:effectExtent l="0" t="0" r="0" b="0"/>
            <wp:docPr id="1434586216" name="Picture 143458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00500" cy="2200275"/>
                    </a:xfrm>
                    <a:prstGeom prst="rect">
                      <a:avLst/>
                    </a:prstGeom>
                  </pic:spPr>
                </pic:pic>
              </a:graphicData>
            </a:graphic>
          </wp:inline>
        </w:drawing>
      </w:r>
    </w:p>
    <w:p w14:paraId="03236A11" w14:textId="77777777" w:rsidR="00510C23" w:rsidRDefault="00000000">
      <w:pPr>
        <w:spacing w:after="60"/>
        <w:jc w:val="center"/>
      </w:pPr>
      <w:r>
        <w:rPr>
          <w:b/>
          <w:bCs/>
        </w:rPr>
        <w:t>Fig. 2. Plasma uric acid concentrations of the experimental groups in the preventive model</w:t>
      </w:r>
    </w:p>
    <w:p w14:paraId="00A8C94C" w14:textId="77777777" w:rsidR="00510C23" w:rsidRDefault="00000000">
      <w:pPr>
        <w:spacing w:after="200"/>
        <w:jc w:val="center"/>
      </w:pPr>
      <w:r>
        <w:rPr>
          <w:i/>
          <w:iCs/>
          <w:sz w:val="18"/>
          <w:szCs w:val="18"/>
        </w:rPr>
        <w:t>Values are mean ± SEM (n = 6 per group).</w:t>
      </w:r>
    </w:p>
    <w:p w14:paraId="663F2826" w14:textId="77777777" w:rsidR="00510C23" w:rsidRDefault="00000000">
      <w:pPr>
        <w:spacing w:after="160"/>
        <w:jc w:val="both"/>
      </w:pPr>
      <w:r>
        <w:t xml:space="preserve">After the intraperitoneal injection of potassium </w:t>
      </w:r>
      <w:proofErr w:type="spellStart"/>
      <w:r>
        <w:t>oxonate</w:t>
      </w:r>
      <w:proofErr w:type="spellEnd"/>
      <w:r>
        <w:t xml:space="preserve"> 300 mg/kg, the plasma uric acid concentration of the model control group rose to 3.05 mg/dL, significantly higher than that of the normal group (</w:t>
      </w:r>
      <w:r>
        <w:rPr>
          <w:i/>
          <w:iCs/>
        </w:rPr>
        <w:t>P</w:t>
      </w:r>
      <w:r>
        <w:t xml:space="preserve"> &lt; .01), an increase of 96.78 %. The model of hyperuric</w:t>
      </w:r>
      <w:r>
        <w:rPr>
          <w:highlight w:val="yellow"/>
        </w:rPr>
        <w:t>a</w:t>
      </w:r>
      <w:r>
        <w:t>emia was therefore successfully established. The group receiving allopurinol 10 mg/kg as prophylaxis showed a plasma uric acid concentration of only 0.53 mg/dL, a significant reduction of 82.76 % compared with the model control group (</w:t>
      </w:r>
      <w:r>
        <w:rPr>
          <w:i/>
          <w:iCs/>
        </w:rPr>
        <w:t>P</w:t>
      </w:r>
      <w:r>
        <w:t xml:space="preserve"> &lt; .01).</w:t>
      </w:r>
    </w:p>
    <w:p w14:paraId="1FF42BD8" w14:textId="77777777" w:rsidR="00510C23" w:rsidRDefault="00000000">
      <w:pPr>
        <w:spacing w:after="160"/>
        <w:jc w:val="both"/>
      </w:pPr>
      <w:r>
        <w:t xml:space="preserve">The mice treated with the </w:t>
      </w:r>
      <w:proofErr w:type="spellStart"/>
      <w:r>
        <w:t>Lamgout</w:t>
      </w:r>
      <w:proofErr w:type="spellEnd"/>
      <w:r>
        <w:t xml:space="preserve"> extract at 7 and 14 g/kg had plasma uric acid concentrations of 1.92 mg/dL and 1.50 mg/dL</w:t>
      </w:r>
      <w:r>
        <w:rPr>
          <w:highlight w:val="yellow"/>
        </w:rPr>
        <w:t>,</w:t>
      </w:r>
      <w:r>
        <w:t xml:space="preserve"> respectively, corresponding to reductions of 37.07 % and 50.86 % relative to the model control group (</w:t>
      </w:r>
      <w:r>
        <w:rPr>
          <w:i/>
          <w:iCs/>
        </w:rPr>
        <w:t>P</w:t>
      </w:r>
      <w:r>
        <w:t xml:space="preserve"> &lt; .05). The concentration measured in the group receiving 7 g/kg did not differ significantly from that of the normal group (</w:t>
      </w:r>
      <w:r>
        <w:rPr>
          <w:i/>
          <w:iCs/>
        </w:rPr>
        <w:t>P</w:t>
      </w:r>
      <w:r>
        <w:t xml:space="preserve"> &gt; .05) and was comparable to that of the group receiving 14 g/kg. </w:t>
      </w:r>
      <w:r>
        <w:rPr>
          <w:highlight w:val="yellow"/>
        </w:rPr>
        <w:t>Plasma uric acid concentrations in b</w:t>
      </w:r>
      <w:r>
        <w:t xml:space="preserve">oth extract groups nevertheless remained significantly higher than </w:t>
      </w:r>
      <w:r>
        <w:rPr>
          <w:highlight w:val="yellow"/>
        </w:rPr>
        <w:t xml:space="preserve">in </w:t>
      </w:r>
      <w:r>
        <w:t>the allopurinol group (</w:t>
      </w:r>
      <w:r>
        <w:rPr>
          <w:i/>
          <w:iCs/>
        </w:rPr>
        <w:t>P</w:t>
      </w:r>
      <w:r>
        <w:t xml:space="preserve"> &lt; .05). These results show that</w:t>
      </w:r>
      <w:r>
        <w:rPr>
          <w:highlight w:val="yellow"/>
        </w:rPr>
        <w:t>,</w:t>
      </w:r>
      <w:r>
        <w:t xml:space="preserve"> at 7 and 14 g of dried herb/kg</w:t>
      </w:r>
      <w:r>
        <w:rPr>
          <w:highlight w:val="yellow"/>
        </w:rPr>
        <w:t>,</w:t>
      </w:r>
      <w:r>
        <w:t xml:space="preserve"> the </w:t>
      </w:r>
      <w:proofErr w:type="spellStart"/>
      <w:r>
        <w:lastRenderedPageBreak/>
        <w:t>Lamgout</w:t>
      </w:r>
      <w:proofErr w:type="spellEnd"/>
      <w:r>
        <w:t xml:space="preserve"> extract is able to prevent the rise in plasma uric acid in mice with acute hyperuric</w:t>
      </w:r>
      <w:r>
        <w:rPr>
          <w:highlight w:val="yellow"/>
        </w:rPr>
        <w:t>a</w:t>
      </w:r>
      <w:r>
        <w:t>emia.</w:t>
      </w:r>
    </w:p>
    <w:p w14:paraId="7542AF5E" w14:textId="77777777" w:rsidR="00510C23" w:rsidRDefault="00000000">
      <w:pPr>
        <w:spacing w:before="200" w:after="140"/>
      </w:pPr>
      <w:r>
        <w:rPr>
          <w:b/>
          <w:bCs/>
          <w:sz w:val="22"/>
          <w:szCs w:val="22"/>
        </w:rPr>
        <w:t xml:space="preserve">3.4 Therapeutic effect of the </w:t>
      </w:r>
      <w:proofErr w:type="spellStart"/>
      <w:r>
        <w:rPr>
          <w:b/>
          <w:bCs/>
          <w:sz w:val="22"/>
          <w:szCs w:val="22"/>
        </w:rPr>
        <w:t>Lamgout</w:t>
      </w:r>
      <w:proofErr w:type="spellEnd"/>
      <w:r>
        <w:rPr>
          <w:b/>
          <w:bCs/>
          <w:sz w:val="22"/>
          <w:szCs w:val="22"/>
        </w:rPr>
        <w:t xml:space="preserve"> extract on hyperuric</w:t>
      </w:r>
      <w:r>
        <w:rPr>
          <w:b/>
          <w:bCs/>
          <w:sz w:val="22"/>
          <w:szCs w:val="22"/>
          <w:highlight w:val="yellow"/>
        </w:rPr>
        <w:t>a</w:t>
      </w:r>
      <w:r>
        <w:rPr>
          <w:b/>
          <w:bCs/>
          <w:sz w:val="22"/>
          <w:szCs w:val="22"/>
        </w:rPr>
        <w:t>emia</w:t>
      </w:r>
    </w:p>
    <w:p w14:paraId="1A4EA84E" w14:textId="77777777" w:rsidR="00510C23" w:rsidRDefault="00000000">
      <w:pPr>
        <w:spacing w:after="160"/>
        <w:jc w:val="both"/>
      </w:pPr>
      <w:r>
        <w:t>In this experiment</w:t>
      </w:r>
      <w:r>
        <w:rPr>
          <w:highlight w:val="yellow"/>
        </w:rPr>
        <w:t>,</w:t>
      </w:r>
      <w:r>
        <w:t xml:space="preserve"> potassium </w:t>
      </w:r>
      <w:proofErr w:type="spellStart"/>
      <w:r>
        <w:t>oxonate</w:t>
      </w:r>
      <w:proofErr w:type="spellEnd"/>
      <w:r>
        <w:t xml:space="preserve"> was used to induce acute hyperuric</w:t>
      </w:r>
      <w:r>
        <w:rPr>
          <w:highlight w:val="yellow"/>
        </w:rPr>
        <w:t>a</w:t>
      </w:r>
      <w:r>
        <w:t xml:space="preserve">emia, which was then treated with a single dose of allopurinol 10 mg/kg or the </w:t>
      </w:r>
      <w:proofErr w:type="spellStart"/>
      <w:r>
        <w:t>Lamgout</w:t>
      </w:r>
      <w:proofErr w:type="spellEnd"/>
      <w:r>
        <w:t xml:space="preserve"> extract at 7 and 14 g/kg. One hour after dosing, blood was collected from the tail vein for the determination of plasma uric acid; the results are presented in Table 6 and Fig. 3.</w:t>
      </w:r>
    </w:p>
    <w:p w14:paraId="569B7540" w14:textId="77777777" w:rsidR="00510C23" w:rsidRDefault="00000000">
      <w:pPr>
        <w:keepNext/>
        <w:spacing w:before="200" w:after="120"/>
      </w:pPr>
      <w:r>
        <w:rPr>
          <w:b/>
          <w:bCs/>
        </w:rPr>
        <w:t>Table 6. Plasma uric acid concentrations of the experimental groups in the therapeutic model</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8"/>
        <w:gridCol w:w="3100"/>
        <w:gridCol w:w="2700"/>
      </w:tblGrid>
      <w:tr w:rsidR="00510C23" w14:paraId="02C20402" w14:textId="77777777">
        <w:trPr>
          <w:cantSplit/>
          <w:tblHeader/>
        </w:trPr>
        <w:tc>
          <w:tcPr>
            <w:tcW w:w="2408" w:type="dxa"/>
            <w:shd w:val="clear" w:color="auto" w:fill="D9D9D9"/>
            <w:tcMar>
              <w:top w:w="60" w:type="dxa"/>
              <w:left w:w="80" w:type="dxa"/>
              <w:bottom w:w="60" w:type="dxa"/>
              <w:right w:w="80" w:type="dxa"/>
            </w:tcMar>
            <w:vAlign w:val="center"/>
          </w:tcPr>
          <w:p w14:paraId="24EE0BF1" w14:textId="77777777" w:rsidR="00510C23" w:rsidRDefault="00000000">
            <w:r>
              <w:rPr>
                <w:b/>
                <w:bCs/>
                <w:sz w:val="18"/>
                <w:szCs w:val="18"/>
              </w:rPr>
              <w:t>Group (n = 6)</w:t>
            </w:r>
          </w:p>
        </w:tc>
        <w:tc>
          <w:tcPr>
            <w:tcW w:w="3100" w:type="dxa"/>
            <w:shd w:val="clear" w:color="auto" w:fill="D9D9D9"/>
            <w:tcMar>
              <w:top w:w="60" w:type="dxa"/>
              <w:left w:w="80" w:type="dxa"/>
              <w:bottom w:w="60" w:type="dxa"/>
              <w:right w:w="80" w:type="dxa"/>
            </w:tcMar>
            <w:vAlign w:val="center"/>
          </w:tcPr>
          <w:p w14:paraId="5B4CE169" w14:textId="77777777" w:rsidR="00510C23" w:rsidRDefault="00000000">
            <w:pPr>
              <w:jc w:val="center"/>
            </w:pPr>
            <w:r>
              <w:rPr>
                <w:b/>
                <w:bCs/>
                <w:sz w:val="18"/>
                <w:szCs w:val="18"/>
              </w:rPr>
              <w:t>Plasma uric acid (mg/dL)</w:t>
            </w:r>
          </w:p>
        </w:tc>
        <w:tc>
          <w:tcPr>
            <w:tcW w:w="2700" w:type="dxa"/>
            <w:shd w:val="clear" w:color="auto" w:fill="D9D9D9"/>
            <w:tcMar>
              <w:top w:w="60" w:type="dxa"/>
              <w:left w:w="80" w:type="dxa"/>
              <w:bottom w:w="60" w:type="dxa"/>
              <w:right w:w="80" w:type="dxa"/>
            </w:tcMar>
            <w:vAlign w:val="center"/>
          </w:tcPr>
          <w:p w14:paraId="2F705036" w14:textId="77777777" w:rsidR="00510C23" w:rsidRDefault="00000000">
            <w:pPr>
              <w:jc w:val="center"/>
            </w:pPr>
            <w:r>
              <w:rPr>
                <w:b/>
                <w:bCs/>
                <w:sz w:val="18"/>
                <w:szCs w:val="18"/>
              </w:rPr>
              <w:t>Reduction vs. MC (%)</w:t>
            </w:r>
          </w:p>
        </w:tc>
      </w:tr>
      <w:tr w:rsidR="00510C23" w14:paraId="353CA510" w14:textId="77777777">
        <w:trPr>
          <w:cantSplit/>
        </w:trPr>
        <w:tc>
          <w:tcPr>
            <w:tcW w:w="2408" w:type="dxa"/>
            <w:tcMar>
              <w:top w:w="60" w:type="dxa"/>
              <w:left w:w="80" w:type="dxa"/>
              <w:bottom w:w="60" w:type="dxa"/>
              <w:right w:w="80" w:type="dxa"/>
            </w:tcMar>
            <w:vAlign w:val="center"/>
          </w:tcPr>
          <w:p w14:paraId="682072C7" w14:textId="77777777" w:rsidR="00510C23" w:rsidRDefault="00000000">
            <w:r>
              <w:rPr>
                <w:b/>
                <w:bCs/>
                <w:sz w:val="18"/>
                <w:szCs w:val="18"/>
              </w:rPr>
              <w:t>NOR</w:t>
            </w:r>
          </w:p>
        </w:tc>
        <w:tc>
          <w:tcPr>
            <w:tcW w:w="3100" w:type="dxa"/>
            <w:tcMar>
              <w:top w:w="60" w:type="dxa"/>
              <w:left w:w="80" w:type="dxa"/>
              <w:bottom w:w="60" w:type="dxa"/>
              <w:right w:w="80" w:type="dxa"/>
            </w:tcMar>
            <w:vAlign w:val="center"/>
          </w:tcPr>
          <w:p w14:paraId="3FE02306" w14:textId="77777777" w:rsidR="00510C23" w:rsidRDefault="00000000">
            <w:pPr>
              <w:jc w:val="center"/>
            </w:pPr>
            <w:r>
              <w:rPr>
                <w:sz w:val="18"/>
                <w:szCs w:val="18"/>
              </w:rPr>
              <w:t>1.71 ± 0.16**</w:t>
            </w:r>
          </w:p>
        </w:tc>
        <w:tc>
          <w:tcPr>
            <w:tcW w:w="2700" w:type="dxa"/>
            <w:tcMar>
              <w:top w:w="60" w:type="dxa"/>
              <w:left w:w="80" w:type="dxa"/>
              <w:bottom w:w="60" w:type="dxa"/>
              <w:right w:w="80" w:type="dxa"/>
            </w:tcMar>
            <w:vAlign w:val="center"/>
          </w:tcPr>
          <w:p w14:paraId="14AC68C9" w14:textId="77777777" w:rsidR="00510C23" w:rsidRDefault="00000000">
            <w:pPr>
              <w:jc w:val="center"/>
            </w:pPr>
            <w:r>
              <w:rPr>
                <w:sz w:val="18"/>
                <w:szCs w:val="18"/>
              </w:rPr>
              <w:t>–</w:t>
            </w:r>
          </w:p>
        </w:tc>
      </w:tr>
      <w:tr w:rsidR="00510C23" w14:paraId="16F3E827" w14:textId="77777777">
        <w:trPr>
          <w:cantSplit/>
        </w:trPr>
        <w:tc>
          <w:tcPr>
            <w:tcW w:w="2408" w:type="dxa"/>
            <w:tcMar>
              <w:top w:w="60" w:type="dxa"/>
              <w:left w:w="80" w:type="dxa"/>
              <w:bottom w:w="60" w:type="dxa"/>
              <w:right w:w="80" w:type="dxa"/>
            </w:tcMar>
            <w:vAlign w:val="center"/>
          </w:tcPr>
          <w:p w14:paraId="72951992" w14:textId="77777777" w:rsidR="00510C23" w:rsidRDefault="00000000">
            <w:r>
              <w:rPr>
                <w:b/>
                <w:bCs/>
                <w:sz w:val="18"/>
                <w:szCs w:val="18"/>
              </w:rPr>
              <w:t>MC</w:t>
            </w:r>
          </w:p>
        </w:tc>
        <w:tc>
          <w:tcPr>
            <w:tcW w:w="3100" w:type="dxa"/>
            <w:tcMar>
              <w:top w:w="60" w:type="dxa"/>
              <w:left w:w="80" w:type="dxa"/>
              <w:bottom w:w="60" w:type="dxa"/>
              <w:right w:w="80" w:type="dxa"/>
            </w:tcMar>
            <w:vAlign w:val="center"/>
          </w:tcPr>
          <w:p w14:paraId="5D02F02C" w14:textId="77777777" w:rsidR="00510C23" w:rsidRDefault="00000000">
            <w:pPr>
              <w:jc w:val="center"/>
            </w:pPr>
            <w:r>
              <w:rPr>
                <w:sz w:val="18"/>
                <w:szCs w:val="18"/>
              </w:rPr>
              <w:t>3.05 ± 0.17</w:t>
            </w:r>
          </w:p>
        </w:tc>
        <w:tc>
          <w:tcPr>
            <w:tcW w:w="2700" w:type="dxa"/>
            <w:tcMar>
              <w:top w:w="60" w:type="dxa"/>
              <w:left w:w="80" w:type="dxa"/>
              <w:bottom w:w="60" w:type="dxa"/>
              <w:right w:w="80" w:type="dxa"/>
            </w:tcMar>
            <w:vAlign w:val="center"/>
          </w:tcPr>
          <w:p w14:paraId="54C4A4D2" w14:textId="77777777" w:rsidR="00510C23" w:rsidRDefault="00000000">
            <w:pPr>
              <w:jc w:val="center"/>
            </w:pPr>
            <w:r>
              <w:rPr>
                <w:sz w:val="18"/>
                <w:szCs w:val="18"/>
              </w:rPr>
              <w:t>–</w:t>
            </w:r>
          </w:p>
        </w:tc>
      </w:tr>
      <w:tr w:rsidR="00510C23" w14:paraId="1EA12D9B" w14:textId="77777777">
        <w:trPr>
          <w:cantSplit/>
        </w:trPr>
        <w:tc>
          <w:tcPr>
            <w:tcW w:w="2408" w:type="dxa"/>
            <w:tcMar>
              <w:top w:w="60" w:type="dxa"/>
              <w:left w:w="80" w:type="dxa"/>
              <w:bottom w:w="60" w:type="dxa"/>
              <w:right w:w="80" w:type="dxa"/>
            </w:tcMar>
            <w:vAlign w:val="center"/>
          </w:tcPr>
          <w:p w14:paraId="261DEE2C" w14:textId="77777777" w:rsidR="00510C23" w:rsidRDefault="00000000">
            <w:r>
              <w:rPr>
                <w:b/>
                <w:bCs/>
                <w:sz w:val="18"/>
                <w:szCs w:val="18"/>
              </w:rPr>
              <w:t>ALLO 10</w:t>
            </w:r>
          </w:p>
        </w:tc>
        <w:tc>
          <w:tcPr>
            <w:tcW w:w="3100" w:type="dxa"/>
            <w:tcMar>
              <w:top w:w="60" w:type="dxa"/>
              <w:left w:w="80" w:type="dxa"/>
              <w:bottom w:w="60" w:type="dxa"/>
              <w:right w:w="80" w:type="dxa"/>
            </w:tcMar>
            <w:vAlign w:val="center"/>
          </w:tcPr>
          <w:p w14:paraId="6546C4D4" w14:textId="77777777" w:rsidR="00510C23" w:rsidRDefault="00000000">
            <w:pPr>
              <w:jc w:val="center"/>
            </w:pPr>
            <w:r>
              <w:rPr>
                <w:sz w:val="18"/>
                <w:szCs w:val="18"/>
              </w:rPr>
              <w:t>0.79 ± 0.11**</w:t>
            </w:r>
          </w:p>
        </w:tc>
        <w:tc>
          <w:tcPr>
            <w:tcW w:w="2700" w:type="dxa"/>
            <w:tcMar>
              <w:top w:w="60" w:type="dxa"/>
              <w:left w:w="80" w:type="dxa"/>
              <w:bottom w:w="60" w:type="dxa"/>
              <w:right w:w="80" w:type="dxa"/>
            </w:tcMar>
            <w:vAlign w:val="center"/>
          </w:tcPr>
          <w:p w14:paraId="66F9F7B8" w14:textId="77777777" w:rsidR="00510C23" w:rsidRDefault="00000000">
            <w:pPr>
              <w:jc w:val="center"/>
            </w:pPr>
            <w:r>
              <w:rPr>
                <w:sz w:val="18"/>
                <w:szCs w:val="18"/>
              </w:rPr>
              <w:t>74.14</w:t>
            </w:r>
          </w:p>
        </w:tc>
      </w:tr>
      <w:tr w:rsidR="00510C23" w14:paraId="39DF93CC" w14:textId="77777777">
        <w:trPr>
          <w:cantSplit/>
        </w:trPr>
        <w:tc>
          <w:tcPr>
            <w:tcW w:w="2408" w:type="dxa"/>
            <w:tcMar>
              <w:top w:w="60" w:type="dxa"/>
              <w:left w:w="80" w:type="dxa"/>
              <w:bottom w:w="60" w:type="dxa"/>
              <w:right w:w="80" w:type="dxa"/>
            </w:tcMar>
            <w:vAlign w:val="center"/>
          </w:tcPr>
          <w:p w14:paraId="285F4C08" w14:textId="77777777" w:rsidR="00510C23" w:rsidRDefault="00000000">
            <w:r>
              <w:rPr>
                <w:b/>
                <w:bCs/>
                <w:sz w:val="18"/>
                <w:szCs w:val="18"/>
              </w:rPr>
              <w:t>L7</w:t>
            </w:r>
          </w:p>
        </w:tc>
        <w:tc>
          <w:tcPr>
            <w:tcW w:w="3100" w:type="dxa"/>
            <w:tcMar>
              <w:top w:w="60" w:type="dxa"/>
              <w:left w:w="80" w:type="dxa"/>
              <w:bottom w:w="60" w:type="dxa"/>
              <w:right w:w="80" w:type="dxa"/>
            </w:tcMar>
            <w:vAlign w:val="center"/>
          </w:tcPr>
          <w:p w14:paraId="6AF495A3" w14:textId="77777777" w:rsidR="00510C23" w:rsidRDefault="00000000">
            <w:pPr>
              <w:jc w:val="center"/>
            </w:pPr>
            <w:r>
              <w:rPr>
                <w:sz w:val="18"/>
                <w:szCs w:val="18"/>
              </w:rPr>
              <w:t>1.81 ± 0.12**##</w:t>
            </w:r>
          </w:p>
        </w:tc>
        <w:tc>
          <w:tcPr>
            <w:tcW w:w="2700" w:type="dxa"/>
            <w:tcMar>
              <w:top w:w="60" w:type="dxa"/>
              <w:left w:w="80" w:type="dxa"/>
              <w:bottom w:w="60" w:type="dxa"/>
              <w:right w:w="80" w:type="dxa"/>
            </w:tcMar>
            <w:vAlign w:val="center"/>
          </w:tcPr>
          <w:p w14:paraId="441D7A09" w14:textId="77777777" w:rsidR="00510C23" w:rsidRDefault="00000000">
            <w:pPr>
              <w:jc w:val="center"/>
            </w:pPr>
            <w:r>
              <w:rPr>
                <w:sz w:val="18"/>
                <w:szCs w:val="18"/>
              </w:rPr>
              <w:t>40.52</w:t>
            </w:r>
          </w:p>
        </w:tc>
      </w:tr>
      <w:tr w:rsidR="00510C23" w14:paraId="330322E2" w14:textId="77777777">
        <w:trPr>
          <w:cantSplit/>
        </w:trPr>
        <w:tc>
          <w:tcPr>
            <w:tcW w:w="2408" w:type="dxa"/>
            <w:tcMar>
              <w:top w:w="60" w:type="dxa"/>
              <w:left w:w="80" w:type="dxa"/>
              <w:bottom w:w="60" w:type="dxa"/>
              <w:right w:w="80" w:type="dxa"/>
            </w:tcMar>
            <w:vAlign w:val="center"/>
          </w:tcPr>
          <w:p w14:paraId="5135BB7F" w14:textId="77777777" w:rsidR="00510C23" w:rsidRDefault="00000000">
            <w:r>
              <w:rPr>
                <w:b/>
                <w:bCs/>
                <w:sz w:val="18"/>
                <w:szCs w:val="18"/>
              </w:rPr>
              <w:t>L14</w:t>
            </w:r>
          </w:p>
        </w:tc>
        <w:tc>
          <w:tcPr>
            <w:tcW w:w="3100" w:type="dxa"/>
            <w:tcMar>
              <w:top w:w="60" w:type="dxa"/>
              <w:left w:w="80" w:type="dxa"/>
              <w:bottom w:w="60" w:type="dxa"/>
              <w:right w:w="80" w:type="dxa"/>
            </w:tcMar>
            <w:vAlign w:val="center"/>
          </w:tcPr>
          <w:p w14:paraId="1566CE6E" w14:textId="77777777" w:rsidR="00510C23" w:rsidRDefault="00000000">
            <w:pPr>
              <w:jc w:val="center"/>
            </w:pPr>
            <w:r>
              <w:rPr>
                <w:sz w:val="18"/>
                <w:szCs w:val="18"/>
              </w:rPr>
              <w:t>1.71 ± 0.24**#</w:t>
            </w:r>
          </w:p>
        </w:tc>
        <w:tc>
          <w:tcPr>
            <w:tcW w:w="2700" w:type="dxa"/>
            <w:tcMar>
              <w:top w:w="60" w:type="dxa"/>
              <w:left w:w="80" w:type="dxa"/>
              <w:bottom w:w="60" w:type="dxa"/>
              <w:right w:w="80" w:type="dxa"/>
            </w:tcMar>
            <w:vAlign w:val="center"/>
          </w:tcPr>
          <w:p w14:paraId="240A1CE4" w14:textId="77777777" w:rsidR="00510C23" w:rsidRDefault="00000000">
            <w:pPr>
              <w:jc w:val="center"/>
            </w:pPr>
            <w:r>
              <w:rPr>
                <w:sz w:val="18"/>
                <w:szCs w:val="18"/>
              </w:rPr>
              <w:t>43.97</w:t>
            </w:r>
          </w:p>
        </w:tc>
      </w:tr>
    </w:tbl>
    <w:p w14:paraId="1A5DF997" w14:textId="77777777" w:rsidR="00510C23" w:rsidRDefault="00000000">
      <w:pPr>
        <w:spacing w:before="80" w:after="200"/>
      </w:pPr>
      <w:r>
        <w:rPr>
          <w:i/>
          <w:iCs/>
          <w:sz w:val="18"/>
          <w:szCs w:val="18"/>
        </w:rPr>
        <w:t>*, ** denote P &lt; .05 and P &lt; .01 respectively for the difference from the model control group; #, ## denote the same probability levels for the difference from the allopurinol 10 mg/kg group.</w:t>
      </w:r>
    </w:p>
    <w:p w14:paraId="223CE641" w14:textId="77777777" w:rsidR="00510C23" w:rsidRDefault="00000000">
      <w:pPr>
        <w:keepNext/>
        <w:spacing w:before="160" w:after="60"/>
        <w:jc w:val="center"/>
      </w:pPr>
      <w:r>
        <w:rPr>
          <w:noProof/>
        </w:rPr>
        <w:drawing>
          <wp:inline distT="0" distB="0" distL="0" distR="0" wp14:anchorId="25D3AF51" wp14:editId="44F96F99">
            <wp:extent cx="4000500" cy="2200275"/>
            <wp:effectExtent l="0" t="0" r="0" b="0"/>
            <wp:docPr id="447227885" name="Picture 447227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00500" cy="2200275"/>
                    </a:xfrm>
                    <a:prstGeom prst="rect">
                      <a:avLst/>
                    </a:prstGeom>
                  </pic:spPr>
                </pic:pic>
              </a:graphicData>
            </a:graphic>
          </wp:inline>
        </w:drawing>
      </w:r>
    </w:p>
    <w:p w14:paraId="155A21A2" w14:textId="77777777" w:rsidR="00510C23" w:rsidRDefault="00000000">
      <w:pPr>
        <w:spacing w:after="60"/>
        <w:jc w:val="center"/>
      </w:pPr>
      <w:r>
        <w:rPr>
          <w:b/>
          <w:bCs/>
        </w:rPr>
        <w:t>Fig. 3. Plasma uric acid concentrations of the experimental groups in the therapeutic model</w:t>
      </w:r>
    </w:p>
    <w:p w14:paraId="3DC90B69" w14:textId="77777777" w:rsidR="00510C23" w:rsidRDefault="00000000">
      <w:pPr>
        <w:spacing w:after="200"/>
        <w:jc w:val="center"/>
      </w:pPr>
      <w:r>
        <w:rPr>
          <w:i/>
          <w:iCs/>
          <w:sz w:val="18"/>
          <w:szCs w:val="18"/>
        </w:rPr>
        <w:t>Values are mean ± SEM (n = 6 per group).</w:t>
      </w:r>
    </w:p>
    <w:p w14:paraId="64C78087" w14:textId="77777777" w:rsidR="00510C23" w:rsidRDefault="00000000">
      <w:pPr>
        <w:spacing w:after="160"/>
        <w:jc w:val="both"/>
      </w:pPr>
      <w:r>
        <w:t>The plasma uric acid concentration of the model control group rose to 3.05 mg/dL, an increase of 78.36 % that was statistically significant compared with the normal group (</w:t>
      </w:r>
      <w:r>
        <w:rPr>
          <w:i/>
          <w:iCs/>
        </w:rPr>
        <w:t>P</w:t>
      </w:r>
      <w:r>
        <w:t xml:space="preserve"> &lt; .01). Allopurinol 10 mg/kg lowered the concentration to 0.79 mg/dL, a significant difference from the model control group (</w:t>
      </w:r>
      <w:r>
        <w:rPr>
          <w:i/>
          <w:iCs/>
        </w:rPr>
        <w:t>P</w:t>
      </w:r>
      <w:r>
        <w:t xml:space="preserve"> &lt; .01).</w:t>
      </w:r>
    </w:p>
    <w:p w14:paraId="549A9C86" w14:textId="77777777" w:rsidR="00510C23" w:rsidRDefault="00000000">
      <w:pPr>
        <w:spacing w:after="160"/>
        <w:jc w:val="both"/>
      </w:pPr>
      <w:r>
        <w:t xml:space="preserve">In the mice treated with the </w:t>
      </w:r>
      <w:proofErr w:type="spellStart"/>
      <w:r>
        <w:t>Lamgout</w:t>
      </w:r>
      <w:proofErr w:type="spellEnd"/>
      <w:r>
        <w:t xml:space="preserve"> extract at 7 and 14 g/kg, plasma uric acid fell to 1.81 mg/dL and 1.71 mg/dL</w:t>
      </w:r>
      <w:r>
        <w:rPr>
          <w:highlight w:val="yellow"/>
        </w:rPr>
        <w:t>,</w:t>
      </w:r>
      <w:r>
        <w:t xml:space="preserve"> respectively, significantly lower than in the model control group (</w:t>
      </w:r>
      <w:r>
        <w:rPr>
          <w:i/>
          <w:iCs/>
        </w:rPr>
        <w:t>P</w:t>
      </w:r>
      <w:r>
        <w:t xml:space="preserve"> &lt; .01); in other words</w:t>
      </w:r>
      <w:r>
        <w:rPr>
          <w:highlight w:val="yellow"/>
        </w:rPr>
        <w:t>,</w:t>
      </w:r>
      <w:r>
        <w:t xml:space="preserve"> the extract reduced plasma uric acid by 40.52 % and 43.97 %. Both concentrations </w:t>
      </w:r>
      <w:r>
        <w:rPr>
          <w:highlight w:val="yellow"/>
        </w:rPr>
        <w:t xml:space="preserve">were </w:t>
      </w:r>
      <w:r>
        <w:t xml:space="preserve">nevertheless significantly </w:t>
      </w:r>
      <w:r>
        <w:rPr>
          <w:highlight w:val="yellow"/>
        </w:rPr>
        <w:t>highe</w:t>
      </w:r>
      <w:r>
        <w:t>r</w:t>
      </w:r>
      <w:r>
        <w:rPr>
          <w:highlight w:val="yellow"/>
        </w:rPr>
        <w:t xml:space="preserve"> than</w:t>
      </w:r>
      <w:r>
        <w:t xml:space="preserve"> that obtained with allopurinol 10 mg/kg (</w:t>
      </w:r>
      <w:r>
        <w:rPr>
          <w:i/>
          <w:iCs/>
        </w:rPr>
        <w:t>P</w:t>
      </w:r>
      <w:r>
        <w:t xml:space="preserve"> &lt; .05). This is readily explained by the fact that allopurinol is a synthetic xanthine </w:t>
      </w:r>
      <w:r>
        <w:lastRenderedPageBreak/>
        <w:t xml:space="preserve">oxidase inhibitor whose onset of action is more rapid and whose effect is stronger than that of a preparation of natural origin such as the </w:t>
      </w:r>
      <w:proofErr w:type="spellStart"/>
      <w:r>
        <w:t>Lamgout</w:t>
      </w:r>
      <w:proofErr w:type="spellEnd"/>
      <w:r>
        <w:t xml:space="preserve"> extract. Allopurinol acts by inhibiting the terminal step of uric acid synthesis and is itself metabolised by xanthine oxidase into </w:t>
      </w:r>
      <w:proofErr w:type="spellStart"/>
      <w:r>
        <w:t>oxypurinol</w:t>
      </w:r>
      <w:proofErr w:type="spellEnd"/>
      <w:r>
        <w:t>, which retains activity; its effect is therefore prolonged and a single daily administration is sufficient. Its use is, however, limited by adverse effects such as peptic ulceration, rash, Stevens-Johnson syndrome, hepatocellular necrosis and hepatic granulomas (Rundles, 1985), which is precisely why herbal alternatives are being sought.</w:t>
      </w:r>
    </w:p>
    <w:p w14:paraId="4A73A695" w14:textId="77777777" w:rsidR="00510C23" w:rsidRDefault="00000000">
      <w:pPr>
        <w:spacing w:before="200" w:after="140"/>
      </w:pPr>
      <w:r>
        <w:rPr>
          <w:b/>
          <w:bCs/>
          <w:sz w:val="22"/>
          <w:szCs w:val="22"/>
        </w:rPr>
        <w:t>3.5 Comparison of the uric acid-lowering effect in the two models</w:t>
      </w:r>
    </w:p>
    <w:p w14:paraId="51CA7D2B" w14:textId="77777777" w:rsidR="00510C23" w:rsidRDefault="00000000">
      <w:pPr>
        <w:spacing w:after="160"/>
        <w:jc w:val="both"/>
      </w:pPr>
      <w:r>
        <w:t>The percentage reductions of plasma uric acid obtained in the therapeutic and preventive models are compared in Table 7.</w:t>
      </w:r>
    </w:p>
    <w:p w14:paraId="6030A8B2" w14:textId="77777777" w:rsidR="00510C23" w:rsidRDefault="00000000">
      <w:pPr>
        <w:keepNext/>
        <w:spacing w:before="200" w:after="120"/>
      </w:pPr>
      <w:r>
        <w:rPr>
          <w:b/>
          <w:bCs/>
        </w:rPr>
        <w:t xml:space="preserve">Table 7. Reduction of plasma uric acid by the </w:t>
      </w:r>
      <w:proofErr w:type="spellStart"/>
      <w:r>
        <w:rPr>
          <w:b/>
          <w:bCs/>
        </w:rPr>
        <w:t>Lamgout</w:t>
      </w:r>
      <w:proofErr w:type="spellEnd"/>
      <w:r>
        <w:rPr>
          <w:b/>
          <w:bCs/>
        </w:rPr>
        <w:t xml:space="preserve"> extract in the preventive and therapeutic models</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8"/>
        <w:gridCol w:w="2350"/>
        <w:gridCol w:w="2350"/>
      </w:tblGrid>
      <w:tr w:rsidR="00510C23" w14:paraId="09CF081B" w14:textId="77777777">
        <w:trPr>
          <w:cantSplit/>
          <w:tblHeader/>
        </w:trPr>
        <w:tc>
          <w:tcPr>
            <w:tcW w:w="3508" w:type="dxa"/>
            <w:shd w:val="clear" w:color="auto" w:fill="D9D9D9"/>
            <w:tcMar>
              <w:top w:w="60" w:type="dxa"/>
              <w:left w:w="80" w:type="dxa"/>
              <w:bottom w:w="60" w:type="dxa"/>
              <w:right w:w="80" w:type="dxa"/>
            </w:tcMar>
            <w:vAlign w:val="center"/>
          </w:tcPr>
          <w:p w14:paraId="45C498D8" w14:textId="77777777" w:rsidR="00510C23" w:rsidRDefault="00000000">
            <w:r>
              <w:rPr>
                <w:b/>
                <w:bCs/>
                <w:sz w:val="18"/>
                <w:szCs w:val="18"/>
              </w:rPr>
              <w:t>Group</w:t>
            </w:r>
          </w:p>
        </w:tc>
        <w:tc>
          <w:tcPr>
            <w:tcW w:w="2350" w:type="dxa"/>
            <w:shd w:val="clear" w:color="auto" w:fill="D9D9D9"/>
            <w:tcMar>
              <w:top w:w="60" w:type="dxa"/>
              <w:left w:w="80" w:type="dxa"/>
              <w:bottom w:w="60" w:type="dxa"/>
              <w:right w:w="80" w:type="dxa"/>
            </w:tcMar>
            <w:vAlign w:val="center"/>
          </w:tcPr>
          <w:p w14:paraId="22286AB1" w14:textId="77777777" w:rsidR="00510C23" w:rsidRDefault="00000000">
            <w:pPr>
              <w:jc w:val="center"/>
            </w:pPr>
            <w:r>
              <w:rPr>
                <w:b/>
                <w:bCs/>
                <w:sz w:val="18"/>
                <w:szCs w:val="18"/>
              </w:rPr>
              <w:t>Preventive model (%)</w:t>
            </w:r>
          </w:p>
        </w:tc>
        <w:tc>
          <w:tcPr>
            <w:tcW w:w="2350" w:type="dxa"/>
            <w:shd w:val="clear" w:color="auto" w:fill="D9D9D9"/>
            <w:tcMar>
              <w:top w:w="60" w:type="dxa"/>
              <w:left w:w="80" w:type="dxa"/>
              <w:bottom w:w="60" w:type="dxa"/>
              <w:right w:w="80" w:type="dxa"/>
            </w:tcMar>
            <w:vAlign w:val="center"/>
          </w:tcPr>
          <w:p w14:paraId="0391C213" w14:textId="77777777" w:rsidR="00510C23" w:rsidRDefault="00000000">
            <w:pPr>
              <w:jc w:val="center"/>
            </w:pPr>
            <w:r>
              <w:rPr>
                <w:b/>
                <w:bCs/>
                <w:sz w:val="18"/>
                <w:szCs w:val="18"/>
              </w:rPr>
              <w:t>Therapeutic model (%)</w:t>
            </w:r>
          </w:p>
        </w:tc>
      </w:tr>
      <w:tr w:rsidR="00510C23" w14:paraId="1AFCE474" w14:textId="77777777">
        <w:trPr>
          <w:cantSplit/>
        </w:trPr>
        <w:tc>
          <w:tcPr>
            <w:tcW w:w="3508" w:type="dxa"/>
            <w:tcMar>
              <w:top w:w="60" w:type="dxa"/>
              <w:left w:w="80" w:type="dxa"/>
              <w:bottom w:w="60" w:type="dxa"/>
              <w:right w:w="80" w:type="dxa"/>
            </w:tcMar>
            <w:vAlign w:val="center"/>
          </w:tcPr>
          <w:p w14:paraId="6676A5EF" w14:textId="77777777" w:rsidR="00510C23" w:rsidRDefault="00000000">
            <w:r>
              <w:rPr>
                <w:sz w:val="18"/>
                <w:szCs w:val="18"/>
              </w:rPr>
              <w:t>Allopurinol 10 mg/kg</w:t>
            </w:r>
          </w:p>
        </w:tc>
        <w:tc>
          <w:tcPr>
            <w:tcW w:w="2350" w:type="dxa"/>
            <w:tcMar>
              <w:top w:w="60" w:type="dxa"/>
              <w:left w:w="80" w:type="dxa"/>
              <w:bottom w:w="60" w:type="dxa"/>
              <w:right w:w="80" w:type="dxa"/>
            </w:tcMar>
            <w:vAlign w:val="center"/>
          </w:tcPr>
          <w:p w14:paraId="70C8AF84" w14:textId="77777777" w:rsidR="00510C23" w:rsidRDefault="00000000">
            <w:pPr>
              <w:jc w:val="center"/>
            </w:pPr>
            <w:r>
              <w:rPr>
                <w:sz w:val="18"/>
                <w:szCs w:val="18"/>
              </w:rPr>
              <w:t>82.76</w:t>
            </w:r>
          </w:p>
        </w:tc>
        <w:tc>
          <w:tcPr>
            <w:tcW w:w="2350" w:type="dxa"/>
            <w:tcMar>
              <w:top w:w="60" w:type="dxa"/>
              <w:left w:w="80" w:type="dxa"/>
              <w:bottom w:w="60" w:type="dxa"/>
              <w:right w:w="80" w:type="dxa"/>
            </w:tcMar>
            <w:vAlign w:val="center"/>
          </w:tcPr>
          <w:p w14:paraId="5E025828" w14:textId="77777777" w:rsidR="00510C23" w:rsidRDefault="00000000">
            <w:pPr>
              <w:jc w:val="center"/>
            </w:pPr>
            <w:r>
              <w:rPr>
                <w:sz w:val="18"/>
                <w:szCs w:val="18"/>
              </w:rPr>
              <w:t>74.14</w:t>
            </w:r>
          </w:p>
        </w:tc>
      </w:tr>
      <w:tr w:rsidR="00510C23" w14:paraId="7454FC17" w14:textId="77777777">
        <w:trPr>
          <w:cantSplit/>
        </w:trPr>
        <w:tc>
          <w:tcPr>
            <w:tcW w:w="3508" w:type="dxa"/>
            <w:tcMar>
              <w:top w:w="60" w:type="dxa"/>
              <w:left w:w="80" w:type="dxa"/>
              <w:bottom w:w="60" w:type="dxa"/>
              <w:right w:w="80" w:type="dxa"/>
            </w:tcMar>
            <w:vAlign w:val="center"/>
          </w:tcPr>
          <w:p w14:paraId="72D4FB85" w14:textId="77777777" w:rsidR="00510C23" w:rsidRDefault="00000000">
            <w:proofErr w:type="spellStart"/>
            <w:r>
              <w:rPr>
                <w:sz w:val="18"/>
                <w:szCs w:val="18"/>
              </w:rPr>
              <w:t>Lamgout</w:t>
            </w:r>
            <w:proofErr w:type="spellEnd"/>
            <w:r>
              <w:rPr>
                <w:sz w:val="18"/>
                <w:szCs w:val="18"/>
              </w:rPr>
              <w:t xml:space="preserve"> 7 g dried herb/kg</w:t>
            </w:r>
          </w:p>
        </w:tc>
        <w:tc>
          <w:tcPr>
            <w:tcW w:w="2350" w:type="dxa"/>
            <w:tcMar>
              <w:top w:w="60" w:type="dxa"/>
              <w:left w:w="80" w:type="dxa"/>
              <w:bottom w:w="60" w:type="dxa"/>
              <w:right w:w="80" w:type="dxa"/>
            </w:tcMar>
            <w:vAlign w:val="center"/>
          </w:tcPr>
          <w:p w14:paraId="6FC22529" w14:textId="77777777" w:rsidR="00510C23" w:rsidRDefault="00000000">
            <w:pPr>
              <w:jc w:val="center"/>
            </w:pPr>
            <w:r>
              <w:rPr>
                <w:sz w:val="18"/>
                <w:szCs w:val="18"/>
              </w:rPr>
              <w:t>37.07</w:t>
            </w:r>
          </w:p>
        </w:tc>
        <w:tc>
          <w:tcPr>
            <w:tcW w:w="2350" w:type="dxa"/>
            <w:tcMar>
              <w:top w:w="60" w:type="dxa"/>
              <w:left w:w="80" w:type="dxa"/>
              <w:bottom w:w="60" w:type="dxa"/>
              <w:right w:w="80" w:type="dxa"/>
            </w:tcMar>
            <w:vAlign w:val="center"/>
          </w:tcPr>
          <w:p w14:paraId="06187BE0" w14:textId="77777777" w:rsidR="00510C23" w:rsidRDefault="00000000">
            <w:pPr>
              <w:jc w:val="center"/>
            </w:pPr>
            <w:r>
              <w:rPr>
                <w:sz w:val="18"/>
                <w:szCs w:val="18"/>
              </w:rPr>
              <w:t>40.52</w:t>
            </w:r>
          </w:p>
        </w:tc>
      </w:tr>
      <w:tr w:rsidR="00510C23" w14:paraId="792B8435" w14:textId="77777777">
        <w:trPr>
          <w:cantSplit/>
        </w:trPr>
        <w:tc>
          <w:tcPr>
            <w:tcW w:w="3508" w:type="dxa"/>
            <w:tcMar>
              <w:top w:w="60" w:type="dxa"/>
              <w:left w:w="80" w:type="dxa"/>
              <w:bottom w:w="60" w:type="dxa"/>
              <w:right w:w="80" w:type="dxa"/>
            </w:tcMar>
            <w:vAlign w:val="center"/>
          </w:tcPr>
          <w:p w14:paraId="7B57F5A3" w14:textId="77777777" w:rsidR="00510C23" w:rsidRDefault="00000000">
            <w:proofErr w:type="spellStart"/>
            <w:r>
              <w:rPr>
                <w:sz w:val="18"/>
                <w:szCs w:val="18"/>
              </w:rPr>
              <w:t>Lamgout</w:t>
            </w:r>
            <w:proofErr w:type="spellEnd"/>
            <w:r>
              <w:rPr>
                <w:sz w:val="18"/>
                <w:szCs w:val="18"/>
              </w:rPr>
              <w:t xml:space="preserve"> 14 g dried herb/kg</w:t>
            </w:r>
          </w:p>
        </w:tc>
        <w:tc>
          <w:tcPr>
            <w:tcW w:w="2350" w:type="dxa"/>
            <w:tcMar>
              <w:top w:w="60" w:type="dxa"/>
              <w:left w:w="80" w:type="dxa"/>
              <w:bottom w:w="60" w:type="dxa"/>
              <w:right w:w="80" w:type="dxa"/>
            </w:tcMar>
            <w:vAlign w:val="center"/>
          </w:tcPr>
          <w:p w14:paraId="78777502" w14:textId="77777777" w:rsidR="00510C23" w:rsidRDefault="00000000">
            <w:pPr>
              <w:jc w:val="center"/>
            </w:pPr>
            <w:r>
              <w:rPr>
                <w:sz w:val="18"/>
                <w:szCs w:val="18"/>
              </w:rPr>
              <w:t>50.86</w:t>
            </w:r>
          </w:p>
        </w:tc>
        <w:tc>
          <w:tcPr>
            <w:tcW w:w="2350" w:type="dxa"/>
            <w:tcMar>
              <w:top w:w="60" w:type="dxa"/>
              <w:left w:w="80" w:type="dxa"/>
              <w:bottom w:w="60" w:type="dxa"/>
              <w:right w:w="80" w:type="dxa"/>
            </w:tcMar>
            <w:vAlign w:val="center"/>
          </w:tcPr>
          <w:p w14:paraId="19D0C53D" w14:textId="77777777" w:rsidR="00510C23" w:rsidRDefault="00000000">
            <w:pPr>
              <w:jc w:val="center"/>
            </w:pPr>
            <w:r>
              <w:rPr>
                <w:sz w:val="18"/>
                <w:szCs w:val="18"/>
              </w:rPr>
              <w:t>43.97</w:t>
            </w:r>
          </w:p>
        </w:tc>
      </w:tr>
    </w:tbl>
    <w:p w14:paraId="157BD74C" w14:textId="77777777" w:rsidR="00510C23" w:rsidRDefault="00000000">
      <w:pPr>
        <w:spacing w:before="160" w:after="160"/>
        <w:jc w:val="both"/>
      </w:pPr>
      <w:r>
        <w:t xml:space="preserve">In the preventive model, plasma uric acid was reduced by 82.76 % in the allopurinol group and by 50.86 % in the group receiving </w:t>
      </w:r>
      <w:proofErr w:type="spellStart"/>
      <w:r>
        <w:t>Lamgout</w:t>
      </w:r>
      <w:proofErr w:type="spellEnd"/>
      <w:r>
        <w:t xml:space="preserve"> 14 g/kg, </w:t>
      </w:r>
      <w:r>
        <w:rPr>
          <w:highlight w:val="yellow"/>
        </w:rPr>
        <w:t xml:space="preserve">with both </w:t>
      </w:r>
      <w:r>
        <w:t>values</w:t>
      </w:r>
      <w:r>
        <w:rPr>
          <w:highlight w:val="yellow"/>
        </w:rPr>
        <w:t xml:space="preserve"> being</w:t>
      </w:r>
      <w:r>
        <w:t xml:space="preserve"> higher than those recorded in the therapeutic model. This may be explained by the design of the two experiments: in the acute therapeutic model</w:t>
      </w:r>
      <w:r>
        <w:rPr>
          <w:highlight w:val="yellow"/>
        </w:rPr>
        <w:t>,</w:t>
      </w:r>
      <w:r>
        <w:t xml:space="preserve"> the animals received only a single dose of the test substance, whereas in the preventive model they were dosed for five consecutive days. Gout is classically divided into four clinical stages, which</w:t>
      </w:r>
      <w:r>
        <w:rPr>
          <w:highlight w:val="yellow"/>
        </w:rPr>
        <w:t xml:space="preserve"> include</w:t>
      </w:r>
      <w:r>
        <w:t xml:space="preserve"> the acute gouty arthritis flare and the </w:t>
      </w:r>
      <w:proofErr w:type="spellStart"/>
      <w:r>
        <w:t>intercritical</w:t>
      </w:r>
      <w:proofErr w:type="spellEnd"/>
      <w:r>
        <w:t xml:space="preserve"> period between flares. By demonstrating the uric acid-lowering activity of the </w:t>
      </w:r>
      <w:proofErr w:type="spellStart"/>
      <w:r>
        <w:t>Lamgout</w:t>
      </w:r>
      <w:proofErr w:type="spellEnd"/>
      <w:r>
        <w:t xml:space="preserve"> extract on two different models corresponding to two stages of the disease, the present study provides evidence relevant to both the treatment and the prevention of hyperuric</w:t>
      </w:r>
      <w:r>
        <w:rPr>
          <w:highlight w:val="yellow"/>
        </w:rPr>
        <w:t>a</w:t>
      </w:r>
      <w:r>
        <w:t>emia in patients.</w:t>
      </w:r>
    </w:p>
    <w:p w14:paraId="4AFF43C5" w14:textId="77777777" w:rsidR="00510C23" w:rsidRDefault="00000000">
      <w:pPr>
        <w:spacing w:after="160"/>
        <w:jc w:val="both"/>
      </w:pPr>
      <w:r>
        <w:t xml:space="preserve">The effect obtained here with the higher dose of 14 g/kg compares favourably with that reported for other traditional formulas investigated </w:t>
      </w:r>
      <w:r>
        <w:rPr>
          <w:highlight w:val="yellow"/>
        </w:rPr>
        <w:t>usi</w:t>
      </w:r>
      <w:r>
        <w:t>n</w:t>
      </w:r>
      <w:r>
        <w:rPr>
          <w:highlight w:val="yellow"/>
        </w:rPr>
        <w:t>g</w:t>
      </w:r>
      <w:r>
        <w:t xml:space="preserve"> models of similar design in terms of animal species, positive control and method of induction of hyperuric</w:t>
      </w:r>
      <w:r>
        <w:rPr>
          <w:highlight w:val="yellow"/>
        </w:rPr>
        <w:t>a</w:t>
      </w:r>
      <w:r>
        <w:t>emia.</w:t>
      </w:r>
    </w:p>
    <w:p w14:paraId="3DD7A925" w14:textId="77777777" w:rsidR="00510C23" w:rsidRDefault="00000000">
      <w:pPr>
        <w:spacing w:after="160"/>
        <w:jc w:val="both"/>
      </w:pPr>
      <w:r>
        <w:t xml:space="preserve">Several herbs of the </w:t>
      </w:r>
      <w:proofErr w:type="spellStart"/>
      <w:r>
        <w:t>Lamgout</w:t>
      </w:r>
      <w:proofErr w:type="spellEnd"/>
      <w:r>
        <w:t xml:space="preserve"> remedy have also been reported to inhibit xanthine oxidase, the enzyme catalysing the terminal step of uric acid synthesis. This is the case </w:t>
      </w:r>
      <w:r>
        <w:rPr>
          <w:highlight w:val="yellow"/>
        </w:rPr>
        <w:t>f</w:t>
      </w:r>
      <w:r>
        <w:t>o</w:t>
      </w:r>
      <w:r>
        <w:rPr>
          <w:highlight w:val="yellow"/>
        </w:rPr>
        <w:t>r</w:t>
      </w:r>
      <w:r>
        <w:t xml:space="preserve"> </w:t>
      </w:r>
      <w:proofErr w:type="spellStart"/>
      <w:r>
        <w:rPr>
          <w:i/>
          <w:iCs/>
        </w:rPr>
        <w:t>Siegesbeckia</w:t>
      </w:r>
      <w:proofErr w:type="spellEnd"/>
      <w:r>
        <w:rPr>
          <w:i/>
          <w:iCs/>
        </w:rPr>
        <w:t xml:space="preserve"> orientalis</w:t>
      </w:r>
      <w:r>
        <w:t>, whose phenolic-rich fraction combines anti-</w:t>
      </w:r>
      <w:proofErr w:type="spellStart"/>
      <w:r>
        <w:t>hyperuric</w:t>
      </w:r>
      <w:r>
        <w:rPr>
          <w:highlight w:val="yellow"/>
        </w:rPr>
        <w:t>a</w:t>
      </w:r>
      <w:r>
        <w:t>emic</w:t>
      </w:r>
      <w:proofErr w:type="spellEnd"/>
      <w:r>
        <w:t>, anti-inflammatory and analgesic activities (</w:t>
      </w:r>
      <w:r>
        <w:rPr>
          <w:highlight w:val="yellow"/>
        </w:rPr>
        <w:t xml:space="preserve">T. D. </w:t>
      </w:r>
      <w:r>
        <w:t>Nguyen et al., 2017; J. P.</w:t>
      </w:r>
      <w:r>
        <w:rPr>
          <w:highlight w:val="yellow"/>
        </w:rPr>
        <w:t xml:space="preserve"> Wang</w:t>
      </w:r>
      <w:r>
        <w:t xml:space="preserve"> et al., 2011; </w:t>
      </w:r>
      <w:r>
        <w:rPr>
          <w:highlight w:val="yellow"/>
        </w:rPr>
        <w:t xml:space="preserve">Q. </w:t>
      </w:r>
      <w:r>
        <w:t xml:space="preserve">Wang et al., 2021), and </w:t>
      </w:r>
      <w:r>
        <w:rPr>
          <w:highlight w:val="yellow"/>
        </w:rPr>
        <w:t>f</w:t>
      </w:r>
      <w:r>
        <w:t>o</w:t>
      </w:r>
      <w:r>
        <w:rPr>
          <w:highlight w:val="yellow"/>
        </w:rPr>
        <w:t>r</w:t>
      </w:r>
      <w:r>
        <w:t xml:space="preserve"> </w:t>
      </w:r>
      <w:r>
        <w:rPr>
          <w:i/>
          <w:iCs/>
        </w:rPr>
        <w:t>Cinnamomum cassia</w:t>
      </w:r>
      <w:r>
        <w:t xml:space="preserve">, </w:t>
      </w:r>
      <w:r>
        <w:rPr>
          <w:i/>
          <w:iCs/>
        </w:rPr>
        <w:t xml:space="preserve">Caesalpinia </w:t>
      </w:r>
      <w:proofErr w:type="spellStart"/>
      <w:r>
        <w:rPr>
          <w:i/>
          <w:iCs/>
        </w:rPr>
        <w:t>sappan</w:t>
      </w:r>
      <w:proofErr w:type="spellEnd"/>
      <w:r>
        <w:t xml:space="preserve"> and </w:t>
      </w:r>
      <w:proofErr w:type="spellStart"/>
      <w:r>
        <w:rPr>
          <w:i/>
          <w:iCs/>
        </w:rPr>
        <w:t>Tinospora</w:t>
      </w:r>
      <w:proofErr w:type="spellEnd"/>
      <w:r>
        <w:rPr>
          <w:i/>
          <w:iCs/>
        </w:rPr>
        <w:t xml:space="preserve"> sinensis</w:t>
      </w:r>
      <w:r>
        <w:t>, extracts of which inhibit the enzyme in vitro at concentrations below 100 µg/mL, the threshold generally used in screening studies to identify promising plant materials (M. T. T.</w:t>
      </w:r>
      <w:r>
        <w:rPr>
          <w:highlight w:val="yellow"/>
        </w:rPr>
        <w:t xml:space="preserve"> Nguyen</w:t>
      </w:r>
      <w:r>
        <w:t xml:space="preserve"> et al., 2005; Nirmal et al., 2015). The 2-phenylbenzofurans </w:t>
      </w:r>
      <w:proofErr w:type="spellStart"/>
      <w:r>
        <w:t>gnetumgam</w:t>
      </w:r>
      <w:proofErr w:type="spellEnd"/>
      <w:r>
        <w:t xml:space="preserve"> B and </w:t>
      </w:r>
      <w:proofErr w:type="spellStart"/>
      <w:r>
        <w:t>gnetifolin</w:t>
      </w:r>
      <w:proofErr w:type="spellEnd"/>
      <w:r>
        <w:t xml:space="preserve"> M, isolated from the lianas of </w:t>
      </w:r>
      <w:proofErr w:type="spellStart"/>
      <w:r>
        <w:rPr>
          <w:i/>
          <w:highlight w:val="yellow"/>
        </w:rPr>
        <w:t>Gnetum</w:t>
      </w:r>
      <w:proofErr w:type="spellEnd"/>
      <w:r>
        <w:rPr>
          <w:i/>
          <w:highlight w:val="yellow"/>
        </w:rPr>
        <w:t xml:space="preserve"> montanum</w:t>
      </w:r>
      <w:r>
        <w:t xml:space="preserve">, likewise inhibit xanthine oxidase directly (Do et al., 2026). Berberine, caffeic acid, myricetin and ferulic acid have been identified in the stems of the latter species, and myricetin inhibits xanthine oxidase by binding directly to the isoalloxazine ring of the enzyme. When such constituents are combined in appropriate proportions, a reinforcing </w:t>
      </w:r>
      <w:r>
        <w:rPr>
          <w:highlight w:val="yellow"/>
        </w:rPr>
        <w:t xml:space="preserve">inhibitory </w:t>
      </w:r>
      <w:r>
        <w:t xml:space="preserve">effect on xanthine oxidase may be produced, although further work is required to confirm this hypothesis for the </w:t>
      </w:r>
      <w:proofErr w:type="spellStart"/>
      <w:r>
        <w:t>Lamgout</w:t>
      </w:r>
      <w:proofErr w:type="spellEnd"/>
      <w:r>
        <w:t xml:space="preserve"> remedy as a whole.</w:t>
      </w:r>
    </w:p>
    <w:p w14:paraId="1580BC59" w14:textId="77777777" w:rsidR="00510C23" w:rsidRDefault="00000000">
      <w:pPr>
        <w:spacing w:after="160"/>
        <w:jc w:val="both"/>
      </w:pPr>
      <w:r>
        <w:t xml:space="preserve">A mechanistic link may also be proposed between the two activities observed. Hypoxanthine is a metabolite and precursor of adenosine, so that plant materials inhibiting xanthine oxidase raise the blood concentration of hypoxanthine and thereby contribute to an increase in </w:t>
      </w:r>
      <w:r>
        <w:lastRenderedPageBreak/>
        <w:t>adenosine, an endogenous nucleoside that signals to anti-inflammatory cells through the A2A receptor. Herbal preparations lowering plasma uric acid may therefore also contribute to reducing the inflammation associated with gouty arthritis.</w:t>
      </w:r>
    </w:p>
    <w:p w14:paraId="06C655E3" w14:textId="77777777" w:rsidR="00F46E07" w:rsidRDefault="00000000">
      <w:pPr>
        <w:spacing w:before="200" w:after="140"/>
      </w:pPr>
      <w:r>
        <w:rPr>
          <w:b/>
          <w:bCs/>
          <w:sz w:val="22"/>
          <w:szCs w:val="22"/>
        </w:rPr>
        <w:t>3.6 Limitations of the study</w:t>
      </w:r>
    </w:p>
    <w:p w14:paraId="01D997BF" w14:textId="77777777" w:rsidR="00F46E07" w:rsidRDefault="00000000">
      <w:pPr>
        <w:spacing w:after="160"/>
        <w:jc w:val="both"/>
      </w:pPr>
      <w:r>
        <w:t>Several limitations should be borne in mind when interpreting these findings. First, the study establishes the effects of the remedy but not their mechanism</w:t>
      </w:r>
      <w:r>
        <w:rPr>
          <w:highlight w:val="yellow"/>
        </w:rPr>
        <w:t>s</w:t>
      </w:r>
      <w:r>
        <w:t xml:space="preserve">: the reduction of paw </w:t>
      </w:r>
      <w:r>
        <w:rPr>
          <w:highlight w:val="yellow"/>
        </w:rPr>
        <w:t>o</w:t>
      </w:r>
      <w:r>
        <w:t>edema and of plasma uric acid was inferred from the phenotypic endpoints alone, and neither the inflammatory mediators (TNF-α, IL-1β, PGE2, COX-2) nor the activity of xanthine oxidase was measured directly in the treated animals. The mechanisms proposed in sections 3.2 and 3.5 therefore remain hypotheses drawn from the published pharmacology of the individual ingredients rather than conclusions of the present work.</w:t>
      </w:r>
    </w:p>
    <w:p w14:paraId="139F294B" w14:textId="77777777" w:rsidR="00F46E07" w:rsidRDefault="00000000">
      <w:pPr>
        <w:spacing w:after="160"/>
        <w:jc w:val="both"/>
      </w:pPr>
      <w:r>
        <w:t xml:space="preserve">Second, </w:t>
      </w:r>
      <w:proofErr w:type="spellStart"/>
      <w:r>
        <w:t>Lamgout</w:t>
      </w:r>
      <w:proofErr w:type="spellEnd"/>
      <w:r>
        <w:t xml:space="preserve"> is a polyherbal preparation and its constituents were not determined analytically. The compounds listed in Table 2 are those reported in the literature for each species; no chromatographic fingerprint was established for the extract actually administered, and the concentration of any individual marker compound in it is unknown. A quantitative HPLC or LC-MS profile, with one or more marker compounds assayed against reference standards, is needed both to standardise the preparation between batches and to relate the observed activity to defined constituents.</w:t>
      </w:r>
    </w:p>
    <w:p w14:paraId="5BFFF0D9" w14:textId="77777777" w:rsidR="00F46E07" w:rsidRDefault="00000000">
      <w:pPr>
        <w:spacing w:after="200"/>
        <w:jc w:val="both"/>
      </w:pPr>
      <w:r>
        <w:t xml:space="preserve">Third, the toxicological assessment was confined to a single oral dose observed over 14 days. Acute toxicity testing of this kind cannot detect cumulative organ toxicity, and no haematological, biochemical or histopathological examination was carried out. Subchronic and chronic studies, with organ function markers and histology, remain necessary before any clinical use is contemplated. Finally, the two doses studied were derived from the human dose by allometric conversion rather than </w:t>
      </w:r>
      <w:r>
        <w:rPr>
          <w:highlight w:val="yellow"/>
        </w:rPr>
        <w:t xml:space="preserve">being </w:t>
      </w:r>
      <w:r>
        <w:t>established by a dose-ranging experiment, so that neither the minimum effective dose nor the shape of the dose-response relationship can be stated; the absence of a significant difference between 7 and 14 g of dried herb/kg suggests that the plateau of the response may already have been reached at the lower dose.</w:t>
      </w:r>
    </w:p>
    <w:p w14:paraId="04C79412" w14:textId="77777777" w:rsidR="00510C23" w:rsidRDefault="00000000">
      <w:pPr>
        <w:spacing w:before="240" w:after="160"/>
      </w:pPr>
      <w:r>
        <w:rPr>
          <w:b/>
          <w:bCs/>
          <w:caps/>
          <w:sz w:val="22"/>
          <w:szCs w:val="22"/>
        </w:rPr>
        <w:t>4. Conclusion</w:t>
      </w:r>
    </w:p>
    <w:p w14:paraId="778824D7" w14:textId="77777777" w:rsidR="00CE50DD" w:rsidRPr="00CC1E22" w:rsidRDefault="00CE50DD" w:rsidP="00CE50DD">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aqueous </w:t>
      </w:r>
      <w:proofErr w:type="spellStart"/>
      <w:r>
        <w:rPr>
          <w:rFonts w:ascii="Times New Roman" w:eastAsia="Times New Roman" w:hAnsi="Times New Roman" w:cs="Times New Roman"/>
          <w:sz w:val="24"/>
          <w:szCs w:val="24"/>
        </w:rPr>
        <w:t>Lamgout</w:t>
      </w:r>
      <w:proofErr w:type="spellEnd"/>
      <w:r>
        <w:rPr>
          <w:rFonts w:ascii="Times New Roman" w:eastAsia="Times New Roman" w:hAnsi="Times New Roman" w:cs="Times New Roman"/>
          <w:sz w:val="24"/>
          <w:szCs w:val="24"/>
        </w:rPr>
        <w:t xml:space="preserve"> preparation produced no mortality or observable signs of acute toxicity in mice at the maximum tested dose equivalent to 182 g of dried herbal material/kg. At doses of 7 and 14 g/kg, the extract significantly reduced carrageenan-induced paw </w:t>
      </w:r>
      <w:r>
        <w:rPr>
          <w:rFonts w:ascii="Times New Roman" w:eastAsia="Times New Roman" w:hAnsi="Times New Roman" w:cs="Times New Roman"/>
          <w:sz w:val="24"/>
          <w:szCs w:val="24"/>
          <w:highlight w:val="yellow"/>
        </w:rPr>
        <w:t>o</w:t>
      </w:r>
      <w:r>
        <w:rPr>
          <w:rFonts w:ascii="Times New Roman" w:eastAsia="Times New Roman" w:hAnsi="Times New Roman" w:cs="Times New Roman"/>
          <w:sz w:val="24"/>
          <w:szCs w:val="24"/>
        </w:rPr>
        <w:t xml:space="preserve">edema relative to the model control. The same doses also reduced plasma uric acid in potassium </w:t>
      </w:r>
      <w:proofErr w:type="spellStart"/>
      <w:r>
        <w:rPr>
          <w:rFonts w:ascii="Times New Roman" w:eastAsia="Times New Roman" w:hAnsi="Times New Roman" w:cs="Times New Roman"/>
          <w:sz w:val="24"/>
          <w:szCs w:val="24"/>
        </w:rPr>
        <w:t>oxonate</w:t>
      </w:r>
      <w:proofErr w:type="spellEnd"/>
      <w:r>
        <w:rPr>
          <w:rFonts w:ascii="Times New Roman" w:eastAsia="Times New Roman" w:hAnsi="Times New Roman" w:cs="Times New Roman"/>
          <w:sz w:val="24"/>
          <w:szCs w:val="24"/>
        </w:rPr>
        <w:t>-induced hyperuric</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 xml:space="preserve">emia in both preventive and therapeutic experiments, although their uric acid-lowering effects were weaker than those of allopurinol 10 mg/kg. These findings provide preclinical evidence that </w:t>
      </w:r>
      <w:proofErr w:type="spellStart"/>
      <w:r>
        <w:rPr>
          <w:rFonts w:ascii="Times New Roman" w:eastAsia="Times New Roman" w:hAnsi="Times New Roman" w:cs="Times New Roman"/>
          <w:sz w:val="24"/>
          <w:szCs w:val="24"/>
        </w:rPr>
        <w:t>Lamgout</w:t>
      </w:r>
      <w:proofErr w:type="spellEnd"/>
      <w:r>
        <w:rPr>
          <w:rFonts w:ascii="Times New Roman" w:eastAsia="Times New Roman" w:hAnsi="Times New Roman" w:cs="Times New Roman"/>
          <w:sz w:val="24"/>
          <w:szCs w:val="24"/>
        </w:rPr>
        <w:t xml:space="preserve"> possesses anti-inflammatory and anti-</w:t>
      </w:r>
      <w:proofErr w:type="spellStart"/>
      <w:r>
        <w:rPr>
          <w:rFonts w:ascii="Times New Roman" w:eastAsia="Times New Roman" w:hAnsi="Times New Roman" w:cs="Times New Roman"/>
          <w:sz w:val="24"/>
          <w:szCs w:val="24"/>
        </w:rPr>
        <w:t>hyperuric</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emic</w:t>
      </w:r>
      <w:proofErr w:type="spellEnd"/>
      <w:r>
        <w:rPr>
          <w:rFonts w:ascii="Times New Roman" w:eastAsia="Times New Roman" w:hAnsi="Times New Roman" w:cs="Times New Roman"/>
          <w:sz w:val="24"/>
          <w:szCs w:val="24"/>
        </w:rPr>
        <w:t xml:space="preserve"> activities under the experimental conditions used. Further investigations are required to characteri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 its active constituents and mechanisms of action and to establish its longer-term safety before its potential therapeutic application can be assessed.</w:t>
      </w:r>
    </w:p>
    <w:p w14:paraId="3CFA560D" w14:textId="77777777" w:rsidR="00510C23" w:rsidRDefault="00000000">
      <w:pPr>
        <w:spacing w:before="240" w:after="160"/>
      </w:pPr>
      <w:r>
        <w:rPr>
          <w:b/>
          <w:bCs/>
          <w:caps/>
          <w:sz w:val="22"/>
          <w:szCs w:val="22"/>
        </w:rPr>
        <w:t>Competing Interests</w:t>
      </w:r>
    </w:p>
    <w:p w14:paraId="6AC3F3A2" w14:textId="77777777" w:rsidR="00510C23" w:rsidRDefault="00000000">
      <w:pPr>
        <w:spacing w:after="160"/>
        <w:jc w:val="both"/>
      </w:pPr>
      <w:r>
        <w:t>Authors have declared that no competing interests exist.</w:t>
      </w:r>
    </w:p>
    <w:p w14:paraId="7A666F8E" w14:textId="77777777" w:rsidR="00510C23" w:rsidRDefault="00000000">
      <w:pPr>
        <w:spacing w:before="240" w:after="160"/>
      </w:pPr>
      <w:r>
        <w:rPr>
          <w:b/>
          <w:bCs/>
          <w:caps/>
          <w:sz w:val="22"/>
          <w:szCs w:val="22"/>
        </w:rPr>
        <w:t>Ethical Approval</w:t>
      </w:r>
    </w:p>
    <w:p w14:paraId="46D29565" w14:textId="41770246" w:rsidR="00510C23" w:rsidRDefault="00000000">
      <w:pPr>
        <w:spacing w:after="160"/>
        <w:jc w:val="both"/>
      </w:pPr>
      <w:r>
        <w:lastRenderedPageBreak/>
        <w:t>All authors hereby declare that the "Principles of laboratory animal care" (</w:t>
      </w:r>
      <w:r w:rsidR="00AE72E7" w:rsidRPr="00AE72E7">
        <w:t>National Research Council</w:t>
      </w:r>
      <w:r w:rsidR="00AE72E7">
        <w:t>,</w:t>
      </w:r>
      <w:r>
        <w:t xml:space="preserve"> 1985) were followed, as well as the specific national laws applicable in Vietnam. All experiments have been examined and approved by the appropriate ethics committee.</w:t>
      </w:r>
    </w:p>
    <w:p w14:paraId="17BA1272" w14:textId="0D7F67EA" w:rsidR="00CE50DD" w:rsidRPr="003A29C6" w:rsidRDefault="00CE50DD" w:rsidP="00CE50DD">
      <w:pPr>
        <w:jc w:val="both"/>
        <w:outlineLvl w:val="0"/>
      </w:pPr>
      <w:r w:rsidRPr="003A29C6">
        <w:rPr>
          <w:b/>
          <w:bCs/>
        </w:rPr>
        <w:t>COMPETING INTERESTS:</w:t>
      </w:r>
    </w:p>
    <w:p w14:paraId="58624F38" w14:textId="77777777" w:rsidR="00CE50DD" w:rsidRDefault="00CE50DD" w:rsidP="00CE50DD">
      <w:r w:rsidRPr="00A10EDE">
        <w:t>Authors have declared that they have no known competing financial interests OR non-financial interests OR personal relationships that could have appeared to influence the work reported in this paper.</w:t>
      </w:r>
    </w:p>
    <w:p w14:paraId="4E85ECD6" w14:textId="77777777" w:rsidR="00CE50DD" w:rsidRDefault="00CE50DD" w:rsidP="00CE50DD"/>
    <w:p w14:paraId="02DBB140" w14:textId="77777777" w:rsidR="00CE50DD" w:rsidRDefault="00CE50DD" w:rsidP="00CE50DD"/>
    <w:p w14:paraId="412BA01E" w14:textId="77777777" w:rsidR="00CE50DD" w:rsidRDefault="00CE50DD" w:rsidP="00CE50DD">
      <w:pPr>
        <w:rPr>
          <w:rFonts w:ascii="Times New Roman" w:hAnsi="Times New Roman" w:cs="Times New Roman"/>
          <w:b/>
        </w:rPr>
      </w:pPr>
      <w:r w:rsidRPr="000839CE">
        <w:rPr>
          <w:rFonts w:ascii="Times New Roman" w:hAnsi="Times New Roman" w:cs="Times New Roman"/>
          <w:b/>
        </w:rPr>
        <w:t>Declaration of AI Use</w:t>
      </w:r>
    </w:p>
    <w:p w14:paraId="41AA7DC3" w14:textId="77777777" w:rsidR="00CE50DD" w:rsidRDefault="00CE50DD" w:rsidP="00CE50DD">
      <w:pPr>
        <w:rPr>
          <w:rFonts w:ascii="Times New Roman" w:hAnsi="Times New Roman" w:cs="Times New Roman"/>
          <w:b/>
        </w:rPr>
      </w:pPr>
    </w:p>
    <w:p w14:paraId="44A76AAC" w14:textId="77777777" w:rsidR="00CE50DD" w:rsidRDefault="00CE50DD" w:rsidP="00CE50DD">
      <w:pPr>
        <w:rPr>
          <w:rFonts w:ascii="Times New Roman" w:hAnsi="Times New Roman" w:cs="Times New Roman"/>
          <w:b/>
        </w:rPr>
      </w:pPr>
    </w:p>
    <w:p w14:paraId="65B4113D" w14:textId="77777777" w:rsidR="00CE50DD" w:rsidRDefault="00CE50DD" w:rsidP="00CE50DD">
      <w:pPr>
        <w:rPr>
          <w:rFonts w:ascii="Times New Roman" w:hAnsi="Times New Roman" w:cs="Times New Roman"/>
          <w:b/>
        </w:rPr>
      </w:pPr>
    </w:p>
    <w:p w14:paraId="4806394F" w14:textId="77777777" w:rsidR="00CE50DD" w:rsidRPr="002D08AC" w:rsidRDefault="00CE50DD" w:rsidP="00CE50DD">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1D177F9" w14:textId="77777777" w:rsidR="00CE50DD" w:rsidRDefault="00CE50DD">
      <w:pPr>
        <w:spacing w:after="160"/>
        <w:jc w:val="both"/>
      </w:pPr>
    </w:p>
    <w:p w14:paraId="4BF450FD" w14:textId="77777777" w:rsidR="00510C23" w:rsidRDefault="00000000">
      <w:pPr>
        <w:spacing w:before="240" w:after="160"/>
      </w:pPr>
      <w:r>
        <w:rPr>
          <w:b/>
          <w:bCs/>
          <w:caps/>
          <w:sz w:val="22"/>
          <w:szCs w:val="22"/>
        </w:rPr>
        <w:t>References</w:t>
      </w:r>
    </w:p>
    <w:p w14:paraId="2F88D428" w14:textId="09A0C770"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Bansal, P., Bansal, V., Roy, A., &amp; Kar, A. C. (2025). Cinnamon: A review on the medicinal plant and its health benefits. </w:t>
      </w:r>
      <w:r w:rsidRPr="00AE72E7">
        <w:rPr>
          <w:rFonts w:ascii="Times New Roman" w:eastAsia="Times New Roman" w:hAnsi="Times New Roman" w:cs="Times New Roman"/>
          <w:i/>
          <w:iCs/>
          <w:sz w:val="24"/>
          <w:szCs w:val="24"/>
          <w:lang w:val="en-US" w:eastAsia="en-US"/>
        </w:rPr>
        <w:t>Asian Journal of Agriculture and Allied Sciences, 8</w:t>
      </w:r>
      <w:r w:rsidRPr="00AE72E7">
        <w:rPr>
          <w:rFonts w:ascii="Times New Roman" w:eastAsia="Times New Roman" w:hAnsi="Times New Roman" w:cs="Times New Roman"/>
          <w:sz w:val="24"/>
          <w:szCs w:val="24"/>
          <w:lang w:val="en-US" w:eastAsia="en-US"/>
        </w:rPr>
        <w:t xml:space="preserve">(1), 305–315. </w:t>
      </w:r>
      <w:hyperlink r:id="rId10" w:tgtFrame="_blank" w:history="1">
        <w:r w:rsidRPr="00AE72E7">
          <w:rPr>
            <w:rFonts w:ascii="Times New Roman" w:eastAsia="Times New Roman" w:hAnsi="Times New Roman" w:cs="Times New Roman"/>
            <w:color w:val="0000FF"/>
            <w:sz w:val="24"/>
            <w:szCs w:val="24"/>
            <w:u w:val="single"/>
            <w:lang w:val="en-US" w:eastAsia="en-US"/>
          </w:rPr>
          <w:t>https://doi.org/10.56557/ajaas/2025/v8i174</w:t>
        </w:r>
      </w:hyperlink>
      <w:r w:rsidRPr="00AE72E7">
        <w:rPr>
          <w:rFonts w:ascii="Times New Roman" w:eastAsia="Times New Roman" w:hAnsi="Times New Roman" w:cs="Times New Roman"/>
          <w:sz w:val="24"/>
          <w:szCs w:val="24"/>
          <w:lang w:val="en-US" w:eastAsia="en-US"/>
        </w:rPr>
        <w:t xml:space="preserve"> </w:t>
      </w:r>
    </w:p>
    <w:p w14:paraId="2F3FE1FE" w14:textId="1D1BE371" w:rsidR="00AE72E7" w:rsidRPr="00AE72E7" w:rsidRDefault="00AE72E7" w:rsidP="00AE72E7">
      <w:pPr>
        <w:ind w:left="540" w:hanging="540"/>
        <w:jc w:val="both"/>
        <w:rPr>
          <w:rFonts w:ascii="Times New Roman" w:eastAsia="Times New Roman" w:hAnsi="Times New Roman" w:cs="Times New Roman"/>
          <w:sz w:val="24"/>
          <w:szCs w:val="24"/>
          <w:lang w:val="en-US" w:eastAsia="en-US"/>
        </w:rPr>
      </w:pPr>
      <w:proofErr w:type="spellStart"/>
      <w:r w:rsidRPr="00AE72E7">
        <w:rPr>
          <w:rFonts w:ascii="Times New Roman" w:eastAsia="Times New Roman" w:hAnsi="Times New Roman" w:cs="Times New Roman"/>
          <w:sz w:val="24"/>
          <w:szCs w:val="24"/>
          <w:lang w:val="en-US" w:eastAsia="en-US"/>
        </w:rPr>
        <w:t>Chenchula</w:t>
      </w:r>
      <w:proofErr w:type="spellEnd"/>
      <w:r w:rsidRPr="00AE72E7">
        <w:rPr>
          <w:rFonts w:ascii="Times New Roman" w:eastAsia="Times New Roman" w:hAnsi="Times New Roman" w:cs="Times New Roman"/>
          <w:sz w:val="24"/>
          <w:szCs w:val="24"/>
          <w:lang w:val="en-US" w:eastAsia="en-US"/>
        </w:rPr>
        <w:t xml:space="preserve">, S., Ghanta, M. K., </w:t>
      </w:r>
      <w:proofErr w:type="spellStart"/>
      <w:r w:rsidRPr="00AE72E7">
        <w:rPr>
          <w:rFonts w:ascii="Times New Roman" w:eastAsia="Times New Roman" w:hAnsi="Times New Roman" w:cs="Times New Roman"/>
          <w:sz w:val="24"/>
          <w:szCs w:val="24"/>
          <w:lang w:val="en-US" w:eastAsia="en-US"/>
        </w:rPr>
        <w:t>Alhammadi</w:t>
      </w:r>
      <w:proofErr w:type="spellEnd"/>
      <w:r w:rsidRPr="00AE72E7">
        <w:rPr>
          <w:rFonts w:ascii="Times New Roman" w:eastAsia="Times New Roman" w:hAnsi="Times New Roman" w:cs="Times New Roman"/>
          <w:sz w:val="24"/>
          <w:szCs w:val="24"/>
          <w:lang w:val="en-US" w:eastAsia="en-US"/>
        </w:rPr>
        <w:t xml:space="preserve">, M., Mohammed, A., Anitha, K., </w:t>
      </w:r>
      <w:proofErr w:type="spellStart"/>
      <w:r w:rsidRPr="00AE72E7">
        <w:rPr>
          <w:rFonts w:ascii="Times New Roman" w:eastAsia="Times New Roman" w:hAnsi="Times New Roman" w:cs="Times New Roman"/>
          <w:sz w:val="24"/>
          <w:szCs w:val="24"/>
          <w:lang w:val="en-US" w:eastAsia="en-US"/>
        </w:rPr>
        <w:t>Nuthalapati</w:t>
      </w:r>
      <w:proofErr w:type="spellEnd"/>
      <w:r w:rsidRPr="00AE72E7">
        <w:rPr>
          <w:rFonts w:ascii="Times New Roman" w:eastAsia="Times New Roman" w:hAnsi="Times New Roman" w:cs="Times New Roman"/>
          <w:sz w:val="24"/>
          <w:szCs w:val="24"/>
          <w:lang w:val="en-US" w:eastAsia="en-US"/>
        </w:rPr>
        <w:t xml:space="preserve">, P., Raju, G. S. R., Huh, Y. S., &amp; Bhaskar, L. V. K. S. (2025). Phytochemical compounds for treating hyperuricemia associated with gout: A systematic review. </w:t>
      </w:r>
      <w:r w:rsidRPr="00AE72E7">
        <w:rPr>
          <w:rFonts w:ascii="Times New Roman" w:eastAsia="Times New Roman" w:hAnsi="Times New Roman" w:cs="Times New Roman"/>
          <w:i/>
          <w:iCs/>
          <w:sz w:val="24"/>
          <w:szCs w:val="24"/>
          <w:lang w:val="en-US" w:eastAsia="en-US"/>
        </w:rPr>
        <w:t>Naunyn-Schmiedeberg's Archives of Pharmacology, 398</w:t>
      </w:r>
      <w:r w:rsidRPr="00AE72E7">
        <w:rPr>
          <w:rFonts w:ascii="Times New Roman" w:eastAsia="Times New Roman" w:hAnsi="Times New Roman" w:cs="Times New Roman"/>
          <w:sz w:val="24"/>
          <w:szCs w:val="24"/>
          <w:lang w:val="en-US" w:eastAsia="en-US"/>
        </w:rPr>
        <w:t xml:space="preserve">(5), 4779–4801. </w:t>
      </w:r>
      <w:hyperlink r:id="rId11" w:tgtFrame="_blank" w:history="1">
        <w:r w:rsidRPr="00AE72E7">
          <w:rPr>
            <w:rFonts w:ascii="Times New Roman" w:eastAsia="Times New Roman" w:hAnsi="Times New Roman" w:cs="Times New Roman"/>
            <w:color w:val="0000FF"/>
            <w:sz w:val="24"/>
            <w:szCs w:val="24"/>
            <w:u w:val="single"/>
            <w:lang w:val="en-US" w:eastAsia="en-US"/>
          </w:rPr>
          <w:t>https://doi.org/10.1007/s00210-024-03686-4</w:t>
        </w:r>
      </w:hyperlink>
      <w:r w:rsidRPr="00AE72E7">
        <w:rPr>
          <w:rFonts w:ascii="Times New Roman" w:eastAsia="Times New Roman" w:hAnsi="Times New Roman" w:cs="Times New Roman"/>
          <w:sz w:val="24"/>
          <w:szCs w:val="24"/>
          <w:lang w:val="en-US" w:eastAsia="en-US"/>
        </w:rPr>
        <w:t xml:space="preserve"> </w:t>
      </w:r>
    </w:p>
    <w:p w14:paraId="40CD907C" w14:textId="72032493"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Chi, S., She, G., Han, D., Wang, W., Liu, Z., &amp; Liu, B. (2016). Genus </w:t>
      </w:r>
      <w:proofErr w:type="spellStart"/>
      <w:r w:rsidRPr="00AE72E7">
        <w:rPr>
          <w:rFonts w:ascii="Times New Roman" w:eastAsia="Times New Roman" w:hAnsi="Times New Roman" w:cs="Times New Roman"/>
          <w:i/>
          <w:iCs/>
          <w:sz w:val="24"/>
          <w:szCs w:val="24"/>
          <w:lang w:val="en-US" w:eastAsia="en-US"/>
        </w:rPr>
        <w:t>Tinospora</w:t>
      </w:r>
      <w:proofErr w:type="spellEnd"/>
      <w:r w:rsidRPr="00AE72E7">
        <w:rPr>
          <w:rFonts w:ascii="Times New Roman" w:eastAsia="Times New Roman" w:hAnsi="Times New Roman" w:cs="Times New Roman"/>
          <w:sz w:val="24"/>
          <w:szCs w:val="24"/>
          <w:lang w:val="en-US" w:eastAsia="en-US"/>
        </w:rPr>
        <w:t xml:space="preserve">: Ethnopharmacology, phytochemistry, and pharmacology. </w:t>
      </w:r>
      <w:r w:rsidRPr="00AE72E7">
        <w:rPr>
          <w:rFonts w:ascii="Times New Roman" w:eastAsia="Times New Roman" w:hAnsi="Times New Roman" w:cs="Times New Roman"/>
          <w:i/>
          <w:iCs/>
          <w:sz w:val="24"/>
          <w:szCs w:val="24"/>
          <w:lang w:val="en-US" w:eastAsia="en-US"/>
        </w:rPr>
        <w:t>Evidence-Based Complementary and Alternative Medicine, 2016</w:t>
      </w:r>
      <w:r w:rsidRPr="00AE72E7">
        <w:rPr>
          <w:rFonts w:ascii="Times New Roman" w:eastAsia="Times New Roman" w:hAnsi="Times New Roman" w:cs="Times New Roman"/>
          <w:sz w:val="24"/>
          <w:szCs w:val="24"/>
          <w:lang w:val="en-US" w:eastAsia="en-US"/>
        </w:rPr>
        <w:t xml:space="preserve">, 9232593. </w:t>
      </w:r>
      <w:hyperlink r:id="rId12" w:tgtFrame="_blank" w:history="1">
        <w:r w:rsidRPr="00AE72E7">
          <w:rPr>
            <w:rFonts w:ascii="Times New Roman" w:eastAsia="Times New Roman" w:hAnsi="Times New Roman" w:cs="Times New Roman"/>
            <w:color w:val="0000FF"/>
            <w:sz w:val="24"/>
            <w:szCs w:val="24"/>
            <w:u w:val="single"/>
            <w:lang w:val="en-US" w:eastAsia="en-US"/>
          </w:rPr>
          <w:t>https://doi.org/10.1155/2016/9232593</w:t>
        </w:r>
      </w:hyperlink>
      <w:r w:rsidRPr="00AE72E7">
        <w:rPr>
          <w:rFonts w:ascii="Times New Roman" w:eastAsia="Times New Roman" w:hAnsi="Times New Roman" w:cs="Times New Roman"/>
          <w:sz w:val="24"/>
          <w:szCs w:val="24"/>
          <w:lang w:val="en-US" w:eastAsia="en-US"/>
        </w:rPr>
        <w:t xml:space="preserve"> </w:t>
      </w:r>
    </w:p>
    <w:p w14:paraId="292CBC44" w14:textId="31F81DD6"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Do, T. D. (2014). </w:t>
      </w:r>
      <w:r w:rsidRPr="00AE72E7">
        <w:rPr>
          <w:rFonts w:ascii="Times New Roman" w:eastAsia="Times New Roman" w:hAnsi="Times New Roman" w:cs="Times New Roman"/>
          <w:i/>
          <w:iCs/>
          <w:sz w:val="24"/>
          <w:szCs w:val="24"/>
          <w:lang w:val="en-US" w:eastAsia="en-US"/>
        </w:rPr>
        <w:t>Methods for the determination of drug toxicity</w:t>
      </w:r>
      <w:r w:rsidRPr="00AE72E7">
        <w:rPr>
          <w:rFonts w:ascii="Times New Roman" w:eastAsia="Times New Roman" w:hAnsi="Times New Roman" w:cs="Times New Roman"/>
          <w:sz w:val="24"/>
          <w:szCs w:val="24"/>
          <w:lang w:val="en-US" w:eastAsia="en-US"/>
        </w:rPr>
        <w:t xml:space="preserve">. Medical Publishing House. </w:t>
      </w:r>
    </w:p>
    <w:p w14:paraId="343F40AA" w14:textId="1FCCAA51"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Do, T. N. V., Nguyen, M. H., Nguyen, H. X., Nguyen, N. T., &amp; Nguyen, M. T. T. (2026). </w:t>
      </w:r>
      <w:proofErr w:type="spellStart"/>
      <w:r w:rsidRPr="00AE72E7">
        <w:rPr>
          <w:rFonts w:ascii="Times New Roman" w:eastAsia="Times New Roman" w:hAnsi="Times New Roman" w:cs="Times New Roman"/>
          <w:sz w:val="24"/>
          <w:szCs w:val="24"/>
          <w:lang w:val="en-US" w:eastAsia="en-US"/>
        </w:rPr>
        <w:t>Gnetumgams</w:t>
      </w:r>
      <w:proofErr w:type="spellEnd"/>
      <w:r w:rsidRPr="00AE72E7">
        <w:rPr>
          <w:rFonts w:ascii="Times New Roman" w:eastAsia="Times New Roman" w:hAnsi="Times New Roman" w:cs="Times New Roman"/>
          <w:sz w:val="24"/>
          <w:szCs w:val="24"/>
          <w:lang w:val="en-US" w:eastAsia="en-US"/>
        </w:rPr>
        <w:t xml:space="preserve"> A and B: Two new 2-phenylbenzofuran derivatives from the lianas of </w:t>
      </w:r>
      <w:proofErr w:type="spellStart"/>
      <w:r w:rsidRPr="00AE72E7">
        <w:rPr>
          <w:rFonts w:ascii="Times New Roman" w:eastAsia="Times New Roman" w:hAnsi="Times New Roman" w:cs="Times New Roman"/>
          <w:i/>
          <w:iCs/>
          <w:sz w:val="24"/>
          <w:szCs w:val="24"/>
          <w:lang w:val="en-US" w:eastAsia="en-US"/>
        </w:rPr>
        <w:t>Gnetum</w:t>
      </w:r>
      <w:proofErr w:type="spellEnd"/>
      <w:r w:rsidRPr="00AE72E7">
        <w:rPr>
          <w:rFonts w:ascii="Times New Roman" w:eastAsia="Times New Roman" w:hAnsi="Times New Roman" w:cs="Times New Roman"/>
          <w:i/>
          <w:iCs/>
          <w:sz w:val="24"/>
          <w:szCs w:val="24"/>
          <w:lang w:val="en-US" w:eastAsia="en-US"/>
        </w:rPr>
        <w:t xml:space="preserve"> montanum</w:t>
      </w:r>
      <w:r w:rsidRPr="00AE72E7">
        <w:rPr>
          <w:rFonts w:ascii="Times New Roman" w:eastAsia="Times New Roman" w:hAnsi="Times New Roman" w:cs="Times New Roman"/>
          <w:sz w:val="24"/>
          <w:szCs w:val="24"/>
          <w:lang w:val="en-US" w:eastAsia="en-US"/>
        </w:rPr>
        <w:t xml:space="preserve"> with xanthine oxidase inhibitory activity. </w:t>
      </w:r>
      <w:r w:rsidRPr="00AE72E7">
        <w:rPr>
          <w:rFonts w:ascii="Times New Roman" w:eastAsia="Times New Roman" w:hAnsi="Times New Roman" w:cs="Times New Roman"/>
          <w:i/>
          <w:iCs/>
          <w:sz w:val="24"/>
          <w:szCs w:val="24"/>
          <w:lang w:val="en-US" w:eastAsia="en-US"/>
        </w:rPr>
        <w:t>RSC Advances, 16</w:t>
      </w:r>
      <w:r w:rsidRPr="00AE72E7">
        <w:rPr>
          <w:rFonts w:ascii="Times New Roman" w:eastAsia="Times New Roman" w:hAnsi="Times New Roman" w:cs="Times New Roman"/>
          <w:sz w:val="24"/>
          <w:szCs w:val="24"/>
          <w:lang w:val="en-US" w:eastAsia="en-US"/>
        </w:rPr>
        <w:t xml:space="preserve">(2), 1255–1263. </w:t>
      </w:r>
      <w:hyperlink r:id="rId13" w:tgtFrame="_blank" w:history="1">
        <w:r w:rsidRPr="00AE72E7">
          <w:rPr>
            <w:rFonts w:ascii="Times New Roman" w:eastAsia="Times New Roman" w:hAnsi="Times New Roman" w:cs="Times New Roman"/>
            <w:color w:val="0000FF"/>
            <w:sz w:val="24"/>
            <w:szCs w:val="24"/>
            <w:u w:val="single"/>
            <w:lang w:val="en-US" w:eastAsia="en-US"/>
          </w:rPr>
          <w:t>https://doi.org/10.1039/D5RA08293E</w:t>
        </w:r>
      </w:hyperlink>
      <w:r w:rsidRPr="00AE72E7">
        <w:rPr>
          <w:rFonts w:ascii="Times New Roman" w:eastAsia="Times New Roman" w:hAnsi="Times New Roman" w:cs="Times New Roman"/>
          <w:sz w:val="24"/>
          <w:szCs w:val="24"/>
          <w:lang w:val="en-US" w:eastAsia="en-US"/>
        </w:rPr>
        <w:t xml:space="preserve"> </w:t>
      </w:r>
    </w:p>
    <w:p w14:paraId="79A089EE" w14:textId="62AE7479"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nl-BE" w:eastAsia="en-US"/>
        </w:rPr>
        <w:t xml:space="preserve">Li, Y., Lin, Z., Jin, H., Wei, F., Ma, S., &amp; Zhang, B. (2025). </w:t>
      </w:r>
      <w:r w:rsidRPr="00AE72E7">
        <w:rPr>
          <w:rFonts w:ascii="Times New Roman" w:eastAsia="Times New Roman" w:hAnsi="Times New Roman" w:cs="Times New Roman"/>
          <w:sz w:val="24"/>
          <w:szCs w:val="24"/>
          <w:lang w:val="en-US" w:eastAsia="en-US"/>
        </w:rPr>
        <w:t xml:space="preserve">The anti-hyperuricemia potential of bioactive natural products and extracts derived from traditional Chinese medicines: A review and perspective. </w:t>
      </w:r>
      <w:r w:rsidRPr="00AE72E7">
        <w:rPr>
          <w:rFonts w:ascii="Times New Roman" w:eastAsia="Times New Roman" w:hAnsi="Times New Roman" w:cs="Times New Roman"/>
          <w:i/>
          <w:iCs/>
          <w:sz w:val="24"/>
          <w:szCs w:val="24"/>
          <w:lang w:val="en-US" w:eastAsia="en-US"/>
        </w:rPr>
        <w:t>Journal of Pharmaceutical Analysis, 15</w:t>
      </w:r>
      <w:r w:rsidRPr="00AE72E7">
        <w:rPr>
          <w:rFonts w:ascii="Times New Roman" w:eastAsia="Times New Roman" w:hAnsi="Times New Roman" w:cs="Times New Roman"/>
          <w:sz w:val="24"/>
          <w:szCs w:val="24"/>
          <w:lang w:val="en-US" w:eastAsia="en-US"/>
        </w:rPr>
        <w:t xml:space="preserve">(7), 101183. </w:t>
      </w:r>
      <w:hyperlink r:id="rId14" w:tgtFrame="_blank" w:history="1">
        <w:r w:rsidRPr="00AE72E7">
          <w:rPr>
            <w:rFonts w:ascii="Times New Roman" w:eastAsia="Times New Roman" w:hAnsi="Times New Roman" w:cs="Times New Roman"/>
            <w:color w:val="0000FF"/>
            <w:sz w:val="24"/>
            <w:szCs w:val="24"/>
            <w:u w:val="single"/>
            <w:lang w:val="en-US" w:eastAsia="en-US"/>
          </w:rPr>
          <w:t>https://doi.org/10.1016/j.jpha.2024.101183</w:t>
        </w:r>
      </w:hyperlink>
      <w:r w:rsidRPr="00AE72E7">
        <w:rPr>
          <w:rFonts w:ascii="Times New Roman" w:eastAsia="Times New Roman" w:hAnsi="Times New Roman" w:cs="Times New Roman"/>
          <w:sz w:val="24"/>
          <w:szCs w:val="24"/>
          <w:lang w:val="en-US" w:eastAsia="en-US"/>
        </w:rPr>
        <w:t xml:space="preserve"> </w:t>
      </w:r>
    </w:p>
    <w:p w14:paraId="1ED856F0" w14:textId="0212EDE0" w:rsidR="00AE72E7" w:rsidRPr="00AE72E7" w:rsidRDefault="00AE72E7" w:rsidP="00AE72E7">
      <w:pPr>
        <w:ind w:left="540" w:hanging="540"/>
        <w:jc w:val="both"/>
        <w:rPr>
          <w:rFonts w:ascii="Times New Roman" w:eastAsia="Times New Roman" w:hAnsi="Times New Roman" w:cs="Times New Roman"/>
          <w:sz w:val="24"/>
          <w:szCs w:val="24"/>
          <w:lang w:val="en-US" w:eastAsia="en-US"/>
        </w:rPr>
      </w:pPr>
      <w:proofErr w:type="spellStart"/>
      <w:r w:rsidRPr="00AE72E7">
        <w:rPr>
          <w:rFonts w:ascii="Times New Roman" w:eastAsia="Times New Roman" w:hAnsi="Times New Roman" w:cs="Times New Roman"/>
          <w:sz w:val="24"/>
          <w:szCs w:val="24"/>
          <w:lang w:val="en-US" w:eastAsia="en-US"/>
        </w:rPr>
        <w:t>Mahomoodally</w:t>
      </w:r>
      <w:proofErr w:type="spellEnd"/>
      <w:r w:rsidRPr="00AE72E7">
        <w:rPr>
          <w:rFonts w:ascii="Times New Roman" w:eastAsia="Times New Roman" w:hAnsi="Times New Roman" w:cs="Times New Roman"/>
          <w:sz w:val="24"/>
          <w:szCs w:val="24"/>
          <w:lang w:val="en-US" w:eastAsia="en-US"/>
        </w:rPr>
        <w:t xml:space="preserve">, M. F., Coodian, K., Hosenally, M., Zengin, G., Shariati, M. A., Abdalla, A. N., Alhazmi, H. A., </w:t>
      </w:r>
      <w:proofErr w:type="spellStart"/>
      <w:r w:rsidRPr="00AE72E7">
        <w:rPr>
          <w:rFonts w:ascii="Times New Roman" w:eastAsia="Times New Roman" w:hAnsi="Times New Roman" w:cs="Times New Roman"/>
          <w:sz w:val="24"/>
          <w:szCs w:val="24"/>
          <w:lang w:val="en-US" w:eastAsia="en-US"/>
        </w:rPr>
        <w:t>Khuwaja</w:t>
      </w:r>
      <w:proofErr w:type="spellEnd"/>
      <w:r w:rsidRPr="00AE72E7">
        <w:rPr>
          <w:rFonts w:ascii="Times New Roman" w:eastAsia="Times New Roman" w:hAnsi="Times New Roman" w:cs="Times New Roman"/>
          <w:sz w:val="24"/>
          <w:szCs w:val="24"/>
          <w:lang w:val="en-US" w:eastAsia="en-US"/>
        </w:rPr>
        <w:t xml:space="preserve">, G., Mohan, S., &amp; Khalid, A. (2024). Herbal remedies in the management of hyperuricemia and gout: A review of in </w:t>
      </w:r>
      <w:r w:rsidRPr="00AE72E7">
        <w:rPr>
          <w:rFonts w:ascii="Times New Roman" w:eastAsia="Times New Roman" w:hAnsi="Times New Roman" w:cs="Times New Roman"/>
          <w:sz w:val="24"/>
          <w:szCs w:val="24"/>
          <w:lang w:val="en-US" w:eastAsia="en-US"/>
        </w:rPr>
        <w:lastRenderedPageBreak/>
        <w:t xml:space="preserve">vitro, in vivo and clinical evidences. </w:t>
      </w:r>
      <w:r w:rsidRPr="00AE72E7">
        <w:rPr>
          <w:rFonts w:ascii="Times New Roman" w:eastAsia="Times New Roman" w:hAnsi="Times New Roman" w:cs="Times New Roman"/>
          <w:i/>
          <w:iCs/>
          <w:sz w:val="24"/>
          <w:szCs w:val="24"/>
          <w:lang w:val="en-US" w:eastAsia="en-US"/>
        </w:rPr>
        <w:t>Phytotherapy Research, 38</w:t>
      </w:r>
      <w:r w:rsidRPr="00AE72E7">
        <w:rPr>
          <w:rFonts w:ascii="Times New Roman" w:eastAsia="Times New Roman" w:hAnsi="Times New Roman" w:cs="Times New Roman"/>
          <w:sz w:val="24"/>
          <w:szCs w:val="24"/>
          <w:lang w:val="en-US" w:eastAsia="en-US"/>
        </w:rPr>
        <w:t xml:space="preserve">(7), 3370–3400. </w:t>
      </w:r>
      <w:hyperlink r:id="rId15" w:tgtFrame="_blank" w:history="1">
        <w:r w:rsidRPr="00AE72E7">
          <w:rPr>
            <w:rFonts w:ascii="Times New Roman" w:eastAsia="Times New Roman" w:hAnsi="Times New Roman" w:cs="Times New Roman"/>
            <w:color w:val="0000FF"/>
            <w:sz w:val="24"/>
            <w:szCs w:val="24"/>
            <w:u w:val="single"/>
            <w:lang w:val="en-US" w:eastAsia="en-US"/>
          </w:rPr>
          <w:t>https://doi.org/10.1002/ptr.8211</w:t>
        </w:r>
      </w:hyperlink>
      <w:r w:rsidRPr="00AE72E7">
        <w:rPr>
          <w:rFonts w:ascii="Times New Roman" w:eastAsia="Times New Roman" w:hAnsi="Times New Roman" w:cs="Times New Roman"/>
          <w:sz w:val="24"/>
          <w:szCs w:val="24"/>
          <w:lang w:val="en-US" w:eastAsia="en-US"/>
        </w:rPr>
        <w:t xml:space="preserve"> </w:t>
      </w:r>
    </w:p>
    <w:p w14:paraId="6C8C092E" w14:textId="169D5E42"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Ministry of Health of Vietnam. (2015). </w:t>
      </w:r>
      <w:r w:rsidRPr="00AE72E7">
        <w:rPr>
          <w:rFonts w:ascii="Times New Roman" w:eastAsia="Times New Roman" w:hAnsi="Times New Roman" w:cs="Times New Roman"/>
          <w:i/>
          <w:iCs/>
          <w:sz w:val="24"/>
          <w:szCs w:val="24"/>
          <w:lang w:val="en-US" w:eastAsia="en-US"/>
        </w:rPr>
        <w:t>Guidelines for preclinical and clinical trials of traditional medicines and herbal drugs</w:t>
      </w:r>
      <w:r w:rsidRPr="00AE72E7">
        <w:rPr>
          <w:rFonts w:ascii="Times New Roman" w:eastAsia="Times New Roman" w:hAnsi="Times New Roman" w:cs="Times New Roman"/>
          <w:sz w:val="24"/>
          <w:szCs w:val="24"/>
          <w:lang w:val="en-US" w:eastAsia="en-US"/>
        </w:rPr>
        <w:t xml:space="preserve"> (Decision No. 141/QĐ-K2ĐT). </w:t>
      </w:r>
    </w:p>
    <w:p w14:paraId="53491B4D" w14:textId="0D61F663" w:rsidR="00AE72E7" w:rsidRPr="00AE72E7" w:rsidRDefault="00AE72E7" w:rsidP="00AE72E7">
      <w:pPr>
        <w:ind w:left="540" w:hanging="540"/>
        <w:jc w:val="both"/>
        <w:rPr>
          <w:rFonts w:ascii="Times New Roman" w:eastAsia="Times New Roman" w:hAnsi="Times New Roman" w:cs="Times New Roman"/>
          <w:sz w:val="24"/>
          <w:szCs w:val="24"/>
          <w:lang w:val="en-US" w:eastAsia="en-US"/>
        </w:rPr>
      </w:pPr>
      <w:proofErr w:type="spellStart"/>
      <w:r w:rsidRPr="00AE72E7">
        <w:rPr>
          <w:rFonts w:ascii="Times New Roman" w:eastAsia="Times New Roman" w:hAnsi="Times New Roman" w:cs="Times New Roman"/>
          <w:sz w:val="24"/>
          <w:szCs w:val="24"/>
          <w:lang w:val="en-US" w:eastAsia="en-US"/>
        </w:rPr>
        <w:t>Musdja</w:t>
      </w:r>
      <w:proofErr w:type="spellEnd"/>
      <w:r w:rsidRPr="00AE72E7">
        <w:rPr>
          <w:rFonts w:ascii="Times New Roman" w:eastAsia="Times New Roman" w:hAnsi="Times New Roman" w:cs="Times New Roman"/>
          <w:sz w:val="24"/>
          <w:szCs w:val="24"/>
          <w:lang w:val="en-US" w:eastAsia="en-US"/>
        </w:rPr>
        <w:t xml:space="preserve">, M. Y., </w:t>
      </w:r>
      <w:proofErr w:type="spellStart"/>
      <w:r w:rsidRPr="00AE72E7">
        <w:rPr>
          <w:rFonts w:ascii="Times New Roman" w:eastAsia="Times New Roman" w:hAnsi="Times New Roman" w:cs="Times New Roman"/>
          <w:sz w:val="24"/>
          <w:szCs w:val="24"/>
          <w:lang w:val="en-US" w:eastAsia="en-US"/>
        </w:rPr>
        <w:t>Azter</w:t>
      </w:r>
      <w:proofErr w:type="spellEnd"/>
      <w:r w:rsidRPr="00AE72E7">
        <w:rPr>
          <w:rFonts w:ascii="Times New Roman" w:eastAsia="Times New Roman" w:hAnsi="Times New Roman" w:cs="Times New Roman"/>
          <w:sz w:val="24"/>
          <w:szCs w:val="24"/>
          <w:lang w:val="en-US" w:eastAsia="en-US"/>
        </w:rPr>
        <w:t xml:space="preserve">, A. A., &amp; Musir, A. (2019). The effect of ethanol extract of </w:t>
      </w:r>
      <w:proofErr w:type="spellStart"/>
      <w:r w:rsidRPr="00AE72E7">
        <w:rPr>
          <w:rFonts w:ascii="Times New Roman" w:eastAsia="Times New Roman" w:hAnsi="Times New Roman" w:cs="Times New Roman"/>
          <w:i/>
          <w:iCs/>
          <w:sz w:val="24"/>
          <w:szCs w:val="24"/>
          <w:lang w:val="en-US" w:eastAsia="en-US"/>
        </w:rPr>
        <w:t>Elephantopus</w:t>
      </w:r>
      <w:proofErr w:type="spellEnd"/>
      <w:r w:rsidRPr="00AE72E7">
        <w:rPr>
          <w:rFonts w:ascii="Times New Roman" w:eastAsia="Times New Roman" w:hAnsi="Times New Roman" w:cs="Times New Roman"/>
          <w:i/>
          <w:iCs/>
          <w:sz w:val="24"/>
          <w:szCs w:val="24"/>
          <w:lang w:val="en-US" w:eastAsia="en-US"/>
        </w:rPr>
        <w:t xml:space="preserve"> </w:t>
      </w:r>
      <w:proofErr w:type="spellStart"/>
      <w:r w:rsidRPr="00AE72E7">
        <w:rPr>
          <w:rFonts w:ascii="Times New Roman" w:eastAsia="Times New Roman" w:hAnsi="Times New Roman" w:cs="Times New Roman"/>
          <w:i/>
          <w:iCs/>
          <w:sz w:val="24"/>
          <w:szCs w:val="24"/>
          <w:lang w:val="en-US" w:eastAsia="en-US"/>
        </w:rPr>
        <w:t>scaber</w:t>
      </w:r>
      <w:proofErr w:type="spellEnd"/>
      <w:r w:rsidRPr="00AE72E7">
        <w:rPr>
          <w:rFonts w:ascii="Times New Roman" w:eastAsia="Times New Roman" w:hAnsi="Times New Roman" w:cs="Times New Roman"/>
          <w:sz w:val="24"/>
          <w:szCs w:val="24"/>
          <w:lang w:val="en-US" w:eastAsia="en-US"/>
        </w:rPr>
        <w:t xml:space="preserve"> Linn in decreasing blood uric acid levels of </w:t>
      </w:r>
      <w:proofErr w:type="spellStart"/>
      <w:r w:rsidRPr="00AE72E7">
        <w:rPr>
          <w:rFonts w:ascii="Times New Roman" w:eastAsia="Times New Roman" w:hAnsi="Times New Roman" w:cs="Times New Roman"/>
          <w:sz w:val="24"/>
          <w:szCs w:val="24"/>
          <w:lang w:val="en-US" w:eastAsia="en-US"/>
        </w:rPr>
        <w:t>hyperuricemic</w:t>
      </w:r>
      <w:proofErr w:type="spellEnd"/>
      <w:r w:rsidRPr="00AE72E7">
        <w:rPr>
          <w:rFonts w:ascii="Times New Roman" w:eastAsia="Times New Roman" w:hAnsi="Times New Roman" w:cs="Times New Roman"/>
          <w:sz w:val="24"/>
          <w:szCs w:val="24"/>
          <w:lang w:val="en-US" w:eastAsia="en-US"/>
        </w:rPr>
        <w:t xml:space="preserve"> male rats. </w:t>
      </w:r>
      <w:r w:rsidRPr="00AE72E7">
        <w:rPr>
          <w:rFonts w:ascii="Times New Roman" w:eastAsia="Times New Roman" w:hAnsi="Times New Roman" w:cs="Times New Roman"/>
          <w:i/>
          <w:iCs/>
          <w:sz w:val="24"/>
          <w:szCs w:val="24"/>
          <w:lang w:val="en-US" w:eastAsia="en-US"/>
        </w:rPr>
        <w:t>European Journal of Medicinal Plants, 28</w:t>
      </w:r>
      <w:r w:rsidRPr="00AE72E7">
        <w:rPr>
          <w:rFonts w:ascii="Times New Roman" w:eastAsia="Times New Roman" w:hAnsi="Times New Roman" w:cs="Times New Roman"/>
          <w:sz w:val="24"/>
          <w:szCs w:val="24"/>
          <w:lang w:val="en-US" w:eastAsia="en-US"/>
        </w:rPr>
        <w:t xml:space="preserve">(4), 1–9. </w:t>
      </w:r>
      <w:hyperlink r:id="rId16" w:tgtFrame="_blank" w:history="1">
        <w:r w:rsidRPr="00AE72E7">
          <w:rPr>
            <w:rFonts w:ascii="Times New Roman" w:eastAsia="Times New Roman" w:hAnsi="Times New Roman" w:cs="Times New Roman"/>
            <w:color w:val="0000FF"/>
            <w:sz w:val="24"/>
            <w:szCs w:val="24"/>
            <w:u w:val="single"/>
            <w:lang w:val="en-US" w:eastAsia="en-US"/>
          </w:rPr>
          <w:t>https://doi.org/10.9734/ejmp/2019/v28i430140</w:t>
        </w:r>
      </w:hyperlink>
      <w:r w:rsidRPr="00AE72E7">
        <w:rPr>
          <w:rFonts w:ascii="Times New Roman" w:eastAsia="Times New Roman" w:hAnsi="Times New Roman" w:cs="Times New Roman"/>
          <w:sz w:val="24"/>
          <w:szCs w:val="24"/>
          <w:lang w:val="en-US" w:eastAsia="en-US"/>
        </w:rPr>
        <w:t xml:space="preserve"> </w:t>
      </w:r>
    </w:p>
    <w:p w14:paraId="36A940E6" w14:textId="0D9F09A1"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National Research Council. (1985). </w:t>
      </w:r>
      <w:r w:rsidRPr="00AE72E7">
        <w:rPr>
          <w:rFonts w:ascii="Times New Roman" w:eastAsia="Times New Roman" w:hAnsi="Times New Roman" w:cs="Times New Roman"/>
          <w:i/>
          <w:iCs/>
          <w:sz w:val="24"/>
          <w:szCs w:val="24"/>
          <w:lang w:val="en-US" w:eastAsia="en-US"/>
        </w:rPr>
        <w:t>Guide for the care and use of laboratory animals</w:t>
      </w:r>
      <w:r w:rsidRPr="00AE72E7">
        <w:rPr>
          <w:rFonts w:ascii="Times New Roman" w:eastAsia="Times New Roman" w:hAnsi="Times New Roman" w:cs="Times New Roman"/>
          <w:sz w:val="24"/>
          <w:szCs w:val="24"/>
          <w:lang w:val="en-US" w:eastAsia="en-US"/>
        </w:rPr>
        <w:t xml:space="preserve"> (NIH Publication No. 85-23, revised 1985). U.S. Department of Health and Human Services, Public Health Service, National Institutes of Health. </w:t>
      </w:r>
    </w:p>
    <w:p w14:paraId="162B8EED" w14:textId="79251F9C"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Nguyen, M. T. T., Awale, S., Tezuka, Y., Tran, Q. L., &amp; Kadota, S. (2005). Xanthine oxidase inhibitors from the heartwood of Vietnamese </w:t>
      </w:r>
      <w:r w:rsidRPr="00AE72E7">
        <w:rPr>
          <w:rFonts w:ascii="Times New Roman" w:eastAsia="Times New Roman" w:hAnsi="Times New Roman" w:cs="Times New Roman"/>
          <w:i/>
          <w:iCs/>
          <w:sz w:val="24"/>
          <w:szCs w:val="24"/>
          <w:lang w:val="en-US" w:eastAsia="en-US"/>
        </w:rPr>
        <w:t xml:space="preserve">Caesalpinia </w:t>
      </w:r>
      <w:proofErr w:type="spellStart"/>
      <w:r w:rsidRPr="00AE72E7">
        <w:rPr>
          <w:rFonts w:ascii="Times New Roman" w:eastAsia="Times New Roman" w:hAnsi="Times New Roman" w:cs="Times New Roman"/>
          <w:i/>
          <w:iCs/>
          <w:sz w:val="24"/>
          <w:szCs w:val="24"/>
          <w:lang w:val="en-US" w:eastAsia="en-US"/>
        </w:rPr>
        <w:t>sappan</w:t>
      </w:r>
      <w:proofErr w:type="spellEnd"/>
      <w:r w:rsidRPr="00AE72E7">
        <w:rPr>
          <w:rFonts w:ascii="Times New Roman" w:eastAsia="Times New Roman" w:hAnsi="Times New Roman" w:cs="Times New Roman"/>
          <w:sz w:val="24"/>
          <w:szCs w:val="24"/>
          <w:lang w:val="en-US" w:eastAsia="en-US"/>
        </w:rPr>
        <w:t xml:space="preserve">. </w:t>
      </w:r>
      <w:r w:rsidRPr="00AE72E7">
        <w:rPr>
          <w:rFonts w:ascii="Times New Roman" w:eastAsia="Times New Roman" w:hAnsi="Times New Roman" w:cs="Times New Roman"/>
          <w:i/>
          <w:iCs/>
          <w:sz w:val="24"/>
          <w:szCs w:val="24"/>
          <w:lang w:val="en-US" w:eastAsia="en-US"/>
        </w:rPr>
        <w:t>Chemical and Pharmaceutical Bulletin, 53</w:t>
      </w:r>
      <w:r w:rsidRPr="00AE72E7">
        <w:rPr>
          <w:rFonts w:ascii="Times New Roman" w:eastAsia="Times New Roman" w:hAnsi="Times New Roman" w:cs="Times New Roman"/>
          <w:sz w:val="24"/>
          <w:szCs w:val="24"/>
          <w:lang w:val="en-US" w:eastAsia="en-US"/>
        </w:rPr>
        <w:t xml:space="preserve">(8), 984–988. </w:t>
      </w:r>
      <w:hyperlink r:id="rId17" w:tgtFrame="_blank" w:history="1">
        <w:r w:rsidRPr="00AE72E7">
          <w:rPr>
            <w:rFonts w:ascii="Times New Roman" w:eastAsia="Times New Roman" w:hAnsi="Times New Roman" w:cs="Times New Roman"/>
            <w:color w:val="0000FF"/>
            <w:sz w:val="24"/>
            <w:szCs w:val="24"/>
            <w:u w:val="single"/>
            <w:lang w:val="en-US" w:eastAsia="en-US"/>
          </w:rPr>
          <w:t>https://doi.org/10.1248/cpb.53.984</w:t>
        </w:r>
      </w:hyperlink>
      <w:r w:rsidRPr="00AE72E7">
        <w:rPr>
          <w:rFonts w:ascii="Times New Roman" w:eastAsia="Times New Roman" w:hAnsi="Times New Roman" w:cs="Times New Roman"/>
          <w:sz w:val="24"/>
          <w:szCs w:val="24"/>
          <w:lang w:val="en-US" w:eastAsia="en-US"/>
        </w:rPr>
        <w:t xml:space="preserve"> </w:t>
      </w:r>
    </w:p>
    <w:p w14:paraId="2016C5A2" w14:textId="6E63A07A"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nl-BE" w:eastAsia="en-US"/>
        </w:rPr>
        <w:t xml:space="preserve">Nguyen, T. D., Thuong, P. T., Hwang, I. H., Hoang, T. K. H., Nguyen, M. K., Nguyen, H. A., &amp; Na, M. (2017). </w:t>
      </w:r>
      <w:r w:rsidRPr="00AE72E7">
        <w:rPr>
          <w:rFonts w:ascii="Times New Roman" w:eastAsia="Times New Roman" w:hAnsi="Times New Roman" w:cs="Times New Roman"/>
          <w:sz w:val="24"/>
          <w:szCs w:val="24"/>
          <w:lang w:val="en-US" w:eastAsia="en-US"/>
        </w:rPr>
        <w:t>Anti-</w:t>
      </w:r>
      <w:proofErr w:type="spellStart"/>
      <w:r w:rsidRPr="00AE72E7">
        <w:rPr>
          <w:rFonts w:ascii="Times New Roman" w:eastAsia="Times New Roman" w:hAnsi="Times New Roman" w:cs="Times New Roman"/>
          <w:sz w:val="24"/>
          <w:szCs w:val="24"/>
          <w:lang w:val="en-US" w:eastAsia="en-US"/>
        </w:rPr>
        <w:t>hyperuricemic</w:t>
      </w:r>
      <w:proofErr w:type="spellEnd"/>
      <w:r w:rsidRPr="00AE72E7">
        <w:rPr>
          <w:rFonts w:ascii="Times New Roman" w:eastAsia="Times New Roman" w:hAnsi="Times New Roman" w:cs="Times New Roman"/>
          <w:sz w:val="24"/>
          <w:szCs w:val="24"/>
          <w:lang w:val="en-US" w:eastAsia="en-US"/>
        </w:rPr>
        <w:t xml:space="preserve">, anti-inflammatory and analgesic effects of </w:t>
      </w:r>
      <w:proofErr w:type="spellStart"/>
      <w:r w:rsidRPr="00AE72E7">
        <w:rPr>
          <w:rFonts w:ascii="Times New Roman" w:eastAsia="Times New Roman" w:hAnsi="Times New Roman" w:cs="Times New Roman"/>
          <w:i/>
          <w:iCs/>
          <w:sz w:val="24"/>
          <w:szCs w:val="24"/>
          <w:lang w:val="en-US" w:eastAsia="en-US"/>
        </w:rPr>
        <w:t>Siegesbeckia</w:t>
      </w:r>
      <w:proofErr w:type="spellEnd"/>
      <w:r w:rsidRPr="00AE72E7">
        <w:rPr>
          <w:rFonts w:ascii="Times New Roman" w:eastAsia="Times New Roman" w:hAnsi="Times New Roman" w:cs="Times New Roman"/>
          <w:i/>
          <w:iCs/>
          <w:sz w:val="24"/>
          <w:szCs w:val="24"/>
          <w:lang w:val="en-US" w:eastAsia="en-US"/>
        </w:rPr>
        <w:t xml:space="preserve"> orientalis</w:t>
      </w:r>
      <w:r w:rsidRPr="00AE72E7">
        <w:rPr>
          <w:rFonts w:ascii="Times New Roman" w:eastAsia="Times New Roman" w:hAnsi="Times New Roman" w:cs="Times New Roman"/>
          <w:sz w:val="24"/>
          <w:szCs w:val="24"/>
          <w:lang w:val="en-US" w:eastAsia="en-US"/>
        </w:rPr>
        <w:t xml:space="preserve"> L. resulting from the fraction with high phenolic content. </w:t>
      </w:r>
      <w:r w:rsidRPr="00AE72E7">
        <w:rPr>
          <w:rFonts w:ascii="Times New Roman" w:eastAsia="Times New Roman" w:hAnsi="Times New Roman" w:cs="Times New Roman"/>
          <w:i/>
          <w:iCs/>
          <w:sz w:val="24"/>
          <w:szCs w:val="24"/>
          <w:lang w:val="en-US" w:eastAsia="en-US"/>
        </w:rPr>
        <w:t>BMC Complementary and Alternative Medicine, 17</w:t>
      </w:r>
      <w:r w:rsidRPr="00AE72E7">
        <w:rPr>
          <w:rFonts w:ascii="Times New Roman" w:eastAsia="Times New Roman" w:hAnsi="Times New Roman" w:cs="Times New Roman"/>
          <w:sz w:val="24"/>
          <w:szCs w:val="24"/>
          <w:lang w:val="en-US" w:eastAsia="en-US"/>
        </w:rPr>
        <w:t xml:space="preserve">, 191. </w:t>
      </w:r>
      <w:hyperlink r:id="rId18" w:tgtFrame="_blank" w:history="1">
        <w:r w:rsidRPr="00AE72E7">
          <w:rPr>
            <w:rFonts w:ascii="Times New Roman" w:eastAsia="Times New Roman" w:hAnsi="Times New Roman" w:cs="Times New Roman"/>
            <w:color w:val="0000FF"/>
            <w:sz w:val="24"/>
            <w:szCs w:val="24"/>
            <w:u w:val="single"/>
            <w:lang w:val="en-US" w:eastAsia="en-US"/>
          </w:rPr>
          <w:t>https://doi.org/10.1186/s12906-017-1698-z</w:t>
        </w:r>
      </w:hyperlink>
      <w:r w:rsidRPr="00AE72E7">
        <w:rPr>
          <w:rFonts w:ascii="Times New Roman" w:eastAsia="Times New Roman" w:hAnsi="Times New Roman" w:cs="Times New Roman"/>
          <w:sz w:val="24"/>
          <w:szCs w:val="24"/>
          <w:lang w:val="en-US" w:eastAsia="en-US"/>
        </w:rPr>
        <w:t xml:space="preserve"> </w:t>
      </w:r>
    </w:p>
    <w:p w14:paraId="24A89FC9" w14:textId="7FEB9D20"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Nguyen, X. C., Chau, V. M., Phan, V. K., Hoang, T. H., Ninh, K. B., Nguyen, X. N., Nguyen, H. T., Jung, J.-W., Kim, H.-J., Kim, S.-Y., Kim, J. A., &amp; Kim, Y. H. (2009). Inhibitors of osteoclast formation from rhizomes of </w:t>
      </w:r>
      <w:proofErr w:type="spellStart"/>
      <w:r w:rsidRPr="00AE72E7">
        <w:rPr>
          <w:rFonts w:ascii="Times New Roman" w:eastAsia="Times New Roman" w:hAnsi="Times New Roman" w:cs="Times New Roman"/>
          <w:i/>
          <w:iCs/>
          <w:sz w:val="24"/>
          <w:szCs w:val="24"/>
          <w:lang w:val="en-US" w:eastAsia="en-US"/>
        </w:rPr>
        <w:t>Cibotium</w:t>
      </w:r>
      <w:proofErr w:type="spellEnd"/>
      <w:r w:rsidRPr="00AE72E7">
        <w:rPr>
          <w:rFonts w:ascii="Times New Roman" w:eastAsia="Times New Roman" w:hAnsi="Times New Roman" w:cs="Times New Roman"/>
          <w:i/>
          <w:iCs/>
          <w:sz w:val="24"/>
          <w:szCs w:val="24"/>
          <w:lang w:val="en-US" w:eastAsia="en-US"/>
        </w:rPr>
        <w:t xml:space="preserve"> barometz</w:t>
      </w:r>
      <w:r w:rsidRPr="00AE72E7">
        <w:rPr>
          <w:rFonts w:ascii="Times New Roman" w:eastAsia="Times New Roman" w:hAnsi="Times New Roman" w:cs="Times New Roman"/>
          <w:sz w:val="24"/>
          <w:szCs w:val="24"/>
          <w:lang w:val="en-US" w:eastAsia="en-US"/>
        </w:rPr>
        <w:t xml:space="preserve">. </w:t>
      </w:r>
      <w:r w:rsidRPr="00AE72E7">
        <w:rPr>
          <w:rFonts w:ascii="Times New Roman" w:eastAsia="Times New Roman" w:hAnsi="Times New Roman" w:cs="Times New Roman"/>
          <w:i/>
          <w:iCs/>
          <w:sz w:val="24"/>
          <w:szCs w:val="24"/>
          <w:lang w:val="en-US" w:eastAsia="en-US"/>
        </w:rPr>
        <w:t>Journal of Natural Products, 72</w:t>
      </w:r>
      <w:r w:rsidRPr="00AE72E7">
        <w:rPr>
          <w:rFonts w:ascii="Times New Roman" w:eastAsia="Times New Roman" w:hAnsi="Times New Roman" w:cs="Times New Roman"/>
          <w:sz w:val="24"/>
          <w:szCs w:val="24"/>
          <w:lang w:val="en-US" w:eastAsia="en-US"/>
        </w:rPr>
        <w:t xml:space="preserve">(9), 1673–1677. </w:t>
      </w:r>
      <w:hyperlink r:id="rId19" w:tgtFrame="_blank" w:history="1">
        <w:r w:rsidRPr="00AE72E7">
          <w:rPr>
            <w:rFonts w:ascii="Times New Roman" w:eastAsia="Times New Roman" w:hAnsi="Times New Roman" w:cs="Times New Roman"/>
            <w:color w:val="0000FF"/>
            <w:sz w:val="24"/>
            <w:szCs w:val="24"/>
            <w:u w:val="single"/>
            <w:lang w:val="en-US" w:eastAsia="en-US"/>
          </w:rPr>
          <w:t>https://doi.org/10.1021/np9004097</w:t>
        </w:r>
      </w:hyperlink>
      <w:r w:rsidRPr="00AE72E7">
        <w:rPr>
          <w:rFonts w:ascii="Times New Roman" w:eastAsia="Times New Roman" w:hAnsi="Times New Roman" w:cs="Times New Roman"/>
          <w:sz w:val="24"/>
          <w:szCs w:val="24"/>
          <w:lang w:val="en-US" w:eastAsia="en-US"/>
        </w:rPr>
        <w:t xml:space="preserve"> </w:t>
      </w:r>
    </w:p>
    <w:p w14:paraId="7406A3E1" w14:textId="00E6D8EB"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Nirmal, N. P., Rajput, M. S., Prasad, R. G. S. V., &amp; Ahmad, M. (2015). Brazilin from </w:t>
      </w:r>
      <w:r w:rsidRPr="00AE72E7">
        <w:rPr>
          <w:rFonts w:ascii="Times New Roman" w:eastAsia="Times New Roman" w:hAnsi="Times New Roman" w:cs="Times New Roman"/>
          <w:i/>
          <w:iCs/>
          <w:sz w:val="24"/>
          <w:szCs w:val="24"/>
          <w:lang w:val="en-US" w:eastAsia="en-US"/>
        </w:rPr>
        <w:t xml:space="preserve">Caesalpinia </w:t>
      </w:r>
      <w:proofErr w:type="spellStart"/>
      <w:r w:rsidRPr="00AE72E7">
        <w:rPr>
          <w:rFonts w:ascii="Times New Roman" w:eastAsia="Times New Roman" w:hAnsi="Times New Roman" w:cs="Times New Roman"/>
          <w:i/>
          <w:iCs/>
          <w:sz w:val="24"/>
          <w:szCs w:val="24"/>
          <w:lang w:val="en-US" w:eastAsia="en-US"/>
        </w:rPr>
        <w:t>sappan</w:t>
      </w:r>
      <w:proofErr w:type="spellEnd"/>
      <w:r w:rsidRPr="00AE72E7">
        <w:rPr>
          <w:rFonts w:ascii="Times New Roman" w:eastAsia="Times New Roman" w:hAnsi="Times New Roman" w:cs="Times New Roman"/>
          <w:sz w:val="24"/>
          <w:szCs w:val="24"/>
          <w:lang w:val="en-US" w:eastAsia="en-US"/>
        </w:rPr>
        <w:t xml:space="preserve"> heartwood and its pharmacological activities: A review. </w:t>
      </w:r>
      <w:r w:rsidRPr="00AE72E7">
        <w:rPr>
          <w:rFonts w:ascii="Times New Roman" w:eastAsia="Times New Roman" w:hAnsi="Times New Roman" w:cs="Times New Roman"/>
          <w:i/>
          <w:iCs/>
          <w:sz w:val="24"/>
          <w:szCs w:val="24"/>
          <w:lang w:val="en-US" w:eastAsia="en-US"/>
        </w:rPr>
        <w:t>Asian Pacific Journal of Tropical Medicine, 8</w:t>
      </w:r>
      <w:r w:rsidRPr="00AE72E7">
        <w:rPr>
          <w:rFonts w:ascii="Times New Roman" w:eastAsia="Times New Roman" w:hAnsi="Times New Roman" w:cs="Times New Roman"/>
          <w:sz w:val="24"/>
          <w:szCs w:val="24"/>
          <w:lang w:val="en-US" w:eastAsia="en-US"/>
        </w:rPr>
        <w:t xml:space="preserve">(6), 421–430. </w:t>
      </w:r>
      <w:hyperlink r:id="rId20" w:tgtFrame="_blank" w:history="1">
        <w:r w:rsidRPr="00AE72E7">
          <w:rPr>
            <w:rFonts w:ascii="Times New Roman" w:eastAsia="Times New Roman" w:hAnsi="Times New Roman" w:cs="Times New Roman"/>
            <w:color w:val="0000FF"/>
            <w:sz w:val="24"/>
            <w:szCs w:val="24"/>
            <w:u w:val="single"/>
            <w:lang w:val="en-US" w:eastAsia="en-US"/>
          </w:rPr>
          <w:t>https://doi.org/10.1016/j.apjtm.2015.05.014</w:t>
        </w:r>
      </w:hyperlink>
      <w:r w:rsidRPr="00AE72E7">
        <w:rPr>
          <w:rFonts w:ascii="Times New Roman" w:eastAsia="Times New Roman" w:hAnsi="Times New Roman" w:cs="Times New Roman"/>
          <w:sz w:val="24"/>
          <w:szCs w:val="24"/>
          <w:lang w:val="en-US" w:eastAsia="en-US"/>
        </w:rPr>
        <w:t xml:space="preserve"> </w:t>
      </w:r>
    </w:p>
    <w:p w14:paraId="3DC9E1FA" w14:textId="201421A6" w:rsidR="00AE72E7" w:rsidRPr="00AE72E7" w:rsidRDefault="00AE72E7" w:rsidP="00AE72E7">
      <w:pPr>
        <w:ind w:left="540" w:hanging="540"/>
        <w:jc w:val="both"/>
        <w:rPr>
          <w:rFonts w:ascii="Times New Roman" w:eastAsia="Times New Roman" w:hAnsi="Times New Roman" w:cs="Times New Roman"/>
          <w:sz w:val="24"/>
          <w:szCs w:val="24"/>
          <w:lang w:val="nl-BE" w:eastAsia="en-US"/>
        </w:rPr>
      </w:pPr>
      <w:r w:rsidRPr="00AE72E7">
        <w:rPr>
          <w:rFonts w:ascii="Times New Roman" w:eastAsia="Times New Roman" w:hAnsi="Times New Roman" w:cs="Times New Roman"/>
          <w:sz w:val="24"/>
          <w:szCs w:val="24"/>
          <w:lang w:val="en-US" w:eastAsia="en-US"/>
        </w:rPr>
        <w:t xml:space="preserve">Orellana-Paucar, A. M. (2023). </w:t>
      </w:r>
      <w:proofErr w:type="spellStart"/>
      <w:r w:rsidRPr="00AE72E7">
        <w:rPr>
          <w:rFonts w:ascii="Times New Roman" w:eastAsia="Times New Roman" w:hAnsi="Times New Roman" w:cs="Times New Roman"/>
          <w:sz w:val="24"/>
          <w:szCs w:val="24"/>
          <w:lang w:val="en-US" w:eastAsia="en-US"/>
        </w:rPr>
        <w:t>Steviol</w:t>
      </w:r>
      <w:proofErr w:type="spellEnd"/>
      <w:r w:rsidRPr="00AE72E7">
        <w:rPr>
          <w:rFonts w:ascii="Times New Roman" w:eastAsia="Times New Roman" w:hAnsi="Times New Roman" w:cs="Times New Roman"/>
          <w:sz w:val="24"/>
          <w:szCs w:val="24"/>
          <w:lang w:val="en-US" w:eastAsia="en-US"/>
        </w:rPr>
        <w:t xml:space="preserve"> glycosides from </w:t>
      </w:r>
      <w:r w:rsidRPr="00AE72E7">
        <w:rPr>
          <w:rFonts w:ascii="Times New Roman" w:eastAsia="Times New Roman" w:hAnsi="Times New Roman" w:cs="Times New Roman"/>
          <w:i/>
          <w:iCs/>
          <w:sz w:val="24"/>
          <w:szCs w:val="24"/>
          <w:lang w:val="en-US" w:eastAsia="en-US"/>
        </w:rPr>
        <w:t xml:space="preserve">Stevia </w:t>
      </w:r>
      <w:proofErr w:type="spellStart"/>
      <w:r w:rsidRPr="00AE72E7">
        <w:rPr>
          <w:rFonts w:ascii="Times New Roman" w:eastAsia="Times New Roman" w:hAnsi="Times New Roman" w:cs="Times New Roman"/>
          <w:i/>
          <w:iCs/>
          <w:sz w:val="24"/>
          <w:szCs w:val="24"/>
          <w:lang w:val="en-US" w:eastAsia="en-US"/>
        </w:rPr>
        <w:t>rebaudiana</w:t>
      </w:r>
      <w:proofErr w:type="spellEnd"/>
      <w:r w:rsidRPr="00AE72E7">
        <w:rPr>
          <w:rFonts w:ascii="Times New Roman" w:eastAsia="Times New Roman" w:hAnsi="Times New Roman" w:cs="Times New Roman"/>
          <w:sz w:val="24"/>
          <w:szCs w:val="24"/>
          <w:lang w:val="en-US" w:eastAsia="en-US"/>
        </w:rPr>
        <w:t xml:space="preserve">: An updated overview of their sweetening activity, pharmacological properties, and safety aspects. </w:t>
      </w:r>
      <w:r w:rsidRPr="00AE72E7">
        <w:rPr>
          <w:rFonts w:ascii="Times New Roman" w:eastAsia="Times New Roman" w:hAnsi="Times New Roman" w:cs="Times New Roman"/>
          <w:i/>
          <w:iCs/>
          <w:sz w:val="24"/>
          <w:szCs w:val="24"/>
          <w:lang w:val="nl-BE" w:eastAsia="en-US"/>
        </w:rPr>
        <w:t>Molecules, 28</w:t>
      </w:r>
      <w:r w:rsidRPr="00AE72E7">
        <w:rPr>
          <w:rFonts w:ascii="Times New Roman" w:eastAsia="Times New Roman" w:hAnsi="Times New Roman" w:cs="Times New Roman"/>
          <w:sz w:val="24"/>
          <w:szCs w:val="24"/>
          <w:lang w:val="nl-BE" w:eastAsia="en-US"/>
        </w:rPr>
        <w:t xml:space="preserve">(3), 1258. </w:t>
      </w:r>
      <w:r w:rsidRPr="00AE72E7">
        <w:rPr>
          <w:rFonts w:ascii="Times New Roman" w:eastAsia="Times New Roman" w:hAnsi="Times New Roman" w:cs="Times New Roman"/>
          <w:sz w:val="24"/>
          <w:szCs w:val="24"/>
          <w:lang w:val="en-US" w:eastAsia="en-US"/>
        </w:rPr>
        <w:fldChar w:fldCharType="begin"/>
      </w:r>
      <w:r w:rsidRPr="00AE72E7">
        <w:rPr>
          <w:rFonts w:ascii="Times New Roman" w:eastAsia="Times New Roman" w:hAnsi="Times New Roman" w:cs="Times New Roman"/>
          <w:sz w:val="24"/>
          <w:szCs w:val="24"/>
          <w:lang w:val="nl-BE" w:eastAsia="en-US"/>
        </w:rPr>
        <w:instrText>HYPERLINK "https://doi.org/10.3390/molecules28031258?utm_source=chatgpt.com" \t "_blank"</w:instrText>
      </w:r>
      <w:r w:rsidRPr="00AE72E7">
        <w:rPr>
          <w:lang w:val="en-US" w:eastAsia="en-US"/>
        </w:rPr>
      </w:r>
      <w:r w:rsidRPr="00AE72E7">
        <w:rPr>
          <w:rFonts w:ascii="Times New Roman" w:eastAsia="Times New Roman" w:hAnsi="Times New Roman" w:cs="Times New Roman"/>
          <w:sz w:val="24"/>
          <w:szCs w:val="24"/>
          <w:lang w:val="en-US" w:eastAsia="en-US"/>
        </w:rPr>
        <w:fldChar w:fldCharType="separate"/>
      </w:r>
      <w:r w:rsidRPr="00AE72E7">
        <w:rPr>
          <w:rFonts w:ascii="Times New Roman" w:eastAsia="Times New Roman" w:hAnsi="Times New Roman" w:cs="Times New Roman"/>
          <w:color w:val="0000FF"/>
          <w:sz w:val="24"/>
          <w:szCs w:val="24"/>
          <w:u w:val="single"/>
          <w:lang w:val="nl-BE" w:eastAsia="en-US"/>
        </w:rPr>
        <w:t>https://doi.org/10.3390/molecules28031258</w:t>
      </w:r>
      <w:r w:rsidRPr="00AE72E7">
        <w:rPr>
          <w:rFonts w:ascii="Times New Roman" w:eastAsia="Times New Roman" w:hAnsi="Times New Roman" w:cs="Times New Roman"/>
          <w:sz w:val="24"/>
          <w:szCs w:val="24"/>
          <w:lang w:val="en-US" w:eastAsia="en-US"/>
        </w:rPr>
        <w:fldChar w:fldCharType="end"/>
      </w:r>
      <w:r w:rsidRPr="00AE72E7">
        <w:rPr>
          <w:rFonts w:ascii="Times New Roman" w:eastAsia="Times New Roman" w:hAnsi="Times New Roman" w:cs="Times New Roman"/>
          <w:sz w:val="24"/>
          <w:szCs w:val="24"/>
          <w:lang w:val="nl-BE" w:eastAsia="en-US"/>
        </w:rPr>
        <w:t xml:space="preserve"> </w:t>
      </w:r>
    </w:p>
    <w:p w14:paraId="04EF1BC0" w14:textId="735957D3"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nl-BE" w:eastAsia="en-US"/>
        </w:rPr>
        <w:t xml:space="preserve">Pillinger, M. H., &amp; Mandell, B. F. (2020). </w:t>
      </w:r>
      <w:r w:rsidRPr="00AE72E7">
        <w:rPr>
          <w:rFonts w:ascii="Times New Roman" w:eastAsia="Times New Roman" w:hAnsi="Times New Roman" w:cs="Times New Roman"/>
          <w:sz w:val="24"/>
          <w:szCs w:val="24"/>
          <w:lang w:val="en-US" w:eastAsia="en-US"/>
        </w:rPr>
        <w:t xml:space="preserve">Therapeutic approaches in the treatment of gout. </w:t>
      </w:r>
      <w:r w:rsidRPr="00AE72E7">
        <w:rPr>
          <w:rFonts w:ascii="Times New Roman" w:eastAsia="Times New Roman" w:hAnsi="Times New Roman" w:cs="Times New Roman"/>
          <w:i/>
          <w:iCs/>
          <w:sz w:val="24"/>
          <w:szCs w:val="24"/>
          <w:lang w:val="en-US" w:eastAsia="en-US"/>
        </w:rPr>
        <w:t>Seminars in Arthritis and Rheumatism, 50</w:t>
      </w:r>
      <w:r w:rsidRPr="00AE72E7">
        <w:rPr>
          <w:rFonts w:ascii="Times New Roman" w:eastAsia="Times New Roman" w:hAnsi="Times New Roman" w:cs="Times New Roman"/>
          <w:sz w:val="24"/>
          <w:szCs w:val="24"/>
          <w:lang w:val="en-US" w:eastAsia="en-US"/>
        </w:rPr>
        <w:t xml:space="preserve">(3 Suppl.), S24–S30. </w:t>
      </w:r>
      <w:hyperlink r:id="rId21" w:tgtFrame="_blank" w:history="1">
        <w:r w:rsidRPr="00AE72E7">
          <w:rPr>
            <w:rFonts w:ascii="Times New Roman" w:eastAsia="Times New Roman" w:hAnsi="Times New Roman" w:cs="Times New Roman"/>
            <w:color w:val="0000FF"/>
            <w:sz w:val="24"/>
            <w:szCs w:val="24"/>
            <w:u w:val="single"/>
            <w:lang w:val="en-US" w:eastAsia="en-US"/>
          </w:rPr>
          <w:t>https://doi.org/10.1016/j.semarthrit.2020.04.010</w:t>
        </w:r>
      </w:hyperlink>
      <w:r w:rsidRPr="00AE72E7">
        <w:rPr>
          <w:rFonts w:ascii="Times New Roman" w:eastAsia="Times New Roman" w:hAnsi="Times New Roman" w:cs="Times New Roman"/>
          <w:sz w:val="24"/>
          <w:szCs w:val="24"/>
          <w:lang w:val="en-US" w:eastAsia="en-US"/>
        </w:rPr>
        <w:t xml:space="preserve"> </w:t>
      </w:r>
    </w:p>
    <w:p w14:paraId="640845C0" w14:textId="383F1002"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Rundles, R. W. (1985). The development of allopurinol. </w:t>
      </w:r>
      <w:r w:rsidRPr="00AE72E7">
        <w:rPr>
          <w:rFonts w:ascii="Times New Roman" w:eastAsia="Times New Roman" w:hAnsi="Times New Roman" w:cs="Times New Roman"/>
          <w:i/>
          <w:iCs/>
          <w:sz w:val="24"/>
          <w:szCs w:val="24"/>
          <w:lang w:val="en-US" w:eastAsia="en-US"/>
        </w:rPr>
        <w:t>Archives of Internal Medicine, 145</w:t>
      </w:r>
      <w:r w:rsidRPr="00AE72E7">
        <w:rPr>
          <w:rFonts w:ascii="Times New Roman" w:eastAsia="Times New Roman" w:hAnsi="Times New Roman" w:cs="Times New Roman"/>
          <w:sz w:val="24"/>
          <w:szCs w:val="24"/>
          <w:lang w:val="en-US" w:eastAsia="en-US"/>
        </w:rPr>
        <w:t xml:space="preserve">(8), 1492–1503. </w:t>
      </w:r>
      <w:hyperlink r:id="rId22" w:tgtFrame="_blank" w:history="1">
        <w:r w:rsidRPr="00AE72E7">
          <w:rPr>
            <w:rFonts w:ascii="Times New Roman" w:eastAsia="Times New Roman" w:hAnsi="Times New Roman" w:cs="Times New Roman"/>
            <w:color w:val="0000FF"/>
            <w:sz w:val="24"/>
            <w:szCs w:val="24"/>
            <w:u w:val="single"/>
            <w:lang w:val="en-US" w:eastAsia="en-US"/>
          </w:rPr>
          <w:t>https://doi.org/10.1001/archinte.1985.00360080174026</w:t>
        </w:r>
      </w:hyperlink>
      <w:r w:rsidRPr="00AE72E7">
        <w:rPr>
          <w:rFonts w:ascii="Times New Roman" w:eastAsia="Times New Roman" w:hAnsi="Times New Roman" w:cs="Times New Roman"/>
          <w:sz w:val="24"/>
          <w:szCs w:val="24"/>
          <w:lang w:val="en-US" w:eastAsia="en-US"/>
        </w:rPr>
        <w:t xml:space="preserve"> </w:t>
      </w:r>
    </w:p>
    <w:p w14:paraId="2C68CF03" w14:textId="3DEC846A"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Safiri, S., </w:t>
      </w:r>
      <w:proofErr w:type="spellStart"/>
      <w:r w:rsidRPr="00AE72E7">
        <w:rPr>
          <w:rFonts w:ascii="Times New Roman" w:eastAsia="Times New Roman" w:hAnsi="Times New Roman" w:cs="Times New Roman"/>
          <w:sz w:val="24"/>
          <w:szCs w:val="24"/>
          <w:lang w:val="en-US" w:eastAsia="en-US"/>
        </w:rPr>
        <w:t>Kolahi</w:t>
      </w:r>
      <w:proofErr w:type="spellEnd"/>
      <w:r w:rsidRPr="00AE72E7">
        <w:rPr>
          <w:rFonts w:ascii="Times New Roman" w:eastAsia="Times New Roman" w:hAnsi="Times New Roman" w:cs="Times New Roman"/>
          <w:sz w:val="24"/>
          <w:szCs w:val="24"/>
          <w:lang w:val="en-US" w:eastAsia="en-US"/>
        </w:rPr>
        <w:t>, A.-A., Cross, M., Carson-Chahhoud, K., Hoy, D., Almasi-</w:t>
      </w:r>
      <w:proofErr w:type="spellStart"/>
      <w:r w:rsidRPr="00AE72E7">
        <w:rPr>
          <w:rFonts w:ascii="Times New Roman" w:eastAsia="Times New Roman" w:hAnsi="Times New Roman" w:cs="Times New Roman"/>
          <w:sz w:val="24"/>
          <w:szCs w:val="24"/>
          <w:lang w:val="en-US" w:eastAsia="en-US"/>
        </w:rPr>
        <w:t>Hashiani</w:t>
      </w:r>
      <w:proofErr w:type="spellEnd"/>
      <w:r w:rsidRPr="00AE72E7">
        <w:rPr>
          <w:rFonts w:ascii="Times New Roman" w:eastAsia="Times New Roman" w:hAnsi="Times New Roman" w:cs="Times New Roman"/>
          <w:sz w:val="24"/>
          <w:szCs w:val="24"/>
          <w:lang w:val="en-US" w:eastAsia="en-US"/>
        </w:rPr>
        <w:t xml:space="preserve">, A., </w:t>
      </w:r>
      <w:proofErr w:type="spellStart"/>
      <w:r w:rsidRPr="00AE72E7">
        <w:rPr>
          <w:rFonts w:ascii="Times New Roman" w:eastAsia="Times New Roman" w:hAnsi="Times New Roman" w:cs="Times New Roman"/>
          <w:sz w:val="24"/>
          <w:szCs w:val="24"/>
          <w:lang w:val="en-US" w:eastAsia="en-US"/>
        </w:rPr>
        <w:t>Sepidarkish</w:t>
      </w:r>
      <w:proofErr w:type="spellEnd"/>
      <w:r w:rsidRPr="00AE72E7">
        <w:rPr>
          <w:rFonts w:ascii="Times New Roman" w:eastAsia="Times New Roman" w:hAnsi="Times New Roman" w:cs="Times New Roman"/>
          <w:sz w:val="24"/>
          <w:szCs w:val="24"/>
          <w:lang w:val="en-US" w:eastAsia="en-US"/>
        </w:rPr>
        <w:t>, M., Ashrafi-</w:t>
      </w:r>
      <w:proofErr w:type="spellStart"/>
      <w:r w:rsidRPr="00AE72E7">
        <w:rPr>
          <w:rFonts w:ascii="Times New Roman" w:eastAsia="Times New Roman" w:hAnsi="Times New Roman" w:cs="Times New Roman"/>
          <w:sz w:val="24"/>
          <w:szCs w:val="24"/>
          <w:lang w:val="en-US" w:eastAsia="en-US"/>
        </w:rPr>
        <w:t>Asgarabad</w:t>
      </w:r>
      <w:proofErr w:type="spellEnd"/>
      <w:r w:rsidRPr="00AE72E7">
        <w:rPr>
          <w:rFonts w:ascii="Times New Roman" w:eastAsia="Times New Roman" w:hAnsi="Times New Roman" w:cs="Times New Roman"/>
          <w:sz w:val="24"/>
          <w:szCs w:val="24"/>
          <w:lang w:val="en-US" w:eastAsia="en-US"/>
        </w:rPr>
        <w:t>, A., Moradi-</w:t>
      </w:r>
      <w:proofErr w:type="spellStart"/>
      <w:r w:rsidRPr="00AE72E7">
        <w:rPr>
          <w:rFonts w:ascii="Times New Roman" w:eastAsia="Times New Roman" w:hAnsi="Times New Roman" w:cs="Times New Roman"/>
          <w:sz w:val="24"/>
          <w:szCs w:val="24"/>
          <w:lang w:val="en-US" w:eastAsia="en-US"/>
        </w:rPr>
        <w:t>Lakeh</w:t>
      </w:r>
      <w:proofErr w:type="spellEnd"/>
      <w:r w:rsidRPr="00AE72E7">
        <w:rPr>
          <w:rFonts w:ascii="Times New Roman" w:eastAsia="Times New Roman" w:hAnsi="Times New Roman" w:cs="Times New Roman"/>
          <w:sz w:val="24"/>
          <w:szCs w:val="24"/>
          <w:lang w:val="en-US" w:eastAsia="en-US"/>
        </w:rPr>
        <w:t xml:space="preserve">, M., </w:t>
      </w:r>
      <w:proofErr w:type="spellStart"/>
      <w:r w:rsidRPr="00AE72E7">
        <w:rPr>
          <w:rFonts w:ascii="Times New Roman" w:eastAsia="Times New Roman" w:hAnsi="Times New Roman" w:cs="Times New Roman"/>
          <w:sz w:val="24"/>
          <w:szCs w:val="24"/>
          <w:lang w:val="en-US" w:eastAsia="en-US"/>
        </w:rPr>
        <w:t>Mansournia</w:t>
      </w:r>
      <w:proofErr w:type="spellEnd"/>
      <w:r w:rsidRPr="00AE72E7">
        <w:rPr>
          <w:rFonts w:ascii="Times New Roman" w:eastAsia="Times New Roman" w:hAnsi="Times New Roman" w:cs="Times New Roman"/>
          <w:sz w:val="24"/>
          <w:szCs w:val="24"/>
          <w:lang w:val="en-US" w:eastAsia="en-US"/>
        </w:rPr>
        <w:t xml:space="preserve">, M. A., Kaufman, J. S., Collins, G., Woolf, A. D., March, L., &amp; Smith, E. (2020). Prevalence, incidence, and years lived with disability due to gout and its attributable risk factors for 195 countries and territories 1990–2017: A </w:t>
      </w:r>
      <w:r w:rsidRPr="00AE72E7">
        <w:rPr>
          <w:rFonts w:ascii="Times New Roman" w:eastAsia="Times New Roman" w:hAnsi="Times New Roman" w:cs="Times New Roman"/>
          <w:sz w:val="24"/>
          <w:szCs w:val="24"/>
          <w:lang w:val="en-US" w:eastAsia="en-US"/>
        </w:rPr>
        <w:lastRenderedPageBreak/>
        <w:t xml:space="preserve">systematic analysis of the Global Burden of Disease Study 2017. </w:t>
      </w:r>
      <w:r w:rsidRPr="00AE72E7">
        <w:rPr>
          <w:rFonts w:ascii="Times New Roman" w:eastAsia="Times New Roman" w:hAnsi="Times New Roman" w:cs="Times New Roman"/>
          <w:i/>
          <w:iCs/>
          <w:sz w:val="24"/>
          <w:szCs w:val="24"/>
          <w:lang w:val="en-US" w:eastAsia="en-US"/>
        </w:rPr>
        <w:t>Arthritis &amp; Rheumatology, 72</w:t>
      </w:r>
      <w:r w:rsidRPr="00AE72E7">
        <w:rPr>
          <w:rFonts w:ascii="Times New Roman" w:eastAsia="Times New Roman" w:hAnsi="Times New Roman" w:cs="Times New Roman"/>
          <w:sz w:val="24"/>
          <w:szCs w:val="24"/>
          <w:lang w:val="en-US" w:eastAsia="en-US"/>
        </w:rPr>
        <w:t xml:space="preserve">(11), 1916–1927. </w:t>
      </w:r>
      <w:hyperlink r:id="rId23" w:tgtFrame="_blank" w:history="1">
        <w:r w:rsidRPr="00AE72E7">
          <w:rPr>
            <w:rFonts w:ascii="Times New Roman" w:eastAsia="Times New Roman" w:hAnsi="Times New Roman" w:cs="Times New Roman"/>
            <w:color w:val="0000FF"/>
            <w:sz w:val="24"/>
            <w:szCs w:val="24"/>
            <w:u w:val="single"/>
            <w:lang w:val="en-US" w:eastAsia="en-US"/>
          </w:rPr>
          <w:t>https://doi.org/10.1002/art.41404</w:t>
        </w:r>
      </w:hyperlink>
      <w:r w:rsidRPr="00AE72E7">
        <w:rPr>
          <w:rFonts w:ascii="Times New Roman" w:eastAsia="Times New Roman" w:hAnsi="Times New Roman" w:cs="Times New Roman"/>
          <w:sz w:val="24"/>
          <w:szCs w:val="24"/>
          <w:lang w:val="en-US" w:eastAsia="en-US"/>
        </w:rPr>
        <w:t xml:space="preserve"> </w:t>
      </w:r>
    </w:p>
    <w:p w14:paraId="4BDA6E05" w14:textId="1D1A0814"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nl-BE" w:eastAsia="en-US"/>
        </w:rPr>
        <w:t xml:space="preserve">Sun, L., Zong, S.-B., Li, J.-C., Lv, Y.-Z., Liu, L.-N., Wang, Z.-Z., Zhou, J., Cao, L., Kou, J.-P., &amp; Xiao, W. (2016). </w:t>
      </w:r>
      <w:r w:rsidRPr="00AE72E7">
        <w:rPr>
          <w:rFonts w:ascii="Times New Roman" w:eastAsia="Times New Roman" w:hAnsi="Times New Roman" w:cs="Times New Roman"/>
          <w:sz w:val="24"/>
          <w:szCs w:val="24"/>
          <w:lang w:val="en-US" w:eastAsia="en-US"/>
        </w:rPr>
        <w:t xml:space="preserve">The essential oil from the twigs of </w:t>
      </w:r>
      <w:r w:rsidRPr="00AE72E7">
        <w:rPr>
          <w:rFonts w:ascii="Times New Roman" w:eastAsia="Times New Roman" w:hAnsi="Times New Roman" w:cs="Times New Roman"/>
          <w:i/>
          <w:iCs/>
          <w:sz w:val="24"/>
          <w:szCs w:val="24"/>
          <w:lang w:val="en-US" w:eastAsia="en-US"/>
        </w:rPr>
        <w:t>Cinnamomum cassia</w:t>
      </w:r>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Presl</w:t>
      </w:r>
      <w:proofErr w:type="spellEnd"/>
      <w:r w:rsidRPr="00AE72E7">
        <w:rPr>
          <w:rFonts w:ascii="Times New Roman" w:eastAsia="Times New Roman" w:hAnsi="Times New Roman" w:cs="Times New Roman"/>
          <w:sz w:val="24"/>
          <w:szCs w:val="24"/>
          <w:lang w:val="en-US" w:eastAsia="en-US"/>
        </w:rPr>
        <w:t xml:space="preserve"> alleviates pain and inflammation in mice. </w:t>
      </w:r>
      <w:r w:rsidRPr="00AE72E7">
        <w:rPr>
          <w:rFonts w:ascii="Times New Roman" w:eastAsia="Times New Roman" w:hAnsi="Times New Roman" w:cs="Times New Roman"/>
          <w:i/>
          <w:iCs/>
          <w:sz w:val="24"/>
          <w:szCs w:val="24"/>
          <w:lang w:val="en-US" w:eastAsia="en-US"/>
        </w:rPr>
        <w:t>Journal of Ethnopharmacology, 194</w:t>
      </w:r>
      <w:r w:rsidRPr="00AE72E7">
        <w:rPr>
          <w:rFonts w:ascii="Times New Roman" w:eastAsia="Times New Roman" w:hAnsi="Times New Roman" w:cs="Times New Roman"/>
          <w:sz w:val="24"/>
          <w:szCs w:val="24"/>
          <w:lang w:val="en-US" w:eastAsia="en-US"/>
        </w:rPr>
        <w:t xml:space="preserve">, 904–912. </w:t>
      </w:r>
      <w:hyperlink r:id="rId24" w:tgtFrame="_blank" w:history="1">
        <w:r w:rsidRPr="00AE72E7">
          <w:rPr>
            <w:rFonts w:ascii="Times New Roman" w:eastAsia="Times New Roman" w:hAnsi="Times New Roman" w:cs="Times New Roman"/>
            <w:color w:val="0000FF"/>
            <w:sz w:val="24"/>
            <w:szCs w:val="24"/>
            <w:u w:val="single"/>
            <w:lang w:val="en-US" w:eastAsia="en-US"/>
          </w:rPr>
          <w:t>https://doi.org/10.1016/j.jep.2016.10.064</w:t>
        </w:r>
      </w:hyperlink>
      <w:r w:rsidRPr="00AE72E7">
        <w:rPr>
          <w:rFonts w:ascii="Times New Roman" w:eastAsia="Times New Roman" w:hAnsi="Times New Roman" w:cs="Times New Roman"/>
          <w:sz w:val="24"/>
          <w:szCs w:val="24"/>
          <w:lang w:val="en-US" w:eastAsia="en-US"/>
        </w:rPr>
        <w:t xml:space="preserve"> </w:t>
      </w:r>
    </w:p>
    <w:p w14:paraId="15BB9E0B" w14:textId="542E7649"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nl-BE" w:eastAsia="en-US"/>
        </w:rPr>
        <w:t xml:space="preserve">Tang, D.-H., Ye, Y.-S., Wang, C.-Y., Li, Z.-L., Zheng, H., &amp; Ma, K.-L. (2017). </w:t>
      </w:r>
      <w:r w:rsidRPr="00AE72E7">
        <w:rPr>
          <w:rFonts w:ascii="Times New Roman" w:eastAsia="Times New Roman" w:hAnsi="Times New Roman" w:cs="Times New Roman"/>
          <w:sz w:val="24"/>
          <w:szCs w:val="24"/>
          <w:lang w:val="en-US" w:eastAsia="en-US"/>
        </w:rPr>
        <w:t xml:space="preserve">Potassium </w:t>
      </w:r>
      <w:proofErr w:type="spellStart"/>
      <w:r w:rsidRPr="00AE72E7">
        <w:rPr>
          <w:rFonts w:ascii="Times New Roman" w:eastAsia="Times New Roman" w:hAnsi="Times New Roman" w:cs="Times New Roman"/>
          <w:sz w:val="24"/>
          <w:szCs w:val="24"/>
          <w:lang w:val="en-US" w:eastAsia="en-US"/>
        </w:rPr>
        <w:t>oxonate</w:t>
      </w:r>
      <w:proofErr w:type="spellEnd"/>
      <w:r w:rsidRPr="00AE72E7">
        <w:rPr>
          <w:rFonts w:ascii="Times New Roman" w:eastAsia="Times New Roman" w:hAnsi="Times New Roman" w:cs="Times New Roman"/>
          <w:sz w:val="24"/>
          <w:szCs w:val="24"/>
          <w:lang w:val="en-US" w:eastAsia="en-US"/>
        </w:rPr>
        <w:t xml:space="preserve"> induces acute hyperuricemia in the tree shrew (</w:t>
      </w:r>
      <w:r w:rsidRPr="00AE72E7">
        <w:rPr>
          <w:rFonts w:ascii="Times New Roman" w:eastAsia="Times New Roman" w:hAnsi="Times New Roman" w:cs="Times New Roman"/>
          <w:i/>
          <w:iCs/>
          <w:sz w:val="24"/>
          <w:szCs w:val="24"/>
          <w:lang w:val="en-US" w:eastAsia="en-US"/>
        </w:rPr>
        <w:t xml:space="preserve">Tupaia </w:t>
      </w:r>
      <w:proofErr w:type="spellStart"/>
      <w:r w:rsidRPr="00AE72E7">
        <w:rPr>
          <w:rFonts w:ascii="Times New Roman" w:eastAsia="Times New Roman" w:hAnsi="Times New Roman" w:cs="Times New Roman"/>
          <w:i/>
          <w:iCs/>
          <w:sz w:val="24"/>
          <w:szCs w:val="24"/>
          <w:lang w:val="en-US" w:eastAsia="en-US"/>
        </w:rPr>
        <w:t>belangeri</w:t>
      </w:r>
      <w:proofErr w:type="spellEnd"/>
      <w:r w:rsidRPr="00AE72E7">
        <w:rPr>
          <w:rFonts w:ascii="Times New Roman" w:eastAsia="Times New Roman" w:hAnsi="Times New Roman" w:cs="Times New Roman"/>
          <w:i/>
          <w:iCs/>
          <w:sz w:val="24"/>
          <w:szCs w:val="24"/>
          <w:lang w:val="en-US" w:eastAsia="en-US"/>
        </w:rPr>
        <w:t xml:space="preserve"> chinensis</w:t>
      </w:r>
      <w:r w:rsidRPr="00AE72E7">
        <w:rPr>
          <w:rFonts w:ascii="Times New Roman" w:eastAsia="Times New Roman" w:hAnsi="Times New Roman" w:cs="Times New Roman"/>
          <w:sz w:val="24"/>
          <w:szCs w:val="24"/>
          <w:lang w:val="en-US" w:eastAsia="en-US"/>
        </w:rPr>
        <w:t xml:space="preserve">). </w:t>
      </w:r>
      <w:r w:rsidRPr="00AE72E7">
        <w:rPr>
          <w:rFonts w:ascii="Times New Roman" w:eastAsia="Times New Roman" w:hAnsi="Times New Roman" w:cs="Times New Roman"/>
          <w:i/>
          <w:iCs/>
          <w:sz w:val="24"/>
          <w:szCs w:val="24"/>
          <w:lang w:val="en-US" w:eastAsia="en-US"/>
        </w:rPr>
        <w:t>Experimental Animals, 66</w:t>
      </w:r>
      <w:r w:rsidRPr="00AE72E7">
        <w:rPr>
          <w:rFonts w:ascii="Times New Roman" w:eastAsia="Times New Roman" w:hAnsi="Times New Roman" w:cs="Times New Roman"/>
          <w:sz w:val="24"/>
          <w:szCs w:val="24"/>
          <w:lang w:val="en-US" w:eastAsia="en-US"/>
        </w:rPr>
        <w:t xml:space="preserve">(3), 209–216. </w:t>
      </w:r>
      <w:hyperlink r:id="rId25" w:tgtFrame="_blank" w:history="1">
        <w:r w:rsidRPr="00AE72E7">
          <w:rPr>
            <w:rFonts w:ascii="Times New Roman" w:eastAsia="Times New Roman" w:hAnsi="Times New Roman" w:cs="Times New Roman"/>
            <w:color w:val="0000FF"/>
            <w:sz w:val="24"/>
            <w:szCs w:val="24"/>
            <w:u w:val="single"/>
            <w:lang w:val="en-US" w:eastAsia="en-US"/>
          </w:rPr>
          <w:t>https://doi.org/10.1538/expanim.16-0096</w:t>
        </w:r>
      </w:hyperlink>
      <w:r w:rsidRPr="00AE72E7">
        <w:rPr>
          <w:rFonts w:ascii="Times New Roman" w:eastAsia="Times New Roman" w:hAnsi="Times New Roman" w:cs="Times New Roman"/>
          <w:sz w:val="24"/>
          <w:szCs w:val="24"/>
          <w:lang w:val="en-US" w:eastAsia="en-US"/>
        </w:rPr>
        <w:t xml:space="preserve"> </w:t>
      </w:r>
    </w:p>
    <w:p w14:paraId="59AAD8DF" w14:textId="294122EE"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Trịnh, T. A., &amp; Huỳnh, N. T. (2017). </w:t>
      </w:r>
      <w:proofErr w:type="spellStart"/>
      <w:r w:rsidRPr="00AE72E7">
        <w:rPr>
          <w:rFonts w:ascii="Times New Roman" w:eastAsia="Times New Roman" w:hAnsi="Times New Roman" w:cs="Times New Roman"/>
          <w:sz w:val="24"/>
          <w:szCs w:val="24"/>
          <w:lang w:val="en-US" w:eastAsia="en-US"/>
        </w:rPr>
        <w:t>Sàng</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lọc</w:t>
      </w:r>
      <w:proofErr w:type="spellEnd"/>
      <w:r w:rsidRPr="00AE72E7">
        <w:rPr>
          <w:rFonts w:ascii="Times New Roman" w:eastAsia="Times New Roman" w:hAnsi="Times New Roman" w:cs="Times New Roman"/>
          <w:sz w:val="24"/>
          <w:szCs w:val="24"/>
          <w:lang w:val="en-US" w:eastAsia="en-US"/>
        </w:rPr>
        <w:t xml:space="preserve"> in vitro, in vivo </w:t>
      </w:r>
      <w:proofErr w:type="spellStart"/>
      <w:r w:rsidRPr="00AE72E7">
        <w:rPr>
          <w:rFonts w:ascii="Times New Roman" w:eastAsia="Times New Roman" w:hAnsi="Times New Roman" w:cs="Times New Roman"/>
          <w:sz w:val="24"/>
          <w:szCs w:val="24"/>
          <w:lang w:val="en-US" w:eastAsia="en-US"/>
        </w:rPr>
        <w:t>tác</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dụng</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hạ</w:t>
      </w:r>
      <w:proofErr w:type="spellEnd"/>
      <w:r w:rsidRPr="00AE72E7">
        <w:rPr>
          <w:rFonts w:ascii="Times New Roman" w:eastAsia="Times New Roman" w:hAnsi="Times New Roman" w:cs="Times New Roman"/>
          <w:sz w:val="24"/>
          <w:szCs w:val="24"/>
          <w:lang w:val="en-US" w:eastAsia="en-US"/>
        </w:rPr>
        <w:t xml:space="preserve"> acid uric </w:t>
      </w:r>
      <w:proofErr w:type="spellStart"/>
      <w:r w:rsidRPr="00AE72E7">
        <w:rPr>
          <w:rFonts w:ascii="Times New Roman" w:eastAsia="Times New Roman" w:hAnsi="Times New Roman" w:cs="Times New Roman"/>
          <w:sz w:val="24"/>
          <w:szCs w:val="24"/>
          <w:lang w:val="en-US" w:eastAsia="en-US"/>
        </w:rPr>
        <w:t>máu</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của</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một</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số</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dược</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liệu</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thu</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hái</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tại</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các</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tỉnh</w:t>
      </w:r>
      <w:proofErr w:type="spellEnd"/>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sz w:val="24"/>
          <w:szCs w:val="24"/>
          <w:lang w:val="en-US" w:eastAsia="en-US"/>
        </w:rPr>
        <w:t>phía</w:t>
      </w:r>
      <w:proofErr w:type="spellEnd"/>
      <w:r w:rsidRPr="00AE72E7">
        <w:rPr>
          <w:rFonts w:ascii="Times New Roman" w:eastAsia="Times New Roman" w:hAnsi="Times New Roman" w:cs="Times New Roman"/>
          <w:sz w:val="24"/>
          <w:szCs w:val="24"/>
          <w:lang w:val="en-US" w:eastAsia="en-US"/>
        </w:rPr>
        <w:t xml:space="preserve"> Nam Việt Nam [In vitro and in vivo screening of the hypouricemic activity of some medicinal plants collected in the southern provinces of Vietnam]. </w:t>
      </w:r>
      <w:proofErr w:type="spellStart"/>
      <w:r w:rsidRPr="00AE72E7">
        <w:rPr>
          <w:rFonts w:ascii="Times New Roman" w:eastAsia="Times New Roman" w:hAnsi="Times New Roman" w:cs="Times New Roman"/>
          <w:i/>
          <w:iCs/>
          <w:sz w:val="24"/>
          <w:szCs w:val="24"/>
          <w:lang w:val="en-US" w:eastAsia="en-US"/>
        </w:rPr>
        <w:t>Tạp</w:t>
      </w:r>
      <w:proofErr w:type="spellEnd"/>
      <w:r w:rsidRPr="00AE72E7">
        <w:rPr>
          <w:rFonts w:ascii="Times New Roman" w:eastAsia="Times New Roman" w:hAnsi="Times New Roman" w:cs="Times New Roman"/>
          <w:i/>
          <w:iCs/>
          <w:sz w:val="24"/>
          <w:szCs w:val="24"/>
          <w:lang w:val="en-US" w:eastAsia="en-US"/>
        </w:rPr>
        <w:t xml:space="preserve"> </w:t>
      </w:r>
      <w:proofErr w:type="spellStart"/>
      <w:r w:rsidRPr="00AE72E7">
        <w:rPr>
          <w:rFonts w:ascii="Times New Roman" w:eastAsia="Times New Roman" w:hAnsi="Times New Roman" w:cs="Times New Roman"/>
          <w:i/>
          <w:iCs/>
          <w:sz w:val="24"/>
          <w:szCs w:val="24"/>
          <w:lang w:val="en-US" w:eastAsia="en-US"/>
        </w:rPr>
        <w:t>chí</w:t>
      </w:r>
      <w:proofErr w:type="spellEnd"/>
      <w:r w:rsidRPr="00AE72E7">
        <w:rPr>
          <w:rFonts w:ascii="Times New Roman" w:eastAsia="Times New Roman" w:hAnsi="Times New Roman" w:cs="Times New Roman"/>
          <w:i/>
          <w:iCs/>
          <w:sz w:val="24"/>
          <w:szCs w:val="24"/>
          <w:lang w:val="en-US" w:eastAsia="en-US"/>
        </w:rPr>
        <w:t xml:space="preserve"> </w:t>
      </w:r>
      <w:proofErr w:type="spellStart"/>
      <w:r w:rsidRPr="00AE72E7">
        <w:rPr>
          <w:rFonts w:ascii="Times New Roman" w:eastAsia="Times New Roman" w:hAnsi="Times New Roman" w:cs="Times New Roman"/>
          <w:i/>
          <w:iCs/>
          <w:sz w:val="24"/>
          <w:szCs w:val="24"/>
          <w:lang w:val="en-US" w:eastAsia="en-US"/>
        </w:rPr>
        <w:t>Dược</w:t>
      </w:r>
      <w:proofErr w:type="spellEnd"/>
      <w:r w:rsidRPr="00AE72E7">
        <w:rPr>
          <w:rFonts w:ascii="Times New Roman" w:eastAsia="Times New Roman" w:hAnsi="Times New Roman" w:cs="Times New Roman"/>
          <w:i/>
          <w:iCs/>
          <w:sz w:val="24"/>
          <w:szCs w:val="24"/>
          <w:lang w:val="en-US" w:eastAsia="en-US"/>
        </w:rPr>
        <w:t xml:space="preserve"> </w:t>
      </w:r>
      <w:proofErr w:type="spellStart"/>
      <w:r w:rsidRPr="00AE72E7">
        <w:rPr>
          <w:rFonts w:ascii="Times New Roman" w:eastAsia="Times New Roman" w:hAnsi="Times New Roman" w:cs="Times New Roman"/>
          <w:i/>
          <w:iCs/>
          <w:sz w:val="24"/>
          <w:szCs w:val="24"/>
          <w:lang w:val="en-US" w:eastAsia="en-US"/>
        </w:rPr>
        <w:t>học</w:t>
      </w:r>
      <w:proofErr w:type="spellEnd"/>
      <w:r w:rsidRPr="00AE72E7">
        <w:rPr>
          <w:rFonts w:ascii="Times New Roman" w:eastAsia="Times New Roman" w:hAnsi="Times New Roman" w:cs="Times New Roman"/>
          <w:i/>
          <w:iCs/>
          <w:sz w:val="24"/>
          <w:szCs w:val="24"/>
          <w:lang w:val="en-US" w:eastAsia="en-US"/>
        </w:rPr>
        <w:t>, 57</w:t>
      </w:r>
      <w:r w:rsidRPr="00AE72E7">
        <w:rPr>
          <w:rFonts w:ascii="Times New Roman" w:eastAsia="Times New Roman" w:hAnsi="Times New Roman" w:cs="Times New Roman"/>
          <w:sz w:val="24"/>
          <w:szCs w:val="24"/>
          <w:lang w:val="en-US" w:eastAsia="en-US"/>
        </w:rPr>
        <w:t xml:space="preserve">(11), 53–57. </w:t>
      </w:r>
    </w:p>
    <w:p w14:paraId="0A4ECACA" w14:textId="6E9F03C2"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Uto, T., Tung, N. H., Taniyama, R., </w:t>
      </w:r>
      <w:proofErr w:type="spellStart"/>
      <w:r w:rsidRPr="00AE72E7">
        <w:rPr>
          <w:rFonts w:ascii="Times New Roman" w:eastAsia="Times New Roman" w:hAnsi="Times New Roman" w:cs="Times New Roman"/>
          <w:sz w:val="24"/>
          <w:szCs w:val="24"/>
          <w:lang w:val="en-US" w:eastAsia="en-US"/>
        </w:rPr>
        <w:t>Miyanowaki</w:t>
      </w:r>
      <w:proofErr w:type="spellEnd"/>
      <w:r w:rsidRPr="00AE72E7">
        <w:rPr>
          <w:rFonts w:ascii="Times New Roman" w:eastAsia="Times New Roman" w:hAnsi="Times New Roman" w:cs="Times New Roman"/>
          <w:sz w:val="24"/>
          <w:szCs w:val="24"/>
          <w:lang w:val="en-US" w:eastAsia="en-US"/>
        </w:rPr>
        <w:t xml:space="preserve">, T., Morinaga, O., &amp; </w:t>
      </w:r>
      <w:proofErr w:type="spellStart"/>
      <w:r w:rsidRPr="00AE72E7">
        <w:rPr>
          <w:rFonts w:ascii="Times New Roman" w:eastAsia="Times New Roman" w:hAnsi="Times New Roman" w:cs="Times New Roman"/>
          <w:sz w:val="24"/>
          <w:szCs w:val="24"/>
          <w:lang w:val="en-US" w:eastAsia="en-US"/>
        </w:rPr>
        <w:t>Shoyama</w:t>
      </w:r>
      <w:proofErr w:type="spellEnd"/>
      <w:r w:rsidRPr="00AE72E7">
        <w:rPr>
          <w:rFonts w:ascii="Times New Roman" w:eastAsia="Times New Roman" w:hAnsi="Times New Roman" w:cs="Times New Roman"/>
          <w:sz w:val="24"/>
          <w:szCs w:val="24"/>
          <w:lang w:val="en-US" w:eastAsia="en-US"/>
        </w:rPr>
        <w:t xml:space="preserve">, Y. (2015). Anti-inflammatory activity of constituents isolated from aerial part of </w:t>
      </w:r>
      <w:r w:rsidRPr="00AE72E7">
        <w:rPr>
          <w:rFonts w:ascii="Times New Roman" w:eastAsia="Times New Roman" w:hAnsi="Times New Roman" w:cs="Times New Roman"/>
          <w:i/>
          <w:iCs/>
          <w:sz w:val="24"/>
          <w:szCs w:val="24"/>
          <w:lang w:val="en-US" w:eastAsia="en-US"/>
        </w:rPr>
        <w:t xml:space="preserve">Angelica </w:t>
      </w:r>
      <w:proofErr w:type="spellStart"/>
      <w:r w:rsidRPr="00AE72E7">
        <w:rPr>
          <w:rFonts w:ascii="Times New Roman" w:eastAsia="Times New Roman" w:hAnsi="Times New Roman" w:cs="Times New Roman"/>
          <w:i/>
          <w:iCs/>
          <w:sz w:val="24"/>
          <w:szCs w:val="24"/>
          <w:lang w:val="en-US" w:eastAsia="en-US"/>
        </w:rPr>
        <w:t>acutiloba</w:t>
      </w:r>
      <w:proofErr w:type="spellEnd"/>
      <w:r w:rsidRPr="00AE72E7">
        <w:rPr>
          <w:rFonts w:ascii="Times New Roman" w:eastAsia="Times New Roman" w:hAnsi="Times New Roman" w:cs="Times New Roman"/>
          <w:sz w:val="24"/>
          <w:szCs w:val="24"/>
          <w:lang w:val="en-US" w:eastAsia="en-US"/>
        </w:rPr>
        <w:t xml:space="preserve"> Kitagawa. </w:t>
      </w:r>
      <w:r w:rsidRPr="00AE72E7">
        <w:rPr>
          <w:rFonts w:ascii="Times New Roman" w:eastAsia="Times New Roman" w:hAnsi="Times New Roman" w:cs="Times New Roman"/>
          <w:i/>
          <w:iCs/>
          <w:sz w:val="24"/>
          <w:szCs w:val="24"/>
          <w:lang w:val="en-US" w:eastAsia="en-US"/>
        </w:rPr>
        <w:t>Phytotherapy Research, 29</w:t>
      </w:r>
      <w:r w:rsidRPr="00AE72E7">
        <w:rPr>
          <w:rFonts w:ascii="Times New Roman" w:eastAsia="Times New Roman" w:hAnsi="Times New Roman" w:cs="Times New Roman"/>
          <w:sz w:val="24"/>
          <w:szCs w:val="24"/>
          <w:lang w:val="en-US" w:eastAsia="en-US"/>
        </w:rPr>
        <w:t xml:space="preserve">(12), 1956–1963. </w:t>
      </w:r>
      <w:hyperlink r:id="rId26" w:tgtFrame="_blank" w:history="1">
        <w:r w:rsidRPr="00AE72E7">
          <w:rPr>
            <w:rFonts w:ascii="Times New Roman" w:eastAsia="Times New Roman" w:hAnsi="Times New Roman" w:cs="Times New Roman"/>
            <w:color w:val="0000FF"/>
            <w:sz w:val="24"/>
            <w:szCs w:val="24"/>
            <w:u w:val="single"/>
            <w:lang w:val="en-US" w:eastAsia="en-US"/>
          </w:rPr>
          <w:t>https://doi.org/10.1002/ptr.5490</w:t>
        </w:r>
      </w:hyperlink>
      <w:r w:rsidRPr="00AE72E7">
        <w:rPr>
          <w:rFonts w:ascii="Times New Roman" w:eastAsia="Times New Roman" w:hAnsi="Times New Roman" w:cs="Times New Roman"/>
          <w:sz w:val="24"/>
          <w:szCs w:val="24"/>
          <w:lang w:val="en-US" w:eastAsia="en-US"/>
        </w:rPr>
        <w:t xml:space="preserve"> </w:t>
      </w:r>
    </w:p>
    <w:p w14:paraId="0BC670D1" w14:textId="2221FB8F"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Wang, J.-P., Zhou, Y.-M., Ye, Y.-J., Shang, X.-M., Cai, Y.-L., Xiong, C.-M., Wu, Y.-X., &amp; Xu, H.-X. (2011). Topical anti-inflammatory and analgesic activity of </w:t>
      </w:r>
      <w:proofErr w:type="spellStart"/>
      <w:r w:rsidRPr="00AE72E7">
        <w:rPr>
          <w:rFonts w:ascii="Times New Roman" w:eastAsia="Times New Roman" w:hAnsi="Times New Roman" w:cs="Times New Roman"/>
          <w:sz w:val="24"/>
          <w:szCs w:val="24"/>
          <w:lang w:val="en-US" w:eastAsia="en-US"/>
        </w:rPr>
        <w:t>kirenol</w:t>
      </w:r>
      <w:proofErr w:type="spellEnd"/>
      <w:r w:rsidRPr="00AE72E7">
        <w:rPr>
          <w:rFonts w:ascii="Times New Roman" w:eastAsia="Times New Roman" w:hAnsi="Times New Roman" w:cs="Times New Roman"/>
          <w:sz w:val="24"/>
          <w:szCs w:val="24"/>
          <w:lang w:val="en-US" w:eastAsia="en-US"/>
        </w:rPr>
        <w:t xml:space="preserve"> isolated from </w:t>
      </w:r>
      <w:proofErr w:type="spellStart"/>
      <w:r w:rsidRPr="00AE72E7">
        <w:rPr>
          <w:rFonts w:ascii="Times New Roman" w:eastAsia="Times New Roman" w:hAnsi="Times New Roman" w:cs="Times New Roman"/>
          <w:i/>
          <w:iCs/>
          <w:sz w:val="24"/>
          <w:szCs w:val="24"/>
          <w:lang w:val="en-US" w:eastAsia="en-US"/>
        </w:rPr>
        <w:t>Siegesbeckia</w:t>
      </w:r>
      <w:proofErr w:type="spellEnd"/>
      <w:r w:rsidRPr="00AE72E7">
        <w:rPr>
          <w:rFonts w:ascii="Times New Roman" w:eastAsia="Times New Roman" w:hAnsi="Times New Roman" w:cs="Times New Roman"/>
          <w:i/>
          <w:iCs/>
          <w:sz w:val="24"/>
          <w:szCs w:val="24"/>
          <w:lang w:val="en-US" w:eastAsia="en-US"/>
        </w:rPr>
        <w:t xml:space="preserve"> orientalis</w:t>
      </w:r>
      <w:r w:rsidRPr="00AE72E7">
        <w:rPr>
          <w:rFonts w:ascii="Times New Roman" w:eastAsia="Times New Roman" w:hAnsi="Times New Roman" w:cs="Times New Roman"/>
          <w:sz w:val="24"/>
          <w:szCs w:val="24"/>
          <w:lang w:val="en-US" w:eastAsia="en-US"/>
        </w:rPr>
        <w:t xml:space="preserve">. </w:t>
      </w:r>
      <w:r w:rsidRPr="00AE72E7">
        <w:rPr>
          <w:rFonts w:ascii="Times New Roman" w:eastAsia="Times New Roman" w:hAnsi="Times New Roman" w:cs="Times New Roman"/>
          <w:i/>
          <w:iCs/>
          <w:sz w:val="24"/>
          <w:szCs w:val="24"/>
          <w:lang w:val="en-US" w:eastAsia="en-US"/>
        </w:rPr>
        <w:t>Journal of Ethnopharmacology, 137</w:t>
      </w:r>
      <w:r w:rsidRPr="00AE72E7">
        <w:rPr>
          <w:rFonts w:ascii="Times New Roman" w:eastAsia="Times New Roman" w:hAnsi="Times New Roman" w:cs="Times New Roman"/>
          <w:sz w:val="24"/>
          <w:szCs w:val="24"/>
          <w:lang w:val="en-US" w:eastAsia="en-US"/>
        </w:rPr>
        <w:t xml:space="preserve">(3), 1089–1094. </w:t>
      </w:r>
      <w:hyperlink r:id="rId27" w:tgtFrame="_blank" w:history="1">
        <w:r w:rsidRPr="00AE72E7">
          <w:rPr>
            <w:rFonts w:ascii="Times New Roman" w:eastAsia="Times New Roman" w:hAnsi="Times New Roman" w:cs="Times New Roman"/>
            <w:color w:val="0000FF"/>
            <w:sz w:val="24"/>
            <w:szCs w:val="24"/>
            <w:u w:val="single"/>
            <w:lang w:val="en-US" w:eastAsia="en-US"/>
          </w:rPr>
          <w:t>https://doi.org/10.1016/j.jep.2011.07.016</w:t>
        </w:r>
      </w:hyperlink>
      <w:r w:rsidRPr="00AE72E7">
        <w:rPr>
          <w:rFonts w:ascii="Times New Roman" w:eastAsia="Times New Roman" w:hAnsi="Times New Roman" w:cs="Times New Roman"/>
          <w:sz w:val="24"/>
          <w:szCs w:val="24"/>
          <w:lang w:val="en-US" w:eastAsia="en-US"/>
        </w:rPr>
        <w:t xml:space="preserve"> </w:t>
      </w:r>
    </w:p>
    <w:p w14:paraId="56E2B5B3" w14:textId="550E8F7D"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nl-BE" w:eastAsia="en-US"/>
        </w:rPr>
        <w:t xml:space="preserve">Wang, Q., Liang, Y.-Y., Li, K.-W., Li, Y., Niu, F.-J., Zhou, S.-J., Wei, H.-C., &amp; Zhou, C.-Z. (2021). </w:t>
      </w:r>
      <w:r w:rsidRPr="00AE72E7">
        <w:rPr>
          <w:rFonts w:ascii="Times New Roman" w:eastAsia="Times New Roman" w:hAnsi="Times New Roman" w:cs="Times New Roman"/>
          <w:sz w:val="24"/>
          <w:szCs w:val="24"/>
          <w:lang w:val="en-US" w:eastAsia="en-US"/>
        </w:rPr>
        <w:t xml:space="preserve">Herba </w:t>
      </w:r>
      <w:proofErr w:type="spellStart"/>
      <w:r w:rsidRPr="00AE72E7">
        <w:rPr>
          <w:rFonts w:ascii="Times New Roman" w:eastAsia="Times New Roman" w:hAnsi="Times New Roman" w:cs="Times New Roman"/>
          <w:sz w:val="24"/>
          <w:szCs w:val="24"/>
          <w:lang w:val="en-US" w:eastAsia="en-US"/>
        </w:rPr>
        <w:t>Siegesbeckiae</w:t>
      </w:r>
      <w:proofErr w:type="spellEnd"/>
      <w:r w:rsidRPr="00AE72E7">
        <w:rPr>
          <w:rFonts w:ascii="Times New Roman" w:eastAsia="Times New Roman" w:hAnsi="Times New Roman" w:cs="Times New Roman"/>
          <w:sz w:val="24"/>
          <w:szCs w:val="24"/>
          <w:lang w:val="en-US" w:eastAsia="en-US"/>
        </w:rPr>
        <w:t xml:space="preserve">: A review on its traditional uses, chemical constituents, pharmacological activities and clinical studies. </w:t>
      </w:r>
      <w:r w:rsidRPr="00AE72E7">
        <w:rPr>
          <w:rFonts w:ascii="Times New Roman" w:eastAsia="Times New Roman" w:hAnsi="Times New Roman" w:cs="Times New Roman"/>
          <w:i/>
          <w:iCs/>
          <w:sz w:val="24"/>
          <w:szCs w:val="24"/>
          <w:lang w:val="en-US" w:eastAsia="en-US"/>
        </w:rPr>
        <w:t>Journal of Ethnopharmacology, 275</w:t>
      </w:r>
      <w:r w:rsidRPr="00AE72E7">
        <w:rPr>
          <w:rFonts w:ascii="Times New Roman" w:eastAsia="Times New Roman" w:hAnsi="Times New Roman" w:cs="Times New Roman"/>
          <w:sz w:val="24"/>
          <w:szCs w:val="24"/>
          <w:lang w:val="en-US" w:eastAsia="en-US"/>
        </w:rPr>
        <w:t xml:space="preserve">, 114117. </w:t>
      </w:r>
      <w:hyperlink r:id="rId28" w:tgtFrame="_blank" w:history="1">
        <w:r w:rsidRPr="00AE72E7">
          <w:rPr>
            <w:rFonts w:ascii="Times New Roman" w:eastAsia="Times New Roman" w:hAnsi="Times New Roman" w:cs="Times New Roman"/>
            <w:color w:val="0000FF"/>
            <w:sz w:val="24"/>
            <w:szCs w:val="24"/>
            <w:u w:val="single"/>
            <w:lang w:val="en-US" w:eastAsia="en-US"/>
          </w:rPr>
          <w:t>https://doi.org/10.1016/j.jep.2021.114117</w:t>
        </w:r>
      </w:hyperlink>
      <w:r w:rsidRPr="00AE72E7">
        <w:rPr>
          <w:rFonts w:ascii="Times New Roman" w:eastAsia="Times New Roman" w:hAnsi="Times New Roman" w:cs="Times New Roman"/>
          <w:sz w:val="24"/>
          <w:szCs w:val="24"/>
          <w:lang w:val="en-US" w:eastAsia="en-US"/>
        </w:rPr>
        <w:t xml:space="preserve"> </w:t>
      </w:r>
    </w:p>
    <w:p w14:paraId="52618192" w14:textId="0F9A4BEC" w:rsidR="00AE72E7" w:rsidRPr="00AE72E7" w:rsidRDefault="00AE72E7" w:rsidP="00AE72E7">
      <w:pPr>
        <w:ind w:left="540" w:hanging="540"/>
        <w:jc w:val="both"/>
        <w:rPr>
          <w:rFonts w:ascii="Times New Roman" w:eastAsia="Times New Roman" w:hAnsi="Times New Roman" w:cs="Times New Roman"/>
          <w:sz w:val="24"/>
          <w:szCs w:val="24"/>
          <w:lang w:val="en-US" w:eastAsia="en-US"/>
        </w:rPr>
      </w:pPr>
      <w:r w:rsidRPr="00AE72E7">
        <w:rPr>
          <w:rFonts w:ascii="Times New Roman" w:eastAsia="Times New Roman" w:hAnsi="Times New Roman" w:cs="Times New Roman"/>
          <w:sz w:val="24"/>
          <w:szCs w:val="24"/>
          <w:lang w:val="en-US" w:eastAsia="en-US"/>
        </w:rPr>
        <w:t xml:space="preserve">Winter, C. A., Risley, E. A., &amp; Nuss, G. W. (1962). Carrageenin-induced edema in hind paw of the rat as an assay for </w:t>
      </w:r>
      <w:proofErr w:type="spellStart"/>
      <w:r w:rsidRPr="00AE72E7">
        <w:rPr>
          <w:rFonts w:ascii="Times New Roman" w:eastAsia="Times New Roman" w:hAnsi="Times New Roman" w:cs="Times New Roman"/>
          <w:sz w:val="24"/>
          <w:szCs w:val="24"/>
          <w:lang w:val="en-US" w:eastAsia="en-US"/>
        </w:rPr>
        <w:t>antiinflammatory</w:t>
      </w:r>
      <w:proofErr w:type="spellEnd"/>
      <w:r w:rsidRPr="00AE72E7">
        <w:rPr>
          <w:rFonts w:ascii="Times New Roman" w:eastAsia="Times New Roman" w:hAnsi="Times New Roman" w:cs="Times New Roman"/>
          <w:sz w:val="24"/>
          <w:szCs w:val="24"/>
          <w:lang w:val="en-US" w:eastAsia="en-US"/>
        </w:rPr>
        <w:t xml:space="preserve"> drugs. </w:t>
      </w:r>
      <w:r w:rsidRPr="00AE72E7">
        <w:rPr>
          <w:rFonts w:ascii="Times New Roman" w:eastAsia="Times New Roman" w:hAnsi="Times New Roman" w:cs="Times New Roman"/>
          <w:i/>
          <w:iCs/>
          <w:sz w:val="24"/>
          <w:szCs w:val="24"/>
          <w:lang w:val="en-US" w:eastAsia="en-US"/>
        </w:rPr>
        <w:t>Proceedings of the Society for Experimental Biology and Medicine, 111</w:t>
      </w:r>
      <w:r w:rsidRPr="00AE72E7">
        <w:rPr>
          <w:rFonts w:ascii="Times New Roman" w:eastAsia="Times New Roman" w:hAnsi="Times New Roman" w:cs="Times New Roman"/>
          <w:sz w:val="24"/>
          <w:szCs w:val="24"/>
          <w:lang w:val="en-US" w:eastAsia="en-US"/>
        </w:rPr>
        <w:t xml:space="preserve">(3), 544–547. </w:t>
      </w:r>
      <w:hyperlink r:id="rId29" w:tgtFrame="_blank" w:history="1">
        <w:r w:rsidRPr="00AE72E7">
          <w:rPr>
            <w:rFonts w:ascii="Times New Roman" w:eastAsia="Times New Roman" w:hAnsi="Times New Roman" w:cs="Times New Roman"/>
            <w:color w:val="0000FF"/>
            <w:sz w:val="24"/>
            <w:szCs w:val="24"/>
            <w:u w:val="single"/>
            <w:lang w:val="en-US" w:eastAsia="en-US"/>
          </w:rPr>
          <w:t>https://doi.org/10.3181/00379727-111-27849</w:t>
        </w:r>
      </w:hyperlink>
      <w:r w:rsidRPr="00AE72E7">
        <w:rPr>
          <w:rFonts w:ascii="Times New Roman" w:eastAsia="Times New Roman" w:hAnsi="Times New Roman" w:cs="Times New Roman"/>
          <w:sz w:val="24"/>
          <w:szCs w:val="24"/>
          <w:lang w:val="en-US" w:eastAsia="en-US"/>
        </w:rPr>
        <w:t xml:space="preserve"> </w:t>
      </w:r>
    </w:p>
    <w:p w14:paraId="03F370ED" w14:textId="3E08D33F" w:rsidR="00F46E07" w:rsidRDefault="00AE72E7" w:rsidP="00AE72E7">
      <w:pPr>
        <w:spacing w:after="120"/>
        <w:ind w:left="540" w:hanging="540"/>
        <w:jc w:val="both"/>
      </w:pPr>
      <w:r w:rsidRPr="00AE72E7">
        <w:rPr>
          <w:rFonts w:ascii="Times New Roman" w:eastAsia="Times New Roman" w:hAnsi="Times New Roman" w:cs="Times New Roman"/>
          <w:sz w:val="24"/>
          <w:szCs w:val="24"/>
          <w:lang w:val="nl-BE" w:eastAsia="en-US"/>
        </w:rPr>
        <w:t xml:space="preserve">Xiang, W., Jiang, B., Li, X. M., Zhang, H. J., Zhao, Q. S., Li, S. H., &amp; Sun, H. D. (2002). </w:t>
      </w:r>
      <w:r w:rsidRPr="00AE72E7">
        <w:rPr>
          <w:rFonts w:ascii="Times New Roman" w:eastAsia="Times New Roman" w:hAnsi="Times New Roman" w:cs="Times New Roman"/>
          <w:sz w:val="24"/>
          <w:szCs w:val="24"/>
          <w:lang w:val="en-US" w:eastAsia="en-US"/>
        </w:rPr>
        <w:t xml:space="preserve">Constituents of </w:t>
      </w:r>
      <w:proofErr w:type="spellStart"/>
      <w:r w:rsidRPr="00AE72E7">
        <w:rPr>
          <w:rFonts w:ascii="Times New Roman" w:eastAsia="Times New Roman" w:hAnsi="Times New Roman" w:cs="Times New Roman"/>
          <w:i/>
          <w:iCs/>
          <w:sz w:val="24"/>
          <w:szCs w:val="24"/>
          <w:lang w:val="en-US" w:eastAsia="en-US"/>
        </w:rPr>
        <w:t>Gnetum</w:t>
      </w:r>
      <w:proofErr w:type="spellEnd"/>
      <w:r w:rsidRPr="00AE72E7">
        <w:rPr>
          <w:rFonts w:ascii="Times New Roman" w:eastAsia="Times New Roman" w:hAnsi="Times New Roman" w:cs="Times New Roman"/>
          <w:i/>
          <w:iCs/>
          <w:sz w:val="24"/>
          <w:szCs w:val="24"/>
          <w:lang w:val="en-US" w:eastAsia="en-US"/>
        </w:rPr>
        <w:t xml:space="preserve"> montanum</w:t>
      </w:r>
      <w:r w:rsidRPr="00AE72E7">
        <w:rPr>
          <w:rFonts w:ascii="Times New Roman" w:eastAsia="Times New Roman" w:hAnsi="Times New Roman" w:cs="Times New Roman"/>
          <w:sz w:val="24"/>
          <w:szCs w:val="24"/>
          <w:lang w:val="en-US" w:eastAsia="en-US"/>
        </w:rPr>
        <w:t xml:space="preserve">. </w:t>
      </w:r>
      <w:proofErr w:type="spellStart"/>
      <w:r w:rsidRPr="00AE72E7">
        <w:rPr>
          <w:rFonts w:ascii="Times New Roman" w:eastAsia="Times New Roman" w:hAnsi="Times New Roman" w:cs="Times New Roman"/>
          <w:i/>
          <w:iCs/>
          <w:sz w:val="24"/>
          <w:szCs w:val="24"/>
          <w:lang w:val="en-US" w:eastAsia="en-US"/>
        </w:rPr>
        <w:t>Fitoterapia</w:t>
      </w:r>
      <w:proofErr w:type="spellEnd"/>
      <w:r w:rsidRPr="00AE72E7">
        <w:rPr>
          <w:rFonts w:ascii="Times New Roman" w:eastAsia="Times New Roman" w:hAnsi="Times New Roman" w:cs="Times New Roman"/>
          <w:i/>
          <w:iCs/>
          <w:sz w:val="24"/>
          <w:szCs w:val="24"/>
          <w:lang w:val="en-US" w:eastAsia="en-US"/>
        </w:rPr>
        <w:t>, 73</w:t>
      </w:r>
      <w:r w:rsidRPr="00AE72E7">
        <w:rPr>
          <w:rFonts w:ascii="Times New Roman" w:eastAsia="Times New Roman" w:hAnsi="Times New Roman" w:cs="Times New Roman"/>
          <w:sz w:val="24"/>
          <w:szCs w:val="24"/>
          <w:lang w:val="en-US" w:eastAsia="en-US"/>
        </w:rPr>
        <w:t xml:space="preserve">(1), 40–42. </w:t>
      </w:r>
      <w:hyperlink r:id="rId30" w:history="1">
        <w:r w:rsidRPr="000734B3">
          <w:rPr>
            <w:rStyle w:val="Hyperlink"/>
            <w:rFonts w:ascii="Times New Roman" w:eastAsia="Times New Roman" w:hAnsi="Times New Roman" w:cs="Times New Roman"/>
            <w:sz w:val="24"/>
            <w:szCs w:val="24"/>
            <w:lang w:val="en-US" w:eastAsia="en-US"/>
          </w:rPr>
          <w:t>https://doi.org/10.1016/S0367-326X(01)00370-7</w:t>
        </w:r>
      </w:hyperlink>
      <w:r>
        <w:rPr>
          <w:rFonts w:ascii="Times New Roman" w:eastAsia="Times New Roman" w:hAnsi="Times New Roman" w:cs="Times New Roman"/>
          <w:sz w:val="24"/>
          <w:szCs w:val="24"/>
          <w:lang w:val="en-US" w:eastAsia="en-US"/>
        </w:rPr>
        <w:t xml:space="preserve"> </w:t>
      </w:r>
    </w:p>
    <w:sectPr w:rsidR="00F46E07" w:rsidSect="00CE50DD">
      <w:headerReference w:type="even" r:id="rId31"/>
      <w:headerReference w:type="default" r:id="rId32"/>
      <w:footerReference w:type="even" r:id="rId33"/>
      <w:footerReference w:type="default" r:id="rId34"/>
      <w:headerReference w:type="first" r:id="rId35"/>
      <w:footerReference w:type="first" r:id="rId36"/>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2386F" w14:textId="77777777" w:rsidR="00AF4674" w:rsidRDefault="00AF4674">
      <w:r>
        <w:separator/>
      </w:r>
    </w:p>
  </w:endnote>
  <w:endnote w:type="continuationSeparator" w:id="0">
    <w:p w14:paraId="33935D1C" w14:textId="77777777" w:rsidR="00AF4674" w:rsidRDefault="00AF4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75CE9" w14:textId="77777777" w:rsidR="007A0234" w:rsidRDefault="007A0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6C1D" w14:textId="77777777" w:rsidR="007A0234" w:rsidRDefault="007A0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DE3E" w14:textId="77777777" w:rsidR="007A0234" w:rsidRDefault="007A0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C3740" w14:textId="77777777" w:rsidR="00AF4674" w:rsidRDefault="00AF4674">
      <w:r>
        <w:separator/>
      </w:r>
    </w:p>
  </w:footnote>
  <w:footnote w:type="continuationSeparator" w:id="0">
    <w:p w14:paraId="0E72A21E" w14:textId="77777777" w:rsidR="00AF4674" w:rsidRDefault="00AF4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BA481" w14:textId="77777777" w:rsidR="007A0234" w:rsidRDefault="00000000">
    <w:pPr>
      <w:pStyle w:val="Header"/>
    </w:pPr>
    <w:r>
      <w:rPr>
        <w:noProof/>
      </w:rPr>
      <w:pict w14:anchorId="52E3FE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862813"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A141" w14:textId="77777777" w:rsidR="007A0234" w:rsidRDefault="00000000">
    <w:pPr>
      <w:pStyle w:val="Header"/>
    </w:pPr>
    <w:r>
      <w:rPr>
        <w:noProof/>
      </w:rPr>
      <w:pict w14:anchorId="643B49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862814"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DAD3" w14:textId="77777777" w:rsidR="007A0234" w:rsidRDefault="00000000">
    <w:pPr>
      <w:pStyle w:val="Header"/>
    </w:pPr>
    <w:r>
      <w:rPr>
        <w:noProof/>
      </w:rPr>
      <w:pict w14:anchorId="6CB638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862812"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5A23"/>
    <w:multiLevelType w:val="hybridMultilevel"/>
    <w:tmpl w:val="90242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F7421A"/>
    <w:multiLevelType w:val="hybridMultilevel"/>
    <w:tmpl w:val="1D5E147C"/>
    <w:lvl w:ilvl="0" w:tplc="486AA000">
      <w:start w:val="1"/>
      <w:numFmt w:val="bullet"/>
      <w:lvlText w:val="●"/>
      <w:lvlJc w:val="left"/>
      <w:pPr>
        <w:ind w:left="720" w:hanging="360"/>
      </w:pPr>
    </w:lvl>
    <w:lvl w:ilvl="1" w:tplc="AFF4AB58">
      <w:start w:val="1"/>
      <w:numFmt w:val="bullet"/>
      <w:lvlText w:val="○"/>
      <w:lvlJc w:val="left"/>
      <w:pPr>
        <w:ind w:left="1440" w:hanging="360"/>
      </w:pPr>
    </w:lvl>
    <w:lvl w:ilvl="2" w:tplc="D9D68154">
      <w:start w:val="1"/>
      <w:numFmt w:val="bullet"/>
      <w:lvlText w:val="■"/>
      <w:lvlJc w:val="left"/>
      <w:pPr>
        <w:ind w:left="2160" w:hanging="360"/>
      </w:pPr>
    </w:lvl>
    <w:lvl w:ilvl="3" w:tplc="FA680AB8">
      <w:start w:val="1"/>
      <w:numFmt w:val="bullet"/>
      <w:lvlText w:val="●"/>
      <w:lvlJc w:val="left"/>
      <w:pPr>
        <w:ind w:left="2880" w:hanging="360"/>
      </w:pPr>
    </w:lvl>
    <w:lvl w:ilvl="4" w:tplc="7638A9DA">
      <w:start w:val="1"/>
      <w:numFmt w:val="bullet"/>
      <w:lvlText w:val="○"/>
      <w:lvlJc w:val="left"/>
      <w:pPr>
        <w:ind w:left="3600" w:hanging="360"/>
      </w:pPr>
    </w:lvl>
    <w:lvl w:ilvl="5" w:tplc="8A94F980">
      <w:start w:val="1"/>
      <w:numFmt w:val="bullet"/>
      <w:lvlText w:val="■"/>
      <w:lvlJc w:val="left"/>
      <w:pPr>
        <w:ind w:left="4320" w:hanging="360"/>
      </w:pPr>
    </w:lvl>
    <w:lvl w:ilvl="6" w:tplc="5178DEB8">
      <w:start w:val="1"/>
      <w:numFmt w:val="bullet"/>
      <w:lvlText w:val="●"/>
      <w:lvlJc w:val="left"/>
      <w:pPr>
        <w:ind w:left="5040" w:hanging="360"/>
      </w:pPr>
    </w:lvl>
    <w:lvl w:ilvl="7" w:tplc="F3686760">
      <w:start w:val="1"/>
      <w:numFmt w:val="bullet"/>
      <w:lvlText w:val="●"/>
      <w:lvlJc w:val="left"/>
      <w:pPr>
        <w:ind w:left="5760" w:hanging="360"/>
      </w:pPr>
    </w:lvl>
    <w:lvl w:ilvl="8" w:tplc="576061D4">
      <w:start w:val="1"/>
      <w:numFmt w:val="bullet"/>
      <w:lvlText w:val="●"/>
      <w:lvlJc w:val="left"/>
      <w:pPr>
        <w:ind w:left="6480" w:hanging="360"/>
      </w:pPr>
    </w:lvl>
  </w:abstractNum>
  <w:abstractNum w:abstractNumId="2" w15:restartNumberingAfterBreak="0">
    <w:nsid w:val="76AF5A8F"/>
    <w:multiLevelType w:val="hybridMultilevel"/>
    <w:tmpl w:val="7E46BFF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6393786">
    <w:abstractNumId w:val="1"/>
    <w:lvlOverride w:ilvl="0">
      <w:startOverride w:val="1"/>
    </w:lvlOverride>
  </w:num>
  <w:num w:numId="2" w16cid:durableId="1428959989">
    <w:abstractNumId w:val="0"/>
  </w:num>
  <w:num w:numId="3" w16cid:durableId="1794055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zsDQwtzAzMbM0MrJU0lEKTi0uzszPAykwqgUASlymcCwAAAA="/>
  </w:docVars>
  <w:rsids>
    <w:rsidRoot w:val="00510C23"/>
    <w:rsid w:val="000571B8"/>
    <w:rsid w:val="000D30D6"/>
    <w:rsid w:val="00131DA8"/>
    <w:rsid w:val="00207F88"/>
    <w:rsid w:val="002F3717"/>
    <w:rsid w:val="00387158"/>
    <w:rsid w:val="003F527B"/>
    <w:rsid w:val="00425D51"/>
    <w:rsid w:val="00510C23"/>
    <w:rsid w:val="00586008"/>
    <w:rsid w:val="005F3218"/>
    <w:rsid w:val="006B1A51"/>
    <w:rsid w:val="00793F12"/>
    <w:rsid w:val="007A0234"/>
    <w:rsid w:val="007F1ADD"/>
    <w:rsid w:val="009E016B"/>
    <w:rsid w:val="00A54069"/>
    <w:rsid w:val="00AD403B"/>
    <w:rsid w:val="00AE72E7"/>
    <w:rsid w:val="00AF4674"/>
    <w:rsid w:val="00B44F95"/>
    <w:rsid w:val="00B82A8A"/>
    <w:rsid w:val="00CA3849"/>
    <w:rsid w:val="00CE50DD"/>
    <w:rsid w:val="00E51B34"/>
    <w:rsid w:val="00F46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4620F"/>
  <w15:docId w15:val="{8631F1D0-2A57-4169-9A5D-C1079C50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CA3849"/>
  </w:style>
  <w:style w:type="paragraph" w:styleId="Header">
    <w:name w:val="header"/>
    <w:basedOn w:val="Normal"/>
    <w:link w:val="HeaderChar"/>
    <w:uiPriority w:val="99"/>
    <w:unhideWhenUsed/>
    <w:rsid w:val="00CA3849"/>
    <w:pPr>
      <w:tabs>
        <w:tab w:val="center" w:pos="4513"/>
        <w:tab w:val="right" w:pos="9026"/>
      </w:tabs>
    </w:pPr>
  </w:style>
  <w:style w:type="character" w:customStyle="1" w:styleId="HeaderChar">
    <w:name w:val="Header Char"/>
    <w:basedOn w:val="DefaultParagraphFont"/>
    <w:link w:val="Header"/>
    <w:uiPriority w:val="99"/>
    <w:rsid w:val="00CA3849"/>
  </w:style>
  <w:style w:type="paragraph" w:styleId="Footer">
    <w:name w:val="footer"/>
    <w:basedOn w:val="Normal"/>
    <w:link w:val="FooterChar"/>
    <w:uiPriority w:val="99"/>
    <w:unhideWhenUsed/>
    <w:rsid w:val="00CA3849"/>
    <w:pPr>
      <w:tabs>
        <w:tab w:val="center" w:pos="4513"/>
        <w:tab w:val="right" w:pos="9026"/>
      </w:tabs>
    </w:pPr>
  </w:style>
  <w:style w:type="character" w:customStyle="1" w:styleId="FooterChar">
    <w:name w:val="Footer Char"/>
    <w:basedOn w:val="DefaultParagraphFont"/>
    <w:link w:val="Footer"/>
    <w:uiPriority w:val="99"/>
    <w:rsid w:val="00CA3849"/>
  </w:style>
  <w:style w:type="character" w:styleId="UnresolvedMention">
    <w:name w:val="Unresolved Mention"/>
    <w:basedOn w:val="DefaultParagraphFont"/>
    <w:uiPriority w:val="99"/>
    <w:semiHidden/>
    <w:unhideWhenUsed/>
    <w:rsid w:val="00E51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39/D5RA08293E?utm_source=chatgpt.com" TargetMode="External"/><Relationship Id="rId18" Type="http://schemas.openxmlformats.org/officeDocument/2006/relationships/hyperlink" Target="https://doi.org/10.1186/s12906-017-1698-z?utm_source=chatgpt.com" TargetMode="External"/><Relationship Id="rId26" Type="http://schemas.openxmlformats.org/officeDocument/2006/relationships/hyperlink" Target="https://doi.org/10.1002/ptr.5490?utm_source=chatgpt.com" TargetMode="External"/><Relationship Id="rId21" Type="http://schemas.openxmlformats.org/officeDocument/2006/relationships/hyperlink" Target="https://doi.org/10.1016/j.semarthrit.2020.04.010?utm_source=chatgpt.com"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doi.org/10.1155/2016/9232593?utm_source=chatgpt.com" TargetMode="External"/><Relationship Id="rId17" Type="http://schemas.openxmlformats.org/officeDocument/2006/relationships/hyperlink" Target="https://doi.org/10.1248/cpb.53.984?utm_source=chatgpt.com" TargetMode="External"/><Relationship Id="rId25" Type="http://schemas.openxmlformats.org/officeDocument/2006/relationships/hyperlink" Target="https://doi.org/10.1538/expanim.16-0096?utm_source=chatgpt.com"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9734/ejmp/2019/v28i430140?utm_source=chatgpt.com" TargetMode="External"/><Relationship Id="rId20" Type="http://schemas.openxmlformats.org/officeDocument/2006/relationships/hyperlink" Target="https://doi.org/10.1016/j.apjtm.2015.05.014?utm_source=chatgpt.com" TargetMode="External"/><Relationship Id="rId29" Type="http://schemas.openxmlformats.org/officeDocument/2006/relationships/hyperlink" Target="https://doi.org/10.3181/00379727-111-27849?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00210-024-03686-4?utm_source=chatgpt.com" TargetMode="External"/><Relationship Id="rId24" Type="http://schemas.openxmlformats.org/officeDocument/2006/relationships/hyperlink" Target="https://doi.org/10.1016/j.jep.2016.10.064?utm_source=chatgpt.com"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02/ptr.8211?utm_source=chatgpt.com" TargetMode="External"/><Relationship Id="rId23" Type="http://schemas.openxmlformats.org/officeDocument/2006/relationships/hyperlink" Target="https://doi.org/10.1002/art.41404?utm_source=chatgpt.com" TargetMode="External"/><Relationship Id="rId28" Type="http://schemas.openxmlformats.org/officeDocument/2006/relationships/hyperlink" Target="https://doi.org/10.1016/j.jep.2021.114117?utm_source=chatgpt.com" TargetMode="External"/><Relationship Id="rId36" Type="http://schemas.openxmlformats.org/officeDocument/2006/relationships/footer" Target="footer3.xml"/><Relationship Id="rId10" Type="http://schemas.openxmlformats.org/officeDocument/2006/relationships/hyperlink" Target="https://doi.org/10.56557/ajaas/2025/v8i174?utm_source=chatgpt.com" TargetMode="External"/><Relationship Id="rId19" Type="http://schemas.openxmlformats.org/officeDocument/2006/relationships/hyperlink" Target="https://doi.org/10.1021/np9004097?utm_source=chatgpt.com"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16/j.jpha.2024.101183?utm_source=chatgpt.com" TargetMode="External"/><Relationship Id="rId22" Type="http://schemas.openxmlformats.org/officeDocument/2006/relationships/hyperlink" Target="https://doi.org/10.1001/archinte.1985.00360080174026?utm_source=chatgpt.com" TargetMode="External"/><Relationship Id="rId27" Type="http://schemas.openxmlformats.org/officeDocument/2006/relationships/hyperlink" Target="https://doi.org/10.1016/j.jep.2011.07.016?utm_source=chatgpt.com" TargetMode="External"/><Relationship Id="rId30" Type="http://schemas.openxmlformats.org/officeDocument/2006/relationships/hyperlink" Target="https://doi.org/10.1016/S0367-326X(01)00370-7"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6843</Words>
  <Characters>39007</Characters>
  <Application>Microsoft Office Word</Application>
  <DocSecurity>0</DocSecurity>
  <Lines>325</Lines>
  <Paragraphs>91</Paragraphs>
  <ScaleCrop>false</ScaleCrop>
  <Company/>
  <LinksUpToDate>false</LinksUpToDate>
  <CharactersWithSpaces>45759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11</cp:revision>
  <dcterms:created xsi:type="dcterms:W3CDTF">2026-09-07T16:22:00Z</dcterms:created>
  <dcterms:modified xsi:type="dcterms:W3CDTF">2026-09-14T08:20:00Z</dcterms:modified>
</cp:coreProperties>
</file>