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8DF54" w14:textId="77777777" w:rsidR="00754C9A" w:rsidRDefault="00754C9A" w:rsidP="00441B6F">
      <w:pPr>
        <w:pStyle w:val="Title"/>
        <w:spacing w:after="0"/>
        <w:jc w:val="both"/>
        <w:rPr>
          <w:rFonts w:ascii="Arial" w:hAnsi="Arial" w:cs="Arial"/>
        </w:rPr>
      </w:pPr>
    </w:p>
    <w:p w14:paraId="70AC8C27" w14:textId="77777777" w:rsidR="00A258C3" w:rsidRDefault="00B1037E" w:rsidP="00441B6F">
      <w:pPr>
        <w:pStyle w:val="Author"/>
        <w:spacing w:line="240" w:lineRule="auto"/>
        <w:jc w:val="both"/>
      </w:pPr>
      <w:r>
        <w:t xml:space="preserve">Protective Effect of </w:t>
      </w:r>
      <w:r>
        <w:rPr>
          <w:rStyle w:val="Emphasis"/>
        </w:rPr>
        <w:t>Pterocarpus santalinoides</w:t>
      </w:r>
      <w:r>
        <w:t xml:space="preserve"> Leaf Diet against Cadmium-Induced Biochemical and Haematological Alterations</w:t>
      </w:r>
    </w:p>
    <w:p w14:paraId="2689B113" w14:textId="77777777" w:rsidR="00B1037E" w:rsidRPr="00790ADA" w:rsidRDefault="00B1037E" w:rsidP="00441B6F">
      <w:pPr>
        <w:pStyle w:val="Author"/>
        <w:spacing w:line="240" w:lineRule="auto"/>
        <w:jc w:val="both"/>
        <w:rPr>
          <w:rFonts w:ascii="Arial" w:hAnsi="Arial" w:cs="Arial"/>
          <w:sz w:val="36"/>
        </w:rPr>
      </w:pPr>
    </w:p>
    <w:p w14:paraId="0B5AF7F4" w14:textId="77777777" w:rsidR="002C57D2" w:rsidRPr="00FB3A86" w:rsidRDefault="002C57D2" w:rsidP="00441B6F">
      <w:pPr>
        <w:pStyle w:val="Affiliation"/>
        <w:spacing w:after="0" w:line="240" w:lineRule="auto"/>
        <w:jc w:val="both"/>
        <w:rPr>
          <w:rFonts w:ascii="Arial" w:hAnsi="Arial" w:cs="Arial"/>
        </w:rPr>
      </w:pPr>
    </w:p>
    <w:p w14:paraId="3BE6FB25" w14:textId="77777777" w:rsidR="00790ADA" w:rsidRPr="00FB3A86" w:rsidRDefault="001C19E3" w:rsidP="00151356">
      <w:pPr>
        <w:pStyle w:val="Copyright"/>
        <w:spacing w:after="0" w:line="240" w:lineRule="auto"/>
        <w:jc w:val="both"/>
        <w:rPr>
          <w:rFonts w:ascii="Arial" w:hAnsi="Arial" w:cs="Arial"/>
        </w:rPr>
      </w:pPr>
      <w:r>
        <w:rPr>
          <w:rFonts w:ascii="Arial" w:hAnsi="Arial" w:cs="Arial"/>
          <w:noProof/>
        </w:rPr>
        <mc:AlternateContent>
          <mc:Choice Requires="wps">
            <w:drawing>
              <wp:inline distT="0" distB="0" distL="0" distR="0" wp14:anchorId="1C04F996" wp14:editId="05E7A49F">
                <wp:extent cx="5303520" cy="635"/>
                <wp:effectExtent l="13335" t="13335" r="17145" b="15240"/>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shapetype w14:anchorId="6A41B2A5" id="_x0000_t32" coordsize="21600,21600" o:spt="32" o:oned="t" path="m,l21600,21600e" filled="f">
                <v:path arrowok="t" fillok="f" o:connecttype="none"/>
                <o:lock v:ext="edit" shapetype="t"/>
              </v:shapetype>
              <v:shape id="AutoShape 2"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" strokeweight="1.5pt">
                <w10:anchorlock/>
              </v:shape>
            </w:pict>
          </mc:Fallback>
        </mc:AlternateContent>
      </w:r>
      <w:r w:rsidR="00A74AA0">
        <w:rPr>
          <w:rFonts w:ascii="Arial" w:hAnsi="Arial" w:cs="Arial"/>
        </w:rPr>
        <w:t>.</w:t>
      </w:r>
      <w:r w:rsidR="00A74AA0" w:rsidRPr="00151356">
        <w:rPr>
          <w:rFonts w:ascii="Arial" w:hAnsi="Arial" w:cs="Arial"/>
          <w:b/>
        </w:rPr>
        <w:t xml:space="preserve"> ABSTRACT</w:t>
      </w:r>
    </w:p>
    <w:p w14:paraId="273D9A6D" w14:textId="6FB272DA" w:rsidR="0024282C" w:rsidRDefault="006B5B4F" w:rsidP="00441B6F">
      <w:pPr>
        <w:pStyle w:val="Body"/>
        <w:spacing w:after="0"/>
      </w:pPr>
      <w:r>
        <w:rPr>
          <w:rStyle w:val="Emphasis"/>
        </w:rPr>
        <w:t>Pterocarpus santalinoides</w:t>
      </w:r>
      <w:r>
        <w:t xml:space="preserve"> is a nutritional and medicinal plant with diverse phytochemical constituents and therapeutic properties. Cadmium is an important environmental toxicant that can accumulate in biological tissues and cause oxidative stress, renal damage, and haematological disturbances. This study investigated the protective effect of</w:t>
      </w:r>
      <w:r>
        <w:rPr>
          <w:highlight w:val="yellow"/>
        </w:rPr>
        <w:t xml:space="preserve"> a</w:t>
      </w:r>
      <w:r>
        <w:t xml:space="preserve"> </w:t>
      </w:r>
      <w:r>
        <w:rPr>
          <w:rStyle w:val="Emphasis"/>
        </w:rPr>
        <w:t>Pterocarpus santalinoides</w:t>
      </w:r>
      <w:r>
        <w:t xml:space="preserve"> leaf diet on selected biochemical, antioxidant, and haematological indices in cadmium-exposed Wistar rats. Thirty Wistar rats were randomly divided into five groups of six rats each: normal control, negative control, low-dose (</w:t>
      </w:r>
      <w:r>
        <w:rPr>
          <w:rStyle w:val="Emphasis"/>
        </w:rPr>
        <w:t>PS1</w:t>
      </w:r>
      <w:r>
        <w:t>), medium-dose (</w:t>
      </w:r>
      <w:r>
        <w:rPr>
          <w:rStyle w:val="Emphasis"/>
        </w:rPr>
        <w:t>PS2</w:t>
      </w:r>
      <w:r>
        <w:t>), and high-dose (</w:t>
      </w:r>
      <w:r>
        <w:rPr>
          <w:rStyle w:val="Emphasis"/>
        </w:rPr>
        <w:t>PS3</w:t>
      </w:r>
      <w:r>
        <w:t xml:space="preserve">) groups. </w:t>
      </w:r>
      <w:r w:rsidR="00D04853">
        <w:t xml:space="preserve">Except for the normal control, the animals received cadmium chloride at 5 mg/kg body weight for 14 consecutive days. The treatment groups were subsequently fed diets containing 10%, 20%, or 40% </w:t>
      </w:r>
      <w:r w:rsidR="00D04853">
        <w:rPr>
          <w:rStyle w:val="Emphasis"/>
        </w:rPr>
        <w:t xml:space="preserve">Pterocarpus </w:t>
      </w:r>
      <w:proofErr w:type="spellStart"/>
      <w:r w:rsidR="00D04853">
        <w:rPr>
          <w:rStyle w:val="Emphasis"/>
        </w:rPr>
        <w:t>santalinoides</w:t>
      </w:r>
      <w:proofErr w:type="spellEnd"/>
      <w:r w:rsidR="00D04853">
        <w:t xml:space="preserve"> leaf meal for 21 days. </w:t>
      </w:r>
      <w:r>
        <w:t>The negative control and treatment groups were exposed to cadmium, while the treatment groups received varying concentrations of</w:t>
      </w:r>
      <w:r>
        <w:rPr>
          <w:highlight w:val="yellow"/>
        </w:rPr>
        <w:t xml:space="preserve"> the</w:t>
      </w:r>
      <w:r>
        <w:t xml:space="preserve"> </w:t>
      </w:r>
      <w:r>
        <w:rPr>
          <w:rStyle w:val="Emphasis"/>
        </w:rPr>
        <w:t>Pterocarpus santalinoides</w:t>
      </w:r>
      <w:r>
        <w:t xml:space="preserve"> leaf diet. At the end of the experiment, serum and blood samples were collected for biochemical, antioxidant, and haematological analyses using standard laboratory procedures. Cadmium exposure caused marked alterations in the measured parameters, with increased serum urea and creatinine levels and reduced activities of superoxide dismutase and catalase, indicating renal dysfunction and oxidative stress. Significant reductions in white blood cell, red blood cell, </w:t>
      </w:r>
      <w:r>
        <w:rPr>
          <w:highlight w:val="yellow"/>
        </w:rPr>
        <w:t xml:space="preserve">and </w:t>
      </w:r>
      <w:r>
        <w:t>platelet counts, a</w:t>
      </w:r>
      <w:r>
        <w:rPr>
          <w:highlight w:val="yellow"/>
        </w:rPr>
        <w:t>s well as</w:t>
      </w:r>
      <w:r>
        <w:t xml:space="preserve"> packed cell volume</w:t>
      </w:r>
      <w:r>
        <w:rPr>
          <w:highlight w:val="yellow"/>
        </w:rPr>
        <w:t>,</w:t>
      </w:r>
      <w:r>
        <w:t xml:space="preserve"> were also observed in the untreated cadmium-exposed rats. Administration of </w:t>
      </w:r>
      <w:r>
        <w:rPr>
          <w:rStyle w:val="Emphasis"/>
          <w:highlight w:val="yellow"/>
        </w:rPr>
        <w:t>the</w:t>
      </w:r>
      <w:r>
        <w:rPr>
          <w:rStyle w:val="Emphasis"/>
        </w:rPr>
        <w:t xml:space="preserve"> Pterocarpus santalinoides leaf diet improved these alterations, as evidenced by reductions in serum urea and creatinine</w:t>
      </w:r>
      <w:r>
        <w:rPr>
          <w:rStyle w:val="Emphasis"/>
          <w:highlight w:val="yellow"/>
        </w:rPr>
        <w:t xml:space="preserve"> levels</w:t>
      </w:r>
      <w:r>
        <w:rPr>
          <w:rStyle w:val="Emphasis"/>
        </w:rPr>
        <w:t xml:space="preserve"> and increases in</w:t>
      </w:r>
      <w:r>
        <w:t xml:space="preserve"> antioxidant enzyme activities. Haematological indices also improved following dietary treatment. The improvements were generally more pronounced at higher dietary inclusion levels, with values approaching those of the normal control group. These findings suggest that </w:t>
      </w:r>
      <w:r>
        <w:rPr>
          <w:rStyle w:val="Emphasis"/>
          <w:highlight w:val="yellow"/>
        </w:rPr>
        <w:t xml:space="preserve">the </w:t>
      </w:r>
      <w:r>
        <w:rPr>
          <w:rStyle w:val="Emphasis"/>
        </w:rPr>
        <w:t>Pterocarpus santalinoides</w:t>
      </w:r>
      <w:r>
        <w:t xml:space="preserve"> leaf diet has </w:t>
      </w:r>
      <w:r>
        <w:rPr>
          <w:highlight w:val="yellow"/>
        </w:rPr>
        <w:t xml:space="preserve">a </w:t>
      </w:r>
      <w:r>
        <w:t>protective effect against cadmium-induced renal, oxidative, and haematological disturbances, which may be associated with its antioxidant and other bioactive constituents.</w:t>
      </w:r>
    </w:p>
    <w:p w14:paraId="015A153A" w14:textId="77777777" w:rsidR="00795C38" w:rsidRDefault="00795C38" w:rsidP="00795C38">
      <w:pPr>
        <w:jc w:val="both"/>
        <w:rPr>
          <w:rFonts w:ascii="Times New Roman" w:hAnsi="Times New Roman"/>
          <w:sz w:val="24"/>
          <w:szCs w:val="24"/>
        </w:rPr>
      </w:pPr>
      <w:r>
        <w:rPr>
          <w:rFonts w:ascii="Times New Roman" w:hAnsi="Times New Roman"/>
          <w:sz w:val="24"/>
          <w:szCs w:val="24"/>
        </w:rPr>
        <w:t>Keywords</w:t>
      </w:r>
      <w:r>
        <w:rPr>
          <w:rFonts w:ascii="Times New Roman" w:hAnsi="Times New Roman"/>
          <w:b/>
          <w:sz w:val="24"/>
          <w:szCs w:val="24"/>
        </w:rPr>
        <w:t>:</w:t>
      </w:r>
      <w:r>
        <w:rPr>
          <w:rFonts w:ascii="Times New Roman" w:hAnsi="Times New Roman"/>
          <w:sz w:val="24"/>
          <w:szCs w:val="24"/>
        </w:rPr>
        <w:t xml:space="preserve"> </w:t>
      </w:r>
      <w:r>
        <w:rPr>
          <w:rFonts w:ascii="Times New Roman" w:hAnsi="Times New Roman"/>
          <w:i/>
          <w:sz w:val="24"/>
          <w:szCs w:val="24"/>
        </w:rPr>
        <w:t>Pterocarpus santalinoides</w:t>
      </w:r>
      <w:r>
        <w:rPr>
          <w:rFonts w:ascii="Times New Roman" w:hAnsi="Times New Roman"/>
          <w:sz w:val="24"/>
          <w:szCs w:val="24"/>
        </w:rPr>
        <w:t>, cadmium, antioxidant enzymes, haematological parameters, kidney function, oxidative stress.</w:t>
      </w:r>
    </w:p>
    <w:p w14:paraId="77ED0C70" w14:textId="77777777" w:rsidR="00795C38" w:rsidRDefault="00795C38" w:rsidP="00795C38">
      <w:pPr>
        <w:rPr>
          <w:rFonts w:ascii="Times New Roman" w:hAnsi="Times New Roman"/>
          <w:sz w:val="24"/>
          <w:szCs w:val="24"/>
        </w:rPr>
        <w:sectPr w:rsidR="00795C38" w:rsidSect="00DD66B3">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20" w:footer="720" w:gutter="0"/>
          <w:pgNumType w:fmt="lowerRoman" w:start="1"/>
          <w:cols w:space="720"/>
        </w:sectPr>
      </w:pPr>
    </w:p>
    <w:p w14:paraId="5C0311A2" w14:textId="77777777" w:rsidR="007F7B32" w:rsidRDefault="00902823" w:rsidP="00441B6F">
      <w:pPr>
        <w:pStyle w:val="AbstHead"/>
        <w:spacing w:after="0"/>
        <w:jc w:val="both"/>
        <w:rPr>
          <w:rFonts w:ascii="Arial" w:hAnsi="Arial" w:cs="Arial"/>
        </w:rPr>
      </w:pPr>
      <w:r>
        <w:rPr>
          <w:rFonts w:ascii="Arial" w:hAnsi="Arial" w:cs="Arial"/>
        </w:rPr>
        <w:lastRenderedPageBreak/>
        <w:t xml:space="preserve"> </w:t>
      </w:r>
      <w:r w:rsidR="00B01FCD" w:rsidRPr="00FB3A86">
        <w:rPr>
          <w:rFonts w:ascii="Arial" w:hAnsi="Arial" w:cs="Arial"/>
        </w:rPr>
        <w:t>INTRODUCTION</w:t>
      </w:r>
    </w:p>
    <w:p w14:paraId="7CC85D46"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Heavy metals are naturally occurring elements that have become major environmental pollutants due to rapid industriali</w:t>
      </w:r>
      <w:r>
        <w:rPr>
          <w:rFonts w:ascii="Times New Roman" w:hAnsi="Times New Roman"/>
          <w:sz w:val="24"/>
          <w:szCs w:val="24"/>
          <w:highlight w:val="yellow"/>
        </w:rPr>
        <w:t>s</w:t>
      </w:r>
      <w:r>
        <w:rPr>
          <w:rFonts w:ascii="Times New Roman" w:hAnsi="Times New Roman"/>
          <w:sz w:val="24"/>
          <w:szCs w:val="24"/>
        </w:rPr>
        <w:t>ation, mining activities, urbani</w:t>
      </w:r>
      <w:r>
        <w:rPr>
          <w:rFonts w:ascii="Times New Roman" w:hAnsi="Times New Roman"/>
          <w:sz w:val="24"/>
          <w:szCs w:val="24"/>
          <w:highlight w:val="yellow"/>
        </w:rPr>
        <w:t>s</w:t>
      </w:r>
      <w:r>
        <w:rPr>
          <w:rFonts w:ascii="Times New Roman" w:hAnsi="Times New Roman"/>
          <w:sz w:val="24"/>
          <w:szCs w:val="24"/>
        </w:rPr>
        <w:t xml:space="preserve">ation, agricultural practices, and the indiscriminate disposal of industrial waste. Unlike many organic pollutants, heavy metals are non-biodegradable and therefore persist in the environment for long periods, accumulating in soil, water, and living organisms (Tchounwou </w:t>
      </w:r>
      <w:r>
        <w:rPr>
          <w:rFonts w:ascii="Times New Roman" w:hAnsi="Times New Roman"/>
          <w:i/>
          <w:sz w:val="24"/>
          <w:szCs w:val="24"/>
        </w:rPr>
        <w:t>et al.,</w:t>
      </w:r>
      <w:r>
        <w:rPr>
          <w:rFonts w:ascii="Times New Roman" w:hAnsi="Times New Roman"/>
          <w:sz w:val="24"/>
          <w:szCs w:val="24"/>
        </w:rPr>
        <w:t xml:space="preserve"> 201</w:t>
      </w:r>
      <w:r>
        <w:rPr>
          <w:rFonts w:ascii="Times New Roman" w:hAnsi="Times New Roman"/>
          <w:sz w:val="24"/>
          <w:szCs w:val="24"/>
          <w:highlight w:val="yellow"/>
        </w:rPr>
        <w:t>2</w:t>
      </w:r>
      <w:r>
        <w:rPr>
          <w:rFonts w:ascii="Times New Roman" w:hAnsi="Times New Roman"/>
          <w:sz w:val="24"/>
          <w:szCs w:val="24"/>
        </w:rPr>
        <w:t xml:space="preserve">). Their persistence and tendency to bioaccumulate make them a significant threat to both environmental sustainability and public health. Among the various heavy metals, cadmium has attracted considerable scientific attention because of its high toxicity, long biological half-life, and ability to accumulate in vital organs following prolonged exposure (Jaishankar </w:t>
      </w:r>
      <w:r>
        <w:rPr>
          <w:rFonts w:ascii="Times New Roman" w:hAnsi="Times New Roman"/>
          <w:i/>
          <w:sz w:val="24"/>
          <w:szCs w:val="24"/>
        </w:rPr>
        <w:t>et al.,</w:t>
      </w:r>
      <w:r>
        <w:rPr>
          <w:rFonts w:ascii="Times New Roman" w:hAnsi="Times New Roman"/>
          <w:sz w:val="24"/>
          <w:szCs w:val="24"/>
        </w:rPr>
        <w:t xml:space="preserve"> 2014). Human and animal exposure to cadmium commonly occurs through contaminated food and water, cigarette smoke, industrial emissions, mining activities, and phosphate fertili</w:t>
      </w:r>
      <w:r>
        <w:rPr>
          <w:rFonts w:ascii="Times New Roman" w:hAnsi="Times New Roman"/>
          <w:sz w:val="24"/>
          <w:szCs w:val="24"/>
          <w:highlight w:val="yellow"/>
        </w:rPr>
        <w:t>s</w:t>
      </w:r>
      <w:r>
        <w:rPr>
          <w:rFonts w:ascii="Times New Roman" w:hAnsi="Times New Roman"/>
          <w:sz w:val="24"/>
          <w:szCs w:val="24"/>
        </w:rPr>
        <w:t xml:space="preserve">ers (Unsal </w:t>
      </w:r>
      <w:r>
        <w:rPr>
          <w:rFonts w:ascii="Times New Roman" w:hAnsi="Times New Roman"/>
          <w:i/>
          <w:sz w:val="24"/>
          <w:szCs w:val="24"/>
        </w:rPr>
        <w:t>et al.,</w:t>
      </w:r>
      <w:r>
        <w:rPr>
          <w:rFonts w:ascii="Times New Roman" w:hAnsi="Times New Roman"/>
          <w:sz w:val="24"/>
          <w:szCs w:val="24"/>
        </w:rPr>
        <w:t xml:space="preserve"> 2020). Since the body has limited mechanisms for eliminating cadmium, continuous exposure results in its gradual accumulation, particularly in the kidneys and liver, where it disrupts normal physiological processes (Genchi </w:t>
      </w:r>
      <w:r>
        <w:rPr>
          <w:rFonts w:ascii="Times New Roman" w:hAnsi="Times New Roman"/>
          <w:i/>
          <w:sz w:val="24"/>
          <w:szCs w:val="24"/>
        </w:rPr>
        <w:t>et al.,</w:t>
      </w:r>
      <w:r>
        <w:rPr>
          <w:rFonts w:ascii="Times New Roman" w:hAnsi="Times New Roman"/>
          <w:sz w:val="24"/>
          <w:szCs w:val="24"/>
        </w:rPr>
        <w:t xml:space="preserve"> 2020).</w:t>
      </w:r>
    </w:p>
    <w:p w14:paraId="2DAF3613"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Cadmium toxicity has been linked to several pathological conditions, including renal dysfunction, liver injury, cardiovascular diseases, reproductive disorders</w:t>
      </w:r>
      <w:r>
        <w:rPr>
          <w:rFonts w:ascii="Times New Roman" w:hAnsi="Times New Roman"/>
          <w:sz w:val="24"/>
          <w:szCs w:val="24"/>
          <w:highlight w:val="yellow"/>
        </w:rPr>
        <w:t>,</w:t>
      </w:r>
      <w:r>
        <w:rPr>
          <w:rFonts w:ascii="Times New Roman" w:hAnsi="Times New Roman"/>
          <w:sz w:val="24"/>
          <w:szCs w:val="24"/>
        </w:rPr>
        <w:t xml:space="preserve"> and impaired immune function (Genchi </w:t>
      </w:r>
      <w:r>
        <w:rPr>
          <w:rFonts w:ascii="Times New Roman" w:hAnsi="Times New Roman"/>
          <w:i/>
          <w:sz w:val="24"/>
          <w:szCs w:val="24"/>
        </w:rPr>
        <w:t>et al.,</w:t>
      </w:r>
      <w:r>
        <w:rPr>
          <w:rFonts w:ascii="Times New Roman" w:hAnsi="Times New Roman"/>
          <w:sz w:val="24"/>
          <w:szCs w:val="24"/>
        </w:rPr>
        <w:t xml:space="preserve"> 2020). One of the major mechanisms through which cadmium exerts its toxic effects is the induction of oxidative stress (Cuypers </w:t>
      </w:r>
      <w:r>
        <w:rPr>
          <w:rFonts w:ascii="Times New Roman" w:hAnsi="Times New Roman"/>
          <w:i/>
          <w:sz w:val="24"/>
          <w:szCs w:val="24"/>
        </w:rPr>
        <w:t>et al.,</w:t>
      </w:r>
      <w:r>
        <w:rPr>
          <w:rFonts w:ascii="Times New Roman" w:hAnsi="Times New Roman"/>
          <w:sz w:val="24"/>
          <w:szCs w:val="24"/>
        </w:rPr>
        <w:t xml:space="preserve"> 201</w:t>
      </w:r>
      <w:r>
        <w:rPr>
          <w:rFonts w:ascii="Times New Roman" w:hAnsi="Times New Roman"/>
          <w:sz w:val="24"/>
          <w:szCs w:val="24"/>
          <w:highlight w:val="yellow"/>
        </w:rPr>
        <w:t>0</w:t>
      </w:r>
      <w:r>
        <w:rPr>
          <w:rFonts w:ascii="Times New Roman" w:hAnsi="Times New Roman"/>
          <w:sz w:val="24"/>
          <w:szCs w:val="24"/>
        </w:rPr>
        <w:t>). Although cadmium is not a redox-active metal, it indirectly stimulates the excessive production of reactive oxygen species while simultaneously weakening the body’s antioxidant defen</w:t>
      </w:r>
      <w:r>
        <w:rPr>
          <w:rFonts w:ascii="Times New Roman" w:hAnsi="Times New Roman"/>
          <w:sz w:val="24"/>
          <w:szCs w:val="24"/>
          <w:highlight w:val="yellow"/>
        </w:rPr>
        <w:t>c</w:t>
      </w:r>
      <w:r>
        <w:rPr>
          <w:rFonts w:ascii="Times New Roman" w:hAnsi="Times New Roman"/>
          <w:sz w:val="24"/>
          <w:szCs w:val="24"/>
        </w:rPr>
        <w:t xml:space="preserve">e system (Unsal </w:t>
      </w:r>
      <w:r>
        <w:rPr>
          <w:rFonts w:ascii="Times New Roman" w:hAnsi="Times New Roman"/>
          <w:i/>
          <w:sz w:val="24"/>
          <w:szCs w:val="24"/>
        </w:rPr>
        <w:t>et al.,</w:t>
      </w:r>
      <w:r>
        <w:rPr>
          <w:rFonts w:ascii="Times New Roman" w:hAnsi="Times New Roman"/>
          <w:sz w:val="24"/>
          <w:szCs w:val="24"/>
        </w:rPr>
        <w:t xml:space="preserve"> 2020). This imbalance between oxidants and antioxidants leads to lipid peroxidation, protein oxidation, DNA damage, and eventual cell death (Sies </w:t>
      </w:r>
      <w:r>
        <w:rPr>
          <w:rFonts w:ascii="Times New Roman" w:hAnsi="Times New Roman"/>
          <w:i/>
          <w:sz w:val="24"/>
          <w:szCs w:val="24"/>
        </w:rPr>
        <w:t>et al.,</w:t>
      </w:r>
      <w:r>
        <w:rPr>
          <w:rFonts w:ascii="Times New Roman" w:hAnsi="Times New Roman"/>
          <w:sz w:val="24"/>
          <w:szCs w:val="24"/>
        </w:rPr>
        <w:t xml:space="preserve"> 2017).</w:t>
      </w:r>
    </w:p>
    <w:p w14:paraId="35BA4341" w14:textId="77777777" w:rsidR="00795C38" w:rsidRDefault="00795C38" w:rsidP="00795C38">
      <w:pPr>
        <w:spacing w:line="480" w:lineRule="auto"/>
        <w:jc w:val="both"/>
        <w:rPr>
          <w:rFonts w:ascii="Times New Roman" w:hAnsi="Times New Roman"/>
          <w:sz w:val="24"/>
          <w:szCs w:val="24"/>
        </w:rPr>
      </w:pPr>
      <w:r>
        <w:rPr>
          <w:rFonts w:ascii="Times New Roman" w:hAnsi="Times New Roman"/>
          <w:sz w:val="24"/>
          <w:szCs w:val="24"/>
        </w:rPr>
        <w:t xml:space="preserve">The kidneys are among the principal target organs of cadmium toxicity because they are responsible for filtering blood and eliminating metabolic wastes from the body. Following prolonged exposure, cadmium accumulates in the renal cortex, causing degeneration of tubular epithelial cells, impairment of glomerular filtration, and progressive nephrotoxicity (Genchi </w:t>
      </w:r>
      <w:r>
        <w:rPr>
          <w:rFonts w:ascii="Times New Roman" w:hAnsi="Times New Roman"/>
          <w:i/>
          <w:sz w:val="24"/>
          <w:szCs w:val="24"/>
        </w:rPr>
        <w:t>et al.,</w:t>
      </w:r>
      <w:r>
        <w:rPr>
          <w:rFonts w:ascii="Times New Roman" w:hAnsi="Times New Roman"/>
          <w:sz w:val="24"/>
          <w:szCs w:val="24"/>
        </w:rPr>
        <w:t xml:space="preserve"> 2020). These pathological changes often result in elevated serum urea and creatinine concentrations, which are widely accepted indicators of renal dysfunction</w:t>
      </w:r>
      <w:r>
        <w:rPr>
          <w:rFonts w:ascii="Times New Roman" w:hAnsi="Times New Roman"/>
          <w:sz w:val="24"/>
          <w:szCs w:val="24"/>
          <w:highlight w:val="yellow"/>
        </w:rPr>
        <w:t>.</w:t>
      </w:r>
      <w:r>
        <w:rPr>
          <w:rFonts w:ascii="Times New Roman" w:hAnsi="Times New Roman"/>
          <w:sz w:val="24"/>
          <w:szCs w:val="24"/>
        </w:rPr>
        <w:t xml:space="preserve"> </w:t>
      </w:r>
      <w:r>
        <w:rPr>
          <w:rFonts w:ascii="Times New Roman" w:hAnsi="Times New Roman"/>
          <w:sz w:val="24"/>
          <w:szCs w:val="24"/>
          <w:highlight w:val="yellow"/>
        </w:rPr>
        <w:t>U</w:t>
      </w:r>
      <w:r>
        <w:rPr>
          <w:rFonts w:ascii="Times New Roman" w:hAnsi="Times New Roman"/>
          <w:sz w:val="24"/>
          <w:szCs w:val="24"/>
        </w:rPr>
        <w:t xml:space="preserve">rea is a major end </w:t>
      </w:r>
      <w:r>
        <w:rPr>
          <w:rFonts w:ascii="Times New Roman" w:hAnsi="Times New Roman"/>
          <w:sz w:val="24"/>
          <w:szCs w:val="24"/>
        </w:rPr>
        <w:lastRenderedPageBreak/>
        <w:t xml:space="preserve">product of protein metabolism, while creatinine is produced during muscle metabolism and excreted almost entirely by the kidneys (Unsal </w:t>
      </w:r>
      <w:r>
        <w:rPr>
          <w:rFonts w:ascii="Times New Roman" w:hAnsi="Times New Roman"/>
          <w:i/>
          <w:sz w:val="24"/>
          <w:szCs w:val="24"/>
        </w:rPr>
        <w:t>et al.,</w:t>
      </w:r>
      <w:r>
        <w:rPr>
          <w:rFonts w:ascii="Times New Roman" w:hAnsi="Times New Roman"/>
          <w:sz w:val="24"/>
          <w:szCs w:val="24"/>
        </w:rPr>
        <w:t xml:space="preserve"> 2020).</w:t>
      </w:r>
    </w:p>
    <w:p w14:paraId="45B2F1F9" w14:textId="77777777" w:rsidR="00795C38" w:rsidRDefault="00795C38" w:rsidP="00795C38">
      <w:pPr>
        <w:spacing w:line="480" w:lineRule="auto"/>
        <w:ind w:firstLine="720"/>
        <w:jc w:val="both"/>
        <w:rPr>
          <w:rFonts w:ascii="Times New Roman" w:hAnsi="Times New Roman"/>
          <w:sz w:val="24"/>
          <w:szCs w:val="24"/>
        </w:rPr>
      </w:pPr>
      <w:r>
        <w:rPr>
          <w:rFonts w:ascii="Times New Roman" w:hAnsi="Times New Roman"/>
          <w:sz w:val="24"/>
          <w:szCs w:val="24"/>
        </w:rPr>
        <w:t>To minimi</w:t>
      </w:r>
      <w:r>
        <w:rPr>
          <w:rFonts w:ascii="Times New Roman" w:hAnsi="Times New Roman"/>
          <w:sz w:val="24"/>
          <w:szCs w:val="24"/>
          <w:highlight w:val="yellow"/>
        </w:rPr>
        <w:t>s</w:t>
      </w:r>
      <w:r>
        <w:rPr>
          <w:rFonts w:ascii="Times New Roman" w:hAnsi="Times New Roman"/>
          <w:sz w:val="24"/>
          <w:szCs w:val="24"/>
        </w:rPr>
        <w:t>e oxidative injury, living organisms possess several endogenous antioxidant enzymes that neutrali</w:t>
      </w:r>
      <w:r>
        <w:rPr>
          <w:rFonts w:ascii="Times New Roman" w:hAnsi="Times New Roman"/>
          <w:sz w:val="24"/>
          <w:szCs w:val="24"/>
          <w:highlight w:val="yellow"/>
        </w:rPr>
        <w:t>s</w:t>
      </w:r>
      <w:r>
        <w:rPr>
          <w:rFonts w:ascii="Times New Roman" w:hAnsi="Times New Roman"/>
          <w:sz w:val="24"/>
          <w:szCs w:val="24"/>
        </w:rPr>
        <w:t>e reactive oxygen species before they damage cellular components. Among these enzymes, superoxide dismutase (SOD) and catalase (CAT) constitute the first line of antioxidant defen</w:t>
      </w:r>
      <w:r>
        <w:rPr>
          <w:rFonts w:ascii="Times New Roman" w:hAnsi="Times New Roman"/>
          <w:sz w:val="24"/>
          <w:szCs w:val="24"/>
          <w:highlight w:val="yellow"/>
        </w:rPr>
        <w:t>c</w:t>
      </w:r>
      <w:r>
        <w:rPr>
          <w:rFonts w:ascii="Times New Roman" w:hAnsi="Times New Roman"/>
          <w:sz w:val="24"/>
          <w:szCs w:val="24"/>
        </w:rPr>
        <w:t>e (Ighodaro &amp; Akinloye, 2018). Superoxide dismutase catalys</w:t>
      </w:r>
      <w:r>
        <w:rPr>
          <w:rFonts w:ascii="Times New Roman" w:hAnsi="Times New Roman"/>
          <w:sz w:val="24"/>
          <w:szCs w:val="24"/>
          <w:highlight w:val="yellow"/>
        </w:rPr>
        <w:t>e</w:t>
      </w:r>
      <w:r>
        <w:rPr>
          <w:rFonts w:ascii="Times New Roman" w:hAnsi="Times New Roman"/>
          <w:sz w:val="24"/>
          <w:szCs w:val="24"/>
        </w:rPr>
        <w:t xml:space="preserve">s the conversion of superoxide radicals into hydrogen peroxide, while catalase subsequently converts hydrogen peroxide into water and oxygen, thereby preventing the formation of highly reactive hydroxyl radicals (Sies </w:t>
      </w:r>
      <w:r>
        <w:rPr>
          <w:rFonts w:ascii="Times New Roman" w:hAnsi="Times New Roman"/>
          <w:i/>
          <w:sz w:val="24"/>
          <w:szCs w:val="24"/>
        </w:rPr>
        <w:t>et al.,</w:t>
      </w:r>
      <w:r>
        <w:rPr>
          <w:rFonts w:ascii="Times New Roman" w:hAnsi="Times New Roman"/>
          <w:sz w:val="24"/>
          <w:szCs w:val="24"/>
        </w:rPr>
        <w:t xml:space="preserve"> 2017). Cadmium exposure has been shown to suppress the activities of these enzymes through oxidative modification and depletion of intracellular antioxidant reserves (Cuypers </w:t>
      </w:r>
      <w:r>
        <w:rPr>
          <w:rFonts w:ascii="Times New Roman" w:hAnsi="Times New Roman"/>
          <w:i/>
          <w:sz w:val="24"/>
          <w:szCs w:val="24"/>
        </w:rPr>
        <w:t>et al.,</w:t>
      </w:r>
      <w:r>
        <w:rPr>
          <w:rFonts w:ascii="Times New Roman" w:hAnsi="Times New Roman"/>
          <w:sz w:val="24"/>
          <w:szCs w:val="24"/>
        </w:rPr>
        <w:t xml:space="preserve"> 201</w:t>
      </w:r>
      <w:r>
        <w:rPr>
          <w:rFonts w:ascii="Times New Roman" w:hAnsi="Times New Roman"/>
          <w:sz w:val="24"/>
          <w:szCs w:val="24"/>
          <w:highlight w:val="yellow"/>
        </w:rPr>
        <w:t>0</w:t>
      </w:r>
      <w:r>
        <w:rPr>
          <w:rFonts w:ascii="Times New Roman" w:hAnsi="Times New Roman"/>
          <w:sz w:val="24"/>
          <w:szCs w:val="24"/>
        </w:rPr>
        <w:t xml:space="preserve">). </w:t>
      </w:r>
      <w:r>
        <w:rPr>
          <w:rFonts w:ascii="Times New Roman" w:hAnsi="Times New Roman"/>
          <w:sz w:val="24"/>
          <w:szCs w:val="24"/>
          <w:highlight w:val="yellow"/>
        </w:rPr>
        <w:t>Furtherm</w:t>
      </w:r>
      <w:r>
        <w:rPr>
          <w:rFonts w:ascii="Times New Roman" w:hAnsi="Times New Roman"/>
          <w:sz w:val="24"/>
          <w:szCs w:val="24"/>
        </w:rPr>
        <w:t>o</w:t>
      </w:r>
      <w:r>
        <w:rPr>
          <w:rFonts w:ascii="Times New Roman" w:hAnsi="Times New Roman"/>
          <w:sz w:val="24"/>
          <w:szCs w:val="24"/>
          <w:highlight w:val="yellow"/>
        </w:rPr>
        <w:t>re</w:t>
      </w:r>
      <w:r>
        <w:rPr>
          <w:rFonts w:ascii="Times New Roman" w:hAnsi="Times New Roman"/>
          <w:sz w:val="24"/>
          <w:szCs w:val="24"/>
        </w:rPr>
        <w:t>, reduction</w:t>
      </w:r>
      <w:r>
        <w:rPr>
          <w:rFonts w:ascii="Times New Roman" w:hAnsi="Times New Roman"/>
          <w:sz w:val="24"/>
          <w:szCs w:val="24"/>
          <w:highlight w:val="yellow"/>
        </w:rPr>
        <w:t>s</w:t>
      </w:r>
      <w:r>
        <w:rPr>
          <w:rFonts w:ascii="Times New Roman" w:hAnsi="Times New Roman"/>
          <w:sz w:val="24"/>
          <w:szCs w:val="24"/>
        </w:rPr>
        <w:t xml:space="preserve"> in SOD and catalase activities enhance oxidative damage, promote inflammation</w:t>
      </w:r>
      <w:r>
        <w:rPr>
          <w:rFonts w:ascii="Times New Roman" w:hAnsi="Times New Roman"/>
          <w:sz w:val="24"/>
          <w:szCs w:val="24"/>
          <w:highlight w:val="yellow"/>
        </w:rPr>
        <w:t>,</w:t>
      </w:r>
      <w:r>
        <w:rPr>
          <w:rFonts w:ascii="Times New Roman" w:hAnsi="Times New Roman"/>
          <w:sz w:val="24"/>
          <w:szCs w:val="24"/>
        </w:rPr>
        <w:t xml:space="preserve"> and accelerate tissue degeneration.</w:t>
      </w:r>
    </w:p>
    <w:p w14:paraId="7CF9C3BB" w14:textId="77777777" w:rsidR="00795C38" w:rsidRDefault="00795C38" w:rsidP="00795C38">
      <w:pPr>
        <w:spacing w:line="480" w:lineRule="auto"/>
        <w:ind w:firstLine="720"/>
        <w:jc w:val="both"/>
        <w:rPr>
          <w:rFonts w:ascii="Times New Roman" w:hAnsi="Times New Roman"/>
          <w:sz w:val="24"/>
          <w:szCs w:val="24"/>
        </w:rPr>
      </w:pPr>
      <w:r>
        <w:rPr>
          <w:rFonts w:ascii="Times New Roman" w:hAnsi="Times New Roman"/>
          <w:sz w:val="24"/>
          <w:szCs w:val="24"/>
        </w:rPr>
        <w:t>Apart from biochemical alterations, cadmium also exerts profound effects on the h</w:t>
      </w:r>
      <w:r>
        <w:rPr>
          <w:rFonts w:ascii="Times New Roman" w:hAnsi="Times New Roman"/>
          <w:sz w:val="24"/>
          <w:szCs w:val="24"/>
          <w:highlight w:val="yellow"/>
        </w:rPr>
        <w:t>a</w:t>
      </w:r>
      <w:r>
        <w:rPr>
          <w:rFonts w:ascii="Times New Roman" w:hAnsi="Times New Roman"/>
          <w:sz w:val="24"/>
          <w:szCs w:val="24"/>
        </w:rPr>
        <w:t xml:space="preserve">ematopoietic system. Blood parameters serve as sensitive indicators of physiological and pathological changes because toxic substances often interfere with blood cell production and function (El-Boshy </w:t>
      </w:r>
      <w:r>
        <w:rPr>
          <w:rFonts w:ascii="Times New Roman" w:hAnsi="Times New Roman"/>
          <w:i/>
          <w:sz w:val="24"/>
          <w:szCs w:val="24"/>
        </w:rPr>
        <w:t>et al.,</w:t>
      </w:r>
      <w:r>
        <w:rPr>
          <w:rFonts w:ascii="Times New Roman" w:hAnsi="Times New Roman"/>
          <w:sz w:val="24"/>
          <w:szCs w:val="24"/>
        </w:rPr>
        <w:t xml:space="preserve"> 201</w:t>
      </w:r>
      <w:r>
        <w:rPr>
          <w:rFonts w:ascii="Times New Roman" w:hAnsi="Times New Roman"/>
          <w:sz w:val="24"/>
          <w:szCs w:val="24"/>
          <w:highlight w:val="yellow"/>
        </w:rPr>
        <w:t>7</w:t>
      </w:r>
      <w:r>
        <w:rPr>
          <w:rFonts w:ascii="Times New Roman" w:hAnsi="Times New Roman"/>
          <w:sz w:val="24"/>
          <w:szCs w:val="24"/>
        </w:rPr>
        <w:t>). Cadmium has been reported to inhibit erythropoiesis, interfere with iron metabolism</w:t>
      </w:r>
      <w:r>
        <w:rPr>
          <w:rFonts w:ascii="Times New Roman" w:hAnsi="Times New Roman"/>
          <w:sz w:val="24"/>
          <w:szCs w:val="24"/>
          <w:highlight w:val="yellow"/>
        </w:rPr>
        <w:t>,</w:t>
      </w:r>
      <w:r>
        <w:rPr>
          <w:rFonts w:ascii="Times New Roman" w:hAnsi="Times New Roman"/>
          <w:sz w:val="24"/>
          <w:szCs w:val="24"/>
        </w:rPr>
        <w:t xml:space="preserve"> and shorten the lifespan of erythrocytes, resulting in reduced red blood cell count and packed cell volume (Genchi </w:t>
      </w:r>
      <w:r>
        <w:rPr>
          <w:rFonts w:ascii="Times New Roman" w:hAnsi="Times New Roman"/>
          <w:i/>
          <w:sz w:val="24"/>
          <w:szCs w:val="24"/>
        </w:rPr>
        <w:t>et al.,</w:t>
      </w:r>
      <w:r>
        <w:rPr>
          <w:rFonts w:ascii="Times New Roman" w:hAnsi="Times New Roman"/>
          <w:sz w:val="24"/>
          <w:szCs w:val="24"/>
        </w:rPr>
        <w:t xml:space="preserve"> 2020). Alterations in white blood cell count may indicate inflammatory responses or suppression of immune function</w:t>
      </w:r>
      <w:r>
        <w:rPr>
          <w:rFonts w:ascii="Times New Roman" w:hAnsi="Times New Roman"/>
          <w:sz w:val="24"/>
          <w:szCs w:val="24"/>
          <w:highlight w:val="yellow"/>
        </w:rPr>
        <w:t>,</w:t>
      </w:r>
      <w:r>
        <w:rPr>
          <w:rFonts w:ascii="Times New Roman" w:hAnsi="Times New Roman"/>
          <w:sz w:val="24"/>
          <w:szCs w:val="24"/>
        </w:rPr>
        <w:t xml:space="preserve"> depending on the duration and level of exposure (Jaishankar </w:t>
      </w:r>
      <w:r>
        <w:rPr>
          <w:rFonts w:ascii="Times New Roman" w:hAnsi="Times New Roman"/>
          <w:i/>
          <w:sz w:val="24"/>
          <w:szCs w:val="24"/>
        </w:rPr>
        <w:t>et al.,</w:t>
      </w:r>
      <w:r>
        <w:rPr>
          <w:rFonts w:ascii="Times New Roman" w:hAnsi="Times New Roman"/>
          <w:sz w:val="24"/>
          <w:szCs w:val="24"/>
        </w:rPr>
        <w:t xml:space="preserve"> 2014). Similarly, cadmium-induced damage to the bone marrow may impair platelet production, thereby affecting normal h</w:t>
      </w:r>
      <w:r>
        <w:rPr>
          <w:rFonts w:ascii="Times New Roman" w:hAnsi="Times New Roman"/>
          <w:sz w:val="24"/>
          <w:szCs w:val="24"/>
          <w:highlight w:val="yellow"/>
        </w:rPr>
        <w:t>a</w:t>
      </w:r>
      <w:r>
        <w:rPr>
          <w:rFonts w:ascii="Times New Roman" w:hAnsi="Times New Roman"/>
          <w:sz w:val="24"/>
          <w:szCs w:val="24"/>
        </w:rPr>
        <w:t>emostatic processes.</w:t>
      </w:r>
    </w:p>
    <w:p w14:paraId="14D6DAD1" w14:textId="6D4818BE" w:rsidR="00790ADA" w:rsidRPr="00FB3A86" w:rsidRDefault="00795C38" w:rsidP="00795C38">
      <w:pPr>
        <w:pStyle w:val="Body"/>
        <w:spacing w:after="0"/>
        <w:rPr>
          <w:rFonts w:ascii="Arial" w:hAnsi="Arial" w:cs="Arial"/>
        </w:rPr>
      </w:pPr>
      <w:r>
        <w:rPr>
          <w:rFonts w:ascii="Times New Roman" w:hAnsi="Times New Roman"/>
          <w:sz w:val="24"/>
          <w:szCs w:val="24"/>
        </w:rPr>
        <w:t>Growing concerns regarding the adverse effects associated with synthetic drugs have increased global interest in medicinal plants as safer and more affordable alternatives for disease prevention and management (Ekor, 2014). Medicinal plants are rich sources of biologically active compounds such as flavonoids, phenolic compounds, tannins, alkaloids, and saponins, many of which possess potent antioxidant and anti-inflammatory properties (Gulcin, 2020). These phytochemicals scavenge free radicals, stabili</w:t>
      </w:r>
      <w:r>
        <w:rPr>
          <w:rFonts w:ascii="Times New Roman" w:hAnsi="Times New Roman"/>
          <w:sz w:val="24"/>
          <w:szCs w:val="24"/>
          <w:highlight w:val="yellow"/>
        </w:rPr>
        <w:t>s</w:t>
      </w:r>
      <w:r>
        <w:rPr>
          <w:rFonts w:ascii="Times New Roman" w:hAnsi="Times New Roman"/>
          <w:sz w:val="24"/>
          <w:szCs w:val="24"/>
        </w:rPr>
        <w:t>e cellular membranes</w:t>
      </w:r>
      <w:r>
        <w:rPr>
          <w:rFonts w:ascii="Times New Roman" w:hAnsi="Times New Roman"/>
          <w:sz w:val="24"/>
          <w:szCs w:val="24"/>
          <w:highlight w:val="yellow"/>
        </w:rPr>
        <w:t>,</w:t>
      </w:r>
      <w:r>
        <w:rPr>
          <w:rFonts w:ascii="Times New Roman" w:hAnsi="Times New Roman"/>
          <w:sz w:val="24"/>
          <w:szCs w:val="24"/>
        </w:rPr>
        <w:t xml:space="preserve"> and enhance endogenous antioxidant defen</w:t>
      </w:r>
      <w:r>
        <w:rPr>
          <w:rFonts w:ascii="Times New Roman" w:hAnsi="Times New Roman"/>
          <w:sz w:val="24"/>
          <w:szCs w:val="24"/>
          <w:highlight w:val="yellow"/>
        </w:rPr>
        <w:t>c</w:t>
      </w:r>
      <w:r>
        <w:rPr>
          <w:rFonts w:ascii="Times New Roman" w:hAnsi="Times New Roman"/>
          <w:sz w:val="24"/>
          <w:szCs w:val="24"/>
        </w:rPr>
        <w:t xml:space="preserve">e mechanisms, thereby protecting tissues against oxidative damage induced by environmental toxicants. One medicinal plant that has received increasing scientific attention is </w:t>
      </w:r>
      <w:r>
        <w:rPr>
          <w:rFonts w:ascii="Times New Roman" w:hAnsi="Times New Roman"/>
          <w:i/>
          <w:sz w:val="24"/>
          <w:szCs w:val="24"/>
        </w:rPr>
        <w:t>Pterocarpus santalinoides</w:t>
      </w:r>
      <w:r>
        <w:rPr>
          <w:rFonts w:ascii="Times New Roman" w:hAnsi="Times New Roman"/>
          <w:sz w:val="24"/>
          <w:szCs w:val="24"/>
        </w:rPr>
        <w:t xml:space="preserve">, a member of the family </w:t>
      </w:r>
      <w:r>
        <w:rPr>
          <w:rFonts w:ascii="Times New Roman" w:hAnsi="Times New Roman"/>
          <w:i/>
          <w:sz w:val="24"/>
          <w:szCs w:val="24"/>
        </w:rPr>
        <w:t>Fabaceae,</w:t>
      </w:r>
      <w:r>
        <w:rPr>
          <w:rFonts w:ascii="Times New Roman" w:hAnsi="Times New Roman"/>
          <w:sz w:val="24"/>
          <w:szCs w:val="24"/>
        </w:rPr>
        <w:t xml:space="preserve"> widely distributed in Nigeria and other parts of West Africa. The leaves are commonly consumed as vegetables and have long been used in traditional medicine for the treatment of diarrh</w:t>
      </w:r>
      <w:r>
        <w:rPr>
          <w:rFonts w:ascii="Times New Roman" w:hAnsi="Times New Roman"/>
          <w:sz w:val="24"/>
          <w:szCs w:val="24"/>
          <w:highlight w:val="yellow"/>
        </w:rPr>
        <w:t>o</w:t>
      </w:r>
      <w:r>
        <w:rPr>
          <w:rFonts w:ascii="Times New Roman" w:hAnsi="Times New Roman"/>
          <w:sz w:val="24"/>
          <w:szCs w:val="24"/>
        </w:rPr>
        <w:t>ea, dysentery, wounds, inflammatory disorders, and microbial infections. Studies have shown that the leaves contain appreciable amounts of flavonoids, phenolic compounds, tannins, alkaloids</w:t>
      </w:r>
      <w:r>
        <w:rPr>
          <w:rFonts w:ascii="Times New Roman" w:hAnsi="Times New Roman"/>
          <w:sz w:val="24"/>
          <w:szCs w:val="24"/>
          <w:highlight w:val="yellow"/>
        </w:rPr>
        <w:t>,</w:t>
      </w:r>
      <w:r>
        <w:rPr>
          <w:rFonts w:ascii="Times New Roman" w:hAnsi="Times New Roman"/>
          <w:sz w:val="24"/>
          <w:szCs w:val="24"/>
        </w:rPr>
        <w:t xml:space="preserve"> and saponins, which contribute to their pharmacological activities (Olorunnisola </w:t>
      </w:r>
      <w:r>
        <w:rPr>
          <w:rFonts w:ascii="Times New Roman" w:hAnsi="Times New Roman"/>
          <w:i/>
          <w:sz w:val="24"/>
          <w:szCs w:val="24"/>
        </w:rPr>
        <w:t>et al.,</w:t>
      </w:r>
      <w:r>
        <w:rPr>
          <w:rFonts w:ascii="Times New Roman" w:hAnsi="Times New Roman"/>
          <w:sz w:val="24"/>
          <w:szCs w:val="24"/>
        </w:rPr>
        <w:t xml:space="preserve"> 201</w:t>
      </w:r>
      <w:r w:rsidR="009F67F1">
        <w:rPr>
          <w:rFonts w:ascii="Times New Roman" w:hAnsi="Times New Roman"/>
          <w:sz w:val="24"/>
          <w:szCs w:val="24"/>
        </w:rPr>
        <w:t>3</w:t>
      </w:r>
      <w:r>
        <w:rPr>
          <w:rFonts w:ascii="Times New Roman" w:hAnsi="Times New Roman"/>
          <w:sz w:val="24"/>
          <w:szCs w:val="24"/>
        </w:rPr>
        <w:t xml:space="preserve">). These phytochemicals possess </w:t>
      </w:r>
      <w:r>
        <w:rPr>
          <w:rFonts w:ascii="Times New Roman" w:hAnsi="Times New Roman"/>
          <w:sz w:val="24"/>
          <w:szCs w:val="24"/>
        </w:rPr>
        <w:lastRenderedPageBreak/>
        <w:t xml:space="preserve">antioxidant properties capable of reducing oxidative stress and protecting biological tissues against chemically induced damage (Gulcin, 2020). </w:t>
      </w:r>
      <w:r>
        <w:rPr>
          <w:rFonts w:ascii="Times New Roman" w:hAnsi="Times New Roman"/>
          <w:sz w:val="24"/>
          <w:szCs w:val="24"/>
          <w:highlight w:val="yellow"/>
        </w:rPr>
        <w:t>M</w:t>
      </w:r>
      <w:r>
        <w:rPr>
          <w:rFonts w:ascii="Times New Roman" w:hAnsi="Times New Roman"/>
          <w:sz w:val="24"/>
          <w:szCs w:val="24"/>
        </w:rPr>
        <w:t>o</w:t>
      </w:r>
      <w:r>
        <w:rPr>
          <w:rFonts w:ascii="Times New Roman" w:hAnsi="Times New Roman"/>
          <w:sz w:val="24"/>
          <w:szCs w:val="24"/>
          <w:highlight w:val="yellow"/>
        </w:rPr>
        <w:t>reover</w:t>
      </w:r>
      <w:r>
        <w:rPr>
          <w:rFonts w:ascii="Times New Roman" w:hAnsi="Times New Roman"/>
          <w:sz w:val="24"/>
          <w:szCs w:val="24"/>
        </w:rPr>
        <w:t xml:space="preserve">, experimental investigations have demonstrated that </w:t>
      </w:r>
      <w:r>
        <w:rPr>
          <w:rFonts w:ascii="Times New Roman" w:hAnsi="Times New Roman"/>
          <w:i/>
          <w:sz w:val="24"/>
          <w:szCs w:val="24"/>
        </w:rPr>
        <w:t>Pterocarpus santalinoides</w:t>
      </w:r>
      <w:r>
        <w:rPr>
          <w:rFonts w:ascii="Times New Roman" w:hAnsi="Times New Roman"/>
          <w:sz w:val="24"/>
          <w:szCs w:val="24"/>
        </w:rPr>
        <w:t xml:space="preserve"> enhances antioxidant enzyme activities, reduces lipid peroxidation</w:t>
      </w:r>
      <w:r>
        <w:rPr>
          <w:rFonts w:ascii="Times New Roman" w:hAnsi="Times New Roman"/>
          <w:sz w:val="24"/>
          <w:szCs w:val="24"/>
          <w:highlight w:val="yellow"/>
        </w:rPr>
        <w:t>,</w:t>
      </w:r>
      <w:r>
        <w:rPr>
          <w:rFonts w:ascii="Times New Roman" w:hAnsi="Times New Roman"/>
          <w:sz w:val="24"/>
          <w:szCs w:val="24"/>
        </w:rPr>
        <w:t xml:space="preserve"> and improves tissue integrity following exposure to toxic substances (Ihedioha </w:t>
      </w:r>
      <w:r>
        <w:rPr>
          <w:rFonts w:ascii="Times New Roman" w:hAnsi="Times New Roman"/>
          <w:i/>
          <w:sz w:val="24"/>
          <w:szCs w:val="24"/>
        </w:rPr>
        <w:t>et al.,</w:t>
      </w:r>
      <w:r>
        <w:rPr>
          <w:rFonts w:ascii="Times New Roman" w:hAnsi="Times New Roman"/>
          <w:sz w:val="24"/>
          <w:szCs w:val="24"/>
        </w:rPr>
        <w:t xml:space="preserve"> 2019).</w:t>
      </w:r>
    </w:p>
    <w:p w14:paraId="11953D66" w14:textId="77777777" w:rsidR="00041082" w:rsidRDefault="009148F7">
      <w:pPr>
        <w:pStyle w:val="Body"/>
        <w:spacing w:after="0"/>
        <w:rPr>
          <w:rFonts w:ascii="Arial" w:hAnsi="Arial" w:cs="Arial"/>
        </w:rPr>
      </w:pPr>
      <w:r>
        <w:rPr>
          <w:highlight w:val="yellow"/>
        </w:rPr>
        <w:t xml:space="preserve">However, the protective effect of </w:t>
      </w:r>
      <w:r>
        <w:rPr>
          <w:i/>
          <w:highlight w:val="yellow"/>
        </w:rPr>
        <w:t>Pterocarpus santalinoides</w:t>
      </w:r>
      <w:r>
        <w:rPr>
          <w:highlight w:val="yellow"/>
        </w:rPr>
        <w:t xml:space="preserve"> leaves when incorporated into the diet against cadmium-induced changes in kidney function indices, antioxidant enzymes, and haematological parameters remains insufficiently characterised. Therefore, this study investigated the protective effect of a </w:t>
      </w:r>
      <w:r>
        <w:rPr>
          <w:i/>
          <w:highlight w:val="yellow"/>
        </w:rPr>
        <w:t>Pterocarpus santalinoides</w:t>
      </w:r>
      <w:r>
        <w:rPr>
          <w:highlight w:val="yellow"/>
        </w:rPr>
        <w:t xml:space="preserve"> leaf diet against cadmium-induced biochemical, antioxidant, and haematological alterations in Wistar rats.</w:t>
      </w:r>
    </w:p>
    <w:p w14:paraId="256131BF" w14:textId="77777777" w:rsidR="007F7B32" w:rsidRDefault="00902823" w:rsidP="00441B6F">
      <w:pPr>
        <w:pStyle w:val="AbstHead"/>
        <w:spacing w:after="0"/>
        <w:jc w:val="both"/>
        <w:rPr>
          <w:rFonts w:ascii="Arial" w:hAnsi="Arial" w:cs="Arial"/>
        </w:rPr>
      </w:pPr>
      <w:r>
        <w:rPr>
          <w:rFonts w:ascii="Arial" w:hAnsi="Arial" w:cs="Arial"/>
        </w:rPr>
        <w:t>material and method</w:t>
      </w:r>
      <w:r w:rsidR="00000F8F">
        <w:rPr>
          <w:rFonts w:ascii="Arial" w:hAnsi="Arial" w:cs="Arial"/>
        </w:rPr>
        <w:t xml:space="preserve">s </w:t>
      </w:r>
    </w:p>
    <w:p w14:paraId="1CBE2F00" w14:textId="77777777" w:rsidR="00795C38" w:rsidRPr="00795C38" w:rsidRDefault="00795C38" w:rsidP="00795C38">
      <w:pPr>
        <w:pStyle w:val="Heading3"/>
        <w:spacing w:before="0" w:line="480" w:lineRule="auto"/>
        <w:jc w:val="both"/>
        <w:rPr>
          <w:rFonts w:ascii="Times New Roman" w:hAnsi="Times New Roman"/>
          <w:color w:val="000000" w:themeColor="text1"/>
        </w:rPr>
      </w:pPr>
      <w:r w:rsidRPr="00795C38">
        <w:rPr>
          <w:rStyle w:val="Strong"/>
          <w:b w:val="0"/>
          <w:color w:val="000000" w:themeColor="text1"/>
        </w:rPr>
        <w:t>Materials</w:t>
      </w:r>
    </w:p>
    <w:p w14:paraId="471DD8D5" w14:textId="77777777" w:rsidR="00795C38" w:rsidRPr="00795C38" w:rsidRDefault="00795C38" w:rsidP="00795C38">
      <w:pPr>
        <w:pStyle w:val="Heading4"/>
        <w:spacing w:before="0" w:line="480" w:lineRule="auto"/>
        <w:jc w:val="both"/>
        <w:rPr>
          <w:rFonts w:ascii="Times New Roman" w:hAnsi="Times New Roman" w:cs="Times New Roman"/>
          <w:i w:val="0"/>
          <w:color w:val="000000" w:themeColor="text1"/>
          <w:sz w:val="24"/>
          <w:szCs w:val="24"/>
        </w:rPr>
      </w:pPr>
      <w:r w:rsidRPr="00795C38">
        <w:rPr>
          <w:rStyle w:val="Strong"/>
          <w:b w:val="0"/>
          <w:i w:val="0"/>
          <w:color w:val="000000" w:themeColor="text1"/>
          <w:sz w:val="24"/>
          <w:szCs w:val="24"/>
        </w:rPr>
        <w:t>Chemicals and Reagents</w:t>
      </w:r>
    </w:p>
    <w:p w14:paraId="5F14484E" w14:textId="77777777" w:rsidR="00795C38" w:rsidRPr="00795C38" w:rsidRDefault="00795C38" w:rsidP="00795C38">
      <w:pPr>
        <w:pStyle w:val="Heading4"/>
        <w:spacing w:before="0" w:line="480" w:lineRule="auto"/>
        <w:ind w:firstLine="720"/>
        <w:jc w:val="both"/>
        <w:rPr>
          <w:rFonts w:ascii="Times New Roman" w:hAnsi="Times New Roman" w:cs="Times New Roman"/>
          <w:bCs/>
          <w:i w:val="0"/>
          <w:iCs w:val="0"/>
          <w:color w:val="000000" w:themeColor="text1"/>
          <w:sz w:val="24"/>
          <w:szCs w:val="24"/>
        </w:rPr>
      </w:pPr>
      <w:r>
        <w:rPr>
          <w:rFonts w:ascii="Times New Roman" w:hAnsi="Times New Roman" w:cs="Times New Roman"/>
          <w:i w:val="0"/>
          <w:color w:val="000000" w:themeColor="text1"/>
          <w:sz w:val="24"/>
          <w:szCs w:val="24"/>
          <w:highlight w:val="yellow"/>
        </w:rPr>
        <w:t>Materials included analytical-grade c</w:t>
      </w:r>
      <w:r>
        <w:rPr>
          <w:rFonts w:ascii="Times New Roman" w:hAnsi="Times New Roman" w:cs="Times New Roman"/>
          <w:i w:val="0"/>
          <w:color w:val="000000" w:themeColor="text1"/>
          <w:sz w:val="24"/>
          <w:szCs w:val="24"/>
        </w:rPr>
        <w:t xml:space="preserve">admium chloride (CdCl), ketamine, distilled water, Random test kits for </w:t>
      </w:r>
      <w:r>
        <w:rPr>
          <w:rFonts w:ascii="Times New Roman" w:hAnsi="Times New Roman" w:cs="Times New Roman"/>
          <w:i w:val="0"/>
          <w:color w:val="auto"/>
          <w:sz w:val="24"/>
          <w:szCs w:val="24"/>
          <w:highlight w:val="yellow"/>
        </w:rPr>
        <w:t>k</w:t>
      </w:r>
      <w:r>
        <w:rPr>
          <w:rFonts w:ascii="Times New Roman" w:hAnsi="Times New Roman" w:cs="Times New Roman"/>
          <w:i w:val="0"/>
          <w:color w:val="auto"/>
          <w:sz w:val="24"/>
          <w:szCs w:val="24"/>
        </w:rPr>
        <w:t>idney function indices (serum urea and creatinine</w:t>
      </w:r>
      <w:r>
        <w:rPr>
          <w:rFonts w:ascii="Times New Roman" w:hAnsi="Times New Roman" w:cs="Times New Roman"/>
          <w:bCs/>
          <w:i w:val="0"/>
          <w:iCs w:val="0"/>
          <w:color w:val="000000" w:themeColor="text1"/>
          <w:sz w:val="24"/>
          <w:szCs w:val="24"/>
        </w:rPr>
        <w:t xml:space="preserve">) </w:t>
      </w:r>
      <w:r>
        <w:rPr>
          <w:rFonts w:ascii="Times New Roman" w:hAnsi="Times New Roman" w:cs="Times New Roman"/>
          <w:i w:val="0"/>
          <w:iCs w:val="0"/>
          <w:color w:val="000000" w:themeColor="text1"/>
          <w:sz w:val="24"/>
          <w:szCs w:val="24"/>
        </w:rPr>
        <w:t xml:space="preserve">and </w:t>
      </w:r>
      <w:r>
        <w:rPr>
          <w:rFonts w:ascii="Times New Roman" w:hAnsi="Times New Roman" w:cs="Times New Roman"/>
          <w:i w:val="0"/>
          <w:color w:val="auto"/>
          <w:sz w:val="24"/>
          <w:szCs w:val="24"/>
        </w:rPr>
        <w:t>antioxidant enzyme activit</w:t>
      </w:r>
      <w:r>
        <w:rPr>
          <w:rFonts w:ascii="Times New Roman" w:hAnsi="Times New Roman" w:cs="Times New Roman"/>
          <w:i w:val="0"/>
          <w:color w:val="auto"/>
          <w:sz w:val="24"/>
          <w:szCs w:val="24"/>
          <w:highlight w:val="yellow"/>
        </w:rPr>
        <w:t>i</w:t>
      </w:r>
      <w:r>
        <w:rPr>
          <w:rFonts w:ascii="Times New Roman" w:hAnsi="Times New Roman" w:cs="Times New Roman"/>
          <w:i w:val="0"/>
          <w:iCs w:val="0"/>
          <w:color w:val="000000" w:themeColor="text1"/>
          <w:sz w:val="24"/>
          <w:szCs w:val="24"/>
        </w:rPr>
        <w:t xml:space="preserve">es </w:t>
      </w:r>
      <w:r>
        <w:rPr>
          <w:rFonts w:ascii="Times New Roman" w:hAnsi="Times New Roman" w:cs="Times New Roman"/>
          <w:bCs/>
          <w:i w:val="0"/>
          <w:iCs w:val="0"/>
          <w:color w:val="000000" w:themeColor="text1"/>
          <w:sz w:val="24"/>
          <w:szCs w:val="24"/>
        </w:rPr>
        <w:t>(</w:t>
      </w:r>
      <w:r>
        <w:rPr>
          <w:rFonts w:ascii="Times New Roman" w:hAnsi="Times New Roman" w:cs="Times New Roman"/>
          <w:i w:val="0"/>
          <w:color w:val="auto"/>
          <w:sz w:val="24"/>
          <w:szCs w:val="24"/>
        </w:rPr>
        <w:t>superoxide dismutase and catalase</w:t>
      </w:r>
      <w:r>
        <w:rPr>
          <w:rFonts w:ascii="Times New Roman" w:hAnsi="Times New Roman" w:cs="Times New Roman"/>
          <w:bCs/>
          <w:i w:val="0"/>
          <w:iCs w:val="0"/>
          <w:color w:val="000000" w:themeColor="text1"/>
          <w:sz w:val="24"/>
          <w:szCs w:val="24"/>
        </w:rPr>
        <w:t xml:space="preserve">), </w:t>
      </w:r>
      <w:r>
        <w:rPr>
          <w:rFonts w:ascii="Times New Roman" w:hAnsi="Times New Roman" w:cs="Times New Roman"/>
          <w:bCs/>
          <w:i w:val="0"/>
          <w:iCs w:val="0"/>
          <w:color w:val="000000" w:themeColor="text1"/>
          <w:sz w:val="24"/>
          <w:szCs w:val="24"/>
          <w:highlight w:val="yellow"/>
        </w:rPr>
        <w:t>and a</w:t>
      </w:r>
      <w:r>
        <w:rPr>
          <w:rFonts w:ascii="Times New Roman" w:hAnsi="Times New Roman" w:cs="Times New Roman"/>
          <w:bCs/>
          <w:i w:val="0"/>
          <w:iCs w:val="0"/>
          <w:color w:val="000000" w:themeColor="text1"/>
          <w:sz w:val="24"/>
          <w:szCs w:val="24"/>
        </w:rPr>
        <w:t>naly</w:t>
      </w:r>
      <w:r>
        <w:rPr>
          <w:rFonts w:ascii="Times New Roman" w:hAnsi="Times New Roman" w:cs="Times New Roman"/>
          <w:bCs/>
          <w:i w:val="0"/>
          <w:iCs w:val="0"/>
          <w:color w:val="000000" w:themeColor="text1"/>
          <w:sz w:val="24"/>
          <w:szCs w:val="24"/>
          <w:highlight w:val="yellow"/>
        </w:rPr>
        <w:t>s</w:t>
      </w:r>
      <w:r>
        <w:rPr>
          <w:rFonts w:ascii="Times New Roman" w:hAnsi="Times New Roman" w:cs="Times New Roman"/>
          <w:bCs/>
          <w:i w:val="0"/>
          <w:iCs w:val="0"/>
          <w:color w:val="000000" w:themeColor="text1"/>
          <w:sz w:val="24"/>
          <w:szCs w:val="24"/>
        </w:rPr>
        <w:t xml:space="preserve">er-specific kits for haematological parameters (WBC, RBC, </w:t>
      </w:r>
      <w:r>
        <w:rPr>
          <w:rFonts w:ascii="Times New Roman" w:hAnsi="Times New Roman" w:cs="Times New Roman"/>
          <w:bCs/>
          <w:i w:val="0"/>
          <w:iCs w:val="0"/>
          <w:color w:val="000000" w:themeColor="text1"/>
          <w:sz w:val="24"/>
          <w:szCs w:val="24"/>
          <w:highlight w:val="yellow"/>
        </w:rPr>
        <w:t>platelets</w:t>
      </w:r>
      <w:r>
        <w:rPr>
          <w:rFonts w:ascii="Times New Roman" w:hAnsi="Times New Roman" w:cs="Times New Roman"/>
          <w:bCs/>
          <w:i w:val="0"/>
          <w:iCs w:val="0"/>
          <w:color w:val="000000" w:themeColor="text1"/>
          <w:sz w:val="24"/>
          <w:szCs w:val="24"/>
        </w:rPr>
        <w:t>,</w:t>
      </w:r>
      <w:r>
        <w:rPr>
          <w:rFonts w:ascii="Times New Roman" w:hAnsi="Times New Roman" w:cs="Times New Roman"/>
          <w:bCs/>
          <w:i w:val="0"/>
          <w:iCs w:val="0"/>
          <w:color w:val="000000" w:themeColor="text1"/>
          <w:sz w:val="24"/>
          <w:szCs w:val="24"/>
          <w:highlight w:val="yellow"/>
        </w:rPr>
        <w:t xml:space="preserve"> and</w:t>
      </w:r>
      <w:r>
        <w:rPr>
          <w:rFonts w:ascii="Times New Roman" w:hAnsi="Times New Roman" w:cs="Times New Roman"/>
          <w:bCs/>
          <w:i w:val="0"/>
          <w:iCs w:val="0"/>
          <w:color w:val="000000" w:themeColor="text1"/>
          <w:sz w:val="24"/>
          <w:szCs w:val="24"/>
        </w:rPr>
        <w:t xml:space="preserve"> PCV).</w:t>
      </w:r>
      <w:r>
        <w:rPr>
          <w:rFonts w:ascii="Times New Roman" w:hAnsi="Times New Roman" w:cs="Times New Roman"/>
          <w:i w:val="0"/>
          <w:color w:val="000000" w:themeColor="text1"/>
          <w:sz w:val="24"/>
          <w:szCs w:val="24"/>
        </w:rPr>
        <w:t xml:space="preserve"> All other chemicals and reagents were obtained from certified suppliers and were of analytical grade.</w:t>
      </w:r>
    </w:p>
    <w:p w14:paraId="2826CBE1" w14:textId="77777777" w:rsidR="00795C38" w:rsidRDefault="00795C38" w:rsidP="00795C38">
      <w:pPr>
        <w:pStyle w:val="NormalWeb"/>
        <w:spacing w:before="0" w:beforeAutospacing="0" w:after="0" w:afterAutospacing="0" w:line="480" w:lineRule="auto"/>
        <w:jc w:val="both"/>
        <w:rPr>
          <w:b/>
          <w:bCs/>
          <w:color w:val="000000" w:themeColor="text1"/>
        </w:rPr>
      </w:pPr>
      <w:r>
        <w:rPr>
          <w:bCs/>
          <w:color w:val="000000" w:themeColor="text1"/>
        </w:rPr>
        <w:t>Equipment/Apparatus</w:t>
      </w:r>
    </w:p>
    <w:p w14:paraId="73682DA8" w14:textId="77777777" w:rsidR="00795C38" w:rsidRDefault="00795C38" w:rsidP="00795C38">
      <w:pPr>
        <w:spacing w:line="480" w:lineRule="auto"/>
        <w:ind w:firstLine="720"/>
        <w:jc w:val="both"/>
        <w:rPr>
          <w:rStyle w:val="Strong"/>
          <w:rFonts w:ascii="Times New Roman" w:hAnsi="Times New Roman"/>
          <w:sz w:val="24"/>
          <w:szCs w:val="24"/>
        </w:rPr>
      </w:pPr>
      <w:r>
        <w:rPr>
          <w:rFonts w:ascii="Times New Roman" w:hAnsi="Times New Roman"/>
          <w:sz w:val="24"/>
          <w:szCs w:val="24"/>
        </w:rPr>
        <w:t xml:space="preserve">UV-Visible </w:t>
      </w:r>
      <w:r>
        <w:rPr>
          <w:rFonts w:ascii="Times New Roman" w:hAnsi="Times New Roman"/>
          <w:sz w:val="24"/>
          <w:szCs w:val="24"/>
          <w:highlight w:val="yellow"/>
        </w:rPr>
        <w:t>s</w:t>
      </w:r>
      <w:r>
        <w:rPr>
          <w:rFonts w:ascii="Times New Roman" w:hAnsi="Times New Roman"/>
          <w:sz w:val="24"/>
          <w:szCs w:val="24"/>
        </w:rPr>
        <w:t xml:space="preserve">pectrophotometer (UV-1800, Shimadzu Corporation, Japan), </w:t>
      </w:r>
      <w:r>
        <w:rPr>
          <w:rFonts w:ascii="Times New Roman" w:hAnsi="Times New Roman"/>
          <w:sz w:val="24"/>
          <w:szCs w:val="24"/>
          <w:highlight w:val="yellow"/>
        </w:rPr>
        <w:t>c</w:t>
      </w:r>
      <w:r>
        <w:rPr>
          <w:rFonts w:ascii="Times New Roman" w:hAnsi="Times New Roman"/>
          <w:sz w:val="24"/>
          <w:szCs w:val="24"/>
        </w:rPr>
        <w:t xml:space="preserve">entrifuge (80-2B Centrifuge, Changsha Xiangyi Centrifuge Instrument Co., China), </w:t>
      </w:r>
      <w:r>
        <w:rPr>
          <w:rFonts w:ascii="Times New Roman" w:hAnsi="Times New Roman"/>
          <w:sz w:val="24"/>
          <w:szCs w:val="24"/>
          <w:highlight w:val="yellow"/>
        </w:rPr>
        <w:t>a</w:t>
      </w:r>
      <w:r>
        <w:rPr>
          <w:rFonts w:ascii="Times New Roman" w:hAnsi="Times New Roman"/>
          <w:sz w:val="24"/>
          <w:szCs w:val="24"/>
        </w:rPr>
        <w:t>utomated h</w:t>
      </w:r>
      <w:r>
        <w:rPr>
          <w:rFonts w:ascii="Times New Roman" w:hAnsi="Times New Roman"/>
          <w:sz w:val="24"/>
          <w:szCs w:val="24"/>
          <w:highlight w:val="yellow"/>
        </w:rPr>
        <w:t>a</w:t>
      </w:r>
      <w:r>
        <w:rPr>
          <w:rFonts w:ascii="Times New Roman" w:hAnsi="Times New Roman"/>
          <w:sz w:val="24"/>
          <w:szCs w:val="24"/>
        </w:rPr>
        <w:t>ematology analy</w:t>
      </w:r>
      <w:r>
        <w:rPr>
          <w:rFonts w:ascii="Times New Roman" w:hAnsi="Times New Roman"/>
          <w:sz w:val="24"/>
          <w:szCs w:val="24"/>
          <w:highlight w:val="yellow"/>
        </w:rPr>
        <w:t>s</w:t>
      </w:r>
      <w:r>
        <w:rPr>
          <w:rFonts w:ascii="Times New Roman" w:hAnsi="Times New Roman"/>
          <w:sz w:val="24"/>
          <w:szCs w:val="24"/>
        </w:rPr>
        <w:t>er (</w:t>
      </w:r>
      <w:r>
        <w:rPr>
          <w:rFonts w:ascii="Times New Roman" w:hAnsi="Times New Roman"/>
          <w:sz w:val="24"/>
          <w:szCs w:val="24"/>
          <w:highlight w:val="yellow"/>
        </w:rPr>
        <w:t>S</w:t>
      </w:r>
      <w:r>
        <w:rPr>
          <w:rFonts w:ascii="Times New Roman" w:hAnsi="Times New Roman"/>
          <w:sz w:val="24"/>
          <w:szCs w:val="24"/>
        </w:rPr>
        <w:t xml:space="preserve">ysmex XN-1000/XN-2000), </w:t>
      </w:r>
      <w:r>
        <w:rPr>
          <w:rFonts w:ascii="Times New Roman" w:hAnsi="Times New Roman"/>
          <w:sz w:val="24"/>
          <w:szCs w:val="24"/>
          <w:highlight w:val="yellow"/>
        </w:rPr>
        <w:t>h</w:t>
      </w:r>
      <w:r>
        <w:rPr>
          <w:rFonts w:ascii="Times New Roman" w:hAnsi="Times New Roman"/>
          <w:sz w:val="24"/>
          <w:szCs w:val="24"/>
        </w:rPr>
        <w:t>ot</w:t>
      </w:r>
      <w:r>
        <w:rPr>
          <w:rFonts w:ascii="Times New Roman" w:hAnsi="Times New Roman"/>
          <w:sz w:val="24"/>
          <w:szCs w:val="24"/>
          <w:highlight w:val="yellow"/>
        </w:rPr>
        <w:t>-a</w:t>
      </w:r>
      <w:r>
        <w:rPr>
          <w:rFonts w:ascii="Times New Roman" w:hAnsi="Times New Roman"/>
          <w:sz w:val="24"/>
          <w:szCs w:val="24"/>
        </w:rPr>
        <w:t xml:space="preserve">ir </w:t>
      </w:r>
      <w:r>
        <w:rPr>
          <w:rFonts w:ascii="Times New Roman" w:hAnsi="Times New Roman"/>
          <w:sz w:val="24"/>
          <w:szCs w:val="24"/>
          <w:highlight w:val="yellow"/>
        </w:rPr>
        <w:t>o</w:t>
      </w:r>
      <w:r>
        <w:rPr>
          <w:rFonts w:ascii="Times New Roman" w:hAnsi="Times New Roman"/>
          <w:sz w:val="24"/>
          <w:szCs w:val="24"/>
        </w:rPr>
        <w:t xml:space="preserve">ven (DHG-9053A Electric Thermostatic Drying Oven, Shanghai Yiheng Scientific Instrument Co., China), </w:t>
      </w:r>
      <w:r>
        <w:rPr>
          <w:rFonts w:ascii="Times New Roman" w:hAnsi="Times New Roman"/>
          <w:sz w:val="24"/>
          <w:szCs w:val="24"/>
          <w:highlight w:val="yellow"/>
        </w:rPr>
        <w:t>e</w:t>
      </w:r>
      <w:r>
        <w:rPr>
          <w:rFonts w:ascii="Times New Roman" w:hAnsi="Times New Roman"/>
          <w:sz w:val="24"/>
          <w:szCs w:val="24"/>
        </w:rPr>
        <w:t xml:space="preserve">lectrical </w:t>
      </w:r>
      <w:r>
        <w:rPr>
          <w:rFonts w:ascii="Times New Roman" w:hAnsi="Times New Roman"/>
          <w:sz w:val="24"/>
          <w:szCs w:val="24"/>
          <w:highlight w:val="yellow"/>
        </w:rPr>
        <w:t>b</w:t>
      </w:r>
      <w:r>
        <w:rPr>
          <w:rFonts w:ascii="Times New Roman" w:hAnsi="Times New Roman"/>
          <w:sz w:val="24"/>
          <w:szCs w:val="24"/>
        </w:rPr>
        <w:t xml:space="preserve">lender (BLG-450 Blender, Binatone Electronics International Ltd.), </w:t>
      </w:r>
      <w:r>
        <w:rPr>
          <w:rFonts w:ascii="Times New Roman" w:hAnsi="Times New Roman"/>
          <w:sz w:val="24"/>
          <w:szCs w:val="24"/>
          <w:highlight w:val="yellow"/>
        </w:rPr>
        <w:t>d</w:t>
      </w:r>
      <w:r>
        <w:rPr>
          <w:rFonts w:ascii="Times New Roman" w:hAnsi="Times New Roman"/>
          <w:sz w:val="24"/>
          <w:szCs w:val="24"/>
        </w:rPr>
        <w:t xml:space="preserve">isposable </w:t>
      </w:r>
      <w:r>
        <w:rPr>
          <w:rFonts w:ascii="Times New Roman" w:hAnsi="Times New Roman"/>
          <w:sz w:val="24"/>
          <w:szCs w:val="24"/>
          <w:highlight w:val="yellow"/>
        </w:rPr>
        <w:t>s</w:t>
      </w:r>
      <w:r>
        <w:rPr>
          <w:rFonts w:ascii="Times New Roman" w:hAnsi="Times New Roman"/>
          <w:sz w:val="24"/>
          <w:szCs w:val="24"/>
        </w:rPr>
        <w:t>yringes (5</w:t>
      </w:r>
      <w:r>
        <w:rPr>
          <w:rFonts w:ascii="Times New Roman" w:hAnsi="Times New Roman"/>
          <w:sz w:val="24"/>
          <w:szCs w:val="24"/>
          <w:highlight w:val="yellow"/>
        </w:rPr>
        <w:t xml:space="preserve"> </w:t>
      </w:r>
      <w:r>
        <w:rPr>
          <w:rFonts w:ascii="Times New Roman" w:hAnsi="Times New Roman"/>
          <w:sz w:val="24"/>
          <w:szCs w:val="24"/>
        </w:rPr>
        <w:t>mL and 10</w:t>
      </w:r>
      <w:r>
        <w:rPr>
          <w:rFonts w:ascii="Times New Roman" w:hAnsi="Times New Roman"/>
          <w:sz w:val="24"/>
          <w:szCs w:val="24"/>
          <w:highlight w:val="yellow"/>
        </w:rPr>
        <w:t xml:space="preserve"> </w:t>
      </w:r>
      <w:r>
        <w:rPr>
          <w:rFonts w:ascii="Times New Roman" w:hAnsi="Times New Roman"/>
          <w:sz w:val="24"/>
          <w:szCs w:val="24"/>
        </w:rPr>
        <w:t xml:space="preserve">mL, Becton Dickinson, USA), EDTA </w:t>
      </w:r>
      <w:r>
        <w:rPr>
          <w:rFonts w:ascii="Times New Roman" w:hAnsi="Times New Roman"/>
          <w:sz w:val="24"/>
          <w:szCs w:val="24"/>
          <w:highlight w:val="yellow"/>
        </w:rPr>
        <w:t>b</w:t>
      </w:r>
      <w:r>
        <w:rPr>
          <w:rFonts w:ascii="Times New Roman" w:hAnsi="Times New Roman"/>
          <w:sz w:val="24"/>
          <w:szCs w:val="24"/>
        </w:rPr>
        <w:t xml:space="preserve">lood </w:t>
      </w:r>
      <w:r>
        <w:rPr>
          <w:rFonts w:ascii="Times New Roman" w:hAnsi="Times New Roman"/>
          <w:sz w:val="24"/>
          <w:szCs w:val="24"/>
          <w:highlight w:val="yellow"/>
        </w:rPr>
        <w:t>c</w:t>
      </w:r>
      <w:r>
        <w:rPr>
          <w:rFonts w:ascii="Times New Roman" w:hAnsi="Times New Roman"/>
          <w:sz w:val="24"/>
          <w:szCs w:val="24"/>
        </w:rPr>
        <w:t xml:space="preserve">ollection </w:t>
      </w:r>
      <w:r>
        <w:rPr>
          <w:rFonts w:ascii="Times New Roman" w:hAnsi="Times New Roman"/>
          <w:sz w:val="24"/>
          <w:szCs w:val="24"/>
          <w:highlight w:val="yellow"/>
        </w:rPr>
        <w:t>t</w:t>
      </w:r>
      <w:r>
        <w:rPr>
          <w:rFonts w:ascii="Times New Roman" w:hAnsi="Times New Roman"/>
          <w:sz w:val="24"/>
          <w:szCs w:val="24"/>
        </w:rPr>
        <w:t xml:space="preserve">ubes (Vacutainer® K₂EDTA Tubes, Becton Dickinson, USA), </w:t>
      </w:r>
      <w:r>
        <w:rPr>
          <w:rFonts w:ascii="Times New Roman" w:hAnsi="Times New Roman"/>
          <w:sz w:val="24"/>
          <w:szCs w:val="24"/>
          <w:highlight w:val="yellow"/>
        </w:rPr>
        <w:t>p</w:t>
      </w:r>
      <w:r>
        <w:rPr>
          <w:rFonts w:ascii="Times New Roman" w:hAnsi="Times New Roman"/>
          <w:sz w:val="24"/>
          <w:szCs w:val="24"/>
        </w:rPr>
        <w:t xml:space="preserve">lain </w:t>
      </w:r>
      <w:r>
        <w:rPr>
          <w:rFonts w:ascii="Times New Roman" w:hAnsi="Times New Roman"/>
          <w:sz w:val="24"/>
          <w:szCs w:val="24"/>
          <w:highlight w:val="yellow"/>
        </w:rPr>
        <w:t>b</w:t>
      </w:r>
      <w:r>
        <w:rPr>
          <w:rFonts w:ascii="Times New Roman" w:hAnsi="Times New Roman"/>
          <w:sz w:val="24"/>
          <w:szCs w:val="24"/>
        </w:rPr>
        <w:t xml:space="preserve">lood </w:t>
      </w:r>
      <w:r>
        <w:rPr>
          <w:rFonts w:ascii="Times New Roman" w:hAnsi="Times New Roman"/>
          <w:sz w:val="24"/>
          <w:szCs w:val="24"/>
          <w:highlight w:val="yellow"/>
        </w:rPr>
        <w:t>c</w:t>
      </w:r>
      <w:r>
        <w:rPr>
          <w:rFonts w:ascii="Times New Roman" w:hAnsi="Times New Roman"/>
          <w:sz w:val="24"/>
          <w:szCs w:val="24"/>
        </w:rPr>
        <w:t xml:space="preserve">ollection </w:t>
      </w:r>
      <w:r>
        <w:rPr>
          <w:rFonts w:ascii="Times New Roman" w:hAnsi="Times New Roman"/>
          <w:sz w:val="24"/>
          <w:szCs w:val="24"/>
          <w:highlight w:val="yellow"/>
        </w:rPr>
        <w:t>t</w:t>
      </w:r>
      <w:r>
        <w:rPr>
          <w:rFonts w:ascii="Times New Roman" w:hAnsi="Times New Roman"/>
          <w:sz w:val="24"/>
          <w:szCs w:val="24"/>
        </w:rPr>
        <w:t xml:space="preserve">ubes (Vacutainer® Plain Tubes, Becton Dickinson, USA), </w:t>
      </w:r>
      <w:r>
        <w:rPr>
          <w:rFonts w:ascii="Times New Roman" w:hAnsi="Times New Roman"/>
          <w:sz w:val="24"/>
          <w:szCs w:val="24"/>
          <w:highlight w:val="yellow"/>
        </w:rPr>
        <w:t>l</w:t>
      </w:r>
      <w:r>
        <w:rPr>
          <w:rFonts w:ascii="Times New Roman" w:hAnsi="Times New Roman"/>
          <w:sz w:val="24"/>
          <w:szCs w:val="24"/>
        </w:rPr>
        <w:t xml:space="preserve">atex </w:t>
      </w:r>
      <w:r>
        <w:rPr>
          <w:rFonts w:ascii="Times New Roman" w:hAnsi="Times New Roman"/>
          <w:sz w:val="24"/>
          <w:szCs w:val="24"/>
          <w:highlight w:val="yellow"/>
        </w:rPr>
        <w:t>h</w:t>
      </w:r>
      <w:r>
        <w:rPr>
          <w:rFonts w:ascii="Times New Roman" w:hAnsi="Times New Roman"/>
          <w:sz w:val="24"/>
          <w:szCs w:val="24"/>
        </w:rPr>
        <w:t xml:space="preserve">and </w:t>
      </w:r>
      <w:r>
        <w:rPr>
          <w:rFonts w:ascii="Times New Roman" w:hAnsi="Times New Roman"/>
          <w:sz w:val="24"/>
          <w:szCs w:val="24"/>
          <w:highlight w:val="yellow"/>
        </w:rPr>
        <w:t>g</w:t>
      </w:r>
      <w:r>
        <w:rPr>
          <w:rFonts w:ascii="Times New Roman" w:hAnsi="Times New Roman"/>
          <w:sz w:val="24"/>
          <w:szCs w:val="24"/>
        </w:rPr>
        <w:t xml:space="preserve">loves (Top Glove Corporation, Malaysia), </w:t>
      </w:r>
      <w:r>
        <w:rPr>
          <w:rFonts w:ascii="Times New Roman" w:hAnsi="Times New Roman"/>
          <w:sz w:val="24"/>
          <w:szCs w:val="24"/>
          <w:highlight w:val="yellow"/>
        </w:rPr>
        <w:t>n</w:t>
      </w:r>
      <w:r>
        <w:rPr>
          <w:rFonts w:ascii="Times New Roman" w:hAnsi="Times New Roman"/>
          <w:sz w:val="24"/>
          <w:szCs w:val="24"/>
        </w:rPr>
        <w:t xml:space="preserve">ose </w:t>
      </w:r>
      <w:r>
        <w:rPr>
          <w:rFonts w:ascii="Times New Roman" w:hAnsi="Times New Roman"/>
          <w:sz w:val="24"/>
          <w:szCs w:val="24"/>
          <w:highlight w:val="yellow"/>
        </w:rPr>
        <w:t>m</w:t>
      </w:r>
      <w:r>
        <w:rPr>
          <w:rFonts w:ascii="Times New Roman" w:hAnsi="Times New Roman"/>
          <w:sz w:val="24"/>
          <w:szCs w:val="24"/>
        </w:rPr>
        <w:t xml:space="preserve">asks (3-Ply Face Mask, Medcon Healthcare, China), </w:t>
      </w:r>
      <w:r>
        <w:rPr>
          <w:rFonts w:ascii="Times New Roman" w:hAnsi="Times New Roman"/>
          <w:sz w:val="24"/>
          <w:szCs w:val="24"/>
          <w:highlight w:val="yellow"/>
        </w:rPr>
        <w:t>and w</w:t>
      </w:r>
      <w:r>
        <w:rPr>
          <w:rFonts w:ascii="Times New Roman" w:hAnsi="Times New Roman"/>
          <w:sz w:val="24"/>
          <w:szCs w:val="24"/>
        </w:rPr>
        <w:t>ell-</w:t>
      </w:r>
      <w:r>
        <w:rPr>
          <w:rFonts w:ascii="Times New Roman" w:hAnsi="Times New Roman"/>
          <w:sz w:val="24"/>
          <w:szCs w:val="24"/>
          <w:highlight w:val="yellow"/>
        </w:rPr>
        <w:t>v</w:t>
      </w:r>
      <w:r>
        <w:rPr>
          <w:rFonts w:ascii="Times New Roman" w:hAnsi="Times New Roman"/>
          <w:sz w:val="24"/>
          <w:szCs w:val="24"/>
        </w:rPr>
        <w:t xml:space="preserve">entilated </w:t>
      </w:r>
      <w:r>
        <w:rPr>
          <w:rFonts w:ascii="Times New Roman" w:hAnsi="Times New Roman"/>
          <w:sz w:val="24"/>
          <w:szCs w:val="24"/>
          <w:highlight w:val="yellow"/>
        </w:rPr>
        <w:t>a</w:t>
      </w:r>
      <w:r>
        <w:rPr>
          <w:rFonts w:ascii="Times New Roman" w:hAnsi="Times New Roman"/>
          <w:sz w:val="24"/>
          <w:szCs w:val="24"/>
        </w:rPr>
        <w:t xml:space="preserve">nimal </w:t>
      </w:r>
      <w:r>
        <w:rPr>
          <w:rFonts w:ascii="Times New Roman" w:hAnsi="Times New Roman"/>
          <w:sz w:val="24"/>
          <w:szCs w:val="24"/>
          <w:highlight w:val="yellow"/>
        </w:rPr>
        <w:t>c</w:t>
      </w:r>
      <w:r>
        <w:rPr>
          <w:rFonts w:ascii="Times New Roman" w:hAnsi="Times New Roman"/>
          <w:sz w:val="24"/>
          <w:szCs w:val="24"/>
        </w:rPr>
        <w:t>ages.</w:t>
      </w:r>
    </w:p>
    <w:p w14:paraId="7EAC8BB3" w14:textId="77777777" w:rsidR="00795C38" w:rsidRPr="00795C38" w:rsidRDefault="00795C38" w:rsidP="00795C38">
      <w:pPr>
        <w:pStyle w:val="Heading4"/>
        <w:spacing w:before="0" w:line="480" w:lineRule="auto"/>
        <w:jc w:val="both"/>
        <w:rPr>
          <w:b/>
          <w:i w:val="0"/>
          <w:color w:val="000000" w:themeColor="text1"/>
        </w:rPr>
      </w:pPr>
      <w:r w:rsidRPr="00795C38">
        <w:rPr>
          <w:rStyle w:val="Strong"/>
          <w:b w:val="0"/>
          <w:i w:val="0"/>
          <w:color w:val="000000" w:themeColor="text1"/>
          <w:sz w:val="24"/>
          <w:szCs w:val="24"/>
        </w:rPr>
        <w:t>Plant Material Collection and Identification</w:t>
      </w:r>
    </w:p>
    <w:p w14:paraId="3C785407"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 xml:space="preserve">Fresh leaves of </w:t>
      </w:r>
      <w:r>
        <w:rPr>
          <w:i/>
          <w:color w:val="000000" w:themeColor="text1"/>
        </w:rPr>
        <w:t>P</w:t>
      </w:r>
      <w:r>
        <w:rPr>
          <w:rStyle w:val="Emphasis"/>
          <w:color w:val="000000" w:themeColor="text1"/>
        </w:rPr>
        <w:t xml:space="preserve">terocarpus santalinoides </w:t>
      </w:r>
      <w:r>
        <w:rPr>
          <w:color w:val="000000" w:themeColor="text1"/>
        </w:rPr>
        <w:t>were obtained from Calabar South LGA in Cross River State and authenticated by a plant taxonomist at the Department of Plant Science and Biotechnology, UNICROSS, Calabar.</w:t>
      </w:r>
    </w:p>
    <w:p w14:paraId="6F3C7013" w14:textId="77777777" w:rsidR="00795C38" w:rsidRDefault="00795C38" w:rsidP="00795C38">
      <w:pPr>
        <w:pStyle w:val="NormalWeb"/>
        <w:spacing w:before="0" w:beforeAutospacing="0" w:after="0" w:afterAutospacing="0" w:line="480" w:lineRule="auto"/>
        <w:jc w:val="both"/>
        <w:rPr>
          <w:color w:val="000000" w:themeColor="text1"/>
        </w:rPr>
      </w:pPr>
      <w:r>
        <w:rPr>
          <w:rStyle w:val="Strong"/>
          <w:b w:val="0"/>
          <w:color w:val="000000" w:themeColor="text1"/>
        </w:rPr>
        <w:t>Preparation of</w:t>
      </w:r>
      <w:r>
        <w:rPr>
          <w:rStyle w:val="Strong"/>
          <w:color w:val="000000" w:themeColor="text1"/>
        </w:rPr>
        <w:t xml:space="preserve"> </w:t>
      </w:r>
      <w:r>
        <w:rPr>
          <w:rStyle w:val="Emphasis"/>
          <w:color w:val="000000" w:themeColor="text1"/>
        </w:rPr>
        <w:t xml:space="preserve">Pterocarpus santalinoides </w:t>
      </w:r>
      <w:r>
        <w:rPr>
          <w:rStyle w:val="Strong"/>
          <w:b w:val="0"/>
          <w:color w:val="000000" w:themeColor="text1"/>
        </w:rPr>
        <w:t>Leaf Diet</w:t>
      </w:r>
    </w:p>
    <w:p w14:paraId="7CA47971" w14:textId="77777777" w:rsidR="00795C38" w:rsidRDefault="00795C38" w:rsidP="00795C38">
      <w:pPr>
        <w:pStyle w:val="NormalWeb"/>
        <w:spacing w:before="0" w:beforeAutospacing="0" w:after="0" w:afterAutospacing="0" w:line="480" w:lineRule="auto"/>
        <w:ind w:firstLine="720"/>
        <w:jc w:val="both"/>
        <w:rPr>
          <w:rStyle w:val="Strong"/>
          <w:b w:val="0"/>
          <w:bCs w:val="0"/>
        </w:rPr>
      </w:pPr>
      <w:r>
        <w:rPr>
          <w:color w:val="000000" w:themeColor="text1"/>
        </w:rPr>
        <w:lastRenderedPageBreak/>
        <w:t>The collected leaves were washed thoroughly to remove dust and debris, air-dried at room temperature (25</w:t>
      </w:r>
      <w:r>
        <w:rPr>
          <w:color w:val="000000" w:themeColor="text1"/>
          <w:highlight w:val="yellow"/>
        </w:rPr>
        <w:t>–</w:t>
      </w:r>
      <w:r>
        <w:rPr>
          <w:color w:val="000000" w:themeColor="text1"/>
        </w:rPr>
        <w:t>27°C) for 14 days, and pulveri</w:t>
      </w:r>
      <w:r>
        <w:rPr>
          <w:color w:val="000000" w:themeColor="text1"/>
          <w:highlight w:val="yellow"/>
        </w:rPr>
        <w:t>s</w:t>
      </w:r>
      <w:r>
        <w:rPr>
          <w:color w:val="000000" w:themeColor="text1"/>
        </w:rPr>
        <w:t>ed into</w:t>
      </w:r>
      <w:r>
        <w:rPr>
          <w:color w:val="000000" w:themeColor="text1"/>
          <w:highlight w:val="yellow"/>
        </w:rPr>
        <w:t xml:space="preserve"> a</w:t>
      </w:r>
      <w:r>
        <w:rPr>
          <w:color w:val="000000" w:themeColor="text1"/>
        </w:rPr>
        <w:t xml:space="preserve"> fine powder using an electrical blender.</w:t>
      </w:r>
    </w:p>
    <w:p w14:paraId="4CD3DDA9" w14:textId="77777777" w:rsidR="00795C38" w:rsidRPr="00795C38" w:rsidRDefault="00795C38" w:rsidP="00795C38">
      <w:pPr>
        <w:pStyle w:val="Heading3"/>
        <w:spacing w:before="0" w:line="480" w:lineRule="auto"/>
        <w:jc w:val="both"/>
        <w:rPr>
          <w:b/>
        </w:rPr>
      </w:pPr>
      <w:r w:rsidRPr="00795C38">
        <w:rPr>
          <w:rStyle w:val="Strong"/>
          <w:b w:val="0"/>
          <w:color w:val="000000" w:themeColor="text1"/>
        </w:rPr>
        <w:t>Methodology</w:t>
      </w:r>
    </w:p>
    <w:p w14:paraId="76EB6EBD" w14:textId="77777777" w:rsidR="00795C38" w:rsidRPr="001D5755" w:rsidRDefault="00795C38" w:rsidP="00795C38">
      <w:pPr>
        <w:pStyle w:val="Heading4"/>
        <w:spacing w:before="0" w:line="480" w:lineRule="auto"/>
        <w:jc w:val="both"/>
        <w:rPr>
          <w:rFonts w:ascii="Times New Roman" w:hAnsi="Times New Roman" w:cs="Times New Roman"/>
          <w:b/>
          <w:i w:val="0"/>
          <w:color w:val="000000" w:themeColor="text1"/>
          <w:sz w:val="24"/>
          <w:szCs w:val="24"/>
        </w:rPr>
      </w:pPr>
      <w:r w:rsidRPr="001D5755">
        <w:rPr>
          <w:rStyle w:val="Strong"/>
          <w:b w:val="0"/>
          <w:i w:val="0"/>
          <w:color w:val="000000" w:themeColor="text1"/>
          <w:sz w:val="24"/>
          <w:szCs w:val="24"/>
        </w:rPr>
        <w:t>Experimental Animals</w:t>
      </w:r>
    </w:p>
    <w:p w14:paraId="41043A67"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Thirty (30) healthy adult Wistar rats (100</w:t>
      </w:r>
      <w:r>
        <w:rPr>
          <w:color w:val="000000" w:themeColor="text1"/>
          <w:highlight w:val="yellow"/>
        </w:rPr>
        <w:t>–</w:t>
      </w:r>
      <w:r>
        <w:rPr>
          <w:color w:val="000000" w:themeColor="text1"/>
        </w:rPr>
        <w:t>180 g) were procured from the University of Uyo. The rats were housed in well-ventilated cages under standard laboratory conditions (12-hour light/dark cycle, temperature 25 ± 2°C, and relative humidity 50</w:t>
      </w:r>
      <w:r>
        <w:rPr>
          <w:color w:val="000000" w:themeColor="text1"/>
          <w:highlight w:val="yellow"/>
        </w:rPr>
        <w:t>–</w:t>
      </w:r>
      <w:r>
        <w:rPr>
          <w:color w:val="000000" w:themeColor="text1"/>
        </w:rPr>
        <w:t>60%). They were fed standard rat chow and given water ad libitum. The animals were allowed two days of acclimati</w:t>
      </w:r>
      <w:r>
        <w:rPr>
          <w:color w:val="000000" w:themeColor="text1"/>
          <w:highlight w:val="yellow"/>
        </w:rPr>
        <w:t>s</w:t>
      </w:r>
      <w:r>
        <w:rPr>
          <w:color w:val="000000" w:themeColor="text1"/>
        </w:rPr>
        <w:t>ation before the commencement of the experiment.</w:t>
      </w:r>
    </w:p>
    <w:p w14:paraId="5A415111" w14:textId="77777777" w:rsidR="00795C38" w:rsidRPr="001D5755" w:rsidRDefault="00795C38" w:rsidP="00795C38">
      <w:pPr>
        <w:pStyle w:val="Heading4"/>
        <w:spacing w:before="0" w:line="480" w:lineRule="auto"/>
        <w:jc w:val="both"/>
        <w:rPr>
          <w:rFonts w:ascii="Times New Roman" w:hAnsi="Times New Roman" w:cs="Times New Roman"/>
          <w:b/>
          <w:i w:val="0"/>
          <w:color w:val="000000" w:themeColor="text1"/>
          <w:sz w:val="24"/>
          <w:szCs w:val="24"/>
        </w:rPr>
      </w:pPr>
      <w:r w:rsidRPr="001D5755">
        <w:rPr>
          <w:rStyle w:val="Strong"/>
          <w:b w:val="0"/>
          <w:i w:val="0"/>
          <w:color w:val="000000" w:themeColor="text1"/>
          <w:sz w:val="24"/>
          <w:szCs w:val="24"/>
        </w:rPr>
        <w:t>Experimental Design</w:t>
      </w:r>
    </w:p>
    <w:p w14:paraId="16CFD63D" w14:textId="77777777" w:rsidR="00795C38" w:rsidRDefault="0000604A" w:rsidP="00795C38">
      <w:pPr>
        <w:pStyle w:val="NormalWeb"/>
        <w:spacing w:before="0" w:beforeAutospacing="0" w:after="0" w:afterAutospacing="0" w:line="480" w:lineRule="auto"/>
        <w:jc w:val="both"/>
        <w:rPr>
          <w:color w:val="000000" w:themeColor="text1"/>
        </w:rPr>
      </w:pPr>
      <w:r>
        <w:rPr>
          <w:color w:val="000000" w:themeColor="text1"/>
        </w:rPr>
        <w:t xml:space="preserve">List </w:t>
      </w:r>
      <w:proofErr w:type="gramStart"/>
      <w:r>
        <w:rPr>
          <w:color w:val="000000" w:themeColor="text1"/>
        </w:rPr>
        <w:t>1 :</w:t>
      </w:r>
      <w:proofErr w:type="gramEnd"/>
      <w:r>
        <w:rPr>
          <w:color w:val="000000" w:themeColor="text1"/>
        </w:rPr>
        <w:t xml:space="preserve"> </w:t>
      </w:r>
      <w:r w:rsidR="00795C38">
        <w:rPr>
          <w:color w:val="000000" w:themeColor="text1"/>
        </w:rPr>
        <w:t>The rats were randomly divided into five (5) groups of six (6) animals each as follows</w:t>
      </w:r>
      <w:r>
        <w:rPr>
          <w:color w:val="000000" w:themeColor="text1"/>
        </w:rPr>
        <w:t xml:space="preserve"> </w:t>
      </w:r>
    </w:p>
    <w:tbl>
      <w:tblPr>
        <w:tblStyle w:val="TableGrid"/>
        <w:tblW w:w="9270"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510"/>
        <w:gridCol w:w="5760"/>
      </w:tblGrid>
      <w:tr w:rsidR="00795C38" w14:paraId="4F34F366" w14:textId="77777777" w:rsidTr="00795C38">
        <w:trPr>
          <w:trHeight w:val="435"/>
        </w:trPr>
        <w:tc>
          <w:tcPr>
            <w:tcW w:w="3510" w:type="dxa"/>
            <w:tcBorders>
              <w:top w:val="single" w:sz="4" w:space="0" w:color="auto"/>
              <w:left w:val="nil"/>
              <w:bottom w:val="nil"/>
              <w:right w:val="nil"/>
            </w:tcBorders>
            <w:hideMark/>
          </w:tcPr>
          <w:p w14:paraId="3E5AAC90" w14:textId="77777777" w:rsidR="00795C38" w:rsidRPr="001D5755" w:rsidRDefault="00795C38">
            <w:pPr>
              <w:pStyle w:val="NormalWeb"/>
              <w:spacing w:before="0" w:beforeAutospacing="0" w:after="0" w:afterAutospacing="0" w:line="360" w:lineRule="auto"/>
              <w:jc w:val="center"/>
              <w:rPr>
                <w:color w:val="000000" w:themeColor="text1"/>
              </w:rPr>
            </w:pPr>
            <w:r w:rsidRPr="001D5755">
              <w:rPr>
                <w:color w:val="000000" w:themeColor="text1"/>
              </w:rPr>
              <w:t>Groups</w:t>
            </w:r>
          </w:p>
        </w:tc>
        <w:tc>
          <w:tcPr>
            <w:tcW w:w="5760" w:type="dxa"/>
            <w:tcBorders>
              <w:top w:val="single" w:sz="4" w:space="0" w:color="auto"/>
              <w:left w:val="nil"/>
              <w:bottom w:val="nil"/>
              <w:right w:val="nil"/>
            </w:tcBorders>
            <w:hideMark/>
          </w:tcPr>
          <w:p w14:paraId="379AF850" w14:textId="77777777" w:rsidR="00795C38" w:rsidRPr="001D5755" w:rsidRDefault="00795C38">
            <w:pPr>
              <w:pStyle w:val="NormalWeb"/>
              <w:spacing w:before="0" w:beforeAutospacing="0" w:after="0" w:afterAutospacing="0" w:line="360" w:lineRule="auto"/>
              <w:jc w:val="center"/>
              <w:rPr>
                <w:color w:val="000000" w:themeColor="text1"/>
              </w:rPr>
            </w:pPr>
            <w:r w:rsidRPr="001D5755">
              <w:rPr>
                <w:color w:val="000000" w:themeColor="text1"/>
              </w:rPr>
              <w:t>Treatment Administration</w:t>
            </w:r>
          </w:p>
        </w:tc>
      </w:tr>
      <w:tr w:rsidR="00795C38" w14:paraId="3F222A47" w14:textId="77777777" w:rsidTr="00795C38">
        <w:trPr>
          <w:trHeight w:val="1022"/>
        </w:trPr>
        <w:tc>
          <w:tcPr>
            <w:tcW w:w="3510" w:type="dxa"/>
            <w:tcBorders>
              <w:top w:val="nil"/>
              <w:left w:val="nil"/>
              <w:bottom w:val="nil"/>
              <w:right w:val="nil"/>
            </w:tcBorders>
            <w:hideMark/>
          </w:tcPr>
          <w:p w14:paraId="3D6A5DD5" w14:textId="77777777" w:rsidR="00795C38" w:rsidRPr="001D5755" w:rsidRDefault="00795C38">
            <w:pPr>
              <w:pStyle w:val="NormalWeb"/>
              <w:spacing w:before="0" w:beforeAutospacing="0" w:after="0" w:afterAutospacing="0" w:line="360" w:lineRule="auto"/>
              <w:jc w:val="both"/>
              <w:rPr>
                <w:b/>
                <w:color w:val="000000" w:themeColor="text1"/>
              </w:rPr>
            </w:pPr>
            <w:r w:rsidRPr="001D5755">
              <w:rPr>
                <w:rStyle w:val="Strong"/>
                <w:rFonts w:eastAsiaTheme="majorEastAsia"/>
                <w:b w:val="0"/>
                <w:color w:val="000000" w:themeColor="text1"/>
              </w:rPr>
              <w:t>Low dose</w:t>
            </w:r>
            <w:r w:rsidRPr="001D5755">
              <w:rPr>
                <w:rStyle w:val="Strong"/>
                <w:rFonts w:eastAsiaTheme="majorEastAsia"/>
                <w:b w:val="0"/>
                <w:i/>
                <w:color w:val="000000" w:themeColor="text1"/>
              </w:rPr>
              <w:t xml:space="preserve"> (PS1)</w:t>
            </w:r>
          </w:p>
        </w:tc>
        <w:tc>
          <w:tcPr>
            <w:tcW w:w="5760" w:type="dxa"/>
            <w:tcBorders>
              <w:top w:val="nil"/>
              <w:left w:val="nil"/>
              <w:bottom w:val="nil"/>
              <w:right w:val="nil"/>
            </w:tcBorders>
            <w:hideMark/>
          </w:tcPr>
          <w:p w14:paraId="349E7CB0"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10%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74FA1612" w14:textId="77777777" w:rsidTr="00795C38">
        <w:trPr>
          <w:trHeight w:val="894"/>
        </w:trPr>
        <w:tc>
          <w:tcPr>
            <w:tcW w:w="3510" w:type="dxa"/>
            <w:tcBorders>
              <w:top w:val="nil"/>
              <w:left w:val="nil"/>
              <w:bottom w:val="nil"/>
              <w:right w:val="nil"/>
            </w:tcBorders>
            <w:hideMark/>
          </w:tcPr>
          <w:p w14:paraId="1CBCC46E" w14:textId="77777777" w:rsidR="00795C38" w:rsidRPr="001D5755" w:rsidRDefault="00795C38">
            <w:pPr>
              <w:pStyle w:val="NormalWeb"/>
              <w:spacing w:before="0" w:beforeAutospacing="0" w:after="0" w:afterAutospacing="0" w:line="360" w:lineRule="auto"/>
              <w:jc w:val="both"/>
              <w:rPr>
                <w:b/>
                <w:i/>
                <w:color w:val="000000" w:themeColor="text1"/>
              </w:rPr>
            </w:pPr>
            <w:r w:rsidRPr="001D5755">
              <w:rPr>
                <w:rStyle w:val="Strong"/>
                <w:rFonts w:eastAsiaTheme="majorEastAsia"/>
                <w:b w:val="0"/>
              </w:rPr>
              <w:t>Medium dose</w:t>
            </w:r>
            <w:r w:rsidRPr="001D5755">
              <w:rPr>
                <w:rStyle w:val="Strong"/>
                <w:rFonts w:eastAsiaTheme="majorEastAsia"/>
                <w:b w:val="0"/>
                <w:i/>
              </w:rPr>
              <w:t xml:space="preserve"> (PS2)</w:t>
            </w:r>
          </w:p>
        </w:tc>
        <w:tc>
          <w:tcPr>
            <w:tcW w:w="5760" w:type="dxa"/>
            <w:tcBorders>
              <w:top w:val="nil"/>
              <w:left w:val="nil"/>
              <w:bottom w:val="nil"/>
              <w:right w:val="nil"/>
            </w:tcBorders>
            <w:hideMark/>
          </w:tcPr>
          <w:p w14:paraId="10C87340"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20%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10810FFF" w14:textId="77777777" w:rsidTr="00795C38">
        <w:trPr>
          <w:trHeight w:val="883"/>
        </w:trPr>
        <w:tc>
          <w:tcPr>
            <w:tcW w:w="3510" w:type="dxa"/>
            <w:tcBorders>
              <w:top w:val="nil"/>
              <w:left w:val="nil"/>
              <w:bottom w:val="nil"/>
              <w:right w:val="nil"/>
            </w:tcBorders>
            <w:hideMark/>
          </w:tcPr>
          <w:p w14:paraId="392D96BE" w14:textId="77777777" w:rsidR="00795C38" w:rsidRPr="001D5755" w:rsidRDefault="00795C38">
            <w:pPr>
              <w:pStyle w:val="NormalWeb"/>
              <w:spacing w:before="0" w:beforeAutospacing="0" w:after="0" w:afterAutospacing="0" w:line="360" w:lineRule="auto"/>
              <w:jc w:val="both"/>
              <w:rPr>
                <w:b/>
                <w:i/>
                <w:color w:val="000000" w:themeColor="text1"/>
              </w:rPr>
            </w:pPr>
            <w:r w:rsidRPr="001D5755">
              <w:rPr>
                <w:rStyle w:val="Strong"/>
                <w:rFonts w:eastAsiaTheme="majorEastAsia"/>
                <w:b w:val="0"/>
              </w:rPr>
              <w:t>High dose</w:t>
            </w:r>
            <w:r w:rsidRPr="001D5755">
              <w:rPr>
                <w:rStyle w:val="Strong"/>
                <w:rFonts w:eastAsiaTheme="majorEastAsia"/>
                <w:b w:val="0"/>
                <w:i/>
              </w:rPr>
              <w:t xml:space="preserve"> (PS3)</w:t>
            </w:r>
          </w:p>
        </w:tc>
        <w:tc>
          <w:tcPr>
            <w:tcW w:w="5760" w:type="dxa"/>
            <w:tcBorders>
              <w:top w:val="nil"/>
              <w:left w:val="nil"/>
              <w:bottom w:val="nil"/>
              <w:right w:val="nil"/>
            </w:tcBorders>
            <w:hideMark/>
          </w:tcPr>
          <w:p w14:paraId="24FCC793" w14:textId="77777777" w:rsidR="00795C38" w:rsidRDefault="00795C38">
            <w:pPr>
              <w:pStyle w:val="NormalWeb"/>
              <w:spacing w:before="0" w:beforeAutospacing="0" w:after="0" w:afterAutospacing="0" w:line="360" w:lineRule="auto"/>
              <w:jc w:val="both"/>
              <w:rPr>
                <w:color w:val="000000" w:themeColor="text1"/>
              </w:rPr>
            </w:pPr>
            <w:r>
              <w:rPr>
                <w:color w:val="000000" w:themeColor="text1"/>
              </w:rPr>
              <w:t xml:space="preserve">Induced with cadmium chloride (5mg/kg body weight), and fed diet supplemented 40% </w:t>
            </w:r>
            <w:r>
              <w:rPr>
                <w:rStyle w:val="Emphasis"/>
                <w:color w:val="000000" w:themeColor="text1"/>
              </w:rPr>
              <w:t xml:space="preserve">Pterocarpus </w:t>
            </w:r>
            <w:proofErr w:type="spellStart"/>
            <w:r>
              <w:rPr>
                <w:rStyle w:val="Emphasis"/>
                <w:color w:val="000000" w:themeColor="text1"/>
              </w:rPr>
              <w:t>santalinoides</w:t>
            </w:r>
            <w:proofErr w:type="spellEnd"/>
            <w:r>
              <w:rPr>
                <w:rStyle w:val="Emphasis"/>
                <w:color w:val="000000" w:themeColor="text1"/>
              </w:rPr>
              <w:t xml:space="preserve"> </w:t>
            </w:r>
            <w:r>
              <w:t>leaf meal</w:t>
            </w:r>
          </w:p>
        </w:tc>
      </w:tr>
      <w:tr w:rsidR="00795C38" w14:paraId="16FB6C5F" w14:textId="77777777" w:rsidTr="00795C38">
        <w:trPr>
          <w:trHeight w:val="894"/>
        </w:trPr>
        <w:tc>
          <w:tcPr>
            <w:tcW w:w="3510" w:type="dxa"/>
            <w:tcBorders>
              <w:top w:val="nil"/>
              <w:left w:val="nil"/>
              <w:bottom w:val="nil"/>
              <w:right w:val="nil"/>
            </w:tcBorders>
            <w:hideMark/>
          </w:tcPr>
          <w:p w14:paraId="424F68F4" w14:textId="77777777" w:rsidR="00795C38" w:rsidRPr="001D5755" w:rsidRDefault="00795C38">
            <w:pPr>
              <w:pStyle w:val="NormalWeb"/>
              <w:spacing w:before="0" w:beforeAutospacing="0" w:after="0" w:afterAutospacing="0" w:line="360" w:lineRule="auto"/>
              <w:jc w:val="both"/>
              <w:rPr>
                <w:rStyle w:val="Strong"/>
                <w:rFonts w:eastAsiaTheme="majorEastAsia"/>
                <w:b w:val="0"/>
              </w:rPr>
            </w:pPr>
            <w:r w:rsidRPr="001D5755">
              <w:rPr>
                <w:rStyle w:val="Strong"/>
                <w:rFonts w:eastAsiaTheme="majorEastAsia"/>
                <w:b w:val="0"/>
                <w:color w:val="000000" w:themeColor="text1"/>
              </w:rPr>
              <w:t>Normal Control group</w:t>
            </w:r>
          </w:p>
        </w:tc>
        <w:tc>
          <w:tcPr>
            <w:tcW w:w="5760" w:type="dxa"/>
            <w:tcBorders>
              <w:top w:val="nil"/>
              <w:left w:val="nil"/>
              <w:bottom w:val="nil"/>
              <w:right w:val="nil"/>
            </w:tcBorders>
            <w:hideMark/>
          </w:tcPr>
          <w:p w14:paraId="7B7A1EC5" w14:textId="77777777" w:rsidR="00795C38" w:rsidRDefault="00795C38">
            <w:pPr>
              <w:pStyle w:val="NormalWeb"/>
              <w:spacing w:before="0" w:beforeAutospacing="0" w:after="0" w:afterAutospacing="0" w:line="360" w:lineRule="auto"/>
              <w:jc w:val="both"/>
              <w:rPr>
                <w:rFonts w:eastAsia="Times New Roman"/>
              </w:rPr>
            </w:pPr>
            <w:r>
              <w:rPr>
                <w:color w:val="000000" w:themeColor="text1"/>
              </w:rPr>
              <w:t>Received normal rat chow and water throughout the experimental period.</w:t>
            </w:r>
          </w:p>
        </w:tc>
      </w:tr>
      <w:tr w:rsidR="00795C38" w14:paraId="4D5029F6" w14:textId="77777777" w:rsidTr="00795C38">
        <w:trPr>
          <w:trHeight w:val="883"/>
        </w:trPr>
        <w:tc>
          <w:tcPr>
            <w:tcW w:w="3510" w:type="dxa"/>
            <w:tcBorders>
              <w:top w:val="nil"/>
              <w:left w:val="nil"/>
              <w:bottom w:val="single" w:sz="4" w:space="0" w:color="auto"/>
              <w:right w:val="nil"/>
            </w:tcBorders>
            <w:hideMark/>
          </w:tcPr>
          <w:p w14:paraId="46793547" w14:textId="77777777" w:rsidR="00795C38" w:rsidRPr="001D5755" w:rsidRDefault="00795C38">
            <w:pPr>
              <w:pStyle w:val="NormalWeb"/>
              <w:spacing w:before="0" w:beforeAutospacing="0" w:after="0" w:afterAutospacing="0" w:line="360" w:lineRule="auto"/>
              <w:jc w:val="both"/>
              <w:rPr>
                <w:rStyle w:val="Strong"/>
                <w:rFonts w:eastAsiaTheme="majorEastAsia"/>
                <w:b w:val="0"/>
              </w:rPr>
            </w:pPr>
            <w:r w:rsidRPr="001D5755">
              <w:rPr>
                <w:rStyle w:val="Strong"/>
                <w:rFonts w:eastAsiaTheme="majorEastAsia"/>
                <w:b w:val="0"/>
                <w:color w:val="000000" w:themeColor="text1"/>
              </w:rPr>
              <w:t>Negative Control group</w:t>
            </w:r>
          </w:p>
        </w:tc>
        <w:tc>
          <w:tcPr>
            <w:tcW w:w="5760" w:type="dxa"/>
            <w:tcBorders>
              <w:top w:val="nil"/>
              <w:left w:val="nil"/>
              <w:bottom w:val="single" w:sz="4" w:space="0" w:color="auto"/>
              <w:right w:val="nil"/>
            </w:tcBorders>
            <w:hideMark/>
          </w:tcPr>
          <w:p w14:paraId="32FDCA8C" w14:textId="77777777" w:rsidR="00795C38" w:rsidRDefault="00795C38">
            <w:pPr>
              <w:pStyle w:val="NormalWeb"/>
              <w:spacing w:before="0" w:beforeAutospacing="0" w:after="0" w:afterAutospacing="0" w:line="360" w:lineRule="auto"/>
              <w:jc w:val="both"/>
              <w:rPr>
                <w:rFonts w:eastAsia="Times New Roman"/>
              </w:rPr>
            </w:pPr>
            <w:r>
              <w:rPr>
                <w:color w:val="000000" w:themeColor="text1"/>
              </w:rPr>
              <w:t>Induced with cadmium chloride (5mg/kg body weight) and received normal rat chow and water</w:t>
            </w:r>
          </w:p>
        </w:tc>
      </w:tr>
    </w:tbl>
    <w:p w14:paraId="176698B0" w14:textId="77777777" w:rsidR="00795C38" w:rsidRPr="001D5755" w:rsidRDefault="00795C38" w:rsidP="00795C38">
      <w:pPr>
        <w:pStyle w:val="Heading4"/>
        <w:spacing w:before="0" w:line="480" w:lineRule="auto"/>
        <w:jc w:val="both"/>
        <w:rPr>
          <w:rStyle w:val="Strong"/>
          <w:i w:val="0"/>
          <w:color w:val="000000" w:themeColor="text1"/>
        </w:rPr>
      </w:pPr>
      <w:r>
        <w:rPr>
          <w:rStyle w:val="Strong"/>
          <w:b w:val="0"/>
          <w:i w:val="0"/>
          <w:color w:val="000000" w:themeColor="text1"/>
          <w:sz w:val="24"/>
          <w:szCs w:val="24"/>
        </w:rPr>
        <w:lastRenderedPageBreak/>
        <w:t xml:space="preserve">All animals except those in the normal control group were orally administered cadmium chloride at a dose of </w:t>
      </w:r>
      <w:r>
        <w:rPr>
          <w:rFonts w:ascii="Times New Roman" w:hAnsi="Times New Roman" w:cs="Times New Roman"/>
          <w:i w:val="0"/>
          <w:color w:val="000000" w:themeColor="text1"/>
          <w:sz w:val="24"/>
          <w:szCs w:val="24"/>
        </w:rPr>
        <w:t>5</w:t>
      </w:r>
      <w:r>
        <w:rPr>
          <w:rFonts w:ascii="Times New Roman" w:hAnsi="Times New Roman" w:cs="Times New Roman"/>
          <w:i w:val="0"/>
          <w:color w:val="000000" w:themeColor="text1"/>
          <w:sz w:val="24"/>
          <w:szCs w:val="24"/>
          <w:highlight w:val="yellow"/>
        </w:rPr>
        <w:t xml:space="preserve"> </w:t>
      </w:r>
      <w:r>
        <w:rPr>
          <w:rFonts w:ascii="Times New Roman" w:hAnsi="Times New Roman" w:cs="Times New Roman"/>
          <w:i w:val="0"/>
          <w:color w:val="000000" w:themeColor="text1"/>
          <w:sz w:val="24"/>
          <w:szCs w:val="24"/>
        </w:rPr>
        <w:t>mg/kg body weight for 14 consecutive days to induce toxicity. Following induction, rats in groups PS1, PS2</w:t>
      </w:r>
      <w:r>
        <w:rPr>
          <w:rFonts w:ascii="Times New Roman" w:hAnsi="Times New Roman" w:cs="Times New Roman"/>
          <w:i w:val="0"/>
          <w:color w:val="000000" w:themeColor="text1"/>
          <w:sz w:val="24"/>
          <w:szCs w:val="24"/>
          <w:highlight w:val="yellow"/>
        </w:rPr>
        <w:t>,</w:t>
      </w:r>
      <w:r>
        <w:rPr>
          <w:rFonts w:ascii="Times New Roman" w:hAnsi="Times New Roman" w:cs="Times New Roman"/>
          <w:i w:val="0"/>
          <w:color w:val="000000" w:themeColor="text1"/>
          <w:sz w:val="24"/>
          <w:szCs w:val="24"/>
        </w:rPr>
        <w:t xml:space="preserve"> and PS3 were fed diet</w:t>
      </w:r>
      <w:r>
        <w:rPr>
          <w:rFonts w:ascii="Times New Roman" w:hAnsi="Times New Roman" w:cs="Times New Roman"/>
          <w:i w:val="0"/>
          <w:color w:val="000000" w:themeColor="text1"/>
          <w:sz w:val="24"/>
          <w:szCs w:val="24"/>
          <w:highlight w:val="yellow"/>
        </w:rPr>
        <w:t>s</w:t>
      </w:r>
      <w:r>
        <w:rPr>
          <w:rFonts w:ascii="Times New Roman" w:hAnsi="Times New Roman" w:cs="Times New Roman"/>
          <w:i w:val="0"/>
          <w:color w:val="000000" w:themeColor="text1"/>
          <w:sz w:val="24"/>
          <w:szCs w:val="24"/>
        </w:rPr>
        <w:t xml:space="preserve"> containing 10%, 20%</w:t>
      </w:r>
      <w:r>
        <w:rPr>
          <w:rFonts w:ascii="Times New Roman" w:hAnsi="Times New Roman" w:cs="Times New Roman"/>
          <w:i w:val="0"/>
          <w:color w:val="000000" w:themeColor="text1"/>
          <w:sz w:val="24"/>
          <w:szCs w:val="24"/>
          <w:highlight w:val="yellow"/>
        </w:rPr>
        <w:t>,</w:t>
      </w:r>
      <w:r>
        <w:rPr>
          <w:rFonts w:ascii="Times New Roman" w:hAnsi="Times New Roman" w:cs="Times New Roman"/>
          <w:i w:val="0"/>
          <w:color w:val="000000" w:themeColor="text1"/>
          <w:sz w:val="24"/>
          <w:szCs w:val="24"/>
        </w:rPr>
        <w:t xml:space="preserve"> and 40% </w:t>
      </w:r>
      <w:r>
        <w:rPr>
          <w:rStyle w:val="Emphasis"/>
          <w:i/>
          <w:color w:val="000000" w:themeColor="text1"/>
          <w:sz w:val="24"/>
          <w:szCs w:val="24"/>
        </w:rPr>
        <w:t>Pterocarpus santalinoides</w:t>
      </w:r>
      <w:r>
        <w:rPr>
          <w:rStyle w:val="Emphasis"/>
          <w:color w:val="000000" w:themeColor="text1"/>
          <w:sz w:val="24"/>
          <w:szCs w:val="24"/>
        </w:rPr>
        <w:t xml:space="preserve"> leaf meal</w:t>
      </w:r>
      <w:r>
        <w:rPr>
          <w:rStyle w:val="Emphasis"/>
          <w:color w:val="000000" w:themeColor="text1"/>
          <w:sz w:val="24"/>
          <w:szCs w:val="24"/>
          <w:highlight w:val="yellow"/>
        </w:rPr>
        <w:t>,</w:t>
      </w:r>
      <w:r>
        <w:rPr>
          <w:rStyle w:val="Emphasis"/>
          <w:color w:val="000000" w:themeColor="text1"/>
          <w:sz w:val="24"/>
          <w:szCs w:val="24"/>
        </w:rPr>
        <w:t xml:space="preserve"> </w:t>
      </w:r>
      <w:r>
        <w:rPr>
          <w:rFonts w:ascii="Times New Roman" w:hAnsi="Times New Roman" w:cs="Times New Roman"/>
          <w:i w:val="0"/>
          <w:color w:val="000000" w:themeColor="text1"/>
          <w:sz w:val="24"/>
          <w:szCs w:val="24"/>
        </w:rPr>
        <w:t>respectively</w:t>
      </w:r>
      <w:r>
        <w:rPr>
          <w:rFonts w:ascii="Times New Roman" w:hAnsi="Times New Roman" w:cs="Times New Roman"/>
          <w:i w:val="0"/>
          <w:color w:val="000000" w:themeColor="text1"/>
          <w:sz w:val="24"/>
          <w:szCs w:val="24"/>
          <w:highlight w:val="yellow"/>
        </w:rPr>
        <w:t>,</w:t>
      </w:r>
      <w:r>
        <w:rPr>
          <w:rFonts w:ascii="Times New Roman" w:hAnsi="Times New Roman" w:cs="Times New Roman"/>
          <w:i w:val="0"/>
          <w:color w:val="000000" w:themeColor="text1"/>
          <w:sz w:val="24"/>
          <w:szCs w:val="24"/>
        </w:rPr>
        <w:t xml:space="preserve"> for 21 consecutive days.</w:t>
      </w:r>
    </w:p>
    <w:p w14:paraId="55FC5501" w14:textId="77777777" w:rsidR="00795C38" w:rsidRDefault="00795C38" w:rsidP="00795C38">
      <w:pPr>
        <w:pStyle w:val="Heading4"/>
        <w:spacing w:before="0" w:line="480" w:lineRule="auto"/>
        <w:jc w:val="both"/>
        <w:rPr>
          <w:bCs/>
          <w:sz w:val="22"/>
          <w:szCs w:val="22"/>
        </w:rPr>
      </w:pPr>
      <w:r w:rsidRPr="001D5755">
        <w:rPr>
          <w:rStyle w:val="Strong"/>
          <w:b w:val="0"/>
          <w:i w:val="0"/>
          <w:color w:val="000000" w:themeColor="text1"/>
          <w:sz w:val="24"/>
          <w:szCs w:val="24"/>
        </w:rPr>
        <w:t>Induction of Cadmium Toxicity</w:t>
      </w:r>
    </w:p>
    <w:p w14:paraId="4C55E2A0"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Cadmium toxicity was induced by oral administration of cadmium chloride at a dose of 5</w:t>
      </w:r>
      <w:r>
        <w:rPr>
          <w:color w:val="000000" w:themeColor="text1"/>
          <w:highlight w:val="yellow"/>
        </w:rPr>
        <w:t xml:space="preserve"> </w:t>
      </w:r>
      <w:r>
        <w:rPr>
          <w:color w:val="000000" w:themeColor="text1"/>
        </w:rPr>
        <w:t xml:space="preserve">mg/kg body weight for 14 consecutive days before </w:t>
      </w:r>
      <w:r>
        <w:rPr>
          <w:color w:val="000000" w:themeColor="text1"/>
          <w:highlight w:val="yellow"/>
        </w:rPr>
        <w:t xml:space="preserve">the </w:t>
      </w:r>
      <w:r>
        <w:rPr>
          <w:color w:val="000000" w:themeColor="text1"/>
        </w:rPr>
        <w:t>commencement of diet</w:t>
      </w:r>
      <w:r>
        <w:rPr>
          <w:color w:val="000000" w:themeColor="text1"/>
          <w:highlight w:val="yellow"/>
        </w:rPr>
        <w:t>ary</w:t>
      </w:r>
      <w:r>
        <w:rPr>
          <w:color w:val="000000" w:themeColor="text1"/>
        </w:rPr>
        <w:t xml:space="preserve"> administration.</w:t>
      </w:r>
    </w:p>
    <w:p w14:paraId="15E3F71C" w14:textId="77777777" w:rsidR="00795C38" w:rsidRDefault="00795C38" w:rsidP="00795C38">
      <w:pPr>
        <w:pStyle w:val="Heading4"/>
        <w:spacing w:before="0" w:line="480" w:lineRule="auto"/>
        <w:jc w:val="both"/>
        <w:rPr>
          <w:rStyle w:val="Strong"/>
          <w:i w:val="0"/>
          <w:sz w:val="24"/>
          <w:szCs w:val="24"/>
        </w:rPr>
      </w:pPr>
      <w:r w:rsidRPr="001D5755">
        <w:rPr>
          <w:rStyle w:val="Strong"/>
          <w:b w:val="0"/>
          <w:i w:val="0"/>
          <w:color w:val="000000" w:themeColor="text1"/>
          <w:sz w:val="24"/>
          <w:szCs w:val="24"/>
        </w:rPr>
        <w:t>Administration of supplemented diet</w:t>
      </w:r>
    </w:p>
    <w:p w14:paraId="658B9E9F" w14:textId="77777777" w:rsidR="00795C38" w:rsidRDefault="00795C38" w:rsidP="00795C38">
      <w:pPr>
        <w:pStyle w:val="NormalWeb"/>
        <w:spacing w:before="0" w:beforeAutospacing="0" w:after="0" w:afterAutospacing="0" w:line="480" w:lineRule="auto"/>
        <w:ind w:firstLine="720"/>
        <w:jc w:val="both"/>
      </w:pPr>
      <w:r>
        <w:rPr>
          <w:color w:val="000000" w:themeColor="text1"/>
        </w:rPr>
        <w:t>After cadmium induction, the supplemented diet was administered orally (10%, 20%</w:t>
      </w:r>
      <w:r>
        <w:rPr>
          <w:color w:val="000000" w:themeColor="text1"/>
          <w:highlight w:val="yellow"/>
        </w:rPr>
        <w:t>,</w:t>
      </w:r>
      <w:r>
        <w:rPr>
          <w:color w:val="000000" w:themeColor="text1"/>
        </w:rPr>
        <w:t xml:space="preserve"> and 40%) for 21 consecutive days. The </w:t>
      </w:r>
      <w:r>
        <w:rPr>
          <w:color w:val="000000" w:themeColor="text1"/>
          <w:highlight w:val="yellow"/>
        </w:rPr>
        <w:t xml:space="preserve">normal </w:t>
      </w:r>
      <w:r>
        <w:rPr>
          <w:color w:val="000000" w:themeColor="text1"/>
        </w:rPr>
        <w:t>control</w:t>
      </w:r>
      <w:r>
        <w:rPr>
          <w:color w:val="000000" w:themeColor="text1"/>
          <w:highlight w:val="yellow"/>
        </w:rPr>
        <w:t xml:space="preserve"> group</w:t>
      </w:r>
      <w:r>
        <w:rPr>
          <w:color w:val="000000" w:themeColor="text1"/>
        </w:rPr>
        <w:t xml:space="preserve"> received water and rat chow, </w:t>
      </w:r>
      <w:r>
        <w:rPr>
          <w:color w:val="000000" w:themeColor="text1"/>
          <w:highlight w:val="yellow"/>
        </w:rPr>
        <w:t>while</w:t>
      </w:r>
      <w:r>
        <w:rPr>
          <w:color w:val="000000" w:themeColor="text1"/>
        </w:rPr>
        <w:t xml:space="preserve"> the cadmium-only </w:t>
      </w:r>
      <w:r>
        <w:rPr>
          <w:color w:val="000000" w:themeColor="text1"/>
          <w:highlight w:val="yellow"/>
        </w:rPr>
        <w:t xml:space="preserve">negative control </w:t>
      </w:r>
      <w:r>
        <w:rPr>
          <w:color w:val="000000" w:themeColor="text1"/>
        </w:rPr>
        <w:t>group w</w:t>
      </w:r>
      <w:r>
        <w:rPr>
          <w:color w:val="000000" w:themeColor="text1"/>
          <w:highlight w:val="yellow"/>
        </w:rPr>
        <w:t>as</w:t>
      </w:r>
      <w:r>
        <w:rPr>
          <w:color w:val="000000" w:themeColor="text1"/>
        </w:rPr>
        <w:t xml:space="preserve"> exposed to cadmium chloride without treatment (5</w:t>
      </w:r>
      <w:r>
        <w:rPr>
          <w:color w:val="000000" w:themeColor="text1"/>
          <w:highlight w:val="yellow"/>
        </w:rPr>
        <w:t xml:space="preserve"> </w:t>
      </w:r>
      <w:r>
        <w:rPr>
          <w:color w:val="000000" w:themeColor="text1"/>
        </w:rPr>
        <w:t>mg/kg body weight).</w:t>
      </w:r>
    </w:p>
    <w:p w14:paraId="38513578" w14:textId="77777777" w:rsidR="00795C38" w:rsidRDefault="00795C38" w:rsidP="00795C38">
      <w:pPr>
        <w:pStyle w:val="Heading4"/>
        <w:spacing w:before="0" w:line="480" w:lineRule="auto"/>
        <w:jc w:val="both"/>
        <w:rPr>
          <w:rFonts w:ascii="Times New Roman" w:hAnsi="Times New Roman" w:cs="Times New Roman"/>
          <w:i w:val="0"/>
          <w:color w:val="000000" w:themeColor="text1"/>
          <w:sz w:val="24"/>
          <w:szCs w:val="24"/>
        </w:rPr>
      </w:pPr>
      <w:r w:rsidRPr="001D5755">
        <w:rPr>
          <w:rStyle w:val="Strong"/>
          <w:b w:val="0"/>
          <w:i w:val="0"/>
          <w:color w:val="000000" w:themeColor="text1"/>
          <w:sz w:val="24"/>
          <w:szCs w:val="24"/>
        </w:rPr>
        <w:t>Collection of Blood Samples</w:t>
      </w:r>
    </w:p>
    <w:p w14:paraId="1E7D122A" w14:textId="77777777" w:rsidR="00795C38" w:rsidRDefault="00795C38" w:rsidP="00795C38">
      <w:pPr>
        <w:pStyle w:val="NormalWeb"/>
        <w:spacing w:before="0" w:beforeAutospacing="0" w:after="0" w:afterAutospacing="0" w:line="480" w:lineRule="auto"/>
        <w:ind w:firstLine="720"/>
        <w:jc w:val="both"/>
        <w:rPr>
          <w:color w:val="000000" w:themeColor="text1"/>
        </w:rPr>
      </w:pPr>
      <w:r>
        <w:rPr>
          <w:color w:val="000000" w:themeColor="text1"/>
        </w:rPr>
        <w:t>At the end of the experimental period, the animals were an</w:t>
      </w:r>
      <w:r>
        <w:rPr>
          <w:color w:val="000000" w:themeColor="text1"/>
          <w:highlight w:val="yellow"/>
        </w:rPr>
        <w:t>a</w:t>
      </w:r>
      <w:r>
        <w:rPr>
          <w:color w:val="000000" w:themeColor="text1"/>
        </w:rPr>
        <w:t>estheti</w:t>
      </w:r>
      <w:r>
        <w:rPr>
          <w:color w:val="000000" w:themeColor="text1"/>
          <w:highlight w:val="yellow"/>
        </w:rPr>
        <w:t>s</w:t>
      </w:r>
      <w:r>
        <w:rPr>
          <w:color w:val="000000" w:themeColor="text1"/>
        </w:rPr>
        <w:t xml:space="preserve">ed with ketamine. Serum and blood samples were collected via cardiac puncture using sterile syringes. Samples were divided into two portions: </w:t>
      </w:r>
      <w:r>
        <w:rPr>
          <w:color w:val="000000" w:themeColor="text1"/>
          <w:highlight w:val="yellow"/>
        </w:rPr>
        <w:t>o</w:t>
      </w:r>
      <w:r>
        <w:rPr>
          <w:color w:val="000000" w:themeColor="text1"/>
        </w:rPr>
        <w:t>ne portion</w:t>
      </w:r>
      <w:r>
        <w:rPr>
          <w:color w:val="000000" w:themeColor="text1"/>
          <w:highlight w:val="yellow"/>
        </w:rPr>
        <w:t xml:space="preserve"> was placed</w:t>
      </w:r>
      <w:r>
        <w:rPr>
          <w:color w:val="000000" w:themeColor="text1"/>
        </w:rPr>
        <w:t xml:space="preserve"> in EDTA tubes for haematological analysis, and the other in plain tubes for serum preparation </w:t>
      </w:r>
      <w:r>
        <w:rPr>
          <w:color w:val="000000" w:themeColor="text1"/>
          <w:highlight w:val="yellow"/>
        </w:rPr>
        <w:t xml:space="preserve">and </w:t>
      </w:r>
      <w:r>
        <w:rPr>
          <w:color w:val="000000" w:themeColor="text1"/>
        </w:rPr>
        <w:t>centrifuged at 3,000</w:t>
      </w:r>
      <w:r>
        <w:rPr>
          <w:color w:val="000000" w:themeColor="text1"/>
          <w:highlight w:val="yellow"/>
        </w:rPr>
        <w:t xml:space="preserve"> </w:t>
      </w:r>
      <w:r>
        <w:rPr>
          <w:color w:val="000000" w:themeColor="text1"/>
        </w:rPr>
        <w:t>rpm for 10</w:t>
      </w:r>
      <w:r>
        <w:rPr>
          <w:color w:val="000000" w:themeColor="text1"/>
          <w:highlight w:val="yellow"/>
        </w:rPr>
        <w:t xml:space="preserve"> </w:t>
      </w:r>
      <w:r>
        <w:rPr>
          <w:color w:val="000000" w:themeColor="text1"/>
        </w:rPr>
        <w:t>minutes.</w:t>
      </w:r>
    </w:p>
    <w:p w14:paraId="3F2E995E" w14:textId="77777777" w:rsidR="00795C38" w:rsidRPr="001D5755" w:rsidRDefault="00795C38" w:rsidP="00795C38">
      <w:pPr>
        <w:pStyle w:val="NormalWeb"/>
        <w:spacing w:before="0" w:beforeAutospacing="0" w:after="0" w:afterAutospacing="0" w:line="480" w:lineRule="auto"/>
        <w:jc w:val="both"/>
        <w:rPr>
          <w:rStyle w:val="Strong"/>
          <w:b w:val="0"/>
        </w:rPr>
      </w:pPr>
      <w:r w:rsidRPr="001D5755">
        <w:rPr>
          <w:rStyle w:val="Strong"/>
          <w:b w:val="0"/>
          <w:color w:val="000000" w:themeColor="text1"/>
        </w:rPr>
        <w:t>Biochemical Assay</w:t>
      </w:r>
    </w:p>
    <w:p w14:paraId="79BE8941" w14:textId="77777777" w:rsidR="00795C38" w:rsidRDefault="00795C38" w:rsidP="00795C38">
      <w:pPr>
        <w:pStyle w:val="NormalWeb"/>
        <w:spacing w:before="0" w:beforeAutospacing="0" w:after="0" w:afterAutospacing="0" w:line="480" w:lineRule="auto"/>
        <w:jc w:val="both"/>
      </w:pPr>
      <w:r>
        <w:t xml:space="preserve">Kidney function indices </w:t>
      </w:r>
      <w:r>
        <w:rPr>
          <w:color w:val="000000" w:themeColor="text1"/>
        </w:rPr>
        <w:t xml:space="preserve">and </w:t>
      </w:r>
      <w:r>
        <w:t xml:space="preserve">antioxidant enzyme activity </w:t>
      </w:r>
      <w:r>
        <w:rPr>
          <w:color w:val="000000" w:themeColor="text1"/>
        </w:rPr>
        <w:t>assay</w:t>
      </w:r>
    </w:p>
    <w:p w14:paraId="1DA48836" w14:textId="77777777" w:rsidR="00795C38" w:rsidRDefault="00795C38" w:rsidP="00795C38">
      <w:pPr>
        <w:pStyle w:val="NormalWeb"/>
        <w:spacing w:before="0" w:beforeAutospacing="0" w:after="0" w:afterAutospacing="0" w:line="480" w:lineRule="auto"/>
        <w:jc w:val="both"/>
        <w:rPr>
          <w:color w:val="000000" w:themeColor="text1"/>
        </w:rPr>
      </w:pPr>
      <w:r>
        <w:rPr>
          <w:color w:val="000000" w:themeColor="text1"/>
        </w:rPr>
        <w:t xml:space="preserve">Serum was collected for </w:t>
      </w:r>
      <w:r>
        <w:t xml:space="preserve">selected kidney function indices </w:t>
      </w:r>
      <w:r>
        <w:rPr>
          <w:color w:val="000000" w:themeColor="text1"/>
        </w:rPr>
        <w:t>(</w:t>
      </w:r>
      <w:r>
        <w:t>serum urea and creatinine</w:t>
      </w:r>
      <w:r>
        <w:rPr>
          <w:color w:val="000000" w:themeColor="text1"/>
        </w:rPr>
        <w:t xml:space="preserve">) and </w:t>
      </w:r>
      <w:r>
        <w:t>antioxidant enzyme activity</w:t>
      </w:r>
      <w:r>
        <w:rPr>
          <w:color w:val="000000" w:themeColor="text1"/>
        </w:rPr>
        <w:t xml:space="preserve"> tests (</w:t>
      </w:r>
      <w:r>
        <w:t>superoxide dismutase and catalase</w:t>
      </w:r>
      <w:r>
        <w:rPr>
          <w:color w:val="000000" w:themeColor="text1"/>
        </w:rPr>
        <w:t>) using the r</w:t>
      </w:r>
      <w:r>
        <w:rPr>
          <w:color w:val="000000" w:themeColor="text1"/>
          <w:highlight w:val="yellow"/>
        </w:rPr>
        <w:t>espective</w:t>
      </w:r>
      <w:r>
        <w:rPr>
          <w:color w:val="000000" w:themeColor="text1"/>
        </w:rPr>
        <w:t xml:space="preserve"> test</w:t>
      </w:r>
      <w:r>
        <w:rPr>
          <w:color w:val="000000" w:themeColor="text1"/>
          <w:highlight w:val="yellow"/>
        </w:rPr>
        <w:t>-</w:t>
      </w:r>
      <w:r>
        <w:rPr>
          <w:color w:val="000000" w:themeColor="text1"/>
        </w:rPr>
        <w:t>kit</w:t>
      </w:r>
      <w:r>
        <w:rPr>
          <w:color w:val="000000" w:themeColor="text1"/>
          <w:highlight w:val="yellow"/>
        </w:rPr>
        <w:t xml:space="preserve"> procedure</w:t>
      </w:r>
      <w:r>
        <w:rPr>
          <w:color w:val="000000" w:themeColor="text1"/>
        </w:rPr>
        <w:t>s</w:t>
      </w:r>
      <w:r>
        <w:rPr>
          <w:color w:val="000000" w:themeColor="text1"/>
          <w:shd w:val="clear" w:color="auto" w:fill="FFFFFF"/>
        </w:rPr>
        <w:t>.</w:t>
      </w:r>
    </w:p>
    <w:p w14:paraId="4C0A545C" w14:textId="77777777" w:rsidR="00795C38" w:rsidRDefault="00795C38" w:rsidP="00795C38">
      <w:pPr>
        <w:pStyle w:val="NormalWeb"/>
        <w:spacing w:before="0" w:beforeAutospacing="0" w:after="0" w:afterAutospacing="0" w:line="480" w:lineRule="auto"/>
        <w:jc w:val="both"/>
        <w:rPr>
          <w:rStyle w:val="Strong"/>
        </w:rPr>
      </w:pPr>
      <w:proofErr w:type="spellStart"/>
      <w:r w:rsidRPr="001D5755">
        <w:rPr>
          <w:rStyle w:val="Strong"/>
          <w:b w:val="0"/>
          <w:color w:val="000000" w:themeColor="text1"/>
        </w:rPr>
        <w:t>Haematological</w:t>
      </w:r>
      <w:proofErr w:type="spellEnd"/>
      <w:r w:rsidRPr="001D5755">
        <w:rPr>
          <w:rStyle w:val="Strong"/>
          <w:b w:val="0"/>
          <w:color w:val="000000" w:themeColor="text1"/>
        </w:rPr>
        <w:t xml:space="preserve"> Assay</w:t>
      </w:r>
    </w:p>
    <w:p w14:paraId="435337F8" w14:textId="77777777" w:rsidR="00795C38" w:rsidRDefault="00795C38" w:rsidP="00795C38">
      <w:pPr>
        <w:pStyle w:val="NormalWeb"/>
        <w:spacing w:before="0" w:beforeAutospacing="0" w:after="0" w:afterAutospacing="0" w:line="480" w:lineRule="auto"/>
        <w:jc w:val="both"/>
        <w:rPr>
          <w:i/>
        </w:rPr>
      </w:pPr>
      <w:r>
        <w:rPr>
          <w:color w:val="000000" w:themeColor="text1"/>
        </w:rPr>
        <w:t xml:space="preserve">Blood was collected for </w:t>
      </w:r>
      <w:r>
        <w:t>haematological parameter tests (white blood cell count, red blood cell count, platelet count, and packed cell volume) and haemoglobin concentration using an automated h</w:t>
      </w:r>
      <w:r>
        <w:rPr>
          <w:highlight w:val="yellow"/>
        </w:rPr>
        <w:t>a</w:t>
      </w:r>
      <w:r>
        <w:t>ematolog</w:t>
      </w:r>
      <w:r>
        <w:rPr>
          <w:highlight w:val="yellow"/>
        </w:rPr>
        <w:t>y</w:t>
      </w:r>
      <w:r>
        <w:t xml:space="preserve"> analy</w:t>
      </w:r>
      <w:r>
        <w:rPr>
          <w:highlight w:val="yellow"/>
        </w:rPr>
        <w:t>s</w:t>
      </w:r>
      <w:r>
        <w:t>er.</w:t>
      </w:r>
    </w:p>
    <w:p w14:paraId="6A970A2B" w14:textId="77777777" w:rsidR="00795C38" w:rsidRPr="001D5755" w:rsidRDefault="00795C38" w:rsidP="00795C38">
      <w:pPr>
        <w:pStyle w:val="Heading4"/>
        <w:spacing w:before="0" w:line="480" w:lineRule="auto"/>
        <w:jc w:val="both"/>
        <w:rPr>
          <w:rFonts w:ascii="Times New Roman" w:hAnsi="Times New Roman" w:cs="Times New Roman"/>
          <w:b/>
          <w:bCs/>
          <w:i w:val="0"/>
          <w:color w:val="000000" w:themeColor="text1"/>
          <w:sz w:val="24"/>
          <w:szCs w:val="24"/>
        </w:rPr>
      </w:pPr>
      <w:r w:rsidRPr="001D5755">
        <w:rPr>
          <w:rStyle w:val="Strong"/>
          <w:b w:val="0"/>
          <w:i w:val="0"/>
          <w:color w:val="000000" w:themeColor="text1"/>
          <w:sz w:val="24"/>
          <w:szCs w:val="24"/>
        </w:rPr>
        <w:t>Statistical Analysis</w:t>
      </w:r>
    </w:p>
    <w:p w14:paraId="3F6E1519" w14:textId="77777777" w:rsidR="00AA74E0" w:rsidRPr="001D5755" w:rsidRDefault="00795C38" w:rsidP="00795C38">
      <w:pPr>
        <w:pStyle w:val="Body"/>
        <w:spacing w:after="0"/>
        <w:rPr>
          <w:rFonts w:ascii="Times New Roman" w:hAnsi="Times New Roman"/>
          <w:sz w:val="24"/>
          <w:szCs w:val="24"/>
        </w:rPr>
      </w:pPr>
      <w:r>
        <w:rPr>
          <w:rFonts w:ascii="Times New Roman" w:hAnsi="Times New Roman"/>
          <w:color w:val="000000" w:themeColor="text1"/>
          <w:sz w:val="24"/>
          <w:szCs w:val="24"/>
        </w:rPr>
        <w:t>All results were expressed as mean ± standard deviation (SD). Data were analy</w:t>
      </w:r>
      <w:r>
        <w:rPr>
          <w:rFonts w:ascii="Times New Roman" w:hAnsi="Times New Roman"/>
          <w:color w:val="000000" w:themeColor="text1"/>
          <w:sz w:val="24"/>
          <w:szCs w:val="24"/>
          <w:highlight w:val="yellow"/>
        </w:rPr>
        <w:t>s</w:t>
      </w:r>
      <w:r>
        <w:rPr>
          <w:rFonts w:ascii="Times New Roman" w:hAnsi="Times New Roman"/>
          <w:color w:val="000000" w:themeColor="text1"/>
          <w:sz w:val="24"/>
          <w:szCs w:val="24"/>
        </w:rPr>
        <w:t>ed using one-way analysis of variance (ANOVA) for multiple comparisons. Statistical significance was se</w:t>
      </w:r>
      <w:r>
        <w:rPr>
          <w:rFonts w:ascii="Times New Roman" w:hAnsi="Times New Roman"/>
          <w:color w:val="000000" w:themeColor="text1"/>
          <w:sz w:val="24"/>
          <w:szCs w:val="24"/>
          <w:highlight w:val="yellow"/>
        </w:rPr>
        <w:t>t</w:t>
      </w:r>
      <w:r>
        <w:rPr>
          <w:rFonts w:ascii="Times New Roman" w:hAnsi="Times New Roman"/>
          <w:color w:val="000000" w:themeColor="text1"/>
          <w:sz w:val="24"/>
          <w:szCs w:val="24"/>
        </w:rPr>
        <w:t xml:space="preserve"> at p</w:t>
      </w:r>
      <w:r>
        <w:rPr>
          <w:rFonts w:ascii="Times New Roman" w:hAnsi="Times New Roman"/>
          <w:color w:val="000000" w:themeColor="text1"/>
          <w:sz w:val="24"/>
          <w:szCs w:val="24"/>
          <w:highlight w:val="yellow"/>
        </w:rPr>
        <w:t xml:space="preserve"> </w:t>
      </w:r>
      <w:r>
        <w:rPr>
          <w:rFonts w:ascii="Times New Roman" w:hAnsi="Times New Roman"/>
          <w:color w:val="000000" w:themeColor="text1"/>
          <w:sz w:val="24"/>
          <w:szCs w:val="24"/>
        </w:rPr>
        <w:t>&lt;</w:t>
      </w:r>
      <w:r>
        <w:rPr>
          <w:rFonts w:ascii="Times New Roman" w:hAnsi="Times New Roman"/>
          <w:color w:val="000000" w:themeColor="text1"/>
          <w:sz w:val="24"/>
          <w:szCs w:val="24"/>
          <w:highlight w:val="yellow"/>
        </w:rPr>
        <w:t xml:space="preserve"> </w:t>
      </w:r>
      <w:r>
        <w:rPr>
          <w:rFonts w:ascii="Times New Roman" w:hAnsi="Times New Roman"/>
          <w:color w:val="000000" w:themeColor="text1"/>
          <w:sz w:val="24"/>
          <w:szCs w:val="24"/>
        </w:rPr>
        <w:t>0.05.</w:t>
      </w:r>
    </w:p>
    <w:p w14:paraId="7D2C351F" w14:textId="77777777" w:rsidR="00790ADA" w:rsidRPr="00FB3A86" w:rsidRDefault="00790ADA" w:rsidP="00441B6F">
      <w:pPr>
        <w:pStyle w:val="Body"/>
        <w:spacing w:after="0"/>
        <w:rPr>
          <w:rFonts w:ascii="Arial" w:hAnsi="Arial" w:cs="Arial"/>
        </w:rPr>
      </w:pPr>
    </w:p>
    <w:p w14:paraId="23FEECAF" w14:textId="77777777" w:rsidR="00902823" w:rsidRDefault="00000F8F" w:rsidP="00441B6F">
      <w:pPr>
        <w:pStyle w:val="Head1"/>
        <w:spacing w:after="0"/>
        <w:jc w:val="both"/>
        <w:rPr>
          <w:rFonts w:ascii="Arial" w:hAnsi="Arial" w:cs="Arial"/>
        </w:rPr>
      </w:pPr>
      <w:r>
        <w:rPr>
          <w:rFonts w:ascii="Arial" w:hAnsi="Arial" w:cs="Arial"/>
        </w:rPr>
        <w:t>results and discussion</w:t>
      </w:r>
    </w:p>
    <w:p w14:paraId="05CACA52" w14:textId="77777777" w:rsidR="001D5755" w:rsidRPr="001D5755" w:rsidRDefault="001D5755" w:rsidP="001D5755">
      <w:pPr>
        <w:spacing w:line="480" w:lineRule="auto"/>
        <w:rPr>
          <w:rFonts w:ascii="Times New Roman" w:hAnsi="Times New Roman"/>
          <w:sz w:val="24"/>
          <w:szCs w:val="24"/>
        </w:rPr>
      </w:pPr>
      <w:r w:rsidRPr="001D5755">
        <w:rPr>
          <w:rFonts w:ascii="Times New Roman" w:hAnsi="Times New Roman"/>
          <w:sz w:val="24"/>
          <w:szCs w:val="24"/>
        </w:rPr>
        <w:t>Results</w:t>
      </w:r>
    </w:p>
    <w:p w14:paraId="4FC06FF9" w14:textId="77777777" w:rsidR="001D5755" w:rsidRPr="001D5755" w:rsidRDefault="001D5755" w:rsidP="001D5755">
      <w:pPr>
        <w:spacing w:line="480" w:lineRule="auto"/>
        <w:rPr>
          <w:rFonts w:ascii="Times New Roman" w:hAnsi="Times New Roman"/>
          <w:sz w:val="24"/>
          <w:szCs w:val="24"/>
        </w:rPr>
      </w:pPr>
      <w:r>
        <w:rPr>
          <w:rFonts w:ascii="Times New Roman" w:hAnsi="Times New Roman"/>
          <w:sz w:val="24"/>
          <w:szCs w:val="24"/>
        </w:rPr>
        <w:t xml:space="preserve">Table 1: Effect of </w:t>
      </w:r>
      <w:r>
        <w:rPr>
          <w:rFonts w:ascii="Times New Roman" w:hAnsi="Times New Roman"/>
          <w:bCs/>
          <w:i/>
          <w:iCs/>
          <w:sz w:val="24"/>
          <w:szCs w:val="24"/>
        </w:rPr>
        <w:t>Pterocarpus santalinoides</w:t>
      </w:r>
      <w:r>
        <w:rPr>
          <w:rFonts w:ascii="Times New Roman" w:hAnsi="Times New Roman"/>
          <w:sz w:val="24"/>
          <w:szCs w:val="24"/>
        </w:rPr>
        <w:t xml:space="preserve"> Leaf Diet on Selected Kidney Function Indices and Some Antioxidant Enzymes in Wistar rats Exposed to Cadmium</w:t>
      </w:r>
    </w:p>
    <w:tbl>
      <w:tblPr>
        <w:tblStyle w:val="TableGrid"/>
        <w:tblW w:w="986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1744"/>
        <w:gridCol w:w="1943"/>
        <w:gridCol w:w="2013"/>
        <w:gridCol w:w="1894"/>
      </w:tblGrid>
      <w:tr w:rsidR="001D5755" w14:paraId="7A273240" w14:textId="77777777" w:rsidTr="001D5755">
        <w:trPr>
          <w:trHeight w:val="565"/>
        </w:trPr>
        <w:tc>
          <w:tcPr>
            <w:tcW w:w="2268" w:type="dxa"/>
            <w:tcBorders>
              <w:top w:val="single" w:sz="4" w:space="0" w:color="auto"/>
              <w:left w:val="nil"/>
              <w:bottom w:val="single" w:sz="4" w:space="0" w:color="auto"/>
              <w:right w:val="nil"/>
            </w:tcBorders>
            <w:vAlign w:val="center"/>
            <w:hideMark/>
          </w:tcPr>
          <w:p w14:paraId="2494888A" w14:textId="77777777" w:rsidR="001D5755" w:rsidRDefault="001D5755">
            <w:pPr>
              <w:jc w:val="center"/>
              <w:rPr>
                <w:rFonts w:asciiTheme="minorHAnsi" w:hAnsiTheme="minorHAnsi" w:cstheme="minorBidi"/>
                <w:sz w:val="24"/>
                <w:szCs w:val="24"/>
              </w:rPr>
            </w:pPr>
            <w:r>
              <w:rPr>
                <w:rFonts w:ascii="Times New Roman" w:eastAsia="Times New Roman" w:hAnsi="Times New Roman"/>
                <w:b/>
                <w:bCs/>
                <w:sz w:val="24"/>
                <w:szCs w:val="24"/>
              </w:rPr>
              <w:t>Groups</w:t>
            </w:r>
          </w:p>
        </w:tc>
        <w:tc>
          <w:tcPr>
            <w:tcW w:w="1744" w:type="dxa"/>
            <w:tcBorders>
              <w:top w:val="single" w:sz="4" w:space="0" w:color="auto"/>
              <w:left w:val="nil"/>
              <w:bottom w:val="single" w:sz="4" w:space="0" w:color="auto"/>
              <w:right w:val="nil"/>
            </w:tcBorders>
            <w:vAlign w:val="center"/>
          </w:tcPr>
          <w:p w14:paraId="7146CAE1"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Urea </w:t>
            </w:r>
          </w:p>
          <w:p w14:paraId="43E21525"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3.0 ± 7.0</w:t>
            </w:r>
            <w:r>
              <w:rPr>
                <w:rFonts w:ascii="Times New Roman" w:eastAsia="Times New Roman" w:hAnsi="Times New Roman"/>
                <w:sz w:val="24"/>
                <w:szCs w:val="24"/>
              </w:rPr>
              <w:t xml:space="preserve"> </w:t>
            </w:r>
            <w:r>
              <w:rPr>
                <w:rFonts w:ascii="Times New Roman" w:eastAsia="Times New Roman" w:hAnsi="Times New Roman"/>
                <w:b/>
                <w:bCs/>
                <w:sz w:val="24"/>
                <w:szCs w:val="24"/>
              </w:rPr>
              <w:t>(mmol/L)</w:t>
            </w:r>
          </w:p>
          <w:p w14:paraId="53520C93" w14:textId="77777777" w:rsidR="001D5755" w:rsidRDefault="001D5755">
            <w:pPr>
              <w:jc w:val="center"/>
              <w:rPr>
                <w:rFonts w:asciiTheme="minorHAnsi" w:eastAsiaTheme="minorHAnsi" w:hAnsiTheme="minorHAnsi" w:cstheme="minorBidi"/>
                <w:sz w:val="24"/>
                <w:szCs w:val="24"/>
              </w:rPr>
            </w:pPr>
          </w:p>
        </w:tc>
        <w:tc>
          <w:tcPr>
            <w:tcW w:w="1943" w:type="dxa"/>
            <w:tcBorders>
              <w:top w:val="single" w:sz="4" w:space="0" w:color="auto"/>
              <w:left w:val="nil"/>
              <w:bottom w:val="single" w:sz="4" w:space="0" w:color="auto"/>
              <w:right w:val="nil"/>
            </w:tcBorders>
            <w:vAlign w:val="center"/>
            <w:hideMark/>
          </w:tcPr>
          <w:p w14:paraId="0DB93EF8"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Creatinine </w:t>
            </w:r>
          </w:p>
          <w:p w14:paraId="16B16239"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0.2 ± 0.8</w:t>
            </w:r>
          </w:p>
          <w:p w14:paraId="2E11EC0A" w14:textId="77777777" w:rsidR="001D5755" w:rsidRDefault="001D5755">
            <w:pPr>
              <w:jc w:val="center"/>
              <w:rPr>
                <w:rFonts w:asciiTheme="minorHAnsi" w:eastAsiaTheme="minorHAnsi" w:hAnsiTheme="minorHAnsi" w:cstheme="minorBidi"/>
                <w:sz w:val="24"/>
                <w:szCs w:val="24"/>
              </w:rPr>
            </w:pPr>
            <w:r>
              <w:rPr>
                <w:rFonts w:ascii="Times New Roman" w:eastAsia="Times New Roman" w:hAnsi="Times New Roman"/>
                <w:b/>
                <w:bCs/>
                <w:sz w:val="24"/>
                <w:szCs w:val="24"/>
              </w:rPr>
              <w:t>(mg/dL)</w:t>
            </w:r>
          </w:p>
        </w:tc>
        <w:tc>
          <w:tcPr>
            <w:tcW w:w="2013" w:type="dxa"/>
            <w:tcBorders>
              <w:top w:val="single" w:sz="4" w:space="0" w:color="auto"/>
              <w:left w:val="nil"/>
              <w:bottom w:val="single" w:sz="4" w:space="0" w:color="auto"/>
              <w:right w:val="nil"/>
            </w:tcBorders>
            <w:vAlign w:val="center"/>
            <w:hideMark/>
          </w:tcPr>
          <w:p w14:paraId="0099127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SOD (U/mg protein)</w:t>
            </w:r>
          </w:p>
        </w:tc>
        <w:tc>
          <w:tcPr>
            <w:tcW w:w="1894" w:type="dxa"/>
            <w:tcBorders>
              <w:top w:val="single" w:sz="4" w:space="0" w:color="auto"/>
              <w:left w:val="nil"/>
              <w:bottom w:val="single" w:sz="4" w:space="0" w:color="auto"/>
              <w:right w:val="nil"/>
            </w:tcBorders>
            <w:vAlign w:val="center"/>
            <w:hideMark/>
          </w:tcPr>
          <w:p w14:paraId="0B6699CE"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Catalase (U/mg protein)</w:t>
            </w:r>
          </w:p>
        </w:tc>
      </w:tr>
      <w:tr w:rsidR="001D5755" w14:paraId="112DB316" w14:textId="77777777" w:rsidTr="001D5755">
        <w:trPr>
          <w:trHeight w:val="534"/>
        </w:trPr>
        <w:tc>
          <w:tcPr>
            <w:tcW w:w="2268" w:type="dxa"/>
            <w:tcBorders>
              <w:top w:val="single" w:sz="4" w:space="0" w:color="auto"/>
              <w:left w:val="nil"/>
              <w:bottom w:val="nil"/>
              <w:right w:val="nil"/>
            </w:tcBorders>
            <w:vAlign w:val="center"/>
            <w:hideMark/>
          </w:tcPr>
          <w:p w14:paraId="4CBFB25B"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Low Dose (</w:t>
            </w:r>
            <w:r>
              <w:rPr>
                <w:rFonts w:ascii="Times New Roman" w:eastAsia="Times New Roman" w:hAnsi="Times New Roman"/>
                <w:i/>
                <w:iCs/>
                <w:sz w:val="24"/>
                <w:szCs w:val="24"/>
              </w:rPr>
              <w:t>PS1</w:t>
            </w:r>
            <w:r>
              <w:rPr>
                <w:rFonts w:ascii="Times New Roman" w:eastAsia="Times New Roman" w:hAnsi="Times New Roman"/>
                <w:sz w:val="24"/>
                <w:szCs w:val="24"/>
              </w:rPr>
              <w:t>)</w:t>
            </w:r>
          </w:p>
        </w:tc>
        <w:tc>
          <w:tcPr>
            <w:tcW w:w="1744" w:type="dxa"/>
            <w:tcBorders>
              <w:top w:val="single" w:sz="4" w:space="0" w:color="auto"/>
              <w:left w:val="nil"/>
              <w:bottom w:val="nil"/>
              <w:right w:val="nil"/>
            </w:tcBorders>
            <w:vAlign w:val="center"/>
            <w:hideMark/>
          </w:tcPr>
          <w:p w14:paraId="712A1AE8" w14:textId="77777777" w:rsidR="001D5755" w:rsidRDefault="001D5755">
            <w:pPr>
              <w:spacing w:line="480" w:lineRule="auto"/>
              <w:jc w:val="center"/>
              <w:rPr>
                <w:sz w:val="24"/>
                <w:szCs w:val="24"/>
              </w:rPr>
            </w:pPr>
            <w:r>
              <w:rPr>
                <w:rFonts w:ascii="Times New Roman" w:eastAsia="Times New Roman" w:hAnsi="Times New Roman"/>
                <w:sz w:val="24"/>
                <w:szCs w:val="24"/>
              </w:rPr>
              <w:t>6.10 ± 0.42ᵇ</w:t>
            </w:r>
          </w:p>
        </w:tc>
        <w:tc>
          <w:tcPr>
            <w:tcW w:w="1943" w:type="dxa"/>
            <w:tcBorders>
              <w:top w:val="single" w:sz="4" w:space="0" w:color="auto"/>
              <w:left w:val="nil"/>
              <w:bottom w:val="nil"/>
              <w:right w:val="nil"/>
            </w:tcBorders>
            <w:vAlign w:val="center"/>
            <w:hideMark/>
          </w:tcPr>
          <w:p w14:paraId="77572BEA" w14:textId="77777777" w:rsidR="001D5755" w:rsidRDefault="001D5755">
            <w:pPr>
              <w:spacing w:line="480" w:lineRule="auto"/>
              <w:jc w:val="center"/>
              <w:rPr>
                <w:sz w:val="24"/>
                <w:szCs w:val="24"/>
              </w:rPr>
            </w:pPr>
            <w:r>
              <w:rPr>
                <w:rFonts w:ascii="Times New Roman" w:eastAsia="Times New Roman" w:hAnsi="Times New Roman"/>
                <w:sz w:val="24"/>
                <w:szCs w:val="24"/>
              </w:rPr>
              <w:t>0.88 ± 0.06ᵇ</w:t>
            </w:r>
          </w:p>
        </w:tc>
        <w:tc>
          <w:tcPr>
            <w:tcW w:w="2013" w:type="dxa"/>
            <w:tcBorders>
              <w:top w:val="single" w:sz="4" w:space="0" w:color="auto"/>
              <w:left w:val="nil"/>
              <w:bottom w:val="nil"/>
              <w:right w:val="nil"/>
            </w:tcBorders>
            <w:vAlign w:val="center"/>
            <w:hideMark/>
          </w:tcPr>
          <w:p w14:paraId="663CB71A"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18.6 ± 1.5ᶜ</w:t>
            </w:r>
          </w:p>
        </w:tc>
        <w:tc>
          <w:tcPr>
            <w:tcW w:w="1894" w:type="dxa"/>
            <w:tcBorders>
              <w:top w:val="single" w:sz="4" w:space="0" w:color="auto"/>
              <w:left w:val="nil"/>
              <w:bottom w:val="nil"/>
              <w:right w:val="nil"/>
            </w:tcBorders>
            <w:vAlign w:val="center"/>
            <w:hideMark/>
          </w:tcPr>
          <w:p w14:paraId="42494D77"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32.4 ± 2.6ᶜ</w:t>
            </w:r>
          </w:p>
        </w:tc>
      </w:tr>
      <w:tr w:rsidR="001D5755" w14:paraId="481B68B5" w14:textId="77777777" w:rsidTr="001D5755">
        <w:trPr>
          <w:trHeight w:val="565"/>
        </w:trPr>
        <w:tc>
          <w:tcPr>
            <w:tcW w:w="2268" w:type="dxa"/>
            <w:vAlign w:val="center"/>
            <w:hideMark/>
          </w:tcPr>
          <w:p w14:paraId="213C1934"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Medium Dose (</w:t>
            </w:r>
            <w:r>
              <w:rPr>
                <w:rFonts w:ascii="Times New Roman" w:eastAsia="Times New Roman" w:hAnsi="Times New Roman"/>
                <w:i/>
                <w:iCs/>
                <w:sz w:val="24"/>
                <w:szCs w:val="24"/>
              </w:rPr>
              <w:t>PS2</w:t>
            </w:r>
            <w:r>
              <w:rPr>
                <w:rFonts w:ascii="Times New Roman" w:eastAsia="Times New Roman" w:hAnsi="Times New Roman"/>
                <w:sz w:val="24"/>
                <w:szCs w:val="24"/>
              </w:rPr>
              <w:t>)</w:t>
            </w:r>
          </w:p>
        </w:tc>
        <w:tc>
          <w:tcPr>
            <w:tcW w:w="1744" w:type="dxa"/>
            <w:vAlign w:val="center"/>
            <w:hideMark/>
          </w:tcPr>
          <w:p w14:paraId="199F9AF0" w14:textId="77777777" w:rsidR="001D5755" w:rsidRDefault="001D5755">
            <w:pPr>
              <w:spacing w:line="480" w:lineRule="auto"/>
              <w:jc w:val="center"/>
              <w:rPr>
                <w:sz w:val="24"/>
                <w:szCs w:val="24"/>
              </w:rPr>
            </w:pPr>
            <w:r>
              <w:rPr>
                <w:rFonts w:ascii="Times New Roman" w:eastAsia="Times New Roman" w:hAnsi="Times New Roman"/>
                <w:sz w:val="24"/>
                <w:szCs w:val="24"/>
              </w:rPr>
              <w:t>5.24 ± 0.38ᶜ</w:t>
            </w:r>
          </w:p>
        </w:tc>
        <w:tc>
          <w:tcPr>
            <w:tcW w:w="1943" w:type="dxa"/>
            <w:vAlign w:val="center"/>
            <w:hideMark/>
          </w:tcPr>
          <w:p w14:paraId="1B07A1C3" w14:textId="77777777" w:rsidR="001D5755" w:rsidRDefault="001D5755">
            <w:pPr>
              <w:spacing w:line="480" w:lineRule="auto"/>
              <w:jc w:val="center"/>
              <w:rPr>
                <w:sz w:val="24"/>
                <w:szCs w:val="24"/>
              </w:rPr>
            </w:pPr>
            <w:r>
              <w:rPr>
                <w:rFonts w:ascii="Times New Roman" w:eastAsia="Times New Roman" w:hAnsi="Times New Roman"/>
                <w:sz w:val="24"/>
                <w:szCs w:val="24"/>
              </w:rPr>
              <w:t>0.74 ± 0.05ᶜ</w:t>
            </w:r>
          </w:p>
        </w:tc>
        <w:tc>
          <w:tcPr>
            <w:tcW w:w="2013" w:type="dxa"/>
            <w:vAlign w:val="center"/>
            <w:hideMark/>
          </w:tcPr>
          <w:p w14:paraId="0ED56EA4"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23.8 ± 1.8ᵇ</w:t>
            </w:r>
          </w:p>
        </w:tc>
        <w:tc>
          <w:tcPr>
            <w:tcW w:w="1894" w:type="dxa"/>
            <w:vAlign w:val="center"/>
            <w:hideMark/>
          </w:tcPr>
          <w:p w14:paraId="2D0230EB"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40.6 ± 3.1ᵇ</w:t>
            </w:r>
          </w:p>
        </w:tc>
      </w:tr>
      <w:tr w:rsidR="001D5755" w14:paraId="010B1404" w14:textId="77777777" w:rsidTr="001D5755">
        <w:trPr>
          <w:trHeight w:val="565"/>
        </w:trPr>
        <w:tc>
          <w:tcPr>
            <w:tcW w:w="2268" w:type="dxa"/>
            <w:vAlign w:val="center"/>
            <w:hideMark/>
          </w:tcPr>
          <w:p w14:paraId="5E8CD094"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High Dose (</w:t>
            </w:r>
            <w:r>
              <w:rPr>
                <w:rFonts w:ascii="Times New Roman" w:eastAsia="Times New Roman" w:hAnsi="Times New Roman"/>
                <w:i/>
                <w:iCs/>
                <w:sz w:val="24"/>
                <w:szCs w:val="24"/>
              </w:rPr>
              <w:t>PS3</w:t>
            </w:r>
            <w:r>
              <w:rPr>
                <w:rFonts w:ascii="Times New Roman" w:eastAsia="Times New Roman" w:hAnsi="Times New Roman"/>
                <w:sz w:val="24"/>
                <w:szCs w:val="24"/>
              </w:rPr>
              <w:t>)</w:t>
            </w:r>
          </w:p>
        </w:tc>
        <w:tc>
          <w:tcPr>
            <w:tcW w:w="1744" w:type="dxa"/>
            <w:vAlign w:val="center"/>
            <w:hideMark/>
          </w:tcPr>
          <w:p w14:paraId="5B2A9C06" w14:textId="77777777" w:rsidR="001D5755" w:rsidRDefault="001D5755">
            <w:pPr>
              <w:spacing w:line="480" w:lineRule="auto"/>
              <w:jc w:val="center"/>
              <w:rPr>
                <w:sz w:val="24"/>
                <w:szCs w:val="24"/>
              </w:rPr>
            </w:pPr>
            <w:r>
              <w:rPr>
                <w:rFonts w:ascii="Times New Roman" w:eastAsia="Times New Roman" w:hAnsi="Times New Roman"/>
                <w:sz w:val="24"/>
                <w:szCs w:val="24"/>
              </w:rPr>
              <w:t>4.42 ± 0.31ᵈ</w:t>
            </w:r>
          </w:p>
        </w:tc>
        <w:tc>
          <w:tcPr>
            <w:tcW w:w="1943" w:type="dxa"/>
            <w:vAlign w:val="center"/>
            <w:hideMark/>
          </w:tcPr>
          <w:p w14:paraId="0CB07F5B" w14:textId="77777777" w:rsidR="001D5755" w:rsidRDefault="001D5755">
            <w:pPr>
              <w:spacing w:line="480" w:lineRule="auto"/>
              <w:jc w:val="center"/>
              <w:rPr>
                <w:sz w:val="24"/>
                <w:szCs w:val="24"/>
              </w:rPr>
            </w:pPr>
            <w:r>
              <w:rPr>
                <w:rFonts w:ascii="Times New Roman" w:eastAsia="Times New Roman" w:hAnsi="Times New Roman"/>
                <w:sz w:val="24"/>
                <w:szCs w:val="24"/>
              </w:rPr>
              <w:t>0.61 ± 0.04ᵈ</w:t>
            </w:r>
          </w:p>
        </w:tc>
        <w:tc>
          <w:tcPr>
            <w:tcW w:w="2013" w:type="dxa"/>
            <w:vAlign w:val="center"/>
            <w:hideMark/>
          </w:tcPr>
          <w:p w14:paraId="6A126C1F"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29.4 ± 2.2ᵃ</w:t>
            </w:r>
          </w:p>
        </w:tc>
        <w:tc>
          <w:tcPr>
            <w:tcW w:w="1894" w:type="dxa"/>
            <w:vAlign w:val="center"/>
            <w:hideMark/>
          </w:tcPr>
          <w:p w14:paraId="5FCAC597"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48.8 ± 3.5ᵃ</w:t>
            </w:r>
          </w:p>
        </w:tc>
      </w:tr>
      <w:tr w:rsidR="001D5755" w14:paraId="7A4669D7" w14:textId="77777777" w:rsidTr="001D5755">
        <w:trPr>
          <w:trHeight w:val="534"/>
        </w:trPr>
        <w:tc>
          <w:tcPr>
            <w:tcW w:w="2268" w:type="dxa"/>
            <w:vAlign w:val="center"/>
            <w:hideMark/>
          </w:tcPr>
          <w:p w14:paraId="210B8EFC"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Negative Control</w:t>
            </w:r>
          </w:p>
        </w:tc>
        <w:tc>
          <w:tcPr>
            <w:tcW w:w="1744" w:type="dxa"/>
            <w:vAlign w:val="center"/>
            <w:hideMark/>
          </w:tcPr>
          <w:p w14:paraId="53790F7F" w14:textId="77777777" w:rsidR="001D5755" w:rsidRDefault="001D5755">
            <w:pPr>
              <w:spacing w:line="480" w:lineRule="auto"/>
              <w:jc w:val="center"/>
              <w:rPr>
                <w:sz w:val="24"/>
                <w:szCs w:val="24"/>
              </w:rPr>
            </w:pPr>
            <w:r>
              <w:rPr>
                <w:rFonts w:ascii="Times New Roman" w:eastAsia="Times New Roman" w:hAnsi="Times New Roman"/>
                <w:sz w:val="24"/>
                <w:szCs w:val="24"/>
              </w:rPr>
              <w:t>8.86 ± 0.57ᵃ</w:t>
            </w:r>
          </w:p>
        </w:tc>
        <w:tc>
          <w:tcPr>
            <w:tcW w:w="1943" w:type="dxa"/>
            <w:vAlign w:val="center"/>
            <w:hideMark/>
          </w:tcPr>
          <w:p w14:paraId="66545815" w14:textId="77777777" w:rsidR="001D5755" w:rsidRDefault="001D5755">
            <w:pPr>
              <w:spacing w:line="480" w:lineRule="auto"/>
              <w:jc w:val="center"/>
              <w:rPr>
                <w:sz w:val="24"/>
                <w:szCs w:val="24"/>
              </w:rPr>
            </w:pPr>
            <w:r>
              <w:rPr>
                <w:rFonts w:ascii="Times New Roman" w:eastAsia="Times New Roman" w:hAnsi="Times New Roman"/>
                <w:sz w:val="24"/>
                <w:szCs w:val="24"/>
              </w:rPr>
              <w:t>1.26 ± 0.08ᵃ</w:t>
            </w:r>
          </w:p>
        </w:tc>
        <w:tc>
          <w:tcPr>
            <w:tcW w:w="2013" w:type="dxa"/>
            <w:vAlign w:val="center"/>
            <w:hideMark/>
          </w:tcPr>
          <w:p w14:paraId="4CC4172A"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10.2 ± 0.9ᵈ</w:t>
            </w:r>
          </w:p>
        </w:tc>
        <w:tc>
          <w:tcPr>
            <w:tcW w:w="1894" w:type="dxa"/>
            <w:vAlign w:val="center"/>
            <w:hideMark/>
          </w:tcPr>
          <w:p w14:paraId="19B97190"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21.3 ± 1.8ᵈ</w:t>
            </w:r>
          </w:p>
        </w:tc>
      </w:tr>
      <w:tr w:rsidR="001D5755" w14:paraId="6A3B82F2" w14:textId="77777777" w:rsidTr="001D5755">
        <w:trPr>
          <w:trHeight w:val="565"/>
        </w:trPr>
        <w:tc>
          <w:tcPr>
            <w:tcW w:w="2268" w:type="dxa"/>
            <w:tcBorders>
              <w:top w:val="nil"/>
              <w:left w:val="nil"/>
              <w:bottom w:val="single" w:sz="4" w:space="0" w:color="auto"/>
              <w:right w:val="nil"/>
            </w:tcBorders>
            <w:vAlign w:val="center"/>
            <w:hideMark/>
          </w:tcPr>
          <w:p w14:paraId="7A5756B6" w14:textId="77777777" w:rsidR="001D5755" w:rsidRDefault="001D5755">
            <w:pPr>
              <w:spacing w:line="480" w:lineRule="auto"/>
              <w:jc w:val="center"/>
              <w:rPr>
                <w:rFonts w:asciiTheme="minorHAnsi" w:eastAsiaTheme="minorHAnsi" w:hAnsiTheme="minorHAnsi" w:cstheme="minorBidi"/>
                <w:sz w:val="24"/>
                <w:szCs w:val="24"/>
              </w:rPr>
            </w:pPr>
            <w:r>
              <w:rPr>
                <w:rFonts w:ascii="Times New Roman" w:eastAsia="Times New Roman" w:hAnsi="Times New Roman"/>
                <w:sz w:val="24"/>
                <w:szCs w:val="24"/>
              </w:rPr>
              <w:t>Normal Control</w:t>
            </w:r>
          </w:p>
        </w:tc>
        <w:tc>
          <w:tcPr>
            <w:tcW w:w="1744" w:type="dxa"/>
            <w:tcBorders>
              <w:top w:val="nil"/>
              <w:left w:val="nil"/>
              <w:bottom w:val="single" w:sz="4" w:space="0" w:color="auto"/>
              <w:right w:val="nil"/>
            </w:tcBorders>
            <w:vAlign w:val="center"/>
            <w:hideMark/>
          </w:tcPr>
          <w:p w14:paraId="03A67CD5" w14:textId="77777777" w:rsidR="001D5755" w:rsidRDefault="001D5755">
            <w:pPr>
              <w:spacing w:line="480" w:lineRule="auto"/>
              <w:jc w:val="center"/>
              <w:rPr>
                <w:sz w:val="24"/>
                <w:szCs w:val="24"/>
              </w:rPr>
            </w:pPr>
            <w:r>
              <w:rPr>
                <w:rFonts w:ascii="Times New Roman" w:eastAsia="Times New Roman" w:hAnsi="Times New Roman"/>
                <w:sz w:val="24"/>
                <w:szCs w:val="24"/>
              </w:rPr>
              <w:t>3.92 ± 0.28ᵉ</w:t>
            </w:r>
          </w:p>
        </w:tc>
        <w:tc>
          <w:tcPr>
            <w:tcW w:w="1943" w:type="dxa"/>
            <w:tcBorders>
              <w:top w:val="nil"/>
              <w:left w:val="nil"/>
              <w:bottom w:val="single" w:sz="4" w:space="0" w:color="auto"/>
              <w:right w:val="nil"/>
            </w:tcBorders>
            <w:vAlign w:val="center"/>
            <w:hideMark/>
          </w:tcPr>
          <w:p w14:paraId="250F9C78" w14:textId="77777777" w:rsidR="001D5755" w:rsidRDefault="001D5755">
            <w:pPr>
              <w:spacing w:line="480" w:lineRule="auto"/>
              <w:jc w:val="center"/>
              <w:rPr>
                <w:sz w:val="24"/>
                <w:szCs w:val="24"/>
              </w:rPr>
            </w:pPr>
            <w:r>
              <w:rPr>
                <w:rFonts w:ascii="Times New Roman" w:eastAsia="Times New Roman" w:hAnsi="Times New Roman"/>
                <w:sz w:val="24"/>
                <w:szCs w:val="24"/>
              </w:rPr>
              <w:t>0.52 ± 0.03ᵉ</w:t>
            </w:r>
          </w:p>
        </w:tc>
        <w:tc>
          <w:tcPr>
            <w:tcW w:w="2013" w:type="dxa"/>
            <w:tcBorders>
              <w:top w:val="nil"/>
              <w:left w:val="nil"/>
              <w:bottom w:val="single" w:sz="4" w:space="0" w:color="auto"/>
              <w:right w:val="nil"/>
            </w:tcBorders>
            <w:vAlign w:val="center"/>
            <w:hideMark/>
          </w:tcPr>
          <w:p w14:paraId="62F27E0F"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31.6 ± 2.4ᵃ</w:t>
            </w:r>
          </w:p>
        </w:tc>
        <w:tc>
          <w:tcPr>
            <w:tcW w:w="1894" w:type="dxa"/>
            <w:tcBorders>
              <w:top w:val="nil"/>
              <w:left w:val="nil"/>
              <w:bottom w:val="single" w:sz="4" w:space="0" w:color="auto"/>
              <w:right w:val="nil"/>
            </w:tcBorders>
            <w:vAlign w:val="center"/>
            <w:hideMark/>
          </w:tcPr>
          <w:p w14:paraId="0BDAF6D2" w14:textId="77777777" w:rsidR="001D5755" w:rsidRDefault="001D5755">
            <w:pPr>
              <w:spacing w:line="480" w:lineRule="auto"/>
              <w:jc w:val="center"/>
              <w:rPr>
                <w:rFonts w:ascii="Times New Roman" w:eastAsia="Times New Roman" w:hAnsi="Times New Roman"/>
                <w:sz w:val="24"/>
                <w:szCs w:val="24"/>
              </w:rPr>
            </w:pPr>
            <w:r>
              <w:rPr>
                <w:rFonts w:ascii="Times New Roman" w:eastAsia="Times New Roman" w:hAnsi="Times New Roman"/>
                <w:sz w:val="24"/>
                <w:szCs w:val="24"/>
              </w:rPr>
              <w:t>52.1 ± 3.8ᵃ</w:t>
            </w:r>
          </w:p>
        </w:tc>
      </w:tr>
    </w:tbl>
    <w:p w14:paraId="081B61A6" w14:textId="77777777" w:rsidR="001D5755" w:rsidRPr="001D5755" w:rsidRDefault="001D5755" w:rsidP="001D5755">
      <w:pPr>
        <w:spacing w:line="480" w:lineRule="auto"/>
        <w:rPr>
          <w:rFonts w:ascii="Times New Roman" w:hAnsi="Times New Roman"/>
          <w:sz w:val="24"/>
          <w:szCs w:val="24"/>
        </w:rPr>
      </w:pPr>
      <w:r>
        <w:rPr>
          <w:rFonts w:ascii="Times New Roman" w:hAnsi="Times New Roman"/>
          <w:i/>
          <w:iCs/>
          <w:sz w:val="24"/>
          <w:szCs w:val="24"/>
        </w:rPr>
        <w:t xml:space="preserve">Values are presented as mean ± SD </w:t>
      </w:r>
      <w:r>
        <w:rPr>
          <w:rFonts w:ascii="Times New Roman" w:hAnsi="Times New Roman"/>
          <w:i/>
          <w:iCs/>
          <w:sz w:val="24"/>
          <w:szCs w:val="24"/>
          <w:highlight w:val="yellow"/>
        </w:rPr>
        <w:t>(n = 6)</w:t>
      </w:r>
      <w:r>
        <w:rPr>
          <w:rFonts w:ascii="Times New Roman" w:hAnsi="Times New Roman"/>
          <w:i/>
          <w:iCs/>
          <w:sz w:val="24"/>
          <w:szCs w:val="24"/>
        </w:rPr>
        <w:t>. Values with different superscripts in the same column are significantly different (p &lt; 0.05).</w:t>
      </w:r>
    </w:p>
    <w:p w14:paraId="1D7DC7B7" w14:textId="77777777" w:rsidR="001D5755" w:rsidRPr="001D5755" w:rsidRDefault="001D5755" w:rsidP="001D5755">
      <w:pPr>
        <w:spacing w:line="480" w:lineRule="auto"/>
        <w:jc w:val="both"/>
        <w:rPr>
          <w:rFonts w:ascii="Times New Roman" w:hAnsi="Times New Roman"/>
          <w:bCs/>
          <w:sz w:val="24"/>
          <w:szCs w:val="24"/>
        </w:rPr>
      </w:pPr>
      <w:r>
        <w:rPr>
          <w:rFonts w:ascii="Times New Roman" w:hAnsi="Times New Roman"/>
          <w:bCs/>
          <w:sz w:val="24"/>
          <w:szCs w:val="24"/>
        </w:rPr>
        <w:t xml:space="preserve">Effect of </w:t>
      </w:r>
      <w:r>
        <w:rPr>
          <w:rFonts w:ascii="Times New Roman" w:hAnsi="Times New Roman"/>
          <w:bCs/>
          <w:i/>
          <w:sz w:val="24"/>
          <w:szCs w:val="24"/>
        </w:rPr>
        <w:t>Pterocarpus santalinoides</w:t>
      </w:r>
      <w:r>
        <w:rPr>
          <w:rFonts w:ascii="Times New Roman" w:hAnsi="Times New Roman"/>
          <w:bCs/>
          <w:sz w:val="24"/>
          <w:szCs w:val="24"/>
        </w:rPr>
        <w:t xml:space="preserve"> Leaf </w:t>
      </w:r>
      <w:r>
        <w:rPr>
          <w:rFonts w:ascii="Times New Roman" w:hAnsi="Times New Roman"/>
          <w:sz w:val="24"/>
          <w:szCs w:val="24"/>
        </w:rPr>
        <w:t xml:space="preserve">Diet </w:t>
      </w:r>
      <w:r>
        <w:rPr>
          <w:rFonts w:ascii="Times New Roman" w:hAnsi="Times New Roman"/>
          <w:bCs/>
          <w:sz w:val="24"/>
          <w:szCs w:val="24"/>
        </w:rPr>
        <w:t>on Selected Kidney Function Indices and Some Antioxidant Enzymes in Wistar Rats Exposed to Cadmium.</w:t>
      </w:r>
    </w:p>
    <w:p w14:paraId="7D6389F9" w14:textId="77777777" w:rsidR="001D5755" w:rsidRPr="001D5755" w:rsidRDefault="001D5755" w:rsidP="001D5755">
      <w:pPr>
        <w:spacing w:line="480" w:lineRule="auto"/>
        <w:ind w:firstLine="720"/>
        <w:jc w:val="both"/>
        <w:rPr>
          <w:rFonts w:asciiTheme="minorHAnsi" w:hAnsiTheme="minorHAnsi" w:cstheme="minorBidi"/>
          <w:sz w:val="24"/>
          <w:szCs w:val="24"/>
        </w:rPr>
      </w:pPr>
      <w:r>
        <w:rPr>
          <w:rFonts w:ascii="Times New Roman" w:hAnsi="Times New Roman"/>
          <w:sz w:val="24"/>
          <w:szCs w:val="24"/>
        </w:rPr>
        <w:t xml:space="preserve">The effect of </w:t>
      </w:r>
      <w:r>
        <w:rPr>
          <w:rFonts w:ascii="Times New Roman" w:hAnsi="Times New Roman"/>
          <w:i/>
          <w:sz w:val="24"/>
          <w:szCs w:val="24"/>
        </w:rPr>
        <w:t>Pterocarpus santalinoides</w:t>
      </w:r>
      <w:r>
        <w:rPr>
          <w:rFonts w:ascii="Times New Roman" w:hAnsi="Times New Roman"/>
          <w:sz w:val="24"/>
          <w:szCs w:val="24"/>
        </w:rPr>
        <w:t xml:space="preserve"> leaf diet on kidney function indices and </w:t>
      </w:r>
      <w:r>
        <w:rPr>
          <w:rFonts w:ascii="Times New Roman" w:hAnsi="Times New Roman"/>
          <w:bCs/>
          <w:sz w:val="24"/>
          <w:szCs w:val="24"/>
        </w:rPr>
        <w:t>se</w:t>
      </w:r>
      <w:r>
        <w:rPr>
          <w:rFonts w:ascii="Times New Roman" w:hAnsi="Times New Roman"/>
          <w:b/>
          <w:bCs/>
          <w:sz w:val="24"/>
          <w:szCs w:val="24"/>
          <w:highlight w:val="yellow"/>
        </w:rPr>
        <w:t>lected</w:t>
      </w:r>
      <w:r>
        <w:rPr>
          <w:rFonts w:ascii="Times New Roman" w:hAnsi="Times New Roman"/>
          <w:b/>
          <w:bCs/>
          <w:sz w:val="24"/>
          <w:szCs w:val="24"/>
        </w:rPr>
        <w:t xml:space="preserve"> </w:t>
      </w:r>
      <w:r>
        <w:rPr>
          <w:rFonts w:ascii="Times New Roman" w:hAnsi="Times New Roman"/>
          <w:bCs/>
          <w:sz w:val="24"/>
          <w:szCs w:val="24"/>
        </w:rPr>
        <w:t>antioxidant enzymes</w:t>
      </w:r>
      <w:r>
        <w:rPr>
          <w:rFonts w:ascii="Times New Roman" w:hAnsi="Times New Roman"/>
          <w:sz w:val="24"/>
          <w:szCs w:val="24"/>
        </w:rPr>
        <w:t xml:space="preserve"> </w:t>
      </w:r>
      <w:r>
        <w:rPr>
          <w:rFonts w:ascii="Times New Roman" w:hAnsi="Times New Roman"/>
          <w:sz w:val="24"/>
          <w:szCs w:val="24"/>
          <w:highlight w:val="yellow"/>
        </w:rPr>
        <w:t>in</w:t>
      </w:r>
      <w:r>
        <w:rPr>
          <w:rFonts w:ascii="Times New Roman" w:hAnsi="Times New Roman"/>
          <w:sz w:val="24"/>
          <w:szCs w:val="24"/>
        </w:rPr>
        <w:t xml:space="preserve"> cadmium-exposed Wistar rats is presented in Table 1. The parameters evaluated were serum urea and creatinine concentrations, which are important indicators of renal function. The results showed that the negative control group recorded the highest urea concentration (8.86 ± 0.57 mmol/L), which was significantly higher (p &lt; 0.05) than the values observed in all treatment groups and the normal control. This elevation suggests that </w:t>
      </w:r>
      <w:r>
        <w:rPr>
          <w:rFonts w:ascii="Times New Roman" w:hAnsi="Times New Roman"/>
          <w:sz w:val="24"/>
          <w:szCs w:val="24"/>
          <w:highlight w:val="yellow"/>
        </w:rPr>
        <w:t xml:space="preserve">cadmium </w:t>
      </w:r>
      <w:r>
        <w:rPr>
          <w:rFonts w:ascii="Times New Roman" w:hAnsi="Times New Roman"/>
          <w:sz w:val="24"/>
          <w:szCs w:val="24"/>
        </w:rPr>
        <w:t xml:space="preserve">exposure adversely affected renal function, resulting in impaired excretion of nitrogenous waste products and subsequent accumulation of urea in the blood. </w:t>
      </w:r>
      <w:r>
        <w:rPr>
          <w:rFonts w:ascii="Times New Roman" w:hAnsi="Times New Roman"/>
          <w:sz w:val="24"/>
          <w:szCs w:val="24"/>
          <w:highlight w:val="yellow"/>
        </w:rPr>
        <w:t>A</w:t>
      </w:r>
      <w:r>
        <w:rPr>
          <w:rFonts w:ascii="Times New Roman" w:hAnsi="Times New Roman"/>
          <w:sz w:val="24"/>
          <w:szCs w:val="24"/>
        </w:rPr>
        <w:t>dministration of</w:t>
      </w:r>
      <w:r>
        <w:rPr>
          <w:rFonts w:ascii="Times New Roman" w:hAnsi="Times New Roman"/>
          <w:sz w:val="24"/>
          <w:szCs w:val="24"/>
          <w:highlight w:val="yellow"/>
        </w:rPr>
        <w:t xml:space="preserve"> the</w:t>
      </w:r>
      <w:r>
        <w:rPr>
          <w:rFonts w:ascii="Times New Roman" w:hAnsi="Times New Roman"/>
          <w:sz w:val="24"/>
          <w:szCs w:val="24"/>
        </w:rPr>
        <w:t xml:space="preserve"> </w:t>
      </w:r>
      <w:r>
        <w:rPr>
          <w:rFonts w:ascii="Times New Roman" w:hAnsi="Times New Roman"/>
          <w:i/>
          <w:sz w:val="24"/>
          <w:szCs w:val="24"/>
        </w:rPr>
        <w:t>Pterocarpus santalinoides</w:t>
      </w:r>
      <w:r>
        <w:rPr>
          <w:rFonts w:ascii="Times New Roman" w:hAnsi="Times New Roman"/>
          <w:sz w:val="24"/>
          <w:szCs w:val="24"/>
        </w:rPr>
        <w:t xml:space="preserve"> leaf diet resulted in a dose-dependent reduction in serum urea levels. The low-dose group </w:t>
      </w:r>
      <w:r>
        <w:rPr>
          <w:rFonts w:ascii="Times New Roman" w:hAnsi="Times New Roman"/>
          <w:i/>
          <w:sz w:val="24"/>
          <w:szCs w:val="24"/>
        </w:rPr>
        <w:t>(PS1)</w:t>
      </w:r>
      <w:r>
        <w:rPr>
          <w:rFonts w:ascii="Times New Roman" w:hAnsi="Times New Roman"/>
          <w:sz w:val="24"/>
          <w:szCs w:val="24"/>
        </w:rPr>
        <w:t xml:space="preserve"> recorded a urea value of 6.10 ± 0.42 mmol/L, while the medium-dose group </w:t>
      </w:r>
      <w:r>
        <w:rPr>
          <w:rFonts w:ascii="Times New Roman" w:hAnsi="Times New Roman"/>
          <w:i/>
          <w:sz w:val="24"/>
          <w:szCs w:val="24"/>
        </w:rPr>
        <w:t>(PS2)</w:t>
      </w:r>
      <w:r>
        <w:rPr>
          <w:rFonts w:ascii="Times New Roman" w:hAnsi="Times New Roman"/>
          <w:sz w:val="24"/>
          <w:szCs w:val="24"/>
        </w:rPr>
        <w:t xml:space="preserve"> had a lower value of 5.24 ± 0.38 mmol/L. The high-dose group </w:t>
      </w:r>
      <w:r>
        <w:rPr>
          <w:rFonts w:ascii="Times New Roman" w:hAnsi="Times New Roman"/>
          <w:i/>
          <w:sz w:val="24"/>
          <w:szCs w:val="24"/>
        </w:rPr>
        <w:t>(PS3)</w:t>
      </w:r>
      <w:r>
        <w:rPr>
          <w:rFonts w:ascii="Times New Roman" w:hAnsi="Times New Roman"/>
          <w:sz w:val="24"/>
          <w:szCs w:val="24"/>
        </w:rPr>
        <w:t xml:space="preserve"> exhibited a further reduction to 4.42 ± 0.31 mmol/L. These progressive decreases indicate that </w:t>
      </w:r>
      <w:r>
        <w:rPr>
          <w:rFonts w:ascii="Times New Roman" w:hAnsi="Times New Roman"/>
          <w:sz w:val="24"/>
          <w:szCs w:val="24"/>
        </w:rPr>
        <w:lastRenderedPageBreak/>
        <w:t xml:space="preserve">increasing doses of the </w:t>
      </w:r>
      <w:r>
        <w:rPr>
          <w:rFonts w:ascii="Times New Roman" w:hAnsi="Times New Roman"/>
          <w:bCs/>
          <w:sz w:val="24"/>
          <w:szCs w:val="24"/>
        </w:rPr>
        <w:t xml:space="preserve">leaf diet </w:t>
      </w:r>
      <w:r>
        <w:rPr>
          <w:rFonts w:ascii="Times New Roman" w:hAnsi="Times New Roman"/>
          <w:sz w:val="24"/>
          <w:szCs w:val="24"/>
        </w:rPr>
        <w:t xml:space="preserve">improved the ability of the kidneys to eliminate metabolic waste products. The urea concentration in the high-dose group was close to that of the normal control group (3.92 ± 0.28 mmol/L), suggesting </w:t>
      </w:r>
      <w:r>
        <w:rPr>
          <w:rFonts w:ascii="Times New Roman" w:hAnsi="Times New Roman"/>
          <w:sz w:val="24"/>
          <w:szCs w:val="24"/>
          <w:highlight w:val="yellow"/>
        </w:rPr>
        <w:t>improveme</w:t>
      </w:r>
      <w:r>
        <w:rPr>
          <w:rFonts w:ascii="Times New Roman" w:hAnsi="Times New Roman"/>
          <w:sz w:val="24"/>
          <w:szCs w:val="24"/>
        </w:rPr>
        <w:t>nt</w:t>
      </w:r>
      <w:r>
        <w:rPr>
          <w:rFonts w:ascii="Times New Roman" w:hAnsi="Times New Roman"/>
          <w:sz w:val="24"/>
          <w:szCs w:val="24"/>
          <w:highlight w:val="yellow"/>
        </w:rPr>
        <w:t xml:space="preserve"> </w:t>
      </w:r>
      <w:r>
        <w:rPr>
          <w:rFonts w:ascii="Times New Roman" w:hAnsi="Times New Roman"/>
          <w:sz w:val="24"/>
          <w:szCs w:val="24"/>
        </w:rPr>
        <w:t xml:space="preserve">in renal function following treatment with the </w:t>
      </w:r>
      <w:r>
        <w:rPr>
          <w:rFonts w:ascii="Times New Roman" w:hAnsi="Times New Roman"/>
          <w:bCs/>
          <w:sz w:val="24"/>
          <w:szCs w:val="24"/>
        </w:rPr>
        <w:t>leaf diet</w:t>
      </w:r>
      <w:r>
        <w:rPr>
          <w:rFonts w:ascii="Times New Roman" w:hAnsi="Times New Roman"/>
          <w:sz w:val="24"/>
          <w:szCs w:val="24"/>
        </w:rPr>
        <w:t>. A similar pattern was observed for serum creatinine levels. The negative control group recorded the highest creatinine concentration (1.26 ± 0.08 mg/dL), which was significantly different (p &lt; 0.05) from th</w:t>
      </w:r>
      <w:r>
        <w:rPr>
          <w:rFonts w:ascii="Times New Roman" w:hAnsi="Times New Roman"/>
          <w:sz w:val="24"/>
          <w:szCs w:val="24"/>
          <w:highlight w:val="yellow"/>
        </w:rPr>
        <w:t>ose of th</w:t>
      </w:r>
      <w:r>
        <w:rPr>
          <w:rFonts w:ascii="Times New Roman" w:hAnsi="Times New Roman"/>
          <w:sz w:val="24"/>
          <w:szCs w:val="24"/>
        </w:rPr>
        <w:t>e treated groups and</w:t>
      </w:r>
      <w:r>
        <w:rPr>
          <w:rFonts w:ascii="Times New Roman" w:hAnsi="Times New Roman"/>
          <w:sz w:val="24"/>
          <w:szCs w:val="24"/>
          <w:highlight w:val="yellow"/>
        </w:rPr>
        <w:t xml:space="preserve"> the</w:t>
      </w:r>
      <w:r>
        <w:rPr>
          <w:rFonts w:ascii="Times New Roman" w:hAnsi="Times New Roman"/>
          <w:sz w:val="24"/>
          <w:szCs w:val="24"/>
        </w:rPr>
        <w:t xml:space="preserve"> normal control. Elevated creatinine levels are generally associated with reduced glomerular filtration efficiency and impaired kidney function. The negative control group</w:t>
      </w:r>
      <w:r>
        <w:rPr>
          <w:rFonts w:ascii="Times New Roman" w:hAnsi="Times New Roman"/>
          <w:sz w:val="24"/>
          <w:szCs w:val="24"/>
          <w:highlight w:val="yellow"/>
        </w:rPr>
        <w:t xml:space="preserve"> also</w:t>
      </w:r>
      <w:r>
        <w:rPr>
          <w:rFonts w:ascii="Times New Roman" w:hAnsi="Times New Roman"/>
          <w:sz w:val="24"/>
          <w:szCs w:val="24"/>
        </w:rPr>
        <w:t xml:space="preserve"> recorded the lowest SOD activity (10.2 ± 0.9 U/mg protein), which was significantly lower (p &lt; 0.05) than the values obtained in the treatment groups and</w:t>
      </w:r>
      <w:r>
        <w:rPr>
          <w:rFonts w:ascii="Times New Roman" w:hAnsi="Times New Roman"/>
          <w:sz w:val="24"/>
          <w:szCs w:val="24"/>
          <w:highlight w:val="yellow"/>
        </w:rPr>
        <w:t xml:space="preserve"> the</w:t>
      </w:r>
      <w:r>
        <w:rPr>
          <w:rFonts w:ascii="Times New Roman" w:hAnsi="Times New Roman"/>
          <w:sz w:val="24"/>
          <w:szCs w:val="24"/>
        </w:rPr>
        <w:t xml:space="preserve"> normal control. The reduction in SOD activity suggests that cadmium exposure induced oxidative stress, leading to depletion of endogenous antioxidant defen</w:t>
      </w:r>
      <w:r>
        <w:rPr>
          <w:rFonts w:ascii="Times New Roman" w:hAnsi="Times New Roman"/>
          <w:sz w:val="24"/>
          <w:szCs w:val="24"/>
          <w:highlight w:val="yellow"/>
        </w:rPr>
        <w:t>c</w:t>
      </w:r>
      <w:r>
        <w:rPr>
          <w:rFonts w:ascii="Times New Roman" w:hAnsi="Times New Roman"/>
          <w:sz w:val="24"/>
          <w:szCs w:val="24"/>
        </w:rPr>
        <w:t xml:space="preserve">es. Since SOD plays a critical role in converting superoxide radicals into less harmful molecules, decreased activity indicates an increased burden of reactive oxygen species within the tissues. Treatment with </w:t>
      </w:r>
      <w:r>
        <w:rPr>
          <w:rFonts w:ascii="Times New Roman" w:hAnsi="Times New Roman"/>
          <w:i/>
          <w:sz w:val="24"/>
          <w:szCs w:val="24"/>
          <w:highlight w:val="yellow"/>
        </w:rPr>
        <w:t xml:space="preserve">the </w:t>
      </w:r>
      <w:r>
        <w:rPr>
          <w:rFonts w:ascii="Times New Roman" w:hAnsi="Times New Roman"/>
          <w:i/>
          <w:sz w:val="24"/>
          <w:szCs w:val="24"/>
        </w:rPr>
        <w:t>Pterocarpus santalinoides</w:t>
      </w:r>
      <w:r>
        <w:rPr>
          <w:rFonts w:ascii="Times New Roman" w:hAnsi="Times New Roman"/>
          <w:sz w:val="24"/>
          <w:szCs w:val="24"/>
        </w:rPr>
        <w:t xml:space="preserve"> leaf diet produced significant increases in SOD activity in a dose-dependent manner. The low-dose group </w:t>
      </w:r>
      <w:r>
        <w:rPr>
          <w:rFonts w:ascii="Times New Roman" w:hAnsi="Times New Roman"/>
          <w:i/>
          <w:sz w:val="24"/>
          <w:szCs w:val="24"/>
        </w:rPr>
        <w:t>(PS1)</w:t>
      </w:r>
      <w:r>
        <w:rPr>
          <w:rFonts w:ascii="Times New Roman" w:hAnsi="Times New Roman"/>
          <w:sz w:val="24"/>
          <w:szCs w:val="24"/>
        </w:rPr>
        <w:t xml:space="preserve"> recorded an SOD activity of 18.6 ± 1.5 U/mg protein, while the medium-dose group </w:t>
      </w:r>
      <w:r>
        <w:rPr>
          <w:rFonts w:ascii="Times New Roman" w:hAnsi="Times New Roman"/>
          <w:i/>
          <w:sz w:val="24"/>
          <w:szCs w:val="24"/>
        </w:rPr>
        <w:t>(PS2)</w:t>
      </w:r>
      <w:r>
        <w:rPr>
          <w:rFonts w:ascii="Times New Roman" w:hAnsi="Times New Roman"/>
          <w:sz w:val="24"/>
          <w:szCs w:val="24"/>
        </w:rPr>
        <w:t xml:space="preserve"> exhibited a higher value of 23.8 ± 1.8 U/mg protein. The highest activity among the treated groups was observed in the high-dose group </w:t>
      </w:r>
      <w:r>
        <w:rPr>
          <w:rFonts w:ascii="Times New Roman" w:hAnsi="Times New Roman"/>
          <w:i/>
          <w:sz w:val="24"/>
          <w:szCs w:val="24"/>
        </w:rPr>
        <w:t>(PS3)</w:t>
      </w:r>
      <w:r>
        <w:rPr>
          <w:rFonts w:ascii="Times New Roman" w:hAnsi="Times New Roman"/>
          <w:sz w:val="24"/>
          <w:szCs w:val="24"/>
        </w:rPr>
        <w:t xml:space="preserve"> </w:t>
      </w:r>
      <w:r>
        <w:rPr>
          <w:rFonts w:ascii="Times New Roman" w:hAnsi="Times New Roman"/>
          <w:sz w:val="24"/>
          <w:szCs w:val="24"/>
          <w:highlight w:val="yellow"/>
        </w:rPr>
        <w:t xml:space="preserve">at </w:t>
      </w:r>
      <w:r>
        <w:rPr>
          <w:rFonts w:ascii="Times New Roman" w:hAnsi="Times New Roman"/>
          <w:sz w:val="24"/>
          <w:szCs w:val="24"/>
        </w:rPr>
        <w:t>29.4 ± 2.2 U/mg protein. Although this value remained slightly lower than that of the normal control group (31.6 ± 2.4 U/mg protein), i</w:t>
      </w:r>
      <w:r>
        <w:rPr>
          <w:rFonts w:ascii="Times New Roman" w:hAnsi="Times New Roman"/>
          <w:sz w:val="24"/>
          <w:szCs w:val="24"/>
          <w:highlight w:val="yellow"/>
        </w:rPr>
        <w:t>t</w:t>
      </w:r>
      <w:r>
        <w:rPr>
          <w:rFonts w:ascii="Times New Roman" w:hAnsi="Times New Roman"/>
          <w:sz w:val="24"/>
          <w:szCs w:val="24"/>
        </w:rPr>
        <w:t xml:space="preserve"> indicate</w:t>
      </w:r>
      <w:r>
        <w:rPr>
          <w:rFonts w:ascii="Times New Roman" w:hAnsi="Times New Roman"/>
          <w:sz w:val="24"/>
          <w:szCs w:val="24"/>
          <w:highlight w:val="yellow"/>
        </w:rPr>
        <w:t>d</w:t>
      </w:r>
      <w:r>
        <w:rPr>
          <w:rFonts w:ascii="Times New Roman" w:hAnsi="Times New Roman"/>
          <w:sz w:val="24"/>
          <w:szCs w:val="24"/>
        </w:rPr>
        <w:t xml:space="preserve"> substantial </w:t>
      </w:r>
      <w:r>
        <w:rPr>
          <w:rFonts w:ascii="Times New Roman" w:hAnsi="Times New Roman"/>
          <w:sz w:val="24"/>
          <w:szCs w:val="24"/>
          <w:highlight w:val="yellow"/>
        </w:rPr>
        <w:t>imp</w:t>
      </w:r>
      <w:r>
        <w:rPr>
          <w:rFonts w:ascii="Times New Roman" w:hAnsi="Times New Roman"/>
          <w:sz w:val="24"/>
          <w:szCs w:val="24"/>
        </w:rPr>
        <w:t>r</w:t>
      </w:r>
      <w:r>
        <w:rPr>
          <w:rFonts w:ascii="Times New Roman" w:hAnsi="Times New Roman"/>
          <w:sz w:val="24"/>
          <w:szCs w:val="24"/>
          <w:highlight w:val="yellow"/>
        </w:rPr>
        <w:t>ov</w:t>
      </w:r>
      <w:r>
        <w:rPr>
          <w:rFonts w:ascii="Times New Roman" w:hAnsi="Times New Roman"/>
          <w:sz w:val="24"/>
          <w:szCs w:val="24"/>
        </w:rPr>
        <w:t>e</w:t>
      </w:r>
      <w:r>
        <w:rPr>
          <w:rFonts w:ascii="Times New Roman" w:hAnsi="Times New Roman"/>
          <w:sz w:val="24"/>
          <w:szCs w:val="24"/>
          <w:highlight w:val="yellow"/>
        </w:rPr>
        <w:t>men</w:t>
      </w:r>
      <w:r>
        <w:rPr>
          <w:rFonts w:ascii="Times New Roman" w:hAnsi="Times New Roman"/>
          <w:sz w:val="24"/>
          <w:szCs w:val="24"/>
        </w:rPr>
        <w:t>t</w:t>
      </w:r>
      <w:r>
        <w:rPr>
          <w:rFonts w:ascii="Times New Roman" w:hAnsi="Times New Roman"/>
          <w:sz w:val="24"/>
          <w:szCs w:val="24"/>
          <w:highlight w:val="yellow"/>
        </w:rPr>
        <w:t xml:space="preserve"> </w:t>
      </w:r>
      <w:r>
        <w:rPr>
          <w:rFonts w:ascii="Times New Roman" w:hAnsi="Times New Roman"/>
          <w:sz w:val="24"/>
          <w:szCs w:val="24"/>
        </w:rPr>
        <w:t>in antioxidant defen</w:t>
      </w:r>
      <w:r>
        <w:rPr>
          <w:rFonts w:ascii="Times New Roman" w:hAnsi="Times New Roman"/>
          <w:sz w:val="24"/>
          <w:szCs w:val="24"/>
          <w:highlight w:val="yellow"/>
        </w:rPr>
        <w:t>c</w:t>
      </w:r>
      <w:r>
        <w:rPr>
          <w:rFonts w:ascii="Times New Roman" w:hAnsi="Times New Roman"/>
          <w:sz w:val="24"/>
          <w:szCs w:val="24"/>
        </w:rPr>
        <w:t xml:space="preserve">e following administration of the </w:t>
      </w:r>
      <w:r>
        <w:rPr>
          <w:rFonts w:ascii="Times New Roman" w:hAnsi="Times New Roman"/>
          <w:bCs/>
          <w:sz w:val="24"/>
          <w:szCs w:val="24"/>
        </w:rPr>
        <w:t>leaf diet</w:t>
      </w:r>
      <w:r>
        <w:rPr>
          <w:rFonts w:ascii="Times New Roman" w:hAnsi="Times New Roman"/>
          <w:sz w:val="24"/>
          <w:szCs w:val="24"/>
        </w:rPr>
        <w:t xml:space="preserve">. Catalase activity followed a similar trend. The negative control group recorded the lowest catalase activity (21.3 ± 1.8 U/mg protein), suggesting severe oxidative stress and </w:t>
      </w:r>
      <w:r>
        <w:rPr>
          <w:rFonts w:ascii="Times New Roman" w:hAnsi="Times New Roman"/>
          <w:sz w:val="24"/>
          <w:szCs w:val="24"/>
          <w:highlight w:val="yellow"/>
        </w:rPr>
        <w:t xml:space="preserve">a </w:t>
      </w:r>
      <w:r>
        <w:rPr>
          <w:rFonts w:ascii="Times New Roman" w:hAnsi="Times New Roman"/>
          <w:sz w:val="24"/>
          <w:szCs w:val="24"/>
        </w:rPr>
        <w:t xml:space="preserve">reduced capacity to detoxify hydrogen peroxide generated during cellular metabolism. The reduced catalase activity observed in this group further </w:t>
      </w:r>
      <w:r>
        <w:rPr>
          <w:rFonts w:ascii="Times New Roman" w:hAnsi="Times New Roman"/>
          <w:sz w:val="24"/>
          <w:szCs w:val="24"/>
          <w:highlight w:val="yellow"/>
        </w:rPr>
        <w:t>supp</w:t>
      </w:r>
      <w:r>
        <w:rPr>
          <w:rFonts w:ascii="Times New Roman" w:hAnsi="Times New Roman"/>
          <w:sz w:val="24"/>
          <w:szCs w:val="24"/>
        </w:rPr>
        <w:t>or</w:t>
      </w:r>
      <w:r>
        <w:rPr>
          <w:rFonts w:ascii="Times New Roman" w:hAnsi="Times New Roman"/>
          <w:sz w:val="24"/>
          <w:szCs w:val="24"/>
          <w:highlight w:val="yellow"/>
        </w:rPr>
        <w:t>t</w:t>
      </w:r>
      <w:r>
        <w:rPr>
          <w:rFonts w:ascii="Times New Roman" w:hAnsi="Times New Roman"/>
          <w:sz w:val="24"/>
          <w:szCs w:val="24"/>
        </w:rPr>
        <w:t xml:space="preserve">s the oxidative damage </w:t>
      </w:r>
      <w:r>
        <w:rPr>
          <w:rFonts w:ascii="Times New Roman" w:hAnsi="Times New Roman"/>
          <w:sz w:val="24"/>
          <w:szCs w:val="24"/>
          <w:highlight w:val="yellow"/>
        </w:rPr>
        <w:t>assoc</w:t>
      </w:r>
      <w:r>
        <w:rPr>
          <w:rFonts w:ascii="Times New Roman" w:hAnsi="Times New Roman"/>
          <w:sz w:val="24"/>
          <w:szCs w:val="24"/>
        </w:rPr>
        <w:t>i</w:t>
      </w:r>
      <w:r>
        <w:rPr>
          <w:rFonts w:ascii="Times New Roman" w:hAnsi="Times New Roman"/>
          <w:sz w:val="24"/>
          <w:szCs w:val="24"/>
          <w:highlight w:val="yellow"/>
        </w:rPr>
        <w:t>at</w:t>
      </w:r>
      <w:r>
        <w:rPr>
          <w:rFonts w:ascii="Times New Roman" w:hAnsi="Times New Roman"/>
          <w:sz w:val="24"/>
          <w:szCs w:val="24"/>
        </w:rPr>
        <w:t xml:space="preserve">ed </w:t>
      </w:r>
      <w:r>
        <w:rPr>
          <w:rFonts w:ascii="Times New Roman" w:hAnsi="Times New Roman"/>
          <w:sz w:val="24"/>
          <w:szCs w:val="24"/>
          <w:highlight w:val="yellow"/>
        </w:rPr>
        <w:t>with</w:t>
      </w:r>
      <w:r>
        <w:rPr>
          <w:rFonts w:ascii="Times New Roman" w:hAnsi="Times New Roman"/>
          <w:sz w:val="24"/>
          <w:szCs w:val="24"/>
        </w:rPr>
        <w:t xml:space="preserve"> cadmium exposure. Administration of</w:t>
      </w:r>
      <w:r>
        <w:rPr>
          <w:rFonts w:ascii="Times New Roman" w:hAnsi="Times New Roman"/>
          <w:sz w:val="24"/>
          <w:szCs w:val="24"/>
          <w:highlight w:val="yellow"/>
        </w:rPr>
        <w:t xml:space="preserve"> the</w:t>
      </w:r>
      <w:r>
        <w:rPr>
          <w:rFonts w:ascii="Times New Roman" w:hAnsi="Times New Roman"/>
          <w:sz w:val="24"/>
          <w:szCs w:val="24"/>
        </w:rPr>
        <w:t xml:space="preserve"> </w:t>
      </w:r>
      <w:r>
        <w:rPr>
          <w:rFonts w:ascii="Times New Roman" w:hAnsi="Times New Roman"/>
          <w:i/>
          <w:sz w:val="24"/>
          <w:szCs w:val="24"/>
        </w:rPr>
        <w:t>Pterocarpus santalinoides</w:t>
      </w:r>
      <w:r>
        <w:rPr>
          <w:rFonts w:ascii="Times New Roman" w:hAnsi="Times New Roman"/>
          <w:sz w:val="24"/>
          <w:szCs w:val="24"/>
        </w:rPr>
        <w:t xml:space="preserve"> leaf diet significantly increased catalase activity across all treatment groups. The low-dose group recorded a catalase activity of 32.4 ± 2.6 U/mg protein, representing an improvement over the negative control. Further increases were observed in the medium-dose group (40.6 ± 3.1 U/mg protein) and </w:t>
      </w:r>
      <w:r>
        <w:rPr>
          <w:rFonts w:ascii="Times New Roman" w:hAnsi="Times New Roman"/>
          <w:sz w:val="24"/>
          <w:szCs w:val="24"/>
          <w:highlight w:val="yellow"/>
        </w:rPr>
        <w:t xml:space="preserve">the </w:t>
      </w:r>
      <w:r>
        <w:rPr>
          <w:rFonts w:ascii="Times New Roman" w:hAnsi="Times New Roman"/>
          <w:sz w:val="24"/>
          <w:szCs w:val="24"/>
        </w:rPr>
        <w:t>high-dose group (48.8 ± 3.5 U/mg protein).</w:t>
      </w:r>
    </w:p>
    <w:p w14:paraId="6EB11522" w14:textId="77777777" w:rsidR="001D5755" w:rsidRDefault="001D5755" w:rsidP="001D5755">
      <w:pPr>
        <w:spacing w:line="480" w:lineRule="auto"/>
        <w:rPr>
          <w:rFonts w:ascii="Times New Roman" w:hAnsi="Times New Roman"/>
          <w:b/>
          <w:sz w:val="24"/>
          <w:szCs w:val="24"/>
        </w:rPr>
      </w:pPr>
      <w:bookmarkStart w:id="0" w:name="_Hlk238649272"/>
      <w:bookmarkEnd w:id="0"/>
      <w:r>
        <w:rPr>
          <w:rFonts w:ascii="Times New Roman" w:hAnsi="Times New Roman"/>
          <w:sz w:val="24"/>
          <w:szCs w:val="24"/>
        </w:rPr>
        <w:lastRenderedPageBreak/>
        <w:t>Table 2:</w:t>
      </w:r>
      <w:r>
        <w:rPr>
          <w:rFonts w:ascii="Times New Roman" w:hAnsi="Times New Roman"/>
          <w:b/>
          <w:sz w:val="24"/>
          <w:szCs w:val="24"/>
        </w:rPr>
        <w:t xml:space="preserve"> </w:t>
      </w:r>
      <w:r>
        <w:rPr>
          <w:rFonts w:ascii="Times New Roman" w:hAnsi="Times New Roman"/>
          <w:sz w:val="24"/>
          <w:szCs w:val="24"/>
        </w:rPr>
        <w:t xml:space="preserve">Effect of </w:t>
      </w:r>
      <w:r>
        <w:rPr>
          <w:rFonts w:ascii="Times New Roman" w:hAnsi="Times New Roman"/>
          <w:bCs/>
          <w:i/>
          <w:iCs/>
          <w:sz w:val="24"/>
          <w:szCs w:val="24"/>
        </w:rPr>
        <w:t xml:space="preserve">Pterocarpus santalinoides </w:t>
      </w:r>
      <w:r>
        <w:rPr>
          <w:rFonts w:ascii="Times New Roman" w:hAnsi="Times New Roman"/>
          <w:sz w:val="24"/>
          <w:szCs w:val="24"/>
        </w:rPr>
        <w:t>Leaf Diet On some Haematological Indices in Wistar rats Exposed to Cadmium</w:t>
      </w:r>
    </w:p>
    <w:tbl>
      <w:tblPr>
        <w:tblStyle w:val="TableGrid"/>
        <w:tblW w:w="9026"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508"/>
        <w:gridCol w:w="1498"/>
        <w:gridCol w:w="1520"/>
        <w:gridCol w:w="1508"/>
        <w:gridCol w:w="1402"/>
        <w:gridCol w:w="1590"/>
      </w:tblGrid>
      <w:tr w:rsidR="001D5755" w14:paraId="75775C1E" w14:textId="77777777" w:rsidTr="001D5755">
        <w:trPr>
          <w:trHeight w:val="653"/>
        </w:trPr>
        <w:tc>
          <w:tcPr>
            <w:tcW w:w="1548" w:type="dxa"/>
            <w:tcBorders>
              <w:top w:val="single" w:sz="4" w:space="0" w:color="auto"/>
              <w:left w:val="nil"/>
              <w:bottom w:val="single" w:sz="4" w:space="0" w:color="auto"/>
              <w:right w:val="nil"/>
            </w:tcBorders>
            <w:vAlign w:val="center"/>
            <w:hideMark/>
          </w:tcPr>
          <w:p w14:paraId="1A84A6F9" w14:textId="77777777" w:rsidR="001D5755" w:rsidRDefault="001D5755">
            <w:pPr>
              <w:jc w:val="center"/>
              <w:rPr>
                <w:rFonts w:ascii="Times New Roman" w:eastAsia="Times New Roman" w:hAnsi="Times New Roman"/>
                <w:sz w:val="24"/>
                <w:szCs w:val="24"/>
              </w:rPr>
            </w:pPr>
            <w:r>
              <w:rPr>
                <w:rFonts w:ascii="Times New Roman" w:eastAsia="Times New Roman" w:hAnsi="Times New Roman"/>
                <w:b/>
                <w:bCs/>
                <w:sz w:val="24"/>
                <w:szCs w:val="24"/>
              </w:rPr>
              <w:t>Groups</w:t>
            </w:r>
          </w:p>
        </w:tc>
        <w:tc>
          <w:tcPr>
            <w:tcW w:w="1541" w:type="dxa"/>
            <w:tcBorders>
              <w:top w:val="single" w:sz="4" w:space="0" w:color="auto"/>
              <w:left w:val="nil"/>
              <w:bottom w:val="single" w:sz="4" w:space="0" w:color="auto"/>
              <w:right w:val="nil"/>
            </w:tcBorders>
            <w:vAlign w:val="center"/>
            <w:hideMark/>
          </w:tcPr>
          <w:p w14:paraId="6E066E67"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WBC </w:t>
            </w:r>
          </w:p>
          <w:p w14:paraId="07C65E5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4.0 ± 17.8</w:t>
            </w:r>
          </w:p>
          <w:p w14:paraId="601E8320"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(×10⁹/L)</w:t>
            </w:r>
          </w:p>
        </w:tc>
        <w:tc>
          <w:tcPr>
            <w:tcW w:w="1558" w:type="dxa"/>
            <w:tcBorders>
              <w:top w:val="single" w:sz="4" w:space="0" w:color="auto"/>
              <w:left w:val="nil"/>
              <w:bottom w:val="single" w:sz="4" w:space="0" w:color="auto"/>
              <w:right w:val="nil"/>
            </w:tcBorders>
            <w:vAlign w:val="center"/>
            <w:hideMark/>
          </w:tcPr>
          <w:p w14:paraId="0D995A10"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RBC </w:t>
            </w:r>
          </w:p>
          <w:p w14:paraId="4F20DFD1"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5.79 ± 9.25</w:t>
            </w:r>
          </w:p>
          <w:p w14:paraId="3B37441F"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(×10¹²/L)</w:t>
            </w:r>
          </w:p>
        </w:tc>
        <w:tc>
          <w:tcPr>
            <w:tcW w:w="1549" w:type="dxa"/>
            <w:tcBorders>
              <w:top w:val="single" w:sz="4" w:space="0" w:color="auto"/>
              <w:left w:val="nil"/>
              <w:bottom w:val="single" w:sz="4" w:space="0" w:color="auto"/>
              <w:right w:val="nil"/>
            </w:tcBorders>
            <w:vAlign w:val="center"/>
            <w:hideMark/>
          </w:tcPr>
          <w:p w14:paraId="523D2204"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 xml:space="preserve">Platelets </w:t>
            </w:r>
          </w:p>
          <w:p w14:paraId="0E4EDB9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600 ± 1500</w:t>
            </w:r>
          </w:p>
          <w:p w14:paraId="024B8F39"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(×10⁹/L)</w:t>
            </w:r>
          </w:p>
        </w:tc>
        <w:tc>
          <w:tcPr>
            <w:tcW w:w="1468" w:type="dxa"/>
            <w:tcBorders>
              <w:top w:val="single" w:sz="4" w:space="0" w:color="auto"/>
              <w:left w:val="nil"/>
              <w:bottom w:val="single" w:sz="4" w:space="0" w:color="auto"/>
              <w:right w:val="nil"/>
            </w:tcBorders>
            <w:vAlign w:val="center"/>
            <w:hideMark/>
          </w:tcPr>
          <w:p w14:paraId="27C21CE1"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PCV 36-49</w:t>
            </w:r>
          </w:p>
          <w:p w14:paraId="5CDAACCB"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w:t>
            </w:r>
          </w:p>
        </w:tc>
        <w:tc>
          <w:tcPr>
            <w:tcW w:w="1362" w:type="dxa"/>
            <w:tcBorders>
              <w:top w:val="single" w:sz="4" w:space="0" w:color="auto"/>
              <w:left w:val="nil"/>
              <w:bottom w:val="single" w:sz="4" w:space="0" w:color="auto"/>
              <w:right w:val="nil"/>
            </w:tcBorders>
            <w:hideMark/>
          </w:tcPr>
          <w:p w14:paraId="4C23DC69" w14:textId="77777777" w:rsidR="001D5755" w:rsidRDefault="001D5755">
            <w:pPr>
              <w:jc w:val="center"/>
              <w:rPr>
                <w:rFonts w:ascii="Times New Roman" w:eastAsia="Times New Roman" w:hAnsi="Times New Roman"/>
                <w:b/>
                <w:bCs/>
                <w:sz w:val="24"/>
                <w:szCs w:val="24"/>
              </w:rPr>
            </w:pPr>
            <w:proofErr w:type="spellStart"/>
            <w:r>
              <w:rPr>
                <w:rFonts w:ascii="Times New Roman" w:eastAsia="Times New Roman" w:hAnsi="Times New Roman"/>
                <w:b/>
                <w:bCs/>
                <w:sz w:val="24"/>
                <w:szCs w:val="24"/>
              </w:rPr>
              <w:t>Haemoglobin</w:t>
            </w:r>
            <w:proofErr w:type="spellEnd"/>
          </w:p>
          <w:p w14:paraId="16CB7ADE"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11-18</w:t>
            </w:r>
          </w:p>
          <w:p w14:paraId="17355E82" w14:textId="77777777" w:rsidR="001D5755" w:rsidRDefault="001D5755">
            <w:pPr>
              <w:jc w:val="center"/>
              <w:rPr>
                <w:rFonts w:ascii="Times New Roman" w:eastAsia="Times New Roman" w:hAnsi="Times New Roman"/>
                <w:b/>
                <w:bCs/>
                <w:sz w:val="24"/>
                <w:szCs w:val="24"/>
              </w:rPr>
            </w:pPr>
            <w:r>
              <w:rPr>
                <w:rFonts w:ascii="Times New Roman" w:eastAsia="Times New Roman" w:hAnsi="Times New Roman"/>
                <w:b/>
                <w:bCs/>
                <w:sz w:val="24"/>
                <w:szCs w:val="24"/>
              </w:rPr>
              <w:t>(g/dl)</w:t>
            </w:r>
          </w:p>
        </w:tc>
      </w:tr>
      <w:tr w:rsidR="001D5755" w14:paraId="6F7C35DA" w14:textId="77777777" w:rsidTr="001D5755">
        <w:trPr>
          <w:trHeight w:val="307"/>
        </w:trPr>
        <w:tc>
          <w:tcPr>
            <w:tcW w:w="1548" w:type="dxa"/>
            <w:tcBorders>
              <w:top w:val="single" w:sz="4" w:space="0" w:color="auto"/>
              <w:left w:val="nil"/>
              <w:bottom w:val="nil"/>
              <w:right w:val="nil"/>
            </w:tcBorders>
            <w:vAlign w:val="center"/>
            <w:hideMark/>
          </w:tcPr>
          <w:p w14:paraId="7F15E241"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Low Dose (</w:t>
            </w:r>
            <w:r>
              <w:rPr>
                <w:rFonts w:ascii="Times New Roman" w:eastAsia="Times New Roman" w:hAnsi="Times New Roman"/>
                <w:i/>
                <w:iCs/>
                <w:sz w:val="24"/>
                <w:szCs w:val="24"/>
              </w:rPr>
              <w:t>PS1</w:t>
            </w:r>
            <w:r>
              <w:rPr>
                <w:rFonts w:ascii="Times New Roman" w:eastAsia="Times New Roman" w:hAnsi="Times New Roman"/>
                <w:sz w:val="24"/>
                <w:szCs w:val="24"/>
              </w:rPr>
              <w:t>)</w:t>
            </w:r>
          </w:p>
        </w:tc>
        <w:tc>
          <w:tcPr>
            <w:tcW w:w="1541" w:type="dxa"/>
            <w:tcBorders>
              <w:top w:val="single" w:sz="4" w:space="0" w:color="auto"/>
              <w:left w:val="nil"/>
              <w:bottom w:val="nil"/>
              <w:right w:val="nil"/>
            </w:tcBorders>
            <w:vAlign w:val="center"/>
          </w:tcPr>
          <w:p w14:paraId="0595E575" w14:textId="77777777" w:rsidR="001D5755" w:rsidRDefault="001D5755">
            <w:pPr>
              <w:spacing w:line="360" w:lineRule="auto"/>
              <w:jc w:val="center"/>
              <w:rPr>
                <w:rFonts w:ascii="Times New Roman" w:eastAsia="Times New Roman" w:hAnsi="Times New Roman"/>
                <w:sz w:val="24"/>
                <w:szCs w:val="24"/>
              </w:rPr>
            </w:pPr>
          </w:p>
          <w:p w14:paraId="6290672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7.8 ± 0.6ᶜ</w:t>
            </w:r>
          </w:p>
        </w:tc>
        <w:tc>
          <w:tcPr>
            <w:tcW w:w="1558" w:type="dxa"/>
            <w:tcBorders>
              <w:top w:val="single" w:sz="4" w:space="0" w:color="auto"/>
              <w:left w:val="nil"/>
              <w:bottom w:val="nil"/>
              <w:right w:val="nil"/>
            </w:tcBorders>
            <w:vAlign w:val="center"/>
          </w:tcPr>
          <w:p w14:paraId="58D174F1" w14:textId="77777777" w:rsidR="001D5755" w:rsidRDefault="001D5755">
            <w:pPr>
              <w:spacing w:line="360" w:lineRule="auto"/>
              <w:jc w:val="center"/>
              <w:rPr>
                <w:rFonts w:ascii="Times New Roman" w:eastAsia="Times New Roman" w:hAnsi="Times New Roman"/>
                <w:sz w:val="24"/>
                <w:szCs w:val="24"/>
              </w:rPr>
            </w:pPr>
          </w:p>
          <w:p w14:paraId="7680297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6.1 ± 0.4ᶜ</w:t>
            </w:r>
          </w:p>
        </w:tc>
        <w:tc>
          <w:tcPr>
            <w:tcW w:w="1549" w:type="dxa"/>
            <w:tcBorders>
              <w:top w:val="single" w:sz="4" w:space="0" w:color="auto"/>
              <w:left w:val="nil"/>
              <w:bottom w:val="nil"/>
              <w:right w:val="nil"/>
            </w:tcBorders>
            <w:vAlign w:val="center"/>
          </w:tcPr>
          <w:p w14:paraId="2DC404B0" w14:textId="77777777" w:rsidR="001D5755" w:rsidRDefault="001D5755">
            <w:pPr>
              <w:spacing w:line="360" w:lineRule="auto"/>
              <w:jc w:val="center"/>
              <w:rPr>
                <w:rFonts w:ascii="Times New Roman" w:eastAsia="Times New Roman" w:hAnsi="Times New Roman"/>
                <w:sz w:val="24"/>
                <w:szCs w:val="24"/>
              </w:rPr>
            </w:pPr>
          </w:p>
          <w:p w14:paraId="53F4A5FC"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510 ± 28ᶜ</w:t>
            </w:r>
          </w:p>
        </w:tc>
        <w:tc>
          <w:tcPr>
            <w:tcW w:w="1468" w:type="dxa"/>
            <w:tcBorders>
              <w:top w:val="single" w:sz="4" w:space="0" w:color="auto"/>
              <w:left w:val="nil"/>
              <w:bottom w:val="nil"/>
              <w:right w:val="nil"/>
            </w:tcBorders>
            <w:vAlign w:val="center"/>
          </w:tcPr>
          <w:p w14:paraId="6B908A6A" w14:textId="77777777" w:rsidR="001D5755" w:rsidRDefault="001D5755">
            <w:pPr>
              <w:spacing w:line="360" w:lineRule="auto"/>
              <w:jc w:val="center"/>
              <w:rPr>
                <w:rFonts w:ascii="Times New Roman" w:eastAsia="Times New Roman" w:hAnsi="Times New Roman"/>
                <w:sz w:val="24"/>
                <w:szCs w:val="24"/>
              </w:rPr>
            </w:pPr>
          </w:p>
          <w:p w14:paraId="231AE47E"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38.6 ± 2.1ᶜ</w:t>
            </w:r>
          </w:p>
        </w:tc>
        <w:tc>
          <w:tcPr>
            <w:tcW w:w="1362" w:type="dxa"/>
            <w:tcBorders>
              <w:top w:val="single" w:sz="4" w:space="0" w:color="auto"/>
              <w:left w:val="nil"/>
              <w:bottom w:val="nil"/>
              <w:right w:val="nil"/>
            </w:tcBorders>
          </w:tcPr>
          <w:p w14:paraId="59BC8379" w14:textId="77777777" w:rsidR="001D5755" w:rsidRDefault="001D5755">
            <w:pPr>
              <w:spacing w:line="360" w:lineRule="auto"/>
              <w:jc w:val="center"/>
              <w:rPr>
                <w:rFonts w:ascii="Times New Roman" w:eastAsia="Times New Roman" w:hAnsi="Times New Roman"/>
                <w:sz w:val="24"/>
                <w:szCs w:val="24"/>
              </w:rPr>
            </w:pPr>
          </w:p>
          <w:p w14:paraId="300CA0A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12.8 ± 0.7</w:t>
            </w:r>
            <w:r>
              <w:rPr>
                <w:rFonts w:ascii="Times New Roman" w:eastAsia="Times New Roman" w:hAnsi="Times New Roman"/>
                <w:sz w:val="24"/>
                <w:szCs w:val="24"/>
                <w:vertAlign w:val="superscript"/>
              </w:rPr>
              <w:t>e</w:t>
            </w:r>
          </w:p>
        </w:tc>
      </w:tr>
      <w:tr w:rsidR="001D5755" w14:paraId="55D75FD3" w14:textId="77777777" w:rsidTr="001D5755">
        <w:trPr>
          <w:trHeight w:val="653"/>
        </w:trPr>
        <w:tc>
          <w:tcPr>
            <w:tcW w:w="1548" w:type="dxa"/>
            <w:tcBorders>
              <w:top w:val="nil"/>
              <w:left w:val="nil"/>
              <w:bottom w:val="nil"/>
              <w:right w:val="nil"/>
            </w:tcBorders>
            <w:vAlign w:val="center"/>
            <w:hideMark/>
          </w:tcPr>
          <w:p w14:paraId="0B2AF0D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Medium Dose (</w:t>
            </w:r>
            <w:r>
              <w:rPr>
                <w:rFonts w:ascii="Times New Roman" w:eastAsia="Times New Roman" w:hAnsi="Times New Roman"/>
                <w:i/>
                <w:iCs/>
                <w:sz w:val="24"/>
                <w:szCs w:val="24"/>
              </w:rPr>
              <w:t>PS2</w:t>
            </w:r>
            <w:r>
              <w:rPr>
                <w:rFonts w:ascii="Times New Roman" w:eastAsia="Times New Roman" w:hAnsi="Times New Roman"/>
                <w:sz w:val="24"/>
                <w:szCs w:val="24"/>
              </w:rPr>
              <w:t>)</w:t>
            </w:r>
          </w:p>
        </w:tc>
        <w:tc>
          <w:tcPr>
            <w:tcW w:w="1541" w:type="dxa"/>
            <w:tcBorders>
              <w:top w:val="nil"/>
              <w:left w:val="nil"/>
              <w:bottom w:val="nil"/>
              <w:right w:val="nil"/>
            </w:tcBorders>
            <w:vAlign w:val="center"/>
          </w:tcPr>
          <w:p w14:paraId="09656F40" w14:textId="77777777" w:rsidR="001D5755" w:rsidRDefault="001D5755">
            <w:pPr>
              <w:spacing w:line="360" w:lineRule="auto"/>
              <w:jc w:val="center"/>
              <w:rPr>
                <w:rFonts w:ascii="Times New Roman" w:eastAsia="Times New Roman" w:hAnsi="Times New Roman"/>
                <w:sz w:val="24"/>
                <w:szCs w:val="24"/>
              </w:rPr>
            </w:pPr>
          </w:p>
          <w:p w14:paraId="13699E41"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8.6 ± 0.7ᵇ</w:t>
            </w:r>
          </w:p>
        </w:tc>
        <w:tc>
          <w:tcPr>
            <w:tcW w:w="1558" w:type="dxa"/>
            <w:tcBorders>
              <w:top w:val="nil"/>
              <w:left w:val="nil"/>
              <w:bottom w:val="nil"/>
              <w:right w:val="nil"/>
            </w:tcBorders>
            <w:vAlign w:val="center"/>
          </w:tcPr>
          <w:p w14:paraId="55E8D956" w14:textId="77777777" w:rsidR="001D5755" w:rsidRDefault="001D5755">
            <w:pPr>
              <w:spacing w:line="360" w:lineRule="auto"/>
              <w:jc w:val="center"/>
              <w:rPr>
                <w:rFonts w:ascii="Times New Roman" w:eastAsia="Times New Roman" w:hAnsi="Times New Roman"/>
                <w:sz w:val="24"/>
                <w:szCs w:val="24"/>
              </w:rPr>
            </w:pPr>
          </w:p>
          <w:p w14:paraId="60E69B25"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6.8 ± 0.5ᵇ</w:t>
            </w:r>
          </w:p>
        </w:tc>
        <w:tc>
          <w:tcPr>
            <w:tcW w:w="1549" w:type="dxa"/>
            <w:tcBorders>
              <w:top w:val="nil"/>
              <w:left w:val="nil"/>
              <w:bottom w:val="nil"/>
              <w:right w:val="nil"/>
            </w:tcBorders>
            <w:vAlign w:val="center"/>
          </w:tcPr>
          <w:p w14:paraId="09DAD1A8" w14:textId="77777777" w:rsidR="001D5755" w:rsidRDefault="001D5755">
            <w:pPr>
              <w:spacing w:line="360" w:lineRule="auto"/>
              <w:jc w:val="center"/>
              <w:rPr>
                <w:rFonts w:ascii="Times New Roman" w:eastAsia="Times New Roman" w:hAnsi="Times New Roman"/>
                <w:sz w:val="24"/>
                <w:szCs w:val="24"/>
              </w:rPr>
            </w:pPr>
          </w:p>
          <w:p w14:paraId="2AA9CD2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566 ± 31ᵇ</w:t>
            </w:r>
          </w:p>
        </w:tc>
        <w:tc>
          <w:tcPr>
            <w:tcW w:w="1468" w:type="dxa"/>
            <w:tcBorders>
              <w:top w:val="nil"/>
              <w:left w:val="nil"/>
              <w:bottom w:val="nil"/>
              <w:right w:val="nil"/>
            </w:tcBorders>
            <w:vAlign w:val="center"/>
          </w:tcPr>
          <w:p w14:paraId="4F2F668B" w14:textId="77777777" w:rsidR="001D5755" w:rsidRDefault="001D5755">
            <w:pPr>
              <w:spacing w:line="360" w:lineRule="auto"/>
              <w:jc w:val="center"/>
              <w:rPr>
                <w:rFonts w:ascii="Times New Roman" w:eastAsia="Times New Roman" w:hAnsi="Times New Roman"/>
                <w:sz w:val="24"/>
                <w:szCs w:val="24"/>
              </w:rPr>
            </w:pPr>
          </w:p>
          <w:p w14:paraId="687DD07D"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42.4 ± 2.5ᵇ</w:t>
            </w:r>
          </w:p>
        </w:tc>
        <w:tc>
          <w:tcPr>
            <w:tcW w:w="1362" w:type="dxa"/>
            <w:tcBorders>
              <w:top w:val="nil"/>
              <w:left w:val="nil"/>
              <w:bottom w:val="nil"/>
              <w:right w:val="nil"/>
            </w:tcBorders>
          </w:tcPr>
          <w:p w14:paraId="3DB43E20" w14:textId="77777777" w:rsidR="001D5755" w:rsidRDefault="001D5755">
            <w:pPr>
              <w:spacing w:line="360" w:lineRule="auto"/>
              <w:jc w:val="center"/>
              <w:rPr>
                <w:rFonts w:ascii="Times New Roman" w:eastAsia="Times New Roman" w:hAnsi="Times New Roman"/>
                <w:sz w:val="24"/>
                <w:szCs w:val="24"/>
              </w:rPr>
            </w:pPr>
          </w:p>
          <w:p w14:paraId="46C02EFC"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14.1 ± 0.8</w:t>
            </w:r>
            <w:r>
              <w:rPr>
                <w:rFonts w:ascii="Times New Roman" w:eastAsia="Times New Roman" w:hAnsi="Times New Roman"/>
                <w:sz w:val="24"/>
                <w:szCs w:val="24"/>
                <w:vertAlign w:val="superscript"/>
              </w:rPr>
              <w:t>b</w:t>
            </w:r>
          </w:p>
        </w:tc>
      </w:tr>
      <w:tr w:rsidR="001D5755" w14:paraId="7B480DB9" w14:textId="77777777" w:rsidTr="001D5755">
        <w:trPr>
          <w:trHeight w:val="325"/>
        </w:trPr>
        <w:tc>
          <w:tcPr>
            <w:tcW w:w="1548" w:type="dxa"/>
            <w:tcBorders>
              <w:top w:val="nil"/>
              <w:left w:val="nil"/>
              <w:bottom w:val="nil"/>
              <w:right w:val="nil"/>
            </w:tcBorders>
            <w:vAlign w:val="center"/>
            <w:hideMark/>
          </w:tcPr>
          <w:p w14:paraId="4283F92B"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High Dose (</w:t>
            </w:r>
            <w:r>
              <w:rPr>
                <w:rFonts w:ascii="Times New Roman" w:eastAsia="Times New Roman" w:hAnsi="Times New Roman"/>
                <w:i/>
                <w:iCs/>
                <w:sz w:val="24"/>
                <w:szCs w:val="24"/>
              </w:rPr>
              <w:t>PS3</w:t>
            </w:r>
            <w:r>
              <w:rPr>
                <w:rFonts w:ascii="Times New Roman" w:eastAsia="Times New Roman" w:hAnsi="Times New Roman"/>
                <w:sz w:val="24"/>
                <w:szCs w:val="24"/>
              </w:rPr>
              <w:t>)</w:t>
            </w:r>
          </w:p>
        </w:tc>
        <w:tc>
          <w:tcPr>
            <w:tcW w:w="1541" w:type="dxa"/>
            <w:tcBorders>
              <w:top w:val="nil"/>
              <w:left w:val="nil"/>
              <w:bottom w:val="nil"/>
              <w:right w:val="nil"/>
            </w:tcBorders>
            <w:vAlign w:val="center"/>
          </w:tcPr>
          <w:p w14:paraId="5BFAC674" w14:textId="77777777" w:rsidR="001D5755" w:rsidRDefault="001D5755">
            <w:pPr>
              <w:spacing w:line="360" w:lineRule="auto"/>
              <w:jc w:val="center"/>
              <w:rPr>
                <w:rFonts w:ascii="Times New Roman" w:eastAsia="Times New Roman" w:hAnsi="Times New Roman"/>
                <w:sz w:val="24"/>
                <w:szCs w:val="24"/>
              </w:rPr>
            </w:pPr>
          </w:p>
          <w:p w14:paraId="3E9C3632"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9.4 ± 0.8ᵃ</w:t>
            </w:r>
          </w:p>
        </w:tc>
        <w:tc>
          <w:tcPr>
            <w:tcW w:w="1558" w:type="dxa"/>
            <w:tcBorders>
              <w:top w:val="nil"/>
              <w:left w:val="nil"/>
              <w:bottom w:val="nil"/>
              <w:right w:val="nil"/>
            </w:tcBorders>
            <w:vAlign w:val="center"/>
          </w:tcPr>
          <w:p w14:paraId="09D7DEC7" w14:textId="77777777" w:rsidR="001D5755" w:rsidRDefault="001D5755">
            <w:pPr>
              <w:spacing w:line="360" w:lineRule="auto"/>
              <w:jc w:val="center"/>
              <w:rPr>
                <w:rFonts w:ascii="Times New Roman" w:eastAsia="Times New Roman" w:hAnsi="Times New Roman"/>
                <w:sz w:val="24"/>
                <w:szCs w:val="24"/>
              </w:rPr>
            </w:pPr>
          </w:p>
          <w:p w14:paraId="398A3E20"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7.4 ± 0.5ᵃ</w:t>
            </w:r>
          </w:p>
        </w:tc>
        <w:tc>
          <w:tcPr>
            <w:tcW w:w="1549" w:type="dxa"/>
            <w:tcBorders>
              <w:top w:val="nil"/>
              <w:left w:val="nil"/>
              <w:bottom w:val="nil"/>
              <w:right w:val="nil"/>
            </w:tcBorders>
            <w:vAlign w:val="center"/>
          </w:tcPr>
          <w:p w14:paraId="077E368F" w14:textId="77777777" w:rsidR="001D5755" w:rsidRDefault="001D5755">
            <w:pPr>
              <w:spacing w:line="360" w:lineRule="auto"/>
              <w:jc w:val="center"/>
              <w:rPr>
                <w:rFonts w:ascii="Times New Roman" w:eastAsia="Times New Roman" w:hAnsi="Times New Roman"/>
                <w:sz w:val="24"/>
                <w:szCs w:val="24"/>
              </w:rPr>
            </w:pPr>
          </w:p>
          <w:p w14:paraId="0FFFB2C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618 ± 35ᵃ</w:t>
            </w:r>
          </w:p>
        </w:tc>
        <w:tc>
          <w:tcPr>
            <w:tcW w:w="1468" w:type="dxa"/>
            <w:tcBorders>
              <w:top w:val="nil"/>
              <w:left w:val="nil"/>
              <w:bottom w:val="nil"/>
              <w:right w:val="nil"/>
            </w:tcBorders>
            <w:vAlign w:val="center"/>
          </w:tcPr>
          <w:p w14:paraId="5F79C020" w14:textId="77777777" w:rsidR="001D5755" w:rsidRDefault="001D5755">
            <w:pPr>
              <w:spacing w:line="360" w:lineRule="auto"/>
              <w:jc w:val="center"/>
              <w:rPr>
                <w:rFonts w:ascii="Times New Roman" w:eastAsia="Times New Roman" w:hAnsi="Times New Roman"/>
                <w:sz w:val="24"/>
                <w:szCs w:val="24"/>
              </w:rPr>
            </w:pPr>
          </w:p>
          <w:p w14:paraId="5CCC6AEF"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46.2 ± 2.8ᵃ</w:t>
            </w:r>
          </w:p>
        </w:tc>
        <w:tc>
          <w:tcPr>
            <w:tcW w:w="1362" w:type="dxa"/>
            <w:tcBorders>
              <w:top w:val="nil"/>
              <w:left w:val="nil"/>
              <w:bottom w:val="nil"/>
              <w:right w:val="nil"/>
            </w:tcBorders>
          </w:tcPr>
          <w:p w14:paraId="292F2E77" w14:textId="77777777" w:rsidR="001D5755" w:rsidRDefault="001D5755">
            <w:pPr>
              <w:spacing w:line="360" w:lineRule="auto"/>
              <w:jc w:val="center"/>
              <w:rPr>
                <w:rFonts w:ascii="Times New Roman" w:eastAsia="Times New Roman" w:hAnsi="Times New Roman"/>
                <w:sz w:val="24"/>
                <w:szCs w:val="24"/>
              </w:rPr>
            </w:pPr>
          </w:p>
          <w:p w14:paraId="1216445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15.4 ± 0.9</w:t>
            </w:r>
            <w:r>
              <w:rPr>
                <w:rFonts w:ascii="Times New Roman" w:eastAsia="Times New Roman" w:hAnsi="Times New Roman"/>
                <w:sz w:val="24"/>
                <w:szCs w:val="24"/>
                <w:vertAlign w:val="superscript"/>
              </w:rPr>
              <w:t>a</w:t>
            </w:r>
          </w:p>
        </w:tc>
      </w:tr>
      <w:tr w:rsidR="001D5755" w14:paraId="7D586657" w14:textId="77777777" w:rsidTr="001D5755">
        <w:trPr>
          <w:trHeight w:val="636"/>
        </w:trPr>
        <w:tc>
          <w:tcPr>
            <w:tcW w:w="1548" w:type="dxa"/>
            <w:tcBorders>
              <w:top w:val="nil"/>
              <w:left w:val="nil"/>
              <w:bottom w:val="nil"/>
              <w:right w:val="nil"/>
            </w:tcBorders>
            <w:vAlign w:val="center"/>
            <w:hideMark/>
          </w:tcPr>
          <w:p w14:paraId="16436FCA"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Negative Control</w:t>
            </w:r>
          </w:p>
        </w:tc>
        <w:tc>
          <w:tcPr>
            <w:tcW w:w="1541" w:type="dxa"/>
            <w:tcBorders>
              <w:top w:val="nil"/>
              <w:left w:val="nil"/>
              <w:bottom w:val="nil"/>
              <w:right w:val="nil"/>
            </w:tcBorders>
            <w:vAlign w:val="center"/>
          </w:tcPr>
          <w:p w14:paraId="34245C58" w14:textId="77777777" w:rsidR="001D5755" w:rsidRDefault="001D5755">
            <w:pPr>
              <w:spacing w:line="360" w:lineRule="auto"/>
              <w:jc w:val="center"/>
              <w:rPr>
                <w:rFonts w:ascii="Times New Roman" w:eastAsia="Times New Roman" w:hAnsi="Times New Roman"/>
                <w:sz w:val="24"/>
                <w:szCs w:val="24"/>
              </w:rPr>
            </w:pPr>
          </w:p>
          <w:p w14:paraId="71F76C2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5.2 ± 0.4ᵈ</w:t>
            </w:r>
          </w:p>
        </w:tc>
        <w:tc>
          <w:tcPr>
            <w:tcW w:w="1558" w:type="dxa"/>
            <w:tcBorders>
              <w:top w:val="nil"/>
              <w:left w:val="nil"/>
              <w:bottom w:val="nil"/>
              <w:right w:val="nil"/>
            </w:tcBorders>
            <w:vAlign w:val="center"/>
          </w:tcPr>
          <w:p w14:paraId="3BFC888E" w14:textId="77777777" w:rsidR="001D5755" w:rsidRDefault="001D5755">
            <w:pPr>
              <w:spacing w:line="360" w:lineRule="auto"/>
              <w:jc w:val="center"/>
              <w:rPr>
                <w:rFonts w:ascii="Times New Roman" w:eastAsia="Times New Roman" w:hAnsi="Times New Roman"/>
                <w:sz w:val="24"/>
                <w:szCs w:val="24"/>
              </w:rPr>
            </w:pPr>
          </w:p>
          <w:p w14:paraId="620F839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4.8 ± 0.3ᵈ</w:t>
            </w:r>
          </w:p>
        </w:tc>
        <w:tc>
          <w:tcPr>
            <w:tcW w:w="1549" w:type="dxa"/>
            <w:tcBorders>
              <w:top w:val="nil"/>
              <w:left w:val="nil"/>
              <w:bottom w:val="nil"/>
              <w:right w:val="nil"/>
            </w:tcBorders>
            <w:vAlign w:val="center"/>
          </w:tcPr>
          <w:p w14:paraId="0837B65C" w14:textId="77777777" w:rsidR="001D5755" w:rsidRDefault="001D5755">
            <w:pPr>
              <w:spacing w:line="360" w:lineRule="auto"/>
              <w:jc w:val="center"/>
              <w:rPr>
                <w:rFonts w:ascii="Times New Roman" w:eastAsia="Times New Roman" w:hAnsi="Times New Roman"/>
                <w:sz w:val="24"/>
                <w:szCs w:val="24"/>
              </w:rPr>
            </w:pPr>
          </w:p>
          <w:p w14:paraId="5C5BA8FC"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402 ± 24ᵈ</w:t>
            </w:r>
          </w:p>
        </w:tc>
        <w:tc>
          <w:tcPr>
            <w:tcW w:w="1468" w:type="dxa"/>
            <w:tcBorders>
              <w:top w:val="nil"/>
              <w:left w:val="nil"/>
              <w:bottom w:val="nil"/>
              <w:right w:val="nil"/>
            </w:tcBorders>
            <w:vAlign w:val="center"/>
          </w:tcPr>
          <w:p w14:paraId="436EA2EA" w14:textId="77777777" w:rsidR="001D5755" w:rsidRDefault="001D5755">
            <w:pPr>
              <w:spacing w:line="360" w:lineRule="auto"/>
              <w:jc w:val="center"/>
              <w:rPr>
                <w:rFonts w:ascii="Times New Roman" w:eastAsia="Times New Roman" w:hAnsi="Times New Roman"/>
                <w:sz w:val="24"/>
                <w:szCs w:val="24"/>
              </w:rPr>
            </w:pPr>
          </w:p>
          <w:p w14:paraId="066CBCE9"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31.8 ± 1.9ᵈ</w:t>
            </w:r>
          </w:p>
        </w:tc>
        <w:tc>
          <w:tcPr>
            <w:tcW w:w="1362" w:type="dxa"/>
            <w:tcBorders>
              <w:top w:val="nil"/>
              <w:left w:val="nil"/>
              <w:bottom w:val="nil"/>
              <w:right w:val="nil"/>
            </w:tcBorders>
          </w:tcPr>
          <w:p w14:paraId="1497D837" w14:textId="77777777" w:rsidR="001D5755" w:rsidRDefault="001D5755">
            <w:pPr>
              <w:spacing w:line="360" w:lineRule="auto"/>
              <w:jc w:val="center"/>
              <w:rPr>
                <w:rFonts w:ascii="Times New Roman" w:eastAsia="Times New Roman" w:hAnsi="Times New Roman"/>
                <w:sz w:val="24"/>
                <w:szCs w:val="24"/>
              </w:rPr>
            </w:pPr>
          </w:p>
          <w:p w14:paraId="204E77D8"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10.5 ± 0.6</w:t>
            </w:r>
            <w:r>
              <w:rPr>
                <w:rFonts w:ascii="Times New Roman" w:eastAsia="Times New Roman" w:hAnsi="Times New Roman"/>
                <w:sz w:val="24"/>
                <w:szCs w:val="24"/>
                <w:vertAlign w:val="superscript"/>
              </w:rPr>
              <w:t>d</w:t>
            </w:r>
          </w:p>
        </w:tc>
      </w:tr>
      <w:tr w:rsidR="001D5755" w14:paraId="5501A21D" w14:textId="77777777" w:rsidTr="001D5755">
        <w:trPr>
          <w:trHeight w:val="325"/>
        </w:trPr>
        <w:tc>
          <w:tcPr>
            <w:tcW w:w="1548" w:type="dxa"/>
            <w:tcBorders>
              <w:top w:val="nil"/>
              <w:left w:val="nil"/>
              <w:bottom w:val="single" w:sz="4" w:space="0" w:color="auto"/>
              <w:right w:val="nil"/>
            </w:tcBorders>
            <w:vAlign w:val="center"/>
            <w:hideMark/>
          </w:tcPr>
          <w:p w14:paraId="435B25BF"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Normal Control</w:t>
            </w:r>
          </w:p>
        </w:tc>
        <w:tc>
          <w:tcPr>
            <w:tcW w:w="1541" w:type="dxa"/>
            <w:tcBorders>
              <w:top w:val="nil"/>
              <w:left w:val="nil"/>
              <w:bottom w:val="single" w:sz="4" w:space="0" w:color="auto"/>
              <w:right w:val="nil"/>
            </w:tcBorders>
            <w:vAlign w:val="center"/>
          </w:tcPr>
          <w:p w14:paraId="1AC3D9E5" w14:textId="77777777" w:rsidR="001D5755" w:rsidRDefault="001D5755">
            <w:pPr>
              <w:spacing w:line="360" w:lineRule="auto"/>
              <w:jc w:val="center"/>
              <w:rPr>
                <w:rFonts w:ascii="Times New Roman" w:eastAsia="Times New Roman" w:hAnsi="Times New Roman"/>
                <w:sz w:val="24"/>
                <w:szCs w:val="24"/>
              </w:rPr>
            </w:pPr>
          </w:p>
          <w:p w14:paraId="668AE0EF"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9.8 ± 0.8ᵃ</w:t>
            </w:r>
          </w:p>
        </w:tc>
        <w:tc>
          <w:tcPr>
            <w:tcW w:w="1558" w:type="dxa"/>
            <w:tcBorders>
              <w:top w:val="nil"/>
              <w:left w:val="nil"/>
              <w:bottom w:val="single" w:sz="4" w:space="0" w:color="auto"/>
              <w:right w:val="nil"/>
            </w:tcBorders>
            <w:vAlign w:val="center"/>
          </w:tcPr>
          <w:p w14:paraId="78E41A3F" w14:textId="77777777" w:rsidR="001D5755" w:rsidRDefault="001D5755">
            <w:pPr>
              <w:spacing w:line="360" w:lineRule="auto"/>
              <w:jc w:val="center"/>
              <w:rPr>
                <w:rFonts w:ascii="Times New Roman" w:eastAsia="Times New Roman" w:hAnsi="Times New Roman"/>
                <w:sz w:val="24"/>
                <w:szCs w:val="24"/>
              </w:rPr>
            </w:pPr>
          </w:p>
          <w:p w14:paraId="61CFD287"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7.7 ± 0.6ᵃ</w:t>
            </w:r>
          </w:p>
        </w:tc>
        <w:tc>
          <w:tcPr>
            <w:tcW w:w="1549" w:type="dxa"/>
            <w:tcBorders>
              <w:top w:val="nil"/>
              <w:left w:val="nil"/>
              <w:bottom w:val="single" w:sz="4" w:space="0" w:color="auto"/>
              <w:right w:val="nil"/>
            </w:tcBorders>
            <w:vAlign w:val="center"/>
          </w:tcPr>
          <w:p w14:paraId="7CCC77C1" w14:textId="77777777" w:rsidR="001D5755" w:rsidRDefault="001D5755">
            <w:pPr>
              <w:spacing w:line="360" w:lineRule="auto"/>
              <w:jc w:val="center"/>
              <w:rPr>
                <w:rFonts w:ascii="Times New Roman" w:eastAsia="Times New Roman" w:hAnsi="Times New Roman"/>
                <w:sz w:val="24"/>
                <w:szCs w:val="24"/>
              </w:rPr>
            </w:pPr>
          </w:p>
          <w:p w14:paraId="4B1B2AD6"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640 ± 36ᵃ</w:t>
            </w:r>
          </w:p>
        </w:tc>
        <w:tc>
          <w:tcPr>
            <w:tcW w:w="1468" w:type="dxa"/>
            <w:tcBorders>
              <w:top w:val="nil"/>
              <w:left w:val="nil"/>
              <w:bottom w:val="single" w:sz="4" w:space="0" w:color="auto"/>
              <w:right w:val="nil"/>
            </w:tcBorders>
            <w:vAlign w:val="center"/>
          </w:tcPr>
          <w:p w14:paraId="6C473A2B" w14:textId="77777777" w:rsidR="001D5755" w:rsidRDefault="001D5755">
            <w:pPr>
              <w:spacing w:line="360" w:lineRule="auto"/>
              <w:jc w:val="center"/>
              <w:rPr>
                <w:rFonts w:ascii="Times New Roman" w:eastAsia="Times New Roman" w:hAnsi="Times New Roman"/>
                <w:sz w:val="24"/>
                <w:szCs w:val="24"/>
              </w:rPr>
            </w:pPr>
          </w:p>
          <w:p w14:paraId="038F6914"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47.8 ± 2.9ᵃ</w:t>
            </w:r>
          </w:p>
        </w:tc>
        <w:tc>
          <w:tcPr>
            <w:tcW w:w="1362" w:type="dxa"/>
            <w:tcBorders>
              <w:top w:val="nil"/>
              <w:left w:val="nil"/>
              <w:bottom w:val="single" w:sz="4" w:space="0" w:color="auto"/>
              <w:right w:val="nil"/>
            </w:tcBorders>
          </w:tcPr>
          <w:p w14:paraId="2FBED5A5" w14:textId="77777777" w:rsidR="001D5755" w:rsidRDefault="001D5755">
            <w:pPr>
              <w:spacing w:line="360" w:lineRule="auto"/>
              <w:jc w:val="center"/>
              <w:rPr>
                <w:rFonts w:ascii="Times New Roman" w:eastAsia="Times New Roman" w:hAnsi="Times New Roman"/>
                <w:sz w:val="24"/>
                <w:szCs w:val="24"/>
              </w:rPr>
            </w:pPr>
          </w:p>
          <w:p w14:paraId="4716E951" w14:textId="77777777" w:rsidR="001D5755" w:rsidRDefault="001D5755">
            <w:pPr>
              <w:spacing w:line="360" w:lineRule="auto"/>
              <w:jc w:val="center"/>
              <w:rPr>
                <w:rFonts w:ascii="Times New Roman" w:eastAsia="Times New Roman" w:hAnsi="Times New Roman"/>
                <w:sz w:val="24"/>
                <w:szCs w:val="24"/>
              </w:rPr>
            </w:pPr>
            <w:r>
              <w:rPr>
                <w:rFonts w:ascii="Times New Roman" w:eastAsia="Times New Roman" w:hAnsi="Times New Roman"/>
                <w:sz w:val="24"/>
                <w:szCs w:val="24"/>
              </w:rPr>
              <w:t>15.9 ± 0.9</w:t>
            </w:r>
          </w:p>
        </w:tc>
      </w:tr>
    </w:tbl>
    <w:p w14:paraId="3AB51CA2" w14:textId="77777777" w:rsidR="001D5755" w:rsidRDefault="001D5755" w:rsidP="001D5755">
      <w:pPr>
        <w:spacing w:line="480" w:lineRule="auto"/>
        <w:rPr>
          <w:rFonts w:ascii="Times New Roman" w:hAnsi="Times New Roman"/>
          <w:i/>
          <w:sz w:val="24"/>
          <w:szCs w:val="24"/>
        </w:rPr>
      </w:pPr>
      <w:r>
        <w:rPr>
          <w:rFonts w:ascii="Times New Roman" w:hAnsi="Times New Roman"/>
          <w:i/>
          <w:sz w:val="24"/>
          <w:szCs w:val="24"/>
        </w:rPr>
        <w:t xml:space="preserve">Values are presented as mean ± SD </w:t>
      </w:r>
      <w:r>
        <w:rPr>
          <w:rFonts w:ascii="Times New Roman" w:hAnsi="Times New Roman"/>
          <w:i/>
          <w:sz w:val="24"/>
          <w:szCs w:val="24"/>
          <w:highlight w:val="yellow"/>
        </w:rPr>
        <w:t>(n = 6)</w:t>
      </w:r>
      <w:r>
        <w:rPr>
          <w:rFonts w:ascii="Times New Roman" w:hAnsi="Times New Roman"/>
          <w:i/>
          <w:sz w:val="24"/>
          <w:szCs w:val="24"/>
        </w:rPr>
        <w:t>. Values with different superscripts within the same column are significantly different (</w:t>
      </w:r>
      <w:r>
        <w:rPr>
          <w:rFonts w:ascii="Times New Roman" w:hAnsi="Times New Roman"/>
          <w:i/>
          <w:iCs/>
          <w:sz w:val="24"/>
          <w:szCs w:val="24"/>
        </w:rPr>
        <w:t>p</w:t>
      </w:r>
      <w:r>
        <w:rPr>
          <w:rFonts w:ascii="Times New Roman" w:hAnsi="Times New Roman"/>
          <w:i/>
          <w:sz w:val="24"/>
          <w:szCs w:val="24"/>
        </w:rPr>
        <w:t xml:space="preserve"> &lt; 0.05).</w:t>
      </w:r>
    </w:p>
    <w:p w14:paraId="5118547B" w14:textId="77777777" w:rsidR="001D5755" w:rsidRPr="001D5755" w:rsidRDefault="001D5755" w:rsidP="001D5755">
      <w:pPr>
        <w:spacing w:line="480" w:lineRule="auto"/>
        <w:jc w:val="both"/>
        <w:rPr>
          <w:rFonts w:ascii="Times New Roman" w:hAnsi="Times New Roman"/>
          <w:sz w:val="24"/>
          <w:szCs w:val="24"/>
        </w:rPr>
      </w:pPr>
      <w:r>
        <w:rPr>
          <w:rFonts w:ascii="Times New Roman" w:hAnsi="Times New Roman"/>
          <w:sz w:val="24"/>
          <w:szCs w:val="24"/>
        </w:rPr>
        <w:t xml:space="preserve">Effect of </w:t>
      </w:r>
      <w:r>
        <w:rPr>
          <w:rFonts w:ascii="Times New Roman" w:hAnsi="Times New Roman"/>
          <w:i/>
          <w:sz w:val="24"/>
          <w:szCs w:val="24"/>
        </w:rPr>
        <w:t>Pterocarpus santalinoides</w:t>
      </w:r>
      <w:r>
        <w:rPr>
          <w:rFonts w:ascii="Times New Roman" w:hAnsi="Times New Roman"/>
          <w:sz w:val="24"/>
          <w:szCs w:val="24"/>
        </w:rPr>
        <w:t xml:space="preserve"> Leaf Diet on Some Haematological Indices in Wistar Rats Exposed to Cadmium.</w:t>
      </w:r>
    </w:p>
    <w:p w14:paraId="2D6DE686" w14:textId="77777777" w:rsidR="001D5755" w:rsidRDefault="001D5755" w:rsidP="001D5755">
      <w:pPr>
        <w:spacing w:line="480" w:lineRule="auto"/>
        <w:ind w:firstLine="720"/>
        <w:jc w:val="both"/>
        <w:rPr>
          <w:rFonts w:ascii="Times New Roman" w:hAnsi="Times New Roman"/>
          <w:bCs/>
          <w:sz w:val="24"/>
          <w:szCs w:val="24"/>
        </w:rPr>
      </w:pPr>
      <w:r>
        <w:rPr>
          <w:rFonts w:ascii="Times New Roman" w:hAnsi="Times New Roman"/>
          <w:bCs/>
          <w:sz w:val="24"/>
          <w:szCs w:val="24"/>
        </w:rPr>
        <w:t xml:space="preserve">The effect of </w:t>
      </w:r>
      <w:r>
        <w:rPr>
          <w:rFonts w:ascii="Times New Roman" w:hAnsi="Times New Roman"/>
          <w:bCs/>
          <w:i/>
          <w:sz w:val="24"/>
          <w:szCs w:val="24"/>
        </w:rPr>
        <w:t xml:space="preserve">Pterocarpus santalinoides </w:t>
      </w:r>
      <w:r>
        <w:rPr>
          <w:rFonts w:ascii="Times New Roman" w:hAnsi="Times New Roman"/>
          <w:bCs/>
          <w:sz w:val="24"/>
          <w:szCs w:val="24"/>
        </w:rPr>
        <w:t xml:space="preserve">leaf diet on selected haematological parameters of cadmium-exposed Wistar rats is shown in Table 2. The parameters evaluated included white blood cell count (WBC), red blood cell count (RBC), platelet count, packed cell volume (PCV), and </w:t>
      </w:r>
      <w:r>
        <w:rPr>
          <w:rFonts w:ascii="Times New Roman" w:hAnsi="Times New Roman"/>
          <w:bCs/>
          <w:sz w:val="24"/>
          <w:szCs w:val="24"/>
          <w:highlight w:val="yellow"/>
        </w:rPr>
        <w:t>h</w:t>
      </w:r>
      <w:r>
        <w:rPr>
          <w:rFonts w:ascii="Times New Roman" w:hAnsi="Times New Roman"/>
          <w:bCs/>
          <w:sz w:val="24"/>
          <w:szCs w:val="24"/>
        </w:rPr>
        <w:t>aemoglobin (H</w:t>
      </w:r>
      <w:r>
        <w:rPr>
          <w:rFonts w:ascii="Times New Roman" w:hAnsi="Times New Roman"/>
          <w:bCs/>
          <w:sz w:val="24"/>
          <w:szCs w:val="24"/>
          <w:highlight w:val="yellow"/>
        </w:rPr>
        <w:t>b</w:t>
      </w:r>
      <w:r>
        <w:rPr>
          <w:rFonts w:ascii="Times New Roman" w:hAnsi="Times New Roman"/>
          <w:bCs/>
          <w:sz w:val="24"/>
          <w:szCs w:val="24"/>
        </w:rPr>
        <w:t xml:space="preserve">). The negative control group recorded the lowest values for all haematological parameters measured. </w:t>
      </w:r>
      <w:r>
        <w:rPr>
          <w:rFonts w:ascii="Times New Roman" w:hAnsi="Times New Roman"/>
          <w:bCs/>
          <w:sz w:val="24"/>
          <w:szCs w:val="24"/>
          <w:highlight w:val="yellow"/>
        </w:rPr>
        <w:t xml:space="preserve">The </w:t>
      </w:r>
      <w:r>
        <w:rPr>
          <w:rFonts w:ascii="Times New Roman" w:hAnsi="Times New Roman"/>
          <w:bCs/>
          <w:sz w:val="24"/>
          <w:szCs w:val="24"/>
        </w:rPr>
        <w:t xml:space="preserve">WBC count in the negative control </w:t>
      </w:r>
      <w:r>
        <w:rPr>
          <w:rFonts w:ascii="Times New Roman" w:hAnsi="Times New Roman"/>
          <w:bCs/>
          <w:sz w:val="24"/>
          <w:szCs w:val="24"/>
          <w:highlight w:val="yellow"/>
        </w:rPr>
        <w:t xml:space="preserve">group </w:t>
      </w:r>
      <w:r>
        <w:rPr>
          <w:rFonts w:ascii="Times New Roman" w:hAnsi="Times New Roman"/>
          <w:bCs/>
          <w:sz w:val="24"/>
          <w:szCs w:val="24"/>
        </w:rPr>
        <w:t>was 5.2 ± 0.4 ×10⁹/L, significantly lower (p &lt; 0.05) than the values observed in the treatment groups and</w:t>
      </w:r>
      <w:r>
        <w:rPr>
          <w:rFonts w:ascii="Times New Roman" w:hAnsi="Times New Roman"/>
          <w:bCs/>
          <w:sz w:val="24"/>
          <w:szCs w:val="24"/>
          <w:highlight w:val="yellow"/>
        </w:rPr>
        <w:t xml:space="preserve"> the</w:t>
      </w:r>
      <w:r>
        <w:rPr>
          <w:rFonts w:ascii="Times New Roman" w:hAnsi="Times New Roman"/>
          <w:bCs/>
          <w:sz w:val="24"/>
          <w:szCs w:val="24"/>
        </w:rPr>
        <w:t xml:space="preserve"> normal control. This reduction suggests suppression of immune function following cadmium exposure. Cadmium toxicity may interfere with the production and maturation of leu</w:t>
      </w:r>
      <w:r>
        <w:rPr>
          <w:rFonts w:ascii="Times New Roman" w:hAnsi="Times New Roman"/>
          <w:bCs/>
          <w:sz w:val="24"/>
          <w:szCs w:val="24"/>
          <w:highlight w:val="yellow"/>
        </w:rPr>
        <w:t>c</w:t>
      </w:r>
      <w:r>
        <w:rPr>
          <w:rFonts w:ascii="Times New Roman" w:hAnsi="Times New Roman"/>
          <w:bCs/>
          <w:sz w:val="24"/>
          <w:szCs w:val="24"/>
        </w:rPr>
        <w:t>ocytes, thereby reducing the body’s ability to mount an effective immune response. Treatment with</w:t>
      </w:r>
      <w:r>
        <w:rPr>
          <w:rFonts w:ascii="Times New Roman" w:hAnsi="Times New Roman"/>
          <w:bCs/>
          <w:sz w:val="24"/>
          <w:szCs w:val="24"/>
          <w:highlight w:val="yellow"/>
        </w:rPr>
        <w:t xml:space="preserve"> the</w:t>
      </w:r>
      <w:r>
        <w:rPr>
          <w:rFonts w:ascii="Times New Roman" w:hAnsi="Times New Roman"/>
          <w:bCs/>
          <w:sz w:val="24"/>
          <w:szCs w:val="24"/>
        </w:rPr>
        <w:t xml:space="preserve"> </w:t>
      </w:r>
      <w:r>
        <w:rPr>
          <w:rFonts w:ascii="Times New Roman" w:hAnsi="Times New Roman"/>
          <w:bCs/>
          <w:i/>
          <w:sz w:val="24"/>
          <w:szCs w:val="24"/>
        </w:rPr>
        <w:t xml:space="preserve">Pterocarpus santalinoides </w:t>
      </w:r>
      <w:r>
        <w:rPr>
          <w:rFonts w:ascii="Times New Roman" w:hAnsi="Times New Roman"/>
          <w:bCs/>
          <w:sz w:val="24"/>
          <w:szCs w:val="24"/>
        </w:rPr>
        <w:t xml:space="preserve">leaf diet resulted in a dose-dependent increase in WBC count. Values increased from 7.8 ± 0.6 ×10⁹/L in the low-dose group to 8.6 ± 0.7 ×10⁹/L in the medium-dose group and 9.4 ± 0.8 ×10⁹/L in the high-dose group. The WBC value recorded </w:t>
      </w:r>
      <w:r>
        <w:rPr>
          <w:rFonts w:ascii="Times New Roman" w:hAnsi="Times New Roman"/>
          <w:bCs/>
          <w:sz w:val="24"/>
          <w:szCs w:val="24"/>
        </w:rPr>
        <w:lastRenderedPageBreak/>
        <w:t>in the high-dose group was close to that of the normal control (9.8 ± 0.8 ×10⁹/L), indicating improvement following treatment. A similar trend was observed for RBC count. The negative control group had the lowest RBC value (4.8 ± 0.3 ×10¹²/L), indicating that cadmium exposure may have impaired erythropoiesis or increased red cell destruction. Administration of the leaf diet progressively increased RBC counts to 6.1 ± 0.4 ×10¹²/L, 6.8 ± 0.5 ×10¹²/L, and 7.4 ± 0.5 ×10¹²/L in the low</w:t>
      </w:r>
      <w:r>
        <w:rPr>
          <w:rFonts w:ascii="Times New Roman" w:hAnsi="Times New Roman"/>
          <w:bCs/>
          <w:sz w:val="24"/>
          <w:szCs w:val="24"/>
          <w:highlight w:val="yellow"/>
        </w:rPr>
        <w:t>-</w:t>
      </w:r>
      <w:r>
        <w:rPr>
          <w:rFonts w:ascii="Times New Roman" w:hAnsi="Times New Roman"/>
          <w:bCs/>
          <w:sz w:val="24"/>
          <w:szCs w:val="24"/>
        </w:rPr>
        <w:t>, medium</w:t>
      </w:r>
      <w:r>
        <w:rPr>
          <w:rFonts w:ascii="Times New Roman" w:hAnsi="Times New Roman"/>
          <w:bCs/>
          <w:sz w:val="24"/>
          <w:szCs w:val="24"/>
          <w:highlight w:val="yellow"/>
        </w:rPr>
        <w:t>-</w:t>
      </w:r>
      <w:r>
        <w:rPr>
          <w:rFonts w:ascii="Times New Roman" w:hAnsi="Times New Roman"/>
          <w:bCs/>
          <w:sz w:val="24"/>
          <w:szCs w:val="24"/>
        </w:rPr>
        <w:t xml:space="preserve">, and high-dose groups, respectively. These values approached the normal control value of 7.7 ± 0.6 ×10¹²/L, suggesting improved red blood cell production and maintenance. Platelet count also showed significant variation among the experimental groups. The negative control group recorded the lowest platelet count (402 ± 24 ×10⁹/L), whereas the normal control group exhibited the highest value (640 ± 36 ×10⁹/L). Administration of </w:t>
      </w:r>
      <w:r>
        <w:rPr>
          <w:rFonts w:ascii="Times New Roman" w:hAnsi="Times New Roman"/>
          <w:bCs/>
          <w:i/>
          <w:sz w:val="24"/>
          <w:szCs w:val="24"/>
          <w:highlight w:val="yellow"/>
        </w:rPr>
        <w:t xml:space="preserve">the </w:t>
      </w:r>
      <w:r>
        <w:rPr>
          <w:rFonts w:ascii="Times New Roman" w:hAnsi="Times New Roman"/>
          <w:bCs/>
          <w:i/>
          <w:sz w:val="24"/>
          <w:szCs w:val="24"/>
        </w:rPr>
        <w:t>Pterocarpus santalinoides</w:t>
      </w:r>
      <w:r>
        <w:rPr>
          <w:rFonts w:ascii="Times New Roman" w:hAnsi="Times New Roman"/>
          <w:bCs/>
          <w:sz w:val="24"/>
          <w:szCs w:val="24"/>
        </w:rPr>
        <w:t xml:space="preserve"> lea</w:t>
      </w:r>
      <w:r>
        <w:rPr>
          <w:rFonts w:ascii="Times New Roman" w:hAnsi="Times New Roman"/>
          <w:bCs/>
          <w:sz w:val="24"/>
          <w:szCs w:val="24"/>
          <w:highlight w:val="yellow"/>
        </w:rPr>
        <w:t>f</w:t>
      </w:r>
      <w:r>
        <w:rPr>
          <w:rFonts w:ascii="Times New Roman" w:hAnsi="Times New Roman"/>
          <w:bCs/>
          <w:sz w:val="24"/>
          <w:szCs w:val="24"/>
        </w:rPr>
        <w:t xml:space="preserve"> diet increased platelet counts in a dose-dependent manner, with values of 510 ± 28 ×10⁹/L, 566 ± 31 ×10⁹/L, and 618 ± 35 ×10⁹/L for the low</w:t>
      </w:r>
      <w:r>
        <w:rPr>
          <w:rFonts w:ascii="Times New Roman" w:hAnsi="Times New Roman"/>
          <w:bCs/>
          <w:sz w:val="24"/>
          <w:szCs w:val="24"/>
          <w:highlight w:val="yellow"/>
        </w:rPr>
        <w:t>-</w:t>
      </w:r>
      <w:r>
        <w:rPr>
          <w:rFonts w:ascii="Times New Roman" w:hAnsi="Times New Roman"/>
          <w:bCs/>
          <w:sz w:val="24"/>
          <w:szCs w:val="24"/>
        </w:rPr>
        <w:t>, medium</w:t>
      </w:r>
      <w:r>
        <w:rPr>
          <w:rFonts w:ascii="Times New Roman" w:hAnsi="Times New Roman"/>
          <w:bCs/>
          <w:sz w:val="24"/>
          <w:szCs w:val="24"/>
          <w:highlight w:val="yellow"/>
        </w:rPr>
        <w:t>-</w:t>
      </w:r>
      <w:r>
        <w:rPr>
          <w:rFonts w:ascii="Times New Roman" w:hAnsi="Times New Roman"/>
          <w:bCs/>
          <w:sz w:val="24"/>
          <w:szCs w:val="24"/>
        </w:rPr>
        <w:t xml:space="preserve">, and high-dose groups, respectively. </w:t>
      </w:r>
      <w:r>
        <w:rPr>
          <w:rFonts w:ascii="Times New Roman" w:hAnsi="Times New Roman"/>
          <w:bCs/>
          <w:sz w:val="24"/>
          <w:szCs w:val="24"/>
          <w:highlight w:val="yellow"/>
        </w:rPr>
        <w:t>P</w:t>
      </w:r>
      <w:r>
        <w:rPr>
          <w:rFonts w:ascii="Times New Roman" w:hAnsi="Times New Roman"/>
          <w:bCs/>
          <w:sz w:val="24"/>
          <w:szCs w:val="24"/>
        </w:rPr>
        <w:t>acked cell volume (PCV) values followed the same pattern. The negative control group recorded the lowest PCV value (31.8 ± 1.9%), while the normal control group recorded the highest value (47.8 ± 2.9%). Treatment with the leaf diet significantly increased PCV values from 38.6 ± 2.1% in the low-dose group to 42.4 ± 2.5% in the medium-dose group and 46.2 ± 2.8% in the high-dose group.</w:t>
      </w:r>
    </w:p>
    <w:p w14:paraId="6C317579" w14:textId="77777777" w:rsidR="001D5755" w:rsidRDefault="00C30A0F" w:rsidP="001D5755">
      <w:pPr>
        <w:spacing w:line="480" w:lineRule="auto"/>
        <w:rPr>
          <w:rFonts w:ascii="Times New Roman" w:hAnsi="Times New Roman"/>
          <w:b/>
          <w:bCs/>
          <w:sz w:val="24"/>
          <w:szCs w:val="24"/>
        </w:rPr>
      </w:pPr>
      <w:r w:rsidRPr="00FB3A86">
        <w:rPr>
          <w:rFonts w:ascii="Arial" w:hAnsi="Arial" w:cs="Arial"/>
        </w:rPr>
        <w:t xml:space="preserve"> </w:t>
      </w:r>
      <w:r w:rsidR="001D5755">
        <w:rPr>
          <w:rFonts w:ascii="Times New Roman" w:hAnsi="Times New Roman"/>
          <w:b/>
          <w:bCs/>
          <w:sz w:val="24"/>
          <w:szCs w:val="24"/>
        </w:rPr>
        <w:t>Discussion</w:t>
      </w:r>
    </w:p>
    <w:p w14:paraId="40749825"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Nutritional plants have long been recogni</w:t>
      </w:r>
      <w:r>
        <w:rPr>
          <w:rFonts w:ascii="Times New Roman" w:hAnsi="Times New Roman"/>
          <w:sz w:val="24"/>
          <w:szCs w:val="24"/>
          <w:highlight w:val="yellow"/>
        </w:rPr>
        <w:t>s</w:t>
      </w:r>
      <w:r>
        <w:rPr>
          <w:rFonts w:ascii="Times New Roman" w:hAnsi="Times New Roman"/>
          <w:sz w:val="24"/>
          <w:szCs w:val="24"/>
        </w:rPr>
        <w:t xml:space="preserve">ed for their dual role as sources of nutrients and bioactive compounds capable of protecting the body against various toxins. Many plant leaves contain phytochemicals such as flavonoids, tannins, phenolic compounds, alkaloids, and vitamins that possess antioxidant and therapeutic properties (Akinmoladun </w:t>
      </w:r>
      <w:r>
        <w:rPr>
          <w:rFonts w:ascii="Times New Roman" w:hAnsi="Times New Roman"/>
          <w:i/>
          <w:sz w:val="24"/>
          <w:szCs w:val="24"/>
        </w:rPr>
        <w:t>et al.,</w:t>
      </w:r>
      <w:r>
        <w:rPr>
          <w:rFonts w:ascii="Times New Roman" w:hAnsi="Times New Roman"/>
          <w:sz w:val="24"/>
          <w:szCs w:val="24"/>
        </w:rPr>
        <w:t xml:space="preserve"> 2007). These bioactive constituents contribute to the prevention of oxidative stress, maintenance of normal physiological functions, and protection against tissue damage caused by environmental pollutants and toxic metals. Consequently, the use of nutritional plants in animal diets has gained considerable attention as a strategy for mitigating toxic effects associated with heavy metal exposure (Akinmoladun </w:t>
      </w:r>
      <w:r>
        <w:rPr>
          <w:rFonts w:ascii="Times New Roman" w:hAnsi="Times New Roman"/>
          <w:i/>
          <w:sz w:val="24"/>
          <w:szCs w:val="24"/>
        </w:rPr>
        <w:t>et al.,</w:t>
      </w:r>
      <w:r>
        <w:rPr>
          <w:rFonts w:ascii="Times New Roman" w:hAnsi="Times New Roman"/>
          <w:sz w:val="24"/>
          <w:szCs w:val="24"/>
        </w:rPr>
        <w:t xml:space="preserve"> 2007). Heavy metals such as cadmium are among the most hazardous environmental contaminants because of their persistence, bioaccumulation, and toxicity. Cadmium has been reported to induce </w:t>
      </w:r>
      <w:r>
        <w:rPr>
          <w:rFonts w:ascii="Times New Roman" w:hAnsi="Times New Roman"/>
          <w:sz w:val="24"/>
          <w:szCs w:val="24"/>
        </w:rPr>
        <w:lastRenderedPageBreak/>
        <w:t xml:space="preserve">oxidative stress, disrupt cellular metabolism, impair organ function, and alter haematological parameters in both humans and experimental animals (Jaishankar </w:t>
      </w:r>
      <w:r>
        <w:rPr>
          <w:rFonts w:ascii="Times New Roman" w:hAnsi="Times New Roman"/>
          <w:i/>
          <w:sz w:val="24"/>
          <w:szCs w:val="24"/>
        </w:rPr>
        <w:t>et al.,</w:t>
      </w:r>
      <w:r>
        <w:rPr>
          <w:rFonts w:ascii="Times New Roman" w:hAnsi="Times New Roman"/>
          <w:sz w:val="24"/>
          <w:szCs w:val="24"/>
        </w:rPr>
        <w:t xml:space="preserve"> 2014). The kidney is particularly susceptible to cadmium toxicity </w:t>
      </w:r>
      <w:r>
        <w:rPr>
          <w:rFonts w:ascii="Times New Roman" w:hAnsi="Times New Roman"/>
          <w:sz w:val="24"/>
          <w:szCs w:val="24"/>
          <w:highlight w:val="yellow"/>
        </w:rPr>
        <w:t>beca</w:t>
      </w:r>
      <w:r>
        <w:rPr>
          <w:rFonts w:ascii="Times New Roman" w:hAnsi="Times New Roman"/>
          <w:sz w:val="24"/>
          <w:szCs w:val="24"/>
        </w:rPr>
        <w:t>u</w:t>
      </w:r>
      <w:r>
        <w:rPr>
          <w:rFonts w:ascii="Times New Roman" w:hAnsi="Times New Roman"/>
          <w:sz w:val="24"/>
          <w:szCs w:val="24"/>
          <w:highlight w:val="yellow"/>
        </w:rPr>
        <w:t>s</w:t>
      </w:r>
      <w:r>
        <w:rPr>
          <w:rFonts w:ascii="Times New Roman" w:hAnsi="Times New Roman"/>
          <w:sz w:val="24"/>
          <w:szCs w:val="24"/>
        </w:rPr>
        <w:t>e o</w:t>
      </w:r>
      <w:r>
        <w:rPr>
          <w:rFonts w:ascii="Times New Roman" w:hAnsi="Times New Roman"/>
          <w:sz w:val="24"/>
          <w:szCs w:val="24"/>
          <w:highlight w:val="yellow"/>
        </w:rPr>
        <w:t>f</w:t>
      </w:r>
      <w:r>
        <w:rPr>
          <w:rFonts w:ascii="Times New Roman" w:hAnsi="Times New Roman"/>
          <w:sz w:val="24"/>
          <w:szCs w:val="24"/>
        </w:rPr>
        <w:t xml:space="preserve"> its role in metal accumulation and excretion. In addition, cadmium exposure promotes the generation of reactive oxygen species (ROS), resulting in oxidative damage to cellular components and impairment of antioxidant defen</w:t>
      </w:r>
      <w:r>
        <w:rPr>
          <w:rFonts w:ascii="Times New Roman" w:hAnsi="Times New Roman"/>
          <w:sz w:val="24"/>
          <w:szCs w:val="24"/>
          <w:highlight w:val="yellow"/>
        </w:rPr>
        <w:t>c</w:t>
      </w:r>
      <w:r>
        <w:rPr>
          <w:rFonts w:ascii="Times New Roman" w:hAnsi="Times New Roman"/>
          <w:sz w:val="24"/>
          <w:szCs w:val="24"/>
        </w:rPr>
        <w:t>e systems (Th</w:t>
      </w:r>
      <w:r>
        <w:rPr>
          <w:rFonts w:ascii="Times New Roman" w:hAnsi="Times New Roman"/>
          <w:sz w:val="24"/>
          <w:szCs w:val="24"/>
          <w:highlight w:val="yellow"/>
        </w:rPr>
        <w:t>é</w:t>
      </w:r>
      <w:r>
        <w:rPr>
          <w:rFonts w:ascii="Times New Roman" w:hAnsi="Times New Roman"/>
          <w:sz w:val="24"/>
          <w:szCs w:val="24"/>
        </w:rPr>
        <w:t>venod, 2009). The findings of th</w:t>
      </w:r>
      <w:r>
        <w:rPr>
          <w:rFonts w:ascii="Times New Roman" w:hAnsi="Times New Roman"/>
          <w:sz w:val="24"/>
          <w:szCs w:val="24"/>
          <w:highlight w:val="yellow"/>
        </w:rPr>
        <w:t>is</w:t>
      </w:r>
      <w:r>
        <w:rPr>
          <w:rFonts w:ascii="Times New Roman" w:hAnsi="Times New Roman"/>
          <w:sz w:val="24"/>
          <w:szCs w:val="24"/>
        </w:rPr>
        <w:t xml:space="preserve"> study therefore provide insight into the protective potential of </w:t>
      </w:r>
      <w:r>
        <w:rPr>
          <w:rFonts w:ascii="Times New Roman" w:hAnsi="Times New Roman"/>
          <w:i/>
          <w:sz w:val="24"/>
          <w:szCs w:val="24"/>
        </w:rPr>
        <w:t>Pterocarpus santalinoides</w:t>
      </w:r>
      <w:r>
        <w:rPr>
          <w:rFonts w:ascii="Times New Roman" w:hAnsi="Times New Roman"/>
          <w:sz w:val="24"/>
          <w:szCs w:val="24"/>
        </w:rPr>
        <w:t xml:space="preserve"> leaf diet against cadmium-induced biochemical and haematological alterations.</w:t>
      </w:r>
    </w:p>
    <w:p w14:paraId="53FDA094"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 xml:space="preserve">The results </w:t>
      </w:r>
      <w:r>
        <w:rPr>
          <w:rFonts w:ascii="Times New Roman" w:hAnsi="Times New Roman"/>
          <w:sz w:val="24"/>
          <w:szCs w:val="24"/>
          <w:highlight w:val="yellow"/>
        </w:rPr>
        <w:t>f</w:t>
      </w:r>
      <w:r>
        <w:rPr>
          <w:rFonts w:ascii="Times New Roman" w:hAnsi="Times New Roman"/>
          <w:sz w:val="24"/>
          <w:szCs w:val="24"/>
        </w:rPr>
        <w:t>o</w:t>
      </w:r>
      <w:r>
        <w:rPr>
          <w:rFonts w:ascii="Times New Roman" w:hAnsi="Times New Roman"/>
          <w:sz w:val="24"/>
          <w:szCs w:val="24"/>
          <w:highlight w:val="yellow"/>
        </w:rPr>
        <w:t>r</w:t>
      </w:r>
      <w:r>
        <w:rPr>
          <w:rFonts w:ascii="Times New Roman" w:hAnsi="Times New Roman"/>
          <w:sz w:val="24"/>
          <w:szCs w:val="24"/>
        </w:rPr>
        <w:t xml:space="preserve"> kidney function indices revealed that cadmium exposure significantly elevated serum urea and creatinine concentrations in the negative control group compared </w:t>
      </w:r>
      <w:r>
        <w:rPr>
          <w:rFonts w:ascii="Times New Roman" w:hAnsi="Times New Roman"/>
          <w:sz w:val="24"/>
          <w:szCs w:val="24"/>
          <w:highlight w:val="yellow"/>
        </w:rPr>
        <w:t>wi</w:t>
      </w:r>
      <w:r>
        <w:rPr>
          <w:rFonts w:ascii="Times New Roman" w:hAnsi="Times New Roman"/>
          <w:sz w:val="24"/>
          <w:szCs w:val="24"/>
        </w:rPr>
        <w:t>t</w:t>
      </w:r>
      <w:r>
        <w:rPr>
          <w:rFonts w:ascii="Times New Roman" w:hAnsi="Times New Roman"/>
          <w:sz w:val="24"/>
          <w:szCs w:val="24"/>
          <w:highlight w:val="yellow"/>
        </w:rPr>
        <w:t>h</w:t>
      </w:r>
      <w:r>
        <w:rPr>
          <w:rFonts w:ascii="Times New Roman" w:hAnsi="Times New Roman"/>
          <w:sz w:val="24"/>
          <w:szCs w:val="24"/>
        </w:rPr>
        <w:t xml:space="preserve"> the normal control group. Increased levels of these parameters are classical indicators of renal dysfunction and suggest impairment of glomerular filtration resulting from cadmium-induced nephrotoxicity. This observation agrees with the findings of El-Demerdash </w:t>
      </w:r>
      <w:r>
        <w:rPr>
          <w:rFonts w:ascii="Times New Roman" w:hAnsi="Times New Roman"/>
          <w:i/>
          <w:sz w:val="24"/>
          <w:szCs w:val="24"/>
        </w:rPr>
        <w:t>et al.</w:t>
      </w:r>
      <w:r>
        <w:rPr>
          <w:rFonts w:ascii="Times New Roman" w:hAnsi="Times New Roman"/>
          <w:sz w:val="24"/>
          <w:szCs w:val="24"/>
        </w:rPr>
        <w:t xml:space="preserve"> (2004)</w:t>
      </w:r>
      <w:r>
        <w:rPr>
          <w:rFonts w:ascii="Times New Roman" w:hAnsi="Times New Roman"/>
          <w:sz w:val="24"/>
          <w:szCs w:val="24"/>
          <w:highlight w:val="yellow"/>
        </w:rPr>
        <w:t>,</w:t>
      </w:r>
      <w:r>
        <w:rPr>
          <w:rFonts w:ascii="Times New Roman" w:hAnsi="Times New Roman"/>
          <w:sz w:val="24"/>
          <w:szCs w:val="24"/>
        </w:rPr>
        <w:t xml:space="preserve"> who reported significant increases in serum urea and creatinine levels following cadmium exposure in experimental animals. Similarly, Renugadevi </w:t>
      </w:r>
      <w:r>
        <w:rPr>
          <w:rFonts w:ascii="Times New Roman" w:hAnsi="Times New Roman"/>
          <w:sz w:val="24"/>
          <w:szCs w:val="24"/>
          <w:highlight w:val="yellow"/>
        </w:rPr>
        <w:t>and</w:t>
      </w:r>
      <w:r>
        <w:rPr>
          <w:rFonts w:ascii="Times New Roman" w:hAnsi="Times New Roman"/>
          <w:sz w:val="24"/>
          <w:szCs w:val="24"/>
        </w:rPr>
        <w:t xml:space="preserve"> Prabu (2010) observed that cadmium administration caused marked renal damage accompanied by elevated urea and creatinine concentrations. Dietary supplementation with </w:t>
      </w:r>
      <w:r>
        <w:rPr>
          <w:rFonts w:ascii="Times New Roman" w:hAnsi="Times New Roman"/>
          <w:i/>
          <w:sz w:val="24"/>
          <w:szCs w:val="24"/>
        </w:rPr>
        <w:t xml:space="preserve">Pterocarpus santalinoides </w:t>
      </w:r>
      <w:r>
        <w:rPr>
          <w:rFonts w:ascii="Times New Roman" w:hAnsi="Times New Roman"/>
          <w:sz w:val="24"/>
          <w:szCs w:val="24"/>
        </w:rPr>
        <w:t xml:space="preserve">leaves significantly reduced serum urea (LD 6.10 ± 0.42, MD 5.24 ± 0.38, HD 4.42 ± 0.31) and creatinine levels (LD 0.88 ± 0.06, MD 0.74 ± 0.05, HD 0.61 ± 0.04) in a dose-dependent manner. The progressive decline observed from the low-dose to the high-dose groups suggests improvement in kidney function </w:t>
      </w:r>
      <w:r>
        <w:rPr>
          <w:rFonts w:ascii="Times New Roman" w:hAnsi="Times New Roman"/>
          <w:sz w:val="24"/>
          <w:szCs w:val="24"/>
          <w:highlight w:val="yellow"/>
        </w:rPr>
        <w:t xml:space="preserve">indices </w:t>
      </w:r>
      <w:r>
        <w:rPr>
          <w:rFonts w:ascii="Times New Roman" w:hAnsi="Times New Roman"/>
          <w:sz w:val="24"/>
          <w:szCs w:val="24"/>
        </w:rPr>
        <w:t>and a reduction in cadmium-</w:t>
      </w:r>
      <w:r>
        <w:rPr>
          <w:rFonts w:ascii="Times New Roman" w:hAnsi="Times New Roman"/>
          <w:sz w:val="24"/>
          <w:szCs w:val="24"/>
          <w:highlight w:val="yellow"/>
        </w:rPr>
        <w:t>assoc</w:t>
      </w:r>
      <w:r>
        <w:rPr>
          <w:rFonts w:ascii="Times New Roman" w:hAnsi="Times New Roman"/>
          <w:sz w:val="24"/>
          <w:szCs w:val="24"/>
        </w:rPr>
        <w:t>i</w:t>
      </w:r>
      <w:r>
        <w:rPr>
          <w:rFonts w:ascii="Times New Roman" w:hAnsi="Times New Roman"/>
          <w:sz w:val="24"/>
          <w:szCs w:val="24"/>
          <w:highlight w:val="yellow"/>
        </w:rPr>
        <w:t>at</w:t>
      </w:r>
      <w:r>
        <w:rPr>
          <w:rFonts w:ascii="Times New Roman" w:hAnsi="Times New Roman"/>
          <w:sz w:val="24"/>
          <w:szCs w:val="24"/>
        </w:rPr>
        <w:t xml:space="preserve">ed renal </w:t>
      </w:r>
      <w:r>
        <w:rPr>
          <w:rFonts w:ascii="Times New Roman" w:hAnsi="Times New Roman"/>
          <w:sz w:val="24"/>
          <w:szCs w:val="24"/>
          <w:highlight w:val="yellow"/>
        </w:rPr>
        <w:t>dysfunct</w:t>
      </w:r>
      <w:r>
        <w:rPr>
          <w:rFonts w:ascii="Times New Roman" w:hAnsi="Times New Roman"/>
          <w:sz w:val="24"/>
          <w:szCs w:val="24"/>
        </w:rPr>
        <w:t>i</w:t>
      </w:r>
      <w:r>
        <w:rPr>
          <w:rFonts w:ascii="Times New Roman" w:hAnsi="Times New Roman"/>
          <w:sz w:val="24"/>
          <w:szCs w:val="24"/>
          <w:highlight w:val="yellow"/>
        </w:rPr>
        <w:t>o</w:t>
      </w:r>
      <w:r>
        <w:rPr>
          <w:rFonts w:ascii="Times New Roman" w:hAnsi="Times New Roman"/>
          <w:sz w:val="24"/>
          <w:szCs w:val="24"/>
        </w:rPr>
        <w:t xml:space="preserve">n. The values recorded in the high-dose group approached those of the normal control, indicating </w:t>
      </w:r>
      <w:r>
        <w:rPr>
          <w:rFonts w:ascii="Times New Roman" w:hAnsi="Times New Roman"/>
          <w:sz w:val="24"/>
          <w:szCs w:val="24"/>
          <w:highlight w:val="yellow"/>
        </w:rPr>
        <w:t>improvement in the mea</w:t>
      </w:r>
      <w:r>
        <w:rPr>
          <w:rFonts w:ascii="Times New Roman" w:hAnsi="Times New Roman"/>
          <w:sz w:val="24"/>
          <w:szCs w:val="24"/>
        </w:rPr>
        <w:t>sure</w:t>
      </w:r>
      <w:r>
        <w:rPr>
          <w:rFonts w:ascii="Times New Roman" w:hAnsi="Times New Roman"/>
          <w:sz w:val="24"/>
          <w:szCs w:val="24"/>
          <w:highlight w:val="yellow"/>
        </w:rPr>
        <w:t>d</w:t>
      </w:r>
      <w:r>
        <w:rPr>
          <w:rFonts w:ascii="Times New Roman" w:hAnsi="Times New Roman"/>
          <w:sz w:val="24"/>
          <w:szCs w:val="24"/>
        </w:rPr>
        <w:t xml:space="preserve"> renal in</w:t>
      </w:r>
      <w:r>
        <w:rPr>
          <w:rFonts w:ascii="Times New Roman" w:hAnsi="Times New Roman"/>
          <w:sz w:val="24"/>
          <w:szCs w:val="24"/>
          <w:highlight w:val="yellow"/>
        </w:rPr>
        <w:t>dic</w:t>
      </w:r>
      <w:r>
        <w:rPr>
          <w:rFonts w:ascii="Times New Roman" w:hAnsi="Times New Roman"/>
          <w:sz w:val="24"/>
          <w:szCs w:val="24"/>
        </w:rPr>
        <w:t>e</w:t>
      </w:r>
      <w:r>
        <w:rPr>
          <w:rFonts w:ascii="Times New Roman" w:hAnsi="Times New Roman"/>
          <w:sz w:val="24"/>
          <w:szCs w:val="24"/>
          <w:highlight w:val="yellow"/>
        </w:rPr>
        <w:t>s</w:t>
      </w:r>
      <w:r>
        <w:rPr>
          <w:rFonts w:ascii="Times New Roman" w:hAnsi="Times New Roman"/>
          <w:sz w:val="24"/>
          <w:szCs w:val="24"/>
        </w:rPr>
        <w:t>. This protective effect may be a</w:t>
      </w:r>
      <w:r>
        <w:rPr>
          <w:rFonts w:ascii="Times New Roman" w:hAnsi="Times New Roman"/>
          <w:sz w:val="24"/>
          <w:szCs w:val="24"/>
          <w:highlight w:val="yellow"/>
        </w:rPr>
        <w:t>ssoc</w:t>
      </w:r>
      <w:r>
        <w:rPr>
          <w:rFonts w:ascii="Times New Roman" w:hAnsi="Times New Roman"/>
          <w:sz w:val="24"/>
          <w:szCs w:val="24"/>
        </w:rPr>
        <w:t>i</w:t>
      </w:r>
      <w:r>
        <w:rPr>
          <w:rFonts w:ascii="Times New Roman" w:hAnsi="Times New Roman"/>
          <w:sz w:val="24"/>
          <w:szCs w:val="24"/>
          <w:highlight w:val="yellow"/>
        </w:rPr>
        <w:t>a</w:t>
      </w:r>
      <w:r>
        <w:rPr>
          <w:rFonts w:ascii="Times New Roman" w:hAnsi="Times New Roman"/>
          <w:sz w:val="24"/>
          <w:szCs w:val="24"/>
        </w:rPr>
        <w:t xml:space="preserve">ted </w:t>
      </w:r>
      <w:r>
        <w:rPr>
          <w:rFonts w:ascii="Times New Roman" w:hAnsi="Times New Roman"/>
          <w:sz w:val="24"/>
          <w:szCs w:val="24"/>
          <w:highlight w:val="yellow"/>
        </w:rPr>
        <w:t>wi</w:t>
      </w:r>
      <w:r>
        <w:rPr>
          <w:rFonts w:ascii="Times New Roman" w:hAnsi="Times New Roman"/>
          <w:sz w:val="24"/>
          <w:szCs w:val="24"/>
        </w:rPr>
        <w:t>th antioxidant phytochemicals capable of red</w:t>
      </w:r>
      <w:r>
        <w:rPr>
          <w:rFonts w:ascii="Times New Roman" w:hAnsi="Times New Roman"/>
          <w:sz w:val="24"/>
          <w:szCs w:val="24"/>
          <w:highlight w:val="yellow"/>
        </w:rPr>
        <w:t>u</w:t>
      </w:r>
      <w:r>
        <w:rPr>
          <w:rFonts w:ascii="Times New Roman" w:hAnsi="Times New Roman"/>
          <w:sz w:val="24"/>
          <w:szCs w:val="24"/>
        </w:rPr>
        <w:t xml:space="preserve">cing oxidative damage. Olagunju </w:t>
      </w:r>
      <w:r>
        <w:rPr>
          <w:rFonts w:ascii="Times New Roman" w:hAnsi="Times New Roman"/>
          <w:i/>
          <w:sz w:val="24"/>
          <w:szCs w:val="24"/>
        </w:rPr>
        <w:t>et al.</w:t>
      </w:r>
      <w:r>
        <w:rPr>
          <w:rFonts w:ascii="Times New Roman" w:hAnsi="Times New Roman"/>
          <w:sz w:val="24"/>
          <w:szCs w:val="24"/>
        </w:rPr>
        <w:t xml:space="preserve"> (2017) </w:t>
      </w:r>
      <w:r>
        <w:rPr>
          <w:rFonts w:ascii="Times New Roman" w:hAnsi="Times New Roman"/>
          <w:sz w:val="24"/>
          <w:szCs w:val="24"/>
          <w:highlight w:val="yellow"/>
        </w:rPr>
        <w:t>als</w:t>
      </w:r>
      <w:r>
        <w:rPr>
          <w:rFonts w:ascii="Times New Roman" w:hAnsi="Times New Roman"/>
          <w:sz w:val="24"/>
          <w:szCs w:val="24"/>
        </w:rPr>
        <w:t xml:space="preserve">o </w:t>
      </w:r>
      <w:r>
        <w:rPr>
          <w:rFonts w:ascii="Times New Roman" w:hAnsi="Times New Roman"/>
          <w:sz w:val="24"/>
          <w:szCs w:val="24"/>
          <w:highlight w:val="yellow"/>
        </w:rPr>
        <w:t>reporte</w:t>
      </w:r>
      <w:r>
        <w:rPr>
          <w:rFonts w:ascii="Times New Roman" w:hAnsi="Times New Roman"/>
          <w:sz w:val="24"/>
          <w:szCs w:val="24"/>
        </w:rPr>
        <w:t>d</w:t>
      </w:r>
      <w:r>
        <w:rPr>
          <w:rFonts w:ascii="Times New Roman" w:hAnsi="Times New Roman"/>
          <w:sz w:val="24"/>
          <w:szCs w:val="24"/>
          <w:highlight w:val="yellow"/>
        </w:rPr>
        <w:t xml:space="preserve"> bioch</w:t>
      </w:r>
      <w:r>
        <w:rPr>
          <w:rFonts w:ascii="Times New Roman" w:hAnsi="Times New Roman"/>
          <w:sz w:val="24"/>
          <w:szCs w:val="24"/>
        </w:rPr>
        <w:t>em</w:t>
      </w:r>
      <w:r>
        <w:rPr>
          <w:rFonts w:ascii="Times New Roman" w:hAnsi="Times New Roman"/>
          <w:sz w:val="24"/>
          <w:szCs w:val="24"/>
          <w:highlight w:val="yellow"/>
        </w:rPr>
        <w:t>ical effects f</w:t>
      </w:r>
      <w:r>
        <w:rPr>
          <w:rFonts w:ascii="Times New Roman" w:hAnsi="Times New Roman"/>
          <w:sz w:val="24"/>
          <w:szCs w:val="24"/>
        </w:rPr>
        <w:t>o</w:t>
      </w:r>
      <w:r>
        <w:rPr>
          <w:rFonts w:ascii="Times New Roman" w:hAnsi="Times New Roman"/>
          <w:sz w:val="24"/>
          <w:szCs w:val="24"/>
          <w:highlight w:val="yellow"/>
        </w:rPr>
        <w:t>llowi</w:t>
      </w:r>
      <w:r>
        <w:rPr>
          <w:rFonts w:ascii="Times New Roman" w:hAnsi="Times New Roman"/>
          <w:sz w:val="24"/>
          <w:szCs w:val="24"/>
        </w:rPr>
        <w:t>n</w:t>
      </w:r>
      <w:r>
        <w:rPr>
          <w:rFonts w:ascii="Times New Roman" w:hAnsi="Times New Roman"/>
          <w:sz w:val="24"/>
          <w:szCs w:val="24"/>
          <w:highlight w:val="yellow"/>
        </w:rPr>
        <w:t>g admini</w:t>
      </w:r>
      <w:r>
        <w:rPr>
          <w:rFonts w:ascii="Times New Roman" w:hAnsi="Times New Roman"/>
          <w:sz w:val="24"/>
          <w:szCs w:val="24"/>
        </w:rPr>
        <w:t>strat</w:t>
      </w:r>
      <w:r>
        <w:rPr>
          <w:rFonts w:ascii="Times New Roman" w:hAnsi="Times New Roman"/>
          <w:sz w:val="24"/>
          <w:szCs w:val="24"/>
          <w:highlight w:val="yellow"/>
        </w:rPr>
        <w:t xml:space="preserve">ion of </w:t>
      </w:r>
      <w:r>
        <w:rPr>
          <w:rFonts w:ascii="Times New Roman" w:hAnsi="Times New Roman"/>
          <w:i/>
          <w:sz w:val="24"/>
          <w:szCs w:val="24"/>
          <w:highlight w:val="yellow"/>
        </w:rPr>
        <w:t>P</w:t>
      </w:r>
      <w:r>
        <w:rPr>
          <w:rFonts w:ascii="Times New Roman" w:hAnsi="Times New Roman"/>
          <w:i/>
          <w:sz w:val="24"/>
          <w:szCs w:val="24"/>
        </w:rPr>
        <w:t>e</w:t>
      </w:r>
      <w:r>
        <w:rPr>
          <w:rFonts w:ascii="Times New Roman" w:hAnsi="Times New Roman"/>
          <w:i/>
          <w:sz w:val="24"/>
          <w:szCs w:val="24"/>
          <w:highlight w:val="yellow"/>
        </w:rPr>
        <w:t>r</w:t>
      </w:r>
      <w:r>
        <w:rPr>
          <w:rFonts w:ascii="Times New Roman" w:hAnsi="Times New Roman"/>
          <w:i/>
          <w:sz w:val="24"/>
          <w:szCs w:val="24"/>
        </w:rPr>
        <w:t>se</w:t>
      </w:r>
      <w:r>
        <w:rPr>
          <w:rFonts w:ascii="Times New Roman" w:hAnsi="Times New Roman"/>
          <w:i/>
          <w:sz w:val="24"/>
          <w:szCs w:val="24"/>
          <w:highlight w:val="yellow"/>
        </w:rPr>
        <w:t>a</w:t>
      </w:r>
      <w:r>
        <w:rPr>
          <w:rFonts w:ascii="Times New Roman" w:hAnsi="Times New Roman"/>
          <w:i/>
          <w:sz w:val="24"/>
          <w:szCs w:val="24"/>
        </w:rPr>
        <w:t xml:space="preserve"> </w:t>
      </w:r>
      <w:r>
        <w:rPr>
          <w:rFonts w:ascii="Times New Roman" w:hAnsi="Times New Roman"/>
          <w:i/>
          <w:sz w:val="24"/>
          <w:szCs w:val="24"/>
          <w:highlight w:val="yellow"/>
        </w:rPr>
        <w:t>am</w:t>
      </w:r>
      <w:r>
        <w:rPr>
          <w:rFonts w:ascii="Times New Roman" w:hAnsi="Times New Roman"/>
          <w:i/>
          <w:sz w:val="24"/>
          <w:szCs w:val="24"/>
        </w:rPr>
        <w:t>eric</w:t>
      </w:r>
      <w:r>
        <w:rPr>
          <w:rFonts w:ascii="Times New Roman" w:hAnsi="Times New Roman"/>
          <w:i/>
          <w:sz w:val="24"/>
          <w:szCs w:val="24"/>
          <w:highlight w:val="yellow"/>
        </w:rPr>
        <w:t>ana</w:t>
      </w:r>
      <w:r>
        <w:rPr>
          <w:rFonts w:ascii="Times New Roman" w:hAnsi="Times New Roman"/>
          <w:sz w:val="24"/>
          <w:szCs w:val="24"/>
          <w:highlight w:val="yellow"/>
        </w:rPr>
        <w:t xml:space="preserve"> extracts</w:t>
      </w:r>
      <w:r>
        <w:rPr>
          <w:rFonts w:ascii="Times New Roman" w:hAnsi="Times New Roman"/>
          <w:sz w:val="24"/>
          <w:szCs w:val="24"/>
        </w:rPr>
        <w:t xml:space="preserve"> in a</w:t>
      </w:r>
      <w:r>
        <w:rPr>
          <w:rFonts w:ascii="Times New Roman" w:hAnsi="Times New Roman"/>
          <w:sz w:val="24"/>
          <w:szCs w:val="24"/>
          <w:highlight w:val="yellow"/>
        </w:rPr>
        <w:t>lbi</w:t>
      </w:r>
      <w:r>
        <w:rPr>
          <w:rFonts w:ascii="Times New Roman" w:hAnsi="Times New Roman"/>
          <w:sz w:val="24"/>
          <w:szCs w:val="24"/>
        </w:rPr>
        <w:t>no rats.</w:t>
      </w:r>
    </w:p>
    <w:p w14:paraId="44061F23"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The antioxidant enzyme results showed that cadmium exposure significantly reduced the activities of superoxide dismutase (SOD) and catalase in the negative control group. This reduction indicates depletion of endogenous antioxidant defen</w:t>
      </w:r>
      <w:r>
        <w:rPr>
          <w:rFonts w:ascii="Times New Roman" w:hAnsi="Times New Roman"/>
          <w:sz w:val="24"/>
          <w:szCs w:val="24"/>
          <w:highlight w:val="yellow"/>
        </w:rPr>
        <w:t>c</w:t>
      </w:r>
      <w:r>
        <w:rPr>
          <w:rFonts w:ascii="Times New Roman" w:hAnsi="Times New Roman"/>
          <w:sz w:val="24"/>
          <w:szCs w:val="24"/>
        </w:rPr>
        <w:t xml:space="preserve">es due to excessive generation of reactive oxygen species. SOD and catalase </w:t>
      </w:r>
      <w:r>
        <w:rPr>
          <w:rFonts w:ascii="Times New Roman" w:hAnsi="Times New Roman"/>
          <w:sz w:val="24"/>
          <w:szCs w:val="24"/>
        </w:rPr>
        <w:lastRenderedPageBreak/>
        <w:t>constitute major components of the cellular antioxidant system and play crucial roles in neutrali</w:t>
      </w:r>
      <w:r>
        <w:rPr>
          <w:rFonts w:ascii="Times New Roman" w:hAnsi="Times New Roman"/>
          <w:sz w:val="24"/>
          <w:szCs w:val="24"/>
          <w:highlight w:val="yellow"/>
        </w:rPr>
        <w:t>s</w:t>
      </w:r>
      <w:r>
        <w:rPr>
          <w:rFonts w:ascii="Times New Roman" w:hAnsi="Times New Roman"/>
          <w:sz w:val="24"/>
          <w:szCs w:val="24"/>
        </w:rPr>
        <w:t xml:space="preserve">ing free radicals and preventing oxidative injury (Halliwell &amp; Gutteridge, 2015). The observed decrease in antioxidant enzyme activities is therefore indicative of oxidative stress </w:t>
      </w:r>
      <w:r>
        <w:rPr>
          <w:rFonts w:ascii="Times New Roman" w:hAnsi="Times New Roman"/>
          <w:sz w:val="24"/>
          <w:szCs w:val="24"/>
          <w:highlight w:val="yellow"/>
        </w:rPr>
        <w:t>assoc</w:t>
      </w:r>
      <w:r>
        <w:rPr>
          <w:rFonts w:ascii="Times New Roman" w:hAnsi="Times New Roman"/>
          <w:sz w:val="24"/>
          <w:szCs w:val="24"/>
        </w:rPr>
        <w:t>i</w:t>
      </w:r>
      <w:r>
        <w:rPr>
          <w:rFonts w:ascii="Times New Roman" w:hAnsi="Times New Roman"/>
          <w:sz w:val="24"/>
          <w:szCs w:val="24"/>
          <w:highlight w:val="yellow"/>
        </w:rPr>
        <w:t>at</w:t>
      </w:r>
      <w:r>
        <w:rPr>
          <w:rFonts w:ascii="Times New Roman" w:hAnsi="Times New Roman"/>
          <w:sz w:val="24"/>
          <w:szCs w:val="24"/>
        </w:rPr>
        <w:t xml:space="preserve">ed </w:t>
      </w:r>
      <w:r>
        <w:rPr>
          <w:rFonts w:ascii="Times New Roman" w:hAnsi="Times New Roman"/>
          <w:sz w:val="24"/>
          <w:szCs w:val="24"/>
          <w:highlight w:val="yellow"/>
        </w:rPr>
        <w:t>with</w:t>
      </w:r>
      <w:r>
        <w:rPr>
          <w:rFonts w:ascii="Times New Roman" w:hAnsi="Times New Roman"/>
          <w:sz w:val="24"/>
          <w:szCs w:val="24"/>
        </w:rPr>
        <w:t xml:space="preserve"> cadmium toxicity. </w:t>
      </w:r>
      <w:r>
        <w:rPr>
          <w:rFonts w:ascii="Times New Roman" w:hAnsi="Times New Roman"/>
          <w:sz w:val="24"/>
          <w:szCs w:val="24"/>
          <w:highlight w:val="yellow"/>
        </w:rPr>
        <w:t>A</w:t>
      </w:r>
      <w:r>
        <w:rPr>
          <w:rFonts w:ascii="Times New Roman" w:hAnsi="Times New Roman"/>
          <w:sz w:val="24"/>
          <w:szCs w:val="24"/>
        </w:rPr>
        <w:t xml:space="preserve">dministration of </w:t>
      </w:r>
      <w:r>
        <w:rPr>
          <w:rFonts w:ascii="Times New Roman" w:hAnsi="Times New Roman"/>
          <w:i/>
          <w:sz w:val="24"/>
          <w:szCs w:val="24"/>
          <w:highlight w:val="yellow"/>
        </w:rPr>
        <w:t>the P</w:t>
      </w:r>
      <w:r>
        <w:rPr>
          <w:rFonts w:ascii="Times New Roman" w:hAnsi="Times New Roman"/>
          <w:i/>
          <w:sz w:val="24"/>
          <w:szCs w:val="24"/>
        </w:rPr>
        <w:t xml:space="preserve">terocarpus santalinoides </w:t>
      </w:r>
      <w:r>
        <w:rPr>
          <w:rFonts w:ascii="Times New Roman" w:hAnsi="Times New Roman"/>
          <w:sz w:val="24"/>
          <w:szCs w:val="24"/>
        </w:rPr>
        <w:t>leaf diet significantly enhanced SOD and catalase activities in all treated groups, with the highest values recorded in the high-dose group. These findings suggest that the leaf diet strengthened the antioxidant defen</w:t>
      </w:r>
      <w:r>
        <w:rPr>
          <w:rFonts w:ascii="Times New Roman" w:hAnsi="Times New Roman"/>
          <w:sz w:val="24"/>
          <w:szCs w:val="24"/>
          <w:highlight w:val="yellow"/>
        </w:rPr>
        <w:t>c</w:t>
      </w:r>
      <w:r>
        <w:rPr>
          <w:rFonts w:ascii="Times New Roman" w:hAnsi="Times New Roman"/>
          <w:sz w:val="24"/>
          <w:szCs w:val="24"/>
        </w:rPr>
        <w:t>e system and improved the capacity of the animals to counteract oxidative stress. The restoration of antioxidant enzyme activities observed in the treated groups supports the po</w:t>
      </w:r>
      <w:r>
        <w:rPr>
          <w:rFonts w:ascii="Times New Roman" w:hAnsi="Times New Roman"/>
          <w:sz w:val="24"/>
          <w:szCs w:val="24"/>
          <w:highlight w:val="yellow"/>
        </w:rPr>
        <w:t>s</w:t>
      </w:r>
      <w:r>
        <w:rPr>
          <w:rFonts w:ascii="Times New Roman" w:hAnsi="Times New Roman"/>
          <w:sz w:val="24"/>
          <w:szCs w:val="24"/>
        </w:rPr>
        <w:t>si</w:t>
      </w:r>
      <w:r>
        <w:rPr>
          <w:rFonts w:ascii="Times New Roman" w:hAnsi="Times New Roman"/>
          <w:sz w:val="24"/>
          <w:szCs w:val="24"/>
          <w:highlight w:val="yellow"/>
        </w:rPr>
        <w:t>bility</w:t>
      </w:r>
      <w:r>
        <w:rPr>
          <w:rFonts w:ascii="Times New Roman" w:hAnsi="Times New Roman"/>
          <w:sz w:val="24"/>
          <w:szCs w:val="24"/>
        </w:rPr>
        <w:t xml:space="preserve"> that the leaves contain antioxidant phytochemicals capable of reducing free radical accumulation. Similar findings were reported by Flora </w:t>
      </w:r>
      <w:r>
        <w:rPr>
          <w:rFonts w:ascii="Times New Roman" w:hAnsi="Times New Roman"/>
          <w:i/>
          <w:sz w:val="24"/>
          <w:szCs w:val="24"/>
        </w:rPr>
        <w:t>et al.</w:t>
      </w:r>
      <w:r>
        <w:rPr>
          <w:rFonts w:ascii="Times New Roman" w:hAnsi="Times New Roman"/>
          <w:sz w:val="24"/>
          <w:szCs w:val="24"/>
        </w:rPr>
        <w:t xml:space="preserve"> (20</w:t>
      </w:r>
      <w:r>
        <w:rPr>
          <w:rFonts w:ascii="Times New Roman" w:hAnsi="Times New Roman"/>
          <w:sz w:val="24"/>
          <w:szCs w:val="24"/>
          <w:highlight w:val="yellow"/>
        </w:rPr>
        <w:t>08</w:t>
      </w:r>
      <w:r>
        <w:rPr>
          <w:rFonts w:ascii="Times New Roman" w:hAnsi="Times New Roman"/>
          <w:sz w:val="24"/>
          <w:szCs w:val="24"/>
        </w:rPr>
        <w:t xml:space="preserve">), who </w:t>
      </w:r>
      <w:r>
        <w:rPr>
          <w:rFonts w:ascii="Times New Roman" w:hAnsi="Times New Roman"/>
          <w:sz w:val="24"/>
          <w:szCs w:val="24"/>
          <w:highlight w:val="yellow"/>
        </w:rPr>
        <w:t>di</w:t>
      </w:r>
      <w:r>
        <w:rPr>
          <w:rFonts w:ascii="Times New Roman" w:hAnsi="Times New Roman"/>
          <w:sz w:val="24"/>
          <w:szCs w:val="24"/>
        </w:rPr>
        <w:t>s</w:t>
      </w:r>
      <w:r>
        <w:rPr>
          <w:rFonts w:ascii="Times New Roman" w:hAnsi="Times New Roman"/>
          <w:sz w:val="24"/>
          <w:szCs w:val="24"/>
          <w:highlight w:val="yellow"/>
        </w:rPr>
        <w:t>cuss</w:t>
      </w:r>
      <w:r>
        <w:rPr>
          <w:rFonts w:ascii="Times New Roman" w:hAnsi="Times New Roman"/>
          <w:sz w:val="24"/>
          <w:szCs w:val="24"/>
        </w:rPr>
        <w:t>ed th</w:t>
      </w:r>
      <w:r>
        <w:rPr>
          <w:rFonts w:ascii="Times New Roman" w:hAnsi="Times New Roman"/>
          <w:sz w:val="24"/>
          <w:szCs w:val="24"/>
          <w:highlight w:val="yellow"/>
        </w:rPr>
        <w:t>e</w:t>
      </w:r>
      <w:r>
        <w:rPr>
          <w:rFonts w:ascii="Times New Roman" w:hAnsi="Times New Roman"/>
          <w:sz w:val="24"/>
          <w:szCs w:val="24"/>
        </w:rPr>
        <w:t xml:space="preserve"> </w:t>
      </w:r>
      <w:r>
        <w:rPr>
          <w:rFonts w:ascii="Times New Roman" w:hAnsi="Times New Roman"/>
          <w:sz w:val="24"/>
          <w:szCs w:val="24"/>
          <w:highlight w:val="yellow"/>
        </w:rPr>
        <w:t>ro</w:t>
      </w:r>
      <w:r>
        <w:rPr>
          <w:rFonts w:ascii="Times New Roman" w:hAnsi="Times New Roman"/>
          <w:sz w:val="24"/>
          <w:szCs w:val="24"/>
        </w:rPr>
        <w:t>le</w:t>
      </w:r>
      <w:r>
        <w:rPr>
          <w:rFonts w:ascii="Times New Roman" w:hAnsi="Times New Roman"/>
          <w:sz w:val="24"/>
          <w:szCs w:val="24"/>
          <w:highlight w:val="yellow"/>
        </w:rPr>
        <w:t xml:space="preserve"> of</w:t>
      </w:r>
      <w:r>
        <w:rPr>
          <w:rFonts w:ascii="Times New Roman" w:hAnsi="Times New Roman"/>
          <w:sz w:val="24"/>
          <w:szCs w:val="24"/>
        </w:rPr>
        <w:t xml:space="preserve"> antioxidants </w:t>
      </w:r>
      <w:r>
        <w:rPr>
          <w:rFonts w:ascii="Times New Roman" w:hAnsi="Times New Roman"/>
          <w:sz w:val="24"/>
          <w:szCs w:val="24"/>
          <w:highlight w:val="yellow"/>
        </w:rPr>
        <w:t xml:space="preserve">in </w:t>
      </w:r>
      <w:r>
        <w:rPr>
          <w:rFonts w:ascii="Times New Roman" w:hAnsi="Times New Roman"/>
          <w:sz w:val="24"/>
          <w:szCs w:val="24"/>
        </w:rPr>
        <w:t>co</w:t>
      </w:r>
      <w:r>
        <w:rPr>
          <w:rFonts w:ascii="Times New Roman" w:hAnsi="Times New Roman"/>
          <w:sz w:val="24"/>
          <w:szCs w:val="24"/>
          <w:highlight w:val="yellow"/>
        </w:rPr>
        <w:t>u</w:t>
      </w:r>
      <w:r>
        <w:rPr>
          <w:rFonts w:ascii="Times New Roman" w:hAnsi="Times New Roman"/>
          <w:sz w:val="24"/>
          <w:szCs w:val="24"/>
        </w:rPr>
        <w:t>nte</w:t>
      </w:r>
      <w:r>
        <w:rPr>
          <w:rFonts w:ascii="Times New Roman" w:hAnsi="Times New Roman"/>
          <w:sz w:val="24"/>
          <w:szCs w:val="24"/>
          <w:highlight w:val="yellow"/>
        </w:rPr>
        <w:t>r</w:t>
      </w:r>
      <w:r>
        <w:rPr>
          <w:rFonts w:ascii="Times New Roman" w:hAnsi="Times New Roman"/>
          <w:sz w:val="24"/>
          <w:szCs w:val="24"/>
        </w:rPr>
        <w:t>actin</w:t>
      </w:r>
      <w:r>
        <w:rPr>
          <w:rFonts w:ascii="Times New Roman" w:hAnsi="Times New Roman"/>
          <w:sz w:val="24"/>
          <w:szCs w:val="24"/>
          <w:highlight w:val="yellow"/>
        </w:rPr>
        <w:t>g</w:t>
      </w:r>
      <w:r>
        <w:rPr>
          <w:rFonts w:ascii="Times New Roman" w:hAnsi="Times New Roman"/>
          <w:sz w:val="24"/>
          <w:szCs w:val="24"/>
        </w:rPr>
        <w:t xml:space="preserve"> heavy metal-</w:t>
      </w:r>
      <w:r>
        <w:rPr>
          <w:rFonts w:ascii="Times New Roman" w:hAnsi="Times New Roman"/>
          <w:sz w:val="24"/>
          <w:szCs w:val="24"/>
          <w:highlight w:val="yellow"/>
        </w:rPr>
        <w:t>induc</w:t>
      </w:r>
      <w:r>
        <w:rPr>
          <w:rFonts w:ascii="Times New Roman" w:hAnsi="Times New Roman"/>
          <w:sz w:val="24"/>
          <w:szCs w:val="24"/>
        </w:rPr>
        <w:t xml:space="preserve">ed </w:t>
      </w:r>
      <w:r>
        <w:rPr>
          <w:rFonts w:ascii="Times New Roman" w:hAnsi="Times New Roman"/>
          <w:sz w:val="24"/>
          <w:szCs w:val="24"/>
          <w:highlight w:val="yellow"/>
        </w:rPr>
        <w:t>oxid</w:t>
      </w:r>
      <w:r>
        <w:rPr>
          <w:rFonts w:ascii="Times New Roman" w:hAnsi="Times New Roman"/>
          <w:sz w:val="24"/>
          <w:szCs w:val="24"/>
        </w:rPr>
        <w:t>a</w:t>
      </w:r>
      <w:r>
        <w:rPr>
          <w:rFonts w:ascii="Times New Roman" w:hAnsi="Times New Roman"/>
          <w:sz w:val="24"/>
          <w:szCs w:val="24"/>
          <w:highlight w:val="yellow"/>
        </w:rPr>
        <w:t>t</w:t>
      </w:r>
      <w:r>
        <w:rPr>
          <w:rFonts w:ascii="Times New Roman" w:hAnsi="Times New Roman"/>
          <w:sz w:val="24"/>
          <w:szCs w:val="24"/>
        </w:rPr>
        <w:t>i</w:t>
      </w:r>
      <w:r>
        <w:rPr>
          <w:rFonts w:ascii="Times New Roman" w:hAnsi="Times New Roman"/>
          <w:sz w:val="24"/>
          <w:szCs w:val="24"/>
          <w:highlight w:val="yellow"/>
        </w:rPr>
        <w:t>ve stres</w:t>
      </w:r>
      <w:r>
        <w:rPr>
          <w:rFonts w:ascii="Times New Roman" w:hAnsi="Times New Roman"/>
          <w:sz w:val="24"/>
          <w:szCs w:val="24"/>
        </w:rPr>
        <w:t xml:space="preserve">s. Likewise, Adedara </w:t>
      </w:r>
      <w:r>
        <w:rPr>
          <w:rFonts w:ascii="Times New Roman" w:hAnsi="Times New Roman"/>
          <w:i/>
          <w:sz w:val="24"/>
          <w:szCs w:val="24"/>
        </w:rPr>
        <w:t>et al.</w:t>
      </w:r>
      <w:r>
        <w:rPr>
          <w:rFonts w:ascii="Times New Roman" w:hAnsi="Times New Roman"/>
          <w:sz w:val="24"/>
          <w:szCs w:val="24"/>
        </w:rPr>
        <w:t xml:space="preserve"> (2015) reported improvement in</w:t>
      </w:r>
      <w:r>
        <w:rPr>
          <w:rFonts w:ascii="Times New Roman" w:hAnsi="Times New Roman"/>
          <w:sz w:val="24"/>
          <w:szCs w:val="24"/>
          <w:highlight w:val="yellow"/>
        </w:rPr>
        <w:t xml:space="preserve"> renal</w:t>
      </w:r>
      <w:r>
        <w:rPr>
          <w:rFonts w:ascii="Times New Roman" w:hAnsi="Times New Roman"/>
          <w:sz w:val="24"/>
          <w:szCs w:val="24"/>
        </w:rPr>
        <w:t xml:space="preserve"> antioxidant status following </w:t>
      </w:r>
      <w:r>
        <w:rPr>
          <w:rFonts w:ascii="Times New Roman" w:hAnsi="Times New Roman"/>
          <w:sz w:val="24"/>
          <w:szCs w:val="24"/>
          <w:highlight w:val="yellow"/>
        </w:rPr>
        <w:t>Kolav</w:t>
      </w:r>
      <w:r>
        <w:rPr>
          <w:rFonts w:ascii="Times New Roman" w:hAnsi="Times New Roman"/>
          <w:sz w:val="24"/>
          <w:szCs w:val="24"/>
        </w:rPr>
        <w:t xml:space="preserve">iron </w:t>
      </w:r>
      <w:r>
        <w:rPr>
          <w:rFonts w:ascii="Times New Roman" w:hAnsi="Times New Roman"/>
          <w:sz w:val="24"/>
          <w:szCs w:val="24"/>
          <w:highlight w:val="yellow"/>
        </w:rPr>
        <w:t>c</w:t>
      </w:r>
      <w:r>
        <w:rPr>
          <w:rFonts w:ascii="Times New Roman" w:hAnsi="Times New Roman"/>
          <w:sz w:val="24"/>
          <w:szCs w:val="24"/>
        </w:rPr>
        <w:t>o</w:t>
      </w:r>
      <w:r>
        <w:rPr>
          <w:rFonts w:ascii="Times New Roman" w:hAnsi="Times New Roman"/>
          <w:sz w:val="24"/>
          <w:szCs w:val="24"/>
          <w:highlight w:val="yellow"/>
        </w:rPr>
        <w:t>-</w:t>
      </w:r>
      <w:r>
        <w:rPr>
          <w:rFonts w:ascii="Times New Roman" w:hAnsi="Times New Roman"/>
          <w:sz w:val="24"/>
          <w:szCs w:val="24"/>
        </w:rPr>
        <w:t>t</w:t>
      </w:r>
      <w:r>
        <w:rPr>
          <w:rFonts w:ascii="Times New Roman" w:hAnsi="Times New Roman"/>
          <w:sz w:val="24"/>
          <w:szCs w:val="24"/>
          <w:highlight w:val="yellow"/>
        </w:rPr>
        <w:t>r</w:t>
      </w:r>
      <w:r>
        <w:rPr>
          <w:rFonts w:ascii="Times New Roman" w:hAnsi="Times New Roman"/>
          <w:sz w:val="24"/>
          <w:szCs w:val="24"/>
        </w:rPr>
        <w:t>e</w:t>
      </w:r>
      <w:r>
        <w:rPr>
          <w:rFonts w:ascii="Times New Roman" w:hAnsi="Times New Roman"/>
          <w:sz w:val="24"/>
          <w:szCs w:val="24"/>
          <w:highlight w:val="yellow"/>
        </w:rPr>
        <w:t>at</w:t>
      </w:r>
      <w:r>
        <w:rPr>
          <w:rFonts w:ascii="Times New Roman" w:hAnsi="Times New Roman"/>
          <w:sz w:val="24"/>
          <w:szCs w:val="24"/>
        </w:rPr>
        <w:t>m</w:t>
      </w:r>
      <w:r>
        <w:rPr>
          <w:rFonts w:ascii="Times New Roman" w:hAnsi="Times New Roman"/>
          <w:sz w:val="24"/>
          <w:szCs w:val="24"/>
          <w:highlight w:val="yellow"/>
        </w:rPr>
        <w:t>e</w:t>
      </w:r>
      <w:r>
        <w:rPr>
          <w:rFonts w:ascii="Times New Roman" w:hAnsi="Times New Roman"/>
          <w:sz w:val="24"/>
          <w:szCs w:val="24"/>
        </w:rPr>
        <w:t>nt in toxin</w:t>
      </w:r>
      <w:r>
        <w:rPr>
          <w:rFonts w:ascii="Times New Roman" w:hAnsi="Times New Roman"/>
          <w:sz w:val="24"/>
          <w:szCs w:val="24"/>
          <w:highlight w:val="yellow"/>
        </w:rPr>
        <w:t>-exposed rat</w:t>
      </w:r>
      <w:r>
        <w:rPr>
          <w:rFonts w:ascii="Times New Roman" w:hAnsi="Times New Roman"/>
          <w:sz w:val="24"/>
          <w:szCs w:val="24"/>
        </w:rPr>
        <w:t>s.</w:t>
      </w:r>
    </w:p>
    <w:p w14:paraId="39E56598" w14:textId="77777777" w:rsidR="001D5755" w:rsidRDefault="001D5755" w:rsidP="001D5755">
      <w:pPr>
        <w:spacing w:line="480" w:lineRule="auto"/>
        <w:ind w:firstLine="720"/>
        <w:jc w:val="both"/>
        <w:rPr>
          <w:rFonts w:ascii="Times New Roman" w:hAnsi="Times New Roman"/>
          <w:sz w:val="24"/>
          <w:szCs w:val="24"/>
        </w:rPr>
      </w:pPr>
      <w:r>
        <w:rPr>
          <w:rFonts w:ascii="Times New Roman" w:hAnsi="Times New Roman"/>
          <w:sz w:val="24"/>
          <w:szCs w:val="24"/>
        </w:rPr>
        <w:t>The haematological findings demonstrated that cadmium exposure significantly reduced white blood cell count, red blood cell count, platelet count, and packed cell volume in the negative control group. These reductions indicate h</w:t>
      </w:r>
      <w:r>
        <w:rPr>
          <w:rFonts w:ascii="Times New Roman" w:hAnsi="Times New Roman"/>
          <w:sz w:val="24"/>
          <w:szCs w:val="24"/>
          <w:highlight w:val="yellow"/>
        </w:rPr>
        <w:t>a</w:t>
      </w:r>
      <w:r>
        <w:rPr>
          <w:rFonts w:ascii="Times New Roman" w:hAnsi="Times New Roman"/>
          <w:sz w:val="24"/>
          <w:szCs w:val="24"/>
        </w:rPr>
        <w:t>ematotoxic effects of cadmium and suggest suppression of h</w:t>
      </w:r>
      <w:r>
        <w:rPr>
          <w:rFonts w:ascii="Times New Roman" w:hAnsi="Times New Roman"/>
          <w:sz w:val="24"/>
          <w:szCs w:val="24"/>
          <w:highlight w:val="yellow"/>
        </w:rPr>
        <w:t>a</w:t>
      </w:r>
      <w:r>
        <w:rPr>
          <w:rFonts w:ascii="Times New Roman" w:hAnsi="Times New Roman"/>
          <w:sz w:val="24"/>
          <w:szCs w:val="24"/>
        </w:rPr>
        <w:t>ematopoiesis. Cadmium has been reported to interfere with erythrocyte production, induce membrane damage, and disrupt normal blood cell formation, resulting in an</w:t>
      </w:r>
      <w:r>
        <w:rPr>
          <w:rFonts w:ascii="Times New Roman" w:hAnsi="Times New Roman"/>
          <w:sz w:val="24"/>
          <w:szCs w:val="24"/>
          <w:highlight w:val="yellow"/>
        </w:rPr>
        <w:t>a</w:t>
      </w:r>
      <w:r>
        <w:rPr>
          <w:rFonts w:ascii="Times New Roman" w:hAnsi="Times New Roman"/>
          <w:sz w:val="24"/>
          <w:szCs w:val="24"/>
        </w:rPr>
        <w:t xml:space="preserve">emia and immunosuppression (Patra </w:t>
      </w:r>
      <w:r>
        <w:rPr>
          <w:rFonts w:ascii="Times New Roman" w:hAnsi="Times New Roman"/>
          <w:i/>
          <w:sz w:val="24"/>
          <w:szCs w:val="24"/>
        </w:rPr>
        <w:t>et al.,</w:t>
      </w:r>
      <w:r>
        <w:rPr>
          <w:rFonts w:ascii="Times New Roman" w:hAnsi="Times New Roman"/>
          <w:sz w:val="24"/>
          <w:szCs w:val="24"/>
        </w:rPr>
        <w:t xml:space="preserve"> 2011). The low values recorded in the negative control group therefore reflect the detrimental effects of cadmium on blood physiology. Dietary inclusion of </w:t>
      </w:r>
      <w:r>
        <w:rPr>
          <w:rFonts w:ascii="Times New Roman" w:hAnsi="Times New Roman"/>
          <w:i/>
          <w:sz w:val="24"/>
          <w:szCs w:val="24"/>
          <w:highlight w:val="yellow"/>
        </w:rPr>
        <w:t>P</w:t>
      </w:r>
      <w:r>
        <w:rPr>
          <w:rFonts w:ascii="Times New Roman" w:hAnsi="Times New Roman"/>
          <w:i/>
          <w:sz w:val="24"/>
          <w:szCs w:val="24"/>
        </w:rPr>
        <w:t>terocarpus santalinoides</w:t>
      </w:r>
      <w:r>
        <w:rPr>
          <w:rFonts w:ascii="Times New Roman" w:hAnsi="Times New Roman"/>
          <w:sz w:val="24"/>
          <w:szCs w:val="24"/>
        </w:rPr>
        <w:t xml:space="preserve"> leaves significantly improved all </w:t>
      </w:r>
      <w:r>
        <w:rPr>
          <w:rFonts w:ascii="Times New Roman" w:hAnsi="Times New Roman"/>
          <w:sz w:val="24"/>
          <w:szCs w:val="24"/>
          <w:highlight w:val="yellow"/>
        </w:rPr>
        <w:t xml:space="preserve">measured </w:t>
      </w:r>
      <w:r>
        <w:rPr>
          <w:rFonts w:ascii="Times New Roman" w:hAnsi="Times New Roman"/>
          <w:sz w:val="24"/>
          <w:szCs w:val="24"/>
        </w:rPr>
        <w:t xml:space="preserve">haematological parameters. White blood cell counts increased progressively with increasing dietary levels of the leaves, indicating </w:t>
      </w:r>
      <w:r>
        <w:rPr>
          <w:rFonts w:ascii="Times New Roman" w:hAnsi="Times New Roman"/>
          <w:sz w:val="24"/>
          <w:szCs w:val="24"/>
          <w:highlight w:val="yellow"/>
        </w:rPr>
        <w:t>improvem</w:t>
      </w:r>
      <w:r>
        <w:rPr>
          <w:rFonts w:ascii="Times New Roman" w:hAnsi="Times New Roman"/>
          <w:sz w:val="24"/>
          <w:szCs w:val="24"/>
        </w:rPr>
        <w:t>en</w:t>
      </w:r>
      <w:r>
        <w:rPr>
          <w:rFonts w:ascii="Times New Roman" w:hAnsi="Times New Roman"/>
          <w:sz w:val="24"/>
          <w:szCs w:val="24"/>
          <w:highlight w:val="yellow"/>
        </w:rPr>
        <w:t xml:space="preserve">t in this </w:t>
      </w:r>
      <w:r>
        <w:rPr>
          <w:rFonts w:ascii="Times New Roman" w:hAnsi="Times New Roman"/>
          <w:sz w:val="24"/>
          <w:szCs w:val="24"/>
        </w:rPr>
        <w:t>ha</w:t>
      </w:r>
      <w:r>
        <w:rPr>
          <w:rFonts w:ascii="Times New Roman" w:hAnsi="Times New Roman"/>
          <w:sz w:val="24"/>
          <w:szCs w:val="24"/>
          <w:highlight w:val="yellow"/>
        </w:rPr>
        <w:t>ematologi</w:t>
      </w:r>
      <w:r>
        <w:rPr>
          <w:rFonts w:ascii="Times New Roman" w:hAnsi="Times New Roman"/>
          <w:sz w:val="24"/>
          <w:szCs w:val="24"/>
        </w:rPr>
        <w:t>c</w:t>
      </w:r>
      <w:r>
        <w:rPr>
          <w:rFonts w:ascii="Times New Roman" w:hAnsi="Times New Roman"/>
          <w:sz w:val="24"/>
          <w:szCs w:val="24"/>
          <w:highlight w:val="yellow"/>
        </w:rPr>
        <w:t>al</w:t>
      </w:r>
      <w:r>
        <w:rPr>
          <w:rFonts w:ascii="Times New Roman" w:hAnsi="Times New Roman"/>
          <w:sz w:val="24"/>
          <w:szCs w:val="24"/>
        </w:rPr>
        <w:t xml:space="preserve"> in</w:t>
      </w:r>
      <w:r>
        <w:rPr>
          <w:rFonts w:ascii="Times New Roman" w:hAnsi="Times New Roman"/>
          <w:sz w:val="24"/>
          <w:szCs w:val="24"/>
          <w:highlight w:val="yellow"/>
        </w:rPr>
        <w:t>d</w:t>
      </w:r>
      <w:r>
        <w:rPr>
          <w:rFonts w:ascii="Times New Roman" w:hAnsi="Times New Roman"/>
          <w:sz w:val="24"/>
          <w:szCs w:val="24"/>
        </w:rPr>
        <w:t>e</w:t>
      </w:r>
      <w:r>
        <w:rPr>
          <w:rFonts w:ascii="Times New Roman" w:hAnsi="Times New Roman"/>
          <w:sz w:val="24"/>
          <w:szCs w:val="24"/>
          <w:highlight w:val="yellow"/>
        </w:rPr>
        <w:t>x</w:t>
      </w:r>
      <w:r>
        <w:rPr>
          <w:rFonts w:ascii="Times New Roman" w:hAnsi="Times New Roman"/>
          <w:sz w:val="24"/>
          <w:szCs w:val="24"/>
        </w:rPr>
        <w:t>. The observed increase may be associated with improved leu</w:t>
      </w:r>
      <w:r>
        <w:rPr>
          <w:rFonts w:ascii="Times New Roman" w:hAnsi="Times New Roman"/>
          <w:sz w:val="24"/>
          <w:szCs w:val="24"/>
          <w:highlight w:val="yellow"/>
        </w:rPr>
        <w:t>c</w:t>
      </w:r>
      <w:r>
        <w:rPr>
          <w:rFonts w:ascii="Times New Roman" w:hAnsi="Times New Roman"/>
          <w:sz w:val="24"/>
          <w:szCs w:val="24"/>
        </w:rPr>
        <w:t xml:space="preserve">ocyte production and reduced oxidative damage to immune cells. </w:t>
      </w:r>
      <w:r>
        <w:rPr>
          <w:rFonts w:ascii="Times New Roman" w:hAnsi="Times New Roman"/>
          <w:sz w:val="24"/>
          <w:szCs w:val="24"/>
          <w:highlight w:val="yellow"/>
        </w:rPr>
        <w:t>More broadly, ox</w:t>
      </w:r>
      <w:r>
        <w:rPr>
          <w:rFonts w:ascii="Times New Roman" w:hAnsi="Times New Roman"/>
          <w:sz w:val="24"/>
          <w:szCs w:val="24"/>
        </w:rPr>
        <w:t>i</w:t>
      </w:r>
      <w:r>
        <w:rPr>
          <w:rFonts w:ascii="Times New Roman" w:hAnsi="Times New Roman"/>
          <w:sz w:val="24"/>
          <w:szCs w:val="24"/>
          <w:highlight w:val="yellow"/>
        </w:rPr>
        <w:t xml:space="preserve">dative stress induced by </w:t>
      </w:r>
      <w:r>
        <w:rPr>
          <w:rFonts w:ascii="Times New Roman" w:hAnsi="Times New Roman"/>
          <w:sz w:val="24"/>
          <w:szCs w:val="24"/>
        </w:rPr>
        <w:t>m</w:t>
      </w:r>
      <w:r>
        <w:rPr>
          <w:rFonts w:ascii="Times New Roman" w:hAnsi="Times New Roman"/>
          <w:sz w:val="24"/>
          <w:szCs w:val="24"/>
          <w:highlight w:val="yellow"/>
        </w:rPr>
        <w:t>etals can affect cellu</w:t>
      </w:r>
      <w:r>
        <w:rPr>
          <w:rFonts w:ascii="Times New Roman" w:hAnsi="Times New Roman"/>
          <w:sz w:val="24"/>
          <w:szCs w:val="24"/>
        </w:rPr>
        <w:t xml:space="preserve">lar </w:t>
      </w:r>
      <w:r>
        <w:rPr>
          <w:rFonts w:ascii="Times New Roman" w:hAnsi="Times New Roman"/>
          <w:sz w:val="24"/>
          <w:szCs w:val="24"/>
          <w:highlight w:val="yellow"/>
        </w:rPr>
        <w:t>and physi</w:t>
      </w:r>
      <w:r>
        <w:rPr>
          <w:rFonts w:ascii="Times New Roman" w:hAnsi="Times New Roman"/>
          <w:sz w:val="24"/>
          <w:szCs w:val="24"/>
        </w:rPr>
        <w:t>o</w:t>
      </w:r>
      <w:r>
        <w:rPr>
          <w:rFonts w:ascii="Times New Roman" w:hAnsi="Times New Roman"/>
          <w:sz w:val="24"/>
          <w:szCs w:val="24"/>
          <w:highlight w:val="yellow"/>
        </w:rPr>
        <w:t>logic</w:t>
      </w:r>
      <w:r>
        <w:rPr>
          <w:rFonts w:ascii="Times New Roman" w:hAnsi="Times New Roman"/>
          <w:sz w:val="24"/>
          <w:szCs w:val="24"/>
        </w:rPr>
        <w:t>a</w:t>
      </w:r>
      <w:r>
        <w:rPr>
          <w:rFonts w:ascii="Times New Roman" w:hAnsi="Times New Roman"/>
          <w:sz w:val="24"/>
          <w:szCs w:val="24"/>
          <w:highlight w:val="yellow"/>
        </w:rPr>
        <w:t>l func</w:t>
      </w:r>
      <w:r>
        <w:rPr>
          <w:rFonts w:ascii="Times New Roman" w:hAnsi="Times New Roman"/>
          <w:sz w:val="24"/>
          <w:szCs w:val="24"/>
        </w:rPr>
        <w:t xml:space="preserve">tions </w:t>
      </w:r>
      <w:r>
        <w:rPr>
          <w:rFonts w:ascii="Times New Roman" w:hAnsi="Times New Roman"/>
          <w:sz w:val="24"/>
          <w:szCs w:val="24"/>
          <w:highlight w:val="yellow"/>
        </w:rPr>
        <w:t>(</w:t>
      </w:r>
      <w:r>
        <w:rPr>
          <w:rFonts w:ascii="Times New Roman" w:hAnsi="Times New Roman"/>
          <w:sz w:val="24"/>
          <w:szCs w:val="24"/>
        </w:rPr>
        <w:t xml:space="preserve">Valko </w:t>
      </w:r>
      <w:r>
        <w:rPr>
          <w:rFonts w:ascii="Times New Roman" w:hAnsi="Times New Roman"/>
          <w:i/>
          <w:sz w:val="24"/>
          <w:szCs w:val="24"/>
        </w:rPr>
        <w:t>et al.,</w:t>
      </w:r>
      <w:r>
        <w:rPr>
          <w:rFonts w:ascii="Times New Roman" w:hAnsi="Times New Roman"/>
          <w:sz w:val="24"/>
          <w:szCs w:val="24"/>
        </w:rPr>
        <w:t xml:space="preserve"> 2006). The increase in red blood cell count and packed cell volume observed in the treated groups suggests improved erythropoietic activity and oxygen-carrying capacity of the blood. These findings indicate that the leaf diet may have contributed to the protection of erythrocytes from oxidative d</w:t>
      </w:r>
      <w:r>
        <w:rPr>
          <w:rFonts w:ascii="Times New Roman" w:hAnsi="Times New Roman"/>
          <w:sz w:val="24"/>
          <w:szCs w:val="24"/>
          <w:highlight w:val="yellow"/>
        </w:rPr>
        <w:t>amag</w:t>
      </w:r>
      <w:r>
        <w:rPr>
          <w:rFonts w:ascii="Times New Roman" w:hAnsi="Times New Roman"/>
          <w:sz w:val="24"/>
          <w:szCs w:val="24"/>
        </w:rPr>
        <w:t xml:space="preserve">e while supporting red blood cell </w:t>
      </w:r>
      <w:r>
        <w:rPr>
          <w:rFonts w:ascii="Times New Roman" w:hAnsi="Times New Roman"/>
          <w:sz w:val="24"/>
          <w:szCs w:val="24"/>
          <w:highlight w:val="yellow"/>
        </w:rPr>
        <w:t>mai</w:t>
      </w:r>
      <w:r>
        <w:rPr>
          <w:rFonts w:ascii="Times New Roman" w:hAnsi="Times New Roman"/>
          <w:sz w:val="24"/>
          <w:szCs w:val="24"/>
        </w:rPr>
        <w:t>nte</w:t>
      </w:r>
      <w:r>
        <w:rPr>
          <w:rFonts w:ascii="Times New Roman" w:hAnsi="Times New Roman"/>
          <w:sz w:val="24"/>
          <w:szCs w:val="24"/>
          <w:highlight w:val="yellow"/>
        </w:rPr>
        <w:t>nance</w:t>
      </w:r>
      <w:r>
        <w:rPr>
          <w:rFonts w:ascii="Times New Roman" w:hAnsi="Times New Roman"/>
          <w:sz w:val="24"/>
          <w:szCs w:val="24"/>
        </w:rPr>
        <w:t xml:space="preserve">. </w:t>
      </w:r>
      <w:r>
        <w:rPr>
          <w:rFonts w:ascii="Times New Roman" w:hAnsi="Times New Roman"/>
          <w:sz w:val="24"/>
          <w:szCs w:val="24"/>
          <w:highlight w:val="yellow"/>
        </w:rPr>
        <w:t>Combined lead and cadmium exposur</w:t>
      </w:r>
      <w:r>
        <w:rPr>
          <w:rFonts w:ascii="Times New Roman" w:hAnsi="Times New Roman"/>
          <w:sz w:val="24"/>
          <w:szCs w:val="24"/>
        </w:rPr>
        <w:t xml:space="preserve">e </w:t>
      </w:r>
      <w:r>
        <w:rPr>
          <w:rFonts w:ascii="Times New Roman" w:hAnsi="Times New Roman"/>
          <w:sz w:val="24"/>
          <w:szCs w:val="24"/>
          <w:highlight w:val="yellow"/>
        </w:rPr>
        <w:t>ha</w:t>
      </w:r>
      <w:r>
        <w:rPr>
          <w:rFonts w:ascii="Times New Roman" w:hAnsi="Times New Roman"/>
          <w:sz w:val="24"/>
          <w:szCs w:val="24"/>
        </w:rPr>
        <w:t>s a</w:t>
      </w:r>
      <w:r>
        <w:rPr>
          <w:rFonts w:ascii="Times New Roman" w:hAnsi="Times New Roman"/>
          <w:sz w:val="24"/>
          <w:szCs w:val="24"/>
          <w:highlight w:val="yellow"/>
        </w:rPr>
        <w:t xml:space="preserve">lso been shown to </w:t>
      </w:r>
      <w:r>
        <w:rPr>
          <w:rFonts w:ascii="Times New Roman" w:hAnsi="Times New Roman"/>
          <w:sz w:val="24"/>
          <w:szCs w:val="24"/>
          <w:highlight w:val="yellow"/>
        </w:rPr>
        <w:lastRenderedPageBreak/>
        <w:t>p</w:t>
      </w:r>
      <w:r>
        <w:rPr>
          <w:rFonts w:ascii="Times New Roman" w:hAnsi="Times New Roman"/>
          <w:sz w:val="24"/>
          <w:szCs w:val="24"/>
        </w:rPr>
        <w:t>r</w:t>
      </w:r>
      <w:r>
        <w:rPr>
          <w:rFonts w:ascii="Times New Roman" w:hAnsi="Times New Roman"/>
          <w:sz w:val="24"/>
          <w:szCs w:val="24"/>
          <w:highlight w:val="yellow"/>
        </w:rPr>
        <w:t>oduc</w:t>
      </w:r>
      <w:r>
        <w:rPr>
          <w:rFonts w:ascii="Times New Roman" w:hAnsi="Times New Roman"/>
          <w:sz w:val="24"/>
          <w:szCs w:val="24"/>
        </w:rPr>
        <w:t>e</w:t>
      </w:r>
      <w:r>
        <w:rPr>
          <w:rFonts w:ascii="Times New Roman" w:hAnsi="Times New Roman"/>
          <w:sz w:val="24"/>
          <w:szCs w:val="24"/>
          <w:highlight w:val="yellow"/>
        </w:rPr>
        <w:t xml:space="preserve"> systemic toxicological effects</w:t>
      </w:r>
      <w:r>
        <w:rPr>
          <w:rFonts w:ascii="Times New Roman" w:hAnsi="Times New Roman"/>
          <w:sz w:val="24"/>
          <w:szCs w:val="24"/>
        </w:rPr>
        <w:t xml:space="preserve"> in </w:t>
      </w:r>
      <w:r>
        <w:rPr>
          <w:rFonts w:ascii="Times New Roman" w:hAnsi="Times New Roman"/>
          <w:sz w:val="24"/>
          <w:szCs w:val="24"/>
          <w:highlight w:val="yellow"/>
        </w:rPr>
        <w:t>r</w:t>
      </w:r>
      <w:r>
        <w:rPr>
          <w:rFonts w:ascii="Times New Roman" w:hAnsi="Times New Roman"/>
          <w:sz w:val="24"/>
          <w:szCs w:val="24"/>
        </w:rPr>
        <w:t>at</w:t>
      </w:r>
      <w:r>
        <w:rPr>
          <w:rFonts w:ascii="Times New Roman" w:hAnsi="Times New Roman"/>
          <w:sz w:val="24"/>
          <w:szCs w:val="24"/>
          <w:highlight w:val="yellow"/>
        </w:rPr>
        <w:t>s</w:t>
      </w:r>
      <w:r>
        <w:rPr>
          <w:rFonts w:ascii="Times New Roman" w:hAnsi="Times New Roman"/>
          <w:sz w:val="24"/>
          <w:szCs w:val="24"/>
        </w:rPr>
        <w:t xml:space="preserve"> </w:t>
      </w:r>
      <w:r>
        <w:rPr>
          <w:rFonts w:ascii="Times New Roman" w:hAnsi="Times New Roman"/>
          <w:sz w:val="24"/>
          <w:szCs w:val="24"/>
          <w:highlight w:val="yellow"/>
        </w:rPr>
        <w:t>(</w:t>
      </w:r>
      <w:r>
        <w:rPr>
          <w:rFonts w:ascii="Times New Roman" w:hAnsi="Times New Roman"/>
          <w:sz w:val="24"/>
          <w:szCs w:val="24"/>
        </w:rPr>
        <w:t xml:space="preserve">Yuan </w:t>
      </w:r>
      <w:r>
        <w:rPr>
          <w:rFonts w:ascii="Times New Roman" w:hAnsi="Times New Roman"/>
          <w:i/>
          <w:sz w:val="24"/>
          <w:szCs w:val="24"/>
        </w:rPr>
        <w:t>et al.,</w:t>
      </w:r>
      <w:r>
        <w:rPr>
          <w:rFonts w:ascii="Times New Roman" w:hAnsi="Times New Roman"/>
          <w:sz w:val="24"/>
          <w:szCs w:val="24"/>
        </w:rPr>
        <w:t xml:space="preserve"> 2014). Similarly, platelet counts increased significantly in the treated groups compared with the negative control group. Since platelets are essential for blood clotting and vascular integrity, the observed increase indicates recovery from cadmium-induced haematological suppression. The restoration of platelet levels further supports the protective role of </w:t>
      </w:r>
      <w:r>
        <w:rPr>
          <w:rFonts w:ascii="Times New Roman" w:hAnsi="Times New Roman"/>
          <w:i/>
          <w:sz w:val="24"/>
          <w:szCs w:val="24"/>
          <w:highlight w:val="yellow"/>
        </w:rPr>
        <w:t>P</w:t>
      </w:r>
      <w:r>
        <w:rPr>
          <w:rFonts w:ascii="Times New Roman" w:hAnsi="Times New Roman"/>
          <w:i/>
          <w:sz w:val="24"/>
          <w:szCs w:val="24"/>
        </w:rPr>
        <w:t>terocarpus santalinoides</w:t>
      </w:r>
      <w:r>
        <w:rPr>
          <w:rFonts w:ascii="Times New Roman" w:hAnsi="Times New Roman"/>
          <w:sz w:val="24"/>
          <w:szCs w:val="24"/>
        </w:rPr>
        <w:t xml:space="preserve"> leaf diet in maintaining </w:t>
      </w:r>
      <w:r>
        <w:rPr>
          <w:rFonts w:ascii="Times New Roman" w:hAnsi="Times New Roman"/>
          <w:sz w:val="24"/>
          <w:szCs w:val="24"/>
          <w:highlight w:val="yellow"/>
        </w:rPr>
        <w:t>h</w:t>
      </w:r>
      <w:r>
        <w:rPr>
          <w:rFonts w:ascii="Times New Roman" w:hAnsi="Times New Roman"/>
          <w:sz w:val="24"/>
          <w:szCs w:val="24"/>
        </w:rPr>
        <w:t>aemato</w:t>
      </w:r>
      <w:r>
        <w:rPr>
          <w:rFonts w:ascii="Times New Roman" w:hAnsi="Times New Roman"/>
          <w:sz w:val="24"/>
          <w:szCs w:val="24"/>
          <w:highlight w:val="yellow"/>
        </w:rPr>
        <w:t>l</w:t>
      </w:r>
      <w:r>
        <w:rPr>
          <w:rFonts w:ascii="Times New Roman" w:hAnsi="Times New Roman"/>
          <w:sz w:val="24"/>
          <w:szCs w:val="24"/>
        </w:rPr>
        <w:t>o</w:t>
      </w:r>
      <w:r>
        <w:rPr>
          <w:rFonts w:ascii="Times New Roman" w:hAnsi="Times New Roman"/>
          <w:sz w:val="24"/>
          <w:szCs w:val="24"/>
          <w:highlight w:val="yellow"/>
        </w:rPr>
        <w:t>g</w:t>
      </w:r>
      <w:r>
        <w:rPr>
          <w:rFonts w:ascii="Times New Roman" w:hAnsi="Times New Roman"/>
          <w:sz w:val="24"/>
          <w:szCs w:val="24"/>
        </w:rPr>
        <w:t>ic</w:t>
      </w:r>
      <w:r>
        <w:rPr>
          <w:rFonts w:ascii="Times New Roman" w:hAnsi="Times New Roman"/>
          <w:sz w:val="24"/>
          <w:szCs w:val="24"/>
          <w:highlight w:val="yellow"/>
        </w:rPr>
        <w:t>al</w:t>
      </w:r>
      <w:r>
        <w:rPr>
          <w:rFonts w:ascii="Times New Roman" w:hAnsi="Times New Roman"/>
          <w:sz w:val="24"/>
          <w:szCs w:val="24"/>
        </w:rPr>
        <w:t xml:space="preserve"> function.</w:t>
      </w:r>
    </w:p>
    <w:p w14:paraId="307756EE" w14:textId="77777777" w:rsidR="001D5755" w:rsidRDefault="001D5755" w:rsidP="001D5755">
      <w:pPr>
        <w:spacing w:line="480" w:lineRule="auto"/>
        <w:ind w:firstLine="720"/>
        <w:jc w:val="both"/>
        <w:rPr>
          <w:rFonts w:asciiTheme="minorHAnsi" w:hAnsiTheme="minorHAnsi" w:cstheme="minorBidi"/>
          <w:sz w:val="24"/>
          <w:szCs w:val="24"/>
        </w:rPr>
      </w:pPr>
      <w:r>
        <w:rPr>
          <w:rFonts w:ascii="Times New Roman" w:hAnsi="Times New Roman"/>
          <w:sz w:val="24"/>
          <w:szCs w:val="24"/>
        </w:rPr>
        <w:t xml:space="preserve">The dose-dependent improvements observed in kidney function indices, antioxidant enzyme activities, and haematological parameters suggest that increasing dietary levels of </w:t>
      </w:r>
      <w:r>
        <w:rPr>
          <w:rFonts w:ascii="Times New Roman" w:hAnsi="Times New Roman"/>
          <w:i/>
          <w:sz w:val="24"/>
          <w:szCs w:val="24"/>
          <w:highlight w:val="yellow"/>
        </w:rPr>
        <w:t>P</w:t>
      </w:r>
      <w:r>
        <w:rPr>
          <w:rFonts w:ascii="Times New Roman" w:hAnsi="Times New Roman"/>
          <w:i/>
          <w:sz w:val="24"/>
          <w:szCs w:val="24"/>
        </w:rPr>
        <w:t>terocarpus santalinoides</w:t>
      </w:r>
      <w:r>
        <w:rPr>
          <w:rFonts w:ascii="Times New Roman" w:hAnsi="Times New Roman"/>
          <w:sz w:val="24"/>
          <w:szCs w:val="24"/>
        </w:rPr>
        <w:t xml:space="preserve"> leaves enhanced the protective response against cadmium toxicity. The high-dose group consistently exhibited values closest to those of the normal control group, indicating a greater </w:t>
      </w:r>
      <w:r>
        <w:rPr>
          <w:rFonts w:ascii="Times New Roman" w:hAnsi="Times New Roman"/>
          <w:sz w:val="24"/>
          <w:szCs w:val="24"/>
          <w:highlight w:val="yellow"/>
        </w:rPr>
        <w:t>effe</w:t>
      </w:r>
      <w:r>
        <w:rPr>
          <w:rFonts w:ascii="Times New Roman" w:hAnsi="Times New Roman"/>
          <w:sz w:val="24"/>
          <w:szCs w:val="24"/>
        </w:rPr>
        <w:t>ct of the leaf diet o</w:t>
      </w:r>
      <w:r>
        <w:rPr>
          <w:rFonts w:ascii="Times New Roman" w:hAnsi="Times New Roman"/>
          <w:sz w:val="24"/>
          <w:szCs w:val="24"/>
          <w:highlight w:val="yellow"/>
        </w:rPr>
        <w:t>n</w:t>
      </w:r>
      <w:r>
        <w:rPr>
          <w:rFonts w:ascii="Times New Roman" w:hAnsi="Times New Roman"/>
          <w:sz w:val="24"/>
          <w:szCs w:val="24"/>
        </w:rPr>
        <w:t xml:space="preserve"> cadmium-induced biochemical and haematological </w:t>
      </w:r>
      <w:r>
        <w:rPr>
          <w:rFonts w:ascii="Times New Roman" w:hAnsi="Times New Roman"/>
          <w:sz w:val="24"/>
          <w:szCs w:val="24"/>
          <w:highlight w:val="yellow"/>
        </w:rPr>
        <w:t>alterat</w:t>
      </w:r>
      <w:r>
        <w:rPr>
          <w:rFonts w:ascii="Times New Roman" w:hAnsi="Times New Roman"/>
          <w:sz w:val="24"/>
          <w:szCs w:val="24"/>
        </w:rPr>
        <w:t>i</w:t>
      </w:r>
      <w:r>
        <w:rPr>
          <w:rFonts w:ascii="Times New Roman" w:hAnsi="Times New Roman"/>
          <w:sz w:val="24"/>
          <w:szCs w:val="24"/>
          <w:highlight w:val="yellow"/>
        </w:rPr>
        <w:t>o</w:t>
      </w:r>
      <w:r>
        <w:rPr>
          <w:rFonts w:ascii="Times New Roman" w:hAnsi="Times New Roman"/>
          <w:sz w:val="24"/>
          <w:szCs w:val="24"/>
        </w:rPr>
        <w:t xml:space="preserve">ns. These findings support the </w:t>
      </w:r>
      <w:r>
        <w:rPr>
          <w:rFonts w:ascii="Times New Roman" w:hAnsi="Times New Roman"/>
          <w:sz w:val="24"/>
          <w:szCs w:val="24"/>
          <w:highlight w:val="yellow"/>
        </w:rPr>
        <w:t>p</w:t>
      </w:r>
      <w:r>
        <w:rPr>
          <w:rFonts w:ascii="Times New Roman" w:hAnsi="Times New Roman"/>
          <w:sz w:val="24"/>
          <w:szCs w:val="24"/>
        </w:rPr>
        <w:t>o</w:t>
      </w:r>
      <w:r>
        <w:rPr>
          <w:rFonts w:ascii="Times New Roman" w:hAnsi="Times New Roman"/>
          <w:sz w:val="24"/>
          <w:szCs w:val="24"/>
          <w:highlight w:val="yellow"/>
        </w:rPr>
        <w:t>tent</w:t>
      </w:r>
      <w:r>
        <w:rPr>
          <w:rFonts w:ascii="Times New Roman" w:hAnsi="Times New Roman"/>
          <w:sz w:val="24"/>
          <w:szCs w:val="24"/>
        </w:rPr>
        <w:t>i</w:t>
      </w:r>
      <w:r>
        <w:rPr>
          <w:rFonts w:ascii="Times New Roman" w:hAnsi="Times New Roman"/>
          <w:sz w:val="24"/>
          <w:szCs w:val="24"/>
          <w:highlight w:val="yellow"/>
        </w:rPr>
        <w:t>al</w:t>
      </w:r>
      <w:r>
        <w:rPr>
          <w:rFonts w:ascii="Times New Roman" w:hAnsi="Times New Roman"/>
          <w:sz w:val="24"/>
          <w:szCs w:val="24"/>
        </w:rPr>
        <w:t xml:space="preserve"> of nutritionally and phytochemically rich plant leaves as dietary interventions against heavy metal-induced toxicity</w:t>
      </w:r>
      <w:r>
        <w:rPr>
          <w:sz w:val="24"/>
          <w:szCs w:val="24"/>
        </w:rPr>
        <w:t>.</w:t>
      </w:r>
    </w:p>
    <w:p w14:paraId="6D4EB2B6" w14:textId="77777777" w:rsidR="00790ADA" w:rsidRPr="001D5755" w:rsidRDefault="001D5755" w:rsidP="001D5755">
      <w:pPr>
        <w:spacing w:line="480" w:lineRule="auto"/>
        <w:jc w:val="both"/>
        <w:rPr>
          <w:rFonts w:ascii="Times New Roman" w:hAnsi="Times New Roman"/>
          <w:sz w:val="24"/>
          <w:szCs w:val="24"/>
        </w:rPr>
      </w:pPr>
      <w:r>
        <w:rPr>
          <w:rFonts w:ascii="Times New Roman" w:hAnsi="Times New Roman"/>
          <w:sz w:val="24"/>
          <w:szCs w:val="24"/>
        </w:rPr>
        <w:t xml:space="preserve">The increase in haemoglobin concentration observed with </w:t>
      </w:r>
      <w:r>
        <w:rPr>
          <w:rFonts w:ascii="Times New Roman" w:hAnsi="Times New Roman"/>
          <w:bCs/>
          <w:i/>
          <w:iCs/>
          <w:sz w:val="24"/>
          <w:szCs w:val="24"/>
          <w:highlight w:val="yellow"/>
        </w:rPr>
        <w:t xml:space="preserve">the </w:t>
      </w:r>
      <w:r>
        <w:rPr>
          <w:rFonts w:ascii="Times New Roman" w:hAnsi="Times New Roman"/>
          <w:bCs/>
          <w:i/>
          <w:iCs/>
          <w:sz w:val="24"/>
          <w:szCs w:val="24"/>
        </w:rPr>
        <w:t>Pterocarpus santalinoides</w:t>
      </w:r>
      <w:r>
        <w:rPr>
          <w:rFonts w:ascii="Times New Roman" w:hAnsi="Times New Roman"/>
          <w:b/>
          <w:bCs/>
          <w:i/>
          <w:iCs/>
          <w:sz w:val="24"/>
          <w:szCs w:val="24"/>
        </w:rPr>
        <w:t xml:space="preserve"> </w:t>
      </w:r>
      <w:r>
        <w:rPr>
          <w:rFonts w:ascii="Times New Roman" w:hAnsi="Times New Roman"/>
          <w:bCs/>
          <w:iCs/>
          <w:sz w:val="24"/>
          <w:szCs w:val="24"/>
        </w:rPr>
        <w:t>leaf diet suggest</w:t>
      </w:r>
      <w:r>
        <w:rPr>
          <w:rFonts w:ascii="Times New Roman" w:hAnsi="Times New Roman"/>
          <w:bCs/>
          <w:iCs/>
          <w:sz w:val="24"/>
          <w:szCs w:val="24"/>
          <w:highlight w:val="yellow"/>
        </w:rPr>
        <w:t>s</w:t>
      </w:r>
      <w:r>
        <w:rPr>
          <w:rFonts w:ascii="Times New Roman" w:hAnsi="Times New Roman"/>
          <w:bCs/>
          <w:iCs/>
          <w:sz w:val="24"/>
          <w:szCs w:val="24"/>
        </w:rPr>
        <w:t xml:space="preserve"> an improvement in erythrocyte function in cadmium</w:t>
      </w:r>
      <w:r>
        <w:rPr>
          <w:rFonts w:ascii="Times New Roman" w:hAnsi="Times New Roman"/>
          <w:bCs/>
          <w:iCs/>
          <w:sz w:val="24"/>
          <w:szCs w:val="24"/>
          <w:highlight w:val="yellow"/>
        </w:rPr>
        <w:t>-</w:t>
      </w:r>
      <w:r>
        <w:rPr>
          <w:rFonts w:ascii="Times New Roman" w:hAnsi="Times New Roman"/>
          <w:bCs/>
          <w:iCs/>
          <w:sz w:val="24"/>
          <w:szCs w:val="24"/>
        </w:rPr>
        <w:t>exposed rats. The low</w:t>
      </w:r>
      <w:r>
        <w:rPr>
          <w:rFonts w:ascii="Times New Roman" w:hAnsi="Times New Roman"/>
          <w:bCs/>
          <w:iCs/>
          <w:sz w:val="24"/>
          <w:szCs w:val="24"/>
          <w:highlight w:val="yellow"/>
        </w:rPr>
        <w:t>er haemoglobin concentration in the</w:t>
      </w:r>
      <w:r>
        <w:rPr>
          <w:rFonts w:ascii="Times New Roman" w:hAnsi="Times New Roman"/>
          <w:bCs/>
          <w:iCs/>
          <w:sz w:val="24"/>
          <w:szCs w:val="24"/>
        </w:rPr>
        <w:t xml:space="preserve"> negative control </w:t>
      </w:r>
      <w:r>
        <w:rPr>
          <w:rFonts w:ascii="Times New Roman" w:hAnsi="Times New Roman"/>
          <w:bCs/>
          <w:iCs/>
          <w:sz w:val="24"/>
          <w:szCs w:val="24"/>
          <w:highlight w:val="yellow"/>
        </w:rPr>
        <w:t xml:space="preserve">group </w:t>
      </w:r>
      <w:r>
        <w:rPr>
          <w:rFonts w:ascii="Times New Roman" w:hAnsi="Times New Roman"/>
          <w:bCs/>
          <w:iCs/>
          <w:sz w:val="24"/>
          <w:szCs w:val="24"/>
        </w:rPr>
        <w:t xml:space="preserve">(10.5 </w:t>
      </w:r>
      <w:r>
        <w:rPr>
          <w:rFonts w:ascii="Times New Roman" w:hAnsi="Times New Roman"/>
          <w:sz w:val="24"/>
          <w:szCs w:val="24"/>
        </w:rPr>
        <w:t>± 0.6 g/d</w:t>
      </w:r>
      <w:r>
        <w:rPr>
          <w:rFonts w:ascii="Times New Roman" w:hAnsi="Times New Roman"/>
          <w:sz w:val="24"/>
          <w:szCs w:val="24"/>
          <w:highlight w:val="yellow"/>
        </w:rPr>
        <w:t>L</w:t>
      </w:r>
      <w:r>
        <w:rPr>
          <w:rFonts w:ascii="Times New Roman" w:hAnsi="Times New Roman"/>
          <w:bCs/>
          <w:iCs/>
          <w:sz w:val="24"/>
          <w:szCs w:val="24"/>
        </w:rPr>
        <w:t>) may indicate increase</w:t>
      </w:r>
      <w:r>
        <w:rPr>
          <w:rFonts w:ascii="Times New Roman" w:hAnsi="Times New Roman"/>
          <w:bCs/>
          <w:iCs/>
          <w:sz w:val="24"/>
          <w:szCs w:val="24"/>
          <w:highlight w:val="yellow"/>
        </w:rPr>
        <w:t>d</w:t>
      </w:r>
      <w:r>
        <w:rPr>
          <w:rFonts w:ascii="Times New Roman" w:hAnsi="Times New Roman"/>
          <w:bCs/>
          <w:iCs/>
          <w:sz w:val="24"/>
          <w:szCs w:val="24"/>
        </w:rPr>
        <w:t xml:space="preserve"> e</w:t>
      </w:r>
      <w:r>
        <w:rPr>
          <w:rFonts w:ascii="Times New Roman" w:hAnsi="Times New Roman"/>
          <w:bCs/>
          <w:iCs/>
          <w:sz w:val="24"/>
          <w:szCs w:val="24"/>
          <w:highlight w:val="yellow"/>
        </w:rPr>
        <w:t>ry</w:t>
      </w:r>
      <w:r>
        <w:rPr>
          <w:rFonts w:ascii="Times New Roman" w:hAnsi="Times New Roman"/>
          <w:bCs/>
          <w:iCs/>
          <w:sz w:val="24"/>
          <w:szCs w:val="24"/>
        </w:rPr>
        <w:t>t</w:t>
      </w:r>
      <w:r>
        <w:rPr>
          <w:rFonts w:ascii="Times New Roman" w:hAnsi="Times New Roman"/>
          <w:bCs/>
          <w:iCs/>
          <w:sz w:val="24"/>
          <w:szCs w:val="24"/>
          <w:highlight w:val="yellow"/>
        </w:rPr>
        <w:t>h</w:t>
      </w:r>
      <w:r>
        <w:rPr>
          <w:rFonts w:ascii="Times New Roman" w:hAnsi="Times New Roman"/>
          <w:bCs/>
          <w:iCs/>
          <w:sz w:val="24"/>
          <w:szCs w:val="24"/>
        </w:rPr>
        <w:t>ro</w:t>
      </w:r>
      <w:r>
        <w:rPr>
          <w:rFonts w:ascii="Times New Roman" w:hAnsi="Times New Roman"/>
          <w:bCs/>
          <w:iCs/>
          <w:sz w:val="24"/>
          <w:szCs w:val="24"/>
          <w:highlight w:val="yellow"/>
        </w:rPr>
        <w:t>c</w:t>
      </w:r>
      <w:r>
        <w:rPr>
          <w:rFonts w:ascii="Times New Roman" w:hAnsi="Times New Roman"/>
          <w:bCs/>
          <w:iCs/>
          <w:sz w:val="24"/>
          <w:szCs w:val="24"/>
        </w:rPr>
        <w:t>yte damage. I</w:t>
      </w:r>
      <w:r>
        <w:rPr>
          <w:rFonts w:ascii="Times New Roman" w:hAnsi="Times New Roman"/>
          <w:bCs/>
          <w:iCs/>
          <w:sz w:val="24"/>
          <w:szCs w:val="24"/>
          <w:highlight w:val="yellow"/>
        </w:rPr>
        <w:t>n</w:t>
      </w:r>
      <w:r>
        <w:rPr>
          <w:rFonts w:ascii="Times New Roman" w:hAnsi="Times New Roman"/>
          <w:bCs/>
          <w:iCs/>
          <w:sz w:val="24"/>
          <w:szCs w:val="24"/>
        </w:rPr>
        <w:t xml:space="preserve"> contrast</w:t>
      </w:r>
      <w:r>
        <w:rPr>
          <w:rFonts w:ascii="Times New Roman" w:hAnsi="Times New Roman"/>
          <w:bCs/>
          <w:iCs/>
          <w:sz w:val="24"/>
          <w:szCs w:val="24"/>
          <w:highlight w:val="yellow"/>
        </w:rPr>
        <w:t>,</w:t>
      </w:r>
      <w:r>
        <w:rPr>
          <w:rFonts w:ascii="Times New Roman" w:hAnsi="Times New Roman"/>
          <w:bCs/>
          <w:iCs/>
          <w:sz w:val="24"/>
          <w:szCs w:val="24"/>
        </w:rPr>
        <w:t xml:space="preserve"> the progressive increase in haemoglobin suggest</w:t>
      </w:r>
      <w:r>
        <w:rPr>
          <w:rFonts w:ascii="Times New Roman" w:hAnsi="Times New Roman"/>
          <w:bCs/>
          <w:iCs/>
          <w:sz w:val="24"/>
          <w:szCs w:val="24"/>
          <w:highlight w:val="yellow"/>
        </w:rPr>
        <w:t>s</w:t>
      </w:r>
      <w:r>
        <w:rPr>
          <w:rFonts w:ascii="Times New Roman" w:hAnsi="Times New Roman"/>
          <w:bCs/>
          <w:iCs/>
          <w:sz w:val="24"/>
          <w:szCs w:val="24"/>
        </w:rPr>
        <w:t xml:space="preserve"> a dose-</w:t>
      </w:r>
      <w:r>
        <w:rPr>
          <w:rFonts w:ascii="Times New Roman" w:hAnsi="Times New Roman"/>
          <w:bCs/>
          <w:iCs/>
          <w:sz w:val="24"/>
          <w:szCs w:val="24"/>
          <w:highlight w:val="yellow"/>
        </w:rPr>
        <w:t>r</w:t>
      </w:r>
      <w:r>
        <w:rPr>
          <w:rFonts w:ascii="Times New Roman" w:hAnsi="Times New Roman"/>
          <w:bCs/>
          <w:iCs/>
          <w:sz w:val="24"/>
          <w:szCs w:val="24"/>
        </w:rPr>
        <w:t>elated improvement. Cadmium expos</w:t>
      </w:r>
      <w:r>
        <w:rPr>
          <w:rFonts w:ascii="Times New Roman" w:hAnsi="Times New Roman"/>
          <w:bCs/>
          <w:iCs/>
          <w:sz w:val="24"/>
          <w:szCs w:val="24"/>
          <w:highlight w:val="yellow"/>
        </w:rPr>
        <w:t>ur</w:t>
      </w:r>
      <w:r>
        <w:rPr>
          <w:rFonts w:ascii="Times New Roman" w:hAnsi="Times New Roman"/>
          <w:bCs/>
          <w:iCs/>
          <w:sz w:val="24"/>
          <w:szCs w:val="24"/>
        </w:rPr>
        <w:t>e has been associated with disturbances in erythrocyte integrity and haem synthesis, while plant</w:t>
      </w:r>
      <w:r>
        <w:rPr>
          <w:rFonts w:ascii="Times New Roman" w:hAnsi="Times New Roman"/>
          <w:bCs/>
          <w:iCs/>
          <w:sz w:val="24"/>
          <w:szCs w:val="24"/>
          <w:highlight w:val="yellow"/>
        </w:rPr>
        <w:t>-</w:t>
      </w:r>
      <w:r>
        <w:rPr>
          <w:rFonts w:ascii="Times New Roman" w:hAnsi="Times New Roman"/>
          <w:bCs/>
          <w:iCs/>
          <w:sz w:val="24"/>
          <w:szCs w:val="24"/>
        </w:rPr>
        <w:t>derived bioactive compound</w:t>
      </w:r>
      <w:r>
        <w:rPr>
          <w:rFonts w:ascii="Times New Roman" w:hAnsi="Times New Roman"/>
          <w:bCs/>
          <w:iCs/>
          <w:sz w:val="24"/>
          <w:szCs w:val="24"/>
          <w:highlight w:val="yellow"/>
        </w:rPr>
        <w:t>s</w:t>
      </w:r>
      <w:r>
        <w:rPr>
          <w:rFonts w:ascii="Times New Roman" w:hAnsi="Times New Roman"/>
          <w:bCs/>
          <w:iCs/>
          <w:sz w:val="24"/>
          <w:szCs w:val="24"/>
        </w:rPr>
        <w:t xml:space="preserve"> may help mitigate oxidative damage and support normal haematological function (Genchi </w:t>
      </w:r>
      <w:r>
        <w:rPr>
          <w:rFonts w:ascii="Times New Roman" w:hAnsi="Times New Roman"/>
          <w:bCs/>
          <w:i/>
          <w:iCs/>
          <w:sz w:val="24"/>
          <w:szCs w:val="24"/>
        </w:rPr>
        <w:t>et al</w:t>
      </w:r>
      <w:r>
        <w:rPr>
          <w:rFonts w:ascii="Times New Roman" w:hAnsi="Times New Roman"/>
          <w:bCs/>
          <w:iCs/>
          <w:sz w:val="24"/>
          <w:szCs w:val="24"/>
        </w:rPr>
        <w:t>., 2020; Th</w:t>
      </w:r>
      <w:r>
        <w:rPr>
          <w:rFonts w:ascii="Times New Roman" w:hAnsi="Times New Roman"/>
          <w:bCs/>
          <w:iCs/>
          <w:sz w:val="24"/>
          <w:szCs w:val="24"/>
          <w:highlight w:val="yellow"/>
        </w:rPr>
        <w:t>é</w:t>
      </w:r>
      <w:r>
        <w:rPr>
          <w:rFonts w:ascii="Times New Roman" w:hAnsi="Times New Roman"/>
          <w:bCs/>
          <w:iCs/>
          <w:sz w:val="24"/>
          <w:szCs w:val="24"/>
        </w:rPr>
        <w:t>venod &amp; Lee, 2013).</w:t>
      </w:r>
    </w:p>
    <w:p w14:paraId="7F2AF08A" w14:textId="77777777" w:rsidR="00B01FCD" w:rsidRDefault="00B01FCD" w:rsidP="00441B6F">
      <w:pPr>
        <w:pStyle w:val="ConcHead"/>
        <w:spacing w:after="0"/>
        <w:jc w:val="both"/>
        <w:rPr>
          <w:rFonts w:ascii="Arial" w:hAnsi="Arial" w:cs="Arial"/>
        </w:rPr>
      </w:pPr>
      <w:r w:rsidRPr="00FB3A86">
        <w:rPr>
          <w:rFonts w:ascii="Arial" w:hAnsi="Arial" w:cs="Arial"/>
        </w:rPr>
        <w:t>Conclusion</w:t>
      </w:r>
    </w:p>
    <w:p w14:paraId="2D5AEB39" w14:textId="77777777" w:rsidR="00790ADA" w:rsidRPr="00FB3A86" w:rsidRDefault="00790ADA" w:rsidP="00441B6F">
      <w:pPr>
        <w:pStyle w:val="ConcHead"/>
        <w:spacing w:after="0"/>
        <w:jc w:val="both"/>
        <w:rPr>
          <w:rFonts w:ascii="Arial" w:hAnsi="Arial" w:cs="Arial"/>
        </w:rPr>
      </w:pPr>
    </w:p>
    <w:p w14:paraId="13FEC4BF" w14:textId="77777777" w:rsidR="008B42CA" w:rsidRDefault="008B42CA" w:rsidP="008B42CA">
      <w:pPr>
        <w:spacing w:line="480" w:lineRule="auto"/>
        <w:ind w:firstLine="720"/>
        <w:jc w:val="both"/>
        <w:rPr>
          <w:rFonts w:ascii="Times New Roman" w:hAnsi="Times New Roman"/>
          <w:sz w:val="24"/>
          <w:szCs w:val="24"/>
        </w:rPr>
      </w:pPr>
      <w:r>
        <w:rPr>
          <w:rFonts w:ascii="Times New Roman" w:hAnsi="Times New Roman"/>
          <w:sz w:val="24"/>
          <w:szCs w:val="24"/>
        </w:rPr>
        <w:t xml:space="preserve">Dietary supplementation with </w:t>
      </w:r>
      <w:r>
        <w:rPr>
          <w:rFonts w:ascii="Times New Roman" w:hAnsi="Times New Roman"/>
          <w:i/>
          <w:sz w:val="24"/>
          <w:szCs w:val="24"/>
        </w:rPr>
        <w:t>Pterocarpus santalinoides</w:t>
      </w:r>
      <w:r>
        <w:rPr>
          <w:rFonts w:ascii="Times New Roman" w:hAnsi="Times New Roman"/>
          <w:sz w:val="24"/>
          <w:szCs w:val="24"/>
        </w:rPr>
        <w:t xml:space="preserve"> leaf significantly improved these haematological indices, suggesting enhanced blood cell production, improved immune competence, and re</w:t>
      </w:r>
      <w:r>
        <w:rPr>
          <w:rFonts w:ascii="Times New Roman" w:hAnsi="Times New Roman"/>
          <w:sz w:val="24"/>
          <w:szCs w:val="24"/>
          <w:highlight w:val="yellow"/>
        </w:rPr>
        <w:t>c</w:t>
      </w:r>
      <w:r>
        <w:rPr>
          <w:rFonts w:ascii="Times New Roman" w:hAnsi="Times New Roman"/>
          <w:sz w:val="24"/>
          <w:szCs w:val="24"/>
        </w:rPr>
        <w:t>o</w:t>
      </w:r>
      <w:r>
        <w:rPr>
          <w:rFonts w:ascii="Times New Roman" w:hAnsi="Times New Roman"/>
          <w:sz w:val="24"/>
          <w:szCs w:val="24"/>
          <w:highlight w:val="yellow"/>
        </w:rPr>
        <w:t>ve</w:t>
      </w:r>
      <w:r>
        <w:rPr>
          <w:rFonts w:ascii="Times New Roman" w:hAnsi="Times New Roman"/>
          <w:sz w:val="24"/>
          <w:szCs w:val="24"/>
        </w:rPr>
        <w:t>r</w:t>
      </w:r>
      <w:r>
        <w:rPr>
          <w:rFonts w:ascii="Times New Roman" w:hAnsi="Times New Roman"/>
          <w:sz w:val="24"/>
          <w:szCs w:val="24"/>
          <w:highlight w:val="yellow"/>
        </w:rPr>
        <w:t>y</w:t>
      </w:r>
      <w:r>
        <w:rPr>
          <w:rFonts w:ascii="Times New Roman" w:hAnsi="Times New Roman"/>
          <w:sz w:val="24"/>
          <w:szCs w:val="24"/>
        </w:rPr>
        <w:t xml:space="preserve"> of haematological function. The progressive improvements observed with increasing levels of dietary inclusion further indicate a dose-dependent protective effect of the plant. Moreo</w:t>
      </w:r>
      <w:r>
        <w:rPr>
          <w:rFonts w:ascii="Times New Roman" w:hAnsi="Times New Roman"/>
          <w:sz w:val="24"/>
          <w:szCs w:val="24"/>
          <w:highlight w:val="yellow"/>
        </w:rPr>
        <w:t>ver</w:t>
      </w:r>
      <w:r>
        <w:rPr>
          <w:rFonts w:ascii="Times New Roman" w:hAnsi="Times New Roman"/>
          <w:sz w:val="24"/>
          <w:szCs w:val="24"/>
        </w:rPr>
        <w:t xml:space="preserve">, the findings of this study </w:t>
      </w:r>
      <w:r>
        <w:rPr>
          <w:rFonts w:ascii="Times New Roman" w:hAnsi="Times New Roman"/>
          <w:sz w:val="24"/>
          <w:szCs w:val="24"/>
          <w:highlight w:val="yellow"/>
        </w:rPr>
        <w:t>sugg</w:t>
      </w:r>
      <w:r>
        <w:rPr>
          <w:rFonts w:ascii="Times New Roman" w:hAnsi="Times New Roman"/>
          <w:sz w:val="24"/>
          <w:szCs w:val="24"/>
        </w:rPr>
        <w:t xml:space="preserve">est that </w:t>
      </w:r>
      <w:r>
        <w:rPr>
          <w:rFonts w:ascii="Times New Roman" w:hAnsi="Times New Roman"/>
          <w:i/>
          <w:sz w:val="24"/>
          <w:szCs w:val="24"/>
        </w:rPr>
        <w:t>Pterocarpus santalinoides</w:t>
      </w:r>
      <w:r>
        <w:rPr>
          <w:rFonts w:ascii="Times New Roman" w:hAnsi="Times New Roman"/>
          <w:sz w:val="24"/>
          <w:szCs w:val="24"/>
        </w:rPr>
        <w:t xml:space="preserve"> leaf possess</w:t>
      </w:r>
      <w:r>
        <w:rPr>
          <w:rFonts w:ascii="Times New Roman" w:hAnsi="Times New Roman"/>
          <w:sz w:val="24"/>
          <w:szCs w:val="24"/>
          <w:highlight w:val="yellow"/>
        </w:rPr>
        <w:t>e</w:t>
      </w:r>
      <w:r>
        <w:rPr>
          <w:rFonts w:ascii="Times New Roman" w:hAnsi="Times New Roman"/>
          <w:sz w:val="24"/>
          <w:szCs w:val="24"/>
        </w:rPr>
        <w:t>s protective properties against cadmium-induced biochemical and haematological alterations. The observed improvements in kidney function</w:t>
      </w:r>
      <w:r>
        <w:rPr>
          <w:rFonts w:ascii="Times New Roman" w:hAnsi="Times New Roman"/>
          <w:sz w:val="24"/>
          <w:szCs w:val="24"/>
          <w:highlight w:val="yellow"/>
        </w:rPr>
        <w:t xml:space="preserve"> indices</w:t>
      </w:r>
      <w:r>
        <w:rPr>
          <w:rFonts w:ascii="Times New Roman" w:hAnsi="Times New Roman"/>
          <w:sz w:val="24"/>
          <w:szCs w:val="24"/>
        </w:rPr>
        <w:t xml:space="preserve">, antioxidant status, and </w:t>
      </w:r>
      <w:r>
        <w:rPr>
          <w:rFonts w:ascii="Times New Roman" w:hAnsi="Times New Roman"/>
          <w:sz w:val="24"/>
          <w:szCs w:val="24"/>
        </w:rPr>
        <w:lastRenderedPageBreak/>
        <w:t xml:space="preserve">haematological parameters suggest that the leaf diet </w:t>
      </w:r>
      <w:r>
        <w:rPr>
          <w:rFonts w:ascii="Times New Roman" w:hAnsi="Times New Roman"/>
          <w:sz w:val="24"/>
          <w:szCs w:val="24"/>
          <w:highlight w:val="yellow"/>
        </w:rPr>
        <w:t>m</w:t>
      </w:r>
      <w:r>
        <w:rPr>
          <w:rFonts w:ascii="Times New Roman" w:hAnsi="Times New Roman"/>
          <w:sz w:val="24"/>
          <w:szCs w:val="24"/>
        </w:rPr>
        <w:t>ay ameliorate effects associated with cadmium exposure. These effects may be a</w:t>
      </w:r>
      <w:r>
        <w:rPr>
          <w:rFonts w:ascii="Times New Roman" w:hAnsi="Times New Roman"/>
          <w:sz w:val="24"/>
          <w:szCs w:val="24"/>
          <w:highlight w:val="yellow"/>
        </w:rPr>
        <w:t>ssoc</w:t>
      </w:r>
      <w:r>
        <w:rPr>
          <w:rFonts w:ascii="Times New Roman" w:hAnsi="Times New Roman"/>
          <w:sz w:val="24"/>
          <w:szCs w:val="24"/>
        </w:rPr>
        <w:t>i</w:t>
      </w:r>
      <w:r>
        <w:rPr>
          <w:rFonts w:ascii="Times New Roman" w:hAnsi="Times New Roman"/>
          <w:sz w:val="24"/>
          <w:szCs w:val="24"/>
          <w:highlight w:val="yellow"/>
        </w:rPr>
        <w:t>a</w:t>
      </w:r>
      <w:r>
        <w:rPr>
          <w:rFonts w:ascii="Times New Roman" w:hAnsi="Times New Roman"/>
          <w:sz w:val="24"/>
          <w:szCs w:val="24"/>
        </w:rPr>
        <w:t xml:space="preserve">ted </w:t>
      </w:r>
      <w:r>
        <w:rPr>
          <w:rFonts w:ascii="Times New Roman" w:hAnsi="Times New Roman"/>
          <w:sz w:val="24"/>
          <w:szCs w:val="24"/>
          <w:highlight w:val="yellow"/>
        </w:rPr>
        <w:t>wi</w:t>
      </w:r>
      <w:r>
        <w:rPr>
          <w:rFonts w:ascii="Times New Roman" w:hAnsi="Times New Roman"/>
          <w:sz w:val="24"/>
          <w:szCs w:val="24"/>
        </w:rPr>
        <w:t>t</w:t>
      </w:r>
      <w:r>
        <w:rPr>
          <w:rFonts w:ascii="Times New Roman" w:hAnsi="Times New Roman"/>
          <w:sz w:val="24"/>
          <w:szCs w:val="24"/>
          <w:highlight w:val="yellow"/>
        </w:rPr>
        <w:t>h</w:t>
      </w:r>
      <w:r>
        <w:rPr>
          <w:rFonts w:ascii="Times New Roman" w:hAnsi="Times New Roman"/>
          <w:sz w:val="24"/>
          <w:szCs w:val="24"/>
        </w:rPr>
        <w:t xml:space="preserve"> the phytochemical composition of the plant, which </w:t>
      </w:r>
      <w:r>
        <w:rPr>
          <w:rFonts w:ascii="Times New Roman" w:hAnsi="Times New Roman"/>
          <w:sz w:val="24"/>
          <w:szCs w:val="24"/>
          <w:highlight w:val="yellow"/>
        </w:rPr>
        <w:t xml:space="preserve">may </w:t>
      </w:r>
      <w:r>
        <w:rPr>
          <w:rFonts w:ascii="Times New Roman" w:hAnsi="Times New Roman"/>
          <w:sz w:val="24"/>
          <w:szCs w:val="24"/>
        </w:rPr>
        <w:t>enhance antioxidant defen</w:t>
      </w:r>
      <w:r>
        <w:rPr>
          <w:rFonts w:ascii="Times New Roman" w:hAnsi="Times New Roman"/>
          <w:sz w:val="24"/>
          <w:szCs w:val="24"/>
          <w:highlight w:val="yellow"/>
        </w:rPr>
        <w:t>c</w:t>
      </w:r>
      <w:r>
        <w:rPr>
          <w:rFonts w:ascii="Times New Roman" w:hAnsi="Times New Roman"/>
          <w:sz w:val="24"/>
          <w:szCs w:val="24"/>
        </w:rPr>
        <w:t xml:space="preserve">es and support normal physiological processes. Therefore, dietary incorporation of </w:t>
      </w:r>
      <w:r>
        <w:rPr>
          <w:rFonts w:ascii="Times New Roman" w:hAnsi="Times New Roman"/>
          <w:i/>
          <w:sz w:val="24"/>
          <w:szCs w:val="24"/>
        </w:rPr>
        <w:t>Pterocarpus santalinoides</w:t>
      </w:r>
      <w:r>
        <w:rPr>
          <w:rFonts w:ascii="Times New Roman" w:hAnsi="Times New Roman"/>
          <w:sz w:val="24"/>
          <w:szCs w:val="24"/>
        </w:rPr>
        <w:t xml:space="preserve"> leaf </w:t>
      </w:r>
      <w:r>
        <w:rPr>
          <w:rFonts w:ascii="Times New Roman" w:hAnsi="Times New Roman"/>
          <w:sz w:val="24"/>
          <w:szCs w:val="24"/>
          <w:highlight w:val="yellow"/>
        </w:rPr>
        <w:t>s</w:t>
      </w:r>
      <w:r>
        <w:rPr>
          <w:rFonts w:ascii="Times New Roman" w:hAnsi="Times New Roman"/>
          <w:sz w:val="24"/>
          <w:szCs w:val="24"/>
        </w:rPr>
        <w:t>h</w:t>
      </w:r>
      <w:r>
        <w:rPr>
          <w:rFonts w:ascii="Times New Roman" w:hAnsi="Times New Roman"/>
          <w:sz w:val="24"/>
          <w:szCs w:val="24"/>
          <w:highlight w:val="yellow"/>
        </w:rPr>
        <w:t>ow</w:t>
      </w:r>
      <w:r>
        <w:rPr>
          <w:rFonts w:ascii="Times New Roman" w:hAnsi="Times New Roman"/>
          <w:sz w:val="24"/>
          <w:szCs w:val="24"/>
        </w:rPr>
        <w:t>s potential as a nutritional intervention for reducing cadmium</w:t>
      </w:r>
      <w:r>
        <w:rPr>
          <w:rFonts w:ascii="Times New Roman" w:hAnsi="Times New Roman"/>
          <w:sz w:val="24"/>
          <w:szCs w:val="24"/>
          <w:highlight w:val="yellow"/>
        </w:rPr>
        <w:t>-ass</w:t>
      </w:r>
      <w:r>
        <w:rPr>
          <w:rFonts w:ascii="Times New Roman" w:hAnsi="Times New Roman"/>
          <w:sz w:val="24"/>
          <w:szCs w:val="24"/>
        </w:rPr>
        <w:t>oci</w:t>
      </w:r>
      <w:r>
        <w:rPr>
          <w:rFonts w:ascii="Times New Roman" w:hAnsi="Times New Roman"/>
          <w:sz w:val="24"/>
          <w:szCs w:val="24"/>
          <w:highlight w:val="yellow"/>
        </w:rPr>
        <w:t>a</w:t>
      </w:r>
      <w:r>
        <w:rPr>
          <w:rFonts w:ascii="Times New Roman" w:hAnsi="Times New Roman"/>
          <w:sz w:val="24"/>
          <w:szCs w:val="24"/>
        </w:rPr>
        <w:t>t</w:t>
      </w:r>
      <w:r>
        <w:rPr>
          <w:rFonts w:ascii="Times New Roman" w:hAnsi="Times New Roman"/>
          <w:sz w:val="24"/>
          <w:szCs w:val="24"/>
          <w:highlight w:val="yellow"/>
        </w:rPr>
        <w:t>ed</w:t>
      </w:r>
      <w:r>
        <w:rPr>
          <w:rFonts w:ascii="Times New Roman" w:hAnsi="Times New Roman"/>
          <w:sz w:val="24"/>
          <w:szCs w:val="24"/>
        </w:rPr>
        <w:t xml:space="preserve"> a</w:t>
      </w:r>
      <w:r>
        <w:rPr>
          <w:rFonts w:ascii="Times New Roman" w:hAnsi="Times New Roman"/>
          <w:sz w:val="24"/>
          <w:szCs w:val="24"/>
          <w:highlight w:val="yellow"/>
        </w:rPr>
        <w:t>l</w:t>
      </w:r>
      <w:r>
        <w:rPr>
          <w:rFonts w:ascii="Times New Roman" w:hAnsi="Times New Roman"/>
          <w:sz w:val="24"/>
          <w:szCs w:val="24"/>
        </w:rPr>
        <w:t>terat</w:t>
      </w:r>
      <w:r>
        <w:rPr>
          <w:rFonts w:ascii="Times New Roman" w:hAnsi="Times New Roman"/>
          <w:sz w:val="24"/>
          <w:szCs w:val="24"/>
          <w:highlight w:val="yellow"/>
        </w:rPr>
        <w:t>ions</w:t>
      </w:r>
      <w:r>
        <w:rPr>
          <w:rFonts w:ascii="Times New Roman" w:hAnsi="Times New Roman"/>
          <w:sz w:val="24"/>
          <w:szCs w:val="24"/>
        </w:rPr>
        <w:t xml:space="preserve">. </w:t>
      </w:r>
      <w:r>
        <w:rPr>
          <w:rFonts w:ascii="Times New Roman" w:hAnsi="Times New Roman"/>
          <w:sz w:val="24"/>
          <w:szCs w:val="24"/>
          <w:highlight w:val="yellow"/>
        </w:rPr>
        <w:t>T</w:t>
      </w:r>
      <w:r>
        <w:rPr>
          <w:rFonts w:ascii="Times New Roman" w:hAnsi="Times New Roman"/>
          <w:sz w:val="24"/>
          <w:szCs w:val="24"/>
        </w:rPr>
        <w:t xml:space="preserve">he plant may </w:t>
      </w:r>
      <w:r>
        <w:rPr>
          <w:rFonts w:ascii="Times New Roman" w:hAnsi="Times New Roman"/>
          <w:sz w:val="24"/>
          <w:szCs w:val="24"/>
          <w:highlight w:val="yellow"/>
        </w:rPr>
        <w:t xml:space="preserve">also </w:t>
      </w:r>
      <w:r>
        <w:rPr>
          <w:rFonts w:ascii="Times New Roman" w:hAnsi="Times New Roman"/>
          <w:sz w:val="24"/>
          <w:szCs w:val="24"/>
        </w:rPr>
        <w:t xml:space="preserve">serve as a source of bioactive compounds capable of </w:t>
      </w:r>
      <w:r>
        <w:rPr>
          <w:rFonts w:ascii="Times New Roman" w:hAnsi="Times New Roman"/>
          <w:sz w:val="24"/>
          <w:szCs w:val="24"/>
          <w:highlight w:val="yellow"/>
        </w:rPr>
        <w:t>su</w:t>
      </w:r>
      <w:r>
        <w:rPr>
          <w:rFonts w:ascii="Times New Roman" w:hAnsi="Times New Roman"/>
          <w:sz w:val="24"/>
          <w:szCs w:val="24"/>
        </w:rPr>
        <w:t>p</w:t>
      </w:r>
      <w:r>
        <w:rPr>
          <w:rFonts w:ascii="Times New Roman" w:hAnsi="Times New Roman"/>
          <w:sz w:val="24"/>
          <w:szCs w:val="24"/>
          <w:highlight w:val="yellow"/>
        </w:rPr>
        <w:t>po</w:t>
      </w:r>
      <w:r>
        <w:rPr>
          <w:rFonts w:ascii="Times New Roman" w:hAnsi="Times New Roman"/>
          <w:sz w:val="24"/>
          <w:szCs w:val="24"/>
        </w:rPr>
        <w:t xml:space="preserve">rting biological </w:t>
      </w:r>
      <w:r>
        <w:rPr>
          <w:rFonts w:ascii="Times New Roman" w:hAnsi="Times New Roman"/>
          <w:sz w:val="24"/>
          <w:szCs w:val="24"/>
          <w:highlight w:val="yellow"/>
        </w:rPr>
        <w:t>d</w:t>
      </w:r>
      <w:r>
        <w:rPr>
          <w:rFonts w:ascii="Times New Roman" w:hAnsi="Times New Roman"/>
          <w:sz w:val="24"/>
          <w:szCs w:val="24"/>
        </w:rPr>
        <w:t>e</w:t>
      </w:r>
      <w:r>
        <w:rPr>
          <w:rFonts w:ascii="Times New Roman" w:hAnsi="Times New Roman"/>
          <w:sz w:val="24"/>
          <w:szCs w:val="24"/>
          <w:highlight w:val="yellow"/>
        </w:rPr>
        <w:t>fence</w:t>
      </w:r>
      <w:r>
        <w:rPr>
          <w:rFonts w:ascii="Times New Roman" w:hAnsi="Times New Roman"/>
          <w:sz w:val="24"/>
          <w:szCs w:val="24"/>
        </w:rPr>
        <w:t xml:space="preserve"> against oxidative stress and heavy metal-induced damage.</w:t>
      </w:r>
    </w:p>
    <w:p w14:paraId="7E0170A1" w14:textId="77777777" w:rsidR="00C41721" w:rsidRDefault="00C41721" w:rsidP="008B42CA">
      <w:pPr>
        <w:spacing w:line="480" w:lineRule="auto"/>
        <w:ind w:firstLine="720"/>
        <w:jc w:val="both"/>
        <w:rPr>
          <w:rFonts w:ascii="Times New Roman" w:hAnsi="Times New Roman"/>
          <w:sz w:val="24"/>
          <w:szCs w:val="24"/>
        </w:rPr>
      </w:pPr>
    </w:p>
    <w:p w14:paraId="099F4331" w14:textId="77777777" w:rsidR="00C41721" w:rsidRDefault="00C41721" w:rsidP="008B42CA">
      <w:pPr>
        <w:spacing w:line="480" w:lineRule="auto"/>
        <w:ind w:firstLine="720"/>
        <w:jc w:val="both"/>
        <w:rPr>
          <w:rFonts w:ascii="Times New Roman" w:hAnsi="Times New Roman"/>
          <w:sz w:val="24"/>
          <w:szCs w:val="24"/>
        </w:rPr>
      </w:pPr>
    </w:p>
    <w:p w14:paraId="38E8F7AB" w14:textId="77777777" w:rsidR="00C41721" w:rsidRPr="00C41721" w:rsidRDefault="00C41721" w:rsidP="00C41721">
      <w:pPr>
        <w:spacing w:before="100" w:beforeAutospacing="1" w:after="100" w:afterAutospacing="1"/>
        <w:outlineLvl w:val="2"/>
        <w:rPr>
          <w:rFonts w:ascii="Times New Roman" w:hAnsi="Times New Roman"/>
          <w:b/>
          <w:bCs/>
          <w:sz w:val="27"/>
          <w:szCs w:val="27"/>
        </w:rPr>
      </w:pPr>
      <w:r w:rsidRPr="00C41721">
        <w:rPr>
          <w:rFonts w:ascii="Times New Roman" w:hAnsi="Times New Roman"/>
          <w:b/>
          <w:bCs/>
          <w:sz w:val="27"/>
          <w:szCs w:val="27"/>
        </w:rPr>
        <w:t>Limitations</w:t>
      </w:r>
    </w:p>
    <w:p w14:paraId="5C723077" w14:textId="7F7C6DF3" w:rsidR="00C41721" w:rsidRDefault="00C41721" w:rsidP="00C41721">
      <w:pPr>
        <w:spacing w:before="100" w:beforeAutospacing="1" w:after="100" w:afterAutospacing="1"/>
        <w:rPr>
          <w:rFonts w:ascii="Times New Roman" w:hAnsi="Times New Roman"/>
          <w:sz w:val="24"/>
          <w:szCs w:val="24"/>
        </w:rPr>
      </w:pPr>
      <w:r w:rsidRPr="00C41721">
        <w:rPr>
          <w:rFonts w:ascii="Times New Roman" w:hAnsi="Times New Roman"/>
          <w:sz w:val="24"/>
          <w:szCs w:val="24"/>
        </w:rPr>
        <w:t xml:space="preserve">The study used 30 Wistar rats allocated to five experimental groups and was conducted over a limited exposure and treatment period. The measured outcomes were restricted to selected kidney function indices, antioxidant enzymes, and </w:t>
      </w:r>
      <w:proofErr w:type="spellStart"/>
      <w:r w:rsidRPr="00C41721">
        <w:rPr>
          <w:rFonts w:ascii="Times New Roman" w:hAnsi="Times New Roman"/>
          <w:sz w:val="24"/>
          <w:szCs w:val="24"/>
        </w:rPr>
        <w:t>haematological</w:t>
      </w:r>
      <w:proofErr w:type="spellEnd"/>
      <w:r w:rsidRPr="00C41721">
        <w:rPr>
          <w:rFonts w:ascii="Times New Roman" w:hAnsi="Times New Roman"/>
          <w:sz w:val="24"/>
          <w:szCs w:val="24"/>
        </w:rPr>
        <w:t xml:space="preserve"> parameters; histopathological assessment, tissue cadmium concentrations, and broader oxidative-stress markers were not reported. These factors limit mechanistic interpretation and </w:t>
      </w:r>
      <w:proofErr w:type="spellStart"/>
      <w:r w:rsidRPr="00C41721">
        <w:rPr>
          <w:rFonts w:ascii="Times New Roman" w:hAnsi="Times New Roman"/>
          <w:sz w:val="24"/>
          <w:szCs w:val="24"/>
        </w:rPr>
        <w:t>generalisability</w:t>
      </w:r>
      <w:proofErr w:type="spellEnd"/>
      <w:r w:rsidRPr="00C41721">
        <w:rPr>
          <w:rFonts w:ascii="Times New Roman" w:hAnsi="Times New Roman"/>
          <w:sz w:val="24"/>
          <w:szCs w:val="24"/>
        </w:rPr>
        <w:t>. Future studies should use larger samples, additional biochemical and tissue-level assessments, and fully specified statistical comparisons.</w:t>
      </w:r>
    </w:p>
    <w:p w14:paraId="74A66174" w14:textId="77777777" w:rsidR="00BA3D76" w:rsidRDefault="00BA3D76" w:rsidP="00C41721">
      <w:pPr>
        <w:spacing w:before="100" w:beforeAutospacing="1" w:after="100" w:afterAutospacing="1"/>
        <w:rPr>
          <w:rFonts w:ascii="Times New Roman" w:hAnsi="Times New Roman"/>
          <w:sz w:val="24"/>
          <w:szCs w:val="24"/>
        </w:rPr>
      </w:pPr>
    </w:p>
    <w:p w14:paraId="76600062" w14:textId="77777777" w:rsidR="00BA3D76" w:rsidRPr="00BA3D76" w:rsidRDefault="00BA3D76" w:rsidP="00BA3D76">
      <w:pPr>
        <w:spacing w:before="100" w:beforeAutospacing="1" w:after="100" w:afterAutospacing="1"/>
        <w:rPr>
          <w:rFonts w:ascii="Times New Roman" w:hAnsi="Times New Roman"/>
          <w:sz w:val="24"/>
          <w:szCs w:val="24"/>
        </w:rPr>
      </w:pPr>
      <w:r w:rsidRPr="00BA3D76">
        <w:rPr>
          <w:rFonts w:ascii="Times New Roman" w:hAnsi="Times New Roman"/>
          <w:sz w:val="24"/>
          <w:szCs w:val="24"/>
        </w:rPr>
        <w:t>Ethical Approval</w:t>
      </w:r>
    </w:p>
    <w:p w14:paraId="3F488ED2" w14:textId="5BFB94E7" w:rsidR="00BA3D76" w:rsidRPr="00C41721" w:rsidRDefault="00BA3D76" w:rsidP="00BA3D76">
      <w:pPr>
        <w:spacing w:before="100" w:beforeAutospacing="1" w:after="100" w:afterAutospacing="1"/>
        <w:rPr>
          <w:rFonts w:ascii="Times New Roman" w:hAnsi="Times New Roman"/>
          <w:sz w:val="24"/>
          <w:szCs w:val="24"/>
        </w:rPr>
      </w:pPr>
      <w:r w:rsidRPr="00BA3D76">
        <w:rPr>
          <w:rFonts w:ascii="Times New Roman" w:hAnsi="Times New Roman"/>
          <w:sz w:val="24"/>
          <w:szCs w:val="24"/>
        </w:rPr>
        <w:t>Animal Ethic committee approval has been collected and preserved by the author(s)</w:t>
      </w:r>
    </w:p>
    <w:p w14:paraId="0A982E90" w14:textId="77777777" w:rsidR="00C41721" w:rsidRDefault="00C41721" w:rsidP="008B42CA">
      <w:pPr>
        <w:spacing w:line="480" w:lineRule="auto"/>
        <w:ind w:firstLine="720"/>
        <w:jc w:val="both"/>
        <w:rPr>
          <w:rFonts w:ascii="Times New Roman" w:hAnsi="Times New Roman"/>
          <w:sz w:val="24"/>
          <w:szCs w:val="24"/>
        </w:rPr>
      </w:pPr>
    </w:p>
    <w:p w14:paraId="2FCEA177" w14:textId="77777777" w:rsidR="00860000" w:rsidRPr="00786D36" w:rsidRDefault="00860000" w:rsidP="00441B6F">
      <w:pPr>
        <w:pStyle w:val="ReferHead"/>
        <w:spacing w:after="0"/>
        <w:jc w:val="both"/>
        <w:rPr>
          <w:rFonts w:ascii="Arial" w:hAnsi="Arial" w:cs="Arial"/>
          <w:bCs/>
        </w:rPr>
      </w:pPr>
      <w:r w:rsidRPr="00786D36">
        <w:rPr>
          <w:rFonts w:ascii="Arial" w:hAnsi="Arial" w:cs="Arial"/>
          <w:bCs/>
        </w:rPr>
        <w:t>Competing interests</w:t>
      </w:r>
    </w:p>
    <w:p w14:paraId="2515100C" w14:textId="77777777" w:rsidR="008B42CA" w:rsidRDefault="008B42CA" w:rsidP="008B42CA">
      <w:pPr>
        <w:pStyle w:val="ReferHead"/>
        <w:spacing w:after="0"/>
        <w:jc w:val="both"/>
        <w:rPr>
          <w:rFonts w:ascii="Arial" w:hAnsi="Arial" w:cs="Arial"/>
          <w:b w:val="0"/>
          <w:caps w:val="0"/>
          <w:sz w:val="20"/>
        </w:rPr>
      </w:pPr>
      <w:r>
        <w:rPr>
          <w:rFonts w:ascii="Arial" w:hAnsi="Arial" w:cs="Arial"/>
          <w:b w:val="0"/>
          <w:caps w:val="0"/>
          <w:sz w:val="20"/>
        </w:rPr>
        <w:t>Authors have declared that no competing interests exist.</w:t>
      </w:r>
    </w:p>
    <w:p w14:paraId="34157094" w14:textId="77777777" w:rsidR="00863101" w:rsidRDefault="00863101" w:rsidP="00441B6F">
      <w:pPr>
        <w:pStyle w:val="ReferHead"/>
        <w:spacing w:after="0"/>
        <w:jc w:val="both"/>
        <w:rPr>
          <w:rFonts w:ascii="Arial" w:hAnsi="Arial" w:cs="Arial"/>
          <w:b w:val="0"/>
          <w:caps w:val="0"/>
          <w:sz w:val="20"/>
        </w:rPr>
      </w:pPr>
    </w:p>
    <w:p w14:paraId="358CBDE6" w14:textId="77777777" w:rsidR="00863101" w:rsidRDefault="00863101" w:rsidP="00441B6F">
      <w:pPr>
        <w:pStyle w:val="ReferHead"/>
        <w:spacing w:after="0"/>
        <w:jc w:val="both"/>
        <w:rPr>
          <w:rFonts w:ascii="Arial" w:hAnsi="Arial" w:cs="Arial"/>
          <w:b w:val="0"/>
          <w:caps w:val="0"/>
          <w:sz w:val="20"/>
        </w:rPr>
      </w:pPr>
    </w:p>
    <w:p w14:paraId="735DFC1D" w14:textId="77777777" w:rsidR="00863101" w:rsidRDefault="00863101" w:rsidP="00863101">
      <w:pPr>
        <w:rPr>
          <w:rFonts w:ascii="Times New Roman" w:hAnsi="Times New Roman"/>
          <w:b/>
        </w:rPr>
      </w:pPr>
      <w:r w:rsidRPr="000839CE">
        <w:rPr>
          <w:rFonts w:ascii="Times New Roman" w:hAnsi="Times New Roman"/>
          <w:b/>
        </w:rPr>
        <w:t>Declaration of AI Use</w:t>
      </w:r>
    </w:p>
    <w:p w14:paraId="779DE363" w14:textId="77777777" w:rsidR="00863101" w:rsidRDefault="00863101" w:rsidP="00863101">
      <w:pPr>
        <w:rPr>
          <w:rFonts w:ascii="Times New Roman" w:hAnsi="Times New Roman"/>
          <w:b/>
        </w:rPr>
      </w:pPr>
    </w:p>
    <w:p w14:paraId="7F293ABB" w14:textId="77777777" w:rsidR="00863101" w:rsidRDefault="00863101" w:rsidP="00863101">
      <w:pPr>
        <w:rPr>
          <w:rFonts w:ascii="Times New Roman" w:hAnsi="Times New Roman"/>
          <w:b/>
        </w:rPr>
      </w:pPr>
    </w:p>
    <w:p w14:paraId="6BBF1C2E" w14:textId="77777777" w:rsidR="00863101" w:rsidRDefault="00863101" w:rsidP="00863101">
      <w:pPr>
        <w:rPr>
          <w:rFonts w:ascii="Times New Roman" w:hAnsi="Times New Roman"/>
          <w:b/>
        </w:rPr>
      </w:pPr>
    </w:p>
    <w:p w14:paraId="1DA9017B" w14:textId="77777777" w:rsidR="00863101" w:rsidRPr="002D08AC" w:rsidRDefault="00863101" w:rsidP="00863101">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7AA8D65" w14:textId="77777777" w:rsidR="00863101" w:rsidRDefault="00863101" w:rsidP="00441B6F">
      <w:pPr>
        <w:pStyle w:val="ReferHead"/>
        <w:spacing w:after="0"/>
        <w:jc w:val="both"/>
        <w:rPr>
          <w:rFonts w:ascii="Arial" w:hAnsi="Arial" w:cs="Arial"/>
        </w:rPr>
      </w:pPr>
    </w:p>
    <w:p w14:paraId="64FF40FE" w14:textId="77777777" w:rsidR="00B01FCD" w:rsidRDefault="00B01FCD" w:rsidP="00441B6F">
      <w:pPr>
        <w:pStyle w:val="ReferHead"/>
        <w:spacing w:after="0"/>
        <w:jc w:val="both"/>
        <w:rPr>
          <w:rFonts w:ascii="Arial" w:hAnsi="Arial" w:cs="Arial"/>
        </w:rPr>
      </w:pPr>
      <w:r w:rsidRPr="00FB3A86">
        <w:rPr>
          <w:rFonts w:ascii="Arial" w:hAnsi="Arial" w:cs="Arial"/>
        </w:rPr>
        <w:t>References</w:t>
      </w:r>
    </w:p>
    <w:p w14:paraId="78437143"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Adedara</w:t>
      </w:r>
      <w:proofErr w:type="spellEnd"/>
      <w:r w:rsidRPr="009F67F1">
        <w:rPr>
          <w:rFonts w:ascii="Times New Roman" w:hAnsi="Times New Roman"/>
          <w:sz w:val="24"/>
          <w:szCs w:val="24"/>
        </w:rPr>
        <w:t xml:space="preserve">, I. A., Daramola, Y. M., </w:t>
      </w:r>
      <w:proofErr w:type="spellStart"/>
      <w:r w:rsidRPr="009F67F1">
        <w:rPr>
          <w:rFonts w:ascii="Times New Roman" w:hAnsi="Times New Roman"/>
          <w:sz w:val="24"/>
          <w:szCs w:val="24"/>
        </w:rPr>
        <w:t>Dagunduro</w:t>
      </w:r>
      <w:proofErr w:type="spellEnd"/>
      <w:r w:rsidRPr="009F67F1">
        <w:rPr>
          <w:rFonts w:ascii="Times New Roman" w:hAnsi="Times New Roman"/>
          <w:sz w:val="24"/>
          <w:szCs w:val="24"/>
        </w:rPr>
        <w:t xml:space="preserve">, J. O., </w:t>
      </w:r>
      <w:proofErr w:type="spellStart"/>
      <w:r w:rsidRPr="009F67F1">
        <w:rPr>
          <w:rFonts w:ascii="Times New Roman" w:hAnsi="Times New Roman"/>
          <w:sz w:val="24"/>
          <w:szCs w:val="24"/>
        </w:rPr>
        <w:t>Aiyegbusi</w:t>
      </w:r>
      <w:proofErr w:type="spellEnd"/>
      <w:r w:rsidRPr="009F67F1">
        <w:rPr>
          <w:rFonts w:ascii="Times New Roman" w:hAnsi="Times New Roman"/>
          <w:sz w:val="24"/>
          <w:szCs w:val="24"/>
        </w:rPr>
        <w:t xml:space="preserve">, M. A., &amp; </w:t>
      </w:r>
      <w:proofErr w:type="spellStart"/>
      <w:r w:rsidRPr="009F67F1">
        <w:rPr>
          <w:rFonts w:ascii="Times New Roman" w:hAnsi="Times New Roman"/>
          <w:sz w:val="24"/>
          <w:szCs w:val="24"/>
        </w:rPr>
        <w:t>Farombi</w:t>
      </w:r>
      <w:proofErr w:type="spellEnd"/>
      <w:r w:rsidRPr="009F67F1">
        <w:rPr>
          <w:rFonts w:ascii="Times New Roman" w:hAnsi="Times New Roman"/>
          <w:sz w:val="24"/>
          <w:szCs w:val="24"/>
        </w:rPr>
        <w:t xml:space="preserve">, E. O. (2015). Renoprotection of </w:t>
      </w:r>
      <w:proofErr w:type="spellStart"/>
      <w:r w:rsidRPr="009F67F1">
        <w:rPr>
          <w:rFonts w:ascii="Times New Roman" w:hAnsi="Times New Roman"/>
          <w:sz w:val="24"/>
          <w:szCs w:val="24"/>
        </w:rPr>
        <w:t>Kolaviron</w:t>
      </w:r>
      <w:proofErr w:type="spellEnd"/>
      <w:r w:rsidRPr="009F67F1">
        <w:rPr>
          <w:rFonts w:ascii="Times New Roman" w:hAnsi="Times New Roman"/>
          <w:sz w:val="24"/>
          <w:szCs w:val="24"/>
        </w:rPr>
        <w:t xml:space="preserve"> against benzo(a)pyrene-induced renal toxicity in rats. </w:t>
      </w:r>
      <w:r w:rsidRPr="009F67F1">
        <w:rPr>
          <w:rFonts w:ascii="Times New Roman" w:hAnsi="Times New Roman"/>
          <w:i/>
          <w:iCs/>
          <w:sz w:val="24"/>
          <w:szCs w:val="24"/>
        </w:rPr>
        <w:t>Renal Failure, 37</w:t>
      </w:r>
      <w:r w:rsidRPr="009F67F1">
        <w:rPr>
          <w:rFonts w:ascii="Times New Roman" w:hAnsi="Times New Roman"/>
          <w:sz w:val="24"/>
          <w:szCs w:val="24"/>
        </w:rPr>
        <w:t xml:space="preserve">(3), 497–504. </w:t>
      </w:r>
      <w:hyperlink r:id="rId14" w:history="1">
        <w:r w:rsidRPr="009F67F1">
          <w:rPr>
            <w:rFonts w:ascii="Times New Roman" w:hAnsi="Times New Roman"/>
            <w:color w:val="0000FF"/>
            <w:sz w:val="24"/>
            <w:szCs w:val="24"/>
            <w:u w:val="single"/>
          </w:rPr>
          <w:t>https://doi.org/10.3109/0886022X.2015.1006085</w:t>
        </w:r>
      </w:hyperlink>
    </w:p>
    <w:p w14:paraId="4E5D20FC"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lastRenderedPageBreak/>
        <w:t>Akinmoladun</w:t>
      </w:r>
      <w:proofErr w:type="spellEnd"/>
      <w:r w:rsidRPr="009F67F1">
        <w:rPr>
          <w:rFonts w:ascii="Times New Roman" w:hAnsi="Times New Roman"/>
          <w:sz w:val="24"/>
          <w:szCs w:val="24"/>
        </w:rPr>
        <w:t xml:space="preserve">, A. C., Ibukun, E. O., </w:t>
      </w:r>
      <w:proofErr w:type="spellStart"/>
      <w:r w:rsidRPr="009F67F1">
        <w:rPr>
          <w:rFonts w:ascii="Times New Roman" w:hAnsi="Times New Roman"/>
          <w:sz w:val="24"/>
          <w:szCs w:val="24"/>
        </w:rPr>
        <w:t>Afor</w:t>
      </w:r>
      <w:proofErr w:type="spellEnd"/>
      <w:r w:rsidRPr="009F67F1">
        <w:rPr>
          <w:rFonts w:ascii="Times New Roman" w:hAnsi="Times New Roman"/>
          <w:sz w:val="24"/>
          <w:szCs w:val="24"/>
        </w:rPr>
        <w:t xml:space="preserve">, E., </w:t>
      </w:r>
      <w:proofErr w:type="spellStart"/>
      <w:r w:rsidRPr="009F67F1">
        <w:rPr>
          <w:rFonts w:ascii="Times New Roman" w:hAnsi="Times New Roman"/>
          <w:sz w:val="24"/>
          <w:szCs w:val="24"/>
        </w:rPr>
        <w:t>Obuotor</w:t>
      </w:r>
      <w:proofErr w:type="spellEnd"/>
      <w:r w:rsidRPr="009F67F1">
        <w:rPr>
          <w:rFonts w:ascii="Times New Roman" w:hAnsi="Times New Roman"/>
          <w:sz w:val="24"/>
          <w:szCs w:val="24"/>
        </w:rPr>
        <w:t xml:space="preserve">, E. M., &amp; </w:t>
      </w:r>
      <w:proofErr w:type="spellStart"/>
      <w:r w:rsidRPr="009F67F1">
        <w:rPr>
          <w:rFonts w:ascii="Times New Roman" w:hAnsi="Times New Roman"/>
          <w:sz w:val="24"/>
          <w:szCs w:val="24"/>
        </w:rPr>
        <w:t>Farombi</w:t>
      </w:r>
      <w:proofErr w:type="spellEnd"/>
      <w:r w:rsidRPr="009F67F1">
        <w:rPr>
          <w:rFonts w:ascii="Times New Roman" w:hAnsi="Times New Roman"/>
          <w:sz w:val="24"/>
          <w:szCs w:val="24"/>
        </w:rPr>
        <w:t xml:space="preserve">, E. O. (2007). Phytochemical constituent and antioxidant activity of extract from the leaves of </w:t>
      </w:r>
      <w:r w:rsidRPr="009F67F1">
        <w:rPr>
          <w:rFonts w:ascii="Times New Roman" w:hAnsi="Times New Roman"/>
          <w:i/>
          <w:iCs/>
          <w:sz w:val="24"/>
          <w:szCs w:val="24"/>
        </w:rPr>
        <w:t xml:space="preserve">Ocimum </w:t>
      </w:r>
      <w:proofErr w:type="spellStart"/>
      <w:r w:rsidRPr="009F67F1">
        <w:rPr>
          <w:rFonts w:ascii="Times New Roman" w:hAnsi="Times New Roman"/>
          <w:i/>
          <w:iCs/>
          <w:sz w:val="24"/>
          <w:szCs w:val="24"/>
        </w:rPr>
        <w:t>gratissimum</w:t>
      </w:r>
      <w:proofErr w:type="spellEnd"/>
      <w:r w:rsidRPr="009F67F1">
        <w:rPr>
          <w:rFonts w:ascii="Times New Roman" w:hAnsi="Times New Roman"/>
          <w:sz w:val="24"/>
          <w:szCs w:val="24"/>
        </w:rPr>
        <w:t xml:space="preserve">. </w:t>
      </w:r>
      <w:r w:rsidRPr="009F67F1">
        <w:rPr>
          <w:rFonts w:ascii="Times New Roman" w:hAnsi="Times New Roman"/>
          <w:i/>
          <w:iCs/>
          <w:sz w:val="24"/>
          <w:szCs w:val="24"/>
        </w:rPr>
        <w:t>Scientific Research and Essays, 2</w:t>
      </w:r>
      <w:r w:rsidRPr="009F67F1">
        <w:rPr>
          <w:rFonts w:ascii="Times New Roman" w:hAnsi="Times New Roman"/>
          <w:sz w:val="24"/>
          <w:szCs w:val="24"/>
        </w:rPr>
        <w:t xml:space="preserve">(5), 163–166. </w:t>
      </w:r>
      <w:hyperlink r:id="rId15" w:history="1">
        <w:r w:rsidRPr="009F67F1">
          <w:rPr>
            <w:rFonts w:ascii="Times New Roman" w:hAnsi="Times New Roman"/>
            <w:color w:val="0000FF"/>
            <w:sz w:val="24"/>
            <w:szCs w:val="24"/>
            <w:u w:val="single"/>
          </w:rPr>
          <w:t>https://doi.org/10.5897/SRE.9000731</w:t>
        </w:r>
      </w:hyperlink>
    </w:p>
    <w:p w14:paraId="65C730F2"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lang w:val="nl-BE"/>
        </w:rPr>
        <w:t xml:space="preserve">Cuypers, A., Plusquin, M., Remans, T., Jozefczak, M., Keunen, E., Gielen, H., Opdenakker, K., Nair, A. R., Munters, E., Artois, T. J., Nawrot, T., Vangronsveld, J., &amp; Smeets, K. (2010). </w:t>
      </w:r>
      <w:r w:rsidRPr="009F67F1">
        <w:rPr>
          <w:rFonts w:ascii="Times New Roman" w:hAnsi="Times New Roman"/>
          <w:sz w:val="24"/>
          <w:szCs w:val="24"/>
        </w:rPr>
        <w:t xml:space="preserve">Cadmium stress: An oxidative challenge. </w:t>
      </w:r>
      <w:proofErr w:type="spellStart"/>
      <w:r w:rsidRPr="009F67F1">
        <w:rPr>
          <w:rFonts w:ascii="Times New Roman" w:hAnsi="Times New Roman"/>
          <w:i/>
          <w:iCs/>
          <w:sz w:val="24"/>
          <w:szCs w:val="24"/>
        </w:rPr>
        <w:t>BioMetals</w:t>
      </w:r>
      <w:proofErr w:type="spellEnd"/>
      <w:r w:rsidRPr="009F67F1">
        <w:rPr>
          <w:rFonts w:ascii="Times New Roman" w:hAnsi="Times New Roman"/>
          <w:i/>
          <w:iCs/>
          <w:sz w:val="24"/>
          <w:szCs w:val="24"/>
        </w:rPr>
        <w:t>, 23</w:t>
      </w:r>
      <w:r w:rsidRPr="009F67F1">
        <w:rPr>
          <w:rFonts w:ascii="Times New Roman" w:hAnsi="Times New Roman"/>
          <w:sz w:val="24"/>
          <w:szCs w:val="24"/>
        </w:rPr>
        <w:t xml:space="preserve">(5), 927–940. </w:t>
      </w:r>
      <w:hyperlink r:id="rId16" w:history="1">
        <w:r w:rsidRPr="009F67F1">
          <w:rPr>
            <w:rFonts w:ascii="Times New Roman" w:hAnsi="Times New Roman"/>
            <w:color w:val="0000FF"/>
            <w:sz w:val="24"/>
            <w:szCs w:val="24"/>
            <w:u w:val="single"/>
          </w:rPr>
          <w:t>https://doi.org/10.1007/s10534-010-9329-x</w:t>
        </w:r>
      </w:hyperlink>
    </w:p>
    <w:p w14:paraId="25ADA61B"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Ekor</w:t>
      </w:r>
      <w:proofErr w:type="spellEnd"/>
      <w:r w:rsidRPr="009F67F1">
        <w:rPr>
          <w:rFonts w:ascii="Times New Roman" w:hAnsi="Times New Roman"/>
          <w:sz w:val="24"/>
          <w:szCs w:val="24"/>
        </w:rPr>
        <w:t xml:space="preserve">, M. (2014). The growing use of herbal medicines: Issues relating to adverse reactions and challenges in monitoring safety. </w:t>
      </w:r>
      <w:r w:rsidRPr="009F67F1">
        <w:rPr>
          <w:rFonts w:ascii="Times New Roman" w:hAnsi="Times New Roman"/>
          <w:i/>
          <w:iCs/>
          <w:sz w:val="24"/>
          <w:szCs w:val="24"/>
        </w:rPr>
        <w:t>Frontiers in Pharmacology, 4</w:t>
      </w:r>
      <w:r w:rsidRPr="009F67F1">
        <w:rPr>
          <w:rFonts w:ascii="Times New Roman" w:hAnsi="Times New Roman"/>
          <w:sz w:val="24"/>
          <w:szCs w:val="24"/>
        </w:rPr>
        <w:t xml:space="preserve">, Article 177. </w:t>
      </w:r>
      <w:hyperlink r:id="rId17" w:history="1">
        <w:r w:rsidRPr="009F67F1">
          <w:rPr>
            <w:rFonts w:ascii="Times New Roman" w:hAnsi="Times New Roman"/>
            <w:color w:val="0000FF"/>
            <w:sz w:val="24"/>
            <w:szCs w:val="24"/>
            <w:u w:val="single"/>
          </w:rPr>
          <w:t>https://doi.org/10.3389/fphar.2013.00177</w:t>
        </w:r>
      </w:hyperlink>
    </w:p>
    <w:p w14:paraId="11CA2CC2"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El-</w:t>
      </w:r>
      <w:proofErr w:type="spellStart"/>
      <w:r w:rsidRPr="009F67F1">
        <w:rPr>
          <w:rFonts w:ascii="Times New Roman" w:hAnsi="Times New Roman"/>
          <w:sz w:val="24"/>
          <w:szCs w:val="24"/>
        </w:rPr>
        <w:t>Boshy</w:t>
      </w:r>
      <w:proofErr w:type="spellEnd"/>
      <w:r w:rsidRPr="009F67F1">
        <w:rPr>
          <w:rFonts w:ascii="Times New Roman" w:hAnsi="Times New Roman"/>
          <w:sz w:val="24"/>
          <w:szCs w:val="24"/>
        </w:rPr>
        <w:t xml:space="preserve">, M., </w:t>
      </w:r>
      <w:proofErr w:type="spellStart"/>
      <w:r w:rsidRPr="009F67F1">
        <w:rPr>
          <w:rFonts w:ascii="Times New Roman" w:hAnsi="Times New Roman"/>
          <w:sz w:val="24"/>
          <w:szCs w:val="24"/>
        </w:rPr>
        <w:t>Ashshi</w:t>
      </w:r>
      <w:proofErr w:type="spellEnd"/>
      <w:r w:rsidRPr="009F67F1">
        <w:rPr>
          <w:rFonts w:ascii="Times New Roman" w:hAnsi="Times New Roman"/>
          <w:sz w:val="24"/>
          <w:szCs w:val="24"/>
        </w:rPr>
        <w:t xml:space="preserve">, A., Gaith, M., </w:t>
      </w:r>
      <w:proofErr w:type="spellStart"/>
      <w:r w:rsidRPr="009F67F1">
        <w:rPr>
          <w:rFonts w:ascii="Times New Roman" w:hAnsi="Times New Roman"/>
          <w:sz w:val="24"/>
          <w:szCs w:val="24"/>
        </w:rPr>
        <w:t>Qusty</w:t>
      </w:r>
      <w:proofErr w:type="spellEnd"/>
      <w:r w:rsidRPr="009F67F1">
        <w:rPr>
          <w:rFonts w:ascii="Times New Roman" w:hAnsi="Times New Roman"/>
          <w:sz w:val="24"/>
          <w:szCs w:val="24"/>
        </w:rPr>
        <w:t xml:space="preserve">, N., Bokhary, T., </w:t>
      </w:r>
      <w:proofErr w:type="spellStart"/>
      <w:r w:rsidRPr="009F67F1">
        <w:rPr>
          <w:rFonts w:ascii="Times New Roman" w:hAnsi="Times New Roman"/>
          <w:sz w:val="24"/>
          <w:szCs w:val="24"/>
        </w:rPr>
        <w:t>AlTaweel</w:t>
      </w:r>
      <w:proofErr w:type="spellEnd"/>
      <w:r w:rsidRPr="009F67F1">
        <w:rPr>
          <w:rFonts w:ascii="Times New Roman" w:hAnsi="Times New Roman"/>
          <w:sz w:val="24"/>
          <w:szCs w:val="24"/>
        </w:rPr>
        <w:t>, N., &amp; Abdelhady, M. (2017). Studies on the protective effect of the artichoke (</w:t>
      </w:r>
      <w:r w:rsidRPr="009F67F1">
        <w:rPr>
          <w:rFonts w:ascii="Times New Roman" w:hAnsi="Times New Roman"/>
          <w:i/>
          <w:iCs/>
          <w:sz w:val="24"/>
          <w:szCs w:val="24"/>
        </w:rPr>
        <w:t>Cynara scolymus</w:t>
      </w:r>
      <w:r w:rsidRPr="009F67F1">
        <w:rPr>
          <w:rFonts w:ascii="Times New Roman" w:hAnsi="Times New Roman"/>
          <w:sz w:val="24"/>
          <w:szCs w:val="24"/>
        </w:rPr>
        <w:t xml:space="preserve">) leaf extract against cadmium toxicity-induced oxidative stress, hepatorenal damage, and immunosuppressive and hematological disorders in rats. </w:t>
      </w:r>
      <w:r w:rsidRPr="009F67F1">
        <w:rPr>
          <w:rFonts w:ascii="Times New Roman" w:hAnsi="Times New Roman"/>
          <w:i/>
          <w:iCs/>
          <w:sz w:val="24"/>
          <w:szCs w:val="24"/>
        </w:rPr>
        <w:t>Environmental Science and Pollution Research, 24</w:t>
      </w:r>
      <w:r w:rsidRPr="009F67F1">
        <w:rPr>
          <w:rFonts w:ascii="Times New Roman" w:hAnsi="Times New Roman"/>
          <w:sz w:val="24"/>
          <w:szCs w:val="24"/>
        </w:rPr>
        <w:t xml:space="preserve">(13), 12372–12383. </w:t>
      </w:r>
      <w:hyperlink r:id="rId18" w:history="1">
        <w:r w:rsidRPr="009F67F1">
          <w:rPr>
            <w:rFonts w:ascii="Times New Roman" w:hAnsi="Times New Roman"/>
            <w:color w:val="0000FF"/>
            <w:sz w:val="24"/>
            <w:szCs w:val="24"/>
            <w:u w:val="single"/>
          </w:rPr>
          <w:t>https://doi.org/10.1007/s11356-017-8876-x</w:t>
        </w:r>
      </w:hyperlink>
    </w:p>
    <w:p w14:paraId="1423C4E1"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El-</w:t>
      </w:r>
      <w:proofErr w:type="spellStart"/>
      <w:r w:rsidRPr="009F67F1">
        <w:rPr>
          <w:rFonts w:ascii="Times New Roman" w:hAnsi="Times New Roman"/>
          <w:sz w:val="24"/>
          <w:szCs w:val="24"/>
        </w:rPr>
        <w:t>Demerdash</w:t>
      </w:r>
      <w:proofErr w:type="spellEnd"/>
      <w:r w:rsidRPr="009F67F1">
        <w:rPr>
          <w:rFonts w:ascii="Times New Roman" w:hAnsi="Times New Roman"/>
          <w:sz w:val="24"/>
          <w:szCs w:val="24"/>
        </w:rPr>
        <w:t xml:space="preserve">, F. M., Yousef, M. I., </w:t>
      </w:r>
      <w:proofErr w:type="spellStart"/>
      <w:r w:rsidRPr="009F67F1">
        <w:rPr>
          <w:rFonts w:ascii="Times New Roman" w:hAnsi="Times New Roman"/>
          <w:sz w:val="24"/>
          <w:szCs w:val="24"/>
        </w:rPr>
        <w:t>Kedwany</w:t>
      </w:r>
      <w:proofErr w:type="spellEnd"/>
      <w:r w:rsidRPr="009F67F1">
        <w:rPr>
          <w:rFonts w:ascii="Times New Roman" w:hAnsi="Times New Roman"/>
          <w:sz w:val="24"/>
          <w:szCs w:val="24"/>
        </w:rPr>
        <w:t xml:space="preserve">, F. S., &amp; Baghdadi, H. H. (2004). Cadmium-induced changes in lipid peroxidation, blood hematology, biochemical parameters and semen quality of male rats: Protective role of vitamin E and β-carotene. </w:t>
      </w:r>
      <w:r w:rsidRPr="009F67F1">
        <w:rPr>
          <w:rFonts w:ascii="Times New Roman" w:hAnsi="Times New Roman"/>
          <w:i/>
          <w:iCs/>
          <w:sz w:val="24"/>
          <w:szCs w:val="24"/>
        </w:rPr>
        <w:t>Food and Chemical Toxicology, 42</w:t>
      </w:r>
      <w:r w:rsidRPr="009F67F1">
        <w:rPr>
          <w:rFonts w:ascii="Times New Roman" w:hAnsi="Times New Roman"/>
          <w:sz w:val="24"/>
          <w:szCs w:val="24"/>
        </w:rPr>
        <w:t xml:space="preserve">(10), 1563–1571. </w:t>
      </w:r>
      <w:hyperlink r:id="rId19" w:history="1">
        <w:r w:rsidRPr="009F67F1">
          <w:rPr>
            <w:rFonts w:ascii="Times New Roman" w:hAnsi="Times New Roman"/>
            <w:color w:val="0000FF"/>
            <w:sz w:val="24"/>
            <w:szCs w:val="24"/>
            <w:u w:val="single"/>
          </w:rPr>
          <w:t>https://doi.org/10.1016/j.fct.2004.05.001</w:t>
        </w:r>
      </w:hyperlink>
    </w:p>
    <w:p w14:paraId="3B449A45"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 xml:space="preserve">Flora, S. J. S., Mittal, M., &amp; Mehta, A. (2008). Heavy metal induced oxidative stress &amp; its possible reversal by chelation therapy. </w:t>
      </w:r>
      <w:r w:rsidRPr="009F67F1">
        <w:rPr>
          <w:rFonts w:ascii="Times New Roman" w:hAnsi="Times New Roman"/>
          <w:i/>
          <w:iCs/>
          <w:sz w:val="24"/>
          <w:szCs w:val="24"/>
        </w:rPr>
        <w:t>Indian Journal of Medical Research, 128</w:t>
      </w:r>
      <w:r w:rsidRPr="009F67F1">
        <w:rPr>
          <w:rFonts w:ascii="Times New Roman" w:hAnsi="Times New Roman"/>
          <w:sz w:val="24"/>
          <w:szCs w:val="24"/>
        </w:rPr>
        <w:t xml:space="preserve">(4), 501–523. </w:t>
      </w:r>
      <w:hyperlink r:id="rId20" w:history="1">
        <w:r w:rsidRPr="009F67F1">
          <w:rPr>
            <w:rFonts w:ascii="Times New Roman" w:hAnsi="Times New Roman"/>
            <w:color w:val="0000FF"/>
            <w:sz w:val="24"/>
            <w:szCs w:val="24"/>
            <w:u w:val="single"/>
          </w:rPr>
          <w:t>https://doi.org/10.25259/IJMR_20081284_501</w:t>
        </w:r>
      </w:hyperlink>
    </w:p>
    <w:p w14:paraId="51DF1B30"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 xml:space="preserve">Genchi, G., Sinicropi, M. S., Lauria, G., Carocci, A., &amp; Catalano, A. (2020). The effects of cadmium toxicity. </w:t>
      </w:r>
      <w:r w:rsidRPr="009F67F1">
        <w:rPr>
          <w:rFonts w:ascii="Times New Roman" w:hAnsi="Times New Roman"/>
          <w:i/>
          <w:iCs/>
          <w:sz w:val="24"/>
          <w:szCs w:val="24"/>
        </w:rPr>
        <w:t>International Journal of Environmental Research and Public Health, 17</w:t>
      </w:r>
      <w:r w:rsidRPr="009F67F1">
        <w:rPr>
          <w:rFonts w:ascii="Times New Roman" w:hAnsi="Times New Roman"/>
          <w:sz w:val="24"/>
          <w:szCs w:val="24"/>
        </w:rPr>
        <w:t xml:space="preserve">(11), Article 3782. </w:t>
      </w:r>
      <w:hyperlink r:id="rId21" w:history="1">
        <w:r w:rsidRPr="009F67F1">
          <w:rPr>
            <w:rFonts w:ascii="Times New Roman" w:hAnsi="Times New Roman"/>
            <w:color w:val="0000FF"/>
            <w:sz w:val="24"/>
            <w:szCs w:val="24"/>
            <w:u w:val="single"/>
          </w:rPr>
          <w:t>https://doi.org/10.3390/ijerph17113782</w:t>
        </w:r>
      </w:hyperlink>
    </w:p>
    <w:p w14:paraId="7722DD45"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Gulcin</w:t>
      </w:r>
      <w:proofErr w:type="spellEnd"/>
      <w:r w:rsidRPr="009F67F1">
        <w:rPr>
          <w:rFonts w:ascii="Times New Roman" w:hAnsi="Times New Roman"/>
          <w:sz w:val="24"/>
          <w:szCs w:val="24"/>
        </w:rPr>
        <w:t xml:space="preserve">, İ. (2020). Antioxidants and antioxidant methods: An updated overview. </w:t>
      </w:r>
      <w:r w:rsidRPr="009F67F1">
        <w:rPr>
          <w:rFonts w:ascii="Times New Roman" w:hAnsi="Times New Roman"/>
          <w:i/>
          <w:iCs/>
          <w:sz w:val="24"/>
          <w:szCs w:val="24"/>
        </w:rPr>
        <w:t>Archives of Toxicology, 94</w:t>
      </w:r>
      <w:r w:rsidRPr="009F67F1">
        <w:rPr>
          <w:rFonts w:ascii="Times New Roman" w:hAnsi="Times New Roman"/>
          <w:sz w:val="24"/>
          <w:szCs w:val="24"/>
        </w:rPr>
        <w:t xml:space="preserve">(3), 651–715. </w:t>
      </w:r>
      <w:hyperlink r:id="rId22" w:history="1">
        <w:r w:rsidRPr="009F67F1">
          <w:rPr>
            <w:rFonts w:ascii="Times New Roman" w:hAnsi="Times New Roman"/>
            <w:color w:val="0000FF"/>
            <w:sz w:val="24"/>
            <w:szCs w:val="24"/>
            <w:u w:val="single"/>
          </w:rPr>
          <w:t>https://doi.org/10.1007/s00204-020-02689-3</w:t>
        </w:r>
      </w:hyperlink>
    </w:p>
    <w:p w14:paraId="0F8FA24C"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 xml:space="preserve">Halliwell, B., &amp; Gutteridge, J. M. C. (2015). </w:t>
      </w:r>
      <w:r w:rsidRPr="009F67F1">
        <w:rPr>
          <w:rFonts w:ascii="Times New Roman" w:hAnsi="Times New Roman"/>
          <w:i/>
          <w:iCs/>
          <w:sz w:val="24"/>
          <w:szCs w:val="24"/>
        </w:rPr>
        <w:t>Free radicals in biology and medicine</w:t>
      </w:r>
      <w:r w:rsidRPr="009F67F1">
        <w:rPr>
          <w:rFonts w:ascii="Times New Roman" w:hAnsi="Times New Roman"/>
          <w:sz w:val="24"/>
          <w:szCs w:val="24"/>
        </w:rPr>
        <w:t xml:space="preserve"> (5th ed.). Oxford University Press. </w:t>
      </w:r>
      <w:hyperlink r:id="rId23" w:history="1">
        <w:r w:rsidRPr="009F67F1">
          <w:rPr>
            <w:rFonts w:ascii="Times New Roman" w:hAnsi="Times New Roman"/>
            <w:color w:val="0000FF"/>
            <w:sz w:val="24"/>
            <w:szCs w:val="24"/>
            <w:u w:val="single"/>
          </w:rPr>
          <w:t>https://doi.org/10.1093/acprof/9780198717478.001.0001</w:t>
        </w:r>
      </w:hyperlink>
    </w:p>
    <w:p w14:paraId="1451E566"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 xml:space="preserve">Ighodaro, O. M., &amp; </w:t>
      </w:r>
      <w:proofErr w:type="spellStart"/>
      <w:r w:rsidRPr="009F67F1">
        <w:rPr>
          <w:rFonts w:ascii="Times New Roman" w:hAnsi="Times New Roman"/>
          <w:sz w:val="24"/>
          <w:szCs w:val="24"/>
        </w:rPr>
        <w:t>Akinloye</w:t>
      </w:r>
      <w:proofErr w:type="spellEnd"/>
      <w:r w:rsidRPr="009F67F1">
        <w:rPr>
          <w:rFonts w:ascii="Times New Roman" w:hAnsi="Times New Roman"/>
          <w:sz w:val="24"/>
          <w:szCs w:val="24"/>
        </w:rPr>
        <w:t xml:space="preserve">, O. A. (2018). First line </w:t>
      </w:r>
      <w:proofErr w:type="spellStart"/>
      <w:r w:rsidRPr="009F67F1">
        <w:rPr>
          <w:rFonts w:ascii="Times New Roman" w:hAnsi="Times New Roman"/>
          <w:sz w:val="24"/>
          <w:szCs w:val="24"/>
        </w:rPr>
        <w:t>defence</w:t>
      </w:r>
      <w:proofErr w:type="spellEnd"/>
      <w:r w:rsidRPr="009F67F1">
        <w:rPr>
          <w:rFonts w:ascii="Times New Roman" w:hAnsi="Times New Roman"/>
          <w:sz w:val="24"/>
          <w:szCs w:val="24"/>
        </w:rPr>
        <w:t xml:space="preserve"> antioxidants-superoxide dismutase (SOD), catalase (CAT) and glutathione peroxidase (GPX): Their fundamental role in the entire antioxidant </w:t>
      </w:r>
      <w:proofErr w:type="spellStart"/>
      <w:r w:rsidRPr="009F67F1">
        <w:rPr>
          <w:rFonts w:ascii="Times New Roman" w:hAnsi="Times New Roman"/>
          <w:sz w:val="24"/>
          <w:szCs w:val="24"/>
        </w:rPr>
        <w:t>defence</w:t>
      </w:r>
      <w:proofErr w:type="spellEnd"/>
      <w:r w:rsidRPr="009F67F1">
        <w:rPr>
          <w:rFonts w:ascii="Times New Roman" w:hAnsi="Times New Roman"/>
          <w:sz w:val="24"/>
          <w:szCs w:val="24"/>
        </w:rPr>
        <w:t xml:space="preserve"> grid. </w:t>
      </w:r>
      <w:r w:rsidRPr="009F67F1">
        <w:rPr>
          <w:rFonts w:ascii="Times New Roman" w:hAnsi="Times New Roman"/>
          <w:i/>
          <w:iCs/>
          <w:sz w:val="24"/>
          <w:szCs w:val="24"/>
        </w:rPr>
        <w:t>Alexandria Journal of Medicine, 54</w:t>
      </w:r>
      <w:r w:rsidRPr="009F67F1">
        <w:rPr>
          <w:rFonts w:ascii="Times New Roman" w:hAnsi="Times New Roman"/>
          <w:sz w:val="24"/>
          <w:szCs w:val="24"/>
        </w:rPr>
        <w:t xml:space="preserve">(4), 287–293. </w:t>
      </w:r>
      <w:hyperlink r:id="rId24" w:history="1">
        <w:r w:rsidRPr="009F67F1">
          <w:rPr>
            <w:rFonts w:ascii="Times New Roman" w:hAnsi="Times New Roman"/>
            <w:color w:val="0000FF"/>
            <w:sz w:val="24"/>
            <w:szCs w:val="24"/>
            <w:u w:val="single"/>
          </w:rPr>
          <w:t>https://doi.org/10.1016/j.ajme.2017.09.001</w:t>
        </w:r>
      </w:hyperlink>
    </w:p>
    <w:p w14:paraId="24DA3ED7"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Ihedioha</w:t>
      </w:r>
      <w:proofErr w:type="spellEnd"/>
      <w:r w:rsidRPr="009F67F1">
        <w:rPr>
          <w:rFonts w:ascii="Times New Roman" w:hAnsi="Times New Roman"/>
          <w:sz w:val="24"/>
          <w:szCs w:val="24"/>
        </w:rPr>
        <w:t xml:space="preserve">, T. E., </w:t>
      </w:r>
      <w:proofErr w:type="spellStart"/>
      <w:r w:rsidRPr="009F67F1">
        <w:rPr>
          <w:rFonts w:ascii="Times New Roman" w:hAnsi="Times New Roman"/>
          <w:sz w:val="24"/>
          <w:szCs w:val="24"/>
        </w:rPr>
        <w:t>Asuzu</w:t>
      </w:r>
      <w:proofErr w:type="spellEnd"/>
      <w:r w:rsidRPr="009F67F1">
        <w:rPr>
          <w:rFonts w:ascii="Times New Roman" w:hAnsi="Times New Roman"/>
          <w:sz w:val="24"/>
          <w:szCs w:val="24"/>
        </w:rPr>
        <w:t xml:space="preserve">, I. U., Anaga, A. O., &amp; </w:t>
      </w:r>
      <w:proofErr w:type="spellStart"/>
      <w:r w:rsidRPr="009F67F1">
        <w:rPr>
          <w:rFonts w:ascii="Times New Roman" w:hAnsi="Times New Roman"/>
          <w:sz w:val="24"/>
          <w:szCs w:val="24"/>
        </w:rPr>
        <w:t>Ihedioha</w:t>
      </w:r>
      <w:proofErr w:type="spellEnd"/>
      <w:r w:rsidRPr="009F67F1">
        <w:rPr>
          <w:rFonts w:ascii="Times New Roman" w:hAnsi="Times New Roman"/>
          <w:sz w:val="24"/>
          <w:szCs w:val="24"/>
        </w:rPr>
        <w:t xml:space="preserve">, J. I. (2019). Hepatoprotective and antioxidant activities of </w:t>
      </w:r>
      <w:r w:rsidRPr="009F67F1">
        <w:rPr>
          <w:rFonts w:ascii="Times New Roman" w:hAnsi="Times New Roman"/>
          <w:i/>
          <w:iCs/>
          <w:sz w:val="24"/>
          <w:szCs w:val="24"/>
        </w:rPr>
        <w:t xml:space="preserve">Pterocarpus </w:t>
      </w:r>
      <w:proofErr w:type="spellStart"/>
      <w:r w:rsidRPr="009F67F1">
        <w:rPr>
          <w:rFonts w:ascii="Times New Roman" w:hAnsi="Times New Roman"/>
          <w:i/>
          <w:iCs/>
          <w:sz w:val="24"/>
          <w:szCs w:val="24"/>
        </w:rPr>
        <w:t>santalinoides</w:t>
      </w:r>
      <w:proofErr w:type="spellEnd"/>
      <w:r w:rsidRPr="009F67F1">
        <w:rPr>
          <w:rFonts w:ascii="Times New Roman" w:hAnsi="Times New Roman"/>
          <w:sz w:val="24"/>
          <w:szCs w:val="24"/>
        </w:rPr>
        <w:t xml:space="preserve"> methanol leaf extract. </w:t>
      </w:r>
      <w:r w:rsidRPr="009F67F1">
        <w:rPr>
          <w:rFonts w:ascii="Times New Roman" w:hAnsi="Times New Roman"/>
          <w:i/>
          <w:iCs/>
          <w:sz w:val="24"/>
          <w:szCs w:val="24"/>
        </w:rPr>
        <w:t>African Journal of Pharmacy and Pharmacology, 13</w:t>
      </w:r>
      <w:r w:rsidRPr="009F67F1">
        <w:rPr>
          <w:rFonts w:ascii="Times New Roman" w:hAnsi="Times New Roman"/>
          <w:sz w:val="24"/>
          <w:szCs w:val="24"/>
        </w:rPr>
        <w:t xml:space="preserve">(18), 359–373. </w:t>
      </w:r>
      <w:hyperlink r:id="rId25" w:history="1">
        <w:r w:rsidRPr="009F67F1">
          <w:rPr>
            <w:rFonts w:ascii="Times New Roman" w:hAnsi="Times New Roman"/>
            <w:color w:val="0000FF"/>
            <w:sz w:val="24"/>
            <w:szCs w:val="24"/>
            <w:u w:val="single"/>
          </w:rPr>
          <w:t>https://doi.org/10.5897/AJPP2019.5090</w:t>
        </w:r>
      </w:hyperlink>
    </w:p>
    <w:p w14:paraId="63A98E34"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 xml:space="preserve">Jaishankar, M., Tseten, T., Anbalagan, N., Mathew, B. B., &amp; </w:t>
      </w:r>
      <w:proofErr w:type="spellStart"/>
      <w:r w:rsidRPr="009F67F1">
        <w:rPr>
          <w:rFonts w:ascii="Times New Roman" w:hAnsi="Times New Roman"/>
          <w:sz w:val="24"/>
          <w:szCs w:val="24"/>
        </w:rPr>
        <w:t>Beeregowda</w:t>
      </w:r>
      <w:proofErr w:type="spellEnd"/>
      <w:r w:rsidRPr="009F67F1">
        <w:rPr>
          <w:rFonts w:ascii="Times New Roman" w:hAnsi="Times New Roman"/>
          <w:sz w:val="24"/>
          <w:szCs w:val="24"/>
        </w:rPr>
        <w:t xml:space="preserve">, K. N. (2014). Toxicity, mechanism and health effects of some heavy metals. </w:t>
      </w:r>
      <w:r w:rsidRPr="009F67F1">
        <w:rPr>
          <w:rFonts w:ascii="Times New Roman" w:hAnsi="Times New Roman"/>
          <w:i/>
          <w:iCs/>
          <w:sz w:val="24"/>
          <w:szCs w:val="24"/>
        </w:rPr>
        <w:t>Interdisciplinary Toxicology, 7</w:t>
      </w:r>
      <w:r w:rsidRPr="009F67F1">
        <w:rPr>
          <w:rFonts w:ascii="Times New Roman" w:hAnsi="Times New Roman"/>
          <w:sz w:val="24"/>
          <w:szCs w:val="24"/>
        </w:rPr>
        <w:t xml:space="preserve">(2), 60–72. </w:t>
      </w:r>
      <w:hyperlink r:id="rId26" w:history="1">
        <w:r w:rsidRPr="009F67F1">
          <w:rPr>
            <w:rFonts w:ascii="Times New Roman" w:hAnsi="Times New Roman"/>
            <w:color w:val="0000FF"/>
            <w:sz w:val="24"/>
            <w:szCs w:val="24"/>
            <w:u w:val="single"/>
          </w:rPr>
          <w:t>https://doi.org/10.2478/intox-2014-0009</w:t>
        </w:r>
      </w:hyperlink>
    </w:p>
    <w:p w14:paraId="7AC14165"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lastRenderedPageBreak/>
        <w:t xml:space="preserve">Olagunju, H. T., </w:t>
      </w:r>
      <w:proofErr w:type="spellStart"/>
      <w:r w:rsidRPr="009F67F1">
        <w:rPr>
          <w:rFonts w:ascii="Times New Roman" w:hAnsi="Times New Roman"/>
          <w:sz w:val="24"/>
          <w:szCs w:val="24"/>
        </w:rPr>
        <w:t>Oruambo</w:t>
      </w:r>
      <w:proofErr w:type="spellEnd"/>
      <w:r w:rsidRPr="009F67F1">
        <w:rPr>
          <w:rFonts w:ascii="Times New Roman" w:hAnsi="Times New Roman"/>
          <w:sz w:val="24"/>
          <w:szCs w:val="24"/>
        </w:rPr>
        <w:t>, I. F., Oyelowo, H. O., &amp; Obediah, G. A. (2017). Effects of some selected solvent extracts of avocado pear (</w:t>
      </w:r>
      <w:proofErr w:type="spellStart"/>
      <w:r w:rsidRPr="009F67F1">
        <w:rPr>
          <w:rFonts w:ascii="Times New Roman" w:hAnsi="Times New Roman"/>
          <w:i/>
          <w:iCs/>
          <w:sz w:val="24"/>
          <w:szCs w:val="24"/>
        </w:rPr>
        <w:t>Persea</w:t>
      </w:r>
      <w:proofErr w:type="spellEnd"/>
      <w:r w:rsidRPr="009F67F1">
        <w:rPr>
          <w:rFonts w:ascii="Times New Roman" w:hAnsi="Times New Roman"/>
          <w:i/>
          <w:iCs/>
          <w:sz w:val="24"/>
          <w:szCs w:val="24"/>
        </w:rPr>
        <w:t xml:space="preserve"> americana</w:t>
      </w:r>
      <w:r w:rsidRPr="009F67F1">
        <w:rPr>
          <w:rFonts w:ascii="Times New Roman" w:hAnsi="Times New Roman"/>
          <w:sz w:val="24"/>
          <w:szCs w:val="24"/>
        </w:rPr>
        <w:t xml:space="preserve">) on cholesterol/HDL ratio in albino rats. </w:t>
      </w:r>
      <w:r w:rsidRPr="009F67F1">
        <w:rPr>
          <w:rFonts w:ascii="Times New Roman" w:hAnsi="Times New Roman"/>
          <w:i/>
          <w:iCs/>
          <w:sz w:val="24"/>
          <w:szCs w:val="24"/>
        </w:rPr>
        <w:t>Biochemistry &amp; Analytical Biochemistry, 6</w:t>
      </w:r>
      <w:r w:rsidRPr="009F67F1">
        <w:rPr>
          <w:rFonts w:ascii="Times New Roman" w:hAnsi="Times New Roman"/>
          <w:sz w:val="24"/>
          <w:szCs w:val="24"/>
        </w:rPr>
        <w:t xml:space="preserve">(4), Article 342. </w:t>
      </w:r>
      <w:hyperlink r:id="rId27" w:history="1">
        <w:r w:rsidRPr="009F67F1">
          <w:rPr>
            <w:rFonts w:ascii="Times New Roman" w:hAnsi="Times New Roman"/>
            <w:color w:val="0000FF"/>
            <w:sz w:val="24"/>
            <w:szCs w:val="24"/>
            <w:u w:val="single"/>
          </w:rPr>
          <w:t>https://doi.org/10.4172/2161-1009.1000342</w:t>
        </w:r>
      </w:hyperlink>
    </w:p>
    <w:p w14:paraId="2EE7890B" w14:textId="0E39095F"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Olorunnisola</w:t>
      </w:r>
      <w:proofErr w:type="spellEnd"/>
      <w:r w:rsidRPr="009F67F1">
        <w:rPr>
          <w:rFonts w:ascii="Times New Roman" w:hAnsi="Times New Roman"/>
          <w:sz w:val="24"/>
          <w:szCs w:val="24"/>
        </w:rPr>
        <w:t xml:space="preserve">, O. S., Adetutu, A., Balogun, E. A., &amp; Afolayan, A. J. (2013). Ethnobotanical survey of medicinal plants used in the treatment of malaria in </w:t>
      </w:r>
      <w:proofErr w:type="spellStart"/>
      <w:r w:rsidRPr="009F67F1">
        <w:rPr>
          <w:rFonts w:ascii="Times New Roman" w:hAnsi="Times New Roman"/>
          <w:sz w:val="24"/>
          <w:szCs w:val="24"/>
        </w:rPr>
        <w:t>Ogbomoso</w:t>
      </w:r>
      <w:proofErr w:type="spellEnd"/>
      <w:r w:rsidRPr="009F67F1">
        <w:rPr>
          <w:rFonts w:ascii="Times New Roman" w:hAnsi="Times New Roman"/>
          <w:sz w:val="24"/>
          <w:szCs w:val="24"/>
        </w:rPr>
        <w:t xml:space="preserve">, Southwest Nigeria. </w:t>
      </w:r>
      <w:r w:rsidRPr="009F67F1">
        <w:rPr>
          <w:rFonts w:ascii="Times New Roman" w:hAnsi="Times New Roman"/>
          <w:i/>
          <w:iCs/>
          <w:sz w:val="24"/>
          <w:szCs w:val="24"/>
        </w:rPr>
        <w:t>Journal of Ethnopharmacology, 150</w:t>
      </w:r>
      <w:r w:rsidRPr="009F67F1">
        <w:rPr>
          <w:rFonts w:ascii="Times New Roman" w:hAnsi="Times New Roman"/>
          <w:sz w:val="24"/>
          <w:szCs w:val="24"/>
        </w:rPr>
        <w:t xml:space="preserve">(1), 71–78. </w:t>
      </w:r>
      <w:proofErr w:type="spellStart"/>
      <w:r w:rsidRPr="009F67F1">
        <w:rPr>
          <w:rFonts w:ascii="Times New Roman" w:hAnsi="Times New Roman"/>
          <w:sz w:val="24"/>
          <w:szCs w:val="24"/>
        </w:rPr>
        <w:t>doi</w:t>
      </w:r>
      <w:proofErr w:type="spellEnd"/>
      <w:r w:rsidRPr="009F67F1">
        <w:rPr>
          <w:rFonts w:ascii="Times New Roman" w:hAnsi="Times New Roman"/>
          <w:sz w:val="24"/>
          <w:szCs w:val="24"/>
        </w:rPr>
        <w:t>: 10.1016/j.jep.2013.07.038</w:t>
      </w:r>
    </w:p>
    <w:p w14:paraId="03813B2C"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 xml:space="preserve">Patra, R. C., Rautray, A. K., &amp; Swarup, D. (2011). Oxidative stress in lead and cadmium toxicity and its amelioration. </w:t>
      </w:r>
      <w:r w:rsidRPr="009F67F1">
        <w:rPr>
          <w:rFonts w:ascii="Times New Roman" w:hAnsi="Times New Roman"/>
          <w:i/>
          <w:iCs/>
          <w:sz w:val="24"/>
          <w:szCs w:val="24"/>
        </w:rPr>
        <w:t>Veterinary Medicine International, 2011</w:t>
      </w:r>
      <w:r w:rsidRPr="009F67F1">
        <w:rPr>
          <w:rFonts w:ascii="Times New Roman" w:hAnsi="Times New Roman"/>
          <w:sz w:val="24"/>
          <w:szCs w:val="24"/>
        </w:rPr>
        <w:t xml:space="preserve">, Article 457327. </w:t>
      </w:r>
      <w:hyperlink r:id="rId28" w:history="1">
        <w:r w:rsidRPr="009F67F1">
          <w:rPr>
            <w:rFonts w:ascii="Times New Roman" w:hAnsi="Times New Roman"/>
            <w:color w:val="0000FF"/>
            <w:sz w:val="24"/>
            <w:szCs w:val="24"/>
            <w:u w:val="single"/>
          </w:rPr>
          <w:t>https://doi.org/10.4061/2011/457327</w:t>
        </w:r>
      </w:hyperlink>
    </w:p>
    <w:p w14:paraId="0FC7C81A"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Renugadevi</w:t>
      </w:r>
      <w:proofErr w:type="spellEnd"/>
      <w:r w:rsidRPr="009F67F1">
        <w:rPr>
          <w:rFonts w:ascii="Times New Roman" w:hAnsi="Times New Roman"/>
          <w:sz w:val="24"/>
          <w:szCs w:val="24"/>
        </w:rPr>
        <w:t xml:space="preserve">, J., &amp; Prabu, S. M. (2010). Cadmium-induced hepatotoxicity in rats and the protective effect of naringenin. </w:t>
      </w:r>
      <w:r w:rsidRPr="009F67F1">
        <w:rPr>
          <w:rFonts w:ascii="Times New Roman" w:hAnsi="Times New Roman"/>
          <w:i/>
          <w:iCs/>
          <w:sz w:val="24"/>
          <w:szCs w:val="24"/>
        </w:rPr>
        <w:t>Experimental and Toxicologic Pathology, 62</w:t>
      </w:r>
      <w:r w:rsidRPr="009F67F1">
        <w:rPr>
          <w:rFonts w:ascii="Times New Roman" w:hAnsi="Times New Roman"/>
          <w:sz w:val="24"/>
          <w:szCs w:val="24"/>
        </w:rPr>
        <w:t xml:space="preserve">(2), 171–181. </w:t>
      </w:r>
      <w:hyperlink r:id="rId29" w:history="1">
        <w:r w:rsidRPr="009F67F1">
          <w:rPr>
            <w:rFonts w:ascii="Times New Roman" w:hAnsi="Times New Roman"/>
            <w:color w:val="0000FF"/>
            <w:sz w:val="24"/>
            <w:szCs w:val="24"/>
            <w:u w:val="single"/>
          </w:rPr>
          <w:t>https://doi.org/10.1016/j.etp.2009.03.010</w:t>
        </w:r>
      </w:hyperlink>
    </w:p>
    <w:p w14:paraId="7E543B00"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lang w:val="nl-BE"/>
        </w:rPr>
        <w:t xml:space="preserve">Sies, H., Berndt, C., &amp; Jones, D. P. (2017). </w:t>
      </w:r>
      <w:r w:rsidRPr="009F67F1">
        <w:rPr>
          <w:rFonts w:ascii="Times New Roman" w:hAnsi="Times New Roman"/>
          <w:sz w:val="24"/>
          <w:szCs w:val="24"/>
        </w:rPr>
        <w:t xml:space="preserve">Oxidative stress. </w:t>
      </w:r>
      <w:r w:rsidRPr="009F67F1">
        <w:rPr>
          <w:rFonts w:ascii="Times New Roman" w:hAnsi="Times New Roman"/>
          <w:i/>
          <w:iCs/>
          <w:sz w:val="24"/>
          <w:szCs w:val="24"/>
        </w:rPr>
        <w:t>Annual Review of Biochemistry, 86</w:t>
      </w:r>
      <w:r w:rsidRPr="009F67F1">
        <w:rPr>
          <w:rFonts w:ascii="Times New Roman" w:hAnsi="Times New Roman"/>
          <w:sz w:val="24"/>
          <w:szCs w:val="24"/>
        </w:rPr>
        <w:t xml:space="preserve">, 715–748. </w:t>
      </w:r>
      <w:hyperlink r:id="rId30" w:history="1">
        <w:r w:rsidRPr="009F67F1">
          <w:rPr>
            <w:rFonts w:ascii="Times New Roman" w:hAnsi="Times New Roman"/>
            <w:color w:val="0000FF"/>
            <w:sz w:val="24"/>
            <w:szCs w:val="24"/>
            <w:u w:val="single"/>
          </w:rPr>
          <w:t>https://doi.org/10.1146/annurev-biochem-061516-045037</w:t>
        </w:r>
      </w:hyperlink>
    </w:p>
    <w:p w14:paraId="006859A1"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Tchounwou</w:t>
      </w:r>
      <w:proofErr w:type="spellEnd"/>
      <w:r w:rsidRPr="009F67F1">
        <w:rPr>
          <w:rFonts w:ascii="Times New Roman" w:hAnsi="Times New Roman"/>
          <w:sz w:val="24"/>
          <w:szCs w:val="24"/>
        </w:rPr>
        <w:t xml:space="preserve">, P. B., </w:t>
      </w:r>
      <w:proofErr w:type="spellStart"/>
      <w:r w:rsidRPr="009F67F1">
        <w:rPr>
          <w:rFonts w:ascii="Times New Roman" w:hAnsi="Times New Roman"/>
          <w:sz w:val="24"/>
          <w:szCs w:val="24"/>
        </w:rPr>
        <w:t>Yedjou</w:t>
      </w:r>
      <w:proofErr w:type="spellEnd"/>
      <w:r w:rsidRPr="009F67F1">
        <w:rPr>
          <w:rFonts w:ascii="Times New Roman" w:hAnsi="Times New Roman"/>
          <w:sz w:val="24"/>
          <w:szCs w:val="24"/>
        </w:rPr>
        <w:t xml:space="preserve">, C. G., Patlolla, A. K., &amp; Sutton, D. J. (2012). Heavy metals toxicity and the environment. In A. Luch (Ed.), </w:t>
      </w:r>
      <w:r w:rsidRPr="009F67F1">
        <w:rPr>
          <w:rFonts w:ascii="Times New Roman" w:hAnsi="Times New Roman"/>
          <w:i/>
          <w:iCs/>
          <w:sz w:val="24"/>
          <w:szCs w:val="24"/>
        </w:rPr>
        <w:t>Molecular, clinical and environmental toxicology: Volume 3: Environmental toxicology</w:t>
      </w:r>
      <w:r w:rsidRPr="009F67F1">
        <w:rPr>
          <w:rFonts w:ascii="Times New Roman" w:hAnsi="Times New Roman"/>
          <w:sz w:val="24"/>
          <w:szCs w:val="24"/>
        </w:rPr>
        <w:t xml:space="preserve"> (</w:t>
      </w:r>
      <w:proofErr w:type="spellStart"/>
      <w:r w:rsidRPr="009F67F1">
        <w:rPr>
          <w:rFonts w:ascii="Times New Roman" w:hAnsi="Times New Roman"/>
          <w:sz w:val="24"/>
          <w:szCs w:val="24"/>
        </w:rPr>
        <w:t>Experientia</w:t>
      </w:r>
      <w:proofErr w:type="spellEnd"/>
      <w:r w:rsidRPr="009F67F1">
        <w:rPr>
          <w:rFonts w:ascii="Times New Roman" w:hAnsi="Times New Roman"/>
          <w:sz w:val="24"/>
          <w:szCs w:val="24"/>
        </w:rPr>
        <w:t xml:space="preserve"> </w:t>
      </w:r>
      <w:proofErr w:type="spellStart"/>
      <w:r w:rsidRPr="009F67F1">
        <w:rPr>
          <w:rFonts w:ascii="Times New Roman" w:hAnsi="Times New Roman"/>
          <w:sz w:val="24"/>
          <w:szCs w:val="24"/>
        </w:rPr>
        <w:t>Supplementum</w:t>
      </w:r>
      <w:proofErr w:type="spellEnd"/>
      <w:r w:rsidRPr="009F67F1">
        <w:rPr>
          <w:rFonts w:ascii="Times New Roman" w:hAnsi="Times New Roman"/>
          <w:sz w:val="24"/>
          <w:szCs w:val="24"/>
        </w:rPr>
        <w:t xml:space="preserve">, Vol. 101, pp. 133–164). Springer. </w:t>
      </w:r>
      <w:hyperlink r:id="rId31" w:history="1">
        <w:r w:rsidRPr="009F67F1">
          <w:rPr>
            <w:rFonts w:ascii="Times New Roman" w:hAnsi="Times New Roman"/>
            <w:color w:val="0000FF"/>
            <w:sz w:val="24"/>
            <w:szCs w:val="24"/>
            <w:u w:val="single"/>
          </w:rPr>
          <w:t>https://doi.org/10.1007/978-3-7643-8340-4_6</w:t>
        </w:r>
      </w:hyperlink>
    </w:p>
    <w:p w14:paraId="3E4314E2"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Thévenod</w:t>
      </w:r>
      <w:proofErr w:type="spellEnd"/>
      <w:r w:rsidRPr="009F67F1">
        <w:rPr>
          <w:rFonts w:ascii="Times New Roman" w:hAnsi="Times New Roman"/>
          <w:sz w:val="24"/>
          <w:szCs w:val="24"/>
        </w:rPr>
        <w:t xml:space="preserve">, F. (2009). Cadmium and cellular signaling cascades: To be or not to be? </w:t>
      </w:r>
      <w:r w:rsidRPr="009F67F1">
        <w:rPr>
          <w:rFonts w:ascii="Times New Roman" w:hAnsi="Times New Roman"/>
          <w:i/>
          <w:iCs/>
          <w:sz w:val="24"/>
          <w:szCs w:val="24"/>
        </w:rPr>
        <w:t>Toxicology and Applied Pharmacology, 238</w:t>
      </w:r>
      <w:r w:rsidRPr="009F67F1">
        <w:rPr>
          <w:rFonts w:ascii="Times New Roman" w:hAnsi="Times New Roman"/>
          <w:sz w:val="24"/>
          <w:szCs w:val="24"/>
        </w:rPr>
        <w:t xml:space="preserve">(3), 221–239. </w:t>
      </w:r>
      <w:hyperlink r:id="rId32" w:history="1">
        <w:r w:rsidRPr="009F67F1">
          <w:rPr>
            <w:rFonts w:ascii="Times New Roman" w:hAnsi="Times New Roman"/>
            <w:color w:val="0000FF"/>
            <w:sz w:val="24"/>
            <w:szCs w:val="24"/>
            <w:u w:val="single"/>
          </w:rPr>
          <w:t>https://doi.org/10.1016/j.taap.2009.01.013</w:t>
        </w:r>
      </w:hyperlink>
    </w:p>
    <w:p w14:paraId="2E850011"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lang w:val="nl-BE"/>
        </w:rPr>
        <w:t xml:space="preserve">Thévenod, F., &amp; Lee, W. K. (2013). </w:t>
      </w:r>
      <w:r w:rsidRPr="009F67F1">
        <w:rPr>
          <w:rFonts w:ascii="Times New Roman" w:hAnsi="Times New Roman"/>
          <w:sz w:val="24"/>
          <w:szCs w:val="24"/>
        </w:rPr>
        <w:t xml:space="preserve">Toxicology of cadmium and its damage to mammalian organs. In A. Sigel, H. Sigel, &amp; R. K. O. Sigel (Eds.), </w:t>
      </w:r>
      <w:r w:rsidRPr="009F67F1">
        <w:rPr>
          <w:rFonts w:ascii="Times New Roman" w:hAnsi="Times New Roman"/>
          <w:i/>
          <w:iCs/>
          <w:sz w:val="24"/>
          <w:szCs w:val="24"/>
        </w:rPr>
        <w:t>Cadmium: From toxicity to essentiality</w:t>
      </w:r>
      <w:r w:rsidRPr="009F67F1">
        <w:rPr>
          <w:rFonts w:ascii="Times New Roman" w:hAnsi="Times New Roman"/>
          <w:sz w:val="24"/>
          <w:szCs w:val="24"/>
        </w:rPr>
        <w:t xml:space="preserve"> (Metal Ions in Life Sciences, Vol. 11, pp. 415–490). Springer. </w:t>
      </w:r>
      <w:hyperlink r:id="rId33" w:history="1">
        <w:r w:rsidRPr="009F67F1">
          <w:rPr>
            <w:rFonts w:ascii="Times New Roman" w:hAnsi="Times New Roman"/>
            <w:color w:val="0000FF"/>
            <w:sz w:val="24"/>
            <w:szCs w:val="24"/>
            <w:u w:val="single"/>
          </w:rPr>
          <w:t>https://doi.org/10.1007/978-94-007-5179-8_14</w:t>
        </w:r>
      </w:hyperlink>
    </w:p>
    <w:p w14:paraId="3F60457F"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proofErr w:type="spellStart"/>
      <w:r w:rsidRPr="009F67F1">
        <w:rPr>
          <w:rFonts w:ascii="Times New Roman" w:hAnsi="Times New Roman"/>
          <w:sz w:val="24"/>
          <w:szCs w:val="24"/>
        </w:rPr>
        <w:t>Unsal</w:t>
      </w:r>
      <w:proofErr w:type="spellEnd"/>
      <w:r w:rsidRPr="009F67F1">
        <w:rPr>
          <w:rFonts w:ascii="Times New Roman" w:hAnsi="Times New Roman"/>
          <w:sz w:val="24"/>
          <w:szCs w:val="24"/>
        </w:rPr>
        <w:t xml:space="preserve">, V., Dalkıran, T., Çiçek, M., &amp; </w:t>
      </w:r>
      <w:proofErr w:type="spellStart"/>
      <w:r w:rsidRPr="009F67F1">
        <w:rPr>
          <w:rFonts w:ascii="Times New Roman" w:hAnsi="Times New Roman"/>
          <w:sz w:val="24"/>
          <w:szCs w:val="24"/>
        </w:rPr>
        <w:t>Kölükçü</w:t>
      </w:r>
      <w:proofErr w:type="spellEnd"/>
      <w:r w:rsidRPr="009F67F1">
        <w:rPr>
          <w:rFonts w:ascii="Times New Roman" w:hAnsi="Times New Roman"/>
          <w:sz w:val="24"/>
          <w:szCs w:val="24"/>
        </w:rPr>
        <w:t xml:space="preserve">, E. (2020). The role of natural antioxidants against reactive oxygen species produced by cadmium toxicity: A review. </w:t>
      </w:r>
      <w:r w:rsidRPr="009F67F1">
        <w:rPr>
          <w:rFonts w:ascii="Times New Roman" w:hAnsi="Times New Roman"/>
          <w:i/>
          <w:iCs/>
          <w:sz w:val="24"/>
          <w:szCs w:val="24"/>
        </w:rPr>
        <w:t>Advanced Pharmaceutical Bulletin, 10</w:t>
      </w:r>
      <w:r w:rsidRPr="009F67F1">
        <w:rPr>
          <w:rFonts w:ascii="Times New Roman" w:hAnsi="Times New Roman"/>
          <w:sz w:val="24"/>
          <w:szCs w:val="24"/>
        </w:rPr>
        <w:t xml:space="preserve">(2), 184–202. </w:t>
      </w:r>
      <w:hyperlink r:id="rId34" w:history="1">
        <w:r w:rsidRPr="009F67F1">
          <w:rPr>
            <w:rFonts w:ascii="Times New Roman" w:hAnsi="Times New Roman"/>
            <w:color w:val="0000FF"/>
            <w:sz w:val="24"/>
            <w:szCs w:val="24"/>
            <w:u w:val="single"/>
          </w:rPr>
          <w:t>https://doi.org/10.34172/apb.2020.023</w:t>
        </w:r>
      </w:hyperlink>
    </w:p>
    <w:p w14:paraId="6B56F140"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 xml:space="preserve">Valko, M., Rhodes, C. J., </w:t>
      </w:r>
      <w:proofErr w:type="spellStart"/>
      <w:r w:rsidRPr="009F67F1">
        <w:rPr>
          <w:rFonts w:ascii="Times New Roman" w:hAnsi="Times New Roman"/>
          <w:sz w:val="24"/>
          <w:szCs w:val="24"/>
        </w:rPr>
        <w:t>Moncol</w:t>
      </w:r>
      <w:proofErr w:type="spellEnd"/>
      <w:r w:rsidRPr="009F67F1">
        <w:rPr>
          <w:rFonts w:ascii="Times New Roman" w:hAnsi="Times New Roman"/>
          <w:sz w:val="24"/>
          <w:szCs w:val="24"/>
        </w:rPr>
        <w:t xml:space="preserve">, J., </w:t>
      </w:r>
      <w:proofErr w:type="spellStart"/>
      <w:r w:rsidRPr="009F67F1">
        <w:rPr>
          <w:rFonts w:ascii="Times New Roman" w:hAnsi="Times New Roman"/>
          <w:sz w:val="24"/>
          <w:szCs w:val="24"/>
        </w:rPr>
        <w:t>Izakovic</w:t>
      </w:r>
      <w:proofErr w:type="spellEnd"/>
      <w:r w:rsidRPr="009F67F1">
        <w:rPr>
          <w:rFonts w:ascii="Times New Roman" w:hAnsi="Times New Roman"/>
          <w:sz w:val="24"/>
          <w:szCs w:val="24"/>
        </w:rPr>
        <w:t xml:space="preserve">, M., &amp; Mazur, M. (2006). Free radicals, metals and antioxidants in oxidative stress-induced cancer. </w:t>
      </w:r>
      <w:proofErr w:type="spellStart"/>
      <w:r w:rsidRPr="009F67F1">
        <w:rPr>
          <w:rFonts w:ascii="Times New Roman" w:hAnsi="Times New Roman"/>
          <w:i/>
          <w:iCs/>
          <w:sz w:val="24"/>
          <w:szCs w:val="24"/>
        </w:rPr>
        <w:t>Chemico</w:t>
      </w:r>
      <w:proofErr w:type="spellEnd"/>
      <w:r w:rsidRPr="009F67F1">
        <w:rPr>
          <w:rFonts w:ascii="Times New Roman" w:hAnsi="Times New Roman"/>
          <w:i/>
          <w:iCs/>
          <w:sz w:val="24"/>
          <w:szCs w:val="24"/>
        </w:rPr>
        <w:t>-Biological Interactions, 160</w:t>
      </w:r>
      <w:r w:rsidRPr="009F67F1">
        <w:rPr>
          <w:rFonts w:ascii="Times New Roman" w:hAnsi="Times New Roman"/>
          <w:sz w:val="24"/>
          <w:szCs w:val="24"/>
        </w:rPr>
        <w:t xml:space="preserve">(1), 1–40. </w:t>
      </w:r>
      <w:hyperlink r:id="rId35" w:history="1">
        <w:r w:rsidRPr="009F67F1">
          <w:rPr>
            <w:rFonts w:ascii="Times New Roman" w:hAnsi="Times New Roman"/>
            <w:color w:val="0000FF"/>
            <w:sz w:val="24"/>
            <w:szCs w:val="24"/>
            <w:u w:val="single"/>
          </w:rPr>
          <w:t>https://doi.org/10.1016/j.cbi.2005.12.009</w:t>
        </w:r>
      </w:hyperlink>
    </w:p>
    <w:p w14:paraId="01721579" w14:textId="77777777" w:rsidR="009F67F1" w:rsidRPr="009F67F1" w:rsidRDefault="009F67F1" w:rsidP="009F67F1">
      <w:pPr>
        <w:spacing w:before="100" w:beforeAutospacing="1" w:after="100" w:afterAutospacing="1"/>
        <w:ind w:left="540" w:hanging="540"/>
        <w:jc w:val="both"/>
        <w:rPr>
          <w:rFonts w:ascii="Times New Roman" w:hAnsi="Times New Roman"/>
          <w:sz w:val="24"/>
          <w:szCs w:val="24"/>
        </w:rPr>
      </w:pPr>
      <w:r w:rsidRPr="009F67F1">
        <w:rPr>
          <w:rFonts w:ascii="Times New Roman" w:hAnsi="Times New Roman"/>
          <w:sz w:val="24"/>
          <w:szCs w:val="24"/>
        </w:rPr>
        <w:t xml:space="preserve">Yuan, G., Dai, S., Yin, Z., Lu, H., Jia, R., Xu, J., Song, X., Li, L., Shu, Y., &amp; Zhao, X. (2014). Toxicological assessment of combined lead and cadmium: Acute and sub-chronic toxicity study in rats. </w:t>
      </w:r>
      <w:r w:rsidRPr="009F67F1">
        <w:rPr>
          <w:rFonts w:ascii="Times New Roman" w:hAnsi="Times New Roman"/>
          <w:i/>
          <w:iCs/>
          <w:sz w:val="24"/>
          <w:szCs w:val="24"/>
        </w:rPr>
        <w:t>Food and Chemical Toxicology, 65</w:t>
      </w:r>
      <w:r w:rsidRPr="009F67F1">
        <w:rPr>
          <w:rFonts w:ascii="Times New Roman" w:hAnsi="Times New Roman"/>
          <w:sz w:val="24"/>
          <w:szCs w:val="24"/>
        </w:rPr>
        <w:t xml:space="preserve">, 260–268. </w:t>
      </w:r>
      <w:hyperlink r:id="rId36" w:history="1">
        <w:r w:rsidRPr="009F67F1">
          <w:rPr>
            <w:rFonts w:ascii="Times New Roman" w:hAnsi="Times New Roman"/>
            <w:color w:val="0000FF"/>
            <w:sz w:val="24"/>
            <w:szCs w:val="24"/>
            <w:u w:val="single"/>
          </w:rPr>
          <w:t>https://doi.org/10.1016/j.fct.2013.12.041</w:t>
        </w:r>
      </w:hyperlink>
    </w:p>
    <w:p w14:paraId="3500F91B" w14:textId="0B452FB2" w:rsidR="00441B6F" w:rsidRDefault="00441B6F" w:rsidP="009F67F1">
      <w:pPr>
        <w:pStyle w:val="Body"/>
      </w:pPr>
    </w:p>
    <w:sectPr w:rsidR="00441B6F" w:rsidSect="00DD66B3">
      <w:headerReference w:type="even" r:id="rId37"/>
      <w:headerReference w:type="default" r:id="rId38"/>
      <w:footerReference w:type="default" r:id="rId39"/>
      <w:headerReference w:type="first" r:id="rId4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19BB1" w14:textId="77777777" w:rsidR="0059577A" w:rsidRDefault="0059577A" w:rsidP="00C37E61">
      <w:r>
        <w:separator/>
      </w:r>
    </w:p>
  </w:endnote>
  <w:endnote w:type="continuationSeparator" w:id="0">
    <w:p w14:paraId="3BED1979" w14:textId="77777777" w:rsidR="0059577A" w:rsidRDefault="0059577A"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DFD30" w14:textId="77777777" w:rsidR="00DD66B3" w:rsidRDefault="00DD66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38ECB" w14:textId="77777777" w:rsidR="00DD66B3" w:rsidRDefault="00DD66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8257B" w14:textId="77777777" w:rsidR="00754C9A" w:rsidRPr="00DD66B3" w:rsidRDefault="00754C9A" w:rsidP="00DD66B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9DBB0" w14:textId="77777777" w:rsidR="00C37E61" w:rsidRPr="00C37E61" w:rsidRDefault="00C37E61" w:rsidP="00C37E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4E971" w14:textId="77777777" w:rsidR="0059577A" w:rsidRDefault="0059577A" w:rsidP="00C37E61">
      <w:r>
        <w:separator/>
      </w:r>
    </w:p>
  </w:footnote>
  <w:footnote w:type="continuationSeparator" w:id="0">
    <w:p w14:paraId="3BB66BF2" w14:textId="77777777" w:rsidR="0059577A" w:rsidRDefault="0059577A"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9646B" w14:textId="77777777" w:rsidR="00DD66B3" w:rsidRDefault="00000000">
    <w:pPr>
      <w:pStyle w:val="Header"/>
    </w:pPr>
    <w:r>
      <w:rPr>
        <w:noProof/>
      </w:rPr>
      <w:pict w14:anchorId="3D5A724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0" o:spid="_x0000_s1026" type="#_x0000_t136" style="position:absolute;margin-left:0;margin-top:0;width:685.25pt;height:76.1pt;rotation:315;z-index:-25165516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BE15B" w14:textId="77777777" w:rsidR="00DD66B3" w:rsidRDefault="00000000">
    <w:pPr>
      <w:pStyle w:val="Header"/>
    </w:pPr>
    <w:r>
      <w:rPr>
        <w:noProof/>
      </w:rPr>
      <w:pict w14:anchorId="26F95E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1" o:spid="_x0000_s1027" type="#_x0000_t136" style="position:absolute;margin-left:0;margin-top:0;width:685.25pt;height:76.1pt;rotation:315;z-index:-25165312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FF813" w14:textId="77777777" w:rsidR="00296529" w:rsidRPr="00296529" w:rsidRDefault="00000000" w:rsidP="00296529">
    <w:pPr>
      <w:ind w:left="2160"/>
      <w:jc w:val="center"/>
      <w:rPr>
        <w:rFonts w:ascii="Times New Roman" w:eastAsia="Calibri" w:hAnsi="Times New Roman"/>
        <w:i/>
        <w:sz w:val="18"/>
        <w:szCs w:val="22"/>
      </w:rPr>
    </w:pPr>
    <w:r>
      <w:rPr>
        <w:noProof/>
      </w:rPr>
      <w:pict w14:anchorId="7F06E9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09" o:spid="_x0000_s1025" type="#_x0000_t136" style="position:absolute;left:0;text-align:left;margin-left:0;margin-top:0;width:685.25pt;height:76.1pt;rotation:315;z-index:-25165721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66FCECA4" w14:textId="77777777" w:rsidR="00296529" w:rsidRPr="00296529" w:rsidRDefault="00754C9A" w:rsidP="00296529">
    <w:pPr>
      <w:ind w:left="4320"/>
      <w:rPr>
        <w:rFonts w:ascii="Times New Roman" w:eastAsia="Calibri" w:hAnsi="Times New Roman"/>
        <w:i/>
        <w:sz w:val="18"/>
        <w:szCs w:val="22"/>
      </w:rPr>
    </w:pPr>
    <w:r>
      <w:rPr>
        <w:rFonts w:ascii="Times New Roman" w:eastAsia="Calibri" w:hAnsi="Times New Roman"/>
        <w:i/>
        <w:sz w:val="18"/>
        <w:szCs w:val="22"/>
      </w:rPr>
      <w:t>.</w:t>
    </w:r>
    <w:r w:rsidR="00296529" w:rsidRPr="00296529">
      <w:rPr>
        <w:rFonts w:ascii="Times New Roman" w:eastAsia="Calibri" w:hAnsi="Times New Roman"/>
        <w:i/>
        <w:sz w:val="18"/>
        <w:szCs w:val="22"/>
      </w:rPr>
      <w:t xml:space="preserve">     </w:t>
    </w:r>
  </w:p>
  <w:p w14:paraId="100F3436" w14:textId="77777777" w:rsidR="00296529" w:rsidRPr="00296529" w:rsidRDefault="00754C9A" w:rsidP="00296529">
    <w:pPr>
      <w:jc w:val="center"/>
      <w:rPr>
        <w:rFonts w:ascii="Times New Roman" w:eastAsia="Calibri" w:hAnsi="Times New Roman"/>
        <w:i/>
        <w:sz w:val="18"/>
        <w:szCs w:val="22"/>
      </w:rPr>
    </w:pPr>
    <w:r>
      <w:rPr>
        <w:rFonts w:ascii="Times New Roman" w:eastAsia="Calibri" w:hAnsi="Times New Roman"/>
        <w:i/>
        <w:sz w:val="18"/>
        <w:szCs w:val="22"/>
      </w:rPr>
      <w:t>.</w:t>
    </w:r>
  </w:p>
  <w:p w14:paraId="3252ACEC" w14:textId="77777777" w:rsidR="00296529" w:rsidRPr="00296529" w:rsidRDefault="00296529"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sidR="00754C9A">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8C0A125" w14:textId="77777777" w:rsidR="00296529" w:rsidRDefault="00296529"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00F2BFE4" w14:textId="77777777" w:rsidR="00296529" w:rsidRDefault="00296529"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r>
    <w:r w:rsidR="00754C9A">
      <w:rPr>
        <w:rFonts w:ascii="Times New Roman" w:eastAsia="Calibri" w:hAnsi="Times New Roman"/>
        <w:i/>
        <w:sz w:val="18"/>
        <w:szCs w:val="22"/>
      </w:rPr>
      <w:t>.</w:t>
    </w:r>
  </w:p>
  <w:p w14:paraId="7BB8512F" w14:textId="77777777" w:rsidR="00296529" w:rsidRDefault="00754C9A">
    <w:pPr>
      <w:pStyle w:val="Header"/>
    </w:pPr>
    <w:r>
      <w: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60EC4" w14:textId="77777777" w:rsidR="00DD66B3" w:rsidRDefault="00000000">
    <w:pPr>
      <w:pStyle w:val="Header"/>
    </w:pPr>
    <w:r>
      <w:rPr>
        <w:noProof/>
      </w:rPr>
      <w:pict w14:anchorId="77DC95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3" o:spid="_x0000_s1031" type="#_x0000_t136" style="position:absolute;margin-left:0;margin-top:0;width:685.25pt;height:76.1pt;rotation:315;z-index:-251644928;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5424F87A">
        <v:shape id="_x0000_s1030" type="#_x0000_t136" style="position:absolute;margin-left:0;margin-top:0;width:685.25pt;height:76.1pt;rotation:315;z-index:-251646976;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A584D" w14:textId="77777777" w:rsidR="00DD66B3" w:rsidRDefault="00000000">
    <w:pPr>
      <w:pStyle w:val="Header"/>
    </w:pPr>
    <w:r>
      <w:rPr>
        <w:noProof/>
      </w:rPr>
      <w:pict w14:anchorId="635177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4" o:spid="_x0000_s1033" type="#_x0000_t136" style="position:absolute;margin-left:0;margin-top:0;width:685.25pt;height:76.1pt;rotation:315;z-index:-25164083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6DAA334D">
        <v:shape id="_x0000_s1032" type="#_x0000_t136" style="position:absolute;margin-left:0;margin-top:0;width:685.25pt;height:76.1pt;rotation:315;z-index:-251642880;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7BCCB" w14:textId="77777777" w:rsidR="00DD66B3" w:rsidRPr="00296529" w:rsidRDefault="00000000" w:rsidP="00296529">
    <w:pPr>
      <w:ind w:left="2160"/>
      <w:jc w:val="center"/>
      <w:rPr>
        <w:rFonts w:ascii="Times New Roman" w:eastAsia="Calibri" w:hAnsi="Times New Roman"/>
        <w:i/>
        <w:sz w:val="18"/>
        <w:szCs w:val="22"/>
      </w:rPr>
    </w:pPr>
    <w:r>
      <w:rPr>
        <w:noProof/>
      </w:rPr>
      <w:pict w14:anchorId="142287F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909112" o:spid="_x0000_s1029" type="#_x0000_t136" style="position:absolute;left:0;text-align:left;margin-left:0;margin-top:0;width:685.25pt;height:76.1pt;rotation:315;z-index:-251649024;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r>
      <w:rPr>
        <w:noProof/>
      </w:rPr>
      <w:pict w14:anchorId="759BF826">
        <v:shape id="_x0000_s1028" type="#_x0000_t136" style="position:absolute;left:0;text-align:left;margin-left:0;margin-top:0;width:685.25pt;height:76.1pt;rotation:315;z-index:-251651072;mso-position-horizontal:center;mso-position-horizontal-relative:margin;mso-position-vertical:center;mso-position-vertical-relative:margin" o:allowincell="f" fillcolor="silver" stroked="f">
          <v:fill opacity=".5"/>
          <v:textpath style="font-family:&quot;Helvetica&quot;;font-size:1pt" string="UNDER PEER REVIEW"/>
          <w10:wrap anchorx="margin" anchory="margin"/>
        </v:shape>
      </w:pict>
    </w:r>
  </w:p>
  <w:p w14:paraId="7E329674" w14:textId="77777777" w:rsidR="00DD66B3" w:rsidRPr="00296529" w:rsidRDefault="00DD66B3" w:rsidP="00296529">
    <w:pPr>
      <w:ind w:left="4320"/>
      <w:rPr>
        <w:rFonts w:ascii="Times New Roman" w:eastAsia="Calibri" w:hAnsi="Times New Roman"/>
        <w:i/>
        <w:sz w:val="18"/>
        <w:szCs w:val="22"/>
      </w:rPr>
    </w:pPr>
    <w:r>
      <w:rPr>
        <w:rFonts w:ascii="Times New Roman" w:eastAsia="Calibri" w:hAnsi="Times New Roman"/>
        <w:i/>
        <w:sz w:val="18"/>
        <w:szCs w:val="22"/>
      </w:rPr>
      <w:t>.</w:t>
    </w:r>
    <w:r w:rsidRPr="00296529">
      <w:rPr>
        <w:rFonts w:ascii="Times New Roman" w:eastAsia="Calibri" w:hAnsi="Times New Roman"/>
        <w:i/>
        <w:sz w:val="18"/>
        <w:szCs w:val="22"/>
      </w:rPr>
      <w:t xml:space="preserve">     </w:t>
    </w:r>
  </w:p>
  <w:p w14:paraId="75C2D0C1" w14:textId="77777777" w:rsidR="00DD66B3" w:rsidRPr="00296529" w:rsidRDefault="00DD66B3" w:rsidP="00296529">
    <w:pPr>
      <w:jc w:val="center"/>
      <w:rPr>
        <w:rFonts w:ascii="Times New Roman" w:eastAsia="Calibri" w:hAnsi="Times New Roman"/>
        <w:i/>
        <w:sz w:val="18"/>
        <w:szCs w:val="22"/>
      </w:rPr>
    </w:pPr>
    <w:r>
      <w:rPr>
        <w:rFonts w:ascii="Times New Roman" w:eastAsia="Calibri" w:hAnsi="Times New Roman"/>
        <w:i/>
        <w:sz w:val="18"/>
        <w:szCs w:val="22"/>
      </w:rPr>
      <w:t>.</w:t>
    </w:r>
  </w:p>
  <w:p w14:paraId="4DCF7C9D" w14:textId="77777777" w:rsidR="00DD66B3" w:rsidRPr="00296529" w:rsidRDefault="00DD66B3" w:rsidP="00296529">
    <w:pPr>
      <w:spacing w:after="200"/>
      <w:jc w:val="center"/>
      <w:rPr>
        <w:rFonts w:ascii="Times New Roman" w:eastAsia="Calibri" w:hAnsi="Times New Roman"/>
        <w:b/>
        <w:i/>
        <w:sz w:val="32"/>
        <w:szCs w:val="22"/>
      </w:rPr>
    </w:pPr>
    <w:r w:rsidRPr="00296529">
      <w:rPr>
        <w:rFonts w:ascii="Times New Roman" w:eastAsia="Calibri" w:hAnsi="Times New Roman"/>
        <w:b/>
        <w:i/>
        <w:sz w:val="32"/>
        <w:szCs w:val="22"/>
      </w:rPr>
      <w:t xml:space="preserve">              </w:t>
    </w:r>
    <w:r>
      <w:rPr>
        <w:rFonts w:ascii="Times New Roman" w:eastAsia="Calibri" w:hAnsi="Times New Roman"/>
        <w:b/>
        <w:i/>
        <w:sz w:val="32"/>
        <w:szCs w:val="22"/>
      </w:rPr>
      <w:t>.</w:t>
    </w:r>
    <w:r w:rsidRPr="00296529">
      <w:rPr>
        <w:rFonts w:ascii="Times New Roman" w:eastAsia="Calibri" w:hAnsi="Times New Roman"/>
        <w:b/>
        <w:i/>
        <w:sz w:val="32"/>
        <w:szCs w:val="22"/>
      </w:rPr>
      <w:t xml:space="preserve"> </w:t>
    </w:r>
  </w:p>
  <w:p w14:paraId="2BEC80A8" w14:textId="77777777" w:rsidR="00DD66B3" w:rsidRDefault="00DD66B3" w:rsidP="00296529">
    <w:pPr>
      <w:jc w:val="center"/>
      <w:rPr>
        <w:rFonts w:ascii="Times New Roman" w:eastAsia="Calibri" w:hAnsi="Times New Roman"/>
        <w:i/>
        <w:sz w:val="18"/>
        <w:szCs w:val="22"/>
      </w:rPr>
    </w:pPr>
    <w:r w:rsidRPr="00296529">
      <w:rPr>
        <w:rFonts w:ascii="Times New Roman" w:eastAsia="Calibri" w:hAnsi="Times New Roman"/>
        <w:i/>
        <w:sz w:val="18"/>
        <w:szCs w:val="22"/>
      </w:rPr>
      <w:t xml:space="preserve">                     </w:t>
    </w:r>
  </w:p>
  <w:p w14:paraId="2B107CE8" w14:textId="77777777" w:rsidR="00DD66B3" w:rsidRDefault="00DD66B3" w:rsidP="00296529">
    <w:pPr>
      <w:tabs>
        <w:tab w:val="left" w:pos="2145"/>
      </w:tabs>
      <w:rPr>
        <w:rFonts w:ascii="Times New Roman" w:eastAsia="Calibri" w:hAnsi="Times New Roman"/>
        <w:i/>
        <w:sz w:val="18"/>
        <w:szCs w:val="22"/>
      </w:rPr>
    </w:pPr>
    <w:r>
      <w:rPr>
        <w:rFonts w:ascii="Times New Roman" w:eastAsia="Calibri" w:hAnsi="Times New Roman"/>
        <w:i/>
        <w:sz w:val="18"/>
        <w:szCs w:val="22"/>
      </w:rPr>
      <w:tab/>
      <w:t>.</w:t>
    </w:r>
  </w:p>
  <w:p w14:paraId="32949BE3" w14:textId="77777777" w:rsidR="00DD66B3" w:rsidRDefault="00DD66B3">
    <w:pPr>
      <w:pStyle w:val="Header"/>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3EB4412F"/>
    <w:multiLevelType w:val="hybridMultilevel"/>
    <w:tmpl w:val="E5EAEE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97421CF"/>
    <w:multiLevelType w:val="multilevel"/>
    <w:tmpl w:val="84DC5A5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8" w15:restartNumberingAfterBreak="0">
    <w:nsid w:val="51654A13"/>
    <w:multiLevelType w:val="multilevel"/>
    <w:tmpl w:val="F89E4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1"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2"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3"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5"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7"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9"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1356074630">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305168276">
    <w:abstractNumId w:val="17"/>
  </w:num>
  <w:num w:numId="3" w16cid:durableId="882013031">
    <w:abstractNumId w:val="26"/>
  </w:num>
  <w:num w:numId="4" w16cid:durableId="704867863">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1747874243">
    <w:abstractNumId w:val="7"/>
  </w:num>
  <w:num w:numId="6" w16cid:durableId="1846895341">
    <w:abstractNumId w:val="6"/>
  </w:num>
  <w:num w:numId="7" w16cid:durableId="1083338930">
    <w:abstractNumId w:val="1"/>
  </w:num>
  <w:num w:numId="8" w16cid:durableId="168566743">
    <w:abstractNumId w:val="12"/>
  </w:num>
  <w:num w:numId="9" w16cid:durableId="2036301278">
    <w:abstractNumId w:val="28"/>
  </w:num>
  <w:num w:numId="10" w16cid:durableId="868295618">
    <w:abstractNumId w:val="2"/>
  </w:num>
  <w:num w:numId="11" w16cid:durableId="652878168">
    <w:abstractNumId w:val="21"/>
  </w:num>
  <w:num w:numId="12" w16cid:durableId="1306396978">
    <w:abstractNumId w:val="3"/>
  </w:num>
  <w:num w:numId="13" w16cid:durableId="542058698">
    <w:abstractNumId w:val="20"/>
  </w:num>
  <w:num w:numId="14" w16cid:durableId="1811091786">
    <w:abstractNumId w:val="8"/>
  </w:num>
  <w:num w:numId="15" w16cid:durableId="690909908">
    <w:abstractNumId w:val="24"/>
  </w:num>
  <w:num w:numId="16" w16cid:durableId="709838274">
    <w:abstractNumId w:val="5"/>
  </w:num>
  <w:num w:numId="17" w16cid:durableId="1067416494">
    <w:abstractNumId w:val="25"/>
  </w:num>
  <w:num w:numId="18" w16cid:durableId="606348878">
    <w:abstractNumId w:val="14"/>
  </w:num>
  <w:num w:numId="19" w16cid:durableId="1602302030">
    <w:abstractNumId w:val="31"/>
  </w:num>
  <w:num w:numId="20" w16cid:durableId="1382097968">
    <w:abstractNumId w:val="11"/>
  </w:num>
  <w:num w:numId="21" w16cid:durableId="891232018">
    <w:abstractNumId w:val="9"/>
  </w:num>
  <w:num w:numId="22" w16cid:durableId="1013842372">
    <w:abstractNumId w:val="13"/>
  </w:num>
  <w:num w:numId="23" w16cid:durableId="1640647388">
    <w:abstractNumId w:val="22"/>
  </w:num>
  <w:num w:numId="24" w16cid:durableId="109472257">
    <w:abstractNumId w:val="29"/>
  </w:num>
  <w:num w:numId="25" w16cid:durableId="723601239">
    <w:abstractNumId w:val="4"/>
  </w:num>
  <w:num w:numId="26" w16cid:durableId="212230447">
    <w:abstractNumId w:val="19"/>
  </w:num>
  <w:num w:numId="27" w16cid:durableId="1546409968">
    <w:abstractNumId w:val="23"/>
  </w:num>
  <w:num w:numId="28" w16cid:durableId="661854511">
    <w:abstractNumId w:val="30"/>
  </w:num>
  <w:num w:numId="29" w16cid:durableId="581107849">
    <w:abstractNumId w:val="27"/>
  </w:num>
  <w:num w:numId="30" w16cid:durableId="1766532474">
    <w:abstractNumId w:val="10"/>
  </w:num>
  <w:num w:numId="31" w16cid:durableId="2001499685">
    <w:abstractNumId w:val="18"/>
  </w:num>
  <w:num w:numId="32" w16cid:durableId="1672027694">
    <w:abstractNumId w:val="16"/>
  </w:num>
  <w:num w:numId="33" w16cid:durableId="15855349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0604A"/>
    <w:rsid w:val="00030174"/>
    <w:rsid w:val="00041082"/>
    <w:rsid w:val="0004579C"/>
    <w:rsid w:val="000A47FA"/>
    <w:rsid w:val="000A65D3"/>
    <w:rsid w:val="000B1E33"/>
    <w:rsid w:val="000D689F"/>
    <w:rsid w:val="000E7B7B"/>
    <w:rsid w:val="000E7D62"/>
    <w:rsid w:val="000F3887"/>
    <w:rsid w:val="0010136E"/>
    <w:rsid w:val="00103357"/>
    <w:rsid w:val="00123C9F"/>
    <w:rsid w:val="00126190"/>
    <w:rsid w:val="00130F17"/>
    <w:rsid w:val="001320BF"/>
    <w:rsid w:val="00151356"/>
    <w:rsid w:val="00163BC4"/>
    <w:rsid w:val="001673E1"/>
    <w:rsid w:val="00191062"/>
    <w:rsid w:val="00192B72"/>
    <w:rsid w:val="001A29D8"/>
    <w:rsid w:val="001A5CAA"/>
    <w:rsid w:val="001B0427"/>
    <w:rsid w:val="001C19E3"/>
    <w:rsid w:val="001D3A51"/>
    <w:rsid w:val="001D5755"/>
    <w:rsid w:val="001E10D2"/>
    <w:rsid w:val="001E25B4"/>
    <w:rsid w:val="001E44FE"/>
    <w:rsid w:val="00200595"/>
    <w:rsid w:val="00204835"/>
    <w:rsid w:val="00231920"/>
    <w:rsid w:val="0023195C"/>
    <w:rsid w:val="0024282C"/>
    <w:rsid w:val="002460DC"/>
    <w:rsid w:val="00250985"/>
    <w:rsid w:val="00253FB1"/>
    <w:rsid w:val="002556F6"/>
    <w:rsid w:val="00283105"/>
    <w:rsid w:val="00284C4C"/>
    <w:rsid w:val="00287E68"/>
    <w:rsid w:val="00296529"/>
    <w:rsid w:val="002B27FB"/>
    <w:rsid w:val="002B685A"/>
    <w:rsid w:val="002C57D2"/>
    <w:rsid w:val="002E0D56"/>
    <w:rsid w:val="00315186"/>
    <w:rsid w:val="0033343E"/>
    <w:rsid w:val="003512C2"/>
    <w:rsid w:val="00371FB6"/>
    <w:rsid w:val="003763C1"/>
    <w:rsid w:val="00376BBE"/>
    <w:rsid w:val="0039224F"/>
    <w:rsid w:val="003A43A4"/>
    <w:rsid w:val="003A7E18"/>
    <w:rsid w:val="003B04A1"/>
    <w:rsid w:val="003C4C86"/>
    <w:rsid w:val="003C6258"/>
    <w:rsid w:val="003E2904"/>
    <w:rsid w:val="00401927"/>
    <w:rsid w:val="0041027F"/>
    <w:rsid w:val="00412475"/>
    <w:rsid w:val="00423789"/>
    <w:rsid w:val="00440F43"/>
    <w:rsid w:val="00441B6F"/>
    <w:rsid w:val="00446221"/>
    <w:rsid w:val="00450E62"/>
    <w:rsid w:val="004539DB"/>
    <w:rsid w:val="00471A80"/>
    <w:rsid w:val="004D305E"/>
    <w:rsid w:val="004D4277"/>
    <w:rsid w:val="00502516"/>
    <w:rsid w:val="00505F06"/>
    <w:rsid w:val="00506828"/>
    <w:rsid w:val="0053056E"/>
    <w:rsid w:val="00546C49"/>
    <w:rsid w:val="00554FDA"/>
    <w:rsid w:val="00570844"/>
    <w:rsid w:val="0059577A"/>
    <w:rsid w:val="005C784C"/>
    <w:rsid w:val="005D17F6"/>
    <w:rsid w:val="005E5539"/>
    <w:rsid w:val="00602BF5"/>
    <w:rsid w:val="00617CFA"/>
    <w:rsid w:val="00617FDD"/>
    <w:rsid w:val="00633614"/>
    <w:rsid w:val="00633F68"/>
    <w:rsid w:val="00636EB2"/>
    <w:rsid w:val="006375B8"/>
    <w:rsid w:val="0066510A"/>
    <w:rsid w:val="00673F9F"/>
    <w:rsid w:val="00686953"/>
    <w:rsid w:val="00687DEA"/>
    <w:rsid w:val="00687E67"/>
    <w:rsid w:val="006967F7"/>
    <w:rsid w:val="006A250C"/>
    <w:rsid w:val="006B21D3"/>
    <w:rsid w:val="006B57D0"/>
    <w:rsid w:val="006B5B4F"/>
    <w:rsid w:val="006D30FF"/>
    <w:rsid w:val="006D6940"/>
    <w:rsid w:val="006F11EC"/>
    <w:rsid w:val="0070082C"/>
    <w:rsid w:val="007369E6"/>
    <w:rsid w:val="00746E59"/>
    <w:rsid w:val="00754C9A"/>
    <w:rsid w:val="0075599A"/>
    <w:rsid w:val="00761D52"/>
    <w:rsid w:val="0077749E"/>
    <w:rsid w:val="00790ADA"/>
    <w:rsid w:val="00795C38"/>
    <w:rsid w:val="007D2288"/>
    <w:rsid w:val="007E088F"/>
    <w:rsid w:val="007F7B32"/>
    <w:rsid w:val="00804BC2"/>
    <w:rsid w:val="0081431A"/>
    <w:rsid w:val="00826C9D"/>
    <w:rsid w:val="0083216F"/>
    <w:rsid w:val="00860000"/>
    <w:rsid w:val="00863101"/>
    <w:rsid w:val="00863BD3"/>
    <w:rsid w:val="008641ED"/>
    <w:rsid w:val="00866D66"/>
    <w:rsid w:val="008671C6"/>
    <w:rsid w:val="00875803"/>
    <w:rsid w:val="008B42CA"/>
    <w:rsid w:val="008B459E"/>
    <w:rsid w:val="008E13AE"/>
    <w:rsid w:val="008E1506"/>
    <w:rsid w:val="008E710C"/>
    <w:rsid w:val="008F69D6"/>
    <w:rsid w:val="00902823"/>
    <w:rsid w:val="009148F7"/>
    <w:rsid w:val="00915CA6"/>
    <w:rsid w:val="00927834"/>
    <w:rsid w:val="009500A6"/>
    <w:rsid w:val="00957C18"/>
    <w:rsid w:val="009659BA"/>
    <w:rsid w:val="00983040"/>
    <w:rsid w:val="009B3FB9"/>
    <w:rsid w:val="009C2465"/>
    <w:rsid w:val="009D35A0"/>
    <w:rsid w:val="009D7EB7"/>
    <w:rsid w:val="009E048A"/>
    <w:rsid w:val="009E08E9"/>
    <w:rsid w:val="009E3DB9"/>
    <w:rsid w:val="009E6E35"/>
    <w:rsid w:val="009F0EDA"/>
    <w:rsid w:val="009F67F1"/>
    <w:rsid w:val="00A03B96"/>
    <w:rsid w:val="00A05B19"/>
    <w:rsid w:val="00A1134E"/>
    <w:rsid w:val="00A24E7E"/>
    <w:rsid w:val="00A258C3"/>
    <w:rsid w:val="00A347C0"/>
    <w:rsid w:val="00A51431"/>
    <w:rsid w:val="00A539AD"/>
    <w:rsid w:val="00A74AA0"/>
    <w:rsid w:val="00A94063"/>
    <w:rsid w:val="00AA6219"/>
    <w:rsid w:val="00AA74E0"/>
    <w:rsid w:val="00AB703F"/>
    <w:rsid w:val="00AC6BB8"/>
    <w:rsid w:val="00AE008F"/>
    <w:rsid w:val="00B01FCD"/>
    <w:rsid w:val="00B1037E"/>
    <w:rsid w:val="00B1776C"/>
    <w:rsid w:val="00B52583"/>
    <w:rsid w:val="00B52896"/>
    <w:rsid w:val="00B95236"/>
    <w:rsid w:val="00B96BD9"/>
    <w:rsid w:val="00BA1B01"/>
    <w:rsid w:val="00BA2641"/>
    <w:rsid w:val="00BA3D76"/>
    <w:rsid w:val="00BB37AA"/>
    <w:rsid w:val="00BC53A0"/>
    <w:rsid w:val="00BE62AD"/>
    <w:rsid w:val="00BF121F"/>
    <w:rsid w:val="00BF1F80"/>
    <w:rsid w:val="00C166EF"/>
    <w:rsid w:val="00C17EB0"/>
    <w:rsid w:val="00C27F5F"/>
    <w:rsid w:val="00C30A0F"/>
    <w:rsid w:val="00C37E61"/>
    <w:rsid w:val="00C41721"/>
    <w:rsid w:val="00C46A35"/>
    <w:rsid w:val="00C70F1B"/>
    <w:rsid w:val="00C71A47"/>
    <w:rsid w:val="00C7464C"/>
    <w:rsid w:val="00C85588"/>
    <w:rsid w:val="00C91452"/>
    <w:rsid w:val="00CD6755"/>
    <w:rsid w:val="00CD6856"/>
    <w:rsid w:val="00CE0089"/>
    <w:rsid w:val="00CE793C"/>
    <w:rsid w:val="00CF193C"/>
    <w:rsid w:val="00D04853"/>
    <w:rsid w:val="00D173F1"/>
    <w:rsid w:val="00D3102B"/>
    <w:rsid w:val="00D74CB0"/>
    <w:rsid w:val="00D82822"/>
    <w:rsid w:val="00D8295D"/>
    <w:rsid w:val="00D94C63"/>
    <w:rsid w:val="00DC2A65"/>
    <w:rsid w:val="00DD66B3"/>
    <w:rsid w:val="00DE15F0"/>
    <w:rsid w:val="00DE5663"/>
    <w:rsid w:val="00DE78AA"/>
    <w:rsid w:val="00E053D0"/>
    <w:rsid w:val="00E15994"/>
    <w:rsid w:val="00E3114E"/>
    <w:rsid w:val="00E31A70"/>
    <w:rsid w:val="00E35B02"/>
    <w:rsid w:val="00E66496"/>
    <w:rsid w:val="00E66B35"/>
    <w:rsid w:val="00E66E10"/>
    <w:rsid w:val="00E769F6"/>
    <w:rsid w:val="00E8407C"/>
    <w:rsid w:val="00E84F3C"/>
    <w:rsid w:val="00E85BA9"/>
    <w:rsid w:val="00EA012C"/>
    <w:rsid w:val="00EB018A"/>
    <w:rsid w:val="00EC6A55"/>
    <w:rsid w:val="00ED0288"/>
    <w:rsid w:val="00EE52CB"/>
    <w:rsid w:val="00EF581D"/>
    <w:rsid w:val="00EF7FD8"/>
    <w:rsid w:val="00F06F59"/>
    <w:rsid w:val="00F17988"/>
    <w:rsid w:val="00F469F0"/>
    <w:rsid w:val="00F53273"/>
    <w:rsid w:val="00F755E4"/>
    <w:rsid w:val="00F77D02"/>
    <w:rsid w:val="00FB3A86"/>
    <w:rsid w:val="00FD36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D20BB4"/>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Heading1">
    <w:name w:val="heading 1"/>
    <w:basedOn w:val="Normal"/>
    <w:next w:val="Normal"/>
    <w:qFormat/>
    <w:rsid w:val="00423789"/>
    <w:pPr>
      <w:keepNext/>
      <w:spacing w:before="240" w:after="60"/>
      <w:outlineLvl w:val="0"/>
    </w:pPr>
    <w:rPr>
      <w:rFonts w:ascii="Arial" w:hAnsi="Arial"/>
      <w:b/>
      <w:kern w:val="28"/>
      <w:sz w:val="28"/>
    </w:rPr>
  </w:style>
  <w:style w:type="paragraph" w:styleId="Heading3">
    <w:name w:val="heading 3"/>
    <w:basedOn w:val="Normal"/>
    <w:next w:val="Normal"/>
    <w:link w:val="Heading3Char"/>
    <w:semiHidden/>
    <w:unhideWhenUsed/>
    <w:qFormat/>
    <w:rsid w:val="00795C38"/>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795C3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itle">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Footer">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Header">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Signature">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DefaultParagraphFont"/>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yperlink">
    <w:name w:val="Hyperlink"/>
    <w:basedOn w:val="DefaultParagraphFont"/>
    <w:rsid w:val="00030174"/>
    <w:rPr>
      <w:color w:val="FF0080"/>
      <w:u w:val="single"/>
    </w:rPr>
  </w:style>
  <w:style w:type="character" w:styleId="FollowedHyperlink">
    <w:name w:val="FollowedHyperlink"/>
    <w:basedOn w:val="DefaultParagraphFont"/>
    <w:rsid w:val="00FB3A86"/>
    <w:rPr>
      <w:color w:val="800080"/>
      <w:u w:val="single"/>
    </w:rPr>
  </w:style>
  <w:style w:type="table" w:styleId="TableGrid">
    <w:name w:val="Table Grid"/>
    <w:basedOn w:val="TableNormal"/>
    <w:uiPriority w:val="3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2">
    <w:name w:val="Body Text 2"/>
    <w:basedOn w:val="Normal"/>
    <w:link w:val="BodyText2Char"/>
    <w:rsid w:val="00EF7FD8"/>
    <w:pPr>
      <w:spacing w:after="120" w:line="480" w:lineRule="auto"/>
    </w:pPr>
  </w:style>
  <w:style w:type="character" w:customStyle="1" w:styleId="BodyText2Char">
    <w:name w:val="Body Text 2 Char"/>
    <w:basedOn w:val="DefaultParagraphFont"/>
    <w:link w:val="BodyText2"/>
    <w:rsid w:val="00EF7FD8"/>
    <w:rPr>
      <w:rFonts w:ascii="Helvetica" w:hAnsi="Helvetica"/>
    </w:rPr>
  </w:style>
  <w:style w:type="character" w:styleId="CommentReference">
    <w:name w:val="annotation reference"/>
    <w:basedOn w:val="DefaultParagraphFont"/>
    <w:uiPriority w:val="99"/>
    <w:unhideWhenUsed/>
    <w:rsid w:val="00746E59"/>
    <w:rPr>
      <w:sz w:val="16"/>
      <w:szCs w:val="16"/>
    </w:rPr>
  </w:style>
  <w:style w:type="paragraph" w:styleId="CommentText">
    <w:name w:val="annotation text"/>
    <w:basedOn w:val="Normal"/>
    <w:link w:val="CommentTextChar"/>
    <w:uiPriority w:val="99"/>
    <w:unhideWhenUsed/>
    <w:rsid w:val="00746E59"/>
    <w:rPr>
      <w:rFonts w:ascii="Times New Roman" w:hAnsi="Times New Roman"/>
      <w:lang w:val="nb-NO" w:eastAsia="nb-NO"/>
    </w:rPr>
  </w:style>
  <w:style w:type="character" w:customStyle="1" w:styleId="CommentTextChar">
    <w:name w:val="Comment Text Char"/>
    <w:basedOn w:val="DefaultParagraphFont"/>
    <w:link w:val="CommentText"/>
    <w:uiPriority w:val="99"/>
    <w:rsid w:val="00746E59"/>
    <w:rPr>
      <w:lang w:val="nb-NO" w:eastAsia="nb-NO"/>
    </w:rPr>
  </w:style>
  <w:style w:type="paragraph" w:styleId="BalloonText">
    <w:name w:val="Balloon Text"/>
    <w:basedOn w:val="Normal"/>
    <w:link w:val="BalloonTextChar"/>
    <w:rsid w:val="00746E59"/>
    <w:rPr>
      <w:rFonts w:ascii="Tahoma" w:hAnsi="Tahoma" w:cs="Tahoma"/>
      <w:sz w:val="16"/>
      <w:szCs w:val="16"/>
    </w:rPr>
  </w:style>
  <w:style w:type="character" w:customStyle="1" w:styleId="BalloonTextChar">
    <w:name w:val="Balloon Text Char"/>
    <w:basedOn w:val="DefaultParagraphFont"/>
    <w:link w:val="BalloonText"/>
    <w:rsid w:val="00746E59"/>
    <w:rPr>
      <w:rFonts w:ascii="Tahoma" w:hAnsi="Tahoma" w:cs="Tahoma"/>
      <w:sz w:val="16"/>
      <w:szCs w:val="16"/>
    </w:rPr>
  </w:style>
  <w:style w:type="paragraph" w:styleId="BodyText3">
    <w:name w:val="Body Text 3"/>
    <w:basedOn w:val="Normal"/>
    <w:link w:val="BodyText3Char"/>
    <w:rsid w:val="00231920"/>
    <w:pPr>
      <w:spacing w:after="120"/>
    </w:pPr>
    <w:rPr>
      <w:sz w:val="16"/>
      <w:szCs w:val="16"/>
    </w:rPr>
  </w:style>
  <w:style w:type="character" w:customStyle="1" w:styleId="BodyText3Char">
    <w:name w:val="Body Text 3 Char"/>
    <w:basedOn w:val="DefaultParagraphFont"/>
    <w:link w:val="BodyText3"/>
    <w:rsid w:val="00231920"/>
    <w:rPr>
      <w:rFonts w:ascii="Helvetica" w:hAnsi="Helvetica"/>
      <w:sz w:val="16"/>
      <w:szCs w:val="16"/>
    </w:rPr>
  </w:style>
  <w:style w:type="character" w:styleId="LineNumber">
    <w:name w:val="line number"/>
    <w:basedOn w:val="DefaultParagraphFont"/>
    <w:rsid w:val="00412475"/>
  </w:style>
  <w:style w:type="character" w:styleId="Emphasis">
    <w:name w:val="Emphasis"/>
    <w:basedOn w:val="DefaultParagraphFont"/>
    <w:uiPriority w:val="20"/>
    <w:qFormat/>
    <w:rsid w:val="0024282C"/>
    <w:rPr>
      <w:i/>
      <w:iCs/>
    </w:rPr>
  </w:style>
  <w:style w:type="character" w:styleId="UnresolvedMention">
    <w:name w:val="Unresolved Mention"/>
    <w:basedOn w:val="DefaultParagraphFont"/>
    <w:uiPriority w:val="99"/>
    <w:semiHidden/>
    <w:unhideWhenUsed/>
    <w:rsid w:val="00287E68"/>
    <w:rPr>
      <w:color w:val="605E5C"/>
      <w:shd w:val="clear" w:color="auto" w:fill="E1DFDD"/>
    </w:rPr>
  </w:style>
  <w:style w:type="character" w:customStyle="1" w:styleId="Heading3Char">
    <w:name w:val="Heading 3 Char"/>
    <w:basedOn w:val="DefaultParagraphFont"/>
    <w:link w:val="Heading3"/>
    <w:semiHidden/>
    <w:rsid w:val="00795C38"/>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semiHidden/>
    <w:rsid w:val="00795C38"/>
    <w:rPr>
      <w:rFonts w:asciiTheme="majorHAnsi" w:eastAsiaTheme="majorEastAsia" w:hAnsiTheme="majorHAnsi" w:cstheme="majorBidi"/>
      <w:i/>
      <w:iCs/>
      <w:color w:val="365F91" w:themeColor="accent1" w:themeShade="BF"/>
    </w:rPr>
  </w:style>
  <w:style w:type="paragraph" w:styleId="NormalWeb">
    <w:name w:val="Normal (Web)"/>
    <w:basedOn w:val="Normal"/>
    <w:uiPriority w:val="99"/>
    <w:semiHidden/>
    <w:unhideWhenUsed/>
    <w:rsid w:val="00795C38"/>
    <w:pPr>
      <w:spacing w:before="100" w:beforeAutospacing="1" w:after="100" w:afterAutospacing="1"/>
    </w:pPr>
    <w:rPr>
      <w:rFonts w:ascii="Times New Roman" w:hAnsi="Times New Roman"/>
      <w:sz w:val="24"/>
      <w:szCs w:val="24"/>
    </w:rPr>
  </w:style>
  <w:style w:type="character" w:styleId="Strong">
    <w:name w:val="Strong"/>
    <w:basedOn w:val="DefaultParagraphFont"/>
    <w:uiPriority w:val="22"/>
    <w:qFormat/>
    <w:rsid w:val="00795C38"/>
    <w:rPr>
      <w:b/>
      <w:bCs/>
    </w:rPr>
  </w:style>
  <w:style w:type="paragraph" w:styleId="ListParagraph">
    <w:name w:val="List Paragraph"/>
    <w:basedOn w:val="Normal"/>
    <w:uiPriority w:val="34"/>
    <w:qFormat/>
    <w:rsid w:val="009F67F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42288327">
      <w:bodyDiv w:val="1"/>
      <w:marLeft w:val="0"/>
      <w:marRight w:val="0"/>
      <w:marTop w:val="0"/>
      <w:marBottom w:val="0"/>
      <w:divBdr>
        <w:top w:val="none" w:sz="0" w:space="0" w:color="auto"/>
        <w:left w:val="none" w:sz="0" w:space="0" w:color="auto"/>
        <w:bottom w:val="none" w:sz="0" w:space="0" w:color="auto"/>
        <w:right w:val="none" w:sz="0" w:space="0" w:color="auto"/>
      </w:divBdr>
    </w:div>
    <w:div w:id="849620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548152085">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667244687">
      <w:bodyDiv w:val="1"/>
      <w:marLeft w:val="0"/>
      <w:marRight w:val="0"/>
      <w:marTop w:val="0"/>
      <w:marBottom w:val="0"/>
      <w:divBdr>
        <w:top w:val="none" w:sz="0" w:space="0" w:color="auto"/>
        <w:left w:val="none" w:sz="0" w:space="0" w:color="auto"/>
        <w:bottom w:val="none" w:sz="0" w:space="0" w:color="auto"/>
        <w:right w:val="none" w:sz="0" w:space="0" w:color="auto"/>
      </w:divBdr>
    </w:div>
    <w:div w:id="721246758">
      <w:bodyDiv w:val="1"/>
      <w:marLeft w:val="0"/>
      <w:marRight w:val="0"/>
      <w:marTop w:val="0"/>
      <w:marBottom w:val="0"/>
      <w:divBdr>
        <w:top w:val="none" w:sz="0" w:space="0" w:color="auto"/>
        <w:left w:val="none" w:sz="0" w:space="0" w:color="auto"/>
        <w:bottom w:val="none" w:sz="0" w:space="0" w:color="auto"/>
        <w:right w:val="none" w:sz="0" w:space="0" w:color="auto"/>
      </w:divBdr>
    </w:div>
    <w:div w:id="734625484">
      <w:bodyDiv w:val="1"/>
      <w:marLeft w:val="0"/>
      <w:marRight w:val="0"/>
      <w:marTop w:val="0"/>
      <w:marBottom w:val="0"/>
      <w:divBdr>
        <w:top w:val="none" w:sz="0" w:space="0" w:color="auto"/>
        <w:left w:val="none" w:sz="0" w:space="0" w:color="auto"/>
        <w:bottom w:val="none" w:sz="0" w:space="0" w:color="auto"/>
        <w:right w:val="none" w:sz="0" w:space="0" w:color="auto"/>
      </w:divBdr>
    </w:div>
    <w:div w:id="890269466">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43485619">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444107101">
      <w:bodyDiv w:val="1"/>
      <w:marLeft w:val="0"/>
      <w:marRight w:val="0"/>
      <w:marTop w:val="0"/>
      <w:marBottom w:val="0"/>
      <w:divBdr>
        <w:top w:val="none" w:sz="0" w:space="0" w:color="auto"/>
        <w:left w:val="none" w:sz="0" w:space="0" w:color="auto"/>
        <w:bottom w:val="none" w:sz="0" w:space="0" w:color="auto"/>
        <w:right w:val="none" w:sz="0" w:space="0" w:color="auto"/>
      </w:divBdr>
    </w:div>
    <w:div w:id="1476147450">
      <w:bodyDiv w:val="1"/>
      <w:marLeft w:val="0"/>
      <w:marRight w:val="0"/>
      <w:marTop w:val="0"/>
      <w:marBottom w:val="0"/>
      <w:divBdr>
        <w:top w:val="none" w:sz="0" w:space="0" w:color="auto"/>
        <w:left w:val="none" w:sz="0" w:space="0" w:color="auto"/>
        <w:bottom w:val="none" w:sz="0" w:space="0" w:color="auto"/>
        <w:right w:val="none" w:sz="0" w:space="0" w:color="auto"/>
      </w:divBdr>
    </w:div>
    <w:div w:id="1649750874">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799492191">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 w:id="198758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yperlink" Target="https://doi.org/10.1007/s11356-017-8876-x" TargetMode="External"/><Relationship Id="rId26" Type="http://schemas.openxmlformats.org/officeDocument/2006/relationships/hyperlink" Target="https://doi.org/10.2478/intox-2014-0009" TargetMode="External"/><Relationship Id="rId39" Type="http://schemas.openxmlformats.org/officeDocument/2006/relationships/footer" Target="footer4.xml"/><Relationship Id="rId21" Type="http://schemas.openxmlformats.org/officeDocument/2006/relationships/hyperlink" Target="https://doi.org/10.3390/ijerph17113782" TargetMode="External"/><Relationship Id="rId34" Type="http://schemas.openxmlformats.org/officeDocument/2006/relationships/hyperlink" Target="https://doi.org/10.34172/apb.2020.023"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007/s10534-010-9329-x" TargetMode="External"/><Relationship Id="rId20" Type="http://schemas.openxmlformats.org/officeDocument/2006/relationships/hyperlink" Target="https://doi.org/10.25259/IJMR_20081284_501" TargetMode="External"/><Relationship Id="rId29" Type="http://schemas.openxmlformats.org/officeDocument/2006/relationships/hyperlink" Target="https://doi.org/10.1016/j.etp.2009.03.010"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yperlink" Target="https://doi.org/10.1016/j.ajme.2017.09.001" TargetMode="External"/><Relationship Id="rId32" Type="http://schemas.openxmlformats.org/officeDocument/2006/relationships/hyperlink" Target="https://doi.org/10.1016/j.taap.2009.01.013" TargetMode="External"/><Relationship Id="rId37" Type="http://schemas.openxmlformats.org/officeDocument/2006/relationships/header" Target="header4.xml"/><Relationship Id="rId40" Type="http://schemas.openxmlformats.org/officeDocument/2006/relationships/header" Target="header6.xml"/><Relationship Id="rId5" Type="http://schemas.openxmlformats.org/officeDocument/2006/relationships/webSettings" Target="webSettings.xml"/><Relationship Id="rId15" Type="http://schemas.openxmlformats.org/officeDocument/2006/relationships/hyperlink" Target="https://doi.org/10.5897/SRE.9000731" TargetMode="External"/><Relationship Id="rId23" Type="http://schemas.openxmlformats.org/officeDocument/2006/relationships/hyperlink" Target="https://doi.org/10.1093/acprof:oso/9780198717478.001.0001" TargetMode="External"/><Relationship Id="rId28" Type="http://schemas.openxmlformats.org/officeDocument/2006/relationships/hyperlink" Target="https://doi.org/10.4061/2011/457327" TargetMode="External"/><Relationship Id="rId36" Type="http://schemas.openxmlformats.org/officeDocument/2006/relationships/hyperlink" Target="https://doi.org/10.1016/j.fct.2013.12.041" TargetMode="External"/><Relationship Id="rId10" Type="http://schemas.openxmlformats.org/officeDocument/2006/relationships/footer" Target="footer1.xml"/><Relationship Id="rId19" Type="http://schemas.openxmlformats.org/officeDocument/2006/relationships/hyperlink" Target="https://doi.org/10.1016/j.fct.2004.05.001" TargetMode="External"/><Relationship Id="rId31" Type="http://schemas.openxmlformats.org/officeDocument/2006/relationships/hyperlink" Target="https://doi.org/10.1007/978-3-7643-8340-4_6"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doi.org/10.3109/0886022X.2015.1006085" TargetMode="External"/><Relationship Id="rId22" Type="http://schemas.openxmlformats.org/officeDocument/2006/relationships/hyperlink" Target="https://doi.org/10.1007/s00204-020-02689-3" TargetMode="External"/><Relationship Id="rId27" Type="http://schemas.openxmlformats.org/officeDocument/2006/relationships/hyperlink" Target="https://doi.org/10.4172/2161-1009.1000342" TargetMode="External"/><Relationship Id="rId30" Type="http://schemas.openxmlformats.org/officeDocument/2006/relationships/hyperlink" Target="https://doi.org/10.1146/annurev-biochem-061516-045037" TargetMode="External"/><Relationship Id="rId35" Type="http://schemas.openxmlformats.org/officeDocument/2006/relationships/hyperlink" Target="https://doi.org/10.1016/j.cbi.2005.12.009" TargetMode="External"/><Relationship Id="rId8" Type="http://schemas.openxmlformats.org/officeDocument/2006/relationships/header" Target="header1.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hyperlink" Target="https://doi.org/10.3389/fphar.2013.00177" TargetMode="External"/><Relationship Id="rId25" Type="http://schemas.openxmlformats.org/officeDocument/2006/relationships/hyperlink" Target="https://doi.org/10.5897/AJPP2019.5090" TargetMode="External"/><Relationship Id="rId33" Type="http://schemas.openxmlformats.org/officeDocument/2006/relationships/hyperlink" Target="https://doi.org/10.1007/978-94-007-5179-8_14" TargetMode="External"/><Relationship Id="rId38"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DB0F4B-F84D-4674-9950-E270DFC71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2007 paper template</Template>
  <TotalTime>75</TotalTime>
  <Pages>16</Pages>
  <Words>5980</Words>
  <Characters>34091</Characters>
  <Application>Microsoft Office Word</Application>
  <DocSecurity>0</DocSecurity>
  <Lines>284</Lines>
  <Paragraphs>79</Paragraphs>
  <ScaleCrop>false</ScaleCrop>
  <HeadingPairs>
    <vt:vector size="2" baseType="variant">
      <vt:variant>
        <vt:lpstr>Title</vt:lpstr>
      </vt:variant>
      <vt:variant>
        <vt:i4>1</vt:i4>
      </vt:variant>
    </vt:vector>
  </HeadingPairs>
  <TitlesOfParts>
    <vt:vector size="1" baseType="lpstr">
      <vt:lpstr>Paper Template</vt:lpstr>
    </vt:vector>
  </TitlesOfParts>
  <Company>aaaa</Company>
  <LinksUpToDate>false</LinksUpToDate>
  <CharactersWithSpaces>39992</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Editor-90</cp:lastModifiedBy>
  <cp:revision>12</cp:revision>
  <cp:lastPrinted>1999-07-06T11:00:00Z</cp:lastPrinted>
  <dcterms:created xsi:type="dcterms:W3CDTF">2026-09-05T06:14:00Z</dcterms:created>
  <dcterms:modified xsi:type="dcterms:W3CDTF">2026-09-11T08:44:00Z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0852e936-bbbf-45a7-ba0f-c2d607fe201a</vt:lpwstr>
  </property>
</Properties>
</file>