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71CE5" w14:textId="77777777" w:rsidR="00163BC4" w:rsidRPr="00163BC4" w:rsidRDefault="006044A6" w:rsidP="006044A6">
      <w:pPr>
        <w:pStyle w:val="Author"/>
        <w:spacing w:line="240" w:lineRule="auto"/>
        <w:jc w:val="left"/>
        <w:rPr>
          <w:rFonts w:ascii="Arial" w:hAnsi="Arial" w:cs="Arial"/>
          <w:bCs/>
          <w:iCs/>
          <w:kern w:val="28"/>
          <w:sz w:val="36"/>
        </w:rPr>
      </w:pPr>
      <w:r>
        <w:t xml:space="preserve">Protective Effects of </w:t>
      </w:r>
      <w:r>
        <w:rPr>
          <w:rStyle w:val="Emphasis"/>
        </w:rPr>
        <w:t xml:space="preserve">Pterocarpus </w:t>
      </w:r>
      <w:proofErr w:type="spellStart"/>
      <w:r>
        <w:rPr>
          <w:rStyle w:val="Emphasis"/>
        </w:rPr>
        <w:t>santalinoides</w:t>
      </w:r>
      <w:proofErr w:type="spellEnd"/>
      <w:r>
        <w:t xml:space="preserve"> Leaf Diet on Liver Enzymes and Lipid Profil</w:t>
      </w:r>
      <w:r w:rsidR="005F50B1">
        <w:t>e</w:t>
      </w:r>
    </w:p>
    <w:p w14:paraId="1FEC2CD9" w14:textId="77777777" w:rsidR="006044A6" w:rsidRDefault="006044A6" w:rsidP="006044A6">
      <w:pPr>
        <w:pStyle w:val="Author"/>
        <w:spacing w:line="240" w:lineRule="auto"/>
        <w:jc w:val="left"/>
        <w:rPr>
          <w:rFonts w:ascii="Arial" w:hAnsi="Arial" w:cs="Arial"/>
          <w:sz w:val="36"/>
        </w:rPr>
      </w:pPr>
    </w:p>
    <w:p w14:paraId="42814864" w14:textId="77777777" w:rsidR="00B01FCD" w:rsidRPr="00FB3A86" w:rsidRDefault="00670BD4" w:rsidP="00441B6F">
      <w:pPr>
        <w:pStyle w:val="Copyright"/>
        <w:spacing w:after="0" w:line="240" w:lineRule="auto"/>
        <w:jc w:val="both"/>
        <w:rPr>
          <w:rFonts w:ascii="Arial" w:hAnsi="Arial" w:cs="Arial"/>
        </w:rPr>
        <w:sectPr w:rsidR="00B01FCD" w:rsidRPr="00FB3A86" w:rsidSect="00EA4C8E">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3083ECA2" wp14:editId="5019D892">
                <wp:extent cx="5303520" cy="635"/>
                <wp:effectExtent l="13335" t="13335" r="17145" b="15240"/>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5925684D"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" strokeweight="1.5pt">
                <w10:anchorlock/>
              </v:shape>
            </w:pict>
          </mc:Fallback>
        </mc:AlternateContent>
      </w:r>
      <w:r w:rsidR="00FB3A86">
        <w:rPr>
          <w:rFonts w:ascii="Arial" w:hAnsi="Arial" w:cs="Arial"/>
        </w:rPr>
        <w:t>.</w:t>
      </w:r>
    </w:p>
    <w:p w14:paraId="74C2E9B5" w14:textId="77777777" w:rsidR="00B01FCD" w:rsidRDefault="00B01FCD" w:rsidP="00441B6F">
      <w:pPr>
        <w:pStyle w:val="AbstHead"/>
        <w:spacing w:after="0"/>
        <w:jc w:val="both"/>
        <w:rPr>
          <w:rFonts w:ascii="Arial" w:hAnsi="Arial" w:cs="Arial"/>
        </w:rPr>
      </w:pPr>
      <w:r w:rsidRPr="00FB3A86">
        <w:rPr>
          <w:rFonts w:ascii="Arial" w:hAnsi="Arial" w:cs="Arial"/>
        </w:rPr>
        <w:t>ABSTRACT</w:t>
      </w:r>
    </w:p>
    <w:p w14:paraId="748CCC99" w14:textId="77777777" w:rsidR="00B52896" w:rsidRDefault="002770DC" w:rsidP="00441B6F">
      <w:pPr>
        <w:pStyle w:val="Body"/>
        <w:spacing w:after="0"/>
      </w:pPr>
      <w:r>
        <w:t xml:space="preserve">Heavy metal toxicity, particularly cadmium toxicity, remains a major public health concern because of its ability to induce oxidative stress, disrupt lipid metabolism, and cause hepatic damage. This study evaluated the protective effects of </w:t>
      </w:r>
      <w:r>
        <w:rPr>
          <w:rStyle w:val="Emphasis"/>
          <w:highlight w:val="yellow"/>
        </w:rPr>
        <w:t xml:space="preserve">a Pterocarpus </w:t>
      </w:r>
      <w:proofErr w:type="spellStart"/>
      <w:r>
        <w:rPr>
          <w:rStyle w:val="Emphasis"/>
          <w:highlight w:val="yellow"/>
        </w:rPr>
        <w:t>santalinoides</w:t>
      </w:r>
      <w:proofErr w:type="spellEnd"/>
      <w:r>
        <w:t xml:space="preserve"> leaf diet against cadmium-induced biochemical alterations in Wistar rats. Thirty-six Wistar rats were randomly divided into six groups of six rats each. Groups 1, 2, and 3 were exposed to cadmium and </w:t>
      </w:r>
      <w:r>
        <w:rPr>
          <w:highlight w:val="yellow"/>
        </w:rPr>
        <w:t>f</w:t>
      </w:r>
      <w:r>
        <w:t xml:space="preserve">ed </w:t>
      </w:r>
      <w:r>
        <w:rPr>
          <w:rStyle w:val="Emphasis"/>
          <w:highlight w:val="yellow"/>
        </w:rPr>
        <w:t xml:space="preserve">P. </w:t>
      </w:r>
      <w:proofErr w:type="spellStart"/>
      <w:r>
        <w:rPr>
          <w:rStyle w:val="Emphasis"/>
          <w:highlight w:val="yellow"/>
        </w:rPr>
        <w:t>santalinoides</w:t>
      </w:r>
      <w:proofErr w:type="spellEnd"/>
      <w:r>
        <w:t xml:space="preserve"> leaf diets </w:t>
      </w:r>
      <w:r>
        <w:rPr>
          <w:highlight w:val="yellow"/>
        </w:rPr>
        <w:t>cont</w:t>
      </w:r>
      <w:r>
        <w:t>a</w:t>
      </w:r>
      <w:r>
        <w:rPr>
          <w:highlight w:val="yellow"/>
        </w:rPr>
        <w:t>ining</w:t>
      </w:r>
      <w:r>
        <w:t xml:space="preserve"> 10% (Ps1), 20% (Ps2), and 40% (Ps3), respectively. Group 4 served as the negative control and received cadmium without treatment, whe</w:t>
      </w:r>
      <w:r>
        <w:rPr>
          <w:highlight w:val="yellow"/>
        </w:rPr>
        <w:t>reas</w:t>
      </w:r>
      <w:r>
        <w:t xml:space="preserve"> Group 5 served as the normal control and received feed and water only. Group 6 </w:t>
      </w:r>
      <w:r>
        <w:rPr>
          <w:highlight w:val="yellow"/>
        </w:rPr>
        <w:t>wa</w:t>
      </w:r>
      <w:r>
        <w:t>s</w:t>
      </w:r>
      <w:r>
        <w:rPr>
          <w:highlight w:val="yellow"/>
        </w:rPr>
        <w:t xml:space="preserve"> d</w:t>
      </w:r>
      <w:r>
        <w:t>e</w:t>
      </w:r>
      <w:r>
        <w:rPr>
          <w:highlight w:val="yellow"/>
        </w:rPr>
        <w:t>signat</w:t>
      </w:r>
      <w:r>
        <w:t xml:space="preserve">ed as the standard control </w:t>
      </w:r>
      <w:r>
        <w:rPr>
          <w:highlight w:val="yellow"/>
        </w:rPr>
        <w:t>(</w:t>
      </w:r>
      <w:r>
        <w:t>vitamin E</w:t>
      </w:r>
      <w:r>
        <w:rPr>
          <w:highlight w:val="yellow"/>
        </w:rPr>
        <w:t>)</w:t>
      </w:r>
      <w:r>
        <w:t xml:space="preserve">. At the end of the experimental period, blood samples were collected for biochemical analysis. Lipid profile parameters, including HDL-c, LDL-c, VLDL-c, and triacylglycerol, were determined, while liver function markers, including AST, ALT, ALP, and GGT, were </w:t>
      </w:r>
      <w:proofErr w:type="spellStart"/>
      <w:r>
        <w:t>analy</w:t>
      </w:r>
      <w:r>
        <w:rPr>
          <w:highlight w:val="yellow"/>
        </w:rPr>
        <w:t>s</w:t>
      </w:r>
      <w:r>
        <w:t>ed</w:t>
      </w:r>
      <w:proofErr w:type="spellEnd"/>
      <w:r>
        <w:t xml:space="preserve"> using standard laboratory procedures. Cadmium exposure altered lipid </w:t>
      </w:r>
      <w:r>
        <w:rPr>
          <w:highlight w:val="yellow"/>
        </w:rPr>
        <w:t>profil</w:t>
      </w:r>
      <w:r>
        <w:t>e</w:t>
      </w:r>
      <w:r>
        <w:rPr>
          <w:highlight w:val="yellow"/>
        </w:rPr>
        <w:t xml:space="preserve"> </w:t>
      </w:r>
      <w:r>
        <w:t>i</w:t>
      </w:r>
      <w:r>
        <w:rPr>
          <w:highlight w:val="yellow"/>
        </w:rPr>
        <w:t>ndice</w:t>
      </w:r>
      <w:r>
        <w:t xml:space="preserve">s and liver enzyme activities. The negative control showed elevated LDL-c, VLDL-c, and triacylglycerol levels, together with increased AST, ALT, ALP, and GGT activities, indicating lipid abnormalities and hepatic injury. Treatment with </w:t>
      </w:r>
      <w:r>
        <w:rPr>
          <w:rStyle w:val="Emphasis"/>
          <w:highlight w:val="yellow"/>
        </w:rPr>
        <w:t xml:space="preserve">a P. </w:t>
      </w:r>
      <w:proofErr w:type="spellStart"/>
      <w:r>
        <w:rPr>
          <w:rStyle w:val="Emphasis"/>
          <w:highlight w:val="yellow"/>
        </w:rPr>
        <w:t>santalinoides</w:t>
      </w:r>
      <w:proofErr w:type="spellEnd"/>
      <w:r>
        <w:t xml:space="preserve"> leaf diet </w:t>
      </w:r>
      <w:r>
        <w:rPr>
          <w:highlight w:val="yellow"/>
        </w:rPr>
        <w:t>was assoc</w:t>
      </w:r>
      <w:r>
        <w:t>i</w:t>
      </w:r>
      <w:r>
        <w:rPr>
          <w:highlight w:val="yellow"/>
        </w:rPr>
        <w:t>at</w:t>
      </w:r>
      <w:r>
        <w:t>ed with reductions in LDL-c, VLDL-c, triacylglycerol, AST, ALT, ALP, and GGT</w:t>
      </w:r>
      <w:r>
        <w:rPr>
          <w:highlight w:val="yellow"/>
        </w:rPr>
        <w:t xml:space="preserve"> in the treated groups</w:t>
      </w:r>
      <w:r>
        <w:t xml:space="preserve">, alongside </w:t>
      </w:r>
      <w:r>
        <w:rPr>
          <w:highlight w:val="yellow"/>
        </w:rPr>
        <w:t xml:space="preserve">changes </w:t>
      </w:r>
      <w:r>
        <w:t>i</w:t>
      </w:r>
      <w:r>
        <w:rPr>
          <w:highlight w:val="yellow"/>
        </w:rPr>
        <w:t>n</w:t>
      </w:r>
      <w:r>
        <w:t xml:space="preserve"> HDL-c levels. </w:t>
      </w:r>
      <w:r>
        <w:rPr>
          <w:highlight w:val="yellow"/>
        </w:rPr>
        <w:t>Among t</w:t>
      </w:r>
      <w:r>
        <w:t xml:space="preserve">he </w:t>
      </w:r>
      <w:r>
        <w:rPr>
          <w:highlight w:val="yellow"/>
        </w:rPr>
        <w:t>treated</w:t>
      </w:r>
      <w:r>
        <w:t xml:space="preserve"> group</w:t>
      </w:r>
      <w:r>
        <w:rPr>
          <w:highlight w:val="yellow"/>
        </w:rPr>
        <w:t>s,</w:t>
      </w:r>
      <w:r>
        <w:t xml:space="preserve"> </w:t>
      </w:r>
      <w:r>
        <w:rPr>
          <w:highlight w:val="yellow"/>
        </w:rPr>
        <w:t>Ps2</w:t>
      </w:r>
      <w:r>
        <w:t xml:space="preserve"> </w:t>
      </w:r>
      <w:r>
        <w:rPr>
          <w:highlight w:val="yellow"/>
        </w:rPr>
        <w:t>sh</w:t>
      </w:r>
      <w:r>
        <w:t>o</w:t>
      </w:r>
      <w:r>
        <w:rPr>
          <w:highlight w:val="yellow"/>
        </w:rPr>
        <w:t>w</w:t>
      </w:r>
      <w:r>
        <w:t xml:space="preserve">ed the </w:t>
      </w:r>
      <w:r>
        <w:rPr>
          <w:highlight w:val="yellow"/>
        </w:rPr>
        <w:t>low</w:t>
      </w:r>
      <w:r>
        <w:t xml:space="preserve">est </w:t>
      </w:r>
      <w:r>
        <w:rPr>
          <w:highlight w:val="yellow"/>
        </w:rPr>
        <w:t>VLDL-c, tr</w:t>
      </w:r>
      <w:r>
        <w:t>i</w:t>
      </w:r>
      <w:r>
        <w:rPr>
          <w:highlight w:val="yellow"/>
        </w:rPr>
        <w:t>acylglyce</w:t>
      </w:r>
      <w:r>
        <w:t>ro</w:t>
      </w:r>
      <w:r>
        <w:rPr>
          <w:highlight w:val="yellow"/>
        </w:rPr>
        <w:t>l</w:t>
      </w:r>
      <w:r>
        <w:t xml:space="preserve">, </w:t>
      </w:r>
      <w:r>
        <w:rPr>
          <w:highlight w:val="yellow"/>
        </w:rPr>
        <w:t>and LDL-c value</w:t>
      </w:r>
      <w:r>
        <w:t>s</w:t>
      </w:r>
      <w:r>
        <w:rPr>
          <w:highlight w:val="yellow"/>
        </w:rPr>
        <w:t>, whereas Ps3 showed the low</w:t>
      </w:r>
      <w:r>
        <w:t xml:space="preserve">est </w:t>
      </w:r>
      <w:r>
        <w:rPr>
          <w:highlight w:val="yellow"/>
        </w:rPr>
        <w:t xml:space="preserve">AST, ALT, ALP, </w:t>
      </w:r>
      <w:r>
        <w:t xml:space="preserve">and </w:t>
      </w:r>
      <w:r>
        <w:rPr>
          <w:highlight w:val="yellow"/>
        </w:rPr>
        <w:t>GGT</w:t>
      </w:r>
      <w:r>
        <w:t xml:space="preserve"> activit</w:t>
      </w:r>
      <w:r>
        <w:rPr>
          <w:highlight w:val="yellow"/>
        </w:rPr>
        <w:t>i</w:t>
      </w:r>
      <w:r>
        <w:t>e</w:t>
      </w:r>
      <w:r>
        <w:rPr>
          <w:highlight w:val="yellow"/>
        </w:rPr>
        <w:t>s</w:t>
      </w:r>
      <w:r>
        <w:t>. These findings indicate that</w:t>
      </w:r>
      <w:r>
        <w:rPr>
          <w:highlight w:val="yellow"/>
        </w:rPr>
        <w:t xml:space="preserve"> a</w:t>
      </w:r>
      <w:r>
        <w:t xml:space="preserve"> </w:t>
      </w:r>
      <w:r>
        <w:rPr>
          <w:rStyle w:val="Emphasis"/>
          <w:highlight w:val="yellow"/>
        </w:rPr>
        <w:t xml:space="preserve">P. </w:t>
      </w:r>
      <w:proofErr w:type="spellStart"/>
      <w:r>
        <w:rPr>
          <w:rStyle w:val="Emphasis"/>
          <w:highlight w:val="yellow"/>
        </w:rPr>
        <w:t>santalinoides</w:t>
      </w:r>
      <w:proofErr w:type="spellEnd"/>
      <w:r>
        <w:t xml:space="preserve"> leaf diet may protect against cadmium-induced lipid abnormalities and hepatic damage. The plant may therefore have potential as a natural </w:t>
      </w:r>
      <w:r>
        <w:rPr>
          <w:highlight w:val="yellow"/>
        </w:rPr>
        <w:t>pro</w:t>
      </w:r>
      <w:r>
        <w:t>t</w:t>
      </w:r>
      <w:r>
        <w:rPr>
          <w:highlight w:val="yellow"/>
        </w:rPr>
        <w:t>ective dietary int</w:t>
      </w:r>
      <w:r>
        <w:t>er</w:t>
      </w:r>
      <w:r>
        <w:rPr>
          <w:highlight w:val="yellow"/>
        </w:rPr>
        <w:t>v</w:t>
      </w:r>
      <w:r>
        <w:t>ent</w:t>
      </w:r>
      <w:r>
        <w:rPr>
          <w:highlight w:val="yellow"/>
        </w:rPr>
        <w:t>ion</w:t>
      </w:r>
      <w:r>
        <w:t xml:space="preserve"> against cadmium-related toxicity and associated biochemical disorders.</w:t>
      </w:r>
    </w:p>
    <w:p w14:paraId="5891EF8F" w14:textId="77777777" w:rsidR="002770DC" w:rsidRPr="002770DC" w:rsidRDefault="002770DC" w:rsidP="002770DC">
      <w:pPr>
        <w:pStyle w:val="Body"/>
      </w:pPr>
      <w:r>
        <w:t xml:space="preserve">Keywords: </w:t>
      </w:r>
      <w:r w:rsidRPr="002770DC">
        <w:rPr>
          <w:bCs/>
          <w:i/>
          <w:iCs/>
        </w:rPr>
        <w:t xml:space="preserve">Pterocarpus </w:t>
      </w:r>
      <w:proofErr w:type="spellStart"/>
      <w:r w:rsidRPr="002770DC">
        <w:rPr>
          <w:bCs/>
          <w:i/>
          <w:iCs/>
        </w:rPr>
        <w:t>santalinoides</w:t>
      </w:r>
      <w:proofErr w:type="spellEnd"/>
      <w:r w:rsidRPr="002770DC">
        <w:rPr>
          <w:bCs/>
        </w:rPr>
        <w:t>; Wista</w:t>
      </w:r>
      <w:r>
        <w:rPr>
          <w:bCs/>
        </w:rPr>
        <w:t>r rats; lipid profile</w:t>
      </w:r>
      <w:r w:rsidRPr="002770DC">
        <w:rPr>
          <w:bCs/>
        </w:rPr>
        <w:t>; oxidative stress; liver enzymes; antioxidant activity; phytochemicals; hepatoprotection.</w:t>
      </w:r>
    </w:p>
    <w:p w14:paraId="71A02307" w14:textId="77777777" w:rsidR="007F7B32" w:rsidRDefault="00902823" w:rsidP="00441B6F">
      <w:pPr>
        <w:pStyle w:val="AbstHead"/>
        <w:spacing w:after="0"/>
        <w:jc w:val="both"/>
        <w:rPr>
          <w:rFonts w:ascii="Arial" w:hAnsi="Arial" w:cs="Arial"/>
        </w:rPr>
      </w:pPr>
      <w:r>
        <w:rPr>
          <w:rFonts w:ascii="Arial" w:hAnsi="Arial" w:cs="Arial"/>
        </w:rPr>
        <w:t xml:space="preserve"> </w:t>
      </w:r>
      <w:r w:rsidR="00B01FCD" w:rsidRPr="00FB3A86">
        <w:rPr>
          <w:rFonts w:ascii="Arial" w:hAnsi="Arial" w:cs="Arial"/>
        </w:rPr>
        <w:t>INTRODUCTION</w:t>
      </w:r>
      <w:r w:rsidR="00335E4D">
        <w:rPr>
          <w:rFonts w:ascii="Arial" w:hAnsi="Arial" w:cs="Arial"/>
        </w:rPr>
        <w:t xml:space="preserve"> </w:t>
      </w:r>
    </w:p>
    <w:p w14:paraId="3B6045E5" w14:textId="77777777" w:rsidR="008C2953" w:rsidRDefault="008C2953" w:rsidP="00335E4D">
      <w:pPr>
        <w:spacing w:line="480" w:lineRule="auto"/>
        <w:jc w:val="both"/>
        <w:rPr>
          <w:rFonts w:ascii="Times New Roman" w:hAnsi="Times New Roman"/>
          <w:color w:val="000000" w:themeColor="text1"/>
          <w:sz w:val="24"/>
          <w:szCs w:val="24"/>
        </w:rPr>
      </w:pPr>
    </w:p>
    <w:p w14:paraId="2B6A6EB8" w14:textId="32157146" w:rsidR="008C2953" w:rsidRDefault="008C2953" w:rsidP="00335E4D">
      <w:pPr>
        <w:spacing w:line="480" w:lineRule="auto"/>
        <w:jc w:val="both"/>
        <w:rPr>
          <w:rFonts w:ascii="Times New Roman" w:hAnsi="Times New Roman"/>
          <w:color w:val="000000" w:themeColor="text1"/>
          <w:sz w:val="24"/>
          <w:szCs w:val="24"/>
        </w:rPr>
      </w:pPr>
      <w:r w:rsidRPr="008C2953">
        <w:rPr>
          <w:rFonts w:ascii="Times New Roman" w:hAnsi="Times New Roman"/>
          <w:color w:val="000000" w:themeColor="text1"/>
          <w:sz w:val="24"/>
          <w:szCs w:val="24"/>
        </w:rPr>
        <w:t xml:space="preserve">Pterocarpus </w:t>
      </w:r>
      <w:proofErr w:type="spellStart"/>
      <w:r w:rsidRPr="008C2953">
        <w:rPr>
          <w:rFonts w:ascii="Times New Roman" w:hAnsi="Times New Roman"/>
          <w:color w:val="000000" w:themeColor="text1"/>
          <w:sz w:val="24"/>
          <w:szCs w:val="24"/>
        </w:rPr>
        <w:t>santalinoides</w:t>
      </w:r>
      <w:proofErr w:type="spellEnd"/>
      <w:r w:rsidRPr="008C2953">
        <w:rPr>
          <w:rFonts w:ascii="Times New Roman" w:hAnsi="Times New Roman"/>
          <w:color w:val="000000" w:themeColor="text1"/>
          <w:sz w:val="24"/>
          <w:szCs w:val="24"/>
        </w:rPr>
        <w:t xml:space="preserve"> is a shade-tolerant tree that typically attains a height of 9–12 m and is </w:t>
      </w:r>
      <w:proofErr w:type="spellStart"/>
      <w:r w:rsidRPr="008C2953">
        <w:rPr>
          <w:rFonts w:ascii="Times New Roman" w:hAnsi="Times New Roman"/>
          <w:color w:val="000000" w:themeColor="text1"/>
          <w:sz w:val="24"/>
          <w:szCs w:val="24"/>
        </w:rPr>
        <w:t>characterised</w:t>
      </w:r>
      <w:proofErr w:type="spellEnd"/>
      <w:r w:rsidRPr="008C2953">
        <w:rPr>
          <w:rFonts w:ascii="Times New Roman" w:hAnsi="Times New Roman"/>
          <w:color w:val="000000" w:themeColor="text1"/>
          <w:sz w:val="24"/>
          <w:szCs w:val="24"/>
        </w:rPr>
        <w:t xml:space="preserve"> by low, spreading and somewhat straggling branches. The species is widely distributed along riverine forest habitats in Africa and tropical South America. It is known by several vernacular names, including Red Sandalwood in English, </w:t>
      </w:r>
      <w:proofErr w:type="spellStart"/>
      <w:r w:rsidRPr="008C2953">
        <w:rPr>
          <w:rFonts w:ascii="Times New Roman" w:hAnsi="Times New Roman"/>
          <w:color w:val="000000" w:themeColor="text1"/>
          <w:sz w:val="24"/>
          <w:szCs w:val="24"/>
        </w:rPr>
        <w:t>Gunduru</w:t>
      </w:r>
      <w:proofErr w:type="spellEnd"/>
      <w:r w:rsidRPr="008C2953">
        <w:rPr>
          <w:rFonts w:ascii="Times New Roman" w:hAnsi="Times New Roman"/>
          <w:color w:val="000000" w:themeColor="text1"/>
          <w:sz w:val="24"/>
          <w:szCs w:val="24"/>
        </w:rPr>
        <w:t xml:space="preserve"> </w:t>
      </w:r>
      <w:proofErr w:type="spellStart"/>
      <w:r w:rsidRPr="008C2953">
        <w:rPr>
          <w:rFonts w:ascii="Times New Roman" w:hAnsi="Times New Roman"/>
          <w:color w:val="000000" w:themeColor="text1"/>
          <w:sz w:val="24"/>
          <w:szCs w:val="24"/>
        </w:rPr>
        <w:t>gyadar</w:t>
      </w:r>
      <w:proofErr w:type="spellEnd"/>
      <w:r w:rsidRPr="008C2953">
        <w:rPr>
          <w:rFonts w:ascii="Times New Roman" w:hAnsi="Times New Roman"/>
          <w:color w:val="000000" w:themeColor="text1"/>
          <w:sz w:val="24"/>
          <w:szCs w:val="24"/>
        </w:rPr>
        <w:t xml:space="preserve"> Kurmi in Hausa, </w:t>
      </w:r>
      <w:proofErr w:type="spellStart"/>
      <w:r w:rsidRPr="008C2953">
        <w:rPr>
          <w:rFonts w:ascii="Times New Roman" w:hAnsi="Times New Roman"/>
          <w:color w:val="000000" w:themeColor="text1"/>
          <w:sz w:val="24"/>
          <w:szCs w:val="24"/>
        </w:rPr>
        <w:t>Uturukpa</w:t>
      </w:r>
      <w:proofErr w:type="spellEnd"/>
      <w:r w:rsidRPr="008C2953">
        <w:rPr>
          <w:rFonts w:ascii="Times New Roman" w:hAnsi="Times New Roman"/>
          <w:color w:val="000000" w:themeColor="text1"/>
          <w:sz w:val="24"/>
          <w:szCs w:val="24"/>
        </w:rPr>
        <w:t xml:space="preserve"> in Igbo, and </w:t>
      </w:r>
      <w:proofErr w:type="spellStart"/>
      <w:r w:rsidRPr="008C2953">
        <w:rPr>
          <w:rFonts w:ascii="Times New Roman" w:hAnsi="Times New Roman"/>
          <w:color w:val="000000" w:themeColor="text1"/>
          <w:sz w:val="24"/>
          <w:szCs w:val="24"/>
        </w:rPr>
        <w:t>Gbenghe</w:t>
      </w:r>
      <w:proofErr w:type="spellEnd"/>
      <w:r w:rsidRPr="008C2953">
        <w:rPr>
          <w:rFonts w:ascii="Times New Roman" w:hAnsi="Times New Roman"/>
          <w:color w:val="000000" w:themeColor="text1"/>
          <w:sz w:val="24"/>
          <w:szCs w:val="24"/>
        </w:rPr>
        <w:t xml:space="preserve"> in Yoruba (Okpo et al., 2011).</w:t>
      </w:r>
    </w:p>
    <w:p w14:paraId="726F1D96" w14:textId="77777777" w:rsidR="008C2953" w:rsidRDefault="008C2953" w:rsidP="00335E4D">
      <w:pPr>
        <w:spacing w:line="480" w:lineRule="auto"/>
        <w:jc w:val="both"/>
        <w:rPr>
          <w:rFonts w:ascii="Times New Roman" w:hAnsi="Times New Roman"/>
          <w:color w:val="000000" w:themeColor="text1"/>
          <w:sz w:val="24"/>
          <w:szCs w:val="24"/>
        </w:rPr>
      </w:pPr>
    </w:p>
    <w:p w14:paraId="4C460976" w14:textId="0697A04A" w:rsidR="008C2953" w:rsidRDefault="008C2953" w:rsidP="00335E4D">
      <w:pPr>
        <w:spacing w:line="480" w:lineRule="auto"/>
        <w:jc w:val="both"/>
        <w:rPr>
          <w:rFonts w:ascii="Times New Roman" w:hAnsi="Times New Roman"/>
          <w:color w:val="000000" w:themeColor="text1"/>
          <w:sz w:val="24"/>
          <w:szCs w:val="24"/>
        </w:rPr>
      </w:pPr>
      <w:r w:rsidRPr="008C2953">
        <w:rPr>
          <w:rFonts w:ascii="Times New Roman" w:hAnsi="Times New Roman"/>
          <w:color w:val="000000" w:themeColor="text1"/>
          <w:sz w:val="24"/>
          <w:szCs w:val="24"/>
        </w:rPr>
        <w:t xml:space="preserve">Various parts of Pterocarpus </w:t>
      </w:r>
      <w:proofErr w:type="spellStart"/>
      <w:r w:rsidRPr="008C2953">
        <w:rPr>
          <w:rFonts w:ascii="Times New Roman" w:hAnsi="Times New Roman"/>
          <w:color w:val="000000" w:themeColor="text1"/>
          <w:sz w:val="24"/>
          <w:szCs w:val="24"/>
        </w:rPr>
        <w:t>santalinoides</w:t>
      </w:r>
      <w:proofErr w:type="spellEnd"/>
      <w:r w:rsidRPr="008C2953">
        <w:rPr>
          <w:rFonts w:ascii="Times New Roman" w:hAnsi="Times New Roman"/>
          <w:color w:val="000000" w:themeColor="text1"/>
          <w:sz w:val="24"/>
          <w:szCs w:val="24"/>
        </w:rPr>
        <w:t xml:space="preserve"> are traditionally employed in ethnomedicine in several African countries for the management of a wide range of human ailments. In particular, the ethnomedicinal application of the leaves in the treatment of </w:t>
      </w:r>
      <w:proofErr w:type="spellStart"/>
      <w:r w:rsidRPr="008C2953">
        <w:rPr>
          <w:rFonts w:ascii="Times New Roman" w:hAnsi="Times New Roman"/>
          <w:color w:val="000000" w:themeColor="text1"/>
          <w:sz w:val="24"/>
          <w:szCs w:val="24"/>
        </w:rPr>
        <w:t>diarrhoea</w:t>
      </w:r>
      <w:proofErr w:type="spellEnd"/>
      <w:r w:rsidRPr="008C2953">
        <w:rPr>
          <w:rFonts w:ascii="Times New Roman" w:hAnsi="Times New Roman"/>
          <w:color w:val="000000" w:themeColor="text1"/>
          <w:sz w:val="24"/>
          <w:szCs w:val="24"/>
        </w:rPr>
        <w:t xml:space="preserve"> and other gastrointestinal disorders has been experimentally validated (</w:t>
      </w:r>
      <w:proofErr w:type="spellStart"/>
      <w:r w:rsidRPr="008C2953">
        <w:rPr>
          <w:rFonts w:ascii="Times New Roman" w:hAnsi="Times New Roman"/>
          <w:color w:val="000000" w:themeColor="text1"/>
          <w:sz w:val="24"/>
          <w:szCs w:val="24"/>
        </w:rPr>
        <w:t>Ayéna</w:t>
      </w:r>
      <w:proofErr w:type="spellEnd"/>
      <w:r w:rsidRPr="008C2953">
        <w:rPr>
          <w:rFonts w:ascii="Times New Roman" w:hAnsi="Times New Roman"/>
          <w:color w:val="000000" w:themeColor="text1"/>
          <w:sz w:val="24"/>
          <w:szCs w:val="24"/>
        </w:rPr>
        <w:t xml:space="preserve"> et al., 2021). Furthermore, the triglyceride- and glucose-lowering effects of Pterocarpus </w:t>
      </w:r>
      <w:proofErr w:type="spellStart"/>
      <w:r w:rsidRPr="008C2953">
        <w:rPr>
          <w:rFonts w:ascii="Times New Roman" w:hAnsi="Times New Roman"/>
          <w:color w:val="000000" w:themeColor="text1"/>
          <w:sz w:val="24"/>
          <w:szCs w:val="24"/>
        </w:rPr>
        <w:t>santalinoides</w:t>
      </w:r>
      <w:proofErr w:type="spellEnd"/>
      <w:r w:rsidRPr="008C2953">
        <w:rPr>
          <w:rFonts w:ascii="Times New Roman" w:hAnsi="Times New Roman"/>
          <w:color w:val="000000" w:themeColor="text1"/>
          <w:sz w:val="24"/>
          <w:szCs w:val="24"/>
        </w:rPr>
        <w:t xml:space="preserve"> have been established, thereby providing scientific support for its traditional use in the management of diabetic </w:t>
      </w:r>
      <w:r w:rsidRPr="008C2953">
        <w:rPr>
          <w:rFonts w:ascii="Times New Roman" w:hAnsi="Times New Roman"/>
          <w:color w:val="000000" w:themeColor="text1"/>
          <w:sz w:val="24"/>
          <w:szCs w:val="24"/>
        </w:rPr>
        <w:lastRenderedPageBreak/>
        <w:t>syndrome. The bark and leaves of the plant have also been reported to exhibit antimalarial, anti-infective, and anti-abortive activities (</w:t>
      </w:r>
      <w:proofErr w:type="spellStart"/>
      <w:r w:rsidRPr="008C2953">
        <w:rPr>
          <w:rFonts w:ascii="Times New Roman" w:hAnsi="Times New Roman"/>
          <w:color w:val="000000" w:themeColor="text1"/>
          <w:sz w:val="24"/>
          <w:szCs w:val="24"/>
        </w:rPr>
        <w:t>Okwuosa</w:t>
      </w:r>
      <w:proofErr w:type="spellEnd"/>
      <w:r w:rsidRPr="008C2953">
        <w:rPr>
          <w:rFonts w:ascii="Times New Roman" w:hAnsi="Times New Roman"/>
          <w:color w:val="000000" w:themeColor="text1"/>
          <w:sz w:val="24"/>
          <w:szCs w:val="24"/>
        </w:rPr>
        <w:t xml:space="preserve"> et al., 2011). Among the </w:t>
      </w:r>
      <w:proofErr w:type="spellStart"/>
      <w:r w:rsidRPr="008C2953">
        <w:rPr>
          <w:rFonts w:ascii="Times New Roman" w:hAnsi="Times New Roman"/>
          <w:color w:val="000000" w:themeColor="text1"/>
          <w:sz w:val="24"/>
          <w:szCs w:val="24"/>
        </w:rPr>
        <w:t>Igede</w:t>
      </w:r>
      <w:proofErr w:type="spellEnd"/>
      <w:r w:rsidRPr="008C2953">
        <w:rPr>
          <w:rFonts w:ascii="Times New Roman" w:hAnsi="Times New Roman"/>
          <w:color w:val="000000" w:themeColor="text1"/>
          <w:sz w:val="24"/>
          <w:szCs w:val="24"/>
        </w:rPr>
        <w:t xml:space="preserve"> people of central Nigeria, leaf extracts of Pterocarpus </w:t>
      </w:r>
      <w:proofErr w:type="spellStart"/>
      <w:r w:rsidRPr="008C2953">
        <w:rPr>
          <w:rFonts w:ascii="Times New Roman" w:hAnsi="Times New Roman"/>
          <w:color w:val="000000" w:themeColor="text1"/>
          <w:sz w:val="24"/>
          <w:szCs w:val="24"/>
        </w:rPr>
        <w:t>santalinoides</w:t>
      </w:r>
      <w:proofErr w:type="spellEnd"/>
      <w:r w:rsidRPr="008C2953">
        <w:rPr>
          <w:rFonts w:ascii="Times New Roman" w:hAnsi="Times New Roman"/>
          <w:color w:val="000000" w:themeColor="text1"/>
          <w:sz w:val="24"/>
          <w:szCs w:val="24"/>
        </w:rPr>
        <w:t xml:space="preserve"> are traditionally used for the management of elevated blood pressure (</w:t>
      </w:r>
      <w:proofErr w:type="spellStart"/>
      <w:r w:rsidRPr="008C2953">
        <w:rPr>
          <w:rFonts w:ascii="Times New Roman" w:hAnsi="Times New Roman"/>
          <w:color w:val="000000" w:themeColor="text1"/>
          <w:sz w:val="24"/>
          <w:szCs w:val="24"/>
        </w:rPr>
        <w:t>Anyam</w:t>
      </w:r>
      <w:proofErr w:type="spellEnd"/>
      <w:r w:rsidRPr="008C2953">
        <w:rPr>
          <w:rFonts w:ascii="Times New Roman" w:hAnsi="Times New Roman"/>
          <w:color w:val="000000" w:themeColor="text1"/>
          <w:sz w:val="24"/>
          <w:szCs w:val="24"/>
        </w:rPr>
        <w:t xml:space="preserve"> et al., 2025).</w:t>
      </w:r>
    </w:p>
    <w:p w14:paraId="39F26B3E" w14:textId="77777777" w:rsidR="008C2953" w:rsidRPr="008C2953" w:rsidRDefault="008C2953" w:rsidP="008C2953">
      <w:pPr>
        <w:spacing w:line="480" w:lineRule="auto"/>
        <w:jc w:val="both"/>
        <w:rPr>
          <w:rFonts w:ascii="Times New Roman" w:hAnsi="Times New Roman"/>
          <w:color w:val="000000" w:themeColor="text1"/>
          <w:sz w:val="24"/>
          <w:szCs w:val="24"/>
        </w:rPr>
      </w:pPr>
      <w:r w:rsidRPr="008C2953">
        <w:rPr>
          <w:rFonts w:ascii="Times New Roman" w:hAnsi="Times New Roman"/>
          <w:color w:val="000000" w:themeColor="text1"/>
          <w:sz w:val="24"/>
          <w:szCs w:val="24"/>
        </w:rPr>
        <w:t>Lipid parameters, including low-density lipoprotein (LDL), triglycerides, and high-density lipoprotein (HDL), are important indicators of cardiovascular risk, as they reflect circulating lipid concentrations that may contribute to the development of atherosclerosis and other cardiovascular disorders. In addition, increasing attention has been directed towards the contribution of environmental pollutants, particularly heavy metals, to the exacerbation of cardiovascular risk (Nigra et al., 2016).</w:t>
      </w:r>
    </w:p>
    <w:p w14:paraId="2408F282" w14:textId="77777777" w:rsidR="008C2953" w:rsidRPr="008C2953" w:rsidRDefault="008C2953" w:rsidP="008C2953">
      <w:pPr>
        <w:spacing w:line="480" w:lineRule="auto"/>
        <w:jc w:val="both"/>
        <w:rPr>
          <w:rFonts w:ascii="Times New Roman" w:hAnsi="Times New Roman"/>
          <w:color w:val="000000" w:themeColor="text1"/>
          <w:sz w:val="24"/>
          <w:szCs w:val="24"/>
        </w:rPr>
      </w:pPr>
    </w:p>
    <w:p w14:paraId="6FA8E0DF" w14:textId="064C2C90" w:rsidR="008C2953" w:rsidRDefault="008C2953" w:rsidP="008C2953">
      <w:pPr>
        <w:spacing w:line="480" w:lineRule="auto"/>
        <w:jc w:val="both"/>
        <w:rPr>
          <w:rFonts w:ascii="Times New Roman" w:hAnsi="Times New Roman"/>
          <w:color w:val="000000" w:themeColor="text1"/>
          <w:sz w:val="24"/>
          <w:szCs w:val="24"/>
        </w:rPr>
      </w:pPr>
      <w:r w:rsidRPr="008C2953">
        <w:rPr>
          <w:rFonts w:ascii="Times New Roman" w:hAnsi="Times New Roman"/>
          <w:color w:val="000000" w:themeColor="text1"/>
          <w:sz w:val="24"/>
          <w:szCs w:val="24"/>
        </w:rPr>
        <w:t>Lead and cadmium are prevalent environmental contaminants that share several common sources of exposure. Lead exposure may arise from lead-based paints, contaminated soils, water conveyed through lead-containing pipes, and industrial emissions, whereas cadmium exposure is frequently associated with tobacco smoke and the consumption of food cultivated in contaminated soils (</w:t>
      </w:r>
      <w:proofErr w:type="spellStart"/>
      <w:r w:rsidRPr="008C2953">
        <w:rPr>
          <w:rFonts w:ascii="Times New Roman" w:hAnsi="Times New Roman"/>
          <w:color w:val="000000" w:themeColor="text1"/>
          <w:sz w:val="24"/>
          <w:szCs w:val="24"/>
        </w:rPr>
        <w:t>Satarug</w:t>
      </w:r>
      <w:proofErr w:type="spellEnd"/>
      <w:r w:rsidRPr="008C2953">
        <w:rPr>
          <w:rFonts w:ascii="Times New Roman" w:hAnsi="Times New Roman"/>
          <w:color w:val="000000" w:themeColor="text1"/>
          <w:sz w:val="24"/>
          <w:szCs w:val="24"/>
        </w:rPr>
        <w:t>, 2019). These metals may occur concurrently in environments surrounding industrial facilities, smelting plants, and mining operations, where they can contaminate soil, water, and air. Their co-occurrence highlights the importance of investigating their potential adverse effects on human health (Chen et al., 2019).</w:t>
      </w:r>
    </w:p>
    <w:p w14:paraId="7143087B" w14:textId="77777777" w:rsidR="008C2953" w:rsidRDefault="008C2953" w:rsidP="00335E4D">
      <w:pPr>
        <w:spacing w:line="480" w:lineRule="auto"/>
        <w:jc w:val="both"/>
        <w:rPr>
          <w:rFonts w:ascii="Times New Roman" w:hAnsi="Times New Roman"/>
          <w:color w:val="000000" w:themeColor="text1"/>
          <w:sz w:val="24"/>
          <w:szCs w:val="24"/>
        </w:rPr>
      </w:pPr>
    </w:p>
    <w:p w14:paraId="3351AF5E" w14:textId="3977A3EB" w:rsidR="008C2953" w:rsidRDefault="008C2953" w:rsidP="00335E4D">
      <w:pPr>
        <w:spacing w:line="480" w:lineRule="auto"/>
        <w:jc w:val="both"/>
        <w:rPr>
          <w:rFonts w:ascii="Times New Roman" w:hAnsi="Times New Roman"/>
          <w:color w:val="000000" w:themeColor="text1"/>
          <w:sz w:val="24"/>
          <w:szCs w:val="24"/>
        </w:rPr>
      </w:pPr>
      <w:r w:rsidRPr="008C2953">
        <w:rPr>
          <w:rFonts w:ascii="Times New Roman" w:hAnsi="Times New Roman"/>
          <w:color w:val="000000" w:themeColor="text1"/>
          <w:sz w:val="24"/>
          <w:szCs w:val="24"/>
        </w:rPr>
        <w:t>Cadmium exhibits a relatively prolonged half-life in the blood, estimated at approximately three to four months, owing to its accumulation in organs such as the kidneys and liver, from which it is released gradually. Consequently, blood cadmium concentrations may provide an indication of both recent and cumulative exposure (</w:t>
      </w:r>
      <w:proofErr w:type="spellStart"/>
      <w:r w:rsidRPr="008C2953">
        <w:rPr>
          <w:rFonts w:ascii="Times New Roman" w:hAnsi="Times New Roman"/>
          <w:color w:val="000000" w:themeColor="text1"/>
          <w:sz w:val="24"/>
          <w:szCs w:val="24"/>
        </w:rPr>
        <w:t>Ihmed</w:t>
      </w:r>
      <w:proofErr w:type="spellEnd"/>
      <w:r w:rsidRPr="008C2953">
        <w:rPr>
          <w:rFonts w:ascii="Times New Roman" w:hAnsi="Times New Roman"/>
          <w:color w:val="000000" w:themeColor="text1"/>
          <w:sz w:val="24"/>
          <w:szCs w:val="24"/>
        </w:rPr>
        <w:t xml:space="preserve">, 2016). Human exposure to metals occurs predominantly through inhalation and ingestion. Inhalation represents a more prominent route in occupational environments, particularly during activities such as smelting and manufacturing, whereas ingestion is commonly associated with the consumption of contaminated food and water and exposure to contaminated soil. Dermal absorption is generally considered a less significant route of </w:t>
      </w:r>
      <w:r w:rsidRPr="008C2953">
        <w:rPr>
          <w:rFonts w:ascii="Times New Roman" w:hAnsi="Times New Roman"/>
          <w:color w:val="000000" w:themeColor="text1"/>
          <w:sz w:val="24"/>
          <w:szCs w:val="24"/>
        </w:rPr>
        <w:lastRenderedPageBreak/>
        <w:t>exposure; however, it may become relevant under specific circumstances, including the handling of contaminated materials in the absence of appropriate protective equipment.</w:t>
      </w:r>
    </w:p>
    <w:p w14:paraId="7D0A0928" w14:textId="77777777" w:rsidR="008C2953" w:rsidRDefault="008C2953" w:rsidP="00335E4D">
      <w:pPr>
        <w:spacing w:line="480" w:lineRule="auto"/>
        <w:jc w:val="both"/>
        <w:rPr>
          <w:rFonts w:ascii="Times New Roman" w:hAnsi="Times New Roman"/>
          <w:color w:val="000000" w:themeColor="text1"/>
          <w:sz w:val="24"/>
          <w:szCs w:val="24"/>
        </w:rPr>
      </w:pPr>
    </w:p>
    <w:p w14:paraId="2CBF3884" w14:textId="44536BB3" w:rsidR="008C2953" w:rsidRDefault="008C2953" w:rsidP="00335E4D">
      <w:pPr>
        <w:spacing w:line="480" w:lineRule="auto"/>
        <w:jc w:val="both"/>
        <w:rPr>
          <w:rFonts w:ascii="Times New Roman" w:hAnsi="Times New Roman"/>
          <w:color w:val="000000" w:themeColor="text1"/>
          <w:sz w:val="24"/>
          <w:szCs w:val="24"/>
        </w:rPr>
      </w:pPr>
      <w:r w:rsidRPr="008C2953">
        <w:rPr>
          <w:rFonts w:ascii="Times New Roman" w:hAnsi="Times New Roman"/>
          <w:color w:val="000000" w:themeColor="text1"/>
          <w:sz w:val="24"/>
          <w:szCs w:val="24"/>
        </w:rPr>
        <w:t xml:space="preserve">Cadmium is a widespread environmental contaminant that has been associated with several adverse health effects, including hypertension, atherosclerosis, and </w:t>
      </w:r>
      <w:proofErr w:type="spellStart"/>
      <w:r w:rsidRPr="008C2953">
        <w:rPr>
          <w:rFonts w:ascii="Times New Roman" w:hAnsi="Times New Roman"/>
          <w:color w:val="000000" w:themeColor="text1"/>
          <w:sz w:val="24"/>
          <w:szCs w:val="24"/>
        </w:rPr>
        <w:t>dyslipidaemia</w:t>
      </w:r>
      <w:proofErr w:type="spellEnd"/>
      <w:r w:rsidRPr="008C2953">
        <w:rPr>
          <w:rFonts w:ascii="Times New Roman" w:hAnsi="Times New Roman"/>
          <w:color w:val="000000" w:themeColor="text1"/>
          <w:sz w:val="24"/>
          <w:szCs w:val="24"/>
        </w:rPr>
        <w:t xml:space="preserve"> (</w:t>
      </w:r>
      <w:proofErr w:type="spellStart"/>
      <w:r w:rsidRPr="008C2953">
        <w:rPr>
          <w:rFonts w:ascii="Times New Roman" w:hAnsi="Times New Roman"/>
          <w:color w:val="000000" w:themeColor="text1"/>
          <w:sz w:val="24"/>
          <w:szCs w:val="24"/>
        </w:rPr>
        <w:t>Järup</w:t>
      </w:r>
      <w:proofErr w:type="spellEnd"/>
      <w:r w:rsidRPr="008C2953">
        <w:rPr>
          <w:rFonts w:ascii="Times New Roman" w:hAnsi="Times New Roman"/>
          <w:color w:val="000000" w:themeColor="text1"/>
          <w:sz w:val="24"/>
          <w:szCs w:val="24"/>
        </w:rPr>
        <w:t xml:space="preserve"> et al., 1998; Lamas et al., 2021). The reference concentration for blood cadmium is below 5.0 ppb, with concentrations in the general population typically ranging from 0.5 to 2.0 ppb (Burtis &amp; Bruns, 2014). Acute cadmium toxicity has been reported at blood concentrations exceeding 50 ppb. Blood cadmium concentrations are generally higher among smokers, typically ranging from 1 to 4 ppb, compared with non-smokers, whose concentrations are usually below 0.5 ppb (Lamkarkach et al., 2021).</w:t>
      </w:r>
    </w:p>
    <w:p w14:paraId="201656F7" w14:textId="60769CC1" w:rsidR="00335E4D" w:rsidRDefault="00335E4D" w:rsidP="00335E4D">
      <w:pPr>
        <w:spacing w:line="480" w:lineRule="auto"/>
        <w:jc w:val="both"/>
        <w:rPr>
          <w:rFonts w:ascii="Times New Roman" w:hAnsi="Times New Roman"/>
          <w:color w:val="000000" w:themeColor="text1"/>
          <w:sz w:val="24"/>
          <w:szCs w:val="24"/>
        </w:rPr>
      </w:pPr>
    </w:p>
    <w:p w14:paraId="7EF4F8F7" w14:textId="77777777" w:rsidR="008C2953" w:rsidRDefault="008C2953" w:rsidP="00335E4D">
      <w:pPr>
        <w:spacing w:line="480" w:lineRule="auto"/>
        <w:jc w:val="both"/>
        <w:rPr>
          <w:rFonts w:ascii="Times New Roman" w:hAnsi="Times New Roman"/>
          <w:color w:val="000000" w:themeColor="text1"/>
          <w:sz w:val="24"/>
          <w:szCs w:val="24"/>
        </w:rPr>
      </w:pPr>
    </w:p>
    <w:p w14:paraId="19A9E046" w14:textId="2B4AF60F" w:rsidR="008C2953" w:rsidRDefault="008C2953" w:rsidP="00335E4D">
      <w:pPr>
        <w:spacing w:line="480" w:lineRule="auto"/>
        <w:jc w:val="both"/>
        <w:rPr>
          <w:rFonts w:ascii="Times New Roman" w:hAnsi="Times New Roman"/>
          <w:color w:val="000000" w:themeColor="text1"/>
          <w:sz w:val="24"/>
          <w:szCs w:val="24"/>
        </w:rPr>
      </w:pPr>
      <w:r w:rsidRPr="008C2953">
        <w:rPr>
          <w:rFonts w:ascii="Times New Roman" w:hAnsi="Times New Roman"/>
          <w:color w:val="000000" w:themeColor="text1"/>
          <w:sz w:val="24"/>
          <w:szCs w:val="24"/>
        </w:rPr>
        <w:t>The liver is an important site for the accumulation and metabolic processing of metals within the body (Kalantzi et al., 2016). Liver diseases, including cirrhosis, fatty liver disease, and liver cancer, collectively contribute to approximately two million deaths worldwide each year (</w:t>
      </w:r>
      <w:proofErr w:type="spellStart"/>
      <w:r w:rsidRPr="008C2953">
        <w:rPr>
          <w:rFonts w:ascii="Times New Roman" w:hAnsi="Times New Roman"/>
          <w:color w:val="000000" w:themeColor="text1"/>
          <w:sz w:val="24"/>
          <w:szCs w:val="24"/>
        </w:rPr>
        <w:t>Devarbhavi</w:t>
      </w:r>
      <w:proofErr w:type="spellEnd"/>
      <w:r w:rsidRPr="008C2953">
        <w:rPr>
          <w:rFonts w:ascii="Times New Roman" w:hAnsi="Times New Roman"/>
          <w:color w:val="000000" w:themeColor="text1"/>
          <w:sz w:val="24"/>
          <w:szCs w:val="24"/>
        </w:rPr>
        <w:t xml:space="preserve"> et al., 2023).</w:t>
      </w:r>
    </w:p>
    <w:p w14:paraId="14130385" w14:textId="77777777" w:rsidR="00B01FCD" w:rsidRDefault="00335E4D" w:rsidP="00335E4D">
      <w:pPr>
        <w:pStyle w:val="Body"/>
        <w:spacing w:after="0"/>
        <w:rPr>
          <w:rFonts w:ascii="Arial" w:hAnsi="Arial" w:cs="Arial"/>
        </w:rPr>
      </w:pPr>
      <w:r>
        <w:rPr>
          <w:rFonts w:ascii="Times New Roman" w:hAnsi="Times New Roman"/>
          <w:color w:val="000000" w:themeColor="text1"/>
          <w:sz w:val="24"/>
          <w:szCs w:val="24"/>
        </w:rPr>
        <w:t xml:space="preserve">A variety of proteins </w:t>
      </w:r>
      <w:r>
        <w:rPr>
          <w:rFonts w:ascii="Times New Roman" w:hAnsi="Times New Roman"/>
          <w:color w:val="000000" w:themeColor="text1"/>
          <w:sz w:val="24"/>
          <w:szCs w:val="24"/>
          <w:highlight w:val="yellow"/>
        </w:rPr>
        <w:t>and</w:t>
      </w:r>
      <w:r>
        <w:rPr>
          <w:rFonts w:ascii="Times New Roman" w:hAnsi="Times New Roman"/>
          <w:color w:val="000000" w:themeColor="text1"/>
          <w:sz w:val="24"/>
          <w:szCs w:val="24"/>
        </w:rPr>
        <w:t xml:space="preserve"> enzymatic biomarkers in blood are specific and sensitive markers of hepatic function. They are commonly used in clinical practice </w:t>
      </w:r>
      <w:r>
        <w:rPr>
          <w:rFonts w:ascii="Times New Roman" w:hAnsi="Times New Roman"/>
          <w:color w:val="000000" w:themeColor="text1"/>
          <w:sz w:val="24"/>
          <w:szCs w:val="24"/>
          <w:highlight w:val="yellow"/>
        </w:rPr>
        <w:t>to</w:t>
      </w:r>
      <w:r>
        <w:rPr>
          <w:rFonts w:ascii="Times New Roman" w:hAnsi="Times New Roman"/>
          <w:color w:val="000000" w:themeColor="text1"/>
          <w:sz w:val="24"/>
          <w:szCs w:val="24"/>
        </w:rPr>
        <w:t xml:space="preserve"> as</w:t>
      </w:r>
      <w:r>
        <w:rPr>
          <w:rFonts w:ascii="Times New Roman" w:hAnsi="Times New Roman"/>
          <w:color w:val="000000" w:themeColor="text1"/>
          <w:sz w:val="24"/>
          <w:szCs w:val="24"/>
          <w:highlight w:val="yellow"/>
        </w:rPr>
        <w:t>sess liver injury and include</w:t>
      </w:r>
      <w:r>
        <w:rPr>
          <w:rFonts w:ascii="Times New Roman" w:hAnsi="Times New Roman"/>
          <w:color w:val="000000" w:themeColor="text1"/>
          <w:sz w:val="24"/>
          <w:szCs w:val="24"/>
        </w:rPr>
        <w:t xml:space="preserve"> aspartate aminotransferase (AST), alanine aminotransferase (ALT), direct bilirubin (DBIL), total bilirubin (TBIL), indirect bilirubin (IBIL), gamma-glutamyl </w:t>
      </w:r>
      <w:r>
        <w:rPr>
          <w:rFonts w:ascii="Times New Roman" w:hAnsi="Times New Roman"/>
          <w:bCs/>
          <w:color w:val="000000" w:themeColor="text1"/>
          <w:sz w:val="24"/>
          <w:szCs w:val="24"/>
        </w:rPr>
        <w:t xml:space="preserve">transferase </w:t>
      </w:r>
      <w:r>
        <w:rPr>
          <w:rFonts w:ascii="Times New Roman" w:hAnsi="Times New Roman"/>
          <w:color w:val="000000" w:themeColor="text1"/>
          <w:sz w:val="24"/>
          <w:szCs w:val="24"/>
        </w:rPr>
        <w:t>(GGT), and abnormal levels of albumin (ALB) (</w:t>
      </w:r>
      <w:proofErr w:type="spellStart"/>
      <w:r>
        <w:rPr>
          <w:rFonts w:ascii="Times New Roman" w:hAnsi="Times New Roman"/>
          <w:color w:val="000000" w:themeColor="text1"/>
          <w:sz w:val="24"/>
          <w:szCs w:val="24"/>
        </w:rPr>
        <w:t>Leem</w:t>
      </w:r>
      <w:proofErr w:type="spellEnd"/>
      <w:r>
        <w:rPr>
          <w:rFonts w:ascii="Times New Roman" w:hAnsi="Times New Roman"/>
          <w:color w:val="000000" w:themeColor="text1"/>
          <w:sz w:val="24"/>
          <w:szCs w:val="24"/>
        </w:rPr>
        <w:t xml:space="preserve"> </w:t>
      </w:r>
      <w:r>
        <w:rPr>
          <w:rFonts w:ascii="Times New Roman" w:hAnsi="Times New Roman"/>
          <w:i/>
          <w:iCs/>
          <w:color w:val="000000" w:themeColor="text1"/>
          <w:sz w:val="24"/>
          <w:szCs w:val="24"/>
        </w:rPr>
        <w:t>et al.,</w:t>
      </w:r>
      <w:r>
        <w:rPr>
          <w:rFonts w:ascii="Times New Roman" w:hAnsi="Times New Roman"/>
          <w:color w:val="000000" w:themeColor="text1"/>
          <w:sz w:val="24"/>
          <w:szCs w:val="24"/>
        </w:rPr>
        <w:t xml:space="preserve"> 2018). Growing epidemiological evidence suggests </w:t>
      </w:r>
      <w:r>
        <w:rPr>
          <w:rFonts w:ascii="Times New Roman" w:hAnsi="Times New Roman"/>
          <w:color w:val="000000" w:themeColor="text1"/>
          <w:sz w:val="24"/>
          <w:szCs w:val="24"/>
          <w:highlight w:val="yellow"/>
        </w:rPr>
        <w:t>assoc</w:t>
      </w:r>
      <w:r>
        <w:rPr>
          <w:rFonts w:ascii="Times New Roman" w:hAnsi="Times New Roman"/>
          <w:color w:val="000000" w:themeColor="text1"/>
          <w:sz w:val="24"/>
          <w:szCs w:val="24"/>
        </w:rPr>
        <w:t>i</w:t>
      </w:r>
      <w:r>
        <w:rPr>
          <w:rFonts w:ascii="Times New Roman" w:hAnsi="Times New Roman"/>
          <w:color w:val="000000" w:themeColor="text1"/>
          <w:sz w:val="24"/>
          <w:szCs w:val="24"/>
          <w:highlight w:val="yellow"/>
        </w:rPr>
        <w:t>atio</w:t>
      </w:r>
      <w:r>
        <w:rPr>
          <w:rFonts w:ascii="Times New Roman" w:hAnsi="Times New Roman"/>
          <w:color w:val="000000" w:themeColor="text1"/>
          <w:sz w:val="24"/>
          <w:szCs w:val="24"/>
        </w:rPr>
        <w:t xml:space="preserve">ns between metal exposure and abnormal liver function (ALF). Xu </w:t>
      </w:r>
      <w:r>
        <w:rPr>
          <w:rFonts w:ascii="Times New Roman" w:hAnsi="Times New Roman"/>
          <w:i/>
          <w:iCs/>
          <w:color w:val="000000" w:themeColor="text1"/>
          <w:sz w:val="24"/>
          <w:szCs w:val="24"/>
        </w:rPr>
        <w:t>et al. (2022) demonstrated a positive correlation between urinary cadmium and ab</w:t>
      </w:r>
      <w:r>
        <w:rPr>
          <w:rFonts w:ascii="Times New Roman" w:hAnsi="Times New Roman"/>
          <w:i/>
          <w:iCs/>
          <w:color w:val="000000" w:themeColor="text1"/>
          <w:sz w:val="24"/>
          <w:szCs w:val="24"/>
          <w:highlight w:val="yellow"/>
        </w:rPr>
        <w:t>no</w:t>
      </w:r>
      <w:r>
        <w:rPr>
          <w:rFonts w:ascii="Times New Roman" w:hAnsi="Times New Roman"/>
          <w:i/>
          <w:iCs/>
          <w:color w:val="000000" w:themeColor="text1"/>
          <w:sz w:val="24"/>
          <w:szCs w:val="24"/>
        </w:rPr>
        <w:t>r</w:t>
      </w:r>
      <w:r>
        <w:rPr>
          <w:rFonts w:ascii="Times New Roman" w:hAnsi="Times New Roman"/>
          <w:i/>
          <w:iCs/>
          <w:color w:val="000000" w:themeColor="text1"/>
          <w:sz w:val="24"/>
          <w:szCs w:val="24"/>
          <w:highlight w:val="yellow"/>
        </w:rPr>
        <w:t>m</w:t>
      </w:r>
      <w:r>
        <w:rPr>
          <w:rFonts w:ascii="Times New Roman" w:hAnsi="Times New Roman"/>
          <w:i/>
          <w:iCs/>
          <w:color w:val="000000" w:themeColor="text1"/>
          <w:sz w:val="24"/>
          <w:szCs w:val="24"/>
        </w:rPr>
        <w:t>a</w:t>
      </w:r>
      <w:r>
        <w:rPr>
          <w:rFonts w:ascii="Times New Roman" w:hAnsi="Times New Roman"/>
          <w:i/>
          <w:iCs/>
          <w:color w:val="000000" w:themeColor="text1"/>
          <w:sz w:val="24"/>
          <w:szCs w:val="24"/>
          <w:highlight w:val="yellow"/>
        </w:rPr>
        <w:t>l</w:t>
      </w:r>
      <w:r>
        <w:rPr>
          <w:rFonts w:ascii="Times New Roman" w:hAnsi="Times New Roman"/>
          <w:i/>
          <w:iCs/>
          <w:color w:val="000000" w:themeColor="text1"/>
          <w:sz w:val="24"/>
          <w:szCs w:val="24"/>
        </w:rPr>
        <w:t xml:space="preserve"> liver function, </w:t>
      </w:r>
      <w:r>
        <w:rPr>
          <w:rFonts w:ascii="Times New Roman" w:hAnsi="Times New Roman"/>
          <w:color w:val="000000" w:themeColor="text1"/>
          <w:sz w:val="24"/>
          <w:szCs w:val="24"/>
        </w:rPr>
        <w:t xml:space="preserve">defined </w:t>
      </w:r>
      <w:r>
        <w:rPr>
          <w:rFonts w:ascii="Times New Roman" w:hAnsi="Times New Roman"/>
          <w:color w:val="000000" w:themeColor="text1"/>
          <w:sz w:val="24"/>
          <w:szCs w:val="24"/>
          <w:highlight w:val="yellow"/>
        </w:rPr>
        <w:t>by</w:t>
      </w:r>
      <w:r>
        <w:rPr>
          <w:rFonts w:ascii="Times New Roman" w:hAnsi="Times New Roman"/>
          <w:color w:val="000000" w:themeColor="text1"/>
          <w:sz w:val="24"/>
          <w:szCs w:val="24"/>
        </w:rPr>
        <w:t xml:space="preserve"> elevated AST and ALT. Nonetheless, most studies </w:t>
      </w:r>
      <w:r>
        <w:rPr>
          <w:rFonts w:ascii="Times New Roman" w:hAnsi="Times New Roman"/>
          <w:color w:val="000000" w:themeColor="text1"/>
          <w:sz w:val="24"/>
          <w:szCs w:val="24"/>
          <w:highlight w:val="yellow"/>
        </w:rPr>
        <w:t xml:space="preserve">have focused </w:t>
      </w:r>
      <w:r>
        <w:rPr>
          <w:rFonts w:ascii="Times New Roman" w:hAnsi="Times New Roman"/>
          <w:color w:val="000000" w:themeColor="text1"/>
          <w:sz w:val="24"/>
          <w:szCs w:val="24"/>
        </w:rPr>
        <w:t xml:space="preserve">on the </w:t>
      </w:r>
      <w:r>
        <w:rPr>
          <w:rFonts w:ascii="Times New Roman" w:hAnsi="Times New Roman"/>
          <w:color w:val="000000" w:themeColor="text1"/>
          <w:sz w:val="24"/>
          <w:szCs w:val="24"/>
          <w:highlight w:val="yellow"/>
        </w:rPr>
        <w:t>effe</w:t>
      </w:r>
      <w:r>
        <w:rPr>
          <w:rFonts w:ascii="Times New Roman" w:hAnsi="Times New Roman"/>
          <w:color w:val="000000" w:themeColor="text1"/>
          <w:sz w:val="24"/>
          <w:szCs w:val="24"/>
        </w:rPr>
        <w:t>ct</w:t>
      </w:r>
      <w:r>
        <w:rPr>
          <w:rFonts w:ascii="Times New Roman" w:hAnsi="Times New Roman"/>
          <w:color w:val="000000" w:themeColor="text1"/>
          <w:sz w:val="24"/>
          <w:szCs w:val="24"/>
          <w:highlight w:val="yellow"/>
        </w:rPr>
        <w:t>s</w:t>
      </w:r>
      <w:r>
        <w:rPr>
          <w:rFonts w:ascii="Times New Roman" w:hAnsi="Times New Roman"/>
          <w:color w:val="000000" w:themeColor="text1"/>
          <w:sz w:val="24"/>
          <w:szCs w:val="24"/>
        </w:rPr>
        <w:t xml:space="preserve"> of individual or </w:t>
      </w:r>
      <w:r>
        <w:rPr>
          <w:rFonts w:ascii="Times New Roman" w:hAnsi="Times New Roman"/>
          <w:color w:val="000000" w:themeColor="text1"/>
          <w:sz w:val="24"/>
          <w:szCs w:val="24"/>
          <w:highlight w:val="yellow"/>
        </w:rPr>
        <w:t>a f</w:t>
      </w:r>
      <w:r>
        <w:rPr>
          <w:rFonts w:ascii="Times New Roman" w:hAnsi="Times New Roman"/>
          <w:color w:val="000000" w:themeColor="text1"/>
          <w:sz w:val="24"/>
          <w:szCs w:val="24"/>
        </w:rPr>
        <w:t>e</w:t>
      </w:r>
      <w:r>
        <w:rPr>
          <w:rFonts w:ascii="Times New Roman" w:hAnsi="Times New Roman"/>
          <w:color w:val="000000" w:themeColor="text1"/>
          <w:sz w:val="24"/>
          <w:szCs w:val="24"/>
          <w:highlight w:val="yellow"/>
        </w:rPr>
        <w:t>w</w:t>
      </w:r>
      <w:r>
        <w:rPr>
          <w:rFonts w:ascii="Times New Roman" w:hAnsi="Times New Roman"/>
          <w:color w:val="000000" w:themeColor="text1"/>
          <w:sz w:val="24"/>
          <w:szCs w:val="24"/>
        </w:rPr>
        <w:t xml:space="preserve"> metals</w:t>
      </w:r>
      <w:r>
        <w:rPr>
          <w:rFonts w:ascii="Times New Roman" w:hAnsi="Times New Roman"/>
          <w:color w:val="000000" w:themeColor="text1"/>
          <w:sz w:val="24"/>
          <w:szCs w:val="24"/>
          <w:highlight w:val="yellow"/>
        </w:rPr>
        <w:t>;</w:t>
      </w:r>
      <w:r>
        <w:rPr>
          <w:rFonts w:ascii="Times New Roman" w:hAnsi="Times New Roman"/>
          <w:color w:val="000000" w:themeColor="text1"/>
          <w:sz w:val="24"/>
          <w:szCs w:val="24"/>
        </w:rPr>
        <w:t xml:space="preserve"> </w:t>
      </w:r>
      <w:r>
        <w:rPr>
          <w:rFonts w:ascii="Times New Roman" w:hAnsi="Times New Roman"/>
          <w:color w:val="000000" w:themeColor="text1"/>
          <w:sz w:val="24"/>
          <w:szCs w:val="24"/>
          <w:highlight w:val="yellow"/>
        </w:rPr>
        <w:t>bec</w:t>
      </w:r>
      <w:r>
        <w:rPr>
          <w:rFonts w:ascii="Times New Roman" w:hAnsi="Times New Roman"/>
          <w:color w:val="000000" w:themeColor="text1"/>
          <w:sz w:val="24"/>
          <w:szCs w:val="24"/>
        </w:rPr>
        <w:t>a</w:t>
      </w:r>
      <w:r>
        <w:rPr>
          <w:rFonts w:ascii="Times New Roman" w:hAnsi="Times New Roman"/>
          <w:color w:val="000000" w:themeColor="text1"/>
          <w:sz w:val="24"/>
          <w:szCs w:val="24"/>
          <w:highlight w:val="yellow"/>
        </w:rPr>
        <w:t>u</w:t>
      </w:r>
      <w:r>
        <w:rPr>
          <w:rFonts w:ascii="Times New Roman" w:hAnsi="Times New Roman"/>
          <w:color w:val="000000" w:themeColor="text1"/>
          <w:sz w:val="24"/>
          <w:szCs w:val="24"/>
        </w:rPr>
        <w:t xml:space="preserve">se populations are usually exposed to diverse metals in everyday life, the combined effects of metal mixtures on liver function </w:t>
      </w:r>
      <w:r>
        <w:rPr>
          <w:rFonts w:ascii="Times New Roman" w:hAnsi="Times New Roman"/>
          <w:color w:val="000000" w:themeColor="text1"/>
          <w:sz w:val="24"/>
          <w:szCs w:val="24"/>
          <w:highlight w:val="yellow"/>
        </w:rPr>
        <w:t>rema</w:t>
      </w:r>
      <w:r>
        <w:rPr>
          <w:rFonts w:ascii="Times New Roman" w:hAnsi="Times New Roman"/>
          <w:color w:val="000000" w:themeColor="text1"/>
          <w:sz w:val="24"/>
          <w:szCs w:val="24"/>
        </w:rPr>
        <w:t xml:space="preserve">in to be elucidated. Moreover, </w:t>
      </w:r>
      <w:proofErr w:type="spellStart"/>
      <w:r>
        <w:rPr>
          <w:rFonts w:ascii="Times New Roman" w:hAnsi="Times New Roman"/>
          <w:color w:val="000000" w:themeColor="text1"/>
          <w:sz w:val="24"/>
          <w:szCs w:val="24"/>
        </w:rPr>
        <w:t>dyslipid</w:t>
      </w:r>
      <w:r>
        <w:rPr>
          <w:rFonts w:ascii="Times New Roman" w:hAnsi="Times New Roman"/>
          <w:color w:val="000000" w:themeColor="text1"/>
          <w:sz w:val="24"/>
          <w:szCs w:val="24"/>
          <w:highlight w:val="yellow"/>
        </w:rPr>
        <w:t>a</w:t>
      </w:r>
      <w:r>
        <w:rPr>
          <w:rFonts w:ascii="Times New Roman" w:hAnsi="Times New Roman"/>
          <w:color w:val="000000" w:themeColor="text1"/>
          <w:sz w:val="24"/>
          <w:szCs w:val="24"/>
        </w:rPr>
        <w:t>emia</w:t>
      </w:r>
      <w:proofErr w:type="spellEnd"/>
      <w:r>
        <w:rPr>
          <w:rFonts w:ascii="Times New Roman" w:hAnsi="Times New Roman"/>
          <w:color w:val="000000" w:themeColor="text1"/>
          <w:sz w:val="24"/>
          <w:szCs w:val="24"/>
        </w:rPr>
        <w:t xml:space="preserve">, which induces hepatocellular fat accumulation and disrupts the balance of lipid secretion and metabolism, </w:t>
      </w:r>
      <w:r>
        <w:rPr>
          <w:rFonts w:ascii="Times New Roman" w:hAnsi="Times New Roman"/>
          <w:color w:val="000000" w:themeColor="text1"/>
          <w:sz w:val="24"/>
          <w:szCs w:val="24"/>
          <w:highlight w:val="yellow"/>
        </w:rPr>
        <w:t>h</w:t>
      </w:r>
      <w:r>
        <w:rPr>
          <w:rFonts w:ascii="Times New Roman" w:hAnsi="Times New Roman"/>
          <w:color w:val="000000" w:themeColor="text1"/>
          <w:sz w:val="24"/>
          <w:szCs w:val="24"/>
        </w:rPr>
        <w:t xml:space="preserve">as </w:t>
      </w:r>
      <w:r>
        <w:rPr>
          <w:rFonts w:ascii="Times New Roman" w:hAnsi="Times New Roman"/>
          <w:color w:val="000000" w:themeColor="text1"/>
          <w:sz w:val="24"/>
          <w:szCs w:val="24"/>
          <w:highlight w:val="yellow"/>
        </w:rPr>
        <w:t xml:space="preserve">been </w:t>
      </w:r>
      <w:r>
        <w:rPr>
          <w:rFonts w:ascii="Times New Roman" w:hAnsi="Times New Roman"/>
          <w:color w:val="000000" w:themeColor="text1"/>
          <w:sz w:val="24"/>
          <w:szCs w:val="24"/>
        </w:rPr>
        <w:t>i</w:t>
      </w:r>
      <w:r>
        <w:rPr>
          <w:rFonts w:ascii="Times New Roman" w:hAnsi="Times New Roman"/>
          <w:color w:val="000000" w:themeColor="text1"/>
          <w:sz w:val="24"/>
          <w:szCs w:val="24"/>
          <w:highlight w:val="yellow"/>
        </w:rPr>
        <w:t>mpl</w:t>
      </w:r>
      <w:r>
        <w:rPr>
          <w:rFonts w:ascii="Times New Roman" w:hAnsi="Times New Roman"/>
          <w:color w:val="000000" w:themeColor="text1"/>
          <w:sz w:val="24"/>
          <w:szCs w:val="24"/>
        </w:rPr>
        <w:t>icated in the pathogenesis o</w:t>
      </w:r>
      <w:r>
        <w:rPr>
          <w:rFonts w:ascii="Times New Roman" w:hAnsi="Times New Roman"/>
          <w:color w:val="000000" w:themeColor="text1"/>
          <w:sz w:val="24"/>
          <w:szCs w:val="24"/>
          <w:highlight w:val="yellow"/>
        </w:rPr>
        <w:t>f</w:t>
      </w:r>
      <w:r>
        <w:rPr>
          <w:rFonts w:ascii="Times New Roman" w:hAnsi="Times New Roman"/>
          <w:color w:val="000000" w:themeColor="text1"/>
          <w:sz w:val="24"/>
          <w:szCs w:val="24"/>
        </w:rPr>
        <w:t xml:space="preserve"> ALF and liver diseases (Ipsen </w:t>
      </w:r>
      <w:r>
        <w:rPr>
          <w:rFonts w:ascii="Times New Roman" w:hAnsi="Times New Roman"/>
          <w:i/>
          <w:iCs/>
          <w:color w:val="000000" w:themeColor="text1"/>
          <w:sz w:val="24"/>
          <w:szCs w:val="24"/>
        </w:rPr>
        <w:t>et al.,</w:t>
      </w:r>
      <w:r>
        <w:rPr>
          <w:rFonts w:ascii="Times New Roman" w:hAnsi="Times New Roman"/>
          <w:color w:val="000000" w:themeColor="text1"/>
          <w:sz w:val="24"/>
          <w:szCs w:val="24"/>
        </w:rPr>
        <w:t xml:space="preserve"> 2018). Increasing evidence suggests that metal exposure</w:t>
      </w:r>
      <w:r>
        <w:rPr>
          <w:rFonts w:ascii="Times New Roman" w:hAnsi="Times New Roman"/>
          <w:color w:val="000000" w:themeColor="text1"/>
          <w:sz w:val="24"/>
          <w:szCs w:val="24"/>
          <w:highlight w:val="yellow"/>
        </w:rPr>
        <w:t xml:space="preserve"> i</w:t>
      </w:r>
      <w:r>
        <w:rPr>
          <w:rFonts w:ascii="Times New Roman" w:hAnsi="Times New Roman"/>
          <w:color w:val="000000" w:themeColor="text1"/>
          <w:sz w:val="24"/>
          <w:szCs w:val="24"/>
        </w:rPr>
        <w:t>s a</w:t>
      </w:r>
      <w:r>
        <w:rPr>
          <w:rFonts w:ascii="Times New Roman" w:hAnsi="Times New Roman"/>
          <w:color w:val="000000" w:themeColor="text1"/>
          <w:sz w:val="24"/>
          <w:szCs w:val="24"/>
          <w:highlight w:val="yellow"/>
        </w:rPr>
        <w:t>sso</w:t>
      </w:r>
      <w:r>
        <w:rPr>
          <w:rFonts w:ascii="Times New Roman" w:hAnsi="Times New Roman"/>
          <w:color w:val="000000" w:themeColor="text1"/>
          <w:sz w:val="24"/>
          <w:szCs w:val="24"/>
        </w:rPr>
        <w:t>c</w:t>
      </w:r>
      <w:r>
        <w:rPr>
          <w:rFonts w:ascii="Times New Roman" w:hAnsi="Times New Roman"/>
          <w:color w:val="000000" w:themeColor="text1"/>
          <w:sz w:val="24"/>
          <w:szCs w:val="24"/>
          <w:highlight w:val="yellow"/>
        </w:rPr>
        <w:t>ia</w:t>
      </w:r>
      <w:r>
        <w:rPr>
          <w:rFonts w:ascii="Times New Roman" w:hAnsi="Times New Roman"/>
          <w:color w:val="000000" w:themeColor="text1"/>
          <w:sz w:val="24"/>
          <w:szCs w:val="24"/>
        </w:rPr>
        <w:t>ted with variation</w:t>
      </w:r>
      <w:r>
        <w:rPr>
          <w:rFonts w:ascii="Times New Roman" w:hAnsi="Times New Roman"/>
          <w:color w:val="000000" w:themeColor="text1"/>
          <w:sz w:val="24"/>
          <w:szCs w:val="24"/>
          <w:highlight w:val="yellow"/>
        </w:rPr>
        <w:t>s</w:t>
      </w:r>
      <w:r>
        <w:rPr>
          <w:rFonts w:ascii="Times New Roman" w:hAnsi="Times New Roman"/>
          <w:color w:val="000000" w:themeColor="text1"/>
          <w:sz w:val="24"/>
          <w:szCs w:val="24"/>
        </w:rPr>
        <w:t xml:space="preserve"> </w:t>
      </w:r>
      <w:r>
        <w:rPr>
          <w:rFonts w:ascii="Times New Roman" w:hAnsi="Times New Roman"/>
          <w:color w:val="000000" w:themeColor="text1"/>
          <w:sz w:val="24"/>
          <w:szCs w:val="24"/>
          <w:highlight w:val="yellow"/>
        </w:rPr>
        <w:t>in</w:t>
      </w:r>
      <w:r>
        <w:rPr>
          <w:rFonts w:ascii="Times New Roman" w:hAnsi="Times New Roman"/>
          <w:color w:val="000000" w:themeColor="text1"/>
          <w:sz w:val="24"/>
          <w:szCs w:val="24"/>
        </w:rPr>
        <w:t xml:space="preserve"> blood lipids and </w:t>
      </w:r>
      <w:proofErr w:type="spellStart"/>
      <w:r>
        <w:rPr>
          <w:rFonts w:ascii="Times New Roman" w:hAnsi="Times New Roman"/>
          <w:color w:val="000000" w:themeColor="text1"/>
          <w:sz w:val="24"/>
          <w:szCs w:val="24"/>
        </w:rPr>
        <w:t>dyslipid</w:t>
      </w:r>
      <w:r>
        <w:rPr>
          <w:rFonts w:ascii="Times New Roman" w:hAnsi="Times New Roman"/>
          <w:color w:val="000000" w:themeColor="text1"/>
          <w:sz w:val="24"/>
          <w:szCs w:val="24"/>
          <w:highlight w:val="yellow"/>
        </w:rPr>
        <w:t>a</w:t>
      </w:r>
      <w:r>
        <w:rPr>
          <w:rFonts w:ascii="Times New Roman" w:hAnsi="Times New Roman"/>
          <w:color w:val="000000" w:themeColor="text1"/>
          <w:sz w:val="24"/>
          <w:szCs w:val="24"/>
        </w:rPr>
        <w:t>emia</w:t>
      </w:r>
      <w:proofErr w:type="spellEnd"/>
      <w:r>
        <w:rPr>
          <w:rFonts w:ascii="Times New Roman" w:hAnsi="Times New Roman"/>
          <w:color w:val="000000" w:themeColor="text1"/>
          <w:sz w:val="24"/>
          <w:szCs w:val="24"/>
        </w:rPr>
        <w:t>, s</w:t>
      </w:r>
      <w:r>
        <w:rPr>
          <w:rFonts w:ascii="Times New Roman" w:hAnsi="Times New Roman"/>
          <w:color w:val="000000" w:themeColor="text1"/>
          <w:sz w:val="24"/>
          <w:szCs w:val="24"/>
          <w:highlight w:val="yellow"/>
        </w:rPr>
        <w:t>ugg</w:t>
      </w:r>
      <w:r>
        <w:rPr>
          <w:rFonts w:ascii="Times New Roman" w:hAnsi="Times New Roman"/>
          <w:color w:val="000000" w:themeColor="text1"/>
          <w:sz w:val="24"/>
          <w:szCs w:val="24"/>
        </w:rPr>
        <w:t>es</w:t>
      </w:r>
      <w:r>
        <w:rPr>
          <w:rFonts w:ascii="Times New Roman" w:hAnsi="Times New Roman"/>
          <w:color w:val="000000" w:themeColor="text1"/>
          <w:sz w:val="24"/>
          <w:szCs w:val="24"/>
          <w:highlight w:val="yellow"/>
        </w:rPr>
        <w:t>t</w:t>
      </w:r>
      <w:r>
        <w:rPr>
          <w:rFonts w:ascii="Times New Roman" w:hAnsi="Times New Roman"/>
          <w:color w:val="000000" w:themeColor="text1"/>
          <w:sz w:val="24"/>
          <w:szCs w:val="24"/>
        </w:rPr>
        <w:t xml:space="preserve">ing that blood lipids </w:t>
      </w:r>
      <w:r>
        <w:rPr>
          <w:rFonts w:ascii="Times New Roman" w:hAnsi="Times New Roman"/>
          <w:color w:val="000000" w:themeColor="text1"/>
          <w:sz w:val="24"/>
          <w:szCs w:val="24"/>
          <w:highlight w:val="yellow"/>
        </w:rPr>
        <w:t>ma</w:t>
      </w:r>
      <w:r>
        <w:rPr>
          <w:rFonts w:ascii="Times New Roman" w:hAnsi="Times New Roman"/>
          <w:color w:val="000000" w:themeColor="text1"/>
          <w:sz w:val="24"/>
          <w:szCs w:val="24"/>
        </w:rPr>
        <w:t>y play latent roles in ALF resulting from metal exposure (</w:t>
      </w:r>
      <w:r>
        <w:rPr>
          <w:rFonts w:ascii="Times New Roman" w:hAnsi="Times New Roman"/>
          <w:color w:val="000000" w:themeColor="text1"/>
          <w:sz w:val="24"/>
          <w:szCs w:val="24"/>
          <w:shd w:val="clear" w:color="auto" w:fill="FFFFFF"/>
        </w:rPr>
        <w:t xml:space="preserve">Ranasinghe </w:t>
      </w:r>
      <w:r>
        <w:rPr>
          <w:rFonts w:ascii="Times New Roman" w:hAnsi="Times New Roman"/>
          <w:i/>
          <w:iCs/>
          <w:color w:val="000000" w:themeColor="text1"/>
          <w:sz w:val="24"/>
          <w:szCs w:val="24"/>
          <w:shd w:val="clear" w:color="auto" w:fill="FFFFFF"/>
        </w:rPr>
        <w:t>et al.,</w:t>
      </w:r>
      <w:r>
        <w:rPr>
          <w:rFonts w:ascii="Times New Roman" w:hAnsi="Times New Roman"/>
          <w:color w:val="000000" w:themeColor="text1"/>
          <w:sz w:val="24"/>
          <w:szCs w:val="24"/>
        </w:rPr>
        <w:t xml:space="preserve"> 2015; Ledda </w:t>
      </w:r>
      <w:r>
        <w:rPr>
          <w:rFonts w:ascii="Times New Roman" w:hAnsi="Times New Roman"/>
          <w:i/>
          <w:iCs/>
          <w:color w:val="000000" w:themeColor="text1"/>
          <w:sz w:val="24"/>
          <w:szCs w:val="24"/>
        </w:rPr>
        <w:t>et al.,</w:t>
      </w:r>
      <w:r>
        <w:rPr>
          <w:rFonts w:ascii="Times New Roman" w:hAnsi="Times New Roman"/>
          <w:color w:val="000000" w:themeColor="text1"/>
          <w:sz w:val="24"/>
          <w:szCs w:val="24"/>
        </w:rPr>
        <w:t xml:space="preserve"> 2018; Buhari </w:t>
      </w:r>
      <w:r>
        <w:rPr>
          <w:rFonts w:ascii="Times New Roman" w:hAnsi="Times New Roman"/>
          <w:i/>
          <w:iCs/>
          <w:color w:val="000000" w:themeColor="text1"/>
          <w:sz w:val="24"/>
          <w:szCs w:val="24"/>
        </w:rPr>
        <w:t>et al.,</w:t>
      </w:r>
      <w:r>
        <w:rPr>
          <w:rFonts w:ascii="Times New Roman" w:hAnsi="Times New Roman"/>
          <w:color w:val="000000" w:themeColor="text1"/>
          <w:sz w:val="24"/>
          <w:szCs w:val="24"/>
        </w:rPr>
        <w:t xml:space="preserve"> 2020). </w:t>
      </w:r>
      <w:r>
        <w:rPr>
          <w:rFonts w:ascii="Times New Roman" w:hAnsi="Times New Roman"/>
          <w:color w:val="000000" w:themeColor="text1"/>
          <w:sz w:val="24"/>
          <w:szCs w:val="24"/>
          <w:shd w:val="clear" w:color="auto" w:fill="FFFFFF"/>
        </w:rPr>
        <w:t xml:space="preserve">More recently, </w:t>
      </w:r>
      <w:proofErr w:type="spellStart"/>
      <w:r>
        <w:rPr>
          <w:rFonts w:ascii="Times New Roman" w:hAnsi="Times New Roman"/>
          <w:color w:val="000000" w:themeColor="text1"/>
          <w:sz w:val="24"/>
          <w:szCs w:val="24"/>
          <w:shd w:val="clear" w:color="auto" w:fill="FFFFFF"/>
        </w:rPr>
        <w:t>Elhelaly</w:t>
      </w:r>
      <w:proofErr w:type="spellEnd"/>
      <w:r>
        <w:rPr>
          <w:rFonts w:ascii="Times New Roman" w:hAnsi="Times New Roman"/>
          <w:color w:val="000000" w:themeColor="text1"/>
          <w:sz w:val="24"/>
          <w:szCs w:val="24"/>
          <w:shd w:val="clear" w:color="auto" w:fill="FFFFFF"/>
        </w:rPr>
        <w:t xml:space="preserve"> </w:t>
      </w:r>
      <w:r>
        <w:rPr>
          <w:rFonts w:ascii="Times New Roman" w:hAnsi="Times New Roman"/>
          <w:i/>
          <w:iCs/>
          <w:color w:val="000000" w:themeColor="text1"/>
          <w:sz w:val="24"/>
          <w:szCs w:val="24"/>
          <w:shd w:val="clear" w:color="auto" w:fill="FFFFFF"/>
        </w:rPr>
        <w:t>et al.</w:t>
      </w:r>
      <w:r>
        <w:rPr>
          <w:rFonts w:ascii="Times New Roman" w:hAnsi="Times New Roman"/>
          <w:color w:val="000000" w:themeColor="text1"/>
          <w:sz w:val="24"/>
          <w:szCs w:val="24"/>
          <w:shd w:val="clear" w:color="auto" w:fill="FFFFFF"/>
        </w:rPr>
        <w:t xml:space="preserve"> (2019</w:t>
      </w:r>
      <w:r>
        <w:rPr>
          <w:rFonts w:ascii="Times New Roman" w:hAnsi="Times New Roman"/>
          <w:color w:val="000000" w:themeColor="text1"/>
          <w:sz w:val="24"/>
          <w:szCs w:val="24"/>
        </w:rPr>
        <w:t>)</w:t>
      </w:r>
      <w:r>
        <w:rPr>
          <w:rFonts w:ascii="Times New Roman" w:hAnsi="Times New Roman"/>
          <w:color w:val="000000" w:themeColor="text1"/>
          <w:sz w:val="24"/>
          <w:szCs w:val="24"/>
          <w:highlight w:val="yellow"/>
          <w:shd w:val="clear" w:color="auto" w:fill="FFFFFF"/>
        </w:rPr>
        <w:t xml:space="preserve"> reported oxidative damage in an experimental rat model</w:t>
      </w:r>
      <w:r>
        <w:rPr>
          <w:rFonts w:ascii="Times New Roman" w:hAnsi="Times New Roman"/>
          <w:color w:val="000000" w:themeColor="text1"/>
          <w:sz w:val="24"/>
          <w:szCs w:val="24"/>
          <w:shd w:val="clear" w:color="auto" w:fill="FFFFFF"/>
        </w:rPr>
        <w:t>.</w:t>
      </w:r>
    </w:p>
    <w:p w14:paraId="387ACB3A" w14:textId="77777777" w:rsidR="003741E0" w:rsidRPr="00582051" w:rsidRDefault="00000000">
      <w:pPr>
        <w:pStyle w:val="Body"/>
        <w:spacing w:after="0"/>
        <w:rPr>
          <w:rFonts w:ascii="Arial" w:hAnsi="Arial" w:cs="Arial"/>
          <w:bCs/>
        </w:rPr>
      </w:pPr>
      <w:r w:rsidRPr="00582051">
        <w:rPr>
          <w:bCs/>
          <w:highlight w:val="yellow"/>
        </w:rPr>
        <w:t>Recent experimental evidence indicates that cadmium exposure can disrupt hepatic lipid metabolism and aggravate liver injury through oxidative-stress-related mechanisms, while antioxidant phytochemicals can attenuate cadmium-induced hepatotoxicity in animal models (Xie et al., 2024; Shi et al., 2024).</w:t>
      </w:r>
    </w:p>
    <w:p w14:paraId="59D3359A" w14:textId="77777777" w:rsidR="003741E0" w:rsidRPr="00582051" w:rsidRDefault="00000000">
      <w:pPr>
        <w:pStyle w:val="Body"/>
        <w:spacing w:after="0"/>
        <w:rPr>
          <w:rFonts w:ascii="Arial" w:hAnsi="Arial" w:cs="Arial"/>
          <w:bCs/>
        </w:rPr>
      </w:pPr>
      <w:r w:rsidRPr="00582051">
        <w:rPr>
          <w:bCs/>
          <w:highlight w:val="yellow"/>
        </w:rPr>
        <w:t xml:space="preserve">More specifically, recent work on </w:t>
      </w:r>
      <w:r w:rsidRPr="00582051">
        <w:rPr>
          <w:bCs/>
          <w:i/>
          <w:highlight w:val="yellow"/>
        </w:rPr>
        <w:t xml:space="preserve">Pterocarpus </w:t>
      </w:r>
      <w:proofErr w:type="spellStart"/>
      <w:r w:rsidRPr="00582051">
        <w:rPr>
          <w:bCs/>
          <w:i/>
          <w:highlight w:val="yellow"/>
        </w:rPr>
        <w:t>santalinoides</w:t>
      </w:r>
      <w:proofErr w:type="spellEnd"/>
      <w:r w:rsidRPr="00582051">
        <w:rPr>
          <w:bCs/>
          <w:highlight w:val="yellow"/>
        </w:rPr>
        <w:t xml:space="preserve"> in cadmium-exposed Wistar rats reported modulation of hepatic antioxidant enzymes, supporting further evaluation of the plant across additional biochemical outcomes (</w:t>
      </w:r>
      <w:proofErr w:type="spellStart"/>
      <w:r w:rsidRPr="00582051">
        <w:rPr>
          <w:bCs/>
          <w:highlight w:val="yellow"/>
        </w:rPr>
        <w:t>Enyike</w:t>
      </w:r>
      <w:proofErr w:type="spellEnd"/>
      <w:r w:rsidRPr="00582051">
        <w:rPr>
          <w:bCs/>
          <w:highlight w:val="yellow"/>
        </w:rPr>
        <w:t xml:space="preserve"> &amp; Obi-Abang, 2025).</w:t>
      </w:r>
    </w:p>
    <w:p w14:paraId="16BC445E" w14:textId="77777777" w:rsidR="003741E0" w:rsidRPr="00582051" w:rsidRDefault="00000000">
      <w:pPr>
        <w:pStyle w:val="Body"/>
        <w:spacing w:after="0"/>
        <w:rPr>
          <w:rFonts w:ascii="Arial" w:hAnsi="Arial" w:cs="Arial"/>
          <w:bCs/>
        </w:rPr>
      </w:pPr>
      <w:r w:rsidRPr="00582051">
        <w:rPr>
          <w:bCs/>
          <w:highlight w:val="yellow"/>
        </w:rPr>
        <w:t>Similarly, a recent study of a plant-derived intervention in cadmium-exposed Wistar rats reported improvement in lipid-profile and oxidative-stress indices, supporting continued evaluation of botanical interventions in this experimental context (Laz-</w:t>
      </w:r>
      <w:proofErr w:type="spellStart"/>
      <w:r w:rsidRPr="00582051">
        <w:rPr>
          <w:bCs/>
          <w:highlight w:val="yellow"/>
        </w:rPr>
        <w:t>Okenwa</w:t>
      </w:r>
      <w:proofErr w:type="spellEnd"/>
      <w:r w:rsidRPr="00582051">
        <w:rPr>
          <w:bCs/>
          <w:highlight w:val="yellow"/>
        </w:rPr>
        <w:t xml:space="preserve"> et al., 2026).</w:t>
      </w:r>
    </w:p>
    <w:p w14:paraId="4F978172" w14:textId="77777777" w:rsidR="003741E0" w:rsidRPr="00582051" w:rsidRDefault="00000000">
      <w:pPr>
        <w:pStyle w:val="Body"/>
        <w:spacing w:after="0"/>
        <w:rPr>
          <w:rFonts w:ascii="Arial" w:hAnsi="Arial" w:cs="Arial"/>
          <w:bCs/>
        </w:rPr>
      </w:pPr>
      <w:r w:rsidRPr="00582051">
        <w:rPr>
          <w:bCs/>
          <w:highlight w:val="yellow"/>
        </w:rPr>
        <w:lastRenderedPageBreak/>
        <w:t xml:space="preserve">However, within the scope of the present manuscript, the effects of a </w:t>
      </w:r>
      <w:r w:rsidRPr="00582051">
        <w:rPr>
          <w:bCs/>
          <w:i/>
          <w:highlight w:val="yellow"/>
        </w:rPr>
        <w:t xml:space="preserve">Pterocarpus </w:t>
      </w:r>
      <w:proofErr w:type="spellStart"/>
      <w:r w:rsidRPr="00582051">
        <w:rPr>
          <w:bCs/>
          <w:i/>
          <w:highlight w:val="yellow"/>
        </w:rPr>
        <w:t>santalinoides</w:t>
      </w:r>
      <w:proofErr w:type="spellEnd"/>
      <w:r w:rsidRPr="00582051">
        <w:rPr>
          <w:bCs/>
          <w:highlight w:val="yellow"/>
        </w:rPr>
        <w:t xml:space="preserve"> leaf-supplemented diet on both lipid profile indices and liver marker enzymes after cadmium exposure remain insufficiently </w:t>
      </w:r>
      <w:proofErr w:type="spellStart"/>
      <w:r w:rsidRPr="00582051">
        <w:rPr>
          <w:bCs/>
          <w:highlight w:val="yellow"/>
        </w:rPr>
        <w:t>characterised</w:t>
      </w:r>
      <w:proofErr w:type="spellEnd"/>
      <w:r w:rsidRPr="00582051">
        <w:rPr>
          <w:bCs/>
          <w:highlight w:val="yellow"/>
        </w:rPr>
        <w:t>.</w:t>
      </w:r>
    </w:p>
    <w:p w14:paraId="024DCE35" w14:textId="77777777" w:rsidR="003741E0" w:rsidRPr="00582051" w:rsidRDefault="00000000">
      <w:pPr>
        <w:pStyle w:val="Body"/>
        <w:spacing w:after="0"/>
        <w:rPr>
          <w:rFonts w:ascii="Arial" w:hAnsi="Arial" w:cs="Arial"/>
          <w:bCs/>
        </w:rPr>
      </w:pPr>
      <w:r w:rsidRPr="00582051">
        <w:rPr>
          <w:bCs/>
          <w:highlight w:val="yellow"/>
        </w:rPr>
        <w:t xml:space="preserve">Therefore, this study aimed to evaluate the protective effects of </w:t>
      </w:r>
      <w:r w:rsidRPr="00582051">
        <w:rPr>
          <w:bCs/>
          <w:i/>
          <w:highlight w:val="yellow"/>
        </w:rPr>
        <w:t xml:space="preserve">Pterocarpus </w:t>
      </w:r>
      <w:proofErr w:type="spellStart"/>
      <w:r w:rsidRPr="00582051">
        <w:rPr>
          <w:bCs/>
          <w:i/>
          <w:highlight w:val="yellow"/>
        </w:rPr>
        <w:t>santalinoides</w:t>
      </w:r>
      <w:proofErr w:type="spellEnd"/>
      <w:r w:rsidRPr="00582051">
        <w:rPr>
          <w:bCs/>
          <w:highlight w:val="yellow"/>
        </w:rPr>
        <w:t xml:space="preserve"> leaf diet on selected lipid profile indices and liver marker enzymes in cadmium-exposed Wistar rats.</w:t>
      </w:r>
    </w:p>
    <w:p w14:paraId="7DEC67EB" w14:textId="77777777" w:rsidR="007F7B32" w:rsidRDefault="00902823" w:rsidP="00441B6F">
      <w:pPr>
        <w:pStyle w:val="AbstHead"/>
        <w:spacing w:after="0"/>
        <w:jc w:val="both"/>
        <w:rPr>
          <w:rFonts w:ascii="Arial" w:hAnsi="Arial" w:cs="Arial"/>
        </w:rPr>
      </w:pPr>
      <w:r>
        <w:rPr>
          <w:rFonts w:ascii="Arial" w:hAnsi="Arial" w:cs="Arial"/>
          <w:highlight w:val="yellow"/>
        </w:rPr>
        <w:t>MATERIALS</w:t>
      </w:r>
      <w:r>
        <w:rPr>
          <w:rFonts w:ascii="Arial" w:hAnsi="Arial" w:cs="Arial"/>
        </w:rPr>
        <w:t xml:space="preserve"> </w:t>
      </w:r>
      <w:r>
        <w:rPr>
          <w:rFonts w:ascii="Arial" w:hAnsi="Arial" w:cs="Arial"/>
          <w:highlight w:val="yellow"/>
        </w:rPr>
        <w:t>AND</w:t>
      </w:r>
      <w:r>
        <w:rPr>
          <w:rFonts w:ascii="Arial" w:hAnsi="Arial" w:cs="Arial"/>
        </w:rPr>
        <w:t xml:space="preserve"> </w:t>
      </w:r>
      <w:r>
        <w:rPr>
          <w:rFonts w:ascii="Arial" w:hAnsi="Arial" w:cs="Arial"/>
          <w:highlight w:val="yellow"/>
        </w:rPr>
        <w:t>METHODS</w:t>
      </w:r>
    </w:p>
    <w:p w14:paraId="715BAA11" w14:textId="77777777" w:rsidR="0050343D" w:rsidRPr="0050343D" w:rsidRDefault="0050343D" w:rsidP="0050343D">
      <w:pPr>
        <w:pStyle w:val="Heading4"/>
        <w:spacing w:before="0" w:after="160" w:line="480" w:lineRule="auto"/>
        <w:jc w:val="both"/>
        <w:rPr>
          <w:rFonts w:ascii="Times New Roman" w:hAnsi="Times New Roman" w:cs="Times New Roman"/>
          <w:bCs/>
          <w:i w:val="0"/>
          <w:color w:val="000000" w:themeColor="text1"/>
          <w:sz w:val="24"/>
          <w:szCs w:val="24"/>
        </w:rPr>
      </w:pPr>
      <w:r w:rsidRPr="0050343D">
        <w:rPr>
          <w:rStyle w:val="Strong"/>
          <w:rFonts w:ascii="Times New Roman" w:hAnsi="Times New Roman" w:cs="Times New Roman"/>
          <w:i w:val="0"/>
          <w:color w:val="000000" w:themeColor="text1"/>
          <w:sz w:val="24"/>
          <w:szCs w:val="24"/>
        </w:rPr>
        <w:t>Chemicals and Reagents</w:t>
      </w:r>
    </w:p>
    <w:p w14:paraId="64983D25" w14:textId="77777777" w:rsidR="0050343D" w:rsidRPr="00B84EA9" w:rsidRDefault="0050343D" w:rsidP="0050343D">
      <w:pPr>
        <w:pStyle w:val="NormalWeb"/>
        <w:spacing w:before="0" w:beforeAutospacing="0" w:after="160" w:afterAutospacing="0" w:line="480" w:lineRule="auto"/>
        <w:jc w:val="both"/>
        <w:rPr>
          <w:color w:val="000000" w:themeColor="text1"/>
        </w:rPr>
      </w:pPr>
      <w:r>
        <w:rPr>
          <w:color w:val="000000" w:themeColor="text1"/>
        </w:rPr>
        <w:t>Cadmium chloride (</w:t>
      </w:r>
      <w:proofErr w:type="spellStart"/>
      <w:r>
        <w:rPr>
          <w:color w:val="000000" w:themeColor="text1"/>
        </w:rPr>
        <w:t>CdCl</w:t>
      </w:r>
      <w:proofErr w:type="spellEnd"/>
      <w:r>
        <w:rPr>
          <w:color w:val="000000" w:themeColor="text1"/>
        </w:rPr>
        <w:t xml:space="preserve">₂) of analytical grade, ketamine, distilled water, </w:t>
      </w:r>
      <w:r>
        <w:rPr>
          <w:color w:val="000000" w:themeColor="text1"/>
          <w:highlight w:val="yellow"/>
        </w:rPr>
        <w:t xml:space="preserve">and </w:t>
      </w:r>
      <w:r>
        <w:rPr>
          <w:color w:val="000000" w:themeColor="text1"/>
        </w:rPr>
        <w:t xml:space="preserve">Random test kits for liver </w:t>
      </w:r>
      <w:r>
        <w:rPr>
          <w:color w:val="000000" w:themeColor="text1"/>
          <w:highlight w:val="yellow"/>
        </w:rPr>
        <w:t xml:space="preserve">function tests </w:t>
      </w:r>
      <w:r>
        <w:rPr>
          <w:color w:val="000000" w:themeColor="text1"/>
        </w:rPr>
        <w:t>(ALT, AST, ALP,</w:t>
      </w:r>
      <w:r>
        <w:rPr>
          <w:color w:val="000000" w:themeColor="text1"/>
          <w:highlight w:val="yellow"/>
        </w:rPr>
        <w:t xml:space="preserve"> and</w:t>
      </w:r>
      <w:r>
        <w:rPr>
          <w:color w:val="000000" w:themeColor="text1"/>
        </w:rPr>
        <w:t xml:space="preserve"> GGT) and lipid profile tests (TAG, HDL, LDL, </w:t>
      </w:r>
      <w:r>
        <w:rPr>
          <w:color w:val="000000" w:themeColor="text1"/>
          <w:highlight w:val="yellow"/>
        </w:rPr>
        <w:t xml:space="preserve">and </w:t>
      </w:r>
      <w:r>
        <w:rPr>
          <w:color w:val="000000" w:themeColor="text1"/>
        </w:rPr>
        <w:t>VLDL)</w:t>
      </w:r>
      <w:r>
        <w:rPr>
          <w:color w:val="000000" w:themeColor="text1"/>
          <w:highlight w:val="yellow"/>
        </w:rPr>
        <w:t xml:space="preserve"> were used</w:t>
      </w:r>
      <w:r>
        <w:rPr>
          <w:color w:val="000000" w:themeColor="text1"/>
        </w:rPr>
        <w:t>. All other chemicals and reagents w</w:t>
      </w:r>
      <w:r>
        <w:rPr>
          <w:color w:val="000000" w:themeColor="text1"/>
          <w:highlight w:val="yellow"/>
        </w:rPr>
        <w:t>er</w:t>
      </w:r>
      <w:r>
        <w:rPr>
          <w:color w:val="000000" w:themeColor="text1"/>
        </w:rPr>
        <w:t>e obtained from certified suppliers and w</w:t>
      </w:r>
      <w:r>
        <w:rPr>
          <w:color w:val="000000" w:themeColor="text1"/>
          <w:highlight w:val="yellow"/>
        </w:rPr>
        <w:t>er</w:t>
      </w:r>
      <w:r>
        <w:rPr>
          <w:color w:val="000000" w:themeColor="text1"/>
        </w:rPr>
        <w:t>e of analytical grade.</w:t>
      </w:r>
    </w:p>
    <w:p w14:paraId="3F6E8EBB" w14:textId="77777777" w:rsidR="0050343D" w:rsidRPr="00B84EA9" w:rsidRDefault="0050343D" w:rsidP="0050343D">
      <w:pPr>
        <w:pStyle w:val="NormalWeb"/>
        <w:spacing w:before="0" w:beforeAutospacing="0" w:after="160" w:afterAutospacing="0" w:line="480" w:lineRule="auto"/>
        <w:jc w:val="both"/>
        <w:rPr>
          <w:b/>
          <w:bCs/>
          <w:color w:val="000000" w:themeColor="text1"/>
        </w:rPr>
      </w:pPr>
      <w:r>
        <w:rPr>
          <w:b/>
          <w:bCs/>
          <w:color w:val="000000" w:themeColor="text1"/>
        </w:rPr>
        <w:t>Equipment/Apparatus</w:t>
      </w:r>
    </w:p>
    <w:p w14:paraId="0F66710E" w14:textId="77777777" w:rsidR="0050343D" w:rsidRPr="00D03E19" w:rsidRDefault="0050343D" w:rsidP="0050343D">
      <w:pPr>
        <w:spacing w:line="480" w:lineRule="auto"/>
        <w:jc w:val="both"/>
        <w:rPr>
          <w:rStyle w:val="Strong"/>
          <w:rFonts w:ascii="Times New Roman" w:hAnsi="Times New Roman"/>
          <w:b w:val="0"/>
          <w:bCs w:val="0"/>
          <w:sz w:val="24"/>
          <w:szCs w:val="24"/>
        </w:rPr>
      </w:pPr>
      <w:r>
        <w:rPr>
          <w:rFonts w:ascii="Times New Roman" w:hAnsi="Times New Roman"/>
          <w:sz w:val="24"/>
          <w:szCs w:val="24"/>
          <w:highlight w:val="yellow"/>
        </w:rPr>
        <w:t xml:space="preserve">The equipment and materials included a </w:t>
      </w:r>
      <w:r>
        <w:rPr>
          <w:rFonts w:ascii="Times New Roman" w:hAnsi="Times New Roman"/>
          <w:sz w:val="24"/>
          <w:szCs w:val="24"/>
        </w:rPr>
        <w:t xml:space="preserve">UV-Visible Spectrophotometer (UV-1800, Shimadzu Corporation, Japan), Centrifuge (80-2B Centrifuge, Changsha Xiangyi Centrifuge Instrument Co., China), Hot Air Oven (DHG-9053A Electric Thermostatic Drying Oven, Shanghai Yiheng Scientific Instrument Co., China), Electrical Blender (BLG-450 Blender, </w:t>
      </w:r>
      <w:proofErr w:type="spellStart"/>
      <w:r>
        <w:rPr>
          <w:rFonts w:ascii="Times New Roman" w:hAnsi="Times New Roman"/>
          <w:sz w:val="24"/>
          <w:szCs w:val="24"/>
        </w:rPr>
        <w:t>Binatone</w:t>
      </w:r>
      <w:proofErr w:type="spellEnd"/>
      <w:r>
        <w:rPr>
          <w:rFonts w:ascii="Times New Roman" w:hAnsi="Times New Roman"/>
          <w:sz w:val="24"/>
          <w:szCs w:val="24"/>
        </w:rPr>
        <w:t xml:space="preserve"> Electronics International Ltd.), Disposable Syringes (5</w:t>
      </w:r>
      <w:r>
        <w:rPr>
          <w:rFonts w:ascii="Times New Roman" w:hAnsi="Times New Roman"/>
          <w:sz w:val="24"/>
          <w:szCs w:val="24"/>
          <w:highlight w:val="yellow"/>
        </w:rPr>
        <w:t xml:space="preserve"> </w:t>
      </w:r>
      <w:r>
        <w:rPr>
          <w:rFonts w:ascii="Times New Roman" w:hAnsi="Times New Roman"/>
          <w:sz w:val="24"/>
          <w:szCs w:val="24"/>
        </w:rPr>
        <w:t>mL and 10</w:t>
      </w:r>
      <w:r>
        <w:rPr>
          <w:rFonts w:ascii="Times New Roman" w:hAnsi="Times New Roman"/>
          <w:sz w:val="24"/>
          <w:szCs w:val="24"/>
          <w:highlight w:val="yellow"/>
        </w:rPr>
        <w:t xml:space="preserve"> </w:t>
      </w:r>
      <w:r>
        <w:rPr>
          <w:rFonts w:ascii="Times New Roman" w:hAnsi="Times New Roman"/>
          <w:sz w:val="24"/>
          <w:szCs w:val="24"/>
        </w:rPr>
        <w:t xml:space="preserve">mL, Becton Dickinson, USA), EDTA Blood Collection Tubes (Vacutainer® K₂EDTA Tubes, Becton Dickinson, USA), Plain Blood Collection Tubes (Vacutainer® Plain Tubes, Becton Dickinson, USA), Latex Hand Gloves (Top Glove Corporation, Malaysia), Nose Masks (3-Ply Face Mask, </w:t>
      </w:r>
      <w:proofErr w:type="spellStart"/>
      <w:r>
        <w:rPr>
          <w:rFonts w:ascii="Times New Roman" w:hAnsi="Times New Roman"/>
          <w:sz w:val="24"/>
          <w:szCs w:val="24"/>
        </w:rPr>
        <w:t>Medcon</w:t>
      </w:r>
      <w:proofErr w:type="spellEnd"/>
      <w:r>
        <w:rPr>
          <w:rFonts w:ascii="Times New Roman" w:hAnsi="Times New Roman"/>
          <w:sz w:val="24"/>
          <w:szCs w:val="24"/>
        </w:rPr>
        <w:t xml:space="preserve"> Healthcare, China), </w:t>
      </w:r>
      <w:r>
        <w:rPr>
          <w:rFonts w:ascii="Times New Roman" w:hAnsi="Times New Roman"/>
          <w:sz w:val="24"/>
          <w:szCs w:val="24"/>
          <w:highlight w:val="yellow"/>
        </w:rPr>
        <w:t>and w</w:t>
      </w:r>
      <w:r>
        <w:rPr>
          <w:rFonts w:ascii="Times New Roman" w:hAnsi="Times New Roman"/>
          <w:sz w:val="24"/>
          <w:szCs w:val="24"/>
        </w:rPr>
        <w:t>ell-</w:t>
      </w:r>
      <w:r>
        <w:rPr>
          <w:rFonts w:ascii="Times New Roman" w:hAnsi="Times New Roman"/>
          <w:sz w:val="24"/>
          <w:szCs w:val="24"/>
          <w:highlight w:val="yellow"/>
        </w:rPr>
        <w:t>v</w:t>
      </w:r>
      <w:r>
        <w:rPr>
          <w:rFonts w:ascii="Times New Roman" w:hAnsi="Times New Roman"/>
          <w:sz w:val="24"/>
          <w:szCs w:val="24"/>
        </w:rPr>
        <w:t xml:space="preserve">entilated </w:t>
      </w:r>
      <w:r>
        <w:rPr>
          <w:rFonts w:ascii="Times New Roman" w:hAnsi="Times New Roman"/>
          <w:sz w:val="24"/>
          <w:szCs w:val="24"/>
          <w:highlight w:val="yellow"/>
        </w:rPr>
        <w:t>a</w:t>
      </w:r>
      <w:r>
        <w:rPr>
          <w:rFonts w:ascii="Times New Roman" w:hAnsi="Times New Roman"/>
          <w:sz w:val="24"/>
          <w:szCs w:val="24"/>
        </w:rPr>
        <w:t xml:space="preserve">nimal </w:t>
      </w:r>
      <w:r>
        <w:rPr>
          <w:rFonts w:ascii="Times New Roman" w:hAnsi="Times New Roman"/>
          <w:sz w:val="24"/>
          <w:szCs w:val="24"/>
          <w:highlight w:val="yellow"/>
        </w:rPr>
        <w:t>c</w:t>
      </w:r>
      <w:r>
        <w:rPr>
          <w:rFonts w:ascii="Times New Roman" w:hAnsi="Times New Roman"/>
          <w:sz w:val="24"/>
          <w:szCs w:val="24"/>
        </w:rPr>
        <w:t>ages.</w:t>
      </w:r>
    </w:p>
    <w:p w14:paraId="680BE6BF" w14:textId="77777777" w:rsidR="0050343D" w:rsidRPr="0050343D" w:rsidRDefault="0050343D" w:rsidP="0050343D">
      <w:pPr>
        <w:pStyle w:val="Heading4"/>
        <w:spacing w:before="0" w:after="160" w:line="480" w:lineRule="auto"/>
        <w:jc w:val="both"/>
        <w:rPr>
          <w:rFonts w:ascii="Times New Roman" w:hAnsi="Times New Roman" w:cs="Times New Roman"/>
          <w:i w:val="0"/>
          <w:color w:val="000000" w:themeColor="text1"/>
          <w:sz w:val="24"/>
          <w:szCs w:val="24"/>
        </w:rPr>
      </w:pPr>
      <w:r w:rsidRPr="0050343D">
        <w:rPr>
          <w:rStyle w:val="Strong"/>
          <w:rFonts w:ascii="Times New Roman" w:hAnsi="Times New Roman" w:cs="Times New Roman"/>
          <w:i w:val="0"/>
          <w:color w:val="000000" w:themeColor="text1"/>
          <w:sz w:val="24"/>
          <w:szCs w:val="24"/>
        </w:rPr>
        <w:t>Plant Material Collection and Identification</w:t>
      </w:r>
    </w:p>
    <w:p w14:paraId="2BA02439" w14:textId="77777777" w:rsidR="0050343D" w:rsidRPr="00B84EA9" w:rsidRDefault="0050343D" w:rsidP="0050343D">
      <w:pPr>
        <w:pStyle w:val="NormalWeb"/>
        <w:spacing w:before="0" w:beforeAutospacing="0" w:after="160" w:afterAutospacing="0" w:line="480" w:lineRule="auto"/>
        <w:jc w:val="both"/>
        <w:rPr>
          <w:color w:val="000000" w:themeColor="text1"/>
        </w:rPr>
      </w:pPr>
      <w:r>
        <w:rPr>
          <w:color w:val="000000" w:themeColor="text1"/>
        </w:rPr>
        <w:t xml:space="preserve">Fresh leaves of </w:t>
      </w:r>
      <w:r>
        <w:rPr>
          <w:rStyle w:val="Emphasis"/>
          <w:color w:val="000000" w:themeColor="text1"/>
          <w:highlight w:val="yellow"/>
        </w:rPr>
        <w:t xml:space="preserve">Pterocarpus </w:t>
      </w:r>
      <w:proofErr w:type="spellStart"/>
      <w:r>
        <w:rPr>
          <w:rStyle w:val="Emphasis"/>
          <w:color w:val="000000" w:themeColor="text1"/>
          <w:highlight w:val="yellow"/>
        </w:rPr>
        <w:t>santalinoides</w:t>
      </w:r>
      <w:proofErr w:type="spellEnd"/>
      <w:r>
        <w:rPr>
          <w:rStyle w:val="Emphasis"/>
          <w:color w:val="000000" w:themeColor="text1"/>
        </w:rPr>
        <w:t xml:space="preserve"> </w:t>
      </w:r>
      <w:r>
        <w:rPr>
          <w:color w:val="000000" w:themeColor="text1"/>
        </w:rPr>
        <w:t xml:space="preserve">were obtained from Calabar South LGA in Cross River State and authenticated by a plant taxonomist </w:t>
      </w:r>
      <w:r>
        <w:rPr>
          <w:color w:val="000000" w:themeColor="text1"/>
          <w:highlight w:val="yellow"/>
        </w:rPr>
        <w:t>in</w:t>
      </w:r>
      <w:r>
        <w:rPr>
          <w:color w:val="000000" w:themeColor="text1"/>
        </w:rPr>
        <w:t xml:space="preserve"> the Department of Plant Science and Biotechnology, UNICROSS, Calabar.</w:t>
      </w:r>
    </w:p>
    <w:p w14:paraId="399A7BB2" w14:textId="77777777" w:rsidR="0050343D" w:rsidRPr="0050343D" w:rsidRDefault="0050343D" w:rsidP="0050343D">
      <w:pPr>
        <w:pStyle w:val="Heading3"/>
        <w:spacing w:before="0" w:after="160" w:line="480" w:lineRule="auto"/>
        <w:jc w:val="both"/>
        <w:rPr>
          <w:color w:val="000000" w:themeColor="text1"/>
        </w:rPr>
      </w:pPr>
      <w:r w:rsidRPr="0050343D">
        <w:rPr>
          <w:rStyle w:val="Strong"/>
          <w:color w:val="000000" w:themeColor="text1"/>
        </w:rPr>
        <w:t>Methodology</w:t>
      </w:r>
    </w:p>
    <w:p w14:paraId="76881F19" w14:textId="77777777" w:rsidR="0050343D" w:rsidRPr="0050343D" w:rsidRDefault="0050343D" w:rsidP="0050343D">
      <w:pPr>
        <w:pStyle w:val="Heading4"/>
        <w:spacing w:before="0" w:after="160" w:line="480" w:lineRule="auto"/>
        <w:jc w:val="both"/>
        <w:rPr>
          <w:rFonts w:ascii="Times New Roman" w:hAnsi="Times New Roman" w:cs="Times New Roman"/>
          <w:i w:val="0"/>
          <w:color w:val="000000" w:themeColor="text1"/>
          <w:sz w:val="24"/>
          <w:szCs w:val="24"/>
        </w:rPr>
      </w:pPr>
      <w:r w:rsidRPr="0050343D">
        <w:rPr>
          <w:rStyle w:val="Strong"/>
          <w:rFonts w:ascii="Times New Roman" w:hAnsi="Times New Roman" w:cs="Times New Roman"/>
          <w:i w:val="0"/>
          <w:color w:val="000000" w:themeColor="text1"/>
          <w:sz w:val="24"/>
          <w:szCs w:val="24"/>
        </w:rPr>
        <w:t>Experimental Animals</w:t>
      </w:r>
    </w:p>
    <w:p w14:paraId="5F1DEE34" w14:textId="77777777" w:rsidR="0050343D" w:rsidRPr="00B84EA9" w:rsidRDefault="0050343D" w:rsidP="0050343D">
      <w:pPr>
        <w:pStyle w:val="NormalWeb"/>
        <w:spacing w:before="0" w:beforeAutospacing="0" w:after="160" w:afterAutospacing="0" w:line="480" w:lineRule="auto"/>
        <w:jc w:val="both"/>
        <w:rPr>
          <w:color w:val="000000" w:themeColor="text1"/>
        </w:rPr>
      </w:pPr>
      <w:r>
        <w:rPr>
          <w:color w:val="000000" w:themeColor="text1"/>
        </w:rPr>
        <w:t xml:space="preserve">Thirty-six (36) healthy adult Wistar rats </w:t>
      </w:r>
      <w:r>
        <w:rPr>
          <w:color w:val="000000" w:themeColor="text1"/>
          <w:highlight w:val="yellow"/>
        </w:rPr>
        <w:t xml:space="preserve">weighing </w:t>
      </w:r>
      <w:r>
        <w:rPr>
          <w:color w:val="000000" w:themeColor="text1"/>
        </w:rPr>
        <w:t>100</w:t>
      </w:r>
      <w:r>
        <w:rPr>
          <w:color w:val="000000" w:themeColor="text1"/>
          <w:highlight w:val="yellow"/>
        </w:rPr>
        <w:t>–</w:t>
      </w:r>
      <w:r>
        <w:rPr>
          <w:color w:val="000000" w:themeColor="text1"/>
        </w:rPr>
        <w:t xml:space="preserve">180 g were procured from the University of </w:t>
      </w:r>
      <w:proofErr w:type="spellStart"/>
      <w:r>
        <w:rPr>
          <w:color w:val="000000" w:themeColor="text1"/>
        </w:rPr>
        <w:t>Uyo</w:t>
      </w:r>
      <w:proofErr w:type="spellEnd"/>
      <w:r>
        <w:rPr>
          <w:color w:val="000000" w:themeColor="text1"/>
        </w:rPr>
        <w:t xml:space="preserve">. The rats were housed in well-ventilated cages under standard laboratory conditions (12-hour light/dark cycle, temperature </w:t>
      </w:r>
      <w:r>
        <w:rPr>
          <w:color w:val="000000" w:themeColor="text1"/>
          <w:highlight w:val="yellow"/>
        </w:rPr>
        <w:lastRenderedPageBreak/>
        <w:t xml:space="preserve">of </w:t>
      </w:r>
      <w:r>
        <w:rPr>
          <w:color w:val="000000" w:themeColor="text1"/>
        </w:rPr>
        <w:t>25 ± 2</w:t>
      </w:r>
      <w:r>
        <w:rPr>
          <w:color w:val="000000" w:themeColor="text1"/>
          <w:highlight w:val="yellow"/>
        </w:rPr>
        <w:t xml:space="preserve"> </w:t>
      </w:r>
      <w:r>
        <w:rPr>
          <w:color w:val="000000" w:themeColor="text1"/>
        </w:rPr>
        <w:t xml:space="preserve">°C, and relative humidity </w:t>
      </w:r>
      <w:r>
        <w:rPr>
          <w:color w:val="000000" w:themeColor="text1"/>
          <w:highlight w:val="yellow"/>
        </w:rPr>
        <w:t xml:space="preserve">of </w:t>
      </w:r>
      <w:r>
        <w:rPr>
          <w:color w:val="000000" w:themeColor="text1"/>
        </w:rPr>
        <w:t>50</w:t>
      </w:r>
      <w:r>
        <w:rPr>
          <w:color w:val="000000" w:themeColor="text1"/>
          <w:highlight w:val="yellow"/>
        </w:rPr>
        <w:t>–</w:t>
      </w:r>
      <w:r>
        <w:rPr>
          <w:color w:val="000000" w:themeColor="text1"/>
        </w:rPr>
        <w:t xml:space="preserve">60%). They were fed standard rat chow and given water ad libitum. The animals were allowed two days </w:t>
      </w:r>
      <w:r>
        <w:rPr>
          <w:color w:val="000000" w:themeColor="text1"/>
          <w:highlight w:val="yellow"/>
        </w:rPr>
        <w:t>t</w:t>
      </w:r>
      <w:r>
        <w:rPr>
          <w:color w:val="000000" w:themeColor="text1"/>
        </w:rPr>
        <w:t xml:space="preserve">o </w:t>
      </w:r>
      <w:proofErr w:type="spellStart"/>
      <w:r>
        <w:rPr>
          <w:color w:val="000000" w:themeColor="text1"/>
        </w:rPr>
        <w:t>acclimati</w:t>
      </w:r>
      <w:r>
        <w:rPr>
          <w:color w:val="000000" w:themeColor="text1"/>
          <w:highlight w:val="yellow"/>
        </w:rPr>
        <w:t>se</w:t>
      </w:r>
      <w:proofErr w:type="spellEnd"/>
      <w:r>
        <w:rPr>
          <w:color w:val="000000" w:themeColor="text1"/>
        </w:rPr>
        <w:t xml:space="preserve"> before the commencement of the experiment.</w:t>
      </w:r>
    </w:p>
    <w:p w14:paraId="1A481EEE" w14:textId="77777777" w:rsidR="0050343D" w:rsidRPr="0050343D" w:rsidRDefault="0050343D" w:rsidP="0050343D">
      <w:pPr>
        <w:pStyle w:val="Heading4"/>
        <w:spacing w:before="0" w:after="160" w:line="480" w:lineRule="auto"/>
        <w:jc w:val="both"/>
        <w:rPr>
          <w:rFonts w:ascii="Times New Roman" w:hAnsi="Times New Roman" w:cs="Times New Roman"/>
          <w:i w:val="0"/>
          <w:color w:val="000000" w:themeColor="text1"/>
          <w:sz w:val="24"/>
          <w:szCs w:val="24"/>
        </w:rPr>
      </w:pPr>
      <w:r w:rsidRPr="0050343D">
        <w:rPr>
          <w:rStyle w:val="Strong"/>
          <w:rFonts w:ascii="Times New Roman" w:hAnsi="Times New Roman" w:cs="Times New Roman"/>
          <w:i w:val="0"/>
          <w:color w:val="000000" w:themeColor="text1"/>
          <w:sz w:val="24"/>
          <w:szCs w:val="24"/>
        </w:rPr>
        <w:t>Experimental Design</w:t>
      </w:r>
    </w:p>
    <w:p w14:paraId="5BD7425D" w14:textId="77777777" w:rsidR="0050343D" w:rsidRDefault="00E0273A" w:rsidP="0050343D">
      <w:pPr>
        <w:pStyle w:val="NormalWeb"/>
        <w:spacing w:before="0" w:beforeAutospacing="0" w:after="160" w:afterAutospacing="0" w:line="480" w:lineRule="auto"/>
        <w:jc w:val="both"/>
        <w:rPr>
          <w:color w:val="000000" w:themeColor="text1"/>
        </w:rPr>
      </w:pPr>
      <w:r>
        <w:rPr>
          <w:color w:val="000000" w:themeColor="text1"/>
        </w:rPr>
        <w:t>List 1: The rats were randomly divided into six (6) groups of six (6) animals each</w:t>
      </w:r>
      <w:r>
        <w:rPr>
          <w:color w:val="000000" w:themeColor="text1"/>
          <w:highlight w:val="yellow"/>
        </w:rPr>
        <w:t>,</w:t>
      </w:r>
      <w:r>
        <w:rPr>
          <w:color w:val="000000" w:themeColor="text1"/>
        </w:rPr>
        <w:t xml:space="preserve"> as follows</w:t>
      </w:r>
      <w:r>
        <w:rPr>
          <w:color w:val="000000" w:themeColor="text1"/>
          <w:highlight w:val="yellow"/>
        </w:rPr>
        <w:t>:</w:t>
      </w:r>
    </w:p>
    <w:tbl>
      <w:tblPr>
        <w:tblStyle w:val="TableGrid"/>
        <w:tblW w:w="5000"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473"/>
        <w:gridCol w:w="6327"/>
      </w:tblGrid>
      <w:tr w:rsidR="0050343D" w14:paraId="48027B08" w14:textId="77777777" w:rsidTr="00E0273A">
        <w:trPr>
          <w:trHeight w:val="653"/>
        </w:trPr>
        <w:tc>
          <w:tcPr>
            <w:tcW w:w="2071" w:type="pct"/>
          </w:tcPr>
          <w:p w14:paraId="6C19C293" w14:textId="77777777" w:rsidR="0050343D" w:rsidRPr="0076787A" w:rsidRDefault="0050343D" w:rsidP="009C7526">
            <w:pPr>
              <w:pStyle w:val="NormalWeb"/>
              <w:spacing w:before="0" w:beforeAutospacing="0" w:after="160" w:afterAutospacing="0" w:line="360" w:lineRule="auto"/>
              <w:jc w:val="center"/>
              <w:rPr>
                <w:b/>
                <w:color w:val="000000" w:themeColor="text1"/>
              </w:rPr>
            </w:pPr>
            <w:r w:rsidRPr="0076787A">
              <w:rPr>
                <w:b/>
                <w:color w:val="000000" w:themeColor="text1"/>
              </w:rPr>
              <w:t>Groups</w:t>
            </w:r>
          </w:p>
        </w:tc>
        <w:tc>
          <w:tcPr>
            <w:tcW w:w="2929" w:type="pct"/>
          </w:tcPr>
          <w:p w14:paraId="334A649C" w14:textId="77777777" w:rsidR="0050343D" w:rsidRPr="0076787A" w:rsidRDefault="0050343D" w:rsidP="009C7526">
            <w:pPr>
              <w:pStyle w:val="NormalWeb"/>
              <w:spacing w:before="0" w:beforeAutospacing="0" w:after="160" w:afterAutospacing="0" w:line="360" w:lineRule="auto"/>
              <w:jc w:val="center"/>
              <w:rPr>
                <w:b/>
                <w:color w:val="000000" w:themeColor="text1"/>
              </w:rPr>
            </w:pPr>
            <w:r>
              <w:rPr>
                <w:b/>
                <w:color w:val="000000" w:themeColor="text1"/>
              </w:rPr>
              <w:t>Treatment Administration</w:t>
            </w:r>
          </w:p>
        </w:tc>
      </w:tr>
      <w:tr w:rsidR="0050343D" w14:paraId="7E07E770" w14:textId="77777777" w:rsidTr="00E0273A">
        <w:trPr>
          <w:trHeight w:val="1052"/>
        </w:trPr>
        <w:tc>
          <w:tcPr>
            <w:tcW w:w="2071" w:type="pct"/>
          </w:tcPr>
          <w:p w14:paraId="2236AAE3" w14:textId="77777777" w:rsidR="0050343D" w:rsidRPr="0076787A" w:rsidRDefault="0050343D" w:rsidP="009C7526">
            <w:pPr>
              <w:pStyle w:val="NormalWeb"/>
              <w:spacing w:before="0" w:beforeAutospacing="0" w:after="160" w:afterAutospacing="0" w:line="360" w:lineRule="auto"/>
              <w:jc w:val="center"/>
              <w:rPr>
                <w:b/>
                <w:color w:val="000000" w:themeColor="text1"/>
              </w:rPr>
            </w:pPr>
            <w:r w:rsidRPr="0076787A">
              <w:rPr>
                <w:rStyle w:val="Strong"/>
                <w:rFonts w:eastAsiaTheme="majorEastAsia"/>
                <w:b w:val="0"/>
                <w:color w:val="000000" w:themeColor="text1"/>
              </w:rPr>
              <w:t>PS1</w:t>
            </w:r>
          </w:p>
        </w:tc>
        <w:tc>
          <w:tcPr>
            <w:tcW w:w="2929" w:type="pct"/>
          </w:tcPr>
          <w:p w14:paraId="26469D29" w14:textId="77777777" w:rsidR="0050343D" w:rsidRDefault="0050343D" w:rsidP="009C7526">
            <w:pPr>
              <w:pStyle w:val="NormalWeb"/>
              <w:spacing w:before="0" w:beforeAutospacing="0" w:after="160" w:afterAutospacing="0" w:line="360" w:lineRule="auto"/>
              <w:jc w:val="center"/>
              <w:rPr>
                <w:color w:val="000000" w:themeColor="text1"/>
              </w:rPr>
            </w:pPr>
            <w:r>
              <w:rPr>
                <w:color w:val="000000" w:themeColor="text1"/>
              </w:rPr>
              <w:t>Induced with</w:t>
            </w:r>
            <w:r w:rsidRPr="0076787A">
              <w:rPr>
                <w:color w:val="000000" w:themeColor="text1"/>
              </w:rPr>
              <w:t xml:space="preserve"> cadmium chloride</w:t>
            </w:r>
            <w:r>
              <w:rPr>
                <w:color w:val="000000" w:themeColor="text1"/>
              </w:rPr>
              <w:t xml:space="preserve"> (5mg/kg body weight)</w:t>
            </w:r>
            <w:r w:rsidRPr="0076787A">
              <w:rPr>
                <w:color w:val="000000" w:themeColor="text1"/>
              </w:rPr>
              <w:t xml:space="preserve">, and </w:t>
            </w:r>
            <w:r>
              <w:rPr>
                <w:color w:val="000000" w:themeColor="text1"/>
              </w:rPr>
              <w:t>fed diet</w:t>
            </w:r>
            <w:r w:rsidRPr="0076787A">
              <w:rPr>
                <w:color w:val="000000" w:themeColor="text1"/>
              </w:rPr>
              <w:t xml:space="preserve"> supplement</w:t>
            </w:r>
            <w:r>
              <w:rPr>
                <w:color w:val="000000" w:themeColor="text1"/>
              </w:rPr>
              <w:t xml:space="preserve">ed 10% </w:t>
            </w:r>
            <w:r w:rsidRPr="0076787A">
              <w:rPr>
                <w:rStyle w:val="Emphasis"/>
                <w:color w:val="000000" w:themeColor="text1"/>
              </w:rPr>
              <w:t xml:space="preserve">Pterocarpus </w:t>
            </w:r>
            <w:proofErr w:type="spellStart"/>
            <w:r w:rsidRPr="0076787A">
              <w:rPr>
                <w:rStyle w:val="Emphasis"/>
                <w:color w:val="000000" w:themeColor="text1"/>
              </w:rPr>
              <w:t>santalinoides</w:t>
            </w:r>
            <w:proofErr w:type="spellEnd"/>
            <w:r w:rsidRPr="0076787A">
              <w:rPr>
                <w:rStyle w:val="Emphasis"/>
                <w:color w:val="000000" w:themeColor="text1"/>
              </w:rPr>
              <w:t xml:space="preserve"> </w:t>
            </w:r>
            <w:r>
              <w:t>leaf meal</w:t>
            </w:r>
          </w:p>
        </w:tc>
      </w:tr>
      <w:tr w:rsidR="0050343D" w14:paraId="34DC1AC0" w14:textId="77777777" w:rsidTr="00E0273A">
        <w:trPr>
          <w:trHeight w:val="1115"/>
        </w:trPr>
        <w:tc>
          <w:tcPr>
            <w:tcW w:w="2071" w:type="pct"/>
          </w:tcPr>
          <w:p w14:paraId="1046A0B6" w14:textId="77777777" w:rsidR="0050343D" w:rsidRPr="0076787A" w:rsidRDefault="0050343D" w:rsidP="009C7526">
            <w:pPr>
              <w:pStyle w:val="NormalWeb"/>
              <w:spacing w:before="0" w:beforeAutospacing="0" w:after="160" w:afterAutospacing="0" w:line="360" w:lineRule="auto"/>
              <w:jc w:val="center"/>
              <w:rPr>
                <w:b/>
                <w:color w:val="000000" w:themeColor="text1"/>
              </w:rPr>
            </w:pPr>
            <w:r w:rsidRPr="0076787A">
              <w:rPr>
                <w:rStyle w:val="Strong"/>
                <w:rFonts w:eastAsiaTheme="majorEastAsia"/>
                <w:b w:val="0"/>
              </w:rPr>
              <w:t>PS2</w:t>
            </w:r>
          </w:p>
        </w:tc>
        <w:tc>
          <w:tcPr>
            <w:tcW w:w="2929" w:type="pct"/>
          </w:tcPr>
          <w:p w14:paraId="009024B0" w14:textId="77777777" w:rsidR="0050343D" w:rsidRPr="0076787A" w:rsidRDefault="0050343D" w:rsidP="009C7526">
            <w:pPr>
              <w:pStyle w:val="NormalWeb"/>
              <w:spacing w:before="0" w:beforeAutospacing="0" w:after="160" w:afterAutospacing="0" w:line="360" w:lineRule="auto"/>
              <w:jc w:val="center"/>
              <w:rPr>
                <w:color w:val="000000" w:themeColor="text1"/>
              </w:rPr>
            </w:pPr>
            <w:r>
              <w:rPr>
                <w:color w:val="000000" w:themeColor="text1"/>
              </w:rPr>
              <w:t>Induced with</w:t>
            </w:r>
            <w:r w:rsidRPr="0076787A">
              <w:rPr>
                <w:color w:val="000000" w:themeColor="text1"/>
              </w:rPr>
              <w:t xml:space="preserve"> cadmium chloride</w:t>
            </w:r>
            <w:r>
              <w:rPr>
                <w:color w:val="000000" w:themeColor="text1"/>
              </w:rPr>
              <w:t xml:space="preserve"> (5mg/kg body weight)</w:t>
            </w:r>
            <w:r w:rsidRPr="0076787A">
              <w:rPr>
                <w:color w:val="000000" w:themeColor="text1"/>
              </w:rPr>
              <w:t xml:space="preserve">, and </w:t>
            </w:r>
            <w:r>
              <w:rPr>
                <w:color w:val="000000" w:themeColor="text1"/>
              </w:rPr>
              <w:t>fed diet</w:t>
            </w:r>
            <w:r w:rsidRPr="0076787A">
              <w:rPr>
                <w:color w:val="000000" w:themeColor="text1"/>
              </w:rPr>
              <w:t xml:space="preserve"> supplement</w:t>
            </w:r>
            <w:r>
              <w:rPr>
                <w:color w:val="000000" w:themeColor="text1"/>
              </w:rPr>
              <w:t xml:space="preserve">ed 20% </w:t>
            </w:r>
            <w:r w:rsidRPr="0076787A">
              <w:rPr>
                <w:rStyle w:val="Emphasis"/>
                <w:color w:val="000000" w:themeColor="text1"/>
              </w:rPr>
              <w:t xml:space="preserve">Pterocarpus </w:t>
            </w:r>
            <w:proofErr w:type="spellStart"/>
            <w:r w:rsidRPr="0076787A">
              <w:rPr>
                <w:rStyle w:val="Emphasis"/>
                <w:color w:val="000000" w:themeColor="text1"/>
              </w:rPr>
              <w:t>santalinoides</w:t>
            </w:r>
            <w:proofErr w:type="spellEnd"/>
            <w:r w:rsidRPr="0076787A">
              <w:rPr>
                <w:rStyle w:val="Emphasis"/>
                <w:color w:val="000000" w:themeColor="text1"/>
              </w:rPr>
              <w:t xml:space="preserve"> </w:t>
            </w:r>
            <w:r>
              <w:t>leaf meal</w:t>
            </w:r>
          </w:p>
        </w:tc>
      </w:tr>
      <w:tr w:rsidR="0050343D" w14:paraId="25FB1A97" w14:textId="77777777" w:rsidTr="00E0273A">
        <w:trPr>
          <w:trHeight w:val="1115"/>
        </w:trPr>
        <w:tc>
          <w:tcPr>
            <w:tcW w:w="2071" w:type="pct"/>
          </w:tcPr>
          <w:p w14:paraId="7AFB1509" w14:textId="77777777" w:rsidR="0050343D" w:rsidRPr="00B14FBF" w:rsidRDefault="0050343D" w:rsidP="009C7526">
            <w:pPr>
              <w:pStyle w:val="NormalWeb"/>
              <w:spacing w:before="0" w:beforeAutospacing="0" w:after="160" w:afterAutospacing="0" w:line="360" w:lineRule="auto"/>
              <w:jc w:val="center"/>
              <w:rPr>
                <w:color w:val="000000" w:themeColor="text1"/>
              </w:rPr>
            </w:pPr>
            <w:r>
              <w:rPr>
                <w:rStyle w:val="Strong"/>
                <w:rFonts w:eastAsiaTheme="majorEastAsia"/>
                <w:b w:val="0"/>
              </w:rPr>
              <w:t>PS3</w:t>
            </w:r>
          </w:p>
        </w:tc>
        <w:tc>
          <w:tcPr>
            <w:tcW w:w="2929" w:type="pct"/>
          </w:tcPr>
          <w:p w14:paraId="0D62E515" w14:textId="77777777" w:rsidR="0050343D" w:rsidRPr="00B14FBF" w:rsidRDefault="0050343D" w:rsidP="009C7526">
            <w:pPr>
              <w:pStyle w:val="NormalWeb"/>
              <w:spacing w:before="0" w:beforeAutospacing="0" w:after="160" w:afterAutospacing="0" w:line="360" w:lineRule="auto"/>
              <w:jc w:val="center"/>
              <w:rPr>
                <w:color w:val="000000" w:themeColor="text1"/>
              </w:rPr>
            </w:pPr>
            <w:r>
              <w:rPr>
                <w:color w:val="000000" w:themeColor="text1"/>
              </w:rPr>
              <w:t>Induced with</w:t>
            </w:r>
            <w:r w:rsidRPr="0076787A">
              <w:rPr>
                <w:color w:val="000000" w:themeColor="text1"/>
              </w:rPr>
              <w:t xml:space="preserve"> cadmium chloride</w:t>
            </w:r>
            <w:r>
              <w:rPr>
                <w:color w:val="000000" w:themeColor="text1"/>
              </w:rPr>
              <w:t xml:space="preserve"> (5mg/kg body weight)</w:t>
            </w:r>
            <w:r w:rsidRPr="0076787A">
              <w:rPr>
                <w:color w:val="000000" w:themeColor="text1"/>
              </w:rPr>
              <w:t xml:space="preserve">, and </w:t>
            </w:r>
            <w:r>
              <w:rPr>
                <w:color w:val="000000" w:themeColor="text1"/>
              </w:rPr>
              <w:t>fed diet</w:t>
            </w:r>
            <w:r w:rsidRPr="0076787A">
              <w:rPr>
                <w:color w:val="000000" w:themeColor="text1"/>
              </w:rPr>
              <w:t xml:space="preserve"> supplement</w:t>
            </w:r>
            <w:r>
              <w:rPr>
                <w:color w:val="000000" w:themeColor="text1"/>
              </w:rPr>
              <w:t xml:space="preserve">ed 40% </w:t>
            </w:r>
            <w:r w:rsidRPr="0076787A">
              <w:rPr>
                <w:rStyle w:val="Emphasis"/>
                <w:color w:val="000000" w:themeColor="text1"/>
              </w:rPr>
              <w:t xml:space="preserve">Pterocarpus </w:t>
            </w:r>
            <w:proofErr w:type="spellStart"/>
            <w:r w:rsidRPr="0076787A">
              <w:rPr>
                <w:rStyle w:val="Emphasis"/>
                <w:color w:val="000000" w:themeColor="text1"/>
              </w:rPr>
              <w:t>santalinoides</w:t>
            </w:r>
            <w:proofErr w:type="spellEnd"/>
            <w:r w:rsidRPr="0076787A">
              <w:rPr>
                <w:rStyle w:val="Emphasis"/>
                <w:color w:val="000000" w:themeColor="text1"/>
              </w:rPr>
              <w:t xml:space="preserve"> </w:t>
            </w:r>
            <w:r>
              <w:t>leaf meal</w:t>
            </w:r>
          </w:p>
        </w:tc>
      </w:tr>
      <w:tr w:rsidR="0050343D" w14:paraId="21CF72BD" w14:textId="77777777" w:rsidTr="00E0273A">
        <w:trPr>
          <w:trHeight w:val="1104"/>
        </w:trPr>
        <w:tc>
          <w:tcPr>
            <w:tcW w:w="2071" w:type="pct"/>
          </w:tcPr>
          <w:p w14:paraId="2D37E308" w14:textId="77777777" w:rsidR="0050343D" w:rsidRDefault="0050343D" w:rsidP="009C7526">
            <w:pPr>
              <w:pStyle w:val="NormalWeb"/>
              <w:spacing w:before="0" w:beforeAutospacing="0" w:after="160" w:afterAutospacing="0" w:line="360" w:lineRule="auto"/>
              <w:jc w:val="center"/>
              <w:rPr>
                <w:rStyle w:val="Strong"/>
                <w:rFonts w:eastAsiaTheme="majorEastAsia"/>
                <w:b w:val="0"/>
                <w:color w:val="000000" w:themeColor="text1"/>
              </w:rPr>
            </w:pPr>
            <w:r>
              <w:rPr>
                <w:rStyle w:val="Strong"/>
                <w:rFonts w:eastAsiaTheme="majorEastAsia"/>
                <w:b w:val="0"/>
                <w:color w:val="000000" w:themeColor="text1"/>
              </w:rPr>
              <w:t>Normal Control group</w:t>
            </w:r>
          </w:p>
        </w:tc>
        <w:tc>
          <w:tcPr>
            <w:tcW w:w="2929" w:type="pct"/>
          </w:tcPr>
          <w:p w14:paraId="540D6B05" w14:textId="77777777" w:rsidR="0050343D" w:rsidRPr="00B84EA9" w:rsidRDefault="0050343D" w:rsidP="009C7526">
            <w:pPr>
              <w:pStyle w:val="NormalWeb"/>
              <w:spacing w:before="0" w:beforeAutospacing="0" w:after="160" w:afterAutospacing="0" w:line="360" w:lineRule="auto"/>
              <w:jc w:val="center"/>
              <w:rPr>
                <w:color w:val="000000" w:themeColor="text1"/>
              </w:rPr>
            </w:pPr>
            <w:r w:rsidRPr="00B84EA9">
              <w:rPr>
                <w:color w:val="000000" w:themeColor="text1"/>
              </w:rPr>
              <w:t xml:space="preserve">Received </w:t>
            </w:r>
            <w:r>
              <w:rPr>
                <w:color w:val="000000" w:themeColor="text1"/>
              </w:rPr>
              <w:t>normal</w:t>
            </w:r>
            <w:r w:rsidRPr="00B84EA9">
              <w:rPr>
                <w:color w:val="000000" w:themeColor="text1"/>
              </w:rPr>
              <w:t xml:space="preserve"> rat chow</w:t>
            </w:r>
            <w:r>
              <w:rPr>
                <w:color w:val="000000" w:themeColor="text1"/>
              </w:rPr>
              <w:t xml:space="preserve"> and water throughout the experimental period.</w:t>
            </w:r>
          </w:p>
        </w:tc>
      </w:tr>
      <w:tr w:rsidR="0050343D" w14:paraId="1EFF0474" w14:textId="77777777" w:rsidTr="00E0273A">
        <w:trPr>
          <w:trHeight w:val="1984"/>
        </w:trPr>
        <w:tc>
          <w:tcPr>
            <w:tcW w:w="2071" w:type="pct"/>
          </w:tcPr>
          <w:p w14:paraId="2E7180EC" w14:textId="77777777" w:rsidR="0050343D" w:rsidRDefault="0050343D" w:rsidP="009C7526">
            <w:pPr>
              <w:pStyle w:val="NormalWeb"/>
              <w:spacing w:before="0" w:beforeAutospacing="0" w:after="160" w:afterAutospacing="0" w:line="360" w:lineRule="auto"/>
              <w:jc w:val="center"/>
              <w:rPr>
                <w:rStyle w:val="Strong"/>
                <w:rFonts w:eastAsiaTheme="majorEastAsia"/>
                <w:b w:val="0"/>
                <w:color w:val="000000" w:themeColor="text1"/>
              </w:rPr>
            </w:pPr>
            <w:r>
              <w:rPr>
                <w:rStyle w:val="Strong"/>
                <w:rFonts w:eastAsiaTheme="majorEastAsia"/>
                <w:b w:val="0"/>
                <w:color w:val="000000" w:themeColor="text1"/>
              </w:rPr>
              <w:t>Negative Control group</w:t>
            </w:r>
          </w:p>
          <w:p w14:paraId="536BA36B" w14:textId="77777777" w:rsidR="0050343D" w:rsidRDefault="0050343D" w:rsidP="009C7526">
            <w:pPr>
              <w:pStyle w:val="NormalWeb"/>
              <w:spacing w:before="0" w:beforeAutospacing="0" w:after="160" w:afterAutospacing="0" w:line="360" w:lineRule="auto"/>
              <w:rPr>
                <w:rStyle w:val="Strong"/>
                <w:rFonts w:eastAsiaTheme="majorEastAsia"/>
                <w:b w:val="0"/>
                <w:color w:val="000000" w:themeColor="text1"/>
              </w:rPr>
            </w:pPr>
          </w:p>
          <w:p w14:paraId="636916DC" w14:textId="77777777" w:rsidR="0050343D" w:rsidRDefault="0050343D" w:rsidP="009C7526">
            <w:pPr>
              <w:pStyle w:val="NormalWeb"/>
              <w:spacing w:before="0" w:beforeAutospacing="0" w:after="160" w:afterAutospacing="0" w:line="360" w:lineRule="auto"/>
              <w:jc w:val="center"/>
              <w:rPr>
                <w:rStyle w:val="Strong"/>
                <w:rFonts w:eastAsiaTheme="majorEastAsia"/>
                <w:b w:val="0"/>
                <w:color w:val="000000" w:themeColor="text1"/>
              </w:rPr>
            </w:pPr>
            <w:r>
              <w:rPr>
                <w:rStyle w:val="Strong"/>
                <w:rFonts w:eastAsiaTheme="majorEastAsia"/>
                <w:b w:val="0"/>
                <w:color w:val="000000" w:themeColor="text1"/>
              </w:rPr>
              <w:t>Standard control group (vitamin E)</w:t>
            </w:r>
          </w:p>
        </w:tc>
        <w:tc>
          <w:tcPr>
            <w:tcW w:w="2929" w:type="pct"/>
          </w:tcPr>
          <w:p w14:paraId="519EF1B4" w14:textId="77777777" w:rsidR="0050343D" w:rsidRDefault="0050343D" w:rsidP="009C7526">
            <w:pPr>
              <w:pStyle w:val="NormalWeb"/>
              <w:spacing w:before="0" w:beforeAutospacing="0" w:after="160" w:afterAutospacing="0" w:line="360" w:lineRule="auto"/>
              <w:jc w:val="center"/>
              <w:rPr>
                <w:color w:val="000000" w:themeColor="text1"/>
              </w:rPr>
            </w:pPr>
            <w:r>
              <w:rPr>
                <w:color w:val="000000" w:themeColor="text1"/>
              </w:rPr>
              <w:t>Induced with</w:t>
            </w:r>
            <w:r w:rsidRPr="00B84EA9">
              <w:rPr>
                <w:color w:val="000000" w:themeColor="text1"/>
              </w:rPr>
              <w:t xml:space="preserve"> cadmiu</w:t>
            </w:r>
            <w:r>
              <w:rPr>
                <w:color w:val="000000" w:themeColor="text1"/>
              </w:rPr>
              <w:t>m chloride (5mg/kg body weight) and r</w:t>
            </w:r>
            <w:r w:rsidRPr="00B84EA9">
              <w:rPr>
                <w:color w:val="000000" w:themeColor="text1"/>
              </w:rPr>
              <w:t xml:space="preserve">eceived </w:t>
            </w:r>
            <w:r>
              <w:rPr>
                <w:color w:val="000000" w:themeColor="text1"/>
              </w:rPr>
              <w:t>normal</w:t>
            </w:r>
            <w:r w:rsidRPr="00B84EA9">
              <w:rPr>
                <w:color w:val="000000" w:themeColor="text1"/>
              </w:rPr>
              <w:t xml:space="preserve"> rat chow</w:t>
            </w:r>
            <w:r>
              <w:rPr>
                <w:color w:val="000000" w:themeColor="text1"/>
              </w:rPr>
              <w:t xml:space="preserve"> and water</w:t>
            </w:r>
          </w:p>
          <w:p w14:paraId="59AB62ED" w14:textId="77777777" w:rsidR="0050343D" w:rsidRDefault="0050343D" w:rsidP="009C7526">
            <w:pPr>
              <w:pStyle w:val="NormalWeb"/>
              <w:spacing w:before="0" w:beforeAutospacing="0" w:after="160" w:afterAutospacing="0" w:line="360" w:lineRule="auto"/>
              <w:jc w:val="center"/>
              <w:rPr>
                <w:color w:val="000000" w:themeColor="text1"/>
              </w:rPr>
            </w:pPr>
            <w:r w:rsidRPr="00B84EA9">
              <w:rPr>
                <w:color w:val="000000" w:themeColor="text1"/>
              </w:rPr>
              <w:t xml:space="preserve">Received </w:t>
            </w:r>
            <w:r>
              <w:rPr>
                <w:color w:val="000000" w:themeColor="text1"/>
              </w:rPr>
              <w:t>normal</w:t>
            </w:r>
            <w:r w:rsidRPr="00B84EA9">
              <w:rPr>
                <w:color w:val="000000" w:themeColor="text1"/>
              </w:rPr>
              <w:t xml:space="preserve"> rat chow</w:t>
            </w:r>
            <w:r>
              <w:rPr>
                <w:color w:val="000000" w:themeColor="text1"/>
              </w:rPr>
              <w:t xml:space="preserve"> and water throughout the experimental period.</w:t>
            </w:r>
          </w:p>
        </w:tc>
      </w:tr>
    </w:tbl>
    <w:p w14:paraId="385A8E43" w14:textId="77777777" w:rsidR="0050343D" w:rsidRPr="0050343D" w:rsidRDefault="0050343D" w:rsidP="0050343D">
      <w:pPr>
        <w:pStyle w:val="Heading4"/>
        <w:spacing w:before="0" w:after="160" w:line="480" w:lineRule="auto"/>
        <w:jc w:val="both"/>
        <w:rPr>
          <w:rStyle w:val="Strong"/>
          <w:rFonts w:ascii="Times New Roman" w:hAnsi="Times New Roman" w:cs="Times New Roman"/>
          <w:i w:val="0"/>
          <w:color w:val="000000" w:themeColor="text1"/>
          <w:sz w:val="24"/>
          <w:szCs w:val="24"/>
        </w:rPr>
      </w:pPr>
      <w:r>
        <w:rPr>
          <w:rStyle w:val="Strong"/>
          <w:rFonts w:ascii="Times New Roman" w:hAnsi="Times New Roman" w:cs="Times New Roman"/>
          <w:b w:val="0"/>
          <w:i w:val="0"/>
          <w:color w:val="000000" w:themeColor="text1"/>
          <w:sz w:val="24"/>
          <w:szCs w:val="24"/>
        </w:rPr>
        <w:t>All animals</w:t>
      </w:r>
      <w:r>
        <w:rPr>
          <w:rStyle w:val="Strong"/>
          <w:rFonts w:ascii="Times New Roman" w:hAnsi="Times New Roman" w:cs="Times New Roman"/>
          <w:b w:val="0"/>
          <w:i w:val="0"/>
          <w:color w:val="000000" w:themeColor="text1"/>
          <w:sz w:val="24"/>
          <w:szCs w:val="24"/>
          <w:highlight w:val="yellow"/>
        </w:rPr>
        <w:t>,</w:t>
      </w:r>
      <w:r>
        <w:rPr>
          <w:rStyle w:val="Strong"/>
          <w:rFonts w:ascii="Times New Roman" w:hAnsi="Times New Roman" w:cs="Times New Roman"/>
          <w:b w:val="0"/>
          <w:i w:val="0"/>
          <w:color w:val="000000" w:themeColor="text1"/>
          <w:sz w:val="24"/>
          <w:szCs w:val="24"/>
        </w:rPr>
        <w:t xml:space="preserve"> except those in the normal control group</w:t>
      </w:r>
      <w:r>
        <w:rPr>
          <w:rStyle w:val="Strong"/>
          <w:rFonts w:ascii="Times New Roman" w:hAnsi="Times New Roman" w:cs="Times New Roman"/>
          <w:b w:val="0"/>
          <w:i w:val="0"/>
          <w:color w:val="000000" w:themeColor="text1"/>
          <w:sz w:val="24"/>
          <w:szCs w:val="24"/>
          <w:highlight w:val="yellow"/>
        </w:rPr>
        <w:t>,</w:t>
      </w:r>
      <w:r>
        <w:rPr>
          <w:rStyle w:val="Strong"/>
          <w:rFonts w:ascii="Times New Roman" w:hAnsi="Times New Roman" w:cs="Times New Roman"/>
          <w:b w:val="0"/>
          <w:i w:val="0"/>
          <w:color w:val="000000" w:themeColor="text1"/>
          <w:sz w:val="24"/>
          <w:szCs w:val="24"/>
        </w:rPr>
        <w:t xml:space="preserve"> were orally administered cadmium chloride at a dose of</w:t>
      </w:r>
      <w:r>
        <w:rPr>
          <w:rStyle w:val="Strong"/>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5</w:t>
      </w:r>
      <w:r>
        <w:rPr>
          <w:rFonts w:ascii="Times New Roman" w:hAnsi="Times New Roman" w:cs="Times New Roman"/>
          <w:i w:val="0"/>
          <w:color w:val="000000" w:themeColor="text1"/>
          <w:sz w:val="24"/>
          <w:szCs w:val="24"/>
          <w:highlight w:val="yellow"/>
        </w:rPr>
        <w:t xml:space="preserve"> </w:t>
      </w:r>
      <w:r>
        <w:rPr>
          <w:rFonts w:ascii="Times New Roman" w:hAnsi="Times New Roman" w:cs="Times New Roman"/>
          <w:i w:val="0"/>
          <w:color w:val="000000" w:themeColor="text1"/>
          <w:sz w:val="24"/>
          <w:szCs w:val="24"/>
        </w:rPr>
        <w:t>mg/kg body weight for 14 consecutive days to induce toxicity. Following induction, rats in groups PS1, PS2, and PS3 were fed diet</w:t>
      </w:r>
      <w:r>
        <w:rPr>
          <w:rFonts w:ascii="Times New Roman" w:hAnsi="Times New Roman" w:cs="Times New Roman"/>
          <w:i w:val="0"/>
          <w:color w:val="000000" w:themeColor="text1"/>
          <w:sz w:val="24"/>
          <w:szCs w:val="24"/>
          <w:highlight w:val="yellow"/>
        </w:rPr>
        <w:t>s</w:t>
      </w:r>
      <w:r>
        <w:rPr>
          <w:rFonts w:ascii="Times New Roman" w:hAnsi="Times New Roman" w:cs="Times New Roman"/>
          <w:i w:val="0"/>
          <w:color w:val="000000" w:themeColor="text1"/>
          <w:sz w:val="24"/>
          <w:szCs w:val="24"/>
        </w:rPr>
        <w:t xml:space="preserve"> containing 10%, 20%, and 40% </w:t>
      </w:r>
      <w:r>
        <w:rPr>
          <w:rStyle w:val="Emphasis"/>
          <w:rFonts w:ascii="Times New Roman" w:hAnsi="Times New Roman" w:cs="Times New Roman"/>
          <w:i/>
          <w:color w:val="000000" w:themeColor="text1"/>
          <w:sz w:val="24"/>
          <w:szCs w:val="24"/>
          <w:highlight w:val="yellow"/>
        </w:rPr>
        <w:t xml:space="preserve">Pterocarpus </w:t>
      </w:r>
      <w:proofErr w:type="spellStart"/>
      <w:r>
        <w:rPr>
          <w:rStyle w:val="Emphasis"/>
          <w:rFonts w:ascii="Times New Roman" w:hAnsi="Times New Roman" w:cs="Times New Roman"/>
          <w:i/>
          <w:color w:val="000000" w:themeColor="text1"/>
          <w:sz w:val="24"/>
          <w:szCs w:val="24"/>
          <w:highlight w:val="yellow"/>
        </w:rPr>
        <w:t>santalinoides</w:t>
      </w:r>
      <w:proofErr w:type="spellEnd"/>
      <w:r>
        <w:rPr>
          <w:rStyle w:val="Emphasis"/>
          <w:rFonts w:ascii="Times New Roman" w:hAnsi="Times New Roman" w:cs="Times New Roman"/>
          <w:color w:val="000000" w:themeColor="text1"/>
          <w:sz w:val="24"/>
          <w:szCs w:val="24"/>
        </w:rPr>
        <w:t xml:space="preserve"> leaf meal, </w:t>
      </w:r>
      <w:r>
        <w:rPr>
          <w:rFonts w:ascii="Times New Roman" w:hAnsi="Times New Roman" w:cs="Times New Roman"/>
          <w:i w:val="0"/>
          <w:color w:val="000000" w:themeColor="text1"/>
          <w:sz w:val="24"/>
          <w:szCs w:val="24"/>
        </w:rPr>
        <w:t>respectively, for 21 consecutive days</w:t>
      </w:r>
      <w:r>
        <w:rPr>
          <w:rFonts w:ascii="Times New Roman" w:hAnsi="Times New Roman" w:cs="Times New Roman"/>
          <w:i w:val="0"/>
          <w:color w:val="000000" w:themeColor="text1"/>
          <w:sz w:val="24"/>
          <w:szCs w:val="24"/>
          <w:highlight w:val="yellow"/>
        </w:rPr>
        <w:t>.</w:t>
      </w:r>
    </w:p>
    <w:p w14:paraId="05107C0E" w14:textId="77777777" w:rsidR="0050343D" w:rsidRPr="0050343D" w:rsidRDefault="0050343D" w:rsidP="0050343D">
      <w:pPr>
        <w:pStyle w:val="Heading4"/>
        <w:spacing w:before="0" w:after="160" w:line="480" w:lineRule="auto"/>
        <w:jc w:val="both"/>
        <w:rPr>
          <w:rFonts w:ascii="Times New Roman" w:hAnsi="Times New Roman" w:cs="Times New Roman"/>
          <w:i w:val="0"/>
          <w:color w:val="000000" w:themeColor="text1"/>
          <w:sz w:val="24"/>
          <w:szCs w:val="24"/>
        </w:rPr>
      </w:pPr>
      <w:r w:rsidRPr="0050343D">
        <w:rPr>
          <w:rStyle w:val="Strong"/>
          <w:rFonts w:ascii="Times New Roman" w:hAnsi="Times New Roman" w:cs="Times New Roman"/>
          <w:i w:val="0"/>
          <w:color w:val="000000" w:themeColor="text1"/>
          <w:sz w:val="24"/>
          <w:szCs w:val="24"/>
        </w:rPr>
        <w:t xml:space="preserve">Preparation of </w:t>
      </w:r>
      <w:r w:rsidRPr="0050343D">
        <w:rPr>
          <w:rStyle w:val="Emphasis"/>
          <w:rFonts w:ascii="Times New Roman" w:hAnsi="Times New Roman" w:cs="Times New Roman"/>
          <w:b/>
          <w:i/>
          <w:iCs/>
          <w:color w:val="000000" w:themeColor="text1"/>
          <w:sz w:val="24"/>
          <w:szCs w:val="24"/>
        </w:rPr>
        <w:t>Pterocarpus</w:t>
      </w:r>
      <w:r w:rsidRPr="0050343D">
        <w:rPr>
          <w:rStyle w:val="Emphasis"/>
          <w:rFonts w:ascii="Times New Roman" w:hAnsi="Times New Roman" w:cs="Times New Roman"/>
          <w:i/>
          <w:iCs/>
          <w:color w:val="000000" w:themeColor="text1"/>
          <w:sz w:val="24"/>
          <w:szCs w:val="24"/>
        </w:rPr>
        <w:t xml:space="preserve"> </w:t>
      </w:r>
      <w:proofErr w:type="spellStart"/>
      <w:r w:rsidRPr="0050343D">
        <w:rPr>
          <w:rStyle w:val="Emphasis"/>
          <w:rFonts w:ascii="Times New Roman" w:hAnsi="Times New Roman" w:cs="Times New Roman"/>
          <w:b/>
          <w:i/>
          <w:iCs/>
          <w:color w:val="000000" w:themeColor="text1"/>
          <w:sz w:val="24"/>
          <w:szCs w:val="24"/>
        </w:rPr>
        <w:t>santalinoides</w:t>
      </w:r>
      <w:proofErr w:type="spellEnd"/>
      <w:r w:rsidRPr="0050343D">
        <w:rPr>
          <w:rStyle w:val="Emphasis"/>
          <w:rFonts w:ascii="Times New Roman" w:hAnsi="Times New Roman" w:cs="Times New Roman"/>
          <w:i/>
          <w:iCs/>
          <w:color w:val="000000" w:themeColor="text1"/>
          <w:sz w:val="24"/>
          <w:szCs w:val="24"/>
        </w:rPr>
        <w:t xml:space="preserve"> </w:t>
      </w:r>
      <w:r w:rsidRPr="0050343D">
        <w:rPr>
          <w:rStyle w:val="Strong"/>
          <w:rFonts w:ascii="Times New Roman" w:hAnsi="Times New Roman" w:cs="Times New Roman"/>
          <w:i w:val="0"/>
          <w:color w:val="000000" w:themeColor="text1"/>
          <w:sz w:val="24"/>
          <w:szCs w:val="24"/>
        </w:rPr>
        <w:t>Leaf Diet</w:t>
      </w:r>
    </w:p>
    <w:p w14:paraId="6473E526" w14:textId="77777777" w:rsidR="0050343D" w:rsidRPr="00B84EA9" w:rsidRDefault="0050343D" w:rsidP="0050343D">
      <w:pPr>
        <w:pStyle w:val="NormalWeb"/>
        <w:spacing w:before="0" w:beforeAutospacing="0" w:after="160" w:afterAutospacing="0" w:line="480" w:lineRule="auto"/>
        <w:jc w:val="both"/>
        <w:rPr>
          <w:color w:val="000000" w:themeColor="text1"/>
        </w:rPr>
      </w:pPr>
      <w:r>
        <w:rPr>
          <w:color w:val="000000" w:themeColor="text1"/>
        </w:rPr>
        <w:t>The collected leaves were washed thoroughly to remove dust and debris, air-dried at room temperature (25</w:t>
      </w:r>
      <w:r>
        <w:rPr>
          <w:color w:val="000000" w:themeColor="text1"/>
          <w:highlight w:val="yellow"/>
        </w:rPr>
        <w:t>–</w:t>
      </w:r>
      <w:r>
        <w:rPr>
          <w:color w:val="000000" w:themeColor="text1"/>
        </w:rPr>
        <w:t>27</w:t>
      </w:r>
      <w:r>
        <w:rPr>
          <w:color w:val="000000" w:themeColor="text1"/>
          <w:highlight w:val="yellow"/>
        </w:rPr>
        <w:t xml:space="preserve"> </w:t>
      </w:r>
      <w:r>
        <w:rPr>
          <w:color w:val="000000" w:themeColor="text1"/>
        </w:rPr>
        <w:t xml:space="preserve">°C) for 14 days, and </w:t>
      </w:r>
      <w:proofErr w:type="spellStart"/>
      <w:r>
        <w:rPr>
          <w:color w:val="000000" w:themeColor="text1"/>
        </w:rPr>
        <w:t>pulveri</w:t>
      </w:r>
      <w:r>
        <w:rPr>
          <w:color w:val="000000" w:themeColor="text1"/>
          <w:highlight w:val="yellow"/>
        </w:rPr>
        <w:t>s</w:t>
      </w:r>
      <w:r>
        <w:rPr>
          <w:color w:val="000000" w:themeColor="text1"/>
        </w:rPr>
        <w:t>ed</w:t>
      </w:r>
      <w:proofErr w:type="spellEnd"/>
      <w:r>
        <w:rPr>
          <w:color w:val="000000" w:themeColor="text1"/>
        </w:rPr>
        <w:t xml:space="preserve"> into</w:t>
      </w:r>
      <w:r>
        <w:rPr>
          <w:color w:val="000000" w:themeColor="text1"/>
          <w:highlight w:val="yellow"/>
        </w:rPr>
        <w:t xml:space="preserve"> a</w:t>
      </w:r>
      <w:r>
        <w:rPr>
          <w:color w:val="000000" w:themeColor="text1"/>
        </w:rPr>
        <w:t xml:space="preserve"> fine powder using an electric blender.</w:t>
      </w:r>
    </w:p>
    <w:p w14:paraId="4D2AC842" w14:textId="77777777" w:rsidR="0050343D" w:rsidRPr="0050343D" w:rsidRDefault="0050343D" w:rsidP="0050343D">
      <w:pPr>
        <w:pStyle w:val="Heading4"/>
        <w:spacing w:before="0" w:after="160" w:line="480" w:lineRule="auto"/>
        <w:jc w:val="both"/>
        <w:rPr>
          <w:rFonts w:ascii="Times New Roman" w:hAnsi="Times New Roman" w:cs="Times New Roman"/>
          <w:i w:val="0"/>
          <w:color w:val="000000" w:themeColor="text1"/>
          <w:sz w:val="24"/>
          <w:szCs w:val="24"/>
        </w:rPr>
      </w:pPr>
      <w:r w:rsidRPr="0050343D">
        <w:rPr>
          <w:rStyle w:val="Strong"/>
          <w:rFonts w:ascii="Times New Roman" w:hAnsi="Times New Roman" w:cs="Times New Roman"/>
          <w:i w:val="0"/>
          <w:color w:val="000000" w:themeColor="text1"/>
          <w:sz w:val="24"/>
          <w:szCs w:val="24"/>
        </w:rPr>
        <w:lastRenderedPageBreak/>
        <w:t>Induction of Cadmium Toxicity</w:t>
      </w:r>
    </w:p>
    <w:p w14:paraId="7D516390" w14:textId="77777777" w:rsidR="0050343D" w:rsidRPr="00B84EA9" w:rsidRDefault="0050343D" w:rsidP="0050343D">
      <w:pPr>
        <w:pStyle w:val="NormalWeb"/>
        <w:spacing w:before="0" w:beforeAutospacing="0" w:after="160" w:afterAutospacing="0" w:line="480" w:lineRule="auto"/>
        <w:jc w:val="both"/>
        <w:rPr>
          <w:color w:val="000000" w:themeColor="text1"/>
        </w:rPr>
      </w:pPr>
      <w:r>
        <w:rPr>
          <w:color w:val="000000" w:themeColor="text1"/>
        </w:rPr>
        <w:t>Cadmium toxicity was induced by oral administration of cadmium chloride at a dose of 5</w:t>
      </w:r>
      <w:r>
        <w:rPr>
          <w:color w:val="000000" w:themeColor="text1"/>
          <w:highlight w:val="yellow"/>
        </w:rPr>
        <w:t xml:space="preserve"> </w:t>
      </w:r>
      <w:r>
        <w:rPr>
          <w:color w:val="000000" w:themeColor="text1"/>
        </w:rPr>
        <w:t xml:space="preserve">mg/kg body weight for 14 consecutive days before </w:t>
      </w:r>
      <w:r>
        <w:rPr>
          <w:color w:val="000000" w:themeColor="text1"/>
          <w:highlight w:val="yellow"/>
        </w:rPr>
        <w:t xml:space="preserve">the </w:t>
      </w:r>
      <w:r>
        <w:rPr>
          <w:color w:val="000000" w:themeColor="text1"/>
        </w:rPr>
        <w:t>commencement of diet administration.</w:t>
      </w:r>
    </w:p>
    <w:p w14:paraId="3665987A" w14:textId="77777777" w:rsidR="0050343D" w:rsidRPr="0050343D" w:rsidRDefault="0050343D" w:rsidP="0050343D">
      <w:pPr>
        <w:pStyle w:val="Heading4"/>
        <w:spacing w:before="0" w:after="160" w:line="480" w:lineRule="auto"/>
        <w:jc w:val="both"/>
        <w:rPr>
          <w:rStyle w:val="Strong"/>
          <w:rFonts w:ascii="Times New Roman" w:hAnsi="Times New Roman" w:cs="Times New Roman"/>
          <w:bCs w:val="0"/>
          <w:i w:val="0"/>
          <w:color w:val="000000" w:themeColor="text1"/>
          <w:sz w:val="24"/>
          <w:szCs w:val="24"/>
        </w:rPr>
      </w:pPr>
      <w:r>
        <w:rPr>
          <w:rStyle w:val="Strong"/>
          <w:rFonts w:ascii="Times New Roman" w:hAnsi="Times New Roman" w:cs="Times New Roman"/>
          <w:i w:val="0"/>
          <w:color w:val="000000" w:themeColor="text1"/>
          <w:sz w:val="24"/>
          <w:szCs w:val="24"/>
        </w:rPr>
        <w:t xml:space="preserve">Administration of </w:t>
      </w:r>
      <w:r>
        <w:rPr>
          <w:rStyle w:val="Strong"/>
          <w:rFonts w:ascii="Times New Roman" w:hAnsi="Times New Roman" w:cs="Times New Roman"/>
          <w:bCs w:val="0"/>
          <w:i w:val="0"/>
          <w:color w:val="000000" w:themeColor="text1"/>
          <w:sz w:val="24"/>
          <w:szCs w:val="24"/>
          <w:highlight w:val="yellow"/>
        </w:rPr>
        <w:t>S</w:t>
      </w:r>
      <w:r>
        <w:rPr>
          <w:rStyle w:val="Strong"/>
          <w:rFonts w:ascii="Times New Roman" w:hAnsi="Times New Roman" w:cs="Times New Roman"/>
          <w:bCs w:val="0"/>
          <w:i w:val="0"/>
          <w:color w:val="000000" w:themeColor="text1"/>
          <w:sz w:val="24"/>
          <w:szCs w:val="24"/>
        </w:rPr>
        <w:t xml:space="preserve">upplemented </w:t>
      </w:r>
      <w:r>
        <w:rPr>
          <w:rStyle w:val="Strong"/>
          <w:rFonts w:ascii="Times New Roman" w:hAnsi="Times New Roman" w:cs="Times New Roman"/>
          <w:bCs w:val="0"/>
          <w:i w:val="0"/>
          <w:color w:val="000000" w:themeColor="text1"/>
          <w:sz w:val="24"/>
          <w:szCs w:val="24"/>
          <w:highlight w:val="yellow"/>
        </w:rPr>
        <w:t>D</w:t>
      </w:r>
      <w:r>
        <w:rPr>
          <w:rStyle w:val="Strong"/>
          <w:rFonts w:ascii="Times New Roman" w:hAnsi="Times New Roman" w:cs="Times New Roman"/>
          <w:bCs w:val="0"/>
          <w:i w:val="0"/>
          <w:color w:val="000000" w:themeColor="text1"/>
          <w:sz w:val="24"/>
          <w:szCs w:val="24"/>
        </w:rPr>
        <w:t>iet</w:t>
      </w:r>
    </w:p>
    <w:p w14:paraId="72976240" w14:textId="77777777" w:rsidR="0050343D" w:rsidRPr="00B84EA9" w:rsidRDefault="0050343D" w:rsidP="0050343D">
      <w:pPr>
        <w:pStyle w:val="NormalWeb"/>
        <w:spacing w:before="0" w:beforeAutospacing="0" w:after="160" w:afterAutospacing="0" w:line="480" w:lineRule="auto"/>
        <w:jc w:val="both"/>
        <w:rPr>
          <w:color w:val="000000" w:themeColor="text1"/>
        </w:rPr>
      </w:pPr>
      <w:r>
        <w:rPr>
          <w:color w:val="000000" w:themeColor="text1"/>
        </w:rPr>
        <w:t>After cadmium induction, the supplemented diet</w:t>
      </w:r>
      <w:r>
        <w:rPr>
          <w:color w:val="000000" w:themeColor="text1"/>
          <w:highlight w:val="yellow"/>
        </w:rPr>
        <w:t>s (10%, 20%, and 40%)</w:t>
      </w:r>
      <w:r>
        <w:rPr>
          <w:color w:val="000000" w:themeColor="text1"/>
        </w:rPr>
        <w:t xml:space="preserve"> w</w:t>
      </w:r>
      <w:r>
        <w:rPr>
          <w:color w:val="000000" w:themeColor="text1"/>
          <w:highlight w:val="yellow"/>
        </w:rPr>
        <w:t>ere</w:t>
      </w:r>
      <w:r>
        <w:rPr>
          <w:color w:val="000000" w:themeColor="text1"/>
        </w:rPr>
        <w:t xml:space="preserve"> administered for 21 consecutive days. The control </w:t>
      </w:r>
      <w:r>
        <w:rPr>
          <w:color w:val="000000" w:themeColor="text1"/>
          <w:highlight w:val="yellow"/>
        </w:rPr>
        <w:t xml:space="preserve">group </w:t>
      </w:r>
      <w:r>
        <w:rPr>
          <w:color w:val="000000" w:themeColor="text1"/>
        </w:rPr>
        <w:t xml:space="preserve">received water and rat chow, </w:t>
      </w:r>
      <w:r>
        <w:rPr>
          <w:color w:val="000000" w:themeColor="text1"/>
          <w:highlight w:val="yellow"/>
        </w:rPr>
        <w:t>where</w:t>
      </w:r>
      <w:r>
        <w:rPr>
          <w:color w:val="000000" w:themeColor="text1"/>
        </w:rPr>
        <w:t>a</w:t>
      </w:r>
      <w:r>
        <w:rPr>
          <w:color w:val="000000" w:themeColor="text1"/>
          <w:highlight w:val="yellow"/>
        </w:rPr>
        <w:t>s</w:t>
      </w:r>
      <w:r>
        <w:rPr>
          <w:color w:val="000000" w:themeColor="text1"/>
        </w:rPr>
        <w:t xml:space="preserve"> the cadmium-only group w</w:t>
      </w:r>
      <w:r>
        <w:rPr>
          <w:color w:val="000000" w:themeColor="text1"/>
          <w:highlight w:val="yellow"/>
        </w:rPr>
        <w:t>as</w:t>
      </w:r>
      <w:r>
        <w:rPr>
          <w:color w:val="000000" w:themeColor="text1"/>
        </w:rPr>
        <w:t xml:space="preserve"> exposed to cadmium chloride (5</w:t>
      </w:r>
      <w:r>
        <w:rPr>
          <w:color w:val="000000" w:themeColor="text1"/>
          <w:highlight w:val="yellow"/>
        </w:rPr>
        <w:t xml:space="preserve"> </w:t>
      </w:r>
      <w:r>
        <w:rPr>
          <w:color w:val="000000" w:themeColor="text1"/>
        </w:rPr>
        <w:t>mg/kg body weight)</w:t>
      </w:r>
      <w:r>
        <w:rPr>
          <w:color w:val="000000" w:themeColor="text1"/>
          <w:highlight w:val="yellow"/>
        </w:rPr>
        <w:t xml:space="preserve"> without treatment</w:t>
      </w:r>
      <w:r>
        <w:rPr>
          <w:color w:val="000000" w:themeColor="text1"/>
        </w:rPr>
        <w:t>.</w:t>
      </w:r>
    </w:p>
    <w:p w14:paraId="34A11A9A" w14:textId="77777777" w:rsidR="0050343D" w:rsidRPr="00EA7300" w:rsidRDefault="0050343D" w:rsidP="0050343D">
      <w:pPr>
        <w:pStyle w:val="Heading4"/>
        <w:spacing w:before="0" w:after="160" w:line="480" w:lineRule="auto"/>
        <w:jc w:val="both"/>
        <w:rPr>
          <w:rFonts w:ascii="Times New Roman" w:hAnsi="Times New Roman" w:cs="Times New Roman"/>
          <w:i w:val="0"/>
          <w:color w:val="000000" w:themeColor="text1"/>
          <w:sz w:val="24"/>
          <w:szCs w:val="24"/>
        </w:rPr>
      </w:pPr>
      <w:r w:rsidRPr="00EA7300">
        <w:rPr>
          <w:rStyle w:val="Strong"/>
          <w:rFonts w:ascii="Times New Roman" w:hAnsi="Times New Roman" w:cs="Times New Roman"/>
          <w:i w:val="0"/>
          <w:color w:val="000000" w:themeColor="text1"/>
          <w:sz w:val="24"/>
          <w:szCs w:val="24"/>
        </w:rPr>
        <w:t>Collection of Blood Samples</w:t>
      </w:r>
    </w:p>
    <w:p w14:paraId="23864869" w14:textId="77777777" w:rsidR="0050343D" w:rsidRPr="00B84EA9" w:rsidRDefault="0050343D" w:rsidP="0050343D">
      <w:pPr>
        <w:pStyle w:val="NormalWeb"/>
        <w:spacing w:before="0" w:beforeAutospacing="0" w:after="160" w:afterAutospacing="0" w:line="480" w:lineRule="auto"/>
        <w:jc w:val="both"/>
        <w:rPr>
          <w:color w:val="000000" w:themeColor="text1"/>
        </w:rPr>
      </w:pPr>
      <w:r>
        <w:rPr>
          <w:color w:val="000000" w:themeColor="text1"/>
        </w:rPr>
        <w:t xml:space="preserve">At the end of the experimental period, the animals were </w:t>
      </w:r>
      <w:proofErr w:type="spellStart"/>
      <w:r>
        <w:rPr>
          <w:color w:val="000000" w:themeColor="text1"/>
        </w:rPr>
        <w:t>an</w:t>
      </w:r>
      <w:r>
        <w:rPr>
          <w:color w:val="000000" w:themeColor="text1"/>
          <w:highlight w:val="yellow"/>
        </w:rPr>
        <w:t>a</w:t>
      </w:r>
      <w:r>
        <w:rPr>
          <w:color w:val="000000" w:themeColor="text1"/>
        </w:rPr>
        <w:t>estheti</w:t>
      </w:r>
      <w:r>
        <w:rPr>
          <w:color w:val="000000" w:themeColor="text1"/>
          <w:highlight w:val="yellow"/>
        </w:rPr>
        <w:t>s</w:t>
      </w:r>
      <w:r>
        <w:rPr>
          <w:color w:val="000000" w:themeColor="text1"/>
        </w:rPr>
        <w:t>ed</w:t>
      </w:r>
      <w:proofErr w:type="spellEnd"/>
      <w:r>
        <w:rPr>
          <w:color w:val="000000" w:themeColor="text1"/>
        </w:rPr>
        <w:t xml:space="preserve"> with ketamine. Blood samples were collected via cardiac puncture using sterile syringes. Samples were divided into two portions: </w:t>
      </w:r>
      <w:r>
        <w:rPr>
          <w:color w:val="000000" w:themeColor="text1"/>
          <w:highlight w:val="yellow"/>
        </w:rPr>
        <w:t>o</w:t>
      </w:r>
      <w:r>
        <w:rPr>
          <w:color w:val="000000" w:themeColor="text1"/>
        </w:rPr>
        <w:t>ne portion</w:t>
      </w:r>
      <w:r>
        <w:rPr>
          <w:color w:val="000000" w:themeColor="text1"/>
          <w:highlight w:val="yellow"/>
        </w:rPr>
        <w:t xml:space="preserve"> was placed</w:t>
      </w:r>
      <w:r>
        <w:rPr>
          <w:color w:val="000000" w:themeColor="text1"/>
        </w:rPr>
        <w:t xml:space="preserve"> in EDTA tubes for </w:t>
      </w:r>
      <w:proofErr w:type="spellStart"/>
      <w:r>
        <w:rPr>
          <w:color w:val="000000" w:themeColor="text1"/>
        </w:rPr>
        <w:t>h</w:t>
      </w:r>
      <w:r>
        <w:rPr>
          <w:color w:val="000000" w:themeColor="text1"/>
          <w:highlight w:val="yellow"/>
        </w:rPr>
        <w:t>a</w:t>
      </w:r>
      <w:r>
        <w:rPr>
          <w:color w:val="000000" w:themeColor="text1"/>
        </w:rPr>
        <w:t>ematological</w:t>
      </w:r>
      <w:proofErr w:type="spellEnd"/>
      <w:r>
        <w:rPr>
          <w:color w:val="000000" w:themeColor="text1"/>
        </w:rPr>
        <w:t xml:space="preserve"> analysis, and the other </w:t>
      </w:r>
      <w:r>
        <w:rPr>
          <w:color w:val="000000" w:themeColor="text1"/>
          <w:highlight w:val="yellow"/>
        </w:rPr>
        <w:t xml:space="preserve">was </w:t>
      </w:r>
      <w:r>
        <w:rPr>
          <w:color w:val="000000" w:themeColor="text1"/>
        </w:rPr>
        <w:t>p</w:t>
      </w:r>
      <w:r>
        <w:rPr>
          <w:color w:val="000000" w:themeColor="text1"/>
          <w:highlight w:val="yellow"/>
        </w:rPr>
        <w:t>laced</w:t>
      </w:r>
      <w:r>
        <w:rPr>
          <w:color w:val="000000" w:themeColor="text1"/>
        </w:rPr>
        <w:t xml:space="preserve"> in plain tubes for serum preparation </w:t>
      </w:r>
      <w:r>
        <w:rPr>
          <w:color w:val="000000" w:themeColor="text1"/>
          <w:highlight w:val="yellow"/>
        </w:rPr>
        <w:t xml:space="preserve">and </w:t>
      </w:r>
      <w:r>
        <w:rPr>
          <w:color w:val="000000" w:themeColor="text1"/>
        </w:rPr>
        <w:t>centrifuged at 3,000</w:t>
      </w:r>
      <w:r>
        <w:rPr>
          <w:color w:val="000000" w:themeColor="text1"/>
          <w:highlight w:val="yellow"/>
        </w:rPr>
        <w:t xml:space="preserve"> </w:t>
      </w:r>
      <w:r>
        <w:rPr>
          <w:color w:val="000000" w:themeColor="text1"/>
        </w:rPr>
        <w:t>rpm for 10</w:t>
      </w:r>
      <w:r>
        <w:rPr>
          <w:color w:val="000000" w:themeColor="text1"/>
          <w:highlight w:val="yellow"/>
        </w:rPr>
        <w:t xml:space="preserve"> </w:t>
      </w:r>
      <w:r>
        <w:rPr>
          <w:color w:val="000000" w:themeColor="text1"/>
        </w:rPr>
        <w:t>minutes.</w:t>
      </w:r>
    </w:p>
    <w:p w14:paraId="71949C0A" w14:textId="77777777" w:rsidR="0050343D" w:rsidRPr="00EA7300" w:rsidRDefault="0050343D" w:rsidP="0050343D">
      <w:pPr>
        <w:pStyle w:val="Heading4"/>
        <w:spacing w:before="0" w:after="160" w:line="480" w:lineRule="auto"/>
        <w:jc w:val="both"/>
        <w:rPr>
          <w:rStyle w:val="Strong"/>
          <w:rFonts w:ascii="Times New Roman" w:hAnsi="Times New Roman" w:cs="Times New Roman"/>
          <w:i w:val="0"/>
          <w:color w:val="000000" w:themeColor="text1"/>
          <w:sz w:val="24"/>
          <w:szCs w:val="24"/>
        </w:rPr>
      </w:pPr>
      <w:r w:rsidRPr="00EA7300">
        <w:rPr>
          <w:rStyle w:val="Strong"/>
          <w:rFonts w:ascii="Times New Roman" w:hAnsi="Times New Roman" w:cs="Times New Roman"/>
          <w:i w:val="0"/>
          <w:color w:val="000000" w:themeColor="text1"/>
          <w:sz w:val="24"/>
          <w:szCs w:val="24"/>
        </w:rPr>
        <w:t>Biochemical Assays</w:t>
      </w:r>
    </w:p>
    <w:p w14:paraId="6D3318CD" w14:textId="77777777" w:rsidR="0050343D" w:rsidRPr="00B84EA9" w:rsidRDefault="00EA7300" w:rsidP="0050343D">
      <w:pPr>
        <w:pStyle w:val="Heading4"/>
        <w:spacing w:before="0" w:after="160" w:line="480" w:lineRule="auto"/>
        <w:jc w:val="both"/>
        <w:rPr>
          <w:rFonts w:ascii="Times New Roman" w:hAnsi="Times New Roman" w:cs="Times New Roman"/>
          <w:i w:val="0"/>
          <w:iCs w:val="0"/>
          <w:color w:val="000000" w:themeColor="text1"/>
          <w:sz w:val="24"/>
          <w:szCs w:val="24"/>
        </w:rPr>
      </w:pPr>
      <w:r>
        <w:rPr>
          <w:rFonts w:ascii="Times New Roman" w:hAnsi="Times New Roman" w:cs="Times New Roman"/>
          <w:i w:val="0"/>
          <w:iCs w:val="0"/>
          <w:color w:val="000000" w:themeColor="text1"/>
          <w:sz w:val="24"/>
          <w:szCs w:val="24"/>
        </w:rPr>
        <w:t xml:space="preserve">Lipid </w:t>
      </w:r>
      <w:r>
        <w:rPr>
          <w:rFonts w:ascii="Times New Roman" w:hAnsi="Times New Roman" w:cs="Times New Roman"/>
          <w:i w:val="0"/>
          <w:iCs w:val="0"/>
          <w:color w:val="000000" w:themeColor="text1"/>
          <w:sz w:val="24"/>
          <w:szCs w:val="24"/>
          <w:highlight w:val="yellow"/>
        </w:rPr>
        <w:t>P</w:t>
      </w:r>
      <w:r>
        <w:rPr>
          <w:rFonts w:ascii="Times New Roman" w:hAnsi="Times New Roman" w:cs="Times New Roman"/>
          <w:i w:val="0"/>
          <w:iCs w:val="0"/>
          <w:color w:val="000000" w:themeColor="text1"/>
          <w:sz w:val="24"/>
          <w:szCs w:val="24"/>
        </w:rPr>
        <w:t xml:space="preserve">rofile and </w:t>
      </w:r>
      <w:r>
        <w:rPr>
          <w:rFonts w:ascii="Times New Roman" w:hAnsi="Times New Roman" w:cs="Times New Roman"/>
          <w:i w:val="0"/>
          <w:iCs w:val="0"/>
          <w:color w:val="000000" w:themeColor="text1"/>
          <w:sz w:val="24"/>
          <w:szCs w:val="24"/>
          <w:highlight w:val="yellow"/>
        </w:rPr>
        <w:t>L</w:t>
      </w:r>
      <w:r>
        <w:rPr>
          <w:rFonts w:ascii="Times New Roman" w:hAnsi="Times New Roman" w:cs="Times New Roman"/>
          <w:i w:val="0"/>
          <w:iCs w:val="0"/>
          <w:color w:val="000000" w:themeColor="text1"/>
          <w:sz w:val="24"/>
          <w:szCs w:val="24"/>
        </w:rPr>
        <w:t xml:space="preserve">iver </w:t>
      </w:r>
      <w:r>
        <w:rPr>
          <w:rFonts w:ascii="Times New Roman" w:hAnsi="Times New Roman" w:cs="Times New Roman"/>
          <w:i w:val="0"/>
          <w:iCs w:val="0"/>
          <w:color w:val="000000" w:themeColor="text1"/>
          <w:sz w:val="24"/>
          <w:szCs w:val="24"/>
          <w:highlight w:val="yellow"/>
        </w:rPr>
        <w:t>M</w:t>
      </w:r>
      <w:r>
        <w:rPr>
          <w:rFonts w:ascii="Times New Roman" w:hAnsi="Times New Roman" w:cs="Times New Roman"/>
          <w:i w:val="0"/>
          <w:iCs w:val="0"/>
          <w:color w:val="000000" w:themeColor="text1"/>
          <w:sz w:val="24"/>
          <w:szCs w:val="24"/>
        </w:rPr>
        <w:t xml:space="preserve">arker </w:t>
      </w:r>
      <w:r>
        <w:rPr>
          <w:rFonts w:ascii="Times New Roman" w:hAnsi="Times New Roman" w:cs="Times New Roman"/>
          <w:i w:val="0"/>
          <w:iCs w:val="0"/>
          <w:color w:val="000000" w:themeColor="text1"/>
          <w:sz w:val="24"/>
          <w:szCs w:val="24"/>
          <w:highlight w:val="yellow"/>
        </w:rPr>
        <w:t>E</w:t>
      </w:r>
      <w:r>
        <w:rPr>
          <w:rFonts w:ascii="Times New Roman" w:hAnsi="Times New Roman" w:cs="Times New Roman"/>
          <w:i w:val="0"/>
          <w:iCs w:val="0"/>
          <w:color w:val="000000" w:themeColor="text1"/>
          <w:sz w:val="24"/>
          <w:szCs w:val="24"/>
        </w:rPr>
        <w:t xml:space="preserve">nzyme </w:t>
      </w:r>
      <w:r>
        <w:rPr>
          <w:rFonts w:ascii="Times New Roman" w:hAnsi="Times New Roman" w:cs="Times New Roman"/>
          <w:i w:val="0"/>
          <w:iCs w:val="0"/>
          <w:color w:val="000000" w:themeColor="text1"/>
          <w:sz w:val="24"/>
          <w:szCs w:val="24"/>
          <w:highlight w:val="yellow"/>
        </w:rPr>
        <w:t>A</w:t>
      </w:r>
      <w:r>
        <w:rPr>
          <w:rFonts w:ascii="Times New Roman" w:hAnsi="Times New Roman" w:cs="Times New Roman"/>
          <w:i w:val="0"/>
          <w:iCs w:val="0"/>
          <w:color w:val="000000" w:themeColor="text1"/>
          <w:sz w:val="24"/>
          <w:szCs w:val="24"/>
        </w:rPr>
        <w:t>ssay</w:t>
      </w:r>
      <w:r>
        <w:rPr>
          <w:rFonts w:ascii="Times New Roman" w:hAnsi="Times New Roman" w:cs="Times New Roman"/>
          <w:i w:val="0"/>
          <w:iCs w:val="0"/>
          <w:color w:val="000000" w:themeColor="text1"/>
          <w:sz w:val="24"/>
          <w:szCs w:val="24"/>
          <w:highlight w:val="yellow"/>
        </w:rPr>
        <w:t>s</w:t>
      </w:r>
    </w:p>
    <w:p w14:paraId="5C4B6356" w14:textId="77777777" w:rsidR="0050343D" w:rsidRPr="00EA7300" w:rsidRDefault="0050343D" w:rsidP="0050343D">
      <w:pPr>
        <w:pStyle w:val="Heading4"/>
        <w:spacing w:before="0" w:after="160" w:line="480" w:lineRule="auto"/>
        <w:jc w:val="both"/>
        <w:rPr>
          <w:rFonts w:ascii="Times New Roman" w:hAnsi="Times New Roman" w:cs="Times New Roman"/>
          <w:bCs/>
          <w:i w:val="0"/>
          <w:iCs w:val="0"/>
          <w:color w:val="000000" w:themeColor="text1"/>
          <w:sz w:val="24"/>
          <w:szCs w:val="24"/>
        </w:rPr>
      </w:pPr>
      <w:r>
        <w:rPr>
          <w:rFonts w:ascii="Times New Roman" w:hAnsi="Times New Roman" w:cs="Times New Roman"/>
          <w:bCs/>
          <w:i w:val="0"/>
          <w:iCs w:val="0"/>
          <w:color w:val="000000" w:themeColor="text1"/>
          <w:sz w:val="24"/>
          <w:szCs w:val="24"/>
        </w:rPr>
        <w:t>Serum was collected for lipid profile test</w:t>
      </w:r>
      <w:r>
        <w:rPr>
          <w:rFonts w:ascii="Times New Roman" w:hAnsi="Times New Roman" w:cs="Times New Roman"/>
          <w:bCs/>
          <w:i w:val="0"/>
          <w:iCs w:val="0"/>
          <w:color w:val="000000" w:themeColor="text1"/>
          <w:sz w:val="24"/>
          <w:szCs w:val="24"/>
          <w:highlight w:val="yellow"/>
        </w:rPr>
        <w:t>s</w:t>
      </w:r>
      <w:r>
        <w:rPr>
          <w:rFonts w:ascii="Times New Roman" w:hAnsi="Times New Roman" w:cs="Times New Roman"/>
          <w:bCs/>
          <w:i w:val="0"/>
          <w:iCs w:val="0"/>
          <w:color w:val="000000" w:themeColor="text1"/>
          <w:sz w:val="24"/>
          <w:szCs w:val="24"/>
        </w:rPr>
        <w:t xml:space="preserve"> (tri</w:t>
      </w:r>
      <w:r>
        <w:rPr>
          <w:rFonts w:ascii="Times New Roman" w:hAnsi="Times New Roman" w:cs="Times New Roman"/>
          <w:bCs/>
          <w:i w:val="0"/>
          <w:iCs w:val="0"/>
          <w:color w:val="000000" w:themeColor="text1"/>
          <w:sz w:val="24"/>
          <w:szCs w:val="24"/>
          <w:highlight w:val="yellow"/>
        </w:rPr>
        <w:t>acyl</w:t>
      </w:r>
      <w:r>
        <w:rPr>
          <w:rFonts w:ascii="Times New Roman" w:hAnsi="Times New Roman" w:cs="Times New Roman"/>
          <w:bCs/>
          <w:i w:val="0"/>
          <w:iCs w:val="0"/>
          <w:color w:val="000000" w:themeColor="text1"/>
          <w:sz w:val="24"/>
          <w:szCs w:val="24"/>
        </w:rPr>
        <w:t>glycer</w:t>
      </w:r>
      <w:r>
        <w:rPr>
          <w:rFonts w:ascii="Times New Roman" w:hAnsi="Times New Roman" w:cs="Times New Roman"/>
          <w:bCs/>
          <w:i w:val="0"/>
          <w:iCs w:val="0"/>
          <w:color w:val="000000" w:themeColor="text1"/>
          <w:sz w:val="24"/>
          <w:szCs w:val="24"/>
          <w:highlight w:val="yellow"/>
        </w:rPr>
        <w:t>ol</w:t>
      </w:r>
      <w:r>
        <w:rPr>
          <w:rFonts w:ascii="Times New Roman" w:hAnsi="Times New Roman" w:cs="Times New Roman"/>
          <w:bCs/>
          <w:i w:val="0"/>
          <w:iCs w:val="0"/>
          <w:color w:val="000000" w:themeColor="text1"/>
          <w:sz w:val="24"/>
          <w:szCs w:val="24"/>
        </w:rPr>
        <w:t>, LDL, HDL</w:t>
      </w:r>
      <w:r>
        <w:rPr>
          <w:rFonts w:ascii="Times New Roman" w:hAnsi="Times New Roman" w:cs="Times New Roman"/>
          <w:bCs/>
          <w:i w:val="0"/>
          <w:iCs w:val="0"/>
          <w:color w:val="000000" w:themeColor="text1"/>
          <w:sz w:val="24"/>
          <w:szCs w:val="24"/>
          <w:highlight w:val="yellow"/>
        </w:rPr>
        <w:t>,</w:t>
      </w:r>
      <w:r>
        <w:rPr>
          <w:rFonts w:ascii="Times New Roman" w:hAnsi="Times New Roman" w:cs="Times New Roman"/>
          <w:bCs/>
          <w:i w:val="0"/>
          <w:iCs w:val="0"/>
          <w:color w:val="000000" w:themeColor="text1"/>
          <w:sz w:val="24"/>
          <w:szCs w:val="24"/>
        </w:rPr>
        <w:t xml:space="preserve"> and VLDL) and liver marker enzyme</w:t>
      </w:r>
      <w:r>
        <w:rPr>
          <w:rFonts w:ascii="Times New Roman" w:hAnsi="Times New Roman" w:cs="Times New Roman"/>
          <w:bCs/>
          <w:i w:val="0"/>
          <w:iCs w:val="0"/>
          <w:color w:val="000000" w:themeColor="text1"/>
          <w:sz w:val="24"/>
          <w:szCs w:val="24"/>
          <w:highlight w:val="yellow"/>
        </w:rPr>
        <w:t xml:space="preserve"> a</w:t>
      </w:r>
      <w:r>
        <w:rPr>
          <w:rFonts w:ascii="Times New Roman" w:hAnsi="Times New Roman" w:cs="Times New Roman"/>
          <w:bCs/>
          <w:i w:val="0"/>
          <w:iCs w:val="0"/>
          <w:color w:val="000000" w:themeColor="text1"/>
          <w:sz w:val="24"/>
          <w:szCs w:val="24"/>
        </w:rPr>
        <w:t>ss</w:t>
      </w:r>
      <w:r>
        <w:rPr>
          <w:rFonts w:ascii="Times New Roman" w:hAnsi="Times New Roman" w:cs="Times New Roman"/>
          <w:bCs/>
          <w:i w:val="0"/>
          <w:iCs w:val="0"/>
          <w:color w:val="000000" w:themeColor="text1"/>
          <w:sz w:val="24"/>
          <w:szCs w:val="24"/>
          <w:highlight w:val="yellow"/>
        </w:rPr>
        <w:t>ays</w:t>
      </w:r>
      <w:r>
        <w:rPr>
          <w:rFonts w:ascii="Times New Roman" w:hAnsi="Times New Roman" w:cs="Times New Roman"/>
          <w:bCs/>
          <w:i w:val="0"/>
          <w:iCs w:val="0"/>
          <w:color w:val="000000" w:themeColor="text1"/>
          <w:sz w:val="24"/>
          <w:szCs w:val="24"/>
        </w:rPr>
        <w:t xml:space="preserve"> (ALT, AST, ALP</w:t>
      </w:r>
      <w:r>
        <w:rPr>
          <w:rFonts w:ascii="Times New Roman" w:hAnsi="Times New Roman" w:cs="Times New Roman"/>
          <w:bCs/>
          <w:i w:val="0"/>
          <w:iCs w:val="0"/>
          <w:color w:val="000000" w:themeColor="text1"/>
          <w:sz w:val="24"/>
          <w:szCs w:val="24"/>
          <w:highlight w:val="yellow"/>
        </w:rPr>
        <w:t>,</w:t>
      </w:r>
      <w:r>
        <w:rPr>
          <w:rFonts w:ascii="Times New Roman" w:hAnsi="Times New Roman" w:cs="Times New Roman"/>
          <w:bCs/>
          <w:i w:val="0"/>
          <w:iCs w:val="0"/>
          <w:color w:val="000000" w:themeColor="text1"/>
          <w:sz w:val="24"/>
          <w:szCs w:val="24"/>
        </w:rPr>
        <w:t xml:space="preserve"> and GGT) using the </w:t>
      </w:r>
      <w:r>
        <w:rPr>
          <w:rFonts w:ascii="Times New Roman" w:hAnsi="Times New Roman" w:cs="Times New Roman"/>
          <w:bCs/>
          <w:i w:val="0"/>
          <w:iCs w:val="0"/>
          <w:color w:val="000000" w:themeColor="text1"/>
          <w:sz w:val="24"/>
          <w:szCs w:val="24"/>
          <w:highlight w:val="yellow"/>
        </w:rPr>
        <w:t>R</w:t>
      </w:r>
      <w:r>
        <w:rPr>
          <w:rFonts w:ascii="Times New Roman" w:hAnsi="Times New Roman" w:cs="Times New Roman"/>
          <w:bCs/>
          <w:i w:val="0"/>
          <w:iCs w:val="0"/>
          <w:color w:val="000000" w:themeColor="text1"/>
          <w:sz w:val="24"/>
          <w:szCs w:val="24"/>
        </w:rPr>
        <w:t>andom test kits method (</w:t>
      </w:r>
      <w:r>
        <w:rPr>
          <w:rFonts w:ascii="Times New Roman" w:hAnsi="Times New Roman" w:cs="Times New Roman"/>
          <w:bCs/>
          <w:i w:val="0"/>
          <w:iCs w:val="0"/>
          <w:color w:val="000000" w:themeColor="text1"/>
          <w:sz w:val="24"/>
          <w:szCs w:val="24"/>
          <w:shd w:val="clear" w:color="auto" w:fill="FFFFFF"/>
        </w:rPr>
        <w:t xml:space="preserve">Kathak </w:t>
      </w:r>
      <w:r>
        <w:rPr>
          <w:rFonts w:ascii="Times New Roman" w:hAnsi="Times New Roman" w:cs="Times New Roman"/>
          <w:bCs/>
          <w:color w:val="000000" w:themeColor="text1"/>
          <w:sz w:val="24"/>
          <w:szCs w:val="24"/>
          <w:shd w:val="clear" w:color="auto" w:fill="FFFFFF"/>
        </w:rPr>
        <w:t>et al.,</w:t>
      </w:r>
      <w:r>
        <w:rPr>
          <w:rFonts w:ascii="Times New Roman" w:hAnsi="Times New Roman" w:cs="Times New Roman"/>
          <w:bCs/>
          <w:i w:val="0"/>
          <w:iCs w:val="0"/>
          <w:color w:val="000000" w:themeColor="text1"/>
          <w:sz w:val="24"/>
          <w:szCs w:val="24"/>
          <w:shd w:val="clear" w:color="auto" w:fill="FFFFFF"/>
        </w:rPr>
        <w:t xml:space="preserve"> 2022</w:t>
      </w:r>
      <w:r>
        <w:rPr>
          <w:rFonts w:ascii="Times New Roman" w:hAnsi="Times New Roman" w:cs="Times New Roman"/>
          <w:bCs/>
          <w:i w:val="0"/>
          <w:iCs w:val="0"/>
          <w:color w:val="000000" w:themeColor="text1"/>
          <w:sz w:val="24"/>
          <w:szCs w:val="24"/>
        </w:rPr>
        <w:t>).</w:t>
      </w:r>
    </w:p>
    <w:p w14:paraId="532EC59D" w14:textId="77777777" w:rsidR="0050343D" w:rsidRPr="00EA7300" w:rsidRDefault="0050343D" w:rsidP="0050343D">
      <w:pPr>
        <w:pStyle w:val="Heading4"/>
        <w:spacing w:before="0" w:after="160" w:line="480" w:lineRule="auto"/>
        <w:jc w:val="both"/>
        <w:rPr>
          <w:rFonts w:ascii="Times New Roman" w:hAnsi="Times New Roman" w:cs="Times New Roman"/>
          <w:i w:val="0"/>
          <w:color w:val="000000" w:themeColor="text1"/>
          <w:sz w:val="24"/>
          <w:szCs w:val="24"/>
        </w:rPr>
      </w:pPr>
      <w:r w:rsidRPr="00EA7300">
        <w:rPr>
          <w:rStyle w:val="Strong"/>
          <w:rFonts w:ascii="Times New Roman" w:hAnsi="Times New Roman" w:cs="Times New Roman"/>
          <w:i w:val="0"/>
          <w:color w:val="000000" w:themeColor="text1"/>
          <w:sz w:val="24"/>
          <w:szCs w:val="24"/>
        </w:rPr>
        <w:t>Statistical Analysis</w:t>
      </w:r>
    </w:p>
    <w:p w14:paraId="445FFD0A" w14:textId="77777777" w:rsidR="00AA74E0" w:rsidRPr="00EA7300" w:rsidRDefault="0050343D" w:rsidP="00EA7300">
      <w:pPr>
        <w:pStyle w:val="NormalWeb"/>
        <w:spacing w:before="0" w:beforeAutospacing="0" w:after="160" w:afterAutospacing="0" w:line="480" w:lineRule="auto"/>
        <w:jc w:val="both"/>
        <w:rPr>
          <w:color w:val="000000" w:themeColor="text1"/>
        </w:rPr>
      </w:pPr>
      <w:r>
        <w:rPr>
          <w:color w:val="000000" w:themeColor="text1"/>
        </w:rPr>
        <w:t xml:space="preserve">All results were expressed as mean ± standard deviation (SD). Data were </w:t>
      </w:r>
      <w:proofErr w:type="spellStart"/>
      <w:r>
        <w:rPr>
          <w:color w:val="000000" w:themeColor="text1"/>
        </w:rPr>
        <w:t>analy</w:t>
      </w:r>
      <w:r>
        <w:rPr>
          <w:color w:val="000000" w:themeColor="text1"/>
          <w:highlight w:val="yellow"/>
        </w:rPr>
        <w:t>s</w:t>
      </w:r>
      <w:r>
        <w:rPr>
          <w:color w:val="000000" w:themeColor="text1"/>
        </w:rPr>
        <w:t>ed</w:t>
      </w:r>
      <w:proofErr w:type="spellEnd"/>
      <w:r>
        <w:rPr>
          <w:color w:val="000000" w:themeColor="text1"/>
        </w:rPr>
        <w:t xml:space="preserve"> using one-way analysis of variance (ANOVA) for multiple comparisons. Statistical significance was se</w:t>
      </w:r>
      <w:r>
        <w:rPr>
          <w:color w:val="000000" w:themeColor="text1"/>
          <w:highlight w:val="yellow"/>
        </w:rPr>
        <w:t>t</w:t>
      </w:r>
      <w:r>
        <w:rPr>
          <w:color w:val="000000" w:themeColor="text1"/>
        </w:rPr>
        <w:t xml:space="preserve"> at p</w:t>
      </w:r>
      <w:r>
        <w:rPr>
          <w:color w:val="000000" w:themeColor="text1"/>
          <w:highlight w:val="yellow"/>
        </w:rPr>
        <w:t xml:space="preserve"> </w:t>
      </w:r>
      <w:r>
        <w:rPr>
          <w:color w:val="000000" w:themeColor="text1"/>
        </w:rPr>
        <w:t>&lt;</w:t>
      </w:r>
      <w:r>
        <w:rPr>
          <w:color w:val="000000" w:themeColor="text1"/>
          <w:highlight w:val="yellow"/>
        </w:rPr>
        <w:t xml:space="preserve"> </w:t>
      </w:r>
      <w:r>
        <w:rPr>
          <w:color w:val="000000" w:themeColor="text1"/>
        </w:rPr>
        <w:t>0.05.</w:t>
      </w:r>
    </w:p>
    <w:p w14:paraId="317B3CC7" w14:textId="77777777" w:rsidR="00902823" w:rsidRDefault="00000F8F" w:rsidP="00441B6F">
      <w:pPr>
        <w:pStyle w:val="Head1"/>
        <w:spacing w:after="0"/>
        <w:jc w:val="both"/>
        <w:rPr>
          <w:rFonts w:ascii="Arial" w:hAnsi="Arial" w:cs="Arial"/>
        </w:rPr>
      </w:pPr>
      <w:r>
        <w:rPr>
          <w:rFonts w:ascii="Arial" w:hAnsi="Arial" w:cs="Arial"/>
          <w:highlight w:val="yellow"/>
        </w:rPr>
        <w:t>RESULTS</w:t>
      </w:r>
      <w:r>
        <w:rPr>
          <w:rFonts w:ascii="Arial" w:hAnsi="Arial" w:cs="Arial"/>
        </w:rPr>
        <w:t xml:space="preserve"> </w:t>
      </w:r>
      <w:r>
        <w:rPr>
          <w:rFonts w:ascii="Arial" w:hAnsi="Arial" w:cs="Arial"/>
          <w:highlight w:val="yellow"/>
        </w:rPr>
        <w:t>AND</w:t>
      </w:r>
      <w:r>
        <w:rPr>
          <w:rFonts w:ascii="Arial" w:hAnsi="Arial" w:cs="Arial"/>
        </w:rPr>
        <w:t xml:space="preserve"> </w:t>
      </w:r>
      <w:r>
        <w:rPr>
          <w:rFonts w:ascii="Arial" w:hAnsi="Arial" w:cs="Arial"/>
          <w:highlight w:val="yellow"/>
        </w:rPr>
        <w:t>DISCUSSION</w:t>
      </w:r>
    </w:p>
    <w:p w14:paraId="5FD77775" w14:textId="77777777" w:rsidR="00EA7300" w:rsidRPr="00CB7D14" w:rsidRDefault="00EA7300" w:rsidP="00EA7300">
      <w:pPr>
        <w:spacing w:line="480" w:lineRule="auto"/>
        <w:rPr>
          <w:rFonts w:ascii="Times New Roman" w:hAnsi="Times New Roman"/>
          <w:b/>
          <w:sz w:val="24"/>
          <w:szCs w:val="24"/>
        </w:rPr>
      </w:pPr>
      <w:r w:rsidRPr="00CB7D14">
        <w:rPr>
          <w:rFonts w:ascii="Times New Roman" w:hAnsi="Times New Roman"/>
          <w:b/>
          <w:sz w:val="24"/>
          <w:szCs w:val="24"/>
        </w:rPr>
        <w:t xml:space="preserve">Effect of </w:t>
      </w:r>
      <w:r w:rsidRPr="00244486">
        <w:rPr>
          <w:rFonts w:ascii="Times New Roman" w:hAnsi="Times New Roman"/>
          <w:b/>
          <w:i/>
          <w:sz w:val="24"/>
          <w:szCs w:val="24"/>
        </w:rPr>
        <w:t xml:space="preserve">Pterocarpus </w:t>
      </w:r>
      <w:proofErr w:type="spellStart"/>
      <w:r w:rsidRPr="00244486">
        <w:rPr>
          <w:rFonts w:ascii="Times New Roman" w:hAnsi="Times New Roman"/>
          <w:b/>
          <w:i/>
          <w:sz w:val="24"/>
          <w:szCs w:val="24"/>
        </w:rPr>
        <w:t>santalinoides</w:t>
      </w:r>
      <w:proofErr w:type="spellEnd"/>
      <w:r w:rsidRPr="00CB7D14">
        <w:rPr>
          <w:rFonts w:ascii="Times New Roman" w:hAnsi="Times New Roman"/>
          <w:b/>
          <w:sz w:val="24"/>
          <w:szCs w:val="24"/>
        </w:rPr>
        <w:t xml:space="preserve"> Leaf </w:t>
      </w:r>
      <w:r>
        <w:rPr>
          <w:rFonts w:ascii="Times New Roman" w:hAnsi="Times New Roman"/>
          <w:b/>
          <w:sz w:val="24"/>
          <w:szCs w:val="24"/>
        </w:rPr>
        <w:t xml:space="preserve">diet </w:t>
      </w:r>
      <w:r w:rsidRPr="00CB7D14">
        <w:rPr>
          <w:rFonts w:ascii="Times New Roman" w:hAnsi="Times New Roman"/>
          <w:b/>
          <w:sz w:val="24"/>
          <w:szCs w:val="24"/>
        </w:rPr>
        <w:t xml:space="preserve">on </w:t>
      </w:r>
      <w:r>
        <w:rPr>
          <w:rFonts w:ascii="Times New Roman" w:hAnsi="Times New Roman"/>
          <w:b/>
          <w:sz w:val="24"/>
          <w:szCs w:val="24"/>
        </w:rPr>
        <w:t>Lipid</w:t>
      </w:r>
      <w:r w:rsidRPr="00CB7D14">
        <w:rPr>
          <w:rFonts w:ascii="Times New Roman" w:hAnsi="Times New Roman"/>
          <w:b/>
          <w:sz w:val="24"/>
          <w:szCs w:val="24"/>
        </w:rPr>
        <w:t xml:space="preserve"> Profile Indices in Wistar Rats Exposed to Cadmium</w:t>
      </w:r>
    </w:p>
    <w:p w14:paraId="680EA32F" w14:textId="77777777" w:rsidR="00EA7300" w:rsidRPr="00EA7300" w:rsidRDefault="00EA7300" w:rsidP="00EA7300">
      <w:pPr>
        <w:spacing w:line="480" w:lineRule="auto"/>
        <w:jc w:val="both"/>
        <w:rPr>
          <w:rFonts w:ascii="Times New Roman" w:hAnsi="Times New Roman"/>
          <w:bCs/>
          <w:sz w:val="24"/>
          <w:szCs w:val="24"/>
        </w:rPr>
      </w:pPr>
      <w:r>
        <w:rPr>
          <w:rFonts w:ascii="Times New Roman" w:hAnsi="Times New Roman"/>
          <w:bCs/>
          <w:sz w:val="24"/>
          <w:szCs w:val="24"/>
        </w:rPr>
        <w:t xml:space="preserve">The effect of </w:t>
      </w:r>
      <w:r>
        <w:rPr>
          <w:rFonts w:ascii="Times New Roman" w:hAnsi="Times New Roman"/>
          <w:bCs/>
          <w:i/>
          <w:sz w:val="24"/>
          <w:szCs w:val="24"/>
          <w:highlight w:val="yellow"/>
        </w:rPr>
        <w:t xml:space="preserve">Pterocarpus </w:t>
      </w:r>
      <w:proofErr w:type="spellStart"/>
      <w:r>
        <w:rPr>
          <w:rFonts w:ascii="Times New Roman" w:hAnsi="Times New Roman"/>
          <w:bCs/>
          <w:i/>
          <w:sz w:val="24"/>
          <w:szCs w:val="24"/>
          <w:highlight w:val="yellow"/>
        </w:rPr>
        <w:t>santalinoides</w:t>
      </w:r>
      <w:proofErr w:type="spellEnd"/>
      <w:r>
        <w:rPr>
          <w:rFonts w:ascii="Times New Roman" w:hAnsi="Times New Roman"/>
          <w:bCs/>
          <w:sz w:val="24"/>
          <w:szCs w:val="24"/>
        </w:rPr>
        <w:t xml:space="preserve"> leaf diet on selected lipid profile indices of Wistar rats exposed to cadmium is presented in Table 1. The results showed variations in HDL-c, VLDL-c, triacylglycerol, and LDL-c </w:t>
      </w:r>
      <w:r>
        <w:rPr>
          <w:rFonts w:ascii="Times New Roman" w:hAnsi="Times New Roman"/>
          <w:bCs/>
          <w:sz w:val="24"/>
          <w:szCs w:val="24"/>
        </w:rPr>
        <w:lastRenderedPageBreak/>
        <w:t>levels across the experimental groups. For HDL-c, the normal control group recorded 0.58 ± 0.37 mmol/L</w:t>
      </w:r>
      <w:r>
        <w:rPr>
          <w:rFonts w:ascii="Times New Roman" w:hAnsi="Times New Roman"/>
          <w:bCs/>
          <w:sz w:val="24"/>
          <w:szCs w:val="24"/>
          <w:highlight w:val="yellow"/>
        </w:rPr>
        <w:t>. Among the treated groups</w:t>
      </w:r>
      <w:r>
        <w:rPr>
          <w:rFonts w:ascii="Times New Roman" w:hAnsi="Times New Roman"/>
          <w:bCs/>
          <w:sz w:val="24"/>
          <w:szCs w:val="24"/>
        </w:rPr>
        <w:t>, Ps3 recorded the highest value (1.52 ± 0.44 mmol/L)</w:t>
      </w:r>
      <w:r>
        <w:rPr>
          <w:rFonts w:ascii="Times New Roman" w:hAnsi="Times New Roman"/>
          <w:bCs/>
          <w:sz w:val="24"/>
          <w:szCs w:val="24"/>
          <w:highlight w:val="yellow"/>
        </w:rPr>
        <w:t>, while</w:t>
      </w:r>
      <w:r>
        <w:rPr>
          <w:rFonts w:ascii="Times New Roman" w:hAnsi="Times New Roman"/>
          <w:bCs/>
          <w:sz w:val="24"/>
          <w:szCs w:val="24"/>
        </w:rPr>
        <w:t xml:space="preserve"> Ps1 and Ps2 </w:t>
      </w:r>
      <w:r>
        <w:rPr>
          <w:rFonts w:ascii="Times New Roman" w:hAnsi="Times New Roman"/>
          <w:bCs/>
          <w:sz w:val="24"/>
          <w:szCs w:val="24"/>
          <w:highlight w:val="yellow"/>
        </w:rPr>
        <w:t>rec</w:t>
      </w:r>
      <w:r>
        <w:rPr>
          <w:rFonts w:ascii="Times New Roman" w:hAnsi="Times New Roman"/>
          <w:bCs/>
          <w:sz w:val="24"/>
          <w:szCs w:val="24"/>
        </w:rPr>
        <w:t>o</w:t>
      </w:r>
      <w:r>
        <w:rPr>
          <w:rFonts w:ascii="Times New Roman" w:hAnsi="Times New Roman"/>
          <w:bCs/>
          <w:sz w:val="24"/>
          <w:szCs w:val="24"/>
          <w:highlight w:val="yellow"/>
        </w:rPr>
        <w:t>rd</w:t>
      </w:r>
      <w:r>
        <w:rPr>
          <w:rFonts w:ascii="Times New Roman" w:hAnsi="Times New Roman"/>
          <w:bCs/>
          <w:sz w:val="24"/>
          <w:szCs w:val="24"/>
        </w:rPr>
        <w:t>ed 1.35 ± 0.36 and 1.25 ± 0.33 mmol/L</w:t>
      </w:r>
      <w:r>
        <w:rPr>
          <w:rFonts w:ascii="Times New Roman" w:hAnsi="Times New Roman"/>
          <w:bCs/>
          <w:sz w:val="24"/>
          <w:szCs w:val="24"/>
          <w:highlight w:val="yellow"/>
        </w:rPr>
        <w:t>,</w:t>
      </w:r>
      <w:r>
        <w:rPr>
          <w:rFonts w:ascii="Times New Roman" w:hAnsi="Times New Roman"/>
          <w:bCs/>
          <w:sz w:val="24"/>
          <w:szCs w:val="24"/>
        </w:rPr>
        <w:t xml:space="preserve"> respectively. The negative control group </w:t>
      </w:r>
      <w:r>
        <w:rPr>
          <w:rFonts w:ascii="Times New Roman" w:hAnsi="Times New Roman"/>
          <w:bCs/>
          <w:sz w:val="24"/>
          <w:szCs w:val="24"/>
          <w:highlight w:val="yellow"/>
        </w:rPr>
        <w:t>recorde</w:t>
      </w:r>
      <w:r>
        <w:rPr>
          <w:rFonts w:ascii="Times New Roman" w:hAnsi="Times New Roman"/>
          <w:bCs/>
          <w:sz w:val="24"/>
          <w:szCs w:val="24"/>
        </w:rPr>
        <w:t xml:space="preserve">d 1.90 ± 0.30 mmol/L. </w:t>
      </w:r>
      <w:r>
        <w:rPr>
          <w:rFonts w:ascii="Times New Roman" w:hAnsi="Times New Roman"/>
          <w:bCs/>
          <w:sz w:val="24"/>
          <w:szCs w:val="24"/>
          <w:highlight w:val="yellow"/>
        </w:rPr>
        <w:t>F</w:t>
      </w:r>
      <w:r>
        <w:rPr>
          <w:rFonts w:ascii="Times New Roman" w:hAnsi="Times New Roman"/>
          <w:bCs/>
          <w:sz w:val="24"/>
          <w:szCs w:val="24"/>
        </w:rPr>
        <w:t>o</w:t>
      </w:r>
      <w:r>
        <w:rPr>
          <w:rFonts w:ascii="Times New Roman" w:hAnsi="Times New Roman"/>
          <w:bCs/>
          <w:sz w:val="24"/>
          <w:szCs w:val="24"/>
          <w:highlight w:val="yellow"/>
        </w:rPr>
        <w:t>r</w:t>
      </w:r>
      <w:r>
        <w:rPr>
          <w:rFonts w:ascii="Times New Roman" w:hAnsi="Times New Roman"/>
          <w:bCs/>
          <w:sz w:val="24"/>
          <w:szCs w:val="24"/>
        </w:rPr>
        <w:t xml:space="preserve"> VLDL-c, Ps1 </w:t>
      </w:r>
      <w:r>
        <w:rPr>
          <w:rFonts w:ascii="Times New Roman" w:hAnsi="Times New Roman"/>
          <w:bCs/>
          <w:sz w:val="24"/>
          <w:szCs w:val="24"/>
          <w:highlight w:val="yellow"/>
        </w:rPr>
        <w:t>an</w:t>
      </w:r>
      <w:r>
        <w:rPr>
          <w:rFonts w:ascii="Times New Roman" w:hAnsi="Times New Roman"/>
          <w:bCs/>
          <w:sz w:val="24"/>
          <w:szCs w:val="24"/>
        </w:rPr>
        <w:t xml:space="preserve">d the negative control group </w:t>
      </w:r>
      <w:r>
        <w:rPr>
          <w:rFonts w:ascii="Times New Roman" w:hAnsi="Times New Roman"/>
          <w:bCs/>
          <w:sz w:val="24"/>
          <w:szCs w:val="24"/>
          <w:highlight w:val="yellow"/>
        </w:rPr>
        <w:t xml:space="preserve">each recorded </w:t>
      </w:r>
      <w:r>
        <w:rPr>
          <w:rFonts w:ascii="Times New Roman" w:hAnsi="Times New Roman"/>
          <w:bCs/>
          <w:sz w:val="24"/>
          <w:szCs w:val="24"/>
        </w:rPr>
        <w:t xml:space="preserve">0.38 </w:t>
      </w:r>
      <w:r>
        <w:rPr>
          <w:rFonts w:ascii="Times New Roman" w:hAnsi="Times New Roman"/>
          <w:bCs/>
          <w:sz w:val="24"/>
          <w:szCs w:val="24"/>
          <w:highlight w:val="yellow"/>
        </w:rPr>
        <w:t>mmol/L, with standard deviations of 0.06 and</w:t>
      </w:r>
      <w:r>
        <w:rPr>
          <w:rFonts w:ascii="Times New Roman" w:hAnsi="Times New Roman"/>
          <w:bCs/>
          <w:sz w:val="24"/>
          <w:szCs w:val="24"/>
        </w:rPr>
        <w:t xml:space="preserve"> 0.07 mmol/L</w:t>
      </w:r>
      <w:r>
        <w:rPr>
          <w:rFonts w:ascii="Times New Roman" w:hAnsi="Times New Roman"/>
          <w:bCs/>
          <w:sz w:val="24"/>
          <w:szCs w:val="24"/>
          <w:highlight w:val="yellow"/>
        </w:rPr>
        <w:t>, respectively</w:t>
      </w:r>
      <w:r>
        <w:rPr>
          <w:rFonts w:ascii="Times New Roman" w:hAnsi="Times New Roman"/>
          <w:bCs/>
          <w:sz w:val="24"/>
          <w:szCs w:val="24"/>
        </w:rPr>
        <w:t>. Lower values were observed in Ps2 (0.11 ± 0.07 mmol/L), Ps3 (0.18 ± 0.07 mmol/L)</w:t>
      </w:r>
      <w:r>
        <w:rPr>
          <w:rFonts w:ascii="Times New Roman" w:hAnsi="Times New Roman"/>
          <w:bCs/>
          <w:sz w:val="24"/>
          <w:szCs w:val="24"/>
          <w:highlight w:val="yellow"/>
        </w:rPr>
        <w:t>,</w:t>
      </w:r>
      <w:r>
        <w:rPr>
          <w:rFonts w:ascii="Times New Roman" w:hAnsi="Times New Roman"/>
          <w:bCs/>
          <w:sz w:val="24"/>
          <w:szCs w:val="24"/>
        </w:rPr>
        <w:t xml:space="preserve"> and the normal control group (0.18 ± 0.05 mmol/L). Triacylglycerol concentration was highest in Ps1 and the negative control group, both </w:t>
      </w:r>
      <w:r>
        <w:rPr>
          <w:rFonts w:ascii="Times New Roman" w:hAnsi="Times New Roman"/>
          <w:bCs/>
          <w:sz w:val="24"/>
          <w:szCs w:val="24"/>
          <w:highlight w:val="yellow"/>
        </w:rPr>
        <w:t>record</w:t>
      </w:r>
      <w:r>
        <w:rPr>
          <w:rFonts w:ascii="Times New Roman" w:hAnsi="Times New Roman"/>
          <w:bCs/>
          <w:sz w:val="24"/>
          <w:szCs w:val="24"/>
        </w:rPr>
        <w:t>ing 0.84 mmol/L</w:t>
      </w:r>
      <w:r>
        <w:rPr>
          <w:rFonts w:ascii="Times New Roman" w:hAnsi="Times New Roman"/>
          <w:bCs/>
          <w:sz w:val="24"/>
          <w:szCs w:val="24"/>
          <w:highlight w:val="yellow"/>
        </w:rPr>
        <w:t>,</w:t>
      </w:r>
      <w:r>
        <w:rPr>
          <w:rFonts w:ascii="Times New Roman" w:hAnsi="Times New Roman"/>
          <w:bCs/>
          <w:sz w:val="24"/>
          <w:szCs w:val="24"/>
        </w:rPr>
        <w:t xml:space="preserve"> with slight </w:t>
      </w:r>
      <w:r>
        <w:rPr>
          <w:rFonts w:ascii="Times New Roman" w:hAnsi="Times New Roman"/>
          <w:bCs/>
          <w:sz w:val="24"/>
          <w:szCs w:val="24"/>
          <w:highlight w:val="yellow"/>
        </w:rPr>
        <w:t>diffe</w:t>
      </w:r>
      <w:r>
        <w:rPr>
          <w:rFonts w:ascii="Times New Roman" w:hAnsi="Times New Roman"/>
          <w:bCs/>
          <w:sz w:val="24"/>
          <w:szCs w:val="24"/>
        </w:rPr>
        <w:t>r</w:t>
      </w:r>
      <w:r>
        <w:rPr>
          <w:rFonts w:ascii="Times New Roman" w:hAnsi="Times New Roman"/>
          <w:bCs/>
          <w:sz w:val="24"/>
          <w:szCs w:val="24"/>
          <w:highlight w:val="yellow"/>
        </w:rPr>
        <w:t>e</w:t>
      </w:r>
      <w:r>
        <w:rPr>
          <w:rFonts w:ascii="Times New Roman" w:hAnsi="Times New Roman"/>
          <w:bCs/>
          <w:sz w:val="24"/>
          <w:szCs w:val="24"/>
        </w:rPr>
        <w:t>n</w:t>
      </w:r>
      <w:r>
        <w:rPr>
          <w:rFonts w:ascii="Times New Roman" w:hAnsi="Times New Roman"/>
          <w:bCs/>
          <w:sz w:val="24"/>
          <w:szCs w:val="24"/>
          <w:highlight w:val="yellow"/>
        </w:rPr>
        <w:t>ce</w:t>
      </w:r>
      <w:r>
        <w:rPr>
          <w:rFonts w:ascii="Times New Roman" w:hAnsi="Times New Roman"/>
          <w:bCs/>
          <w:sz w:val="24"/>
          <w:szCs w:val="24"/>
        </w:rPr>
        <w:t xml:space="preserve">s in standard deviation. Lower values were </w:t>
      </w:r>
      <w:r>
        <w:rPr>
          <w:rFonts w:ascii="Times New Roman" w:hAnsi="Times New Roman"/>
          <w:bCs/>
          <w:sz w:val="24"/>
          <w:szCs w:val="24"/>
          <w:highlight w:val="yellow"/>
        </w:rPr>
        <w:t>rec</w:t>
      </w:r>
      <w:r>
        <w:rPr>
          <w:rFonts w:ascii="Times New Roman" w:hAnsi="Times New Roman"/>
          <w:bCs/>
          <w:sz w:val="24"/>
          <w:szCs w:val="24"/>
        </w:rPr>
        <w:t>or</w:t>
      </w:r>
      <w:r>
        <w:rPr>
          <w:rFonts w:ascii="Times New Roman" w:hAnsi="Times New Roman"/>
          <w:bCs/>
          <w:sz w:val="24"/>
          <w:szCs w:val="24"/>
          <w:highlight w:val="yellow"/>
        </w:rPr>
        <w:t>d</w:t>
      </w:r>
      <w:r>
        <w:rPr>
          <w:rFonts w:ascii="Times New Roman" w:hAnsi="Times New Roman"/>
          <w:bCs/>
          <w:sz w:val="24"/>
          <w:szCs w:val="24"/>
        </w:rPr>
        <w:t>ed in Ps2 (0.</w:t>
      </w:r>
      <w:r>
        <w:rPr>
          <w:rFonts w:ascii="Times New Roman" w:hAnsi="Times New Roman"/>
          <w:bCs/>
          <w:sz w:val="24"/>
          <w:szCs w:val="24"/>
          <w:highlight w:val="yellow"/>
        </w:rPr>
        <w:t>2</w:t>
      </w:r>
      <w:r>
        <w:rPr>
          <w:rFonts w:ascii="Times New Roman" w:hAnsi="Times New Roman"/>
          <w:bCs/>
          <w:sz w:val="24"/>
          <w:szCs w:val="24"/>
        </w:rPr>
        <w:t>4</w:t>
      </w:r>
      <w:r>
        <w:rPr>
          <w:rFonts w:ascii="Times New Roman" w:hAnsi="Times New Roman"/>
          <w:bCs/>
          <w:sz w:val="24"/>
          <w:szCs w:val="24"/>
          <w:highlight w:val="yellow"/>
        </w:rPr>
        <w:t xml:space="preserve"> ± </w:t>
      </w:r>
      <w:r>
        <w:rPr>
          <w:rFonts w:ascii="Times New Roman" w:hAnsi="Times New Roman"/>
          <w:bCs/>
          <w:sz w:val="24"/>
          <w:szCs w:val="24"/>
        </w:rPr>
        <w:t>0</w:t>
      </w:r>
      <w:r>
        <w:rPr>
          <w:rFonts w:ascii="Times New Roman" w:hAnsi="Times New Roman"/>
          <w:bCs/>
          <w:sz w:val="24"/>
          <w:szCs w:val="24"/>
          <w:highlight w:val="yellow"/>
        </w:rPr>
        <w:t>.15</w:t>
      </w:r>
      <w:r>
        <w:rPr>
          <w:rFonts w:ascii="Times New Roman" w:hAnsi="Times New Roman"/>
          <w:bCs/>
          <w:sz w:val="24"/>
          <w:szCs w:val="24"/>
        </w:rPr>
        <w:t xml:space="preserve"> mmol/L), </w:t>
      </w:r>
      <w:r>
        <w:rPr>
          <w:rFonts w:ascii="Times New Roman" w:hAnsi="Times New Roman"/>
          <w:bCs/>
          <w:sz w:val="24"/>
          <w:szCs w:val="24"/>
          <w:highlight w:val="yellow"/>
        </w:rPr>
        <w:t>Ps3 (0.40 ± 0.15 mmo</w:t>
      </w:r>
      <w:r>
        <w:rPr>
          <w:rFonts w:ascii="Times New Roman" w:hAnsi="Times New Roman"/>
          <w:bCs/>
          <w:sz w:val="24"/>
          <w:szCs w:val="24"/>
        </w:rPr>
        <w:t>l</w:t>
      </w:r>
      <w:r>
        <w:rPr>
          <w:rFonts w:ascii="Times New Roman" w:hAnsi="Times New Roman"/>
          <w:bCs/>
          <w:sz w:val="24"/>
          <w:szCs w:val="24"/>
          <w:highlight w:val="yellow"/>
        </w:rPr>
        <w:t>/L), and</w:t>
      </w:r>
      <w:r>
        <w:rPr>
          <w:rFonts w:ascii="Times New Roman" w:hAnsi="Times New Roman"/>
          <w:bCs/>
          <w:sz w:val="24"/>
          <w:szCs w:val="24"/>
        </w:rPr>
        <w:t xml:space="preserve"> the normal control group (0.40 ± 0.11 mmol/L). For LDL-c, the negative control group</w:t>
      </w:r>
      <w:r>
        <w:rPr>
          <w:rFonts w:ascii="Times New Roman" w:hAnsi="Times New Roman"/>
          <w:bCs/>
          <w:sz w:val="24"/>
          <w:szCs w:val="24"/>
          <w:highlight w:val="yellow"/>
        </w:rPr>
        <w:t xml:space="preserve"> recorded the highest value</w:t>
      </w:r>
      <w:r>
        <w:rPr>
          <w:rFonts w:ascii="Times New Roman" w:hAnsi="Times New Roman"/>
          <w:bCs/>
          <w:sz w:val="24"/>
          <w:szCs w:val="24"/>
        </w:rPr>
        <w:t xml:space="preserve"> (2.44 ± 0.23 mmol/L), followed by Ps3 (2.00 ± 0.3</w:t>
      </w:r>
      <w:r>
        <w:rPr>
          <w:rFonts w:ascii="Times New Roman" w:hAnsi="Times New Roman"/>
          <w:bCs/>
          <w:sz w:val="24"/>
          <w:szCs w:val="24"/>
          <w:highlight w:val="yellow"/>
        </w:rPr>
        <w:t>0</w:t>
      </w:r>
      <w:r>
        <w:rPr>
          <w:rFonts w:ascii="Times New Roman" w:hAnsi="Times New Roman"/>
          <w:bCs/>
          <w:sz w:val="24"/>
          <w:szCs w:val="24"/>
        </w:rPr>
        <w:t xml:space="preserve"> mmol/L) and Ps1 (1.92 ± 0.08 mmol/L). Ps2 </w:t>
      </w:r>
      <w:r>
        <w:rPr>
          <w:rFonts w:ascii="Times New Roman" w:hAnsi="Times New Roman"/>
          <w:bCs/>
          <w:sz w:val="24"/>
          <w:szCs w:val="24"/>
          <w:highlight w:val="yellow"/>
        </w:rPr>
        <w:t>rec</w:t>
      </w:r>
      <w:r>
        <w:rPr>
          <w:rFonts w:ascii="Times New Roman" w:hAnsi="Times New Roman"/>
          <w:bCs/>
          <w:sz w:val="24"/>
          <w:szCs w:val="24"/>
        </w:rPr>
        <w:t>o</w:t>
      </w:r>
      <w:r>
        <w:rPr>
          <w:rFonts w:ascii="Times New Roman" w:hAnsi="Times New Roman"/>
          <w:bCs/>
          <w:sz w:val="24"/>
          <w:szCs w:val="24"/>
          <w:highlight w:val="yellow"/>
        </w:rPr>
        <w:t>rd</w:t>
      </w:r>
      <w:r>
        <w:rPr>
          <w:rFonts w:ascii="Times New Roman" w:hAnsi="Times New Roman"/>
          <w:bCs/>
          <w:sz w:val="24"/>
          <w:szCs w:val="24"/>
        </w:rPr>
        <w:t>ed 1.16 ± 0.31 mmol/L, while the normal control group recorded 1.34 ± 0.15 mmol/L. The lipid profile parameters varied among the treatment groups following administration of</w:t>
      </w:r>
      <w:r>
        <w:rPr>
          <w:rFonts w:ascii="Times New Roman" w:hAnsi="Times New Roman"/>
          <w:bCs/>
          <w:sz w:val="24"/>
          <w:szCs w:val="24"/>
          <w:highlight w:val="yellow"/>
        </w:rPr>
        <w:t xml:space="preserve"> the</w:t>
      </w:r>
      <w:r>
        <w:rPr>
          <w:rFonts w:ascii="Times New Roman" w:hAnsi="Times New Roman"/>
          <w:bCs/>
          <w:sz w:val="24"/>
          <w:szCs w:val="24"/>
        </w:rPr>
        <w:t xml:space="preserve"> </w:t>
      </w:r>
      <w:r>
        <w:rPr>
          <w:rFonts w:ascii="Times New Roman" w:hAnsi="Times New Roman"/>
          <w:bCs/>
          <w:i/>
          <w:sz w:val="24"/>
          <w:szCs w:val="24"/>
          <w:highlight w:val="yellow"/>
        </w:rPr>
        <w:t xml:space="preserve">Pterocarpus </w:t>
      </w:r>
      <w:proofErr w:type="spellStart"/>
      <w:r>
        <w:rPr>
          <w:rFonts w:ascii="Times New Roman" w:hAnsi="Times New Roman"/>
          <w:bCs/>
          <w:i/>
          <w:sz w:val="24"/>
          <w:szCs w:val="24"/>
          <w:highlight w:val="yellow"/>
        </w:rPr>
        <w:t>santalinoides</w:t>
      </w:r>
      <w:proofErr w:type="spellEnd"/>
      <w:r>
        <w:rPr>
          <w:rFonts w:ascii="Times New Roman" w:hAnsi="Times New Roman"/>
          <w:bCs/>
          <w:sz w:val="24"/>
          <w:szCs w:val="24"/>
        </w:rPr>
        <w:t xml:space="preserve"> leaf diet </w:t>
      </w:r>
      <w:r>
        <w:rPr>
          <w:rFonts w:ascii="Times New Roman" w:hAnsi="Times New Roman"/>
          <w:bCs/>
          <w:sz w:val="24"/>
          <w:szCs w:val="24"/>
          <w:highlight w:val="yellow"/>
        </w:rPr>
        <w:t>to</w:t>
      </w:r>
      <w:r>
        <w:rPr>
          <w:rFonts w:ascii="Times New Roman" w:hAnsi="Times New Roman"/>
          <w:bCs/>
          <w:sz w:val="24"/>
          <w:szCs w:val="24"/>
        </w:rPr>
        <w:t xml:space="preserve"> cadmium-exposed Wistar rats.</w:t>
      </w:r>
    </w:p>
    <w:p w14:paraId="1497408E" w14:textId="77777777" w:rsidR="00EA7300" w:rsidRPr="00CB7D14" w:rsidRDefault="00EA7300" w:rsidP="00EA7300">
      <w:pPr>
        <w:spacing w:line="480" w:lineRule="auto"/>
        <w:rPr>
          <w:rFonts w:ascii="Times New Roman" w:hAnsi="Times New Roman"/>
          <w:b/>
          <w:sz w:val="24"/>
          <w:szCs w:val="24"/>
        </w:rPr>
      </w:pPr>
      <w:r w:rsidRPr="00CB7D14">
        <w:rPr>
          <w:rFonts w:ascii="Times New Roman" w:hAnsi="Times New Roman"/>
          <w:b/>
          <w:sz w:val="24"/>
          <w:szCs w:val="24"/>
        </w:rPr>
        <w:t xml:space="preserve">Table 1: Effect of </w:t>
      </w:r>
      <w:r w:rsidRPr="00CB7D14">
        <w:rPr>
          <w:rFonts w:ascii="Times New Roman" w:hAnsi="Times New Roman"/>
          <w:b/>
          <w:i/>
          <w:sz w:val="24"/>
          <w:szCs w:val="24"/>
        </w:rPr>
        <w:t xml:space="preserve">Pterocarpus </w:t>
      </w:r>
      <w:proofErr w:type="spellStart"/>
      <w:r w:rsidRPr="00CB7D14">
        <w:rPr>
          <w:rFonts w:ascii="Times New Roman" w:hAnsi="Times New Roman"/>
          <w:b/>
          <w:i/>
          <w:sz w:val="24"/>
          <w:szCs w:val="24"/>
        </w:rPr>
        <w:t>santalinoides</w:t>
      </w:r>
      <w:proofErr w:type="spellEnd"/>
      <w:r w:rsidRPr="00CB7D14">
        <w:rPr>
          <w:rFonts w:ascii="Times New Roman" w:hAnsi="Times New Roman"/>
          <w:b/>
          <w:sz w:val="24"/>
          <w:szCs w:val="24"/>
        </w:rPr>
        <w:t xml:space="preserve"> Leaf </w:t>
      </w:r>
      <w:r>
        <w:rPr>
          <w:rFonts w:ascii="Times New Roman" w:hAnsi="Times New Roman"/>
          <w:b/>
          <w:sz w:val="24"/>
          <w:szCs w:val="24"/>
        </w:rPr>
        <w:t>Diet on</w:t>
      </w:r>
      <w:r w:rsidRPr="00CB7D14">
        <w:rPr>
          <w:rFonts w:ascii="Times New Roman" w:hAnsi="Times New Roman"/>
          <w:b/>
          <w:sz w:val="24"/>
          <w:szCs w:val="24"/>
        </w:rPr>
        <w:t xml:space="preserve"> selected </w:t>
      </w:r>
      <w:r>
        <w:rPr>
          <w:rFonts w:ascii="Times New Roman" w:hAnsi="Times New Roman"/>
          <w:b/>
          <w:sz w:val="24"/>
          <w:szCs w:val="24"/>
        </w:rPr>
        <w:t>lipid</w:t>
      </w:r>
      <w:r w:rsidRPr="00CB7D14">
        <w:rPr>
          <w:rFonts w:ascii="Times New Roman" w:hAnsi="Times New Roman"/>
          <w:b/>
          <w:sz w:val="24"/>
          <w:szCs w:val="24"/>
        </w:rPr>
        <w:t xml:space="preserve"> profile indices in Wistar rats Exposed to Cadmium</w:t>
      </w:r>
    </w:p>
    <w:tbl>
      <w:tblPr>
        <w:tblStyle w:val="TableGrid"/>
        <w:tblW w:w="5000" w:type="pct"/>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1"/>
        <w:gridCol w:w="2264"/>
        <w:gridCol w:w="1998"/>
        <w:gridCol w:w="1998"/>
        <w:gridCol w:w="2249"/>
      </w:tblGrid>
      <w:tr w:rsidR="00EA7300" w:rsidRPr="00CB7D14" w14:paraId="0877EDA1" w14:textId="77777777" w:rsidTr="00E0273A">
        <w:trPr>
          <w:trHeight w:val="503"/>
        </w:trPr>
        <w:tc>
          <w:tcPr>
            <w:tcW w:w="1061" w:type="pct"/>
            <w:tcBorders>
              <w:top w:val="single" w:sz="4" w:space="0" w:color="auto"/>
              <w:bottom w:val="single" w:sz="4" w:space="0" w:color="auto"/>
            </w:tcBorders>
          </w:tcPr>
          <w:p w14:paraId="09945271" w14:textId="77777777" w:rsidR="00EA7300" w:rsidRPr="00CB7D14" w:rsidRDefault="00EA7300" w:rsidP="009C7526">
            <w:pPr>
              <w:spacing w:line="360" w:lineRule="auto"/>
              <w:jc w:val="center"/>
              <w:rPr>
                <w:rFonts w:ascii="Times New Roman" w:hAnsi="Times New Roman"/>
                <w:b/>
                <w:sz w:val="24"/>
                <w:szCs w:val="24"/>
              </w:rPr>
            </w:pPr>
            <w:r w:rsidRPr="00CB7D14">
              <w:rPr>
                <w:rFonts w:ascii="Times New Roman" w:hAnsi="Times New Roman"/>
                <w:b/>
                <w:sz w:val="24"/>
                <w:szCs w:val="24"/>
              </w:rPr>
              <w:t>GROUPS</w:t>
            </w:r>
          </w:p>
        </w:tc>
        <w:tc>
          <w:tcPr>
            <w:tcW w:w="1048" w:type="pct"/>
            <w:tcBorders>
              <w:top w:val="single" w:sz="4" w:space="0" w:color="auto"/>
              <w:bottom w:val="single" w:sz="4" w:space="0" w:color="auto"/>
            </w:tcBorders>
            <w:vAlign w:val="bottom"/>
          </w:tcPr>
          <w:p w14:paraId="1A2B7E23" w14:textId="77777777" w:rsidR="00EA7300" w:rsidRPr="00244486" w:rsidRDefault="00EA7300" w:rsidP="009C7526">
            <w:pPr>
              <w:spacing w:line="360" w:lineRule="auto"/>
              <w:rPr>
                <w:rFonts w:ascii="Times New Roman" w:eastAsia="Times New Roman" w:hAnsi="Times New Roman"/>
                <w:b/>
                <w:color w:val="000000"/>
                <w:sz w:val="24"/>
                <w:szCs w:val="24"/>
              </w:rPr>
            </w:pPr>
            <w:r w:rsidRPr="00244486">
              <w:rPr>
                <w:rFonts w:ascii="Times New Roman" w:eastAsia="Times New Roman" w:hAnsi="Times New Roman"/>
                <w:b/>
                <w:color w:val="000000"/>
                <w:sz w:val="24"/>
                <w:szCs w:val="24"/>
              </w:rPr>
              <w:t xml:space="preserve">   </w:t>
            </w:r>
            <w:proofErr w:type="spellStart"/>
            <w:r w:rsidRPr="00244486">
              <w:rPr>
                <w:rFonts w:ascii="Times New Roman" w:eastAsia="Times New Roman" w:hAnsi="Times New Roman"/>
                <w:b/>
                <w:color w:val="000000"/>
                <w:sz w:val="24"/>
                <w:szCs w:val="24"/>
              </w:rPr>
              <w:t>HDLc</w:t>
            </w:r>
            <w:proofErr w:type="spellEnd"/>
            <w:r w:rsidRPr="00244486">
              <w:rPr>
                <w:rFonts w:ascii="Times New Roman" w:eastAsia="Times New Roman" w:hAnsi="Times New Roman"/>
                <w:b/>
                <w:color w:val="000000"/>
                <w:sz w:val="24"/>
                <w:szCs w:val="24"/>
              </w:rPr>
              <w:t xml:space="preserve"> (mmol/L)</w:t>
            </w:r>
          </w:p>
        </w:tc>
        <w:tc>
          <w:tcPr>
            <w:tcW w:w="925" w:type="pct"/>
            <w:tcBorders>
              <w:top w:val="single" w:sz="4" w:space="0" w:color="auto"/>
              <w:bottom w:val="single" w:sz="4" w:space="0" w:color="auto"/>
            </w:tcBorders>
          </w:tcPr>
          <w:p w14:paraId="1192CA54" w14:textId="77777777" w:rsidR="00EA7300" w:rsidRPr="00244486" w:rsidRDefault="00EA7300" w:rsidP="009C7526">
            <w:pPr>
              <w:spacing w:line="360" w:lineRule="auto"/>
              <w:rPr>
                <w:rFonts w:ascii="Times New Roman" w:eastAsia="Times New Roman" w:hAnsi="Times New Roman"/>
                <w:b/>
                <w:sz w:val="24"/>
                <w:szCs w:val="24"/>
              </w:rPr>
            </w:pPr>
            <w:proofErr w:type="spellStart"/>
            <w:r w:rsidRPr="00244486">
              <w:rPr>
                <w:rFonts w:ascii="Times New Roman" w:hAnsi="Times New Roman"/>
                <w:b/>
                <w:sz w:val="24"/>
                <w:szCs w:val="24"/>
              </w:rPr>
              <w:t>VLDLc</w:t>
            </w:r>
            <w:proofErr w:type="spellEnd"/>
            <w:r w:rsidRPr="00244486">
              <w:rPr>
                <w:rFonts w:ascii="Times New Roman" w:hAnsi="Times New Roman"/>
                <w:b/>
                <w:sz w:val="24"/>
                <w:szCs w:val="24"/>
              </w:rPr>
              <w:t xml:space="preserve"> </w:t>
            </w:r>
            <w:r w:rsidRPr="00244486">
              <w:rPr>
                <w:rFonts w:ascii="Times New Roman" w:eastAsia="Times New Roman" w:hAnsi="Times New Roman"/>
                <w:b/>
                <w:color w:val="000000"/>
                <w:sz w:val="24"/>
                <w:szCs w:val="24"/>
              </w:rPr>
              <w:t>(mmol/L)</w:t>
            </w:r>
          </w:p>
        </w:tc>
        <w:tc>
          <w:tcPr>
            <w:tcW w:w="925" w:type="pct"/>
            <w:tcBorders>
              <w:top w:val="single" w:sz="4" w:space="0" w:color="auto"/>
              <w:bottom w:val="single" w:sz="4" w:space="0" w:color="auto"/>
            </w:tcBorders>
          </w:tcPr>
          <w:p w14:paraId="4768A22D" w14:textId="77777777" w:rsidR="00EA7300" w:rsidRPr="00244486" w:rsidRDefault="00EA7300" w:rsidP="009C7526">
            <w:pPr>
              <w:spacing w:line="360" w:lineRule="auto"/>
              <w:rPr>
                <w:rFonts w:ascii="Times New Roman" w:eastAsia="Times New Roman" w:hAnsi="Times New Roman"/>
                <w:b/>
                <w:sz w:val="24"/>
                <w:szCs w:val="24"/>
              </w:rPr>
            </w:pPr>
            <w:r w:rsidRPr="00244486">
              <w:rPr>
                <w:rFonts w:ascii="Times New Roman" w:eastAsia="Times New Roman" w:hAnsi="Times New Roman"/>
                <w:b/>
                <w:sz w:val="24"/>
                <w:szCs w:val="24"/>
              </w:rPr>
              <w:t xml:space="preserve">Triacylglycerol </w:t>
            </w:r>
            <w:r w:rsidRPr="00244486">
              <w:rPr>
                <w:rFonts w:ascii="Times New Roman" w:eastAsia="Times New Roman" w:hAnsi="Times New Roman"/>
                <w:b/>
                <w:color w:val="000000"/>
                <w:sz w:val="24"/>
                <w:szCs w:val="24"/>
              </w:rPr>
              <w:t>(mmol/L)</w:t>
            </w:r>
          </w:p>
        </w:tc>
        <w:tc>
          <w:tcPr>
            <w:tcW w:w="1041" w:type="pct"/>
            <w:tcBorders>
              <w:top w:val="single" w:sz="4" w:space="0" w:color="auto"/>
              <w:bottom w:val="single" w:sz="4" w:space="0" w:color="auto"/>
            </w:tcBorders>
            <w:vAlign w:val="bottom"/>
          </w:tcPr>
          <w:p w14:paraId="142271E4" w14:textId="77777777" w:rsidR="00EA7300" w:rsidRPr="00244486" w:rsidRDefault="00EA7300" w:rsidP="009C7526">
            <w:pPr>
              <w:spacing w:line="360" w:lineRule="auto"/>
              <w:rPr>
                <w:rFonts w:ascii="Times New Roman" w:eastAsia="Times New Roman" w:hAnsi="Times New Roman"/>
                <w:b/>
                <w:sz w:val="24"/>
                <w:szCs w:val="24"/>
              </w:rPr>
            </w:pPr>
            <w:r w:rsidRPr="00244486">
              <w:rPr>
                <w:rFonts w:ascii="Times New Roman" w:eastAsia="Times New Roman" w:hAnsi="Times New Roman"/>
                <w:b/>
                <w:sz w:val="24"/>
                <w:szCs w:val="24"/>
              </w:rPr>
              <w:t xml:space="preserve"> </w:t>
            </w:r>
            <w:proofErr w:type="spellStart"/>
            <w:r w:rsidRPr="00244486">
              <w:rPr>
                <w:rFonts w:ascii="Times New Roman" w:eastAsia="Times New Roman" w:hAnsi="Times New Roman"/>
                <w:b/>
                <w:sz w:val="24"/>
                <w:szCs w:val="24"/>
              </w:rPr>
              <w:t>LDLc</w:t>
            </w:r>
            <w:proofErr w:type="spellEnd"/>
            <w:r w:rsidRPr="00244486">
              <w:rPr>
                <w:rFonts w:ascii="Times New Roman" w:eastAsia="Times New Roman" w:hAnsi="Times New Roman"/>
                <w:b/>
                <w:sz w:val="24"/>
                <w:szCs w:val="24"/>
              </w:rPr>
              <w:t xml:space="preserve"> (mmol/L)</w:t>
            </w:r>
          </w:p>
        </w:tc>
      </w:tr>
      <w:tr w:rsidR="00EA7300" w:rsidRPr="00CB7D14" w14:paraId="2C0811B1" w14:textId="77777777" w:rsidTr="00E0273A">
        <w:trPr>
          <w:trHeight w:val="865"/>
        </w:trPr>
        <w:tc>
          <w:tcPr>
            <w:tcW w:w="1061" w:type="pct"/>
            <w:tcBorders>
              <w:bottom w:val="nil"/>
            </w:tcBorders>
          </w:tcPr>
          <w:p w14:paraId="7BE3FCFF" w14:textId="77777777" w:rsidR="00EA7300" w:rsidRPr="00CB7D14" w:rsidRDefault="00EA7300" w:rsidP="009C7526">
            <w:pPr>
              <w:spacing w:line="360" w:lineRule="auto"/>
              <w:jc w:val="center"/>
              <w:rPr>
                <w:rFonts w:ascii="Times New Roman" w:hAnsi="Times New Roman"/>
                <w:sz w:val="24"/>
                <w:szCs w:val="24"/>
              </w:rPr>
            </w:pPr>
            <w:r w:rsidRPr="00CB7D14">
              <w:rPr>
                <w:rFonts w:ascii="Times New Roman" w:hAnsi="Times New Roman"/>
                <w:sz w:val="24"/>
                <w:szCs w:val="24"/>
              </w:rPr>
              <w:t>NORMAL CONTROL</w:t>
            </w:r>
          </w:p>
        </w:tc>
        <w:tc>
          <w:tcPr>
            <w:tcW w:w="1048" w:type="pct"/>
            <w:tcBorders>
              <w:bottom w:val="nil"/>
            </w:tcBorders>
          </w:tcPr>
          <w:p w14:paraId="746DB5B9" w14:textId="77777777" w:rsidR="00EA7300" w:rsidRPr="00CB7D14" w:rsidRDefault="00EA7300" w:rsidP="009C7526">
            <w:pPr>
              <w:spacing w:line="360" w:lineRule="auto"/>
              <w:rPr>
                <w:rFonts w:ascii="Times New Roman" w:hAnsi="Times New Roman"/>
                <w:sz w:val="24"/>
                <w:szCs w:val="24"/>
              </w:rPr>
            </w:pPr>
            <w:r w:rsidRPr="00CB7D14">
              <w:rPr>
                <w:rFonts w:ascii="Times New Roman" w:hAnsi="Times New Roman"/>
                <w:sz w:val="24"/>
                <w:szCs w:val="24"/>
              </w:rPr>
              <w:t>0.58 ± 0.37</w:t>
            </w:r>
            <w:r w:rsidRPr="00CB7D14">
              <w:rPr>
                <w:rFonts w:ascii="Times New Roman" w:hAnsi="Times New Roman"/>
                <w:b/>
                <w:sz w:val="24"/>
                <w:szCs w:val="24"/>
                <w:vertAlign w:val="superscript"/>
              </w:rPr>
              <w:t>a</w:t>
            </w:r>
          </w:p>
        </w:tc>
        <w:tc>
          <w:tcPr>
            <w:tcW w:w="925" w:type="pct"/>
            <w:tcBorders>
              <w:bottom w:val="nil"/>
            </w:tcBorders>
          </w:tcPr>
          <w:p w14:paraId="2FE17A69" w14:textId="77777777" w:rsidR="00EA7300" w:rsidRPr="00F1164A" w:rsidRDefault="00EA7300" w:rsidP="009C7526">
            <w:pPr>
              <w:spacing w:line="360" w:lineRule="auto"/>
              <w:rPr>
                <w:rFonts w:ascii="Times New Roman" w:hAnsi="Times New Roman"/>
                <w:sz w:val="24"/>
                <w:szCs w:val="24"/>
                <w:vertAlign w:val="superscript"/>
              </w:rPr>
            </w:pPr>
            <w:r w:rsidRPr="00CB7D14">
              <w:rPr>
                <w:rFonts w:ascii="Times New Roman" w:hAnsi="Times New Roman"/>
                <w:sz w:val="24"/>
                <w:szCs w:val="24"/>
              </w:rPr>
              <w:t>0.18 ± 0.05</w:t>
            </w:r>
            <w:r w:rsidRPr="00CB7D14">
              <w:rPr>
                <w:rFonts w:ascii="Times New Roman" w:hAnsi="Times New Roman"/>
                <w:sz w:val="24"/>
                <w:szCs w:val="24"/>
                <w:vertAlign w:val="superscript"/>
              </w:rPr>
              <w:t>a</w:t>
            </w:r>
          </w:p>
        </w:tc>
        <w:tc>
          <w:tcPr>
            <w:tcW w:w="925" w:type="pct"/>
            <w:tcBorders>
              <w:bottom w:val="nil"/>
            </w:tcBorders>
          </w:tcPr>
          <w:p w14:paraId="7821DFE3" w14:textId="77777777" w:rsidR="00EA7300" w:rsidRPr="00F1164A" w:rsidRDefault="00EA7300" w:rsidP="009C7526">
            <w:pPr>
              <w:spacing w:line="360" w:lineRule="auto"/>
              <w:rPr>
                <w:rFonts w:ascii="Times New Roman" w:hAnsi="Times New Roman"/>
                <w:sz w:val="24"/>
                <w:szCs w:val="24"/>
                <w:vertAlign w:val="superscript"/>
              </w:rPr>
            </w:pPr>
            <w:r>
              <w:rPr>
                <w:rFonts w:ascii="Times New Roman" w:hAnsi="Times New Roman"/>
                <w:sz w:val="24"/>
                <w:szCs w:val="24"/>
              </w:rPr>
              <w:t>0.40 ± 0.11</w:t>
            </w:r>
            <w:r w:rsidRPr="00E41C8C">
              <w:rPr>
                <w:rFonts w:ascii="Times New Roman" w:hAnsi="Times New Roman"/>
                <w:sz w:val="24"/>
                <w:szCs w:val="24"/>
                <w:vertAlign w:val="superscript"/>
              </w:rPr>
              <w:t>a</w:t>
            </w:r>
          </w:p>
        </w:tc>
        <w:tc>
          <w:tcPr>
            <w:tcW w:w="1041" w:type="pct"/>
            <w:tcBorders>
              <w:bottom w:val="nil"/>
            </w:tcBorders>
          </w:tcPr>
          <w:p w14:paraId="46970E30" w14:textId="77777777" w:rsidR="00EA7300" w:rsidRPr="00F1164A" w:rsidRDefault="00EA7300" w:rsidP="009C7526">
            <w:pPr>
              <w:spacing w:line="360" w:lineRule="auto"/>
              <w:rPr>
                <w:rFonts w:ascii="Times New Roman" w:hAnsi="Times New Roman"/>
                <w:b/>
                <w:sz w:val="24"/>
                <w:szCs w:val="24"/>
                <w:vertAlign w:val="superscript"/>
              </w:rPr>
            </w:pPr>
            <w:r w:rsidRPr="00CB7D14">
              <w:rPr>
                <w:rFonts w:ascii="Times New Roman" w:hAnsi="Times New Roman"/>
                <w:sz w:val="24"/>
                <w:szCs w:val="24"/>
              </w:rPr>
              <w:t>1.34 ± 0.15</w:t>
            </w:r>
            <w:r w:rsidRPr="00CB7D14">
              <w:rPr>
                <w:rFonts w:ascii="Times New Roman" w:hAnsi="Times New Roman"/>
                <w:b/>
                <w:sz w:val="24"/>
                <w:szCs w:val="24"/>
                <w:vertAlign w:val="superscript"/>
              </w:rPr>
              <w:t>a</w:t>
            </w:r>
          </w:p>
        </w:tc>
      </w:tr>
      <w:tr w:rsidR="00EA7300" w:rsidRPr="00CB7D14" w14:paraId="70AED80D" w14:textId="77777777" w:rsidTr="00E0273A">
        <w:trPr>
          <w:trHeight w:val="865"/>
        </w:trPr>
        <w:tc>
          <w:tcPr>
            <w:tcW w:w="1061" w:type="pct"/>
            <w:tcBorders>
              <w:bottom w:val="nil"/>
            </w:tcBorders>
          </w:tcPr>
          <w:p w14:paraId="4C9B8D5D" w14:textId="77777777" w:rsidR="00EA7300" w:rsidRPr="00CB7D14" w:rsidRDefault="00EA7300" w:rsidP="009C7526">
            <w:pPr>
              <w:spacing w:line="360" w:lineRule="auto"/>
              <w:jc w:val="center"/>
              <w:rPr>
                <w:rFonts w:ascii="Times New Roman" w:hAnsi="Times New Roman"/>
                <w:sz w:val="24"/>
                <w:szCs w:val="24"/>
              </w:rPr>
            </w:pPr>
            <w:r w:rsidRPr="00CB7D14">
              <w:rPr>
                <w:rFonts w:ascii="Times New Roman" w:hAnsi="Times New Roman"/>
                <w:sz w:val="24"/>
                <w:szCs w:val="24"/>
              </w:rPr>
              <w:t>NEGATIVE CONTROL</w:t>
            </w:r>
          </w:p>
        </w:tc>
        <w:tc>
          <w:tcPr>
            <w:tcW w:w="1048" w:type="pct"/>
            <w:tcBorders>
              <w:bottom w:val="nil"/>
            </w:tcBorders>
          </w:tcPr>
          <w:p w14:paraId="068B0F5E" w14:textId="77777777" w:rsidR="00EA7300" w:rsidRPr="00CB7D14" w:rsidRDefault="00EA7300" w:rsidP="009C7526">
            <w:pPr>
              <w:spacing w:line="360" w:lineRule="auto"/>
              <w:rPr>
                <w:rFonts w:ascii="Times New Roman" w:hAnsi="Times New Roman"/>
                <w:sz w:val="24"/>
                <w:szCs w:val="24"/>
              </w:rPr>
            </w:pPr>
            <w:r w:rsidRPr="00CB7D14">
              <w:rPr>
                <w:rFonts w:ascii="Times New Roman" w:hAnsi="Times New Roman"/>
                <w:sz w:val="24"/>
                <w:szCs w:val="24"/>
              </w:rPr>
              <w:t>1.9 ± 0.30</w:t>
            </w:r>
            <w:r w:rsidRPr="00CB7D14">
              <w:rPr>
                <w:rFonts w:ascii="Times New Roman" w:hAnsi="Times New Roman"/>
                <w:b/>
                <w:sz w:val="24"/>
                <w:szCs w:val="24"/>
                <w:vertAlign w:val="superscript"/>
              </w:rPr>
              <w:t>b</w:t>
            </w:r>
          </w:p>
        </w:tc>
        <w:tc>
          <w:tcPr>
            <w:tcW w:w="925" w:type="pct"/>
            <w:tcBorders>
              <w:bottom w:val="nil"/>
            </w:tcBorders>
          </w:tcPr>
          <w:p w14:paraId="1FD92FD0" w14:textId="77777777" w:rsidR="00EA7300" w:rsidRPr="00CB7D14" w:rsidRDefault="00EA7300" w:rsidP="009C7526">
            <w:pPr>
              <w:spacing w:line="360" w:lineRule="auto"/>
              <w:rPr>
                <w:rFonts w:ascii="Times New Roman" w:hAnsi="Times New Roman"/>
                <w:sz w:val="24"/>
                <w:szCs w:val="24"/>
              </w:rPr>
            </w:pPr>
            <w:r w:rsidRPr="00CB7D14">
              <w:rPr>
                <w:rFonts w:ascii="Times New Roman" w:hAnsi="Times New Roman"/>
                <w:sz w:val="24"/>
                <w:szCs w:val="24"/>
              </w:rPr>
              <w:t>0.38 ± 0.07</w:t>
            </w:r>
            <w:r w:rsidRPr="00CB7D14">
              <w:rPr>
                <w:rFonts w:ascii="Times New Roman" w:hAnsi="Times New Roman"/>
                <w:sz w:val="24"/>
                <w:szCs w:val="24"/>
                <w:vertAlign w:val="superscript"/>
              </w:rPr>
              <w:t>b</w:t>
            </w:r>
          </w:p>
        </w:tc>
        <w:tc>
          <w:tcPr>
            <w:tcW w:w="925" w:type="pct"/>
            <w:tcBorders>
              <w:bottom w:val="nil"/>
            </w:tcBorders>
          </w:tcPr>
          <w:p w14:paraId="6A0C0DE9" w14:textId="77777777" w:rsidR="00EA7300" w:rsidRPr="00CB7D14" w:rsidRDefault="00EA7300" w:rsidP="009C7526">
            <w:pPr>
              <w:spacing w:line="360" w:lineRule="auto"/>
              <w:rPr>
                <w:rFonts w:ascii="Times New Roman" w:hAnsi="Times New Roman"/>
                <w:sz w:val="24"/>
                <w:szCs w:val="24"/>
              </w:rPr>
            </w:pPr>
            <w:r>
              <w:rPr>
                <w:rFonts w:ascii="Times New Roman" w:hAnsi="Times New Roman"/>
                <w:sz w:val="24"/>
                <w:szCs w:val="24"/>
              </w:rPr>
              <w:t>0.84 ± 0.15</w:t>
            </w:r>
            <w:r w:rsidRPr="00E41C8C">
              <w:rPr>
                <w:rFonts w:ascii="Times New Roman" w:hAnsi="Times New Roman"/>
                <w:sz w:val="24"/>
                <w:szCs w:val="24"/>
                <w:vertAlign w:val="superscript"/>
              </w:rPr>
              <w:t>b</w:t>
            </w:r>
          </w:p>
        </w:tc>
        <w:tc>
          <w:tcPr>
            <w:tcW w:w="1041" w:type="pct"/>
            <w:tcBorders>
              <w:bottom w:val="nil"/>
            </w:tcBorders>
          </w:tcPr>
          <w:p w14:paraId="6B7E8B31" w14:textId="77777777" w:rsidR="00EA7300" w:rsidRPr="00CB7D14" w:rsidRDefault="00EA7300" w:rsidP="009C7526">
            <w:pPr>
              <w:spacing w:line="360" w:lineRule="auto"/>
              <w:rPr>
                <w:rFonts w:ascii="Times New Roman" w:hAnsi="Times New Roman"/>
                <w:sz w:val="24"/>
                <w:szCs w:val="24"/>
              </w:rPr>
            </w:pPr>
            <w:r w:rsidRPr="00CB7D14">
              <w:rPr>
                <w:rFonts w:ascii="Times New Roman" w:hAnsi="Times New Roman"/>
                <w:sz w:val="24"/>
                <w:szCs w:val="24"/>
              </w:rPr>
              <w:t>2.44 ± 0.23</w:t>
            </w:r>
            <w:r w:rsidRPr="00CB7D14">
              <w:rPr>
                <w:rFonts w:ascii="Times New Roman" w:hAnsi="Times New Roman"/>
                <w:b/>
                <w:sz w:val="24"/>
                <w:szCs w:val="24"/>
                <w:vertAlign w:val="superscript"/>
              </w:rPr>
              <w:t>a</w:t>
            </w:r>
          </w:p>
        </w:tc>
      </w:tr>
      <w:tr w:rsidR="00EA7300" w:rsidRPr="00CB7D14" w14:paraId="4891C3FC" w14:textId="77777777" w:rsidTr="00E0273A">
        <w:trPr>
          <w:trHeight w:val="972"/>
        </w:trPr>
        <w:tc>
          <w:tcPr>
            <w:tcW w:w="1061" w:type="pct"/>
            <w:tcBorders>
              <w:top w:val="nil"/>
              <w:bottom w:val="nil"/>
            </w:tcBorders>
          </w:tcPr>
          <w:p w14:paraId="7EA3514C" w14:textId="77777777" w:rsidR="00EA7300" w:rsidRPr="00CB7D14" w:rsidRDefault="00EA7300" w:rsidP="009C7526">
            <w:pPr>
              <w:spacing w:line="360" w:lineRule="auto"/>
              <w:jc w:val="center"/>
              <w:rPr>
                <w:rFonts w:ascii="Times New Roman" w:hAnsi="Times New Roman"/>
                <w:sz w:val="24"/>
                <w:szCs w:val="24"/>
              </w:rPr>
            </w:pPr>
            <w:r>
              <w:rPr>
                <w:rFonts w:ascii="Times New Roman" w:hAnsi="Times New Roman"/>
                <w:sz w:val="24"/>
                <w:szCs w:val="24"/>
              </w:rPr>
              <w:t>STANDARD CONTROL</w:t>
            </w:r>
          </w:p>
        </w:tc>
        <w:tc>
          <w:tcPr>
            <w:tcW w:w="1048" w:type="pct"/>
            <w:tcBorders>
              <w:top w:val="nil"/>
              <w:bottom w:val="nil"/>
            </w:tcBorders>
          </w:tcPr>
          <w:p w14:paraId="5A72C413" w14:textId="77777777" w:rsidR="00EA7300" w:rsidRPr="005B41F2" w:rsidRDefault="00EA7300" w:rsidP="009C7526">
            <w:pPr>
              <w:spacing w:line="360" w:lineRule="auto"/>
              <w:rPr>
                <w:rFonts w:ascii="Times New Roman" w:hAnsi="Times New Roman"/>
                <w:b/>
                <w:sz w:val="24"/>
                <w:szCs w:val="24"/>
                <w:vertAlign w:val="superscript"/>
              </w:rPr>
            </w:pPr>
            <w:r w:rsidRPr="005B41F2">
              <w:rPr>
                <w:rFonts w:ascii="Times New Roman" w:hAnsi="Times New Roman"/>
                <w:sz w:val="24"/>
                <w:szCs w:val="24"/>
              </w:rPr>
              <w:t>1.30 ±</w:t>
            </w:r>
            <w:r>
              <w:rPr>
                <w:rFonts w:ascii="Times New Roman" w:hAnsi="Times New Roman"/>
                <w:sz w:val="24"/>
                <w:szCs w:val="24"/>
              </w:rPr>
              <w:t xml:space="preserve"> 0.40a</w:t>
            </w:r>
          </w:p>
        </w:tc>
        <w:tc>
          <w:tcPr>
            <w:tcW w:w="925" w:type="pct"/>
            <w:tcBorders>
              <w:top w:val="nil"/>
              <w:bottom w:val="nil"/>
            </w:tcBorders>
          </w:tcPr>
          <w:p w14:paraId="7FD8E34B" w14:textId="77777777" w:rsidR="00EA7300" w:rsidRPr="00CB7D14" w:rsidRDefault="00EA7300" w:rsidP="009C7526">
            <w:pPr>
              <w:spacing w:line="360" w:lineRule="auto"/>
              <w:rPr>
                <w:rFonts w:ascii="Times New Roman" w:hAnsi="Times New Roman"/>
                <w:sz w:val="24"/>
                <w:szCs w:val="24"/>
              </w:rPr>
            </w:pPr>
            <w:r>
              <w:rPr>
                <w:rFonts w:ascii="Times New Roman" w:hAnsi="Times New Roman"/>
                <w:sz w:val="24"/>
                <w:szCs w:val="24"/>
              </w:rPr>
              <w:t>1.12</w:t>
            </w:r>
            <w:r w:rsidRPr="005B41F2">
              <w:rPr>
                <w:rFonts w:ascii="Times New Roman" w:hAnsi="Times New Roman"/>
                <w:sz w:val="24"/>
                <w:szCs w:val="24"/>
              </w:rPr>
              <w:t xml:space="preserve"> ±</w:t>
            </w:r>
            <w:r>
              <w:rPr>
                <w:rFonts w:ascii="Times New Roman" w:hAnsi="Times New Roman"/>
                <w:sz w:val="24"/>
                <w:szCs w:val="24"/>
              </w:rPr>
              <w:t xml:space="preserve"> 0.07a</w:t>
            </w:r>
          </w:p>
        </w:tc>
        <w:tc>
          <w:tcPr>
            <w:tcW w:w="925" w:type="pct"/>
            <w:tcBorders>
              <w:top w:val="nil"/>
              <w:bottom w:val="nil"/>
            </w:tcBorders>
          </w:tcPr>
          <w:p w14:paraId="3E949EA5" w14:textId="77777777" w:rsidR="00EA7300" w:rsidRPr="00CB7D14" w:rsidRDefault="00EA7300" w:rsidP="009C7526">
            <w:pPr>
              <w:spacing w:line="360" w:lineRule="auto"/>
              <w:rPr>
                <w:rFonts w:ascii="Times New Roman" w:hAnsi="Times New Roman"/>
                <w:sz w:val="24"/>
                <w:szCs w:val="24"/>
              </w:rPr>
            </w:pPr>
            <w:r>
              <w:rPr>
                <w:rFonts w:ascii="Times New Roman" w:hAnsi="Times New Roman"/>
                <w:sz w:val="24"/>
                <w:szCs w:val="24"/>
              </w:rPr>
              <w:t>0.28</w:t>
            </w:r>
            <w:r w:rsidRPr="005B41F2">
              <w:rPr>
                <w:rFonts w:ascii="Times New Roman" w:hAnsi="Times New Roman"/>
                <w:sz w:val="24"/>
                <w:szCs w:val="24"/>
              </w:rPr>
              <w:t xml:space="preserve"> ±</w:t>
            </w:r>
            <w:r>
              <w:rPr>
                <w:rFonts w:ascii="Times New Roman" w:hAnsi="Times New Roman"/>
                <w:sz w:val="24"/>
                <w:szCs w:val="24"/>
              </w:rPr>
              <w:t xml:space="preserve"> 0.14a</w:t>
            </w:r>
          </w:p>
        </w:tc>
        <w:tc>
          <w:tcPr>
            <w:tcW w:w="1041" w:type="pct"/>
            <w:tcBorders>
              <w:top w:val="nil"/>
              <w:bottom w:val="nil"/>
            </w:tcBorders>
          </w:tcPr>
          <w:p w14:paraId="6696F715" w14:textId="77777777" w:rsidR="00EA7300" w:rsidRPr="005B41F2" w:rsidRDefault="00EA7300" w:rsidP="009C7526">
            <w:pPr>
              <w:spacing w:line="360" w:lineRule="auto"/>
              <w:rPr>
                <w:rFonts w:ascii="Times New Roman" w:hAnsi="Times New Roman"/>
                <w:sz w:val="24"/>
                <w:szCs w:val="24"/>
              </w:rPr>
            </w:pPr>
            <w:r>
              <w:rPr>
                <w:rFonts w:ascii="Times New Roman" w:hAnsi="Times New Roman"/>
                <w:sz w:val="24"/>
                <w:szCs w:val="24"/>
              </w:rPr>
              <w:t>1.20</w:t>
            </w:r>
            <w:r w:rsidRPr="005B41F2">
              <w:rPr>
                <w:rFonts w:ascii="Times New Roman" w:hAnsi="Times New Roman"/>
                <w:sz w:val="24"/>
                <w:szCs w:val="24"/>
              </w:rPr>
              <w:t xml:space="preserve"> ±</w:t>
            </w:r>
            <w:r>
              <w:rPr>
                <w:rFonts w:ascii="Times New Roman" w:hAnsi="Times New Roman"/>
                <w:sz w:val="24"/>
                <w:szCs w:val="24"/>
              </w:rPr>
              <w:t xml:space="preserve"> 0.31a</w:t>
            </w:r>
          </w:p>
        </w:tc>
      </w:tr>
      <w:tr w:rsidR="00EA7300" w:rsidRPr="00CB7D14" w14:paraId="39331195" w14:textId="77777777" w:rsidTr="00E0273A">
        <w:trPr>
          <w:trHeight w:val="972"/>
        </w:trPr>
        <w:tc>
          <w:tcPr>
            <w:tcW w:w="1061" w:type="pct"/>
            <w:tcBorders>
              <w:top w:val="nil"/>
              <w:bottom w:val="nil"/>
            </w:tcBorders>
          </w:tcPr>
          <w:p w14:paraId="1B186ED8" w14:textId="77777777" w:rsidR="00EA7300" w:rsidRPr="00CB7D14" w:rsidRDefault="00EA7300" w:rsidP="009C7526">
            <w:pPr>
              <w:spacing w:line="360" w:lineRule="auto"/>
              <w:jc w:val="center"/>
              <w:rPr>
                <w:rFonts w:ascii="Times New Roman" w:hAnsi="Times New Roman"/>
                <w:sz w:val="24"/>
                <w:szCs w:val="24"/>
              </w:rPr>
            </w:pPr>
            <w:r w:rsidRPr="00CB7D14">
              <w:rPr>
                <w:rFonts w:ascii="Times New Roman" w:hAnsi="Times New Roman"/>
                <w:sz w:val="24"/>
                <w:szCs w:val="24"/>
              </w:rPr>
              <w:t>Ps1</w:t>
            </w:r>
            <w:r>
              <w:rPr>
                <w:rFonts w:ascii="Times New Roman" w:hAnsi="Times New Roman"/>
                <w:sz w:val="24"/>
                <w:szCs w:val="24"/>
              </w:rPr>
              <w:t xml:space="preserve"> (10%)</w:t>
            </w:r>
          </w:p>
        </w:tc>
        <w:tc>
          <w:tcPr>
            <w:tcW w:w="1048" w:type="pct"/>
            <w:tcBorders>
              <w:top w:val="nil"/>
              <w:bottom w:val="nil"/>
            </w:tcBorders>
          </w:tcPr>
          <w:p w14:paraId="13611536" w14:textId="77777777" w:rsidR="00EA7300" w:rsidRPr="00CB7D14" w:rsidRDefault="00EA7300" w:rsidP="009C7526">
            <w:pPr>
              <w:spacing w:line="360" w:lineRule="auto"/>
              <w:rPr>
                <w:rFonts w:ascii="Times New Roman" w:hAnsi="Times New Roman"/>
                <w:sz w:val="24"/>
                <w:szCs w:val="24"/>
              </w:rPr>
            </w:pPr>
            <w:r>
              <w:rPr>
                <w:rFonts w:ascii="Times New Roman" w:hAnsi="Times New Roman"/>
                <w:sz w:val="24"/>
                <w:szCs w:val="24"/>
              </w:rPr>
              <w:t>1.35 ± 0.36</w:t>
            </w:r>
            <w:r w:rsidRPr="00CB7D14">
              <w:rPr>
                <w:rFonts w:ascii="Times New Roman" w:hAnsi="Times New Roman"/>
                <w:b/>
                <w:sz w:val="24"/>
                <w:szCs w:val="24"/>
                <w:vertAlign w:val="superscript"/>
              </w:rPr>
              <w:t>a</w:t>
            </w:r>
          </w:p>
        </w:tc>
        <w:tc>
          <w:tcPr>
            <w:tcW w:w="925" w:type="pct"/>
            <w:tcBorders>
              <w:top w:val="nil"/>
              <w:bottom w:val="nil"/>
            </w:tcBorders>
          </w:tcPr>
          <w:p w14:paraId="0E7769B3" w14:textId="77777777" w:rsidR="00EA7300" w:rsidRPr="00CB7D14" w:rsidRDefault="00EA7300" w:rsidP="009C7526">
            <w:pPr>
              <w:spacing w:line="360" w:lineRule="auto"/>
              <w:rPr>
                <w:rFonts w:ascii="Times New Roman" w:hAnsi="Times New Roman"/>
                <w:sz w:val="24"/>
                <w:szCs w:val="24"/>
              </w:rPr>
            </w:pPr>
            <w:r w:rsidRPr="00CB7D14">
              <w:rPr>
                <w:rFonts w:ascii="Times New Roman" w:hAnsi="Times New Roman"/>
                <w:sz w:val="24"/>
                <w:szCs w:val="24"/>
              </w:rPr>
              <w:t>0.38 ± 0.06</w:t>
            </w:r>
            <w:r w:rsidRPr="00CB7D14">
              <w:rPr>
                <w:rFonts w:ascii="Times New Roman" w:hAnsi="Times New Roman"/>
                <w:sz w:val="24"/>
                <w:szCs w:val="24"/>
                <w:vertAlign w:val="superscript"/>
              </w:rPr>
              <w:t>a</w:t>
            </w:r>
          </w:p>
        </w:tc>
        <w:tc>
          <w:tcPr>
            <w:tcW w:w="925" w:type="pct"/>
            <w:tcBorders>
              <w:top w:val="nil"/>
              <w:bottom w:val="nil"/>
            </w:tcBorders>
          </w:tcPr>
          <w:p w14:paraId="161EAA88" w14:textId="77777777" w:rsidR="00EA7300" w:rsidRDefault="00EA7300" w:rsidP="009C7526">
            <w:pPr>
              <w:spacing w:line="360" w:lineRule="auto"/>
              <w:rPr>
                <w:rFonts w:ascii="Times New Roman" w:hAnsi="Times New Roman"/>
                <w:sz w:val="24"/>
                <w:szCs w:val="24"/>
              </w:rPr>
            </w:pPr>
            <w:r>
              <w:rPr>
                <w:rFonts w:ascii="Times New Roman" w:hAnsi="Times New Roman"/>
                <w:sz w:val="24"/>
                <w:szCs w:val="24"/>
              </w:rPr>
              <w:t>0.84 ± 0.13</w:t>
            </w:r>
            <w:r w:rsidRPr="00E41C8C">
              <w:rPr>
                <w:rFonts w:ascii="Times New Roman" w:hAnsi="Times New Roman"/>
                <w:sz w:val="24"/>
                <w:szCs w:val="24"/>
                <w:vertAlign w:val="superscript"/>
              </w:rPr>
              <w:t>a</w:t>
            </w:r>
          </w:p>
        </w:tc>
        <w:tc>
          <w:tcPr>
            <w:tcW w:w="1041" w:type="pct"/>
            <w:tcBorders>
              <w:top w:val="nil"/>
              <w:bottom w:val="nil"/>
            </w:tcBorders>
          </w:tcPr>
          <w:p w14:paraId="3180E738" w14:textId="77777777" w:rsidR="00EA7300" w:rsidRPr="00CB7D14" w:rsidRDefault="00EA7300" w:rsidP="009C7526">
            <w:pPr>
              <w:spacing w:line="360" w:lineRule="auto"/>
              <w:rPr>
                <w:rFonts w:ascii="Times New Roman" w:hAnsi="Times New Roman"/>
                <w:sz w:val="24"/>
                <w:szCs w:val="24"/>
              </w:rPr>
            </w:pPr>
            <w:r w:rsidRPr="00CB7D14">
              <w:rPr>
                <w:rFonts w:ascii="Times New Roman" w:hAnsi="Times New Roman"/>
                <w:sz w:val="24"/>
                <w:szCs w:val="24"/>
              </w:rPr>
              <w:t>1.92 ± 0.08</w:t>
            </w:r>
            <w:r w:rsidRPr="00CB7D14">
              <w:rPr>
                <w:rFonts w:ascii="Times New Roman" w:hAnsi="Times New Roman"/>
                <w:b/>
                <w:sz w:val="24"/>
                <w:szCs w:val="24"/>
                <w:vertAlign w:val="superscript"/>
              </w:rPr>
              <w:t>a</w:t>
            </w:r>
          </w:p>
        </w:tc>
      </w:tr>
      <w:tr w:rsidR="00EA7300" w:rsidRPr="00CB7D14" w14:paraId="2F09EE7B" w14:textId="77777777" w:rsidTr="00E0273A">
        <w:trPr>
          <w:trHeight w:val="972"/>
        </w:trPr>
        <w:tc>
          <w:tcPr>
            <w:tcW w:w="1061" w:type="pct"/>
            <w:tcBorders>
              <w:top w:val="nil"/>
              <w:bottom w:val="nil"/>
            </w:tcBorders>
          </w:tcPr>
          <w:p w14:paraId="77364A7B" w14:textId="77777777" w:rsidR="00EA7300" w:rsidRPr="00CB7D14" w:rsidRDefault="00EA7300" w:rsidP="009C7526">
            <w:pPr>
              <w:spacing w:line="360" w:lineRule="auto"/>
              <w:jc w:val="center"/>
              <w:rPr>
                <w:rFonts w:ascii="Times New Roman" w:hAnsi="Times New Roman"/>
                <w:sz w:val="24"/>
                <w:szCs w:val="24"/>
              </w:rPr>
            </w:pPr>
            <w:r w:rsidRPr="00CB7D14">
              <w:rPr>
                <w:rFonts w:ascii="Times New Roman" w:hAnsi="Times New Roman"/>
                <w:sz w:val="24"/>
                <w:szCs w:val="24"/>
              </w:rPr>
              <w:t>Ps2</w:t>
            </w:r>
            <w:r>
              <w:rPr>
                <w:rFonts w:ascii="Times New Roman" w:hAnsi="Times New Roman"/>
                <w:sz w:val="24"/>
                <w:szCs w:val="24"/>
              </w:rPr>
              <w:t xml:space="preserve"> (20%)</w:t>
            </w:r>
          </w:p>
        </w:tc>
        <w:tc>
          <w:tcPr>
            <w:tcW w:w="1048" w:type="pct"/>
            <w:tcBorders>
              <w:top w:val="nil"/>
              <w:bottom w:val="nil"/>
            </w:tcBorders>
          </w:tcPr>
          <w:p w14:paraId="78D44A37" w14:textId="77777777" w:rsidR="00EA7300" w:rsidRDefault="00EA7300" w:rsidP="009C7526">
            <w:pPr>
              <w:spacing w:line="360" w:lineRule="auto"/>
              <w:rPr>
                <w:rFonts w:ascii="Times New Roman" w:hAnsi="Times New Roman"/>
                <w:sz w:val="24"/>
                <w:szCs w:val="24"/>
              </w:rPr>
            </w:pPr>
            <w:r w:rsidRPr="00CB7D14">
              <w:rPr>
                <w:rFonts w:ascii="Times New Roman" w:hAnsi="Times New Roman"/>
                <w:sz w:val="24"/>
                <w:szCs w:val="24"/>
              </w:rPr>
              <w:t>1.25 ± 0.33</w:t>
            </w:r>
            <w:r w:rsidRPr="00CB7D14">
              <w:rPr>
                <w:rFonts w:ascii="Times New Roman" w:hAnsi="Times New Roman"/>
                <w:b/>
                <w:sz w:val="24"/>
                <w:szCs w:val="24"/>
                <w:vertAlign w:val="superscript"/>
              </w:rPr>
              <w:t>a</w:t>
            </w:r>
          </w:p>
        </w:tc>
        <w:tc>
          <w:tcPr>
            <w:tcW w:w="925" w:type="pct"/>
            <w:tcBorders>
              <w:top w:val="nil"/>
              <w:bottom w:val="nil"/>
            </w:tcBorders>
          </w:tcPr>
          <w:p w14:paraId="033011CD" w14:textId="77777777" w:rsidR="00EA7300" w:rsidRPr="00CB7D14" w:rsidRDefault="00EA7300" w:rsidP="009C7526">
            <w:pPr>
              <w:spacing w:line="360" w:lineRule="auto"/>
              <w:rPr>
                <w:rFonts w:ascii="Times New Roman" w:hAnsi="Times New Roman"/>
                <w:sz w:val="24"/>
                <w:szCs w:val="24"/>
              </w:rPr>
            </w:pPr>
            <w:r w:rsidRPr="00CB7D14">
              <w:rPr>
                <w:rFonts w:ascii="Times New Roman" w:hAnsi="Times New Roman"/>
                <w:sz w:val="24"/>
                <w:szCs w:val="24"/>
              </w:rPr>
              <w:t>0.11 ±0.07</w:t>
            </w:r>
            <w:r w:rsidRPr="00CB7D14">
              <w:rPr>
                <w:rFonts w:ascii="Times New Roman" w:hAnsi="Times New Roman"/>
                <w:sz w:val="24"/>
                <w:szCs w:val="24"/>
                <w:vertAlign w:val="superscript"/>
              </w:rPr>
              <w:t xml:space="preserve"> a</w:t>
            </w:r>
          </w:p>
        </w:tc>
        <w:tc>
          <w:tcPr>
            <w:tcW w:w="925" w:type="pct"/>
            <w:tcBorders>
              <w:top w:val="nil"/>
              <w:bottom w:val="nil"/>
            </w:tcBorders>
          </w:tcPr>
          <w:p w14:paraId="662795A6" w14:textId="77777777" w:rsidR="00EA7300" w:rsidRDefault="00EA7300" w:rsidP="009C7526">
            <w:pPr>
              <w:spacing w:line="360" w:lineRule="auto"/>
              <w:rPr>
                <w:rFonts w:ascii="Times New Roman" w:hAnsi="Times New Roman"/>
                <w:sz w:val="24"/>
                <w:szCs w:val="24"/>
              </w:rPr>
            </w:pPr>
            <w:r w:rsidRPr="00CB7D14">
              <w:rPr>
                <w:rFonts w:ascii="Times New Roman" w:hAnsi="Times New Roman"/>
                <w:sz w:val="24"/>
                <w:szCs w:val="24"/>
              </w:rPr>
              <w:t>0.</w:t>
            </w:r>
            <w:r>
              <w:rPr>
                <w:rFonts w:ascii="Times New Roman" w:hAnsi="Times New Roman"/>
                <w:sz w:val="24"/>
                <w:szCs w:val="24"/>
              </w:rPr>
              <w:t>24 ± 0.15</w:t>
            </w:r>
            <w:r w:rsidRPr="00E41C8C">
              <w:rPr>
                <w:rFonts w:ascii="Times New Roman" w:hAnsi="Times New Roman"/>
                <w:sz w:val="24"/>
                <w:szCs w:val="24"/>
                <w:vertAlign w:val="superscript"/>
              </w:rPr>
              <w:t>a</w:t>
            </w:r>
          </w:p>
        </w:tc>
        <w:tc>
          <w:tcPr>
            <w:tcW w:w="1041" w:type="pct"/>
            <w:tcBorders>
              <w:top w:val="nil"/>
              <w:bottom w:val="nil"/>
            </w:tcBorders>
          </w:tcPr>
          <w:p w14:paraId="17A4F9A5" w14:textId="77777777" w:rsidR="00EA7300" w:rsidRPr="00CB7D14" w:rsidRDefault="00EA7300" w:rsidP="009C7526">
            <w:pPr>
              <w:spacing w:line="360" w:lineRule="auto"/>
              <w:rPr>
                <w:rFonts w:ascii="Times New Roman" w:hAnsi="Times New Roman"/>
                <w:sz w:val="24"/>
                <w:szCs w:val="24"/>
              </w:rPr>
            </w:pPr>
            <w:r w:rsidRPr="00CB7D14">
              <w:rPr>
                <w:rFonts w:ascii="Times New Roman" w:hAnsi="Times New Roman"/>
                <w:sz w:val="24"/>
                <w:szCs w:val="24"/>
              </w:rPr>
              <w:t>1.16 ± 0.31</w:t>
            </w:r>
            <w:r w:rsidRPr="00CB7D14">
              <w:rPr>
                <w:rFonts w:ascii="Times New Roman" w:hAnsi="Times New Roman"/>
                <w:b/>
                <w:sz w:val="24"/>
                <w:szCs w:val="24"/>
                <w:vertAlign w:val="superscript"/>
              </w:rPr>
              <w:t>a</w:t>
            </w:r>
          </w:p>
        </w:tc>
      </w:tr>
      <w:tr w:rsidR="00EA7300" w:rsidRPr="00CB7D14" w14:paraId="07AB5775" w14:textId="77777777" w:rsidTr="00E0273A">
        <w:trPr>
          <w:trHeight w:val="972"/>
        </w:trPr>
        <w:tc>
          <w:tcPr>
            <w:tcW w:w="1061" w:type="pct"/>
            <w:tcBorders>
              <w:top w:val="nil"/>
              <w:bottom w:val="single" w:sz="4" w:space="0" w:color="auto"/>
            </w:tcBorders>
          </w:tcPr>
          <w:p w14:paraId="2B0EBFB9" w14:textId="77777777" w:rsidR="00EA7300" w:rsidRPr="00CB7D14" w:rsidRDefault="00EA7300" w:rsidP="009C7526">
            <w:pPr>
              <w:spacing w:line="360" w:lineRule="auto"/>
              <w:jc w:val="center"/>
              <w:rPr>
                <w:rFonts w:ascii="Times New Roman" w:hAnsi="Times New Roman"/>
                <w:sz w:val="24"/>
                <w:szCs w:val="24"/>
              </w:rPr>
            </w:pPr>
            <w:r w:rsidRPr="00CB7D14">
              <w:rPr>
                <w:rFonts w:ascii="Times New Roman" w:hAnsi="Times New Roman"/>
                <w:sz w:val="24"/>
                <w:szCs w:val="24"/>
              </w:rPr>
              <w:lastRenderedPageBreak/>
              <w:t>Ps3</w:t>
            </w:r>
            <w:r>
              <w:rPr>
                <w:rFonts w:ascii="Times New Roman" w:hAnsi="Times New Roman"/>
                <w:sz w:val="24"/>
                <w:szCs w:val="24"/>
              </w:rPr>
              <w:t xml:space="preserve"> (40%)</w:t>
            </w:r>
          </w:p>
        </w:tc>
        <w:tc>
          <w:tcPr>
            <w:tcW w:w="1048" w:type="pct"/>
            <w:tcBorders>
              <w:top w:val="nil"/>
              <w:bottom w:val="single" w:sz="4" w:space="0" w:color="auto"/>
            </w:tcBorders>
          </w:tcPr>
          <w:p w14:paraId="6FDDEA48" w14:textId="77777777" w:rsidR="00EA7300" w:rsidRPr="00CB7D14" w:rsidRDefault="00EA7300" w:rsidP="009C7526">
            <w:pPr>
              <w:spacing w:line="360" w:lineRule="auto"/>
              <w:rPr>
                <w:rFonts w:ascii="Times New Roman" w:hAnsi="Times New Roman"/>
                <w:sz w:val="24"/>
                <w:szCs w:val="24"/>
              </w:rPr>
            </w:pPr>
            <w:r w:rsidRPr="00CB7D14">
              <w:rPr>
                <w:rFonts w:ascii="Times New Roman" w:hAnsi="Times New Roman"/>
                <w:sz w:val="24"/>
                <w:szCs w:val="24"/>
              </w:rPr>
              <w:t>1.52± 0.44</w:t>
            </w:r>
            <w:r w:rsidRPr="00CB7D14">
              <w:rPr>
                <w:rFonts w:ascii="Times New Roman" w:hAnsi="Times New Roman"/>
                <w:b/>
                <w:sz w:val="24"/>
                <w:szCs w:val="24"/>
                <w:vertAlign w:val="superscript"/>
              </w:rPr>
              <w:t>a</w:t>
            </w:r>
          </w:p>
        </w:tc>
        <w:tc>
          <w:tcPr>
            <w:tcW w:w="925" w:type="pct"/>
            <w:tcBorders>
              <w:top w:val="nil"/>
              <w:bottom w:val="single" w:sz="4" w:space="0" w:color="auto"/>
            </w:tcBorders>
          </w:tcPr>
          <w:p w14:paraId="2F71B056" w14:textId="77777777" w:rsidR="00EA7300" w:rsidRPr="00CB7D14" w:rsidRDefault="00EA7300" w:rsidP="009C7526">
            <w:pPr>
              <w:spacing w:line="360" w:lineRule="auto"/>
              <w:rPr>
                <w:rFonts w:ascii="Times New Roman" w:hAnsi="Times New Roman"/>
                <w:sz w:val="24"/>
                <w:szCs w:val="24"/>
              </w:rPr>
            </w:pPr>
            <w:r w:rsidRPr="00CB7D14">
              <w:rPr>
                <w:rFonts w:ascii="Times New Roman" w:hAnsi="Times New Roman"/>
                <w:sz w:val="24"/>
                <w:szCs w:val="24"/>
              </w:rPr>
              <w:t>0.18 ± 0.07</w:t>
            </w:r>
            <w:r w:rsidRPr="00CB7D14">
              <w:rPr>
                <w:rFonts w:ascii="Times New Roman" w:hAnsi="Times New Roman"/>
                <w:sz w:val="24"/>
                <w:szCs w:val="24"/>
                <w:vertAlign w:val="superscript"/>
              </w:rPr>
              <w:t>a</w:t>
            </w:r>
          </w:p>
        </w:tc>
        <w:tc>
          <w:tcPr>
            <w:tcW w:w="925" w:type="pct"/>
            <w:tcBorders>
              <w:top w:val="nil"/>
              <w:bottom w:val="single" w:sz="4" w:space="0" w:color="auto"/>
            </w:tcBorders>
          </w:tcPr>
          <w:p w14:paraId="3786A78A" w14:textId="77777777" w:rsidR="00EA7300" w:rsidRPr="00CB7D14" w:rsidRDefault="00EA7300" w:rsidP="009C7526">
            <w:pPr>
              <w:spacing w:line="360" w:lineRule="auto"/>
              <w:rPr>
                <w:rFonts w:ascii="Times New Roman" w:hAnsi="Times New Roman"/>
                <w:sz w:val="24"/>
                <w:szCs w:val="24"/>
              </w:rPr>
            </w:pPr>
            <w:r>
              <w:rPr>
                <w:rFonts w:ascii="Times New Roman" w:hAnsi="Times New Roman"/>
                <w:sz w:val="24"/>
                <w:szCs w:val="24"/>
              </w:rPr>
              <w:t>0.40 ± 0.15</w:t>
            </w:r>
            <w:r w:rsidRPr="00E41C8C">
              <w:rPr>
                <w:rFonts w:ascii="Times New Roman" w:hAnsi="Times New Roman"/>
                <w:sz w:val="24"/>
                <w:szCs w:val="24"/>
                <w:vertAlign w:val="superscript"/>
              </w:rPr>
              <w:t>a</w:t>
            </w:r>
          </w:p>
        </w:tc>
        <w:tc>
          <w:tcPr>
            <w:tcW w:w="1041" w:type="pct"/>
            <w:tcBorders>
              <w:top w:val="nil"/>
              <w:bottom w:val="single" w:sz="4" w:space="0" w:color="auto"/>
            </w:tcBorders>
          </w:tcPr>
          <w:p w14:paraId="43D619DF" w14:textId="77777777" w:rsidR="00EA7300" w:rsidRPr="00CB7D14" w:rsidRDefault="00EA7300" w:rsidP="009C7526">
            <w:pPr>
              <w:spacing w:line="360" w:lineRule="auto"/>
              <w:rPr>
                <w:rFonts w:ascii="Times New Roman" w:hAnsi="Times New Roman"/>
                <w:sz w:val="24"/>
                <w:szCs w:val="24"/>
              </w:rPr>
            </w:pPr>
            <w:r w:rsidRPr="00CB7D14">
              <w:rPr>
                <w:rFonts w:ascii="Times New Roman" w:hAnsi="Times New Roman"/>
                <w:sz w:val="24"/>
                <w:szCs w:val="24"/>
              </w:rPr>
              <w:t>2 ± 0.3</w:t>
            </w:r>
            <w:r>
              <w:rPr>
                <w:rFonts w:ascii="Times New Roman" w:hAnsi="Times New Roman"/>
                <w:sz w:val="24"/>
                <w:szCs w:val="24"/>
              </w:rPr>
              <w:t>0</w:t>
            </w:r>
            <w:r w:rsidRPr="00CB7D14">
              <w:rPr>
                <w:rFonts w:ascii="Times New Roman" w:hAnsi="Times New Roman"/>
                <w:b/>
                <w:sz w:val="24"/>
                <w:szCs w:val="24"/>
                <w:vertAlign w:val="superscript"/>
              </w:rPr>
              <w:t>a</w:t>
            </w:r>
          </w:p>
        </w:tc>
      </w:tr>
    </w:tbl>
    <w:p w14:paraId="5346D601" w14:textId="77777777" w:rsidR="00EA7300" w:rsidRDefault="00EA7300" w:rsidP="00EA7300">
      <w:pPr>
        <w:spacing w:line="480" w:lineRule="auto"/>
        <w:rPr>
          <w:rFonts w:ascii="Times New Roman" w:hAnsi="Times New Roman"/>
          <w:b/>
          <w:color w:val="000000" w:themeColor="text1"/>
          <w:sz w:val="24"/>
          <w:szCs w:val="24"/>
        </w:rPr>
      </w:pPr>
      <w:r w:rsidRPr="00CB7D14">
        <w:rPr>
          <w:rFonts w:ascii="Times New Roman" w:hAnsi="Times New Roman"/>
          <w:i/>
          <w:iCs/>
          <w:sz w:val="24"/>
          <w:szCs w:val="24"/>
        </w:rPr>
        <w:t>Values are pre</w:t>
      </w:r>
      <w:r>
        <w:rPr>
          <w:rFonts w:ascii="Times New Roman" w:hAnsi="Times New Roman"/>
          <w:i/>
          <w:iCs/>
          <w:sz w:val="24"/>
          <w:szCs w:val="24"/>
        </w:rPr>
        <w:t>sented as mean ± SD (n = 6</w:t>
      </w:r>
      <w:r w:rsidRPr="00CB7D14">
        <w:rPr>
          <w:rFonts w:ascii="Times New Roman" w:hAnsi="Times New Roman"/>
          <w:i/>
          <w:iCs/>
          <w:sz w:val="24"/>
          <w:szCs w:val="24"/>
        </w:rPr>
        <w:t>). Values with different superscripts in the same column are significantly different (p &lt; 0.05).</w:t>
      </w:r>
    </w:p>
    <w:p w14:paraId="5F8CCE89" w14:textId="77777777" w:rsidR="00EA7300" w:rsidRPr="00FA0DF3" w:rsidRDefault="00EA7300" w:rsidP="00EA7300">
      <w:pPr>
        <w:spacing w:line="480" w:lineRule="auto"/>
        <w:rPr>
          <w:rFonts w:ascii="Times New Roman" w:hAnsi="Times New Roman"/>
          <w:b/>
          <w:bCs/>
          <w:sz w:val="24"/>
          <w:szCs w:val="24"/>
        </w:rPr>
      </w:pPr>
      <w:r w:rsidRPr="00FA0DF3">
        <w:rPr>
          <w:rFonts w:ascii="Times New Roman" w:hAnsi="Times New Roman"/>
          <w:b/>
          <w:bCs/>
          <w:sz w:val="24"/>
          <w:szCs w:val="24"/>
        </w:rPr>
        <w:t xml:space="preserve">Effect of </w:t>
      </w:r>
      <w:r w:rsidRPr="00244486">
        <w:rPr>
          <w:rFonts w:ascii="Times New Roman" w:hAnsi="Times New Roman"/>
          <w:b/>
          <w:bCs/>
          <w:i/>
          <w:sz w:val="24"/>
          <w:szCs w:val="24"/>
        </w:rPr>
        <w:t xml:space="preserve">Pterocarpus </w:t>
      </w:r>
      <w:proofErr w:type="spellStart"/>
      <w:r w:rsidRPr="00244486">
        <w:rPr>
          <w:rFonts w:ascii="Times New Roman" w:hAnsi="Times New Roman"/>
          <w:b/>
          <w:bCs/>
          <w:i/>
          <w:sz w:val="24"/>
          <w:szCs w:val="24"/>
        </w:rPr>
        <w:t>santalinoides</w:t>
      </w:r>
      <w:proofErr w:type="spellEnd"/>
      <w:r w:rsidRPr="00FA0DF3">
        <w:rPr>
          <w:rFonts w:ascii="Times New Roman" w:hAnsi="Times New Roman"/>
          <w:b/>
          <w:bCs/>
          <w:sz w:val="24"/>
          <w:szCs w:val="24"/>
        </w:rPr>
        <w:t xml:space="preserve"> Leaf </w:t>
      </w:r>
      <w:r>
        <w:rPr>
          <w:rFonts w:ascii="Times New Roman" w:hAnsi="Times New Roman"/>
          <w:b/>
          <w:bCs/>
          <w:sz w:val="24"/>
          <w:szCs w:val="24"/>
        </w:rPr>
        <w:t xml:space="preserve">Diet </w:t>
      </w:r>
      <w:r w:rsidRPr="00FA0DF3">
        <w:rPr>
          <w:rFonts w:ascii="Times New Roman" w:hAnsi="Times New Roman"/>
          <w:b/>
          <w:bCs/>
          <w:sz w:val="24"/>
          <w:szCs w:val="24"/>
        </w:rPr>
        <w:t>on Liver Marker Enzymes in Wistar Rats Exposed to Cadmium</w:t>
      </w:r>
    </w:p>
    <w:p w14:paraId="37DC465F" w14:textId="77777777" w:rsidR="00EA7300" w:rsidRPr="00EA7300" w:rsidRDefault="00EA7300" w:rsidP="00EA7300">
      <w:pPr>
        <w:spacing w:line="480" w:lineRule="auto"/>
        <w:jc w:val="both"/>
        <w:rPr>
          <w:rFonts w:ascii="Times New Roman" w:hAnsi="Times New Roman"/>
          <w:sz w:val="24"/>
          <w:szCs w:val="24"/>
        </w:rPr>
      </w:pPr>
      <w:r>
        <w:rPr>
          <w:rFonts w:ascii="Times New Roman" w:hAnsi="Times New Roman"/>
          <w:sz w:val="24"/>
          <w:szCs w:val="24"/>
        </w:rPr>
        <w:t xml:space="preserve">The effect of </w:t>
      </w:r>
      <w:r>
        <w:rPr>
          <w:rFonts w:ascii="Times New Roman" w:hAnsi="Times New Roman"/>
          <w:i/>
          <w:sz w:val="24"/>
          <w:szCs w:val="24"/>
          <w:highlight w:val="yellow"/>
        </w:rPr>
        <w:t xml:space="preserve">Pterocarpus </w:t>
      </w:r>
      <w:proofErr w:type="spellStart"/>
      <w:r>
        <w:rPr>
          <w:rFonts w:ascii="Times New Roman" w:hAnsi="Times New Roman"/>
          <w:i/>
          <w:sz w:val="24"/>
          <w:szCs w:val="24"/>
          <w:highlight w:val="yellow"/>
        </w:rPr>
        <w:t>santalinoides</w:t>
      </w:r>
      <w:proofErr w:type="spellEnd"/>
      <w:r>
        <w:rPr>
          <w:rFonts w:ascii="Times New Roman" w:hAnsi="Times New Roman"/>
          <w:sz w:val="24"/>
          <w:szCs w:val="24"/>
        </w:rPr>
        <w:t xml:space="preserve"> leaf diet on liver marker enzymes in Wistar rats exposed to cadmium is presented in Table 2. The liver enzymes assessed </w:t>
      </w:r>
      <w:r>
        <w:rPr>
          <w:rFonts w:ascii="Times New Roman" w:hAnsi="Times New Roman"/>
          <w:sz w:val="24"/>
          <w:szCs w:val="24"/>
          <w:highlight w:val="yellow"/>
        </w:rPr>
        <w:t>wer</w:t>
      </w:r>
      <w:r>
        <w:rPr>
          <w:rFonts w:ascii="Times New Roman" w:hAnsi="Times New Roman"/>
          <w:sz w:val="24"/>
          <w:szCs w:val="24"/>
        </w:rPr>
        <w:t xml:space="preserve">e AST, ALT, ALP, and GGT. AST activity was highest in the negative control group (145 ± 11 </w:t>
      </w:r>
      <w:r>
        <w:rPr>
          <w:rFonts w:ascii="Times New Roman" w:hAnsi="Times New Roman"/>
          <w:color w:val="000000"/>
          <w:sz w:val="24"/>
          <w:szCs w:val="24"/>
        </w:rPr>
        <w:t>I</w:t>
      </w:r>
      <w:r>
        <w:rPr>
          <w:rFonts w:ascii="Times New Roman" w:hAnsi="Times New Roman"/>
          <w:sz w:val="24"/>
          <w:szCs w:val="24"/>
        </w:rPr>
        <w:t xml:space="preserve">U/L), followed by Ps1 (118 ± 9 </w:t>
      </w:r>
      <w:r>
        <w:rPr>
          <w:rFonts w:ascii="Times New Roman" w:hAnsi="Times New Roman"/>
          <w:color w:val="000000"/>
          <w:sz w:val="24"/>
          <w:szCs w:val="24"/>
        </w:rPr>
        <w:t>I</w:t>
      </w:r>
      <w:r>
        <w:rPr>
          <w:rFonts w:ascii="Times New Roman" w:hAnsi="Times New Roman"/>
          <w:sz w:val="24"/>
          <w:szCs w:val="24"/>
        </w:rPr>
        <w:t xml:space="preserve">U/L). Lower AST values were observed in Ps2 (102 ± 8 </w:t>
      </w:r>
      <w:r>
        <w:rPr>
          <w:rFonts w:ascii="Times New Roman" w:hAnsi="Times New Roman"/>
          <w:color w:val="000000"/>
          <w:sz w:val="24"/>
          <w:szCs w:val="24"/>
        </w:rPr>
        <w:t>I</w:t>
      </w:r>
      <w:r>
        <w:rPr>
          <w:rFonts w:ascii="Times New Roman" w:hAnsi="Times New Roman"/>
          <w:sz w:val="24"/>
          <w:szCs w:val="24"/>
        </w:rPr>
        <w:t xml:space="preserve">U/L) and Ps3 (88 ± 7 </w:t>
      </w:r>
      <w:r>
        <w:rPr>
          <w:rFonts w:ascii="Times New Roman" w:hAnsi="Times New Roman"/>
          <w:color w:val="000000"/>
          <w:sz w:val="24"/>
          <w:szCs w:val="24"/>
        </w:rPr>
        <w:t>I</w:t>
      </w:r>
      <w:r>
        <w:rPr>
          <w:rFonts w:ascii="Times New Roman" w:hAnsi="Times New Roman"/>
          <w:sz w:val="24"/>
          <w:szCs w:val="24"/>
        </w:rPr>
        <w:t xml:space="preserve">U/L), while the normal control group recorded the lowest value (72 ± 6 </w:t>
      </w:r>
      <w:r>
        <w:rPr>
          <w:rFonts w:ascii="Times New Roman" w:hAnsi="Times New Roman"/>
          <w:color w:val="000000"/>
          <w:sz w:val="24"/>
          <w:szCs w:val="24"/>
        </w:rPr>
        <w:t>I</w:t>
      </w:r>
      <w:r>
        <w:rPr>
          <w:rFonts w:ascii="Times New Roman" w:hAnsi="Times New Roman"/>
          <w:sz w:val="24"/>
          <w:szCs w:val="24"/>
        </w:rPr>
        <w:t xml:space="preserve">U/L). For ALT activity, the negative control group also recorded the highest value (78 ± 6 </w:t>
      </w:r>
      <w:r>
        <w:rPr>
          <w:rFonts w:ascii="Times New Roman" w:hAnsi="Times New Roman"/>
          <w:color w:val="000000"/>
          <w:sz w:val="24"/>
          <w:szCs w:val="24"/>
        </w:rPr>
        <w:t>I</w:t>
      </w:r>
      <w:r>
        <w:rPr>
          <w:rFonts w:ascii="Times New Roman" w:hAnsi="Times New Roman"/>
          <w:sz w:val="24"/>
          <w:szCs w:val="24"/>
        </w:rPr>
        <w:t xml:space="preserve">U/L). Ps1 had an ALT value of 62 ± 5 </w:t>
      </w:r>
      <w:r>
        <w:rPr>
          <w:rFonts w:ascii="Times New Roman" w:hAnsi="Times New Roman"/>
          <w:color w:val="000000"/>
          <w:sz w:val="24"/>
          <w:szCs w:val="24"/>
        </w:rPr>
        <w:t>I</w:t>
      </w:r>
      <w:r>
        <w:rPr>
          <w:rFonts w:ascii="Times New Roman" w:hAnsi="Times New Roman"/>
          <w:sz w:val="24"/>
          <w:szCs w:val="24"/>
        </w:rPr>
        <w:t xml:space="preserve">U/L, while Ps2 and Ps3 recorded lower values of 51 ± 4 and 43 ± 3 </w:t>
      </w:r>
      <w:r>
        <w:rPr>
          <w:rFonts w:ascii="Times New Roman" w:hAnsi="Times New Roman"/>
          <w:color w:val="000000"/>
          <w:sz w:val="24"/>
          <w:szCs w:val="24"/>
        </w:rPr>
        <w:t>I</w:t>
      </w:r>
      <w:r>
        <w:rPr>
          <w:rFonts w:ascii="Times New Roman" w:hAnsi="Times New Roman"/>
          <w:sz w:val="24"/>
          <w:szCs w:val="24"/>
        </w:rPr>
        <w:t>U/L</w:t>
      </w:r>
      <w:r>
        <w:rPr>
          <w:rFonts w:ascii="Times New Roman" w:hAnsi="Times New Roman"/>
          <w:sz w:val="24"/>
          <w:szCs w:val="24"/>
          <w:highlight w:val="yellow"/>
        </w:rPr>
        <w:t>,</w:t>
      </w:r>
      <w:r>
        <w:rPr>
          <w:rFonts w:ascii="Times New Roman" w:hAnsi="Times New Roman"/>
          <w:sz w:val="24"/>
          <w:szCs w:val="24"/>
        </w:rPr>
        <w:t xml:space="preserve"> respectively. The normal control group showed the lowest ALT activity (31 ± 3 </w:t>
      </w:r>
      <w:r>
        <w:rPr>
          <w:rFonts w:ascii="Times New Roman" w:hAnsi="Times New Roman"/>
          <w:color w:val="000000"/>
          <w:sz w:val="24"/>
          <w:szCs w:val="24"/>
        </w:rPr>
        <w:t>I</w:t>
      </w:r>
      <w:r>
        <w:rPr>
          <w:rFonts w:ascii="Times New Roman" w:hAnsi="Times New Roman"/>
          <w:sz w:val="24"/>
          <w:szCs w:val="24"/>
        </w:rPr>
        <w:t xml:space="preserve">U/L). </w:t>
      </w:r>
      <w:r>
        <w:rPr>
          <w:rFonts w:ascii="Times New Roman" w:hAnsi="Times New Roman"/>
          <w:sz w:val="24"/>
          <w:szCs w:val="24"/>
          <w:highlight w:val="yellow"/>
        </w:rPr>
        <w:t>F</w:t>
      </w:r>
      <w:r>
        <w:rPr>
          <w:rFonts w:ascii="Times New Roman" w:hAnsi="Times New Roman"/>
          <w:sz w:val="24"/>
          <w:szCs w:val="24"/>
        </w:rPr>
        <w:t>o</w:t>
      </w:r>
      <w:r>
        <w:rPr>
          <w:rFonts w:ascii="Times New Roman" w:hAnsi="Times New Roman"/>
          <w:sz w:val="24"/>
          <w:szCs w:val="24"/>
          <w:highlight w:val="yellow"/>
        </w:rPr>
        <w:t>r</w:t>
      </w:r>
      <w:r>
        <w:rPr>
          <w:rFonts w:ascii="Times New Roman" w:hAnsi="Times New Roman"/>
          <w:sz w:val="24"/>
          <w:szCs w:val="24"/>
        </w:rPr>
        <w:t xml:space="preserve"> ALP, the negative control group recorded the highest enzyme activity (148 ± 12 </w:t>
      </w:r>
      <w:r>
        <w:rPr>
          <w:rFonts w:ascii="Times New Roman" w:hAnsi="Times New Roman"/>
          <w:color w:val="000000"/>
          <w:sz w:val="24"/>
          <w:szCs w:val="24"/>
        </w:rPr>
        <w:t>I</w:t>
      </w:r>
      <w:r>
        <w:rPr>
          <w:rFonts w:ascii="Times New Roman" w:hAnsi="Times New Roman"/>
          <w:sz w:val="24"/>
          <w:szCs w:val="24"/>
        </w:rPr>
        <w:t xml:space="preserve">U/L), followed by Ps1 (128 ± 10 </w:t>
      </w:r>
      <w:r>
        <w:rPr>
          <w:rFonts w:ascii="Times New Roman" w:hAnsi="Times New Roman"/>
          <w:color w:val="000000"/>
          <w:sz w:val="24"/>
          <w:szCs w:val="24"/>
        </w:rPr>
        <w:t>I</w:t>
      </w:r>
      <w:r>
        <w:rPr>
          <w:rFonts w:ascii="Times New Roman" w:hAnsi="Times New Roman"/>
          <w:sz w:val="24"/>
          <w:szCs w:val="24"/>
        </w:rPr>
        <w:t xml:space="preserve">U/L). Reduced ALP values were observed in Ps2 (110 ± 8 </w:t>
      </w:r>
      <w:r>
        <w:rPr>
          <w:rFonts w:ascii="Times New Roman" w:hAnsi="Times New Roman"/>
          <w:color w:val="000000"/>
          <w:sz w:val="24"/>
          <w:szCs w:val="24"/>
        </w:rPr>
        <w:t>I</w:t>
      </w:r>
      <w:r>
        <w:rPr>
          <w:rFonts w:ascii="Times New Roman" w:hAnsi="Times New Roman"/>
          <w:sz w:val="24"/>
          <w:szCs w:val="24"/>
        </w:rPr>
        <w:t xml:space="preserve">U/L) and Ps3 (96 ± 7 </w:t>
      </w:r>
      <w:r>
        <w:rPr>
          <w:rFonts w:ascii="Times New Roman" w:hAnsi="Times New Roman"/>
          <w:color w:val="000000"/>
          <w:sz w:val="24"/>
          <w:szCs w:val="24"/>
        </w:rPr>
        <w:t>I</w:t>
      </w:r>
      <w:r>
        <w:rPr>
          <w:rFonts w:ascii="Times New Roman" w:hAnsi="Times New Roman"/>
          <w:sz w:val="24"/>
          <w:szCs w:val="24"/>
        </w:rPr>
        <w:t xml:space="preserve">U/L), while the normal control group recorded the lowest value (74 ± 6 </w:t>
      </w:r>
      <w:r>
        <w:rPr>
          <w:rFonts w:ascii="Times New Roman" w:hAnsi="Times New Roman"/>
          <w:color w:val="000000"/>
          <w:sz w:val="24"/>
          <w:szCs w:val="24"/>
        </w:rPr>
        <w:t>I</w:t>
      </w:r>
      <w:r>
        <w:rPr>
          <w:rFonts w:ascii="Times New Roman" w:hAnsi="Times New Roman"/>
          <w:sz w:val="24"/>
          <w:szCs w:val="24"/>
        </w:rPr>
        <w:t xml:space="preserve">U/L). Similarly, GGT activity was highest in the negative control group (8.3 ± 0.9 </w:t>
      </w:r>
      <w:r>
        <w:rPr>
          <w:rFonts w:ascii="Times New Roman" w:hAnsi="Times New Roman"/>
          <w:color w:val="000000"/>
          <w:sz w:val="24"/>
          <w:szCs w:val="24"/>
        </w:rPr>
        <w:t>I</w:t>
      </w:r>
      <w:r>
        <w:rPr>
          <w:rFonts w:ascii="Times New Roman" w:hAnsi="Times New Roman"/>
          <w:sz w:val="24"/>
          <w:szCs w:val="24"/>
        </w:rPr>
        <w:t xml:space="preserve">U/L). Ps1 recorded 6.2 ± 0.8 </w:t>
      </w:r>
      <w:r>
        <w:rPr>
          <w:rFonts w:ascii="Times New Roman" w:hAnsi="Times New Roman"/>
          <w:color w:val="000000"/>
          <w:sz w:val="24"/>
          <w:szCs w:val="24"/>
        </w:rPr>
        <w:t>I</w:t>
      </w:r>
      <w:r>
        <w:rPr>
          <w:rFonts w:ascii="Times New Roman" w:hAnsi="Times New Roman"/>
          <w:sz w:val="24"/>
          <w:szCs w:val="24"/>
        </w:rPr>
        <w:t xml:space="preserve">U/L, while Ps2 and Ps3 recorded lower values of 5.1 ± 0.6 and 4.0 ± 0.5 </w:t>
      </w:r>
      <w:r>
        <w:rPr>
          <w:rFonts w:ascii="Times New Roman" w:hAnsi="Times New Roman"/>
          <w:color w:val="000000"/>
          <w:sz w:val="24"/>
          <w:szCs w:val="24"/>
        </w:rPr>
        <w:t>I</w:t>
      </w:r>
      <w:r>
        <w:rPr>
          <w:rFonts w:ascii="Times New Roman" w:hAnsi="Times New Roman"/>
          <w:sz w:val="24"/>
          <w:szCs w:val="24"/>
        </w:rPr>
        <w:t xml:space="preserve">U/L, respectively. The normal control group had the lowest GGT activity (2.8 ± 0.4 </w:t>
      </w:r>
      <w:r>
        <w:rPr>
          <w:rFonts w:ascii="Times New Roman" w:hAnsi="Times New Roman"/>
          <w:color w:val="000000"/>
          <w:sz w:val="24"/>
          <w:szCs w:val="24"/>
        </w:rPr>
        <w:t>I</w:t>
      </w:r>
      <w:r>
        <w:rPr>
          <w:rFonts w:ascii="Times New Roman" w:hAnsi="Times New Roman"/>
          <w:sz w:val="24"/>
          <w:szCs w:val="24"/>
        </w:rPr>
        <w:t xml:space="preserve">U/L). </w:t>
      </w:r>
      <w:r>
        <w:rPr>
          <w:rFonts w:ascii="Times New Roman" w:hAnsi="Times New Roman"/>
          <w:sz w:val="24"/>
          <w:szCs w:val="24"/>
          <w:highlight w:val="yellow"/>
        </w:rPr>
        <w:t>L</w:t>
      </w:r>
      <w:r>
        <w:rPr>
          <w:rFonts w:ascii="Times New Roman" w:hAnsi="Times New Roman"/>
          <w:sz w:val="24"/>
          <w:szCs w:val="24"/>
        </w:rPr>
        <w:t>iver marker enzyme</w:t>
      </w:r>
      <w:r>
        <w:rPr>
          <w:rFonts w:ascii="Times New Roman" w:hAnsi="Times New Roman"/>
          <w:sz w:val="24"/>
          <w:szCs w:val="24"/>
          <w:highlight w:val="yellow"/>
        </w:rPr>
        <w:t xml:space="preserve"> activitie</w:t>
      </w:r>
      <w:r>
        <w:rPr>
          <w:rFonts w:ascii="Times New Roman" w:hAnsi="Times New Roman"/>
          <w:sz w:val="24"/>
          <w:szCs w:val="24"/>
        </w:rPr>
        <w:t>s vari</w:t>
      </w:r>
      <w:r>
        <w:rPr>
          <w:rFonts w:ascii="Times New Roman" w:hAnsi="Times New Roman"/>
          <w:sz w:val="24"/>
          <w:szCs w:val="24"/>
          <w:highlight w:val="yellow"/>
        </w:rPr>
        <w:t>ed</w:t>
      </w:r>
      <w:r>
        <w:rPr>
          <w:rFonts w:ascii="Times New Roman" w:hAnsi="Times New Roman"/>
          <w:sz w:val="24"/>
          <w:szCs w:val="24"/>
        </w:rPr>
        <w:t xml:space="preserve"> across the experimental groups a</w:t>
      </w:r>
      <w:r>
        <w:rPr>
          <w:rFonts w:ascii="Times New Roman" w:hAnsi="Times New Roman"/>
          <w:sz w:val="24"/>
          <w:szCs w:val="24"/>
          <w:highlight w:val="yellow"/>
        </w:rPr>
        <w:t>nd</w:t>
      </w:r>
      <w:r>
        <w:rPr>
          <w:rFonts w:ascii="Times New Roman" w:hAnsi="Times New Roman"/>
          <w:sz w:val="24"/>
          <w:szCs w:val="24"/>
        </w:rPr>
        <w:t xml:space="preserve"> decreas</w:t>
      </w:r>
      <w:r>
        <w:rPr>
          <w:rFonts w:ascii="Times New Roman" w:hAnsi="Times New Roman"/>
          <w:sz w:val="24"/>
          <w:szCs w:val="24"/>
          <w:highlight w:val="yellow"/>
        </w:rPr>
        <w:t>ed</w:t>
      </w:r>
      <w:r>
        <w:rPr>
          <w:rFonts w:ascii="Times New Roman" w:hAnsi="Times New Roman"/>
          <w:sz w:val="24"/>
          <w:szCs w:val="24"/>
        </w:rPr>
        <w:t xml:space="preserve"> progressively from Ps1 to Ps3 re</w:t>
      </w:r>
      <w:r>
        <w:rPr>
          <w:rFonts w:ascii="Times New Roman" w:hAnsi="Times New Roman"/>
          <w:sz w:val="24"/>
          <w:szCs w:val="24"/>
          <w:highlight w:val="yellow"/>
        </w:rPr>
        <w:t>lative</w:t>
      </w:r>
      <w:r>
        <w:rPr>
          <w:rFonts w:ascii="Times New Roman" w:hAnsi="Times New Roman"/>
          <w:sz w:val="24"/>
          <w:szCs w:val="24"/>
        </w:rPr>
        <w:t xml:space="preserve"> t</w:t>
      </w:r>
      <w:r>
        <w:rPr>
          <w:rFonts w:ascii="Times New Roman" w:hAnsi="Times New Roman"/>
          <w:sz w:val="24"/>
          <w:szCs w:val="24"/>
          <w:highlight w:val="yellow"/>
        </w:rPr>
        <w:t>o</w:t>
      </w:r>
      <w:r>
        <w:rPr>
          <w:rFonts w:ascii="Times New Roman" w:hAnsi="Times New Roman"/>
          <w:sz w:val="24"/>
          <w:szCs w:val="24"/>
        </w:rPr>
        <w:t xml:space="preserve"> the negative control group.</w:t>
      </w:r>
    </w:p>
    <w:p w14:paraId="188473DF" w14:textId="77777777" w:rsidR="00EA7300" w:rsidRPr="00CB7D14" w:rsidRDefault="00EA7300" w:rsidP="00EA7300">
      <w:pPr>
        <w:spacing w:line="480" w:lineRule="auto"/>
        <w:rPr>
          <w:rFonts w:ascii="Times New Roman" w:hAnsi="Times New Roman"/>
          <w:b/>
          <w:sz w:val="24"/>
          <w:szCs w:val="24"/>
        </w:rPr>
      </w:pPr>
      <w:r w:rsidRPr="00CB7D14">
        <w:rPr>
          <w:rFonts w:ascii="Times New Roman" w:hAnsi="Times New Roman"/>
          <w:b/>
          <w:sz w:val="24"/>
          <w:szCs w:val="24"/>
        </w:rPr>
        <w:t xml:space="preserve">Table 2: Effect of </w:t>
      </w:r>
      <w:r w:rsidRPr="00CB7D14">
        <w:rPr>
          <w:rFonts w:ascii="Times New Roman" w:hAnsi="Times New Roman"/>
          <w:b/>
          <w:i/>
          <w:sz w:val="24"/>
          <w:szCs w:val="24"/>
        </w:rPr>
        <w:t xml:space="preserve">Pterocarpus </w:t>
      </w:r>
      <w:proofErr w:type="spellStart"/>
      <w:r w:rsidRPr="00CB7D14">
        <w:rPr>
          <w:rFonts w:ascii="Times New Roman" w:hAnsi="Times New Roman"/>
          <w:b/>
          <w:i/>
          <w:sz w:val="24"/>
          <w:szCs w:val="24"/>
        </w:rPr>
        <w:t>santalinoides</w:t>
      </w:r>
      <w:proofErr w:type="spellEnd"/>
      <w:r w:rsidRPr="00CB7D14">
        <w:rPr>
          <w:rFonts w:ascii="Times New Roman" w:hAnsi="Times New Roman"/>
          <w:b/>
          <w:sz w:val="24"/>
          <w:szCs w:val="24"/>
        </w:rPr>
        <w:t xml:space="preserve"> Leaf </w:t>
      </w:r>
      <w:r>
        <w:rPr>
          <w:rFonts w:ascii="Times New Roman" w:hAnsi="Times New Roman"/>
          <w:b/>
          <w:sz w:val="24"/>
          <w:szCs w:val="24"/>
        </w:rPr>
        <w:t xml:space="preserve">Diet </w:t>
      </w:r>
      <w:r w:rsidRPr="00CB7D14">
        <w:rPr>
          <w:rFonts w:ascii="Times New Roman" w:hAnsi="Times New Roman"/>
          <w:b/>
          <w:sz w:val="24"/>
          <w:szCs w:val="24"/>
        </w:rPr>
        <w:t xml:space="preserve">on some liver marker enzymes in Wistar rats </w:t>
      </w:r>
      <w:r>
        <w:rPr>
          <w:rFonts w:ascii="Times New Roman" w:hAnsi="Times New Roman"/>
          <w:b/>
          <w:sz w:val="24"/>
          <w:szCs w:val="24"/>
        </w:rPr>
        <w:t>exposed</w:t>
      </w:r>
      <w:r w:rsidRPr="00CB7D14">
        <w:rPr>
          <w:rFonts w:ascii="Times New Roman" w:hAnsi="Times New Roman"/>
          <w:b/>
          <w:sz w:val="24"/>
          <w:szCs w:val="24"/>
        </w:rPr>
        <w:t xml:space="preserve"> to Cadmium</w:t>
      </w:r>
    </w:p>
    <w:tbl>
      <w:tblPr>
        <w:tblStyle w:val="TableGrid"/>
        <w:tblW w:w="5000" w:type="pct"/>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1"/>
        <w:gridCol w:w="2264"/>
        <w:gridCol w:w="1998"/>
        <w:gridCol w:w="1998"/>
        <w:gridCol w:w="2249"/>
      </w:tblGrid>
      <w:tr w:rsidR="00EA7300" w:rsidRPr="00CB7D14" w14:paraId="7139F334" w14:textId="77777777" w:rsidTr="00E0273A">
        <w:trPr>
          <w:trHeight w:val="535"/>
        </w:trPr>
        <w:tc>
          <w:tcPr>
            <w:tcW w:w="1060" w:type="pct"/>
            <w:tcBorders>
              <w:top w:val="single" w:sz="4" w:space="0" w:color="auto"/>
              <w:bottom w:val="single" w:sz="4" w:space="0" w:color="auto"/>
            </w:tcBorders>
          </w:tcPr>
          <w:p w14:paraId="2C5DDED2" w14:textId="77777777" w:rsidR="00EA7300" w:rsidRPr="00CB7D14" w:rsidRDefault="00EA7300" w:rsidP="009C7526">
            <w:pPr>
              <w:spacing w:line="360" w:lineRule="auto"/>
              <w:jc w:val="center"/>
              <w:rPr>
                <w:rFonts w:ascii="Times New Roman" w:hAnsi="Times New Roman"/>
                <w:b/>
                <w:sz w:val="24"/>
                <w:szCs w:val="24"/>
              </w:rPr>
            </w:pPr>
            <w:r w:rsidRPr="00CB7D14">
              <w:rPr>
                <w:rFonts w:ascii="Times New Roman" w:hAnsi="Times New Roman"/>
                <w:b/>
                <w:sz w:val="24"/>
                <w:szCs w:val="24"/>
              </w:rPr>
              <w:t>GROUPS</w:t>
            </w:r>
          </w:p>
        </w:tc>
        <w:tc>
          <w:tcPr>
            <w:tcW w:w="1048" w:type="pct"/>
            <w:tcBorders>
              <w:top w:val="single" w:sz="4" w:space="0" w:color="auto"/>
              <w:bottom w:val="single" w:sz="4" w:space="0" w:color="auto"/>
            </w:tcBorders>
            <w:vAlign w:val="bottom"/>
          </w:tcPr>
          <w:p w14:paraId="2839E998" w14:textId="77777777" w:rsidR="00EA7300" w:rsidRPr="00CB7D14" w:rsidRDefault="00EA7300" w:rsidP="009C7526">
            <w:pPr>
              <w:spacing w:line="360" w:lineRule="auto"/>
              <w:rPr>
                <w:rFonts w:ascii="Times New Roman" w:eastAsia="Times New Roman" w:hAnsi="Times New Roman"/>
                <w:b/>
                <w:color w:val="000000"/>
                <w:sz w:val="24"/>
                <w:szCs w:val="24"/>
              </w:rPr>
            </w:pPr>
            <w:r w:rsidRPr="00CB7D14">
              <w:rPr>
                <w:rFonts w:ascii="Times New Roman" w:eastAsia="Times New Roman" w:hAnsi="Times New Roman"/>
                <w:b/>
                <w:color w:val="000000"/>
                <w:sz w:val="24"/>
                <w:szCs w:val="24"/>
              </w:rPr>
              <w:t xml:space="preserve"> AST (IU/L)</w:t>
            </w:r>
          </w:p>
        </w:tc>
        <w:tc>
          <w:tcPr>
            <w:tcW w:w="925" w:type="pct"/>
            <w:tcBorders>
              <w:top w:val="single" w:sz="4" w:space="0" w:color="auto"/>
              <w:bottom w:val="single" w:sz="4" w:space="0" w:color="auto"/>
            </w:tcBorders>
          </w:tcPr>
          <w:p w14:paraId="50C334C0" w14:textId="77777777" w:rsidR="00EA7300" w:rsidRPr="00CB7D14" w:rsidRDefault="00EA7300" w:rsidP="009C7526">
            <w:pPr>
              <w:spacing w:line="360" w:lineRule="auto"/>
              <w:rPr>
                <w:rFonts w:ascii="Times New Roman" w:eastAsia="Times New Roman" w:hAnsi="Times New Roman"/>
                <w:b/>
                <w:sz w:val="24"/>
                <w:szCs w:val="24"/>
              </w:rPr>
            </w:pPr>
            <w:r w:rsidRPr="00CB7D14">
              <w:rPr>
                <w:rFonts w:ascii="Times New Roman" w:eastAsia="Times New Roman" w:hAnsi="Times New Roman"/>
                <w:b/>
                <w:color w:val="000000"/>
                <w:sz w:val="24"/>
                <w:szCs w:val="24"/>
              </w:rPr>
              <w:t>ALT (IU/L)</w:t>
            </w:r>
          </w:p>
        </w:tc>
        <w:tc>
          <w:tcPr>
            <w:tcW w:w="925" w:type="pct"/>
            <w:tcBorders>
              <w:top w:val="single" w:sz="4" w:space="0" w:color="auto"/>
              <w:bottom w:val="single" w:sz="4" w:space="0" w:color="auto"/>
            </w:tcBorders>
          </w:tcPr>
          <w:p w14:paraId="6BCB7CFE" w14:textId="77777777" w:rsidR="00EA7300" w:rsidRPr="00CB7D14" w:rsidRDefault="00EA7300" w:rsidP="009C7526">
            <w:pPr>
              <w:spacing w:line="360" w:lineRule="auto"/>
              <w:rPr>
                <w:rFonts w:ascii="Times New Roman" w:eastAsia="Times New Roman" w:hAnsi="Times New Roman"/>
                <w:b/>
                <w:sz w:val="24"/>
                <w:szCs w:val="24"/>
              </w:rPr>
            </w:pPr>
            <w:r w:rsidRPr="00CB7D14">
              <w:rPr>
                <w:rFonts w:ascii="Times New Roman" w:eastAsia="Times New Roman" w:hAnsi="Times New Roman"/>
                <w:b/>
                <w:color w:val="000000"/>
                <w:sz w:val="24"/>
                <w:szCs w:val="24"/>
              </w:rPr>
              <w:t>ALP (IU/L)</w:t>
            </w:r>
          </w:p>
        </w:tc>
        <w:tc>
          <w:tcPr>
            <w:tcW w:w="1041" w:type="pct"/>
            <w:tcBorders>
              <w:top w:val="single" w:sz="4" w:space="0" w:color="auto"/>
              <w:bottom w:val="single" w:sz="4" w:space="0" w:color="auto"/>
            </w:tcBorders>
            <w:vAlign w:val="bottom"/>
          </w:tcPr>
          <w:p w14:paraId="788714E8" w14:textId="77777777" w:rsidR="00EA7300" w:rsidRPr="00CB7D14" w:rsidRDefault="00EA7300" w:rsidP="009C7526">
            <w:pPr>
              <w:spacing w:line="360" w:lineRule="auto"/>
              <w:rPr>
                <w:rFonts w:ascii="Times New Roman" w:eastAsia="Times New Roman" w:hAnsi="Times New Roman"/>
                <w:b/>
                <w:sz w:val="24"/>
                <w:szCs w:val="24"/>
              </w:rPr>
            </w:pPr>
            <w:r w:rsidRPr="00CB7D14">
              <w:rPr>
                <w:rFonts w:ascii="Times New Roman" w:eastAsia="Times New Roman" w:hAnsi="Times New Roman"/>
                <w:b/>
                <w:sz w:val="24"/>
                <w:szCs w:val="24"/>
              </w:rPr>
              <w:t xml:space="preserve"> GG</w:t>
            </w:r>
            <w:r w:rsidRPr="00CB7D14">
              <w:rPr>
                <w:rFonts w:ascii="Times New Roman" w:eastAsia="Times New Roman" w:hAnsi="Times New Roman"/>
                <w:b/>
                <w:color w:val="000000"/>
                <w:sz w:val="24"/>
                <w:szCs w:val="24"/>
              </w:rPr>
              <w:t>T (IU/L)</w:t>
            </w:r>
          </w:p>
        </w:tc>
      </w:tr>
      <w:tr w:rsidR="00EA7300" w:rsidRPr="00CB7D14" w14:paraId="3A603E7E" w14:textId="77777777" w:rsidTr="00E0273A">
        <w:trPr>
          <w:trHeight w:val="535"/>
        </w:trPr>
        <w:tc>
          <w:tcPr>
            <w:tcW w:w="1060" w:type="pct"/>
            <w:tcBorders>
              <w:top w:val="single" w:sz="4" w:space="0" w:color="auto"/>
            </w:tcBorders>
          </w:tcPr>
          <w:p w14:paraId="5733F385" w14:textId="77777777" w:rsidR="00EA7300" w:rsidRPr="00CB7D14" w:rsidRDefault="00EA7300" w:rsidP="009C7526">
            <w:pPr>
              <w:spacing w:line="360" w:lineRule="auto"/>
              <w:jc w:val="center"/>
              <w:rPr>
                <w:rFonts w:ascii="Times New Roman" w:hAnsi="Times New Roman"/>
                <w:sz w:val="24"/>
                <w:szCs w:val="24"/>
              </w:rPr>
            </w:pPr>
            <w:r w:rsidRPr="00CB7D14">
              <w:rPr>
                <w:rFonts w:ascii="Times New Roman" w:hAnsi="Times New Roman"/>
                <w:sz w:val="24"/>
                <w:szCs w:val="24"/>
              </w:rPr>
              <w:t>NORMAL CONTROL</w:t>
            </w:r>
          </w:p>
        </w:tc>
        <w:tc>
          <w:tcPr>
            <w:tcW w:w="1048" w:type="pct"/>
            <w:tcBorders>
              <w:top w:val="single" w:sz="4" w:space="0" w:color="auto"/>
            </w:tcBorders>
            <w:vAlign w:val="center"/>
          </w:tcPr>
          <w:p w14:paraId="7F12293A" w14:textId="77777777" w:rsidR="00EA7300" w:rsidRPr="00CB7D14" w:rsidRDefault="00EA7300" w:rsidP="009C7526">
            <w:pPr>
              <w:spacing w:line="360" w:lineRule="auto"/>
              <w:rPr>
                <w:rFonts w:ascii="Times New Roman" w:hAnsi="Times New Roman"/>
                <w:sz w:val="24"/>
                <w:szCs w:val="24"/>
              </w:rPr>
            </w:pPr>
            <w:r w:rsidRPr="00CB7D14">
              <w:rPr>
                <w:rFonts w:ascii="Times New Roman" w:eastAsia="Times New Roman" w:hAnsi="Times New Roman"/>
                <w:sz w:val="24"/>
                <w:szCs w:val="24"/>
              </w:rPr>
              <w:t xml:space="preserve">72 ± </w:t>
            </w:r>
            <w:r>
              <w:rPr>
                <w:rFonts w:ascii="Times New Roman" w:eastAsia="Times New Roman" w:hAnsi="Times New Roman"/>
                <w:sz w:val="24"/>
                <w:szCs w:val="24"/>
              </w:rPr>
              <w:t>0</w:t>
            </w:r>
            <w:r w:rsidRPr="00CB7D14">
              <w:rPr>
                <w:rFonts w:ascii="Times New Roman" w:eastAsia="Times New Roman" w:hAnsi="Times New Roman"/>
                <w:sz w:val="24"/>
                <w:szCs w:val="24"/>
              </w:rPr>
              <w:t>6ᵉ</w:t>
            </w:r>
          </w:p>
        </w:tc>
        <w:tc>
          <w:tcPr>
            <w:tcW w:w="925" w:type="pct"/>
            <w:tcBorders>
              <w:top w:val="single" w:sz="4" w:space="0" w:color="auto"/>
            </w:tcBorders>
            <w:vAlign w:val="center"/>
          </w:tcPr>
          <w:p w14:paraId="76C49632" w14:textId="77777777" w:rsidR="00EA7300" w:rsidRPr="00CB7D14" w:rsidRDefault="00EA7300" w:rsidP="009C7526">
            <w:pPr>
              <w:spacing w:line="360" w:lineRule="auto"/>
              <w:rPr>
                <w:rFonts w:ascii="Times New Roman" w:hAnsi="Times New Roman"/>
                <w:sz w:val="24"/>
                <w:szCs w:val="24"/>
              </w:rPr>
            </w:pPr>
            <w:r w:rsidRPr="00CB7D14">
              <w:rPr>
                <w:rFonts w:ascii="Times New Roman" w:eastAsia="Times New Roman" w:hAnsi="Times New Roman"/>
                <w:sz w:val="24"/>
                <w:szCs w:val="24"/>
              </w:rPr>
              <w:t xml:space="preserve">31 ± </w:t>
            </w:r>
            <w:r>
              <w:rPr>
                <w:rFonts w:ascii="Times New Roman" w:eastAsia="Times New Roman" w:hAnsi="Times New Roman"/>
                <w:sz w:val="24"/>
                <w:szCs w:val="24"/>
              </w:rPr>
              <w:t>0</w:t>
            </w:r>
            <w:r w:rsidRPr="00CB7D14">
              <w:rPr>
                <w:rFonts w:ascii="Times New Roman" w:eastAsia="Times New Roman" w:hAnsi="Times New Roman"/>
                <w:sz w:val="24"/>
                <w:szCs w:val="24"/>
              </w:rPr>
              <w:t>3ᵉ</w:t>
            </w:r>
          </w:p>
        </w:tc>
        <w:tc>
          <w:tcPr>
            <w:tcW w:w="925" w:type="pct"/>
            <w:tcBorders>
              <w:top w:val="single" w:sz="4" w:space="0" w:color="auto"/>
            </w:tcBorders>
            <w:vAlign w:val="center"/>
          </w:tcPr>
          <w:p w14:paraId="6EC2ED61" w14:textId="77777777" w:rsidR="00EA7300" w:rsidRPr="00CB7D14" w:rsidRDefault="00EA7300" w:rsidP="009C7526">
            <w:pPr>
              <w:spacing w:line="360" w:lineRule="auto"/>
              <w:rPr>
                <w:rFonts w:ascii="Times New Roman" w:hAnsi="Times New Roman"/>
                <w:sz w:val="24"/>
                <w:szCs w:val="24"/>
              </w:rPr>
            </w:pPr>
            <w:r w:rsidRPr="00CB7D14">
              <w:rPr>
                <w:rFonts w:ascii="Times New Roman" w:eastAsia="Times New Roman" w:hAnsi="Times New Roman"/>
                <w:sz w:val="24"/>
                <w:szCs w:val="24"/>
              </w:rPr>
              <w:t xml:space="preserve">74 ± </w:t>
            </w:r>
            <w:r>
              <w:rPr>
                <w:rFonts w:ascii="Times New Roman" w:eastAsia="Times New Roman" w:hAnsi="Times New Roman"/>
                <w:sz w:val="24"/>
                <w:szCs w:val="24"/>
              </w:rPr>
              <w:t>0</w:t>
            </w:r>
            <w:r w:rsidRPr="00CB7D14">
              <w:rPr>
                <w:rFonts w:ascii="Times New Roman" w:eastAsia="Times New Roman" w:hAnsi="Times New Roman"/>
                <w:sz w:val="24"/>
                <w:szCs w:val="24"/>
              </w:rPr>
              <w:t>6ᵉ</w:t>
            </w:r>
          </w:p>
        </w:tc>
        <w:tc>
          <w:tcPr>
            <w:tcW w:w="1041" w:type="pct"/>
            <w:tcBorders>
              <w:top w:val="single" w:sz="4" w:space="0" w:color="auto"/>
            </w:tcBorders>
            <w:vAlign w:val="center"/>
          </w:tcPr>
          <w:p w14:paraId="47198DC3" w14:textId="77777777" w:rsidR="00EA7300" w:rsidRPr="00CB7D14" w:rsidRDefault="00EA7300" w:rsidP="009C7526">
            <w:pPr>
              <w:spacing w:line="360" w:lineRule="auto"/>
              <w:jc w:val="both"/>
              <w:rPr>
                <w:rFonts w:ascii="Times New Roman" w:hAnsi="Times New Roman"/>
                <w:sz w:val="24"/>
                <w:szCs w:val="24"/>
              </w:rPr>
            </w:pPr>
            <w:r w:rsidRPr="00CB7D14">
              <w:rPr>
                <w:rFonts w:ascii="Times New Roman" w:eastAsia="Times New Roman" w:hAnsi="Times New Roman"/>
                <w:sz w:val="24"/>
                <w:szCs w:val="24"/>
              </w:rPr>
              <w:t>2.8 ± 0.4ᵉ</w:t>
            </w:r>
          </w:p>
        </w:tc>
      </w:tr>
      <w:tr w:rsidR="00EA7300" w:rsidRPr="00CB7D14" w14:paraId="77DC90EC" w14:textId="77777777" w:rsidTr="00E0273A">
        <w:trPr>
          <w:trHeight w:val="568"/>
        </w:trPr>
        <w:tc>
          <w:tcPr>
            <w:tcW w:w="1060" w:type="pct"/>
          </w:tcPr>
          <w:p w14:paraId="194A3AA6" w14:textId="77777777" w:rsidR="00EA7300" w:rsidRPr="00CB7D14" w:rsidRDefault="00EA7300" w:rsidP="009C7526">
            <w:pPr>
              <w:spacing w:line="360" w:lineRule="auto"/>
              <w:jc w:val="center"/>
              <w:rPr>
                <w:rFonts w:ascii="Times New Roman" w:hAnsi="Times New Roman"/>
                <w:sz w:val="24"/>
                <w:szCs w:val="24"/>
              </w:rPr>
            </w:pPr>
            <w:r w:rsidRPr="00CB7D14">
              <w:rPr>
                <w:rFonts w:ascii="Times New Roman" w:hAnsi="Times New Roman"/>
                <w:sz w:val="24"/>
                <w:szCs w:val="24"/>
              </w:rPr>
              <w:t>NEGATIVE CONTROL</w:t>
            </w:r>
          </w:p>
        </w:tc>
        <w:tc>
          <w:tcPr>
            <w:tcW w:w="1048" w:type="pct"/>
            <w:vAlign w:val="center"/>
          </w:tcPr>
          <w:p w14:paraId="4FB8A1BC" w14:textId="77777777" w:rsidR="00EA7300" w:rsidRPr="00CB7D14" w:rsidRDefault="00EA7300" w:rsidP="009C7526">
            <w:pPr>
              <w:spacing w:line="360" w:lineRule="auto"/>
              <w:rPr>
                <w:rFonts w:ascii="Times New Roman" w:hAnsi="Times New Roman"/>
                <w:sz w:val="24"/>
                <w:szCs w:val="24"/>
              </w:rPr>
            </w:pPr>
            <w:r w:rsidRPr="00CB7D14">
              <w:rPr>
                <w:rFonts w:ascii="Times New Roman" w:eastAsia="Times New Roman" w:hAnsi="Times New Roman"/>
                <w:sz w:val="24"/>
                <w:szCs w:val="24"/>
              </w:rPr>
              <w:t>145 ± 11ᵃ</w:t>
            </w:r>
          </w:p>
        </w:tc>
        <w:tc>
          <w:tcPr>
            <w:tcW w:w="925" w:type="pct"/>
            <w:vAlign w:val="center"/>
          </w:tcPr>
          <w:p w14:paraId="7921824F" w14:textId="77777777" w:rsidR="00EA7300" w:rsidRPr="00CB7D14" w:rsidRDefault="00EA7300" w:rsidP="009C7526">
            <w:pPr>
              <w:spacing w:line="360" w:lineRule="auto"/>
              <w:rPr>
                <w:rFonts w:ascii="Times New Roman" w:hAnsi="Times New Roman"/>
                <w:sz w:val="24"/>
                <w:szCs w:val="24"/>
              </w:rPr>
            </w:pPr>
            <w:r w:rsidRPr="00CB7D14">
              <w:rPr>
                <w:rFonts w:ascii="Times New Roman" w:eastAsia="Times New Roman" w:hAnsi="Times New Roman"/>
                <w:sz w:val="24"/>
                <w:szCs w:val="24"/>
              </w:rPr>
              <w:t xml:space="preserve">78 ± </w:t>
            </w:r>
            <w:r>
              <w:rPr>
                <w:rFonts w:ascii="Times New Roman" w:eastAsia="Times New Roman" w:hAnsi="Times New Roman"/>
                <w:sz w:val="24"/>
                <w:szCs w:val="24"/>
              </w:rPr>
              <w:t>0</w:t>
            </w:r>
            <w:r w:rsidRPr="00CB7D14">
              <w:rPr>
                <w:rFonts w:ascii="Times New Roman" w:eastAsia="Times New Roman" w:hAnsi="Times New Roman"/>
                <w:sz w:val="24"/>
                <w:szCs w:val="24"/>
              </w:rPr>
              <w:t>6ᵃ</w:t>
            </w:r>
          </w:p>
        </w:tc>
        <w:tc>
          <w:tcPr>
            <w:tcW w:w="925" w:type="pct"/>
            <w:vAlign w:val="center"/>
          </w:tcPr>
          <w:p w14:paraId="159108D0" w14:textId="77777777" w:rsidR="00EA7300" w:rsidRPr="00CB7D14" w:rsidRDefault="00EA7300" w:rsidP="009C7526">
            <w:pPr>
              <w:spacing w:line="360" w:lineRule="auto"/>
              <w:rPr>
                <w:rFonts w:ascii="Times New Roman" w:hAnsi="Times New Roman"/>
                <w:sz w:val="24"/>
                <w:szCs w:val="24"/>
              </w:rPr>
            </w:pPr>
            <w:r w:rsidRPr="00CB7D14">
              <w:rPr>
                <w:rFonts w:ascii="Times New Roman" w:eastAsia="Times New Roman" w:hAnsi="Times New Roman"/>
                <w:sz w:val="24"/>
                <w:szCs w:val="24"/>
              </w:rPr>
              <w:t>148 ± 12ᵃ</w:t>
            </w:r>
          </w:p>
        </w:tc>
        <w:tc>
          <w:tcPr>
            <w:tcW w:w="1041" w:type="pct"/>
            <w:vAlign w:val="center"/>
          </w:tcPr>
          <w:p w14:paraId="780BCDA1" w14:textId="77777777" w:rsidR="00EA7300" w:rsidRPr="00CB7D14" w:rsidRDefault="00EA7300" w:rsidP="009C7526">
            <w:pPr>
              <w:spacing w:line="360" w:lineRule="auto"/>
              <w:jc w:val="both"/>
              <w:rPr>
                <w:rFonts w:ascii="Times New Roman" w:hAnsi="Times New Roman"/>
                <w:sz w:val="24"/>
                <w:szCs w:val="24"/>
              </w:rPr>
            </w:pPr>
            <w:r w:rsidRPr="00CB7D14">
              <w:rPr>
                <w:rFonts w:ascii="Times New Roman" w:eastAsia="Times New Roman" w:hAnsi="Times New Roman"/>
                <w:sz w:val="24"/>
                <w:szCs w:val="24"/>
              </w:rPr>
              <w:t>8.3 ± 0.9ᵃ</w:t>
            </w:r>
          </w:p>
        </w:tc>
      </w:tr>
      <w:tr w:rsidR="00EA7300" w:rsidRPr="00CB7D14" w14:paraId="592465A4" w14:textId="77777777" w:rsidTr="00E0273A">
        <w:trPr>
          <w:trHeight w:val="1106"/>
        </w:trPr>
        <w:tc>
          <w:tcPr>
            <w:tcW w:w="1060" w:type="pct"/>
            <w:tcBorders>
              <w:top w:val="nil"/>
              <w:bottom w:val="nil"/>
            </w:tcBorders>
          </w:tcPr>
          <w:p w14:paraId="63B09C40" w14:textId="77777777" w:rsidR="00EA7300" w:rsidRPr="00CB7D14" w:rsidRDefault="00EA7300" w:rsidP="009C7526">
            <w:pPr>
              <w:spacing w:line="360" w:lineRule="auto"/>
              <w:jc w:val="center"/>
              <w:rPr>
                <w:rFonts w:ascii="Times New Roman" w:hAnsi="Times New Roman"/>
                <w:sz w:val="24"/>
                <w:szCs w:val="24"/>
              </w:rPr>
            </w:pPr>
            <w:r>
              <w:rPr>
                <w:rFonts w:ascii="Times New Roman" w:hAnsi="Times New Roman"/>
                <w:sz w:val="24"/>
                <w:szCs w:val="24"/>
              </w:rPr>
              <w:lastRenderedPageBreak/>
              <w:t xml:space="preserve">STANDARD </w:t>
            </w:r>
            <w:r w:rsidRPr="00CB7D14">
              <w:rPr>
                <w:rFonts w:ascii="Times New Roman" w:hAnsi="Times New Roman"/>
                <w:sz w:val="24"/>
                <w:szCs w:val="24"/>
              </w:rPr>
              <w:t>CONTROL</w:t>
            </w:r>
          </w:p>
        </w:tc>
        <w:tc>
          <w:tcPr>
            <w:tcW w:w="1048" w:type="pct"/>
            <w:tcBorders>
              <w:top w:val="nil"/>
              <w:bottom w:val="nil"/>
            </w:tcBorders>
            <w:vAlign w:val="center"/>
          </w:tcPr>
          <w:p w14:paraId="09674075" w14:textId="77777777" w:rsidR="00EA7300" w:rsidRPr="00CB7D14" w:rsidRDefault="00EA7300" w:rsidP="009C7526">
            <w:pPr>
              <w:spacing w:line="360" w:lineRule="auto"/>
              <w:rPr>
                <w:rFonts w:ascii="Times New Roman" w:hAnsi="Times New Roman"/>
                <w:sz w:val="24"/>
                <w:szCs w:val="24"/>
              </w:rPr>
            </w:pPr>
            <w:r>
              <w:rPr>
                <w:rFonts w:ascii="Times New Roman" w:eastAsia="Times New Roman" w:hAnsi="Times New Roman"/>
                <w:sz w:val="24"/>
                <w:szCs w:val="24"/>
              </w:rPr>
              <w:t>104</w:t>
            </w:r>
            <w:r w:rsidRPr="00CB7D14">
              <w:rPr>
                <w:rFonts w:ascii="Times New Roman" w:eastAsia="Times New Roman" w:hAnsi="Times New Roman"/>
                <w:sz w:val="24"/>
                <w:szCs w:val="24"/>
              </w:rPr>
              <w:t xml:space="preserve"> ± </w:t>
            </w:r>
            <w:r>
              <w:rPr>
                <w:rFonts w:ascii="Times New Roman" w:eastAsia="Times New Roman" w:hAnsi="Times New Roman"/>
                <w:sz w:val="24"/>
                <w:szCs w:val="24"/>
              </w:rPr>
              <w:t>06</w:t>
            </w:r>
            <w:r w:rsidRPr="00F1164A">
              <w:rPr>
                <w:rFonts w:ascii="Times New Roman" w:eastAsia="Times New Roman" w:hAnsi="Times New Roman"/>
                <w:sz w:val="24"/>
                <w:szCs w:val="24"/>
                <w:vertAlign w:val="superscript"/>
              </w:rPr>
              <w:t>c</w:t>
            </w:r>
          </w:p>
        </w:tc>
        <w:tc>
          <w:tcPr>
            <w:tcW w:w="925" w:type="pct"/>
            <w:tcBorders>
              <w:top w:val="nil"/>
              <w:bottom w:val="nil"/>
            </w:tcBorders>
            <w:vAlign w:val="center"/>
          </w:tcPr>
          <w:p w14:paraId="59208FFC" w14:textId="77777777" w:rsidR="00EA7300" w:rsidRPr="00CB7D14" w:rsidRDefault="00EA7300" w:rsidP="009C7526">
            <w:pPr>
              <w:spacing w:line="360" w:lineRule="auto"/>
              <w:rPr>
                <w:rFonts w:ascii="Times New Roman" w:hAnsi="Times New Roman"/>
                <w:sz w:val="24"/>
                <w:szCs w:val="24"/>
              </w:rPr>
            </w:pPr>
            <w:r>
              <w:rPr>
                <w:rFonts w:ascii="Times New Roman" w:eastAsia="Times New Roman" w:hAnsi="Times New Roman"/>
                <w:sz w:val="24"/>
                <w:szCs w:val="24"/>
              </w:rPr>
              <w:t>55</w:t>
            </w:r>
            <w:r w:rsidRPr="00CB7D14">
              <w:rPr>
                <w:rFonts w:ascii="Times New Roman" w:eastAsia="Times New Roman" w:hAnsi="Times New Roman"/>
                <w:sz w:val="24"/>
                <w:szCs w:val="24"/>
              </w:rPr>
              <w:t xml:space="preserve"> ± </w:t>
            </w:r>
            <w:r>
              <w:rPr>
                <w:rFonts w:ascii="Times New Roman" w:eastAsia="Times New Roman" w:hAnsi="Times New Roman"/>
                <w:sz w:val="24"/>
                <w:szCs w:val="24"/>
              </w:rPr>
              <w:t>07</w:t>
            </w:r>
            <w:r w:rsidRPr="00F1164A">
              <w:rPr>
                <w:rFonts w:ascii="Times New Roman" w:eastAsia="Times New Roman" w:hAnsi="Times New Roman"/>
                <w:sz w:val="24"/>
                <w:szCs w:val="24"/>
                <w:vertAlign w:val="superscript"/>
              </w:rPr>
              <w:t>c</w:t>
            </w:r>
          </w:p>
        </w:tc>
        <w:tc>
          <w:tcPr>
            <w:tcW w:w="925" w:type="pct"/>
            <w:tcBorders>
              <w:top w:val="nil"/>
              <w:bottom w:val="nil"/>
            </w:tcBorders>
            <w:vAlign w:val="center"/>
          </w:tcPr>
          <w:p w14:paraId="51409B53" w14:textId="77777777" w:rsidR="00EA7300" w:rsidRPr="00CB7D14" w:rsidRDefault="00EA7300" w:rsidP="009C7526">
            <w:pPr>
              <w:spacing w:line="360" w:lineRule="auto"/>
              <w:rPr>
                <w:rFonts w:ascii="Times New Roman" w:hAnsi="Times New Roman"/>
                <w:sz w:val="24"/>
                <w:szCs w:val="24"/>
              </w:rPr>
            </w:pPr>
            <w:r>
              <w:rPr>
                <w:rFonts w:ascii="Times New Roman" w:eastAsia="Times New Roman" w:hAnsi="Times New Roman"/>
                <w:sz w:val="24"/>
                <w:szCs w:val="24"/>
              </w:rPr>
              <w:t>100</w:t>
            </w:r>
            <w:r w:rsidRPr="00CB7D14">
              <w:rPr>
                <w:rFonts w:ascii="Times New Roman" w:eastAsia="Times New Roman" w:hAnsi="Times New Roman"/>
                <w:sz w:val="24"/>
                <w:szCs w:val="24"/>
              </w:rPr>
              <w:t xml:space="preserve"> ± </w:t>
            </w:r>
            <w:r>
              <w:rPr>
                <w:rFonts w:ascii="Times New Roman" w:eastAsia="Times New Roman" w:hAnsi="Times New Roman"/>
                <w:sz w:val="24"/>
                <w:szCs w:val="24"/>
              </w:rPr>
              <w:t>08</w:t>
            </w:r>
            <w:r w:rsidRPr="00F1164A">
              <w:rPr>
                <w:rFonts w:ascii="Times New Roman" w:eastAsia="Times New Roman" w:hAnsi="Times New Roman"/>
                <w:sz w:val="24"/>
                <w:szCs w:val="24"/>
                <w:vertAlign w:val="superscript"/>
              </w:rPr>
              <w:t>c</w:t>
            </w:r>
          </w:p>
        </w:tc>
        <w:tc>
          <w:tcPr>
            <w:tcW w:w="1041" w:type="pct"/>
            <w:tcBorders>
              <w:top w:val="nil"/>
              <w:bottom w:val="nil"/>
            </w:tcBorders>
            <w:vAlign w:val="center"/>
          </w:tcPr>
          <w:p w14:paraId="3693A4C2" w14:textId="77777777" w:rsidR="00EA7300" w:rsidRPr="00CB7D14" w:rsidRDefault="00EA7300" w:rsidP="009C7526">
            <w:pPr>
              <w:spacing w:line="360" w:lineRule="auto"/>
              <w:jc w:val="both"/>
              <w:rPr>
                <w:rFonts w:ascii="Times New Roman" w:hAnsi="Times New Roman"/>
                <w:sz w:val="24"/>
                <w:szCs w:val="24"/>
              </w:rPr>
            </w:pPr>
            <w:r>
              <w:rPr>
                <w:rFonts w:ascii="Times New Roman" w:eastAsia="Times New Roman" w:hAnsi="Times New Roman"/>
                <w:sz w:val="24"/>
                <w:szCs w:val="24"/>
              </w:rPr>
              <w:t>4.0 ± 0.6</w:t>
            </w:r>
            <w:r w:rsidRPr="00F1164A">
              <w:rPr>
                <w:rFonts w:ascii="Times New Roman" w:eastAsia="Times New Roman" w:hAnsi="Times New Roman"/>
                <w:sz w:val="24"/>
                <w:szCs w:val="24"/>
                <w:vertAlign w:val="superscript"/>
              </w:rPr>
              <w:t>d</w:t>
            </w:r>
          </w:p>
        </w:tc>
      </w:tr>
      <w:tr w:rsidR="00EA7300" w:rsidRPr="00CB7D14" w14:paraId="15DF292C" w14:textId="77777777" w:rsidTr="00E0273A">
        <w:trPr>
          <w:trHeight w:val="1106"/>
        </w:trPr>
        <w:tc>
          <w:tcPr>
            <w:tcW w:w="1060" w:type="pct"/>
            <w:tcBorders>
              <w:top w:val="nil"/>
              <w:bottom w:val="nil"/>
            </w:tcBorders>
          </w:tcPr>
          <w:p w14:paraId="645C2323" w14:textId="77777777" w:rsidR="00EA7300" w:rsidRPr="00CB7D14" w:rsidRDefault="00EA7300" w:rsidP="009C7526">
            <w:pPr>
              <w:spacing w:line="360" w:lineRule="auto"/>
              <w:jc w:val="center"/>
              <w:rPr>
                <w:rFonts w:ascii="Times New Roman" w:hAnsi="Times New Roman"/>
                <w:sz w:val="24"/>
                <w:szCs w:val="24"/>
              </w:rPr>
            </w:pPr>
            <w:r w:rsidRPr="00CB7D14">
              <w:rPr>
                <w:rFonts w:ascii="Times New Roman" w:hAnsi="Times New Roman"/>
                <w:sz w:val="24"/>
                <w:szCs w:val="24"/>
              </w:rPr>
              <w:t>Ps1</w:t>
            </w:r>
            <w:r>
              <w:rPr>
                <w:rFonts w:ascii="Times New Roman" w:hAnsi="Times New Roman"/>
                <w:sz w:val="24"/>
                <w:szCs w:val="24"/>
              </w:rPr>
              <w:t xml:space="preserve"> (10%)</w:t>
            </w:r>
          </w:p>
        </w:tc>
        <w:tc>
          <w:tcPr>
            <w:tcW w:w="1048" w:type="pct"/>
            <w:tcBorders>
              <w:top w:val="nil"/>
              <w:bottom w:val="nil"/>
            </w:tcBorders>
            <w:vAlign w:val="center"/>
          </w:tcPr>
          <w:p w14:paraId="3DBCD865" w14:textId="77777777" w:rsidR="00EA7300" w:rsidRPr="00CB7D14" w:rsidRDefault="00EA7300" w:rsidP="009C7526">
            <w:pPr>
              <w:spacing w:line="360" w:lineRule="auto"/>
              <w:rPr>
                <w:rFonts w:ascii="Times New Roman" w:eastAsia="Times New Roman" w:hAnsi="Times New Roman"/>
                <w:sz w:val="24"/>
                <w:szCs w:val="24"/>
              </w:rPr>
            </w:pPr>
            <w:r w:rsidRPr="00CB7D14">
              <w:rPr>
                <w:rFonts w:ascii="Times New Roman" w:eastAsia="Times New Roman" w:hAnsi="Times New Roman"/>
                <w:sz w:val="24"/>
                <w:szCs w:val="24"/>
              </w:rPr>
              <w:t xml:space="preserve">118 ± </w:t>
            </w:r>
            <w:r>
              <w:rPr>
                <w:rFonts w:ascii="Times New Roman" w:eastAsia="Times New Roman" w:hAnsi="Times New Roman"/>
                <w:sz w:val="24"/>
                <w:szCs w:val="24"/>
              </w:rPr>
              <w:t>0</w:t>
            </w:r>
            <w:r w:rsidRPr="00CB7D14">
              <w:rPr>
                <w:rFonts w:ascii="Times New Roman" w:eastAsia="Times New Roman" w:hAnsi="Times New Roman"/>
                <w:sz w:val="24"/>
                <w:szCs w:val="24"/>
              </w:rPr>
              <w:t>9ᵇ</w:t>
            </w:r>
          </w:p>
        </w:tc>
        <w:tc>
          <w:tcPr>
            <w:tcW w:w="925" w:type="pct"/>
            <w:tcBorders>
              <w:top w:val="nil"/>
              <w:bottom w:val="nil"/>
            </w:tcBorders>
            <w:vAlign w:val="center"/>
          </w:tcPr>
          <w:p w14:paraId="10C67D00" w14:textId="77777777" w:rsidR="00EA7300" w:rsidRPr="00CB7D14" w:rsidRDefault="00EA7300" w:rsidP="009C7526">
            <w:pPr>
              <w:spacing w:line="360" w:lineRule="auto"/>
              <w:rPr>
                <w:rFonts w:ascii="Times New Roman" w:eastAsia="Times New Roman" w:hAnsi="Times New Roman"/>
                <w:sz w:val="24"/>
                <w:szCs w:val="24"/>
              </w:rPr>
            </w:pPr>
            <w:r w:rsidRPr="00CB7D14">
              <w:rPr>
                <w:rFonts w:ascii="Times New Roman" w:eastAsia="Times New Roman" w:hAnsi="Times New Roman"/>
                <w:sz w:val="24"/>
                <w:szCs w:val="24"/>
              </w:rPr>
              <w:t xml:space="preserve">62 ± </w:t>
            </w:r>
            <w:r>
              <w:rPr>
                <w:rFonts w:ascii="Times New Roman" w:eastAsia="Times New Roman" w:hAnsi="Times New Roman"/>
                <w:sz w:val="24"/>
                <w:szCs w:val="24"/>
              </w:rPr>
              <w:t>0</w:t>
            </w:r>
            <w:r w:rsidRPr="00CB7D14">
              <w:rPr>
                <w:rFonts w:ascii="Times New Roman" w:eastAsia="Times New Roman" w:hAnsi="Times New Roman"/>
                <w:sz w:val="24"/>
                <w:szCs w:val="24"/>
              </w:rPr>
              <w:t>5ᵇ</w:t>
            </w:r>
          </w:p>
        </w:tc>
        <w:tc>
          <w:tcPr>
            <w:tcW w:w="925" w:type="pct"/>
            <w:tcBorders>
              <w:top w:val="nil"/>
              <w:bottom w:val="nil"/>
            </w:tcBorders>
            <w:vAlign w:val="center"/>
          </w:tcPr>
          <w:p w14:paraId="29B62877" w14:textId="77777777" w:rsidR="00EA7300" w:rsidRPr="00CB7D14" w:rsidRDefault="00EA7300" w:rsidP="009C7526">
            <w:pPr>
              <w:spacing w:line="360" w:lineRule="auto"/>
              <w:rPr>
                <w:rFonts w:ascii="Times New Roman" w:eastAsia="Times New Roman" w:hAnsi="Times New Roman"/>
                <w:sz w:val="24"/>
                <w:szCs w:val="24"/>
              </w:rPr>
            </w:pPr>
            <w:r w:rsidRPr="00CB7D14">
              <w:rPr>
                <w:rFonts w:ascii="Times New Roman" w:eastAsia="Times New Roman" w:hAnsi="Times New Roman"/>
                <w:sz w:val="24"/>
                <w:szCs w:val="24"/>
              </w:rPr>
              <w:t>128 ± 10ᵇ</w:t>
            </w:r>
          </w:p>
        </w:tc>
        <w:tc>
          <w:tcPr>
            <w:tcW w:w="1041" w:type="pct"/>
            <w:tcBorders>
              <w:top w:val="nil"/>
              <w:bottom w:val="nil"/>
            </w:tcBorders>
            <w:vAlign w:val="center"/>
          </w:tcPr>
          <w:p w14:paraId="4C3B314D" w14:textId="77777777" w:rsidR="00EA7300" w:rsidRPr="00CB7D14" w:rsidRDefault="00EA7300" w:rsidP="009C7526">
            <w:pPr>
              <w:spacing w:line="360" w:lineRule="auto"/>
              <w:jc w:val="both"/>
              <w:rPr>
                <w:rFonts w:ascii="Times New Roman" w:eastAsia="Times New Roman" w:hAnsi="Times New Roman"/>
                <w:sz w:val="24"/>
                <w:szCs w:val="24"/>
              </w:rPr>
            </w:pPr>
            <w:r w:rsidRPr="00CB7D14">
              <w:rPr>
                <w:rFonts w:ascii="Times New Roman" w:eastAsia="Times New Roman" w:hAnsi="Times New Roman"/>
                <w:sz w:val="24"/>
                <w:szCs w:val="24"/>
              </w:rPr>
              <w:t>6.2 ± 0.8ᵇ</w:t>
            </w:r>
          </w:p>
        </w:tc>
      </w:tr>
      <w:tr w:rsidR="00EA7300" w:rsidRPr="00CB7D14" w14:paraId="38133CCE" w14:textId="77777777" w:rsidTr="00E0273A">
        <w:trPr>
          <w:trHeight w:val="1106"/>
        </w:trPr>
        <w:tc>
          <w:tcPr>
            <w:tcW w:w="1060" w:type="pct"/>
            <w:tcBorders>
              <w:top w:val="nil"/>
              <w:bottom w:val="nil"/>
            </w:tcBorders>
          </w:tcPr>
          <w:p w14:paraId="2D3B3A6D" w14:textId="77777777" w:rsidR="00EA7300" w:rsidRPr="00CB7D14" w:rsidRDefault="00EA7300" w:rsidP="009C7526">
            <w:pPr>
              <w:spacing w:line="360" w:lineRule="auto"/>
              <w:jc w:val="center"/>
              <w:rPr>
                <w:rFonts w:ascii="Times New Roman" w:hAnsi="Times New Roman"/>
                <w:sz w:val="24"/>
                <w:szCs w:val="24"/>
              </w:rPr>
            </w:pPr>
            <w:r w:rsidRPr="00CB7D14">
              <w:rPr>
                <w:rFonts w:ascii="Times New Roman" w:hAnsi="Times New Roman"/>
                <w:sz w:val="24"/>
                <w:szCs w:val="24"/>
              </w:rPr>
              <w:t>Ps2</w:t>
            </w:r>
            <w:r>
              <w:rPr>
                <w:rFonts w:ascii="Times New Roman" w:hAnsi="Times New Roman"/>
                <w:sz w:val="24"/>
                <w:szCs w:val="24"/>
              </w:rPr>
              <w:t xml:space="preserve"> (20%)</w:t>
            </w:r>
          </w:p>
        </w:tc>
        <w:tc>
          <w:tcPr>
            <w:tcW w:w="1048" w:type="pct"/>
            <w:tcBorders>
              <w:top w:val="nil"/>
              <w:bottom w:val="nil"/>
            </w:tcBorders>
            <w:vAlign w:val="center"/>
          </w:tcPr>
          <w:p w14:paraId="543D3F56" w14:textId="77777777" w:rsidR="00EA7300" w:rsidRPr="00CB7D14" w:rsidRDefault="00EA7300" w:rsidP="009C7526">
            <w:pPr>
              <w:spacing w:line="360" w:lineRule="auto"/>
              <w:rPr>
                <w:rFonts w:ascii="Times New Roman" w:eastAsia="Times New Roman" w:hAnsi="Times New Roman"/>
                <w:sz w:val="24"/>
                <w:szCs w:val="24"/>
              </w:rPr>
            </w:pPr>
            <w:r w:rsidRPr="00CB7D14">
              <w:rPr>
                <w:rFonts w:ascii="Times New Roman" w:eastAsia="Times New Roman" w:hAnsi="Times New Roman"/>
                <w:sz w:val="24"/>
                <w:szCs w:val="24"/>
              </w:rPr>
              <w:t xml:space="preserve">102 ± </w:t>
            </w:r>
            <w:r>
              <w:rPr>
                <w:rFonts w:ascii="Times New Roman" w:eastAsia="Times New Roman" w:hAnsi="Times New Roman"/>
                <w:sz w:val="24"/>
                <w:szCs w:val="24"/>
              </w:rPr>
              <w:t>0</w:t>
            </w:r>
            <w:r w:rsidRPr="00CB7D14">
              <w:rPr>
                <w:rFonts w:ascii="Times New Roman" w:eastAsia="Times New Roman" w:hAnsi="Times New Roman"/>
                <w:sz w:val="24"/>
                <w:szCs w:val="24"/>
              </w:rPr>
              <w:t>8ᶜ</w:t>
            </w:r>
          </w:p>
        </w:tc>
        <w:tc>
          <w:tcPr>
            <w:tcW w:w="925" w:type="pct"/>
            <w:tcBorders>
              <w:top w:val="nil"/>
              <w:bottom w:val="nil"/>
            </w:tcBorders>
            <w:vAlign w:val="center"/>
          </w:tcPr>
          <w:p w14:paraId="4CB3BAFB" w14:textId="77777777" w:rsidR="00EA7300" w:rsidRPr="00CB7D14" w:rsidRDefault="00EA7300" w:rsidP="009C7526">
            <w:pPr>
              <w:spacing w:line="360" w:lineRule="auto"/>
              <w:rPr>
                <w:rFonts w:ascii="Times New Roman" w:eastAsia="Times New Roman" w:hAnsi="Times New Roman"/>
                <w:sz w:val="24"/>
                <w:szCs w:val="24"/>
              </w:rPr>
            </w:pPr>
            <w:r w:rsidRPr="00CB7D14">
              <w:rPr>
                <w:rFonts w:ascii="Times New Roman" w:eastAsia="Times New Roman" w:hAnsi="Times New Roman"/>
                <w:sz w:val="24"/>
                <w:szCs w:val="24"/>
              </w:rPr>
              <w:t xml:space="preserve">51 ± </w:t>
            </w:r>
            <w:r>
              <w:rPr>
                <w:rFonts w:ascii="Times New Roman" w:eastAsia="Times New Roman" w:hAnsi="Times New Roman"/>
                <w:sz w:val="24"/>
                <w:szCs w:val="24"/>
              </w:rPr>
              <w:t>0</w:t>
            </w:r>
            <w:r w:rsidRPr="00CB7D14">
              <w:rPr>
                <w:rFonts w:ascii="Times New Roman" w:eastAsia="Times New Roman" w:hAnsi="Times New Roman"/>
                <w:sz w:val="24"/>
                <w:szCs w:val="24"/>
              </w:rPr>
              <w:t>4ᶜ</w:t>
            </w:r>
          </w:p>
        </w:tc>
        <w:tc>
          <w:tcPr>
            <w:tcW w:w="925" w:type="pct"/>
            <w:tcBorders>
              <w:top w:val="nil"/>
              <w:bottom w:val="nil"/>
            </w:tcBorders>
            <w:vAlign w:val="center"/>
          </w:tcPr>
          <w:p w14:paraId="261908E0" w14:textId="77777777" w:rsidR="00EA7300" w:rsidRPr="00CB7D14" w:rsidRDefault="00EA7300" w:rsidP="009C7526">
            <w:pPr>
              <w:spacing w:line="360" w:lineRule="auto"/>
              <w:rPr>
                <w:rFonts w:ascii="Times New Roman" w:eastAsia="Times New Roman" w:hAnsi="Times New Roman"/>
                <w:sz w:val="24"/>
                <w:szCs w:val="24"/>
              </w:rPr>
            </w:pPr>
            <w:r w:rsidRPr="00CB7D14">
              <w:rPr>
                <w:rFonts w:ascii="Times New Roman" w:eastAsia="Times New Roman" w:hAnsi="Times New Roman"/>
                <w:sz w:val="24"/>
                <w:szCs w:val="24"/>
              </w:rPr>
              <w:t xml:space="preserve">110 ± </w:t>
            </w:r>
            <w:r>
              <w:rPr>
                <w:rFonts w:ascii="Times New Roman" w:eastAsia="Times New Roman" w:hAnsi="Times New Roman"/>
                <w:sz w:val="24"/>
                <w:szCs w:val="24"/>
              </w:rPr>
              <w:t>0</w:t>
            </w:r>
            <w:r w:rsidRPr="00CB7D14">
              <w:rPr>
                <w:rFonts w:ascii="Times New Roman" w:eastAsia="Times New Roman" w:hAnsi="Times New Roman"/>
                <w:sz w:val="24"/>
                <w:szCs w:val="24"/>
              </w:rPr>
              <w:t>8ᶜ</w:t>
            </w:r>
          </w:p>
        </w:tc>
        <w:tc>
          <w:tcPr>
            <w:tcW w:w="1041" w:type="pct"/>
            <w:tcBorders>
              <w:top w:val="nil"/>
              <w:bottom w:val="nil"/>
            </w:tcBorders>
            <w:vAlign w:val="center"/>
          </w:tcPr>
          <w:p w14:paraId="29763D1D" w14:textId="77777777" w:rsidR="00EA7300" w:rsidRPr="00CB7D14" w:rsidRDefault="00EA7300" w:rsidP="009C7526">
            <w:pPr>
              <w:spacing w:line="360" w:lineRule="auto"/>
              <w:jc w:val="both"/>
              <w:rPr>
                <w:rFonts w:ascii="Times New Roman" w:eastAsia="Times New Roman" w:hAnsi="Times New Roman"/>
                <w:sz w:val="24"/>
                <w:szCs w:val="24"/>
              </w:rPr>
            </w:pPr>
            <w:r w:rsidRPr="00CB7D14">
              <w:rPr>
                <w:rFonts w:ascii="Times New Roman" w:eastAsia="Times New Roman" w:hAnsi="Times New Roman"/>
                <w:sz w:val="24"/>
                <w:szCs w:val="24"/>
              </w:rPr>
              <w:t>5.1 ± 0.6ᶜ</w:t>
            </w:r>
          </w:p>
        </w:tc>
      </w:tr>
      <w:tr w:rsidR="00EA7300" w:rsidRPr="00CB7D14" w14:paraId="2FC2B59A" w14:textId="77777777" w:rsidTr="00E0273A">
        <w:trPr>
          <w:trHeight w:val="1106"/>
        </w:trPr>
        <w:tc>
          <w:tcPr>
            <w:tcW w:w="1060" w:type="pct"/>
            <w:tcBorders>
              <w:top w:val="nil"/>
              <w:bottom w:val="single" w:sz="4" w:space="0" w:color="auto"/>
            </w:tcBorders>
          </w:tcPr>
          <w:p w14:paraId="55107850" w14:textId="77777777" w:rsidR="00EA7300" w:rsidRPr="00CB7D14" w:rsidRDefault="00EA7300" w:rsidP="009C7526">
            <w:pPr>
              <w:spacing w:line="360" w:lineRule="auto"/>
              <w:jc w:val="center"/>
              <w:rPr>
                <w:rFonts w:ascii="Times New Roman" w:hAnsi="Times New Roman"/>
                <w:sz w:val="24"/>
                <w:szCs w:val="24"/>
              </w:rPr>
            </w:pPr>
            <w:r w:rsidRPr="00CB7D14">
              <w:rPr>
                <w:rFonts w:ascii="Times New Roman" w:hAnsi="Times New Roman"/>
                <w:sz w:val="24"/>
                <w:szCs w:val="24"/>
              </w:rPr>
              <w:t>Ps3</w:t>
            </w:r>
            <w:r>
              <w:rPr>
                <w:rFonts w:ascii="Times New Roman" w:hAnsi="Times New Roman"/>
                <w:sz w:val="24"/>
                <w:szCs w:val="24"/>
              </w:rPr>
              <w:t xml:space="preserve"> (40%)</w:t>
            </w:r>
          </w:p>
        </w:tc>
        <w:tc>
          <w:tcPr>
            <w:tcW w:w="1048" w:type="pct"/>
            <w:tcBorders>
              <w:top w:val="nil"/>
              <w:bottom w:val="single" w:sz="4" w:space="0" w:color="auto"/>
            </w:tcBorders>
            <w:vAlign w:val="center"/>
          </w:tcPr>
          <w:p w14:paraId="73E467DB" w14:textId="77777777" w:rsidR="00EA7300" w:rsidRPr="00CB7D14" w:rsidRDefault="00EA7300" w:rsidP="009C7526">
            <w:pPr>
              <w:spacing w:line="360" w:lineRule="auto"/>
              <w:rPr>
                <w:rFonts w:ascii="Times New Roman" w:eastAsia="Times New Roman" w:hAnsi="Times New Roman"/>
                <w:sz w:val="24"/>
                <w:szCs w:val="24"/>
              </w:rPr>
            </w:pPr>
            <w:r w:rsidRPr="00CB7D14">
              <w:rPr>
                <w:rFonts w:ascii="Times New Roman" w:eastAsia="Times New Roman" w:hAnsi="Times New Roman"/>
                <w:sz w:val="24"/>
                <w:szCs w:val="24"/>
              </w:rPr>
              <w:t xml:space="preserve">88 ± </w:t>
            </w:r>
            <w:r>
              <w:rPr>
                <w:rFonts w:ascii="Times New Roman" w:eastAsia="Times New Roman" w:hAnsi="Times New Roman"/>
                <w:sz w:val="24"/>
                <w:szCs w:val="24"/>
              </w:rPr>
              <w:t>0</w:t>
            </w:r>
            <w:r w:rsidRPr="00CB7D14">
              <w:rPr>
                <w:rFonts w:ascii="Times New Roman" w:eastAsia="Times New Roman" w:hAnsi="Times New Roman"/>
                <w:sz w:val="24"/>
                <w:szCs w:val="24"/>
              </w:rPr>
              <w:t>7ᵈ</w:t>
            </w:r>
          </w:p>
        </w:tc>
        <w:tc>
          <w:tcPr>
            <w:tcW w:w="925" w:type="pct"/>
            <w:tcBorders>
              <w:top w:val="nil"/>
              <w:bottom w:val="single" w:sz="4" w:space="0" w:color="auto"/>
            </w:tcBorders>
            <w:vAlign w:val="center"/>
          </w:tcPr>
          <w:p w14:paraId="1C7131C0" w14:textId="77777777" w:rsidR="00EA7300" w:rsidRPr="00CB7D14" w:rsidRDefault="00EA7300" w:rsidP="009C7526">
            <w:pPr>
              <w:spacing w:line="360" w:lineRule="auto"/>
              <w:rPr>
                <w:rFonts w:ascii="Times New Roman" w:eastAsia="Times New Roman" w:hAnsi="Times New Roman"/>
                <w:sz w:val="24"/>
                <w:szCs w:val="24"/>
              </w:rPr>
            </w:pPr>
            <w:r w:rsidRPr="00CB7D14">
              <w:rPr>
                <w:rFonts w:ascii="Times New Roman" w:eastAsia="Times New Roman" w:hAnsi="Times New Roman"/>
                <w:sz w:val="24"/>
                <w:szCs w:val="24"/>
              </w:rPr>
              <w:t xml:space="preserve">43 ± </w:t>
            </w:r>
            <w:r>
              <w:rPr>
                <w:rFonts w:ascii="Times New Roman" w:eastAsia="Times New Roman" w:hAnsi="Times New Roman"/>
                <w:sz w:val="24"/>
                <w:szCs w:val="24"/>
              </w:rPr>
              <w:t>0</w:t>
            </w:r>
            <w:r w:rsidRPr="00CB7D14">
              <w:rPr>
                <w:rFonts w:ascii="Times New Roman" w:eastAsia="Times New Roman" w:hAnsi="Times New Roman"/>
                <w:sz w:val="24"/>
                <w:szCs w:val="24"/>
              </w:rPr>
              <w:t>3ᵈ</w:t>
            </w:r>
          </w:p>
        </w:tc>
        <w:tc>
          <w:tcPr>
            <w:tcW w:w="925" w:type="pct"/>
            <w:tcBorders>
              <w:top w:val="nil"/>
              <w:bottom w:val="single" w:sz="4" w:space="0" w:color="auto"/>
            </w:tcBorders>
            <w:vAlign w:val="center"/>
          </w:tcPr>
          <w:p w14:paraId="3D8E4986" w14:textId="77777777" w:rsidR="00EA7300" w:rsidRPr="00CB7D14" w:rsidRDefault="00EA7300" w:rsidP="009C7526">
            <w:pPr>
              <w:spacing w:line="360" w:lineRule="auto"/>
              <w:rPr>
                <w:rFonts w:ascii="Times New Roman" w:eastAsia="Times New Roman" w:hAnsi="Times New Roman"/>
                <w:sz w:val="24"/>
                <w:szCs w:val="24"/>
              </w:rPr>
            </w:pPr>
            <w:r w:rsidRPr="00CB7D14">
              <w:rPr>
                <w:rFonts w:ascii="Times New Roman" w:eastAsia="Times New Roman" w:hAnsi="Times New Roman"/>
                <w:sz w:val="24"/>
                <w:szCs w:val="24"/>
              </w:rPr>
              <w:t xml:space="preserve">96 ± </w:t>
            </w:r>
            <w:r>
              <w:rPr>
                <w:rFonts w:ascii="Times New Roman" w:eastAsia="Times New Roman" w:hAnsi="Times New Roman"/>
                <w:sz w:val="24"/>
                <w:szCs w:val="24"/>
              </w:rPr>
              <w:t>0</w:t>
            </w:r>
            <w:r w:rsidRPr="00CB7D14">
              <w:rPr>
                <w:rFonts w:ascii="Times New Roman" w:eastAsia="Times New Roman" w:hAnsi="Times New Roman"/>
                <w:sz w:val="24"/>
                <w:szCs w:val="24"/>
              </w:rPr>
              <w:t>7ᵈ</w:t>
            </w:r>
          </w:p>
        </w:tc>
        <w:tc>
          <w:tcPr>
            <w:tcW w:w="1041" w:type="pct"/>
            <w:tcBorders>
              <w:top w:val="nil"/>
              <w:bottom w:val="single" w:sz="4" w:space="0" w:color="auto"/>
            </w:tcBorders>
            <w:vAlign w:val="center"/>
          </w:tcPr>
          <w:p w14:paraId="16A76B0E" w14:textId="77777777" w:rsidR="00EA7300" w:rsidRPr="00CB7D14" w:rsidRDefault="00EA7300" w:rsidP="009C7526">
            <w:pPr>
              <w:spacing w:line="360" w:lineRule="auto"/>
              <w:jc w:val="both"/>
              <w:rPr>
                <w:rFonts w:ascii="Times New Roman" w:eastAsia="Times New Roman" w:hAnsi="Times New Roman"/>
                <w:sz w:val="24"/>
                <w:szCs w:val="24"/>
              </w:rPr>
            </w:pPr>
            <w:r w:rsidRPr="00CB7D14">
              <w:rPr>
                <w:rFonts w:ascii="Times New Roman" w:eastAsia="Times New Roman" w:hAnsi="Times New Roman"/>
                <w:sz w:val="24"/>
                <w:szCs w:val="24"/>
              </w:rPr>
              <w:t>4.0 ± 0.5ᵈ</w:t>
            </w:r>
          </w:p>
        </w:tc>
      </w:tr>
    </w:tbl>
    <w:p w14:paraId="5BBDB3A7" w14:textId="77777777" w:rsidR="00EA7300" w:rsidRPr="00CB7D14" w:rsidRDefault="00EA7300" w:rsidP="00EA7300">
      <w:pPr>
        <w:spacing w:line="480" w:lineRule="auto"/>
        <w:rPr>
          <w:rFonts w:ascii="Times New Roman" w:hAnsi="Times New Roman"/>
          <w:sz w:val="24"/>
          <w:szCs w:val="24"/>
        </w:rPr>
      </w:pPr>
      <w:r w:rsidRPr="00CB7D14">
        <w:rPr>
          <w:rFonts w:ascii="Times New Roman" w:hAnsi="Times New Roman"/>
          <w:i/>
          <w:iCs/>
          <w:sz w:val="24"/>
          <w:szCs w:val="24"/>
        </w:rPr>
        <w:t>Values a</w:t>
      </w:r>
      <w:r>
        <w:rPr>
          <w:rFonts w:ascii="Times New Roman" w:hAnsi="Times New Roman"/>
          <w:i/>
          <w:iCs/>
          <w:sz w:val="24"/>
          <w:szCs w:val="24"/>
        </w:rPr>
        <w:t>re presented as mean ± SD (n = 6</w:t>
      </w:r>
      <w:r w:rsidRPr="00CB7D14">
        <w:rPr>
          <w:rFonts w:ascii="Times New Roman" w:hAnsi="Times New Roman"/>
          <w:i/>
          <w:iCs/>
          <w:sz w:val="24"/>
          <w:szCs w:val="24"/>
        </w:rPr>
        <w:t>). Values with different superscripts in the same column are significantly different (p &lt; 0.05).</w:t>
      </w:r>
    </w:p>
    <w:p w14:paraId="17A1FE4A" w14:textId="77777777" w:rsidR="00EA7300" w:rsidRPr="00FA0DF3" w:rsidRDefault="00EA7300" w:rsidP="00EA7300">
      <w:pPr>
        <w:spacing w:line="480" w:lineRule="auto"/>
        <w:rPr>
          <w:rFonts w:ascii="Times New Roman" w:hAnsi="Times New Roman"/>
          <w:b/>
          <w:bCs/>
          <w:sz w:val="24"/>
          <w:szCs w:val="24"/>
        </w:rPr>
      </w:pPr>
      <w:r>
        <w:rPr>
          <w:rFonts w:ascii="Times New Roman" w:hAnsi="Times New Roman"/>
          <w:b/>
          <w:bCs/>
          <w:sz w:val="24"/>
          <w:szCs w:val="24"/>
        </w:rPr>
        <w:t xml:space="preserve">Discussion </w:t>
      </w:r>
    </w:p>
    <w:p w14:paraId="3CA51095" w14:textId="77777777" w:rsidR="00EA7300" w:rsidRDefault="00EA7300" w:rsidP="00EA7300">
      <w:pPr>
        <w:spacing w:line="480" w:lineRule="auto"/>
        <w:jc w:val="both"/>
        <w:rPr>
          <w:rFonts w:ascii="Times New Roman" w:hAnsi="Times New Roman"/>
          <w:sz w:val="24"/>
          <w:szCs w:val="24"/>
        </w:rPr>
      </w:pPr>
      <w:r>
        <w:rPr>
          <w:rFonts w:ascii="Times New Roman" w:hAnsi="Times New Roman"/>
          <w:sz w:val="24"/>
          <w:szCs w:val="24"/>
        </w:rPr>
        <w:t>Heavy metals are naturally occurring metallic elements with relatively high atomic weight and density that become toxic to living organisms when present in excessive concentrations (</w:t>
      </w:r>
      <w:proofErr w:type="spellStart"/>
      <w:r>
        <w:rPr>
          <w:rFonts w:ascii="Times New Roman" w:hAnsi="Times New Roman"/>
          <w:sz w:val="24"/>
          <w:szCs w:val="24"/>
        </w:rPr>
        <w:t>Tchounwou</w:t>
      </w:r>
      <w:proofErr w:type="spellEnd"/>
      <w:r>
        <w:rPr>
          <w:rFonts w:ascii="Times New Roman" w:hAnsi="Times New Roman"/>
          <w:sz w:val="24"/>
          <w:szCs w:val="24"/>
        </w:rPr>
        <w:t xml:space="preserve"> </w:t>
      </w:r>
      <w:r>
        <w:rPr>
          <w:rFonts w:ascii="Times New Roman" w:hAnsi="Times New Roman"/>
          <w:i/>
          <w:sz w:val="24"/>
          <w:szCs w:val="24"/>
        </w:rPr>
        <w:t>et al</w:t>
      </w:r>
      <w:r>
        <w:rPr>
          <w:rFonts w:ascii="Times New Roman" w:hAnsi="Times New Roman"/>
          <w:sz w:val="24"/>
          <w:szCs w:val="24"/>
        </w:rPr>
        <w:t>., 2012). Among the various heavy metals, cadmium is regarded as one of the most hazardous environmental pollutants because of its persistence, bioaccumulation</w:t>
      </w:r>
      <w:r>
        <w:rPr>
          <w:rFonts w:ascii="Times New Roman" w:hAnsi="Times New Roman"/>
          <w:sz w:val="24"/>
          <w:szCs w:val="24"/>
          <w:highlight w:val="yellow"/>
        </w:rPr>
        <w:t>,</w:t>
      </w:r>
      <w:r>
        <w:rPr>
          <w:rFonts w:ascii="Times New Roman" w:hAnsi="Times New Roman"/>
          <w:sz w:val="24"/>
          <w:szCs w:val="24"/>
        </w:rPr>
        <w:t xml:space="preserve"> and toxic effects on biological systems.</w:t>
      </w:r>
    </w:p>
    <w:p w14:paraId="237A0AB5" w14:textId="77777777" w:rsidR="00EA7300" w:rsidRDefault="00EA7300" w:rsidP="00EA7300">
      <w:pPr>
        <w:spacing w:line="480" w:lineRule="auto"/>
        <w:jc w:val="both"/>
        <w:rPr>
          <w:rFonts w:ascii="Times New Roman" w:hAnsi="Times New Roman"/>
          <w:sz w:val="24"/>
          <w:szCs w:val="24"/>
        </w:rPr>
      </w:pPr>
      <w:r>
        <w:rPr>
          <w:rFonts w:ascii="Times New Roman" w:hAnsi="Times New Roman"/>
          <w:sz w:val="24"/>
          <w:szCs w:val="24"/>
        </w:rPr>
        <w:t>Cadmium exposure has been associated with hepatic dysfunction, renal impairment, oxidative stress</w:t>
      </w:r>
      <w:r>
        <w:rPr>
          <w:rFonts w:ascii="Times New Roman" w:hAnsi="Times New Roman"/>
          <w:sz w:val="24"/>
          <w:szCs w:val="24"/>
          <w:highlight w:val="yellow"/>
        </w:rPr>
        <w:t>,</w:t>
      </w:r>
      <w:r>
        <w:rPr>
          <w:rFonts w:ascii="Times New Roman" w:hAnsi="Times New Roman"/>
          <w:sz w:val="24"/>
          <w:szCs w:val="24"/>
        </w:rPr>
        <w:t xml:space="preserve"> and disturbances in lipid metabolism. According to Bernhoft (2013), cadmium toxicity is largely mediated through the generation of reactive oxygen species and interference with antioxidant </w:t>
      </w:r>
      <w:proofErr w:type="spellStart"/>
      <w:r>
        <w:rPr>
          <w:rFonts w:ascii="Times New Roman" w:hAnsi="Times New Roman"/>
          <w:sz w:val="24"/>
          <w:szCs w:val="24"/>
        </w:rPr>
        <w:t>defen</w:t>
      </w:r>
      <w:r>
        <w:rPr>
          <w:rFonts w:ascii="Times New Roman" w:hAnsi="Times New Roman"/>
          <w:sz w:val="24"/>
          <w:szCs w:val="24"/>
          <w:highlight w:val="yellow"/>
        </w:rPr>
        <w:t>c</w:t>
      </w:r>
      <w:r>
        <w:rPr>
          <w:rFonts w:ascii="Times New Roman" w:hAnsi="Times New Roman"/>
          <w:sz w:val="24"/>
          <w:szCs w:val="24"/>
        </w:rPr>
        <w:t>e</w:t>
      </w:r>
      <w:proofErr w:type="spellEnd"/>
      <w:r>
        <w:rPr>
          <w:rFonts w:ascii="Times New Roman" w:hAnsi="Times New Roman"/>
          <w:sz w:val="24"/>
          <w:szCs w:val="24"/>
        </w:rPr>
        <w:t xml:space="preserve"> mechanisms. Similarly, Genchi </w:t>
      </w:r>
      <w:r>
        <w:rPr>
          <w:rFonts w:ascii="Times New Roman" w:hAnsi="Times New Roman"/>
          <w:i/>
          <w:sz w:val="24"/>
          <w:szCs w:val="24"/>
        </w:rPr>
        <w:t>et al</w:t>
      </w:r>
      <w:r>
        <w:rPr>
          <w:rFonts w:ascii="Times New Roman" w:hAnsi="Times New Roman"/>
          <w:sz w:val="24"/>
          <w:szCs w:val="24"/>
        </w:rPr>
        <w:t>. (2020) reported that prolonged cadmium exposure alters metabolic homeostasis and enzymatic activities, thereby resulting in tissue damage and cellular dysfunction.</w:t>
      </w:r>
    </w:p>
    <w:p w14:paraId="1BF98EC8" w14:textId="77777777" w:rsidR="00EA7300" w:rsidRDefault="00EA7300" w:rsidP="00EA7300">
      <w:pPr>
        <w:spacing w:line="480" w:lineRule="auto"/>
        <w:jc w:val="both"/>
        <w:rPr>
          <w:rFonts w:ascii="Times New Roman" w:hAnsi="Times New Roman"/>
          <w:sz w:val="24"/>
          <w:szCs w:val="24"/>
        </w:rPr>
      </w:pPr>
      <w:r>
        <w:rPr>
          <w:rFonts w:ascii="Times New Roman" w:hAnsi="Times New Roman"/>
          <w:sz w:val="24"/>
          <w:szCs w:val="24"/>
        </w:rPr>
        <w:t>Medicinal plants have gained considerable scientific attention due to their therapeutic potential and rich phytochemical composition. Many medicinal plants contain biologically active compounds such as flavonoids, alkaloids, tannins, saponins, and phenolic compounds, which exhibit antioxidant, anti-inflammatory, and protective properties against toxic substances (</w:t>
      </w:r>
      <w:proofErr w:type="spellStart"/>
      <w:r>
        <w:rPr>
          <w:rFonts w:ascii="Times New Roman" w:hAnsi="Times New Roman"/>
          <w:sz w:val="24"/>
          <w:szCs w:val="24"/>
        </w:rPr>
        <w:t>Sofowora</w:t>
      </w:r>
      <w:proofErr w:type="spellEnd"/>
      <w:r>
        <w:rPr>
          <w:rFonts w:ascii="Times New Roman" w:hAnsi="Times New Roman"/>
          <w:sz w:val="24"/>
          <w:szCs w:val="24"/>
        </w:rPr>
        <w:t xml:space="preserve">, 2008). </w:t>
      </w:r>
      <w:r>
        <w:rPr>
          <w:rFonts w:ascii="Times New Roman" w:hAnsi="Times New Roman"/>
          <w:i/>
          <w:sz w:val="24"/>
          <w:szCs w:val="24"/>
          <w:highlight w:val="yellow"/>
        </w:rPr>
        <w:t xml:space="preserve">Pterocarpus </w:t>
      </w:r>
      <w:proofErr w:type="spellStart"/>
      <w:r>
        <w:rPr>
          <w:rFonts w:ascii="Times New Roman" w:hAnsi="Times New Roman"/>
          <w:i/>
          <w:sz w:val="24"/>
          <w:szCs w:val="24"/>
          <w:highlight w:val="yellow"/>
        </w:rPr>
        <w:t>santalinoides</w:t>
      </w:r>
      <w:proofErr w:type="spellEnd"/>
      <w:r>
        <w:rPr>
          <w:rFonts w:ascii="Times New Roman" w:hAnsi="Times New Roman"/>
          <w:sz w:val="24"/>
          <w:szCs w:val="24"/>
        </w:rPr>
        <w:t xml:space="preserve"> is one such medicinal plant widely </w:t>
      </w:r>
      <w:proofErr w:type="spellStart"/>
      <w:r>
        <w:rPr>
          <w:rFonts w:ascii="Times New Roman" w:hAnsi="Times New Roman"/>
          <w:sz w:val="24"/>
          <w:szCs w:val="24"/>
        </w:rPr>
        <w:t>utili</w:t>
      </w:r>
      <w:r>
        <w:rPr>
          <w:rFonts w:ascii="Times New Roman" w:hAnsi="Times New Roman"/>
          <w:sz w:val="24"/>
          <w:szCs w:val="24"/>
          <w:highlight w:val="yellow"/>
        </w:rPr>
        <w:t>s</w:t>
      </w:r>
      <w:r>
        <w:rPr>
          <w:rFonts w:ascii="Times New Roman" w:hAnsi="Times New Roman"/>
          <w:sz w:val="24"/>
          <w:szCs w:val="24"/>
        </w:rPr>
        <w:t>ed</w:t>
      </w:r>
      <w:proofErr w:type="spellEnd"/>
      <w:r>
        <w:rPr>
          <w:rFonts w:ascii="Times New Roman" w:hAnsi="Times New Roman"/>
          <w:sz w:val="24"/>
          <w:szCs w:val="24"/>
        </w:rPr>
        <w:t xml:space="preserve"> in traditional medicine for the management of various ailments, including gastrointestinal </w:t>
      </w:r>
      <w:r>
        <w:rPr>
          <w:rFonts w:ascii="Times New Roman" w:hAnsi="Times New Roman"/>
          <w:sz w:val="24"/>
          <w:szCs w:val="24"/>
        </w:rPr>
        <w:lastRenderedPageBreak/>
        <w:t xml:space="preserve">disorders, inflammation, and microbial infections. The medicinal value of the plant has been attributed to its phytochemical constituents, which may help </w:t>
      </w:r>
      <w:r>
        <w:rPr>
          <w:rFonts w:ascii="Times New Roman" w:hAnsi="Times New Roman"/>
          <w:sz w:val="24"/>
          <w:szCs w:val="24"/>
          <w:highlight w:val="yellow"/>
        </w:rPr>
        <w:t>to</w:t>
      </w:r>
      <w:r>
        <w:rPr>
          <w:rFonts w:ascii="Times New Roman" w:hAnsi="Times New Roman"/>
          <w:sz w:val="24"/>
          <w:szCs w:val="24"/>
        </w:rPr>
        <w:t xml:space="preserve"> scaveng</w:t>
      </w:r>
      <w:r>
        <w:rPr>
          <w:rFonts w:ascii="Times New Roman" w:hAnsi="Times New Roman"/>
          <w:sz w:val="24"/>
          <w:szCs w:val="24"/>
          <w:highlight w:val="yellow"/>
        </w:rPr>
        <w:t>e</w:t>
      </w:r>
      <w:r>
        <w:rPr>
          <w:rFonts w:ascii="Times New Roman" w:hAnsi="Times New Roman"/>
          <w:sz w:val="24"/>
          <w:szCs w:val="24"/>
        </w:rPr>
        <w:t xml:space="preserve"> free radicals and </w:t>
      </w:r>
      <w:proofErr w:type="spellStart"/>
      <w:r>
        <w:rPr>
          <w:rFonts w:ascii="Times New Roman" w:hAnsi="Times New Roman"/>
          <w:sz w:val="24"/>
          <w:szCs w:val="24"/>
        </w:rPr>
        <w:t>stabili</w:t>
      </w:r>
      <w:r>
        <w:rPr>
          <w:rFonts w:ascii="Times New Roman" w:hAnsi="Times New Roman"/>
          <w:sz w:val="24"/>
          <w:szCs w:val="24"/>
          <w:highlight w:val="yellow"/>
        </w:rPr>
        <w:t>se</w:t>
      </w:r>
      <w:proofErr w:type="spellEnd"/>
      <w:r>
        <w:rPr>
          <w:rFonts w:ascii="Times New Roman" w:hAnsi="Times New Roman"/>
          <w:sz w:val="24"/>
          <w:szCs w:val="24"/>
        </w:rPr>
        <w:t xml:space="preserve"> cellular membranes against oxidative damage (</w:t>
      </w:r>
      <w:proofErr w:type="spellStart"/>
      <w:r>
        <w:rPr>
          <w:rFonts w:ascii="Times New Roman" w:hAnsi="Times New Roman"/>
          <w:sz w:val="24"/>
          <w:szCs w:val="24"/>
        </w:rPr>
        <w:t>Edeoga</w:t>
      </w:r>
      <w:proofErr w:type="spellEnd"/>
      <w:r>
        <w:rPr>
          <w:rFonts w:ascii="Times New Roman" w:hAnsi="Times New Roman"/>
          <w:sz w:val="24"/>
          <w:szCs w:val="24"/>
        </w:rPr>
        <w:t xml:space="preserve"> </w:t>
      </w:r>
      <w:r>
        <w:rPr>
          <w:rFonts w:ascii="Times New Roman" w:hAnsi="Times New Roman"/>
          <w:i/>
          <w:sz w:val="24"/>
          <w:szCs w:val="24"/>
        </w:rPr>
        <w:t>et al</w:t>
      </w:r>
      <w:r>
        <w:rPr>
          <w:rFonts w:ascii="Times New Roman" w:hAnsi="Times New Roman"/>
          <w:sz w:val="24"/>
          <w:szCs w:val="24"/>
        </w:rPr>
        <w:t>., 2005).</w:t>
      </w:r>
    </w:p>
    <w:p w14:paraId="4FE75E01" w14:textId="77777777" w:rsidR="00EA7300" w:rsidRDefault="00EA7300" w:rsidP="00EA7300">
      <w:pPr>
        <w:spacing w:line="480" w:lineRule="auto"/>
        <w:jc w:val="both"/>
        <w:rPr>
          <w:rFonts w:ascii="Times New Roman" w:hAnsi="Times New Roman"/>
          <w:sz w:val="24"/>
          <w:szCs w:val="24"/>
        </w:rPr>
      </w:pPr>
      <w:r>
        <w:rPr>
          <w:rFonts w:ascii="Times New Roman" w:hAnsi="Times New Roman"/>
          <w:sz w:val="24"/>
          <w:szCs w:val="24"/>
        </w:rPr>
        <w:t>The result</w:t>
      </w:r>
      <w:r>
        <w:rPr>
          <w:rFonts w:ascii="Times New Roman" w:hAnsi="Times New Roman"/>
          <w:sz w:val="24"/>
          <w:szCs w:val="24"/>
          <w:highlight w:val="yellow"/>
        </w:rPr>
        <w:t>s</w:t>
      </w:r>
      <w:r>
        <w:rPr>
          <w:rFonts w:ascii="Times New Roman" w:hAnsi="Times New Roman"/>
          <w:sz w:val="24"/>
          <w:szCs w:val="24"/>
        </w:rPr>
        <w:t xml:space="preserve"> of this study showed that cadmium exposure altered the lipid parameters of the experimental animals. The negative control group exhibited elevated LDL-c and triacylglycerol levels compared with the normal control group, indicating lipid disturbances associated with cadmium toxicity. Increased LDL-c concentration has been linked with impaired lipid metabolism and oxidative damage induced by heavy metals. This observation agrees with the findings of El-</w:t>
      </w:r>
      <w:proofErr w:type="spellStart"/>
      <w:r>
        <w:rPr>
          <w:rFonts w:ascii="Times New Roman" w:hAnsi="Times New Roman"/>
          <w:sz w:val="24"/>
          <w:szCs w:val="24"/>
        </w:rPr>
        <w:t>Demerdash</w:t>
      </w:r>
      <w:proofErr w:type="spellEnd"/>
      <w:r>
        <w:rPr>
          <w:rFonts w:ascii="Times New Roman" w:hAnsi="Times New Roman"/>
          <w:sz w:val="24"/>
          <w:szCs w:val="24"/>
        </w:rPr>
        <w:t xml:space="preserve"> </w:t>
      </w:r>
      <w:r>
        <w:rPr>
          <w:rFonts w:ascii="Times New Roman" w:hAnsi="Times New Roman"/>
          <w:i/>
          <w:sz w:val="24"/>
          <w:szCs w:val="24"/>
        </w:rPr>
        <w:t>et al</w:t>
      </w:r>
      <w:r>
        <w:rPr>
          <w:rFonts w:ascii="Times New Roman" w:hAnsi="Times New Roman"/>
          <w:sz w:val="24"/>
          <w:szCs w:val="24"/>
        </w:rPr>
        <w:t>. (20</w:t>
      </w:r>
      <w:r>
        <w:rPr>
          <w:rFonts w:ascii="Times New Roman" w:hAnsi="Times New Roman"/>
          <w:sz w:val="24"/>
          <w:szCs w:val="24"/>
          <w:highlight w:val="yellow"/>
        </w:rPr>
        <w:t>04</w:t>
      </w:r>
      <w:r>
        <w:rPr>
          <w:rFonts w:ascii="Times New Roman" w:hAnsi="Times New Roman"/>
          <w:sz w:val="24"/>
          <w:szCs w:val="24"/>
        </w:rPr>
        <w:t xml:space="preserve">), who reported that cadmium intoxication increased serum LDL-c and triglyceride levels in experimental rats. Similarly, </w:t>
      </w:r>
      <w:proofErr w:type="spellStart"/>
      <w:r>
        <w:rPr>
          <w:rFonts w:ascii="Times New Roman" w:hAnsi="Times New Roman"/>
          <w:sz w:val="24"/>
          <w:szCs w:val="24"/>
        </w:rPr>
        <w:t>Samarghandian</w:t>
      </w:r>
      <w:proofErr w:type="spellEnd"/>
      <w:r>
        <w:rPr>
          <w:rFonts w:ascii="Times New Roman" w:hAnsi="Times New Roman"/>
          <w:sz w:val="24"/>
          <w:szCs w:val="24"/>
        </w:rPr>
        <w:t xml:space="preserve"> </w:t>
      </w:r>
      <w:r>
        <w:rPr>
          <w:rFonts w:ascii="Times New Roman" w:hAnsi="Times New Roman"/>
          <w:i/>
          <w:sz w:val="24"/>
          <w:szCs w:val="24"/>
        </w:rPr>
        <w:t>et al</w:t>
      </w:r>
      <w:r>
        <w:rPr>
          <w:rFonts w:ascii="Times New Roman" w:hAnsi="Times New Roman"/>
          <w:sz w:val="24"/>
          <w:szCs w:val="24"/>
        </w:rPr>
        <w:t>. (2015) observed that cadmium exposure disrupted lipid metabolism through oxidative stress-mediated mechanisms.</w:t>
      </w:r>
    </w:p>
    <w:p w14:paraId="7A0E33E9" w14:textId="77777777" w:rsidR="00EA7300" w:rsidRDefault="00EA7300" w:rsidP="00EA7300">
      <w:pPr>
        <w:spacing w:line="480" w:lineRule="auto"/>
        <w:jc w:val="both"/>
        <w:rPr>
          <w:rFonts w:ascii="Times New Roman" w:hAnsi="Times New Roman"/>
          <w:sz w:val="24"/>
          <w:szCs w:val="24"/>
        </w:rPr>
      </w:pPr>
      <w:r>
        <w:rPr>
          <w:rFonts w:ascii="Times New Roman" w:hAnsi="Times New Roman"/>
          <w:sz w:val="24"/>
          <w:szCs w:val="24"/>
        </w:rPr>
        <w:t>Administration of</w:t>
      </w:r>
      <w:r>
        <w:rPr>
          <w:rFonts w:ascii="Times New Roman" w:hAnsi="Times New Roman"/>
          <w:sz w:val="24"/>
          <w:szCs w:val="24"/>
          <w:highlight w:val="yellow"/>
        </w:rPr>
        <w:t xml:space="preserve"> a</w:t>
      </w:r>
      <w:r>
        <w:rPr>
          <w:rFonts w:ascii="Times New Roman" w:hAnsi="Times New Roman"/>
          <w:sz w:val="24"/>
          <w:szCs w:val="24"/>
        </w:rPr>
        <w:t xml:space="preserve"> </w:t>
      </w:r>
      <w:r>
        <w:rPr>
          <w:rFonts w:ascii="Times New Roman" w:hAnsi="Times New Roman"/>
          <w:i/>
          <w:sz w:val="24"/>
          <w:szCs w:val="24"/>
          <w:highlight w:val="yellow"/>
        </w:rPr>
        <w:t xml:space="preserve">Pterocarpus </w:t>
      </w:r>
      <w:proofErr w:type="spellStart"/>
      <w:r>
        <w:rPr>
          <w:rFonts w:ascii="Times New Roman" w:hAnsi="Times New Roman"/>
          <w:i/>
          <w:sz w:val="24"/>
          <w:szCs w:val="24"/>
          <w:highlight w:val="yellow"/>
        </w:rPr>
        <w:t>santalinoides</w:t>
      </w:r>
      <w:proofErr w:type="spellEnd"/>
      <w:r>
        <w:rPr>
          <w:rFonts w:ascii="Times New Roman" w:hAnsi="Times New Roman"/>
          <w:sz w:val="24"/>
          <w:szCs w:val="24"/>
        </w:rPr>
        <w:t xml:space="preserve"> leaf diet appeared to influence lipid profile parameters across the treatment groups. The reduction</w:t>
      </w:r>
      <w:r>
        <w:rPr>
          <w:rFonts w:ascii="Times New Roman" w:hAnsi="Times New Roman"/>
          <w:sz w:val="24"/>
          <w:szCs w:val="24"/>
          <w:highlight w:val="yellow"/>
        </w:rPr>
        <w:t>s</w:t>
      </w:r>
      <w:r>
        <w:rPr>
          <w:rFonts w:ascii="Times New Roman" w:hAnsi="Times New Roman"/>
          <w:sz w:val="24"/>
          <w:szCs w:val="24"/>
        </w:rPr>
        <w:t xml:space="preserve"> observed in LDL-c and triacylglycerol levels, particularly in </w:t>
      </w:r>
      <w:r>
        <w:rPr>
          <w:rFonts w:ascii="Times New Roman" w:hAnsi="Times New Roman"/>
          <w:sz w:val="24"/>
          <w:szCs w:val="24"/>
          <w:highlight w:val="yellow"/>
        </w:rPr>
        <w:t xml:space="preserve">the </w:t>
      </w:r>
      <w:r>
        <w:rPr>
          <w:rFonts w:ascii="Times New Roman" w:hAnsi="Times New Roman"/>
          <w:sz w:val="24"/>
          <w:szCs w:val="24"/>
        </w:rPr>
        <w:t xml:space="preserve">Ps2 group, suggest an improvement in lipid metabolism following treatment. The comparatively lower VLDL-c values recorded in </w:t>
      </w:r>
      <w:r>
        <w:rPr>
          <w:rFonts w:ascii="Times New Roman" w:hAnsi="Times New Roman"/>
          <w:sz w:val="24"/>
          <w:szCs w:val="24"/>
          <w:highlight w:val="yellow"/>
        </w:rPr>
        <w:t>som</w:t>
      </w:r>
      <w:r>
        <w:rPr>
          <w:rFonts w:ascii="Times New Roman" w:hAnsi="Times New Roman"/>
          <w:sz w:val="24"/>
          <w:szCs w:val="24"/>
        </w:rPr>
        <w:t xml:space="preserve">e treated groups further indicate possible </w:t>
      </w:r>
      <w:proofErr w:type="spellStart"/>
      <w:r>
        <w:rPr>
          <w:rFonts w:ascii="Times New Roman" w:hAnsi="Times New Roman"/>
          <w:sz w:val="24"/>
          <w:szCs w:val="24"/>
        </w:rPr>
        <w:t>hypolipid</w:t>
      </w:r>
      <w:r>
        <w:rPr>
          <w:rFonts w:ascii="Times New Roman" w:hAnsi="Times New Roman"/>
          <w:sz w:val="24"/>
          <w:szCs w:val="24"/>
          <w:highlight w:val="yellow"/>
        </w:rPr>
        <w:t>a</w:t>
      </w:r>
      <w:r>
        <w:rPr>
          <w:rFonts w:ascii="Times New Roman" w:hAnsi="Times New Roman"/>
          <w:sz w:val="24"/>
          <w:szCs w:val="24"/>
        </w:rPr>
        <w:t>emic</w:t>
      </w:r>
      <w:proofErr w:type="spellEnd"/>
      <w:r>
        <w:rPr>
          <w:rFonts w:ascii="Times New Roman" w:hAnsi="Times New Roman"/>
          <w:sz w:val="24"/>
          <w:szCs w:val="24"/>
        </w:rPr>
        <w:t xml:space="preserve"> activity of the leaf diet. This in</w:t>
      </w:r>
      <w:r>
        <w:rPr>
          <w:rFonts w:ascii="Times New Roman" w:hAnsi="Times New Roman"/>
          <w:sz w:val="24"/>
          <w:szCs w:val="24"/>
          <w:highlight w:val="yellow"/>
        </w:rPr>
        <w:t>terpretat</w:t>
      </w:r>
      <w:r>
        <w:rPr>
          <w:rFonts w:ascii="Times New Roman" w:hAnsi="Times New Roman"/>
          <w:sz w:val="24"/>
          <w:szCs w:val="24"/>
        </w:rPr>
        <w:t>i</w:t>
      </w:r>
      <w:r>
        <w:rPr>
          <w:rFonts w:ascii="Times New Roman" w:hAnsi="Times New Roman"/>
          <w:sz w:val="24"/>
          <w:szCs w:val="24"/>
          <w:highlight w:val="yellow"/>
        </w:rPr>
        <w:t>o</w:t>
      </w:r>
      <w:r>
        <w:rPr>
          <w:rFonts w:ascii="Times New Roman" w:hAnsi="Times New Roman"/>
          <w:sz w:val="24"/>
          <w:szCs w:val="24"/>
        </w:rPr>
        <w:t xml:space="preserve">n is consistent with the </w:t>
      </w:r>
      <w:r>
        <w:rPr>
          <w:rFonts w:ascii="Times New Roman" w:hAnsi="Times New Roman"/>
          <w:sz w:val="24"/>
          <w:szCs w:val="24"/>
          <w:highlight w:val="yellow"/>
        </w:rPr>
        <w:t xml:space="preserve">antioxidant activity </w:t>
      </w:r>
      <w:r>
        <w:rPr>
          <w:rFonts w:ascii="Times New Roman" w:hAnsi="Times New Roman"/>
          <w:sz w:val="24"/>
          <w:szCs w:val="24"/>
        </w:rPr>
        <w:t>report</w:t>
      </w:r>
      <w:r>
        <w:rPr>
          <w:rFonts w:ascii="Times New Roman" w:hAnsi="Times New Roman"/>
          <w:sz w:val="24"/>
          <w:szCs w:val="24"/>
          <w:highlight w:val="yellow"/>
        </w:rPr>
        <w:t>ed</w:t>
      </w:r>
      <w:r>
        <w:rPr>
          <w:rFonts w:ascii="Times New Roman" w:hAnsi="Times New Roman"/>
          <w:sz w:val="24"/>
          <w:szCs w:val="24"/>
        </w:rPr>
        <w:t xml:space="preserve"> </w:t>
      </w:r>
      <w:r>
        <w:rPr>
          <w:rFonts w:ascii="Times New Roman" w:hAnsi="Times New Roman"/>
          <w:sz w:val="24"/>
          <w:szCs w:val="24"/>
          <w:highlight w:val="yellow"/>
        </w:rPr>
        <w:t>by</w:t>
      </w:r>
      <w:r>
        <w:rPr>
          <w:rFonts w:ascii="Times New Roman" w:hAnsi="Times New Roman"/>
          <w:sz w:val="24"/>
          <w:szCs w:val="24"/>
        </w:rPr>
        <w:t xml:space="preserve"> </w:t>
      </w:r>
      <w:proofErr w:type="spellStart"/>
      <w:r>
        <w:rPr>
          <w:rFonts w:ascii="Times New Roman" w:hAnsi="Times New Roman"/>
          <w:sz w:val="24"/>
          <w:szCs w:val="24"/>
        </w:rPr>
        <w:t>Akinmoladun</w:t>
      </w:r>
      <w:proofErr w:type="spellEnd"/>
      <w:r>
        <w:rPr>
          <w:rFonts w:ascii="Times New Roman" w:hAnsi="Times New Roman"/>
          <w:sz w:val="24"/>
          <w:szCs w:val="24"/>
        </w:rPr>
        <w:t xml:space="preserve"> </w:t>
      </w:r>
      <w:r>
        <w:rPr>
          <w:rFonts w:ascii="Times New Roman" w:hAnsi="Times New Roman"/>
          <w:i/>
          <w:sz w:val="24"/>
          <w:szCs w:val="24"/>
        </w:rPr>
        <w:t>et al</w:t>
      </w:r>
      <w:r>
        <w:rPr>
          <w:rFonts w:ascii="Times New Roman" w:hAnsi="Times New Roman"/>
          <w:sz w:val="24"/>
          <w:szCs w:val="24"/>
        </w:rPr>
        <w:t>. (20</w:t>
      </w:r>
      <w:r>
        <w:rPr>
          <w:rFonts w:ascii="Times New Roman" w:hAnsi="Times New Roman"/>
          <w:sz w:val="24"/>
          <w:szCs w:val="24"/>
          <w:highlight w:val="yellow"/>
        </w:rPr>
        <w:t>07</w:t>
      </w:r>
      <w:r>
        <w:rPr>
          <w:rFonts w:ascii="Times New Roman" w:hAnsi="Times New Roman"/>
          <w:sz w:val="24"/>
          <w:szCs w:val="24"/>
        </w:rPr>
        <w:t xml:space="preserve">) </w:t>
      </w:r>
      <w:r>
        <w:rPr>
          <w:rFonts w:ascii="Times New Roman" w:hAnsi="Times New Roman"/>
          <w:sz w:val="24"/>
          <w:szCs w:val="24"/>
          <w:highlight w:val="yellow"/>
        </w:rPr>
        <w:t>for p</w:t>
      </w:r>
      <w:r>
        <w:rPr>
          <w:rFonts w:ascii="Times New Roman" w:hAnsi="Times New Roman"/>
          <w:sz w:val="24"/>
          <w:szCs w:val="24"/>
        </w:rPr>
        <w:t>h</w:t>
      </w:r>
      <w:r>
        <w:rPr>
          <w:rFonts w:ascii="Times New Roman" w:hAnsi="Times New Roman"/>
          <w:sz w:val="24"/>
          <w:szCs w:val="24"/>
          <w:highlight w:val="yellow"/>
        </w:rPr>
        <w:t>yt</w:t>
      </w:r>
      <w:r>
        <w:rPr>
          <w:rFonts w:ascii="Times New Roman" w:hAnsi="Times New Roman"/>
          <w:sz w:val="24"/>
          <w:szCs w:val="24"/>
        </w:rPr>
        <w:t>o</w:t>
      </w:r>
      <w:r>
        <w:rPr>
          <w:rFonts w:ascii="Times New Roman" w:hAnsi="Times New Roman"/>
          <w:sz w:val="24"/>
          <w:szCs w:val="24"/>
          <w:highlight w:val="yellow"/>
        </w:rPr>
        <w:t>ch</w:t>
      </w:r>
      <w:r>
        <w:rPr>
          <w:rFonts w:ascii="Times New Roman" w:hAnsi="Times New Roman"/>
          <w:sz w:val="24"/>
          <w:szCs w:val="24"/>
        </w:rPr>
        <w:t>emical</w:t>
      </w:r>
      <w:r>
        <w:rPr>
          <w:rFonts w:ascii="Times New Roman" w:hAnsi="Times New Roman"/>
          <w:sz w:val="24"/>
          <w:szCs w:val="24"/>
          <w:highlight w:val="yellow"/>
        </w:rPr>
        <w:t>-rich</w:t>
      </w:r>
      <w:r>
        <w:rPr>
          <w:rFonts w:ascii="Times New Roman" w:hAnsi="Times New Roman"/>
          <w:sz w:val="24"/>
          <w:szCs w:val="24"/>
        </w:rPr>
        <w:t xml:space="preserve"> plant e</w:t>
      </w:r>
      <w:r>
        <w:rPr>
          <w:rFonts w:ascii="Times New Roman" w:hAnsi="Times New Roman"/>
          <w:sz w:val="24"/>
          <w:szCs w:val="24"/>
          <w:highlight w:val="yellow"/>
        </w:rPr>
        <w:t>xtr</w:t>
      </w:r>
      <w:r>
        <w:rPr>
          <w:rFonts w:ascii="Times New Roman" w:hAnsi="Times New Roman"/>
          <w:sz w:val="24"/>
          <w:szCs w:val="24"/>
        </w:rPr>
        <w:t xml:space="preserve">acts. The elevated HDL-c values observed in some treated groups may also suggest improved reverse cholesterol transport and protective cardiovascular effects. Similar findings were reported by </w:t>
      </w:r>
      <w:proofErr w:type="spellStart"/>
      <w:r>
        <w:rPr>
          <w:rFonts w:ascii="Times New Roman" w:hAnsi="Times New Roman"/>
          <w:sz w:val="24"/>
          <w:szCs w:val="24"/>
        </w:rPr>
        <w:t>Olorunnisola</w:t>
      </w:r>
      <w:proofErr w:type="spellEnd"/>
      <w:r>
        <w:rPr>
          <w:rFonts w:ascii="Times New Roman" w:hAnsi="Times New Roman"/>
          <w:sz w:val="24"/>
          <w:szCs w:val="24"/>
        </w:rPr>
        <w:t xml:space="preserve"> </w:t>
      </w:r>
      <w:r>
        <w:rPr>
          <w:rFonts w:ascii="Times New Roman" w:hAnsi="Times New Roman"/>
          <w:i/>
          <w:sz w:val="24"/>
          <w:szCs w:val="24"/>
        </w:rPr>
        <w:t>et al</w:t>
      </w:r>
      <w:r>
        <w:rPr>
          <w:rFonts w:ascii="Times New Roman" w:hAnsi="Times New Roman"/>
          <w:sz w:val="24"/>
          <w:szCs w:val="24"/>
        </w:rPr>
        <w:t>. (2012), who observed increased HDL-c levels following treatment with plant-derived antioxidants in toxicant-induced animal models.</w:t>
      </w:r>
    </w:p>
    <w:p w14:paraId="0DEA72E6" w14:textId="77777777" w:rsidR="00EA7300" w:rsidRDefault="00EA7300" w:rsidP="00EA7300">
      <w:pPr>
        <w:spacing w:line="480" w:lineRule="auto"/>
        <w:jc w:val="both"/>
        <w:rPr>
          <w:rFonts w:ascii="Times New Roman" w:hAnsi="Times New Roman"/>
          <w:sz w:val="24"/>
          <w:szCs w:val="24"/>
        </w:rPr>
      </w:pPr>
      <w:r>
        <w:rPr>
          <w:rFonts w:ascii="Times New Roman" w:hAnsi="Times New Roman"/>
          <w:sz w:val="24"/>
          <w:szCs w:val="24"/>
        </w:rPr>
        <w:t xml:space="preserve">The variations observed among the treatment groups may be associated with differences in the </w:t>
      </w:r>
      <w:r>
        <w:rPr>
          <w:rFonts w:ascii="Times New Roman" w:hAnsi="Times New Roman"/>
          <w:sz w:val="24"/>
          <w:szCs w:val="24"/>
          <w:highlight w:val="yellow"/>
        </w:rPr>
        <w:t>pr</w:t>
      </w:r>
      <w:r>
        <w:rPr>
          <w:rFonts w:ascii="Times New Roman" w:hAnsi="Times New Roman"/>
          <w:sz w:val="24"/>
          <w:szCs w:val="24"/>
        </w:rPr>
        <w:t>o</w:t>
      </w:r>
      <w:r>
        <w:rPr>
          <w:rFonts w:ascii="Times New Roman" w:hAnsi="Times New Roman"/>
          <w:sz w:val="24"/>
          <w:szCs w:val="24"/>
          <w:highlight w:val="yellow"/>
        </w:rPr>
        <w:t>po</w:t>
      </w:r>
      <w:r>
        <w:rPr>
          <w:rFonts w:ascii="Times New Roman" w:hAnsi="Times New Roman"/>
          <w:sz w:val="24"/>
          <w:szCs w:val="24"/>
        </w:rPr>
        <w:t xml:space="preserve">rtion or effectiveness of the leaf diet administered. </w:t>
      </w:r>
      <w:r>
        <w:rPr>
          <w:rFonts w:ascii="Times New Roman" w:hAnsi="Times New Roman"/>
          <w:sz w:val="24"/>
          <w:szCs w:val="24"/>
          <w:highlight w:val="yellow"/>
        </w:rPr>
        <w:t>However, t</w:t>
      </w:r>
      <w:r>
        <w:rPr>
          <w:rFonts w:ascii="Times New Roman" w:hAnsi="Times New Roman"/>
          <w:sz w:val="24"/>
          <w:szCs w:val="24"/>
        </w:rPr>
        <w:t>he</w:t>
      </w:r>
      <w:r>
        <w:rPr>
          <w:rFonts w:ascii="Times New Roman" w:hAnsi="Times New Roman"/>
          <w:sz w:val="24"/>
          <w:szCs w:val="24"/>
          <w:highlight w:val="yellow"/>
        </w:rPr>
        <w:t xml:space="preserve"> lipid indices did not show a uniform</w:t>
      </w:r>
      <w:r>
        <w:rPr>
          <w:rFonts w:ascii="Times New Roman" w:hAnsi="Times New Roman"/>
          <w:sz w:val="24"/>
          <w:szCs w:val="24"/>
        </w:rPr>
        <w:t xml:space="preserve"> progressive pa</w:t>
      </w:r>
      <w:r>
        <w:rPr>
          <w:rFonts w:ascii="Times New Roman" w:hAnsi="Times New Roman"/>
          <w:sz w:val="24"/>
          <w:szCs w:val="24"/>
          <w:highlight w:val="yellow"/>
        </w:rPr>
        <w:t>t</w:t>
      </w:r>
      <w:r>
        <w:rPr>
          <w:rFonts w:ascii="Times New Roman" w:hAnsi="Times New Roman"/>
          <w:sz w:val="24"/>
          <w:szCs w:val="24"/>
        </w:rPr>
        <w:t>ter</w:t>
      </w:r>
      <w:r>
        <w:rPr>
          <w:rFonts w:ascii="Times New Roman" w:hAnsi="Times New Roman"/>
          <w:sz w:val="24"/>
          <w:szCs w:val="24"/>
          <w:highlight w:val="yellow"/>
        </w:rPr>
        <w:t>n</w:t>
      </w:r>
      <w:r>
        <w:rPr>
          <w:rFonts w:ascii="Times New Roman" w:hAnsi="Times New Roman"/>
          <w:sz w:val="24"/>
          <w:szCs w:val="24"/>
        </w:rPr>
        <w:t xml:space="preserve"> from Ps1 to Ps3</w:t>
      </w:r>
      <w:r>
        <w:rPr>
          <w:rFonts w:ascii="Times New Roman" w:hAnsi="Times New Roman"/>
          <w:sz w:val="24"/>
          <w:szCs w:val="24"/>
          <w:highlight w:val="yellow"/>
        </w:rPr>
        <w:t>,</w:t>
      </w:r>
      <w:r>
        <w:rPr>
          <w:rFonts w:ascii="Times New Roman" w:hAnsi="Times New Roman"/>
          <w:sz w:val="24"/>
          <w:szCs w:val="24"/>
        </w:rPr>
        <w:t xml:space="preserve"> indicat</w:t>
      </w:r>
      <w:r>
        <w:rPr>
          <w:rFonts w:ascii="Times New Roman" w:hAnsi="Times New Roman"/>
          <w:sz w:val="24"/>
          <w:szCs w:val="24"/>
          <w:highlight w:val="yellow"/>
        </w:rPr>
        <w:t>ing that any</w:t>
      </w:r>
      <w:r>
        <w:rPr>
          <w:rFonts w:ascii="Times New Roman" w:hAnsi="Times New Roman"/>
          <w:sz w:val="24"/>
          <w:szCs w:val="24"/>
        </w:rPr>
        <w:t xml:space="preserve"> dose-related </w:t>
      </w:r>
      <w:r>
        <w:rPr>
          <w:rFonts w:ascii="Times New Roman" w:hAnsi="Times New Roman"/>
          <w:sz w:val="24"/>
          <w:szCs w:val="24"/>
          <w:highlight w:val="yellow"/>
        </w:rPr>
        <w:t>rel</w:t>
      </w:r>
      <w:r>
        <w:rPr>
          <w:rFonts w:ascii="Times New Roman" w:hAnsi="Times New Roman"/>
          <w:sz w:val="24"/>
          <w:szCs w:val="24"/>
        </w:rPr>
        <w:t>ati</w:t>
      </w:r>
      <w:r>
        <w:rPr>
          <w:rFonts w:ascii="Times New Roman" w:hAnsi="Times New Roman"/>
          <w:sz w:val="24"/>
          <w:szCs w:val="24"/>
          <w:highlight w:val="yellow"/>
        </w:rPr>
        <w:t>onsh</w:t>
      </w:r>
      <w:r>
        <w:rPr>
          <w:rFonts w:ascii="Times New Roman" w:hAnsi="Times New Roman"/>
          <w:sz w:val="24"/>
          <w:szCs w:val="24"/>
        </w:rPr>
        <w:t>i</w:t>
      </w:r>
      <w:r>
        <w:rPr>
          <w:rFonts w:ascii="Times New Roman" w:hAnsi="Times New Roman"/>
          <w:sz w:val="24"/>
          <w:szCs w:val="24"/>
          <w:highlight w:val="yellow"/>
        </w:rPr>
        <w:t>p</w:t>
      </w:r>
      <w:r>
        <w:rPr>
          <w:rFonts w:ascii="Times New Roman" w:hAnsi="Times New Roman"/>
          <w:sz w:val="24"/>
          <w:szCs w:val="24"/>
        </w:rPr>
        <w:t xml:space="preserve"> </w:t>
      </w:r>
      <w:r>
        <w:rPr>
          <w:rFonts w:ascii="Times New Roman" w:hAnsi="Times New Roman"/>
          <w:sz w:val="24"/>
          <w:szCs w:val="24"/>
          <w:highlight w:val="yellow"/>
        </w:rPr>
        <w:t>sh</w:t>
      </w:r>
      <w:r>
        <w:rPr>
          <w:rFonts w:ascii="Times New Roman" w:hAnsi="Times New Roman"/>
          <w:sz w:val="24"/>
          <w:szCs w:val="24"/>
        </w:rPr>
        <w:t>o</w:t>
      </w:r>
      <w:r>
        <w:rPr>
          <w:rFonts w:ascii="Times New Roman" w:hAnsi="Times New Roman"/>
          <w:sz w:val="24"/>
          <w:szCs w:val="24"/>
          <w:highlight w:val="yellow"/>
        </w:rPr>
        <w:t>uld</w:t>
      </w:r>
      <w:r>
        <w:rPr>
          <w:rFonts w:ascii="Times New Roman" w:hAnsi="Times New Roman"/>
          <w:sz w:val="24"/>
          <w:szCs w:val="24"/>
        </w:rPr>
        <w:t xml:space="preserve"> </w:t>
      </w:r>
      <w:r>
        <w:rPr>
          <w:rFonts w:ascii="Times New Roman" w:hAnsi="Times New Roman"/>
          <w:sz w:val="24"/>
          <w:szCs w:val="24"/>
          <w:highlight w:val="yellow"/>
        </w:rPr>
        <w:t>b</w:t>
      </w:r>
      <w:r>
        <w:rPr>
          <w:rFonts w:ascii="Times New Roman" w:hAnsi="Times New Roman"/>
          <w:sz w:val="24"/>
          <w:szCs w:val="24"/>
        </w:rPr>
        <w:t xml:space="preserve">e </w:t>
      </w:r>
      <w:r>
        <w:rPr>
          <w:rFonts w:ascii="Times New Roman" w:hAnsi="Times New Roman"/>
          <w:sz w:val="24"/>
          <w:szCs w:val="24"/>
          <w:highlight w:val="yellow"/>
        </w:rPr>
        <w:t>int</w:t>
      </w:r>
      <w:r>
        <w:rPr>
          <w:rFonts w:ascii="Times New Roman" w:hAnsi="Times New Roman"/>
          <w:sz w:val="24"/>
          <w:szCs w:val="24"/>
        </w:rPr>
        <w:t>e</w:t>
      </w:r>
      <w:r>
        <w:rPr>
          <w:rFonts w:ascii="Times New Roman" w:hAnsi="Times New Roman"/>
          <w:sz w:val="24"/>
          <w:szCs w:val="24"/>
          <w:highlight w:val="yellow"/>
        </w:rPr>
        <w:t>rpr</w:t>
      </w:r>
      <w:r>
        <w:rPr>
          <w:rFonts w:ascii="Times New Roman" w:hAnsi="Times New Roman"/>
          <w:sz w:val="24"/>
          <w:szCs w:val="24"/>
        </w:rPr>
        <w:t>et</w:t>
      </w:r>
      <w:r>
        <w:rPr>
          <w:rFonts w:ascii="Times New Roman" w:hAnsi="Times New Roman"/>
          <w:sz w:val="24"/>
          <w:szCs w:val="24"/>
          <w:highlight w:val="yellow"/>
        </w:rPr>
        <w:t>ed</w:t>
      </w:r>
      <w:r>
        <w:rPr>
          <w:rFonts w:ascii="Times New Roman" w:hAnsi="Times New Roman"/>
          <w:sz w:val="24"/>
          <w:szCs w:val="24"/>
        </w:rPr>
        <w:t xml:space="preserve"> cauti</w:t>
      </w:r>
      <w:r>
        <w:rPr>
          <w:rFonts w:ascii="Times New Roman" w:hAnsi="Times New Roman"/>
          <w:sz w:val="24"/>
          <w:szCs w:val="24"/>
          <w:highlight w:val="yellow"/>
        </w:rPr>
        <w:t>ou</w:t>
      </w:r>
      <w:r>
        <w:rPr>
          <w:rFonts w:ascii="Times New Roman" w:hAnsi="Times New Roman"/>
          <w:sz w:val="24"/>
          <w:szCs w:val="24"/>
        </w:rPr>
        <w:t>s</w:t>
      </w:r>
      <w:r>
        <w:rPr>
          <w:rFonts w:ascii="Times New Roman" w:hAnsi="Times New Roman"/>
          <w:sz w:val="24"/>
          <w:szCs w:val="24"/>
          <w:highlight w:val="yellow"/>
        </w:rPr>
        <w:t>ly</w:t>
      </w:r>
      <w:r>
        <w:rPr>
          <w:rFonts w:ascii="Times New Roman" w:hAnsi="Times New Roman"/>
          <w:sz w:val="24"/>
          <w:szCs w:val="24"/>
        </w:rPr>
        <w:t>. Although Uchendu and Okoroiwu (2021) reported protective effects of a medicinal seed extract against cadmium-induced oxidative toxicity, the present lipid data do not demonstrate a consistent dose-response pattern.</w:t>
      </w:r>
    </w:p>
    <w:p w14:paraId="7646A1C4" w14:textId="77777777" w:rsidR="00EA7300" w:rsidRDefault="00EA7300" w:rsidP="00EA7300">
      <w:pPr>
        <w:spacing w:line="480" w:lineRule="auto"/>
        <w:jc w:val="both"/>
        <w:rPr>
          <w:rFonts w:ascii="Times New Roman" w:hAnsi="Times New Roman"/>
          <w:sz w:val="24"/>
          <w:szCs w:val="24"/>
        </w:rPr>
      </w:pPr>
      <w:r>
        <w:rPr>
          <w:rFonts w:ascii="Times New Roman" w:hAnsi="Times New Roman"/>
          <w:sz w:val="24"/>
          <w:szCs w:val="24"/>
        </w:rPr>
        <w:lastRenderedPageBreak/>
        <w:t>The findings for liver marker enzymes revealed elevated AST, ALT, ALP</w:t>
      </w:r>
      <w:r>
        <w:rPr>
          <w:rFonts w:ascii="Times New Roman" w:hAnsi="Times New Roman"/>
          <w:sz w:val="24"/>
          <w:szCs w:val="24"/>
          <w:highlight w:val="yellow"/>
        </w:rPr>
        <w:t>,</w:t>
      </w:r>
      <w:r>
        <w:rPr>
          <w:rFonts w:ascii="Times New Roman" w:hAnsi="Times New Roman"/>
          <w:sz w:val="24"/>
          <w:szCs w:val="24"/>
        </w:rPr>
        <w:t xml:space="preserve"> and GGT activities in the negative control group compared with the normal control group. Elevated serum liver enzymes are commonly regarded as indicators of hepatocellular damage and membrane leakage. The increased enzyme activities observed following cadmium exposure suggest hepatic injury induced by the toxic effect of cadmium. This observation agrees with the findings of </w:t>
      </w:r>
      <w:proofErr w:type="spellStart"/>
      <w:r>
        <w:rPr>
          <w:rFonts w:ascii="Times New Roman" w:hAnsi="Times New Roman"/>
          <w:sz w:val="24"/>
          <w:szCs w:val="24"/>
        </w:rPr>
        <w:t>Thévenod</w:t>
      </w:r>
      <w:proofErr w:type="spellEnd"/>
      <w:r>
        <w:rPr>
          <w:rFonts w:ascii="Times New Roman" w:hAnsi="Times New Roman"/>
          <w:sz w:val="24"/>
          <w:szCs w:val="24"/>
        </w:rPr>
        <w:t xml:space="preserve"> (2009), who reported that cadmium accumulation in hepatic tissues results in cellular degeneration and increased release of liver enzymes into circulation. Likewise, Patra </w:t>
      </w:r>
      <w:r>
        <w:rPr>
          <w:rFonts w:ascii="Times New Roman" w:hAnsi="Times New Roman"/>
          <w:i/>
          <w:sz w:val="24"/>
          <w:szCs w:val="24"/>
        </w:rPr>
        <w:t>et al</w:t>
      </w:r>
      <w:r>
        <w:rPr>
          <w:rFonts w:ascii="Times New Roman" w:hAnsi="Times New Roman"/>
          <w:sz w:val="24"/>
          <w:szCs w:val="24"/>
        </w:rPr>
        <w:t xml:space="preserve">. (2011) reported elevated AST and ALT activities in cadmium-treated experimental animals due to oxidative stress and hepatocellular necrosis. Administration of </w:t>
      </w:r>
      <w:r>
        <w:rPr>
          <w:rFonts w:ascii="Times New Roman" w:hAnsi="Times New Roman"/>
          <w:i/>
          <w:sz w:val="24"/>
          <w:szCs w:val="24"/>
          <w:highlight w:val="yellow"/>
        </w:rPr>
        <w:t xml:space="preserve">a Pterocarpus </w:t>
      </w:r>
      <w:proofErr w:type="spellStart"/>
      <w:r>
        <w:rPr>
          <w:rFonts w:ascii="Times New Roman" w:hAnsi="Times New Roman"/>
          <w:i/>
          <w:sz w:val="24"/>
          <w:szCs w:val="24"/>
          <w:highlight w:val="yellow"/>
        </w:rPr>
        <w:t>santalinoides</w:t>
      </w:r>
      <w:proofErr w:type="spellEnd"/>
      <w:r>
        <w:rPr>
          <w:rFonts w:ascii="Times New Roman" w:hAnsi="Times New Roman"/>
          <w:sz w:val="24"/>
          <w:szCs w:val="24"/>
        </w:rPr>
        <w:t xml:space="preserve"> leaf diet resulted in reduced AST, ALT, ALP</w:t>
      </w:r>
      <w:r>
        <w:rPr>
          <w:rFonts w:ascii="Times New Roman" w:hAnsi="Times New Roman"/>
          <w:sz w:val="24"/>
          <w:szCs w:val="24"/>
          <w:highlight w:val="yellow"/>
        </w:rPr>
        <w:t>,</w:t>
      </w:r>
      <w:r>
        <w:rPr>
          <w:rFonts w:ascii="Times New Roman" w:hAnsi="Times New Roman"/>
          <w:sz w:val="24"/>
          <w:szCs w:val="24"/>
        </w:rPr>
        <w:t xml:space="preserve"> and GGT activities across the treated groups compared with the negative control group. The progressive decrease in enzyme activities from Ps1 to Ps3 suggests that the leaf diet may possess hepatoprotective properties capable of </w:t>
      </w:r>
      <w:proofErr w:type="spellStart"/>
      <w:r>
        <w:rPr>
          <w:rFonts w:ascii="Times New Roman" w:hAnsi="Times New Roman"/>
          <w:sz w:val="24"/>
          <w:szCs w:val="24"/>
        </w:rPr>
        <w:t>stabili</w:t>
      </w:r>
      <w:r>
        <w:rPr>
          <w:rFonts w:ascii="Times New Roman" w:hAnsi="Times New Roman"/>
          <w:sz w:val="24"/>
          <w:szCs w:val="24"/>
          <w:highlight w:val="yellow"/>
        </w:rPr>
        <w:t>s</w:t>
      </w:r>
      <w:r>
        <w:rPr>
          <w:rFonts w:ascii="Times New Roman" w:hAnsi="Times New Roman"/>
          <w:sz w:val="24"/>
          <w:szCs w:val="24"/>
        </w:rPr>
        <w:t>ing</w:t>
      </w:r>
      <w:proofErr w:type="spellEnd"/>
      <w:r>
        <w:rPr>
          <w:rFonts w:ascii="Times New Roman" w:hAnsi="Times New Roman"/>
          <w:sz w:val="24"/>
          <w:szCs w:val="24"/>
        </w:rPr>
        <w:t xml:space="preserve"> hepatocyte membranes and reducing liver damage.</w:t>
      </w:r>
    </w:p>
    <w:p w14:paraId="0EB8CF99" w14:textId="77777777" w:rsidR="00C30A0F" w:rsidRDefault="00EA7300" w:rsidP="00EA7300">
      <w:pPr>
        <w:pStyle w:val="Body"/>
        <w:spacing w:after="0"/>
        <w:rPr>
          <w:rFonts w:ascii="Arial" w:hAnsi="Arial" w:cs="Arial"/>
        </w:rPr>
      </w:pPr>
      <w:r>
        <w:rPr>
          <w:rFonts w:ascii="Times New Roman" w:hAnsi="Times New Roman"/>
          <w:sz w:val="24"/>
          <w:szCs w:val="24"/>
        </w:rPr>
        <w:t xml:space="preserve">Similar findings were reported by Baskaran </w:t>
      </w:r>
      <w:r>
        <w:rPr>
          <w:rFonts w:ascii="Times New Roman" w:hAnsi="Times New Roman"/>
          <w:i/>
          <w:sz w:val="24"/>
          <w:szCs w:val="24"/>
        </w:rPr>
        <w:t>et al</w:t>
      </w:r>
      <w:r>
        <w:rPr>
          <w:rFonts w:ascii="Times New Roman" w:hAnsi="Times New Roman"/>
          <w:sz w:val="24"/>
          <w:szCs w:val="24"/>
        </w:rPr>
        <w:t>. (2018), who observed reductions in serum liver enzymes following administration of a medicinal plant extract in cadmium-exposed rats. The reduction in GGT activity</w:t>
      </w:r>
      <w:r>
        <w:rPr>
          <w:rFonts w:ascii="Times New Roman" w:hAnsi="Times New Roman"/>
          <w:sz w:val="24"/>
          <w:szCs w:val="24"/>
          <w:highlight w:val="yellow"/>
        </w:rPr>
        <w:t>, in</w:t>
      </w:r>
      <w:r>
        <w:rPr>
          <w:rFonts w:ascii="Times New Roman" w:hAnsi="Times New Roman"/>
          <w:sz w:val="24"/>
          <w:szCs w:val="24"/>
        </w:rPr>
        <w:t xml:space="preserve"> particular</w:t>
      </w:r>
      <w:r>
        <w:rPr>
          <w:rFonts w:ascii="Times New Roman" w:hAnsi="Times New Roman"/>
          <w:sz w:val="24"/>
          <w:szCs w:val="24"/>
          <w:highlight w:val="yellow"/>
        </w:rPr>
        <w:t>, ma</w:t>
      </w:r>
      <w:r>
        <w:rPr>
          <w:rFonts w:ascii="Times New Roman" w:hAnsi="Times New Roman"/>
          <w:sz w:val="24"/>
          <w:szCs w:val="24"/>
        </w:rPr>
        <w:t xml:space="preserve">y indicate possible improvement in hepatic function and detoxification processes. The comparatively lower liver enzyme activities recorded in Ps3 suggest greater protective activity at that treatment level. This may be attributed to increased availability of bioactive compounds capable of </w:t>
      </w:r>
      <w:proofErr w:type="spellStart"/>
      <w:r>
        <w:rPr>
          <w:rFonts w:ascii="Times New Roman" w:hAnsi="Times New Roman"/>
          <w:sz w:val="24"/>
          <w:szCs w:val="24"/>
        </w:rPr>
        <w:t>neutrali</w:t>
      </w:r>
      <w:r>
        <w:rPr>
          <w:rFonts w:ascii="Times New Roman" w:hAnsi="Times New Roman"/>
          <w:sz w:val="24"/>
          <w:szCs w:val="24"/>
          <w:highlight w:val="yellow"/>
        </w:rPr>
        <w:t>s</w:t>
      </w:r>
      <w:r>
        <w:rPr>
          <w:rFonts w:ascii="Times New Roman" w:hAnsi="Times New Roman"/>
          <w:sz w:val="24"/>
          <w:szCs w:val="24"/>
        </w:rPr>
        <w:t>ing</w:t>
      </w:r>
      <w:proofErr w:type="spellEnd"/>
      <w:r>
        <w:rPr>
          <w:rFonts w:ascii="Times New Roman" w:hAnsi="Times New Roman"/>
          <w:sz w:val="24"/>
          <w:szCs w:val="24"/>
        </w:rPr>
        <w:t xml:space="preserve"> free radicals generated by cadmium exposure. According to Valko </w:t>
      </w:r>
      <w:r>
        <w:rPr>
          <w:rFonts w:ascii="Times New Roman" w:hAnsi="Times New Roman"/>
          <w:i/>
          <w:sz w:val="24"/>
          <w:szCs w:val="24"/>
        </w:rPr>
        <w:t>et al</w:t>
      </w:r>
      <w:r>
        <w:rPr>
          <w:rFonts w:ascii="Times New Roman" w:hAnsi="Times New Roman"/>
          <w:sz w:val="24"/>
          <w:szCs w:val="24"/>
        </w:rPr>
        <w:t xml:space="preserve">. (2005), antioxidants from medicinal plants play important roles in protecting tissues against oxidative stress-mediated cellular injury. The hepatoprotective effect observed in this study also aligns with Renugadevi and Prabu (2010), who reported that the antioxidant flavanone naringenin attenuated cadmium-induced hepatic injury in rats. The findings of this study indicate that cadmium exposure adversely affected lipid metabolism and liver function in Wistar rats, as evidenced by altered lipid profile indices and elevated liver marker enzymes. However, administration of </w:t>
      </w:r>
      <w:r>
        <w:rPr>
          <w:rFonts w:ascii="Times New Roman" w:hAnsi="Times New Roman"/>
          <w:i/>
          <w:sz w:val="24"/>
          <w:szCs w:val="24"/>
          <w:highlight w:val="yellow"/>
        </w:rPr>
        <w:t xml:space="preserve">a Pterocarpus </w:t>
      </w:r>
      <w:proofErr w:type="spellStart"/>
      <w:r>
        <w:rPr>
          <w:rFonts w:ascii="Times New Roman" w:hAnsi="Times New Roman"/>
          <w:i/>
          <w:sz w:val="24"/>
          <w:szCs w:val="24"/>
          <w:highlight w:val="yellow"/>
        </w:rPr>
        <w:t>santalinoides</w:t>
      </w:r>
      <w:proofErr w:type="spellEnd"/>
      <w:r>
        <w:rPr>
          <w:rFonts w:ascii="Times New Roman" w:hAnsi="Times New Roman"/>
          <w:sz w:val="24"/>
          <w:szCs w:val="24"/>
        </w:rPr>
        <w:t xml:space="preserve"> leaf diet appeared to ameliorate these alterations by improving lipid parameters and reducing liver enzyme activities. The observed protective effects may be associated with the antioxidant and bioactive constituents of the leaf, which </w:t>
      </w:r>
      <w:r>
        <w:rPr>
          <w:rFonts w:ascii="Times New Roman" w:hAnsi="Times New Roman"/>
          <w:sz w:val="24"/>
          <w:szCs w:val="24"/>
          <w:highlight w:val="yellow"/>
        </w:rPr>
        <w:t>ma</w:t>
      </w:r>
      <w:r>
        <w:rPr>
          <w:rFonts w:ascii="Times New Roman" w:hAnsi="Times New Roman"/>
          <w:sz w:val="24"/>
          <w:szCs w:val="24"/>
        </w:rPr>
        <w:t>y</w:t>
      </w:r>
      <w:r>
        <w:rPr>
          <w:rFonts w:ascii="Times New Roman" w:hAnsi="Times New Roman"/>
          <w:sz w:val="24"/>
          <w:szCs w:val="24"/>
          <w:highlight w:val="yellow"/>
        </w:rPr>
        <w:t xml:space="preserve"> have</w:t>
      </w:r>
      <w:r>
        <w:rPr>
          <w:rFonts w:ascii="Times New Roman" w:hAnsi="Times New Roman"/>
          <w:sz w:val="24"/>
          <w:szCs w:val="24"/>
        </w:rPr>
        <w:t xml:space="preserve"> reduced oxidative stress and </w:t>
      </w:r>
      <w:proofErr w:type="spellStart"/>
      <w:r>
        <w:rPr>
          <w:rFonts w:ascii="Times New Roman" w:hAnsi="Times New Roman"/>
          <w:sz w:val="24"/>
          <w:szCs w:val="24"/>
        </w:rPr>
        <w:t>stabili</w:t>
      </w:r>
      <w:r>
        <w:rPr>
          <w:rFonts w:ascii="Times New Roman" w:hAnsi="Times New Roman"/>
          <w:sz w:val="24"/>
          <w:szCs w:val="24"/>
          <w:highlight w:val="yellow"/>
        </w:rPr>
        <w:t>s</w:t>
      </w:r>
      <w:r>
        <w:rPr>
          <w:rFonts w:ascii="Times New Roman" w:hAnsi="Times New Roman"/>
          <w:sz w:val="24"/>
          <w:szCs w:val="24"/>
        </w:rPr>
        <w:t>ed</w:t>
      </w:r>
      <w:proofErr w:type="spellEnd"/>
      <w:r>
        <w:rPr>
          <w:rFonts w:ascii="Times New Roman" w:hAnsi="Times New Roman"/>
          <w:sz w:val="24"/>
          <w:szCs w:val="24"/>
        </w:rPr>
        <w:t xml:space="preserve"> cellular integrity in cadmium-exposed rats</w:t>
      </w:r>
      <w:r>
        <w:rPr>
          <w:rFonts w:ascii="Arial" w:hAnsi="Arial" w:cs="Arial"/>
          <w:highlight w:val="yellow"/>
        </w:rPr>
        <w:t>.</w:t>
      </w:r>
    </w:p>
    <w:p w14:paraId="6300C991" w14:textId="77777777" w:rsidR="00B01FCD" w:rsidRDefault="00B01FCD" w:rsidP="00441B6F">
      <w:pPr>
        <w:pStyle w:val="ConcHead"/>
        <w:spacing w:after="0"/>
        <w:jc w:val="both"/>
        <w:rPr>
          <w:rFonts w:ascii="Arial" w:hAnsi="Arial" w:cs="Arial"/>
        </w:rPr>
      </w:pPr>
      <w:r w:rsidRPr="00FB3A86">
        <w:rPr>
          <w:rFonts w:ascii="Arial" w:hAnsi="Arial" w:cs="Arial"/>
        </w:rPr>
        <w:t>Conclusion</w:t>
      </w:r>
    </w:p>
    <w:p w14:paraId="092B0A04" w14:textId="22FA15CB" w:rsidR="00582051" w:rsidRDefault="00582051" w:rsidP="00441B6F">
      <w:pPr>
        <w:pStyle w:val="ReferHead"/>
        <w:spacing w:after="0"/>
        <w:jc w:val="both"/>
        <w:rPr>
          <w:rFonts w:ascii="Times New Roman" w:hAnsi="Times New Roman"/>
          <w:b w:val="0"/>
          <w:caps w:val="0"/>
          <w:sz w:val="24"/>
          <w:szCs w:val="24"/>
        </w:rPr>
      </w:pPr>
      <w:r w:rsidRPr="00582051">
        <w:rPr>
          <w:rFonts w:ascii="Times New Roman" w:hAnsi="Times New Roman"/>
          <w:b w:val="0"/>
          <w:caps w:val="0"/>
          <w:sz w:val="24"/>
          <w:szCs w:val="24"/>
        </w:rPr>
        <w:t xml:space="preserve">The findings indicate that cadmium exposure was associated with marked alterations in lipid profile indices and increased activities of AST, ALT, ALP, and GGT in Wistar rats. Relative to the negative control, administration of Pterocarpus </w:t>
      </w:r>
      <w:proofErr w:type="spellStart"/>
      <w:r w:rsidRPr="00582051">
        <w:rPr>
          <w:rFonts w:ascii="Times New Roman" w:hAnsi="Times New Roman"/>
          <w:b w:val="0"/>
          <w:caps w:val="0"/>
          <w:sz w:val="24"/>
          <w:szCs w:val="24"/>
        </w:rPr>
        <w:t>santalinoides</w:t>
      </w:r>
      <w:proofErr w:type="spellEnd"/>
      <w:r w:rsidRPr="00582051">
        <w:rPr>
          <w:rFonts w:ascii="Times New Roman" w:hAnsi="Times New Roman"/>
          <w:b w:val="0"/>
          <w:caps w:val="0"/>
          <w:sz w:val="24"/>
          <w:szCs w:val="24"/>
        </w:rPr>
        <w:t xml:space="preserve"> leaf-supplemented diets was associated with lower liver marker enzyme activities and changes in lipid indices. Ps2 recorded the lowest VLDL-c, triacylglycerol, and LDL-c values among the treated groups, whereas Ps3 recorded the lowest AST, ALT, ALP, and GGT activities among the leaf-diet groups. The lipid data did not show a consistent progressive response from 10% to 40%, so a uniform dose-dependent lipid effect cannot be inferred from these results. Overall, the observed biochemical changes support a possible </w:t>
      </w:r>
      <w:r w:rsidRPr="00582051">
        <w:rPr>
          <w:rFonts w:ascii="Times New Roman" w:hAnsi="Times New Roman"/>
          <w:b w:val="0"/>
          <w:caps w:val="0"/>
          <w:sz w:val="24"/>
          <w:szCs w:val="24"/>
        </w:rPr>
        <w:lastRenderedPageBreak/>
        <w:t xml:space="preserve">protective effect of the leaf diet against cadmium-related lipid and hepatic disturbances in this experimental model. </w:t>
      </w:r>
    </w:p>
    <w:p w14:paraId="24AACB92" w14:textId="77777777" w:rsidR="00582051" w:rsidRDefault="00582051" w:rsidP="00441B6F">
      <w:pPr>
        <w:pStyle w:val="ReferHead"/>
        <w:spacing w:after="0"/>
        <w:jc w:val="both"/>
        <w:rPr>
          <w:rFonts w:ascii="Times New Roman" w:hAnsi="Times New Roman"/>
          <w:b w:val="0"/>
          <w:caps w:val="0"/>
          <w:sz w:val="24"/>
          <w:szCs w:val="24"/>
        </w:rPr>
      </w:pPr>
    </w:p>
    <w:p w14:paraId="6FC33F12" w14:textId="77777777" w:rsidR="00582051" w:rsidRDefault="00582051" w:rsidP="00441B6F">
      <w:pPr>
        <w:pStyle w:val="ReferHead"/>
        <w:spacing w:after="0"/>
        <w:jc w:val="both"/>
        <w:rPr>
          <w:rFonts w:ascii="Times New Roman" w:hAnsi="Times New Roman"/>
          <w:b w:val="0"/>
          <w:caps w:val="0"/>
          <w:sz w:val="24"/>
          <w:szCs w:val="24"/>
        </w:rPr>
      </w:pPr>
    </w:p>
    <w:p w14:paraId="2BDD2B10" w14:textId="002D8CD4" w:rsidR="00582051" w:rsidRPr="00582051" w:rsidRDefault="00582051" w:rsidP="00582051">
      <w:pPr>
        <w:pStyle w:val="ReferHead"/>
        <w:jc w:val="both"/>
        <w:rPr>
          <w:rFonts w:ascii="Times New Roman" w:hAnsi="Times New Roman"/>
          <w:b w:val="0"/>
          <w:caps w:val="0"/>
          <w:sz w:val="24"/>
          <w:szCs w:val="24"/>
        </w:rPr>
      </w:pPr>
      <w:r w:rsidRPr="00582051">
        <w:rPr>
          <w:rFonts w:ascii="Times New Roman" w:hAnsi="Times New Roman"/>
          <w:b w:val="0"/>
          <w:caps w:val="0"/>
          <w:sz w:val="24"/>
          <w:szCs w:val="24"/>
        </w:rPr>
        <w:t>Limitations</w:t>
      </w:r>
    </w:p>
    <w:p w14:paraId="7BF10D7B" w14:textId="77777777" w:rsidR="00582051" w:rsidRPr="00582051" w:rsidRDefault="00582051" w:rsidP="00582051">
      <w:pPr>
        <w:pStyle w:val="ReferHead"/>
        <w:jc w:val="both"/>
        <w:rPr>
          <w:rFonts w:ascii="Times New Roman" w:hAnsi="Times New Roman"/>
          <w:b w:val="0"/>
          <w:caps w:val="0"/>
          <w:sz w:val="24"/>
          <w:szCs w:val="24"/>
        </w:rPr>
      </w:pPr>
    </w:p>
    <w:p w14:paraId="295DBFB0" w14:textId="7EFF5E78" w:rsidR="00582051" w:rsidRDefault="00582051" w:rsidP="00582051">
      <w:pPr>
        <w:pStyle w:val="ReferHead"/>
        <w:spacing w:after="0"/>
        <w:jc w:val="both"/>
        <w:rPr>
          <w:rFonts w:ascii="Times New Roman" w:hAnsi="Times New Roman"/>
          <w:b w:val="0"/>
          <w:caps w:val="0"/>
          <w:sz w:val="24"/>
          <w:szCs w:val="24"/>
        </w:rPr>
      </w:pPr>
      <w:r w:rsidRPr="00582051">
        <w:rPr>
          <w:rFonts w:ascii="Times New Roman" w:hAnsi="Times New Roman"/>
          <w:b w:val="0"/>
          <w:caps w:val="0"/>
          <w:sz w:val="24"/>
          <w:szCs w:val="24"/>
        </w:rPr>
        <w:t xml:space="preserve">This study used 36 Wistar rats and evaluated a limited set of serum lipid and liver enzyme markers after a defined cadmium-exposure and dietary-intervention period. The findings are therefore limited to this animal model, exposure regimen, treatment duration, and measured biochemical outcomes. Histopathological assessment, tissue cadmium burden, oxidative-stress biomarkers, and direct quantification of the leaf diet’s bioactive constituents were not reported in the </w:t>
      </w:r>
      <w:r>
        <w:rPr>
          <w:rFonts w:ascii="Times New Roman" w:hAnsi="Times New Roman"/>
          <w:b w:val="0"/>
          <w:caps w:val="0"/>
          <w:sz w:val="24"/>
          <w:szCs w:val="24"/>
        </w:rPr>
        <w:t>study</w:t>
      </w:r>
      <w:r w:rsidRPr="00582051">
        <w:rPr>
          <w:rFonts w:ascii="Times New Roman" w:hAnsi="Times New Roman"/>
          <w:b w:val="0"/>
          <w:caps w:val="0"/>
          <w:sz w:val="24"/>
          <w:szCs w:val="24"/>
        </w:rPr>
        <w:t xml:space="preserve">, limiting mechanistic interpretation and broader </w:t>
      </w:r>
      <w:proofErr w:type="spellStart"/>
      <w:r w:rsidRPr="00582051">
        <w:rPr>
          <w:rFonts w:ascii="Times New Roman" w:hAnsi="Times New Roman"/>
          <w:b w:val="0"/>
          <w:caps w:val="0"/>
          <w:sz w:val="24"/>
          <w:szCs w:val="24"/>
        </w:rPr>
        <w:t>generalisation</w:t>
      </w:r>
      <w:proofErr w:type="spellEnd"/>
      <w:r w:rsidRPr="00582051">
        <w:rPr>
          <w:rFonts w:ascii="Times New Roman" w:hAnsi="Times New Roman"/>
          <w:b w:val="0"/>
          <w:caps w:val="0"/>
          <w:sz w:val="24"/>
          <w:szCs w:val="24"/>
        </w:rPr>
        <w:t>.</w:t>
      </w:r>
    </w:p>
    <w:p w14:paraId="58AD844B" w14:textId="77777777" w:rsidR="00582051" w:rsidRDefault="00582051" w:rsidP="00441B6F">
      <w:pPr>
        <w:pStyle w:val="ReferHead"/>
        <w:spacing w:after="0"/>
        <w:jc w:val="both"/>
        <w:rPr>
          <w:rFonts w:ascii="Times New Roman" w:hAnsi="Times New Roman"/>
          <w:b w:val="0"/>
          <w:caps w:val="0"/>
          <w:sz w:val="24"/>
          <w:szCs w:val="24"/>
        </w:rPr>
      </w:pPr>
    </w:p>
    <w:p w14:paraId="3FC25BF2" w14:textId="77777777" w:rsidR="00582051" w:rsidRDefault="00582051" w:rsidP="00441B6F">
      <w:pPr>
        <w:pStyle w:val="ReferHead"/>
        <w:spacing w:after="0"/>
        <w:jc w:val="both"/>
        <w:rPr>
          <w:rFonts w:ascii="Times New Roman" w:hAnsi="Times New Roman"/>
          <w:b w:val="0"/>
          <w:caps w:val="0"/>
          <w:sz w:val="24"/>
          <w:szCs w:val="24"/>
        </w:rPr>
      </w:pPr>
    </w:p>
    <w:p w14:paraId="197E3B82" w14:textId="13B91E0C" w:rsidR="00860000" w:rsidRPr="002770DC" w:rsidRDefault="00860000" w:rsidP="00441B6F">
      <w:pPr>
        <w:pStyle w:val="ReferHead"/>
        <w:spacing w:after="0"/>
        <w:jc w:val="both"/>
        <w:rPr>
          <w:rFonts w:ascii="Arial" w:hAnsi="Arial" w:cs="Arial"/>
          <w:bCs/>
        </w:rPr>
      </w:pPr>
      <w:r w:rsidRPr="00786D36">
        <w:rPr>
          <w:rFonts w:ascii="Arial" w:hAnsi="Arial" w:cs="Arial"/>
          <w:bCs/>
        </w:rPr>
        <w:t>Competing interests</w:t>
      </w:r>
    </w:p>
    <w:p w14:paraId="1ABDB04A" w14:textId="77777777" w:rsidR="00371FB6" w:rsidRDefault="002770DC" w:rsidP="00441B6F">
      <w:pPr>
        <w:pStyle w:val="ReferHead"/>
        <w:spacing w:after="0"/>
        <w:jc w:val="both"/>
        <w:rPr>
          <w:rFonts w:ascii="Arial" w:hAnsi="Arial" w:cs="Arial"/>
          <w:b w:val="0"/>
          <w:caps w:val="0"/>
          <w:sz w:val="20"/>
        </w:rPr>
      </w:pPr>
      <w:r w:rsidRPr="002770DC">
        <w:rPr>
          <w:rFonts w:ascii="Arial" w:hAnsi="Arial" w:cs="Arial"/>
          <w:b w:val="0"/>
          <w:caps w:val="0"/>
          <w:sz w:val="20"/>
        </w:rPr>
        <w:t>Authors have declared that no competing interests exist</w:t>
      </w:r>
      <w:r>
        <w:rPr>
          <w:rFonts w:ascii="Arial" w:hAnsi="Arial" w:cs="Arial"/>
          <w:b w:val="0"/>
          <w:caps w:val="0"/>
          <w:sz w:val="20"/>
        </w:rPr>
        <w:t>.</w:t>
      </w:r>
    </w:p>
    <w:p w14:paraId="7A20B3FD" w14:textId="77777777" w:rsidR="00C2677C" w:rsidRDefault="00C2677C" w:rsidP="00441B6F">
      <w:pPr>
        <w:pStyle w:val="ReferHead"/>
        <w:spacing w:after="0"/>
        <w:jc w:val="both"/>
        <w:rPr>
          <w:rFonts w:ascii="Arial" w:hAnsi="Arial" w:cs="Arial"/>
          <w:bCs/>
        </w:rPr>
      </w:pPr>
    </w:p>
    <w:p w14:paraId="53A5D816" w14:textId="77777777" w:rsidR="005C784C" w:rsidRPr="002B685A" w:rsidRDefault="005C784C" w:rsidP="00441B6F">
      <w:pPr>
        <w:pStyle w:val="ReferHead"/>
        <w:spacing w:after="0"/>
        <w:jc w:val="both"/>
        <w:rPr>
          <w:rFonts w:ascii="Arial" w:hAnsi="Arial" w:cs="Arial"/>
          <w:bCs/>
        </w:rPr>
      </w:pPr>
      <w:r>
        <w:rPr>
          <w:rFonts w:ascii="Arial" w:hAnsi="Arial" w:cs="Arial"/>
          <w:bCs/>
        </w:rPr>
        <w:t xml:space="preserve">Ethical approval </w:t>
      </w:r>
    </w:p>
    <w:p w14:paraId="1C5FA27B" w14:textId="77777777" w:rsidR="00860000" w:rsidRDefault="005D7ECD" w:rsidP="00441B6F">
      <w:pPr>
        <w:pStyle w:val="ReferHead"/>
        <w:spacing w:after="0"/>
        <w:jc w:val="both"/>
        <w:rPr>
          <w:rFonts w:ascii="Arial" w:hAnsi="Arial" w:cs="Arial"/>
          <w:b w:val="0"/>
          <w:caps w:val="0"/>
          <w:sz w:val="20"/>
        </w:rPr>
      </w:pPr>
      <w:r w:rsidRPr="005D7ECD">
        <w:rPr>
          <w:rFonts w:ascii="Arial" w:hAnsi="Arial" w:cs="Arial"/>
          <w:b w:val="0"/>
          <w:caps w:val="0"/>
          <w:sz w:val="20"/>
        </w:rPr>
        <w:t>All authors hereby declare that all experiments have been examined and approved by the appropriate ethics committee and have therefore been performed in accordance with the ethical standards laid down in the 1964 Declaration of Helsinki.”</w:t>
      </w:r>
    </w:p>
    <w:p w14:paraId="1BE8FE09" w14:textId="77777777" w:rsidR="00E0273A" w:rsidRDefault="00E0273A" w:rsidP="00441B6F">
      <w:pPr>
        <w:pStyle w:val="ReferHead"/>
        <w:spacing w:after="0"/>
        <w:jc w:val="both"/>
        <w:rPr>
          <w:rFonts w:ascii="Arial" w:hAnsi="Arial" w:cs="Arial"/>
          <w:b w:val="0"/>
          <w:caps w:val="0"/>
          <w:sz w:val="20"/>
        </w:rPr>
      </w:pPr>
    </w:p>
    <w:p w14:paraId="54665F55" w14:textId="77777777" w:rsidR="00C2677C" w:rsidRDefault="00C2677C" w:rsidP="00E0273A">
      <w:pPr>
        <w:jc w:val="both"/>
        <w:outlineLvl w:val="0"/>
        <w:rPr>
          <w:rFonts w:ascii="Arial" w:hAnsi="Arial" w:cs="Arial"/>
          <w:b/>
          <w:bCs/>
        </w:rPr>
      </w:pPr>
    </w:p>
    <w:p w14:paraId="76642554" w14:textId="77777777" w:rsidR="00E0273A" w:rsidRPr="003A29C6" w:rsidRDefault="00E0273A" w:rsidP="00E0273A">
      <w:pPr>
        <w:jc w:val="both"/>
        <w:outlineLvl w:val="0"/>
        <w:rPr>
          <w:rFonts w:ascii="Arial" w:hAnsi="Arial" w:cs="Arial"/>
        </w:rPr>
      </w:pPr>
      <w:r w:rsidRPr="003A29C6">
        <w:rPr>
          <w:rFonts w:ascii="Arial" w:hAnsi="Arial" w:cs="Arial"/>
          <w:b/>
          <w:bCs/>
        </w:rPr>
        <w:t>COMPETING INTERESTS DISCLAIMER:</w:t>
      </w:r>
    </w:p>
    <w:p w14:paraId="7AF90578" w14:textId="77777777" w:rsidR="00E0273A" w:rsidRDefault="00E0273A" w:rsidP="00E0273A">
      <w:r w:rsidRPr="00A10EDE">
        <w:t>Authors have declared that they have no known competing financial interests OR non-financial interests OR personal relationships that could have appeared to influence the work reported in this paper.</w:t>
      </w:r>
    </w:p>
    <w:p w14:paraId="3E53B379" w14:textId="77777777" w:rsidR="00E0273A" w:rsidRDefault="00E0273A" w:rsidP="00E0273A"/>
    <w:p w14:paraId="2C18EB92" w14:textId="77777777" w:rsidR="00E0273A" w:rsidRDefault="00E0273A" w:rsidP="00E0273A">
      <w:pPr>
        <w:rPr>
          <w:rFonts w:ascii="Times New Roman" w:hAnsi="Times New Roman"/>
          <w:b/>
        </w:rPr>
      </w:pPr>
      <w:r w:rsidRPr="000839CE">
        <w:rPr>
          <w:rFonts w:ascii="Times New Roman" w:hAnsi="Times New Roman"/>
          <w:b/>
        </w:rPr>
        <w:t>Declaration of AI Use</w:t>
      </w:r>
    </w:p>
    <w:p w14:paraId="531205DF" w14:textId="77777777" w:rsidR="00E0273A" w:rsidRDefault="00E0273A" w:rsidP="00E0273A">
      <w:pPr>
        <w:rPr>
          <w:rFonts w:ascii="Times New Roman" w:hAnsi="Times New Roman"/>
          <w:b/>
        </w:rPr>
      </w:pPr>
    </w:p>
    <w:p w14:paraId="757820F0" w14:textId="77777777" w:rsidR="00E0273A" w:rsidRPr="002D08AC" w:rsidRDefault="00E0273A" w:rsidP="00E0273A">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C948ABB" w14:textId="77777777" w:rsidR="00E0273A" w:rsidRDefault="00E0273A" w:rsidP="00E0273A"/>
    <w:p w14:paraId="099ADF02" w14:textId="77777777" w:rsidR="00E0273A" w:rsidRDefault="00E0273A" w:rsidP="00441B6F">
      <w:pPr>
        <w:pStyle w:val="ReferHead"/>
        <w:spacing w:after="0"/>
        <w:jc w:val="both"/>
        <w:rPr>
          <w:rFonts w:ascii="Arial" w:hAnsi="Arial" w:cs="Arial"/>
        </w:rPr>
      </w:pPr>
    </w:p>
    <w:p w14:paraId="156A169D"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21F23212" w14:textId="77777777" w:rsidR="005D7ECD" w:rsidRDefault="005D7ECD" w:rsidP="005D7ECD">
      <w:pPr>
        <w:pStyle w:val="NormalWeb"/>
        <w:ind w:left="720" w:hanging="720"/>
      </w:pPr>
      <w:r>
        <w:t xml:space="preserve">Renugadevi, J., &amp; Prabu, S. M. (2010). Cadmium-induced hepatotoxicity in rats and the protective effect of naringenin. </w:t>
      </w:r>
      <w:r>
        <w:rPr>
          <w:i/>
        </w:rPr>
        <w:t>Experimental and Toxicologic Pathology, 62</w:t>
      </w:r>
      <w:r>
        <w:t xml:space="preserve">(2), 171–181. </w:t>
      </w:r>
      <w:hyperlink r:id="rId14">
        <w:r>
          <w:rPr>
            <w:color w:val="0563C1"/>
            <w:u w:val="single"/>
          </w:rPr>
          <w:t>https://doi.org/10.1016/j.etp.2009.03.010</w:t>
        </w:r>
      </w:hyperlink>
    </w:p>
    <w:p w14:paraId="63779662" w14:textId="77777777" w:rsidR="005D7ECD" w:rsidRDefault="005D7ECD" w:rsidP="005D7ECD">
      <w:pPr>
        <w:pStyle w:val="NormalWeb"/>
        <w:ind w:left="720" w:hanging="720"/>
      </w:pPr>
      <w:r>
        <w:t xml:space="preserve">Akinmoladun, A. C., Ibukun, E. O., Afor, E., Obuotor, E. M., &amp; Farombi, E. O. (2007). Phytochemical constituent and antioxidant activity of extract from the leaves of </w:t>
      </w:r>
      <w:r>
        <w:rPr>
          <w:i/>
        </w:rPr>
        <w:t>Ocimum gratissimum</w:t>
      </w:r>
      <w:r>
        <w:t xml:space="preserve">. </w:t>
      </w:r>
      <w:r>
        <w:rPr>
          <w:i/>
        </w:rPr>
        <w:t>Scientific Research and Essays, 2</w:t>
      </w:r>
      <w:r>
        <w:t xml:space="preserve">(5), 163–166. </w:t>
      </w:r>
      <w:hyperlink r:id="rId15">
        <w:r>
          <w:rPr>
            <w:color w:val="0563C1"/>
            <w:u w:val="single"/>
          </w:rPr>
          <w:t>https://doi.org/10.5897/SRE.9000731</w:t>
        </w:r>
      </w:hyperlink>
    </w:p>
    <w:p w14:paraId="7DD11021" w14:textId="77777777" w:rsidR="005D7ECD" w:rsidRDefault="005D7ECD" w:rsidP="00441B6F">
      <w:pPr>
        <w:pStyle w:val="Body"/>
        <w:spacing w:after="0"/>
        <w:ind w:left="720" w:hanging="720"/>
        <w:jc w:val="left"/>
      </w:pPr>
      <w:r>
        <w:t xml:space="preserve">Anyam, J. V., Apaa, E. I., Igoli, J. O., &amp; Tor-Anyiin, T. A. (2025). Isolation and characterisation of bioactive principles from sapwood of </w:t>
      </w:r>
      <w:r>
        <w:rPr>
          <w:i/>
        </w:rPr>
        <w:t>Pterocarpus santalinoides</w:t>
      </w:r>
      <w:r>
        <w:t xml:space="preserve">. </w:t>
      </w:r>
      <w:r>
        <w:rPr>
          <w:i/>
        </w:rPr>
        <w:t>Tropical Journal of Natural Product Research, 9</w:t>
      </w:r>
      <w:r>
        <w:t xml:space="preserve">(7), 3214–3224. </w:t>
      </w:r>
      <w:hyperlink r:id="rId16">
        <w:r>
          <w:rPr>
            <w:color w:val="0563C1"/>
            <w:u w:val="single"/>
          </w:rPr>
          <w:t>https://doi.org/10.26538/tjnpr/v9i7.49</w:t>
        </w:r>
      </w:hyperlink>
    </w:p>
    <w:p w14:paraId="5864BCB8" w14:textId="77777777" w:rsidR="005D7ECD" w:rsidRDefault="005D7ECD" w:rsidP="00441B6F">
      <w:pPr>
        <w:pStyle w:val="Body"/>
        <w:spacing w:after="0"/>
        <w:ind w:left="720" w:hanging="720"/>
        <w:jc w:val="left"/>
        <w:rPr>
          <w:rFonts w:ascii="Arial" w:hAnsi="Arial" w:cs="Arial"/>
        </w:rPr>
      </w:pPr>
      <w:r>
        <w:t xml:space="preserve">Ayéna, A. C., Anani, K., Dosseh, K., Agbonon, A., &amp; Gbeassor, M. (2021). Comparative study of antimicrobial, anti-inflammatory, and antioxidant activities of different parts from </w:t>
      </w:r>
      <w:r>
        <w:rPr>
          <w:i/>
        </w:rPr>
        <w:t>Pterocarpus santalinoides</w:t>
      </w:r>
      <w:r>
        <w:t xml:space="preserve"> L'Hér. ex DC. (Fabaceae). </w:t>
      </w:r>
      <w:r>
        <w:rPr>
          <w:i/>
        </w:rPr>
        <w:t>Evidence-Based Complementary and Alternative Medicine, 2021</w:t>
      </w:r>
      <w:r>
        <w:t xml:space="preserve">, Article 8938534. </w:t>
      </w:r>
      <w:hyperlink r:id="rId17">
        <w:r>
          <w:rPr>
            <w:color w:val="0563C1"/>
            <w:u w:val="single"/>
          </w:rPr>
          <w:t>https://doi.org/10.1155/2021/8938534</w:t>
        </w:r>
      </w:hyperlink>
    </w:p>
    <w:p w14:paraId="2BA8CD11" w14:textId="77777777" w:rsidR="005D7ECD" w:rsidRDefault="005D7ECD" w:rsidP="005D7ECD">
      <w:pPr>
        <w:pStyle w:val="pdq2pgselectionanchorcontainer"/>
        <w:ind w:left="720" w:hanging="720"/>
      </w:pPr>
      <w:r>
        <w:lastRenderedPageBreak/>
        <w:t xml:space="preserve">Bernhoft, R. A. (2013). Cadmium toxicity and treatment. </w:t>
      </w:r>
      <w:r>
        <w:rPr>
          <w:i/>
        </w:rPr>
        <w:t>The Scientific World Journal, 2013</w:t>
      </w:r>
      <w:r>
        <w:t xml:space="preserve">, Article 394652. </w:t>
      </w:r>
      <w:hyperlink r:id="rId18">
        <w:r>
          <w:rPr>
            <w:color w:val="0563C1"/>
            <w:u w:val="single"/>
          </w:rPr>
          <w:t>https://doi.org/10.1155/2013/394652</w:t>
        </w:r>
      </w:hyperlink>
    </w:p>
    <w:p w14:paraId="05CFC013" w14:textId="77777777" w:rsidR="005D7ECD" w:rsidRDefault="005D7ECD" w:rsidP="005D7ECD">
      <w:pPr>
        <w:pStyle w:val="NormalWeb"/>
        <w:ind w:left="720" w:hanging="720"/>
      </w:pPr>
      <w:r>
        <w:t xml:space="preserve">Buhari, O., Dayyab, F. M., Igbinoba, O., Atanda, A., Medhane, F., &amp; Faillace, R. T. (2020). The association between heavy metal and serum cholesterol levels in the US population: National Health and Nutrition Examination Survey 2009–2012. </w:t>
      </w:r>
      <w:r>
        <w:rPr>
          <w:i/>
        </w:rPr>
        <w:t>Human &amp; Experimental Toxicology, 39</w:t>
      </w:r>
      <w:r>
        <w:t xml:space="preserve">(3), 355–364. </w:t>
      </w:r>
      <w:hyperlink r:id="rId19">
        <w:r>
          <w:rPr>
            <w:color w:val="0563C1"/>
            <w:u w:val="single"/>
          </w:rPr>
          <w:t>https://doi.org/10.1177/0960327119889654</w:t>
        </w:r>
      </w:hyperlink>
    </w:p>
    <w:p w14:paraId="0E08438A" w14:textId="77777777" w:rsidR="005D7ECD" w:rsidRDefault="005D7ECD" w:rsidP="005D7ECD">
      <w:pPr>
        <w:pStyle w:val="NormalWeb"/>
        <w:ind w:left="720" w:hanging="720"/>
      </w:pPr>
      <w:r>
        <w:t xml:space="preserve">Burtis, C. A., &amp; Bruns, D. E. (2014). </w:t>
      </w:r>
      <w:r>
        <w:rPr>
          <w:i/>
        </w:rPr>
        <w:t>Tietz fundamentals of clinical chemistry and molecular diagnostics</w:t>
      </w:r>
      <w:r>
        <w:t xml:space="preserve"> (7th ed.). Elsevier. </w:t>
      </w:r>
      <w:hyperlink r:id="rId20">
        <w:r>
          <w:rPr>
            <w:color w:val="0563C1"/>
            <w:u w:val="single"/>
          </w:rPr>
          <w:t>https://shop.elsevier.com/books/tietz-fundamentals-of-clinical-chemistry-and-molecular-diagnostics/burtis/978-1-4557-4165-6</w:t>
        </w:r>
      </w:hyperlink>
    </w:p>
    <w:p w14:paraId="6E13C62B" w14:textId="77777777" w:rsidR="005D7ECD" w:rsidRDefault="005D7ECD" w:rsidP="005D7ECD">
      <w:pPr>
        <w:pStyle w:val="NormalWeb"/>
        <w:ind w:left="720" w:hanging="720"/>
      </w:pPr>
      <w:r>
        <w:t xml:space="preserve">Chen, X., Zhu, G., Wang, Z., Zhou, H., He, P., Liu, Y., &amp; Jin, T. (2019). The association between lead and cadmium co-exposure and renal dysfunction. </w:t>
      </w:r>
      <w:r>
        <w:rPr>
          <w:i/>
        </w:rPr>
        <w:t>Ecotoxicology and Environmental Safety, 173</w:t>
      </w:r>
      <w:r>
        <w:t xml:space="preserve">, 429–435. </w:t>
      </w:r>
      <w:hyperlink r:id="rId21">
        <w:r>
          <w:rPr>
            <w:color w:val="0563C1"/>
            <w:u w:val="single"/>
          </w:rPr>
          <w:t>https://doi.org/10.1016/j.ecoenv.2019.01.121</w:t>
        </w:r>
      </w:hyperlink>
    </w:p>
    <w:p w14:paraId="07A652F1" w14:textId="77777777" w:rsidR="005D7ECD" w:rsidRDefault="005D7ECD" w:rsidP="005D7ECD">
      <w:pPr>
        <w:pStyle w:val="NormalWeb"/>
        <w:ind w:left="720" w:hanging="720"/>
      </w:pPr>
      <w:r>
        <w:t xml:space="preserve">Devarbhavi, H., Asrani, S. K., Arab, J. P., Nartey, Y. A., Pose, E., &amp; Kamath, P. S. (2023). Global burden of liver disease: 2023 update. </w:t>
      </w:r>
      <w:r>
        <w:rPr>
          <w:i/>
        </w:rPr>
        <w:t>Journal of Hepatology, 79</w:t>
      </w:r>
      <w:r>
        <w:t xml:space="preserve">(2), 516–537. </w:t>
      </w:r>
      <w:hyperlink r:id="rId22">
        <w:r>
          <w:rPr>
            <w:color w:val="0563C1"/>
            <w:u w:val="single"/>
          </w:rPr>
          <w:t>https://doi.org/10.1016/j.jhep.2023.03.017</w:t>
        </w:r>
      </w:hyperlink>
    </w:p>
    <w:p w14:paraId="12C889A5" w14:textId="77777777" w:rsidR="005D7ECD" w:rsidRDefault="005D7ECD" w:rsidP="005D7ECD">
      <w:pPr>
        <w:pStyle w:val="NormalWeb"/>
        <w:ind w:left="720" w:hanging="720"/>
      </w:pPr>
      <w:r>
        <w:t xml:space="preserve">Edeoga, H. O., Okwu, D. E., &amp; Mbaebie, B. O. (2005). Phytochemical constituents of some Nigerian medicinal plants. </w:t>
      </w:r>
      <w:r>
        <w:rPr>
          <w:i/>
        </w:rPr>
        <w:t>African Journal of Biotechnology, 4</w:t>
      </w:r>
      <w:r>
        <w:t xml:space="preserve">(7), 685–688. </w:t>
      </w:r>
      <w:hyperlink r:id="rId23">
        <w:r>
          <w:rPr>
            <w:color w:val="0563C1"/>
            <w:u w:val="single"/>
          </w:rPr>
          <w:t>https://doi.org/10.5897/AJB2005.000-3127</w:t>
        </w:r>
      </w:hyperlink>
    </w:p>
    <w:p w14:paraId="32554B38" w14:textId="77777777" w:rsidR="005D7ECD" w:rsidRDefault="005D7ECD" w:rsidP="005D7ECD">
      <w:pPr>
        <w:pStyle w:val="NormalWeb"/>
        <w:ind w:left="720" w:hanging="720"/>
      </w:pPr>
      <w:r>
        <w:t xml:space="preserve">El-Demerdash, F. M., Yousef, M. I., Kedwany, F. S., &amp; Baghdadi, H. H. (2004). Cadmium-induced changes in lipid peroxidation, blood hematology, biochemical parameters and semen quality of male rats: Protective role of vitamin E and beta-carotene. </w:t>
      </w:r>
      <w:r>
        <w:rPr>
          <w:i/>
        </w:rPr>
        <w:t>Food and Chemical Toxicology, 42</w:t>
      </w:r>
      <w:r>
        <w:t xml:space="preserve">(10), 1563–1571. </w:t>
      </w:r>
      <w:hyperlink r:id="rId24">
        <w:r>
          <w:rPr>
            <w:color w:val="0563C1"/>
            <w:u w:val="single"/>
          </w:rPr>
          <w:t>https://doi.org/10.1016/j.fct.2004.05.001</w:t>
        </w:r>
      </w:hyperlink>
    </w:p>
    <w:p w14:paraId="0D3379BD" w14:textId="77777777" w:rsidR="005D7ECD" w:rsidRDefault="005D7ECD" w:rsidP="005D7ECD">
      <w:pPr>
        <w:pStyle w:val="NormalWeb"/>
        <w:ind w:left="720" w:hanging="720"/>
      </w:pPr>
      <w:r>
        <w:t xml:space="preserve">Elhelaly, A. E., AlBasher, G., Alfarraj, S., Almeer, R., Bahbah, E. I., Fouda, M. M. A., Bungău, S. G., Aleya, L., &amp; Abdel-Daim, M. M. (2019). Protective effects of hesperidin and diosmin against acrylamide-induced liver, kidney, and brain oxidative damage in rats. </w:t>
      </w:r>
      <w:r>
        <w:rPr>
          <w:i/>
        </w:rPr>
        <w:t>Environmental Science and Pollution Research, 26</w:t>
      </w:r>
      <w:r>
        <w:t xml:space="preserve">(34), 35151–35162. </w:t>
      </w:r>
      <w:hyperlink r:id="rId25">
        <w:r>
          <w:rPr>
            <w:color w:val="0563C1"/>
            <w:u w:val="single"/>
          </w:rPr>
          <w:t>https://doi.org/10.1007/s11356-019-06660-3</w:t>
        </w:r>
      </w:hyperlink>
    </w:p>
    <w:p w14:paraId="0AD20BB3" w14:textId="77777777" w:rsidR="003741E0" w:rsidRDefault="00000000">
      <w:pPr>
        <w:pStyle w:val="Body"/>
        <w:spacing w:after="0"/>
        <w:ind w:left="720" w:hanging="720"/>
        <w:jc w:val="left"/>
        <w:rPr>
          <w:rFonts w:ascii="Arial" w:hAnsi="Arial" w:cs="Arial"/>
        </w:rPr>
      </w:pPr>
      <w:r>
        <w:t xml:space="preserve">Enyike, J. O., &amp; Obi-Abang, M. (2025). Analysis of S3-aminopropyl thiosulforic acid from </w:t>
      </w:r>
      <w:r>
        <w:rPr>
          <w:i/>
        </w:rPr>
        <w:t>Pterocarpus santalinoides</w:t>
      </w:r>
      <w:r>
        <w:t xml:space="preserve"> in modulating antioxidant enzymes under cadmium-induced oxidative stress: A computational and experimental approach. </w:t>
      </w:r>
      <w:r>
        <w:rPr>
          <w:i/>
        </w:rPr>
        <w:t>Asian Journal of Biochemistry, Genetics and Molecular Biology, 17</w:t>
      </w:r>
      <w:r>
        <w:t xml:space="preserve">(12), 45–57. </w:t>
      </w:r>
      <w:hyperlink r:id="rId26">
        <w:r w:rsidR="003741E0">
          <w:rPr>
            <w:color w:val="0563C1"/>
            <w:u w:val="single"/>
          </w:rPr>
          <w:t>https://doi.org/10.9734/ajbgmb/2025/v17i12510</w:t>
        </w:r>
      </w:hyperlink>
    </w:p>
    <w:p w14:paraId="371782CE" w14:textId="77777777" w:rsidR="005D7ECD" w:rsidRDefault="005D7ECD" w:rsidP="005D7ECD">
      <w:pPr>
        <w:pStyle w:val="NormalWeb"/>
        <w:ind w:left="720" w:hanging="720"/>
      </w:pPr>
      <w:r>
        <w:t xml:space="preserve">Baskaran, R., Priya, L. B., Kumar, V. S., &amp; Padma, V. V. (2018). </w:t>
      </w:r>
      <w:r>
        <w:rPr>
          <w:i/>
        </w:rPr>
        <w:t>Tinospora cordifolia</w:t>
      </w:r>
      <w:r>
        <w:t xml:space="preserve"> extract prevents cadmium-induced oxidative stress and hepatotoxicity in experimental rats. </w:t>
      </w:r>
      <w:r>
        <w:rPr>
          <w:i/>
        </w:rPr>
        <w:t>Journal of Ayurveda and Integrative Medicine, 9</w:t>
      </w:r>
      <w:r>
        <w:t xml:space="preserve">(4), 252–257. </w:t>
      </w:r>
      <w:hyperlink r:id="rId27">
        <w:r>
          <w:rPr>
            <w:color w:val="0563C1"/>
            <w:u w:val="single"/>
          </w:rPr>
          <w:t>https://doi.org/10.1016/j.jaim.2017.07.005</w:t>
        </w:r>
      </w:hyperlink>
    </w:p>
    <w:p w14:paraId="1C01FC32" w14:textId="77777777" w:rsidR="005D7ECD" w:rsidRDefault="005D7ECD" w:rsidP="005D7ECD">
      <w:pPr>
        <w:pStyle w:val="NormalWeb"/>
        <w:ind w:left="720" w:hanging="720"/>
      </w:pPr>
      <w:r>
        <w:t xml:space="preserve">Genchi, G., Sinicropi, M. S., Lauria, G., Carocci, A., &amp; Catalano, A. (2020). The effects of cadmium toxicity. </w:t>
      </w:r>
      <w:r>
        <w:rPr>
          <w:i/>
        </w:rPr>
        <w:t>International Journal of Environmental Research and Public Health, 17</w:t>
      </w:r>
      <w:r>
        <w:t xml:space="preserve">(11), 3782. </w:t>
      </w:r>
      <w:hyperlink r:id="rId28">
        <w:r>
          <w:rPr>
            <w:color w:val="0563C1"/>
            <w:u w:val="single"/>
          </w:rPr>
          <w:t>https://doi.org/10.3390/ijerph17113782</w:t>
        </w:r>
      </w:hyperlink>
    </w:p>
    <w:p w14:paraId="1334B819" w14:textId="77777777" w:rsidR="005D7ECD" w:rsidRDefault="005D7ECD" w:rsidP="005D7ECD">
      <w:pPr>
        <w:pStyle w:val="NormalWeb"/>
        <w:ind w:left="720" w:hanging="720"/>
      </w:pPr>
      <w:r>
        <w:t xml:space="preserve">Ipsen, D. H., Lykkesfeldt, J., &amp; Tveden-Nyborg, P. (2018). Molecular mechanisms of hepatic lipid accumulation in non-alcoholic fatty liver disease. </w:t>
      </w:r>
      <w:r>
        <w:rPr>
          <w:i/>
        </w:rPr>
        <w:t>Cellular and Molecular Life Sciences, 75</w:t>
      </w:r>
      <w:r>
        <w:t xml:space="preserve">(18), 3313–3327. </w:t>
      </w:r>
      <w:hyperlink r:id="rId29">
        <w:r>
          <w:rPr>
            <w:color w:val="0563C1"/>
            <w:u w:val="single"/>
          </w:rPr>
          <w:t>https://doi.org/10.1007/s00018-018-2860-6</w:t>
        </w:r>
      </w:hyperlink>
    </w:p>
    <w:p w14:paraId="688757D1" w14:textId="77777777" w:rsidR="005D7ECD" w:rsidRDefault="005D7ECD" w:rsidP="005D7ECD">
      <w:pPr>
        <w:pStyle w:val="NormalWeb"/>
        <w:ind w:left="720" w:hanging="720"/>
      </w:pPr>
      <w:r>
        <w:lastRenderedPageBreak/>
        <w:t xml:space="preserve">Järup, L., Berglund, M., Elinder, C. G., Nordberg, G., &amp; Vahter, M. (1998). Health effects of cadmium exposure—A review of the literature and a risk estimate. </w:t>
      </w:r>
      <w:r>
        <w:rPr>
          <w:i/>
        </w:rPr>
        <w:t>Scandinavian Journal of Work, Environment &amp; Health, 24</w:t>
      </w:r>
      <w:r>
        <w:t xml:space="preserve">(Suppl. 1), 1–51. </w:t>
      </w:r>
      <w:hyperlink r:id="rId30">
        <w:r>
          <w:rPr>
            <w:color w:val="0563C1"/>
            <w:u w:val="single"/>
          </w:rPr>
          <w:t>https://www.sjweh.fi/article/281</w:t>
        </w:r>
      </w:hyperlink>
    </w:p>
    <w:p w14:paraId="2B40EABB" w14:textId="77777777" w:rsidR="005D7ECD" w:rsidRDefault="005D7ECD" w:rsidP="005D7ECD">
      <w:pPr>
        <w:pStyle w:val="NormalWeb"/>
        <w:ind w:left="720" w:hanging="720"/>
      </w:pPr>
      <w:r>
        <w:t xml:space="preserve">Kalantzi, I., Pergantis, S. A., Black, K. D., Shimmield, T. M., Papageorgiou, N., Tsapakis, M., &amp; Karakassis, I. (2016). Metals in tissues of seabass and seabream reared in sites with oxic and anoxic substrata and risk assessment for consumers. </w:t>
      </w:r>
      <w:r>
        <w:rPr>
          <w:i/>
        </w:rPr>
        <w:t>Food Chemistry, 194</w:t>
      </w:r>
      <w:r>
        <w:t xml:space="preserve">, 659–670. </w:t>
      </w:r>
      <w:hyperlink r:id="rId31">
        <w:r>
          <w:rPr>
            <w:color w:val="0563C1"/>
            <w:u w:val="single"/>
          </w:rPr>
          <w:t>https://doi.org/10.1016/j.foodchem.2015.08.072</w:t>
        </w:r>
      </w:hyperlink>
    </w:p>
    <w:p w14:paraId="7479E0CC" w14:textId="77777777" w:rsidR="005D7ECD" w:rsidRDefault="005D7ECD" w:rsidP="005D7ECD">
      <w:pPr>
        <w:pStyle w:val="NormalWeb"/>
        <w:ind w:left="720" w:hanging="720"/>
      </w:pPr>
      <w:r>
        <w:t xml:space="preserve">Kathak, R. R., Sumon, A. H., Molla, N. H., Hasan, M., Miah, R., Tuba, H. R., Habib, A., &amp; Ali, N. (2022). The association between elevated lipid profile and liver enzymes: A study on Bangladeshi adults. </w:t>
      </w:r>
      <w:r>
        <w:rPr>
          <w:i/>
        </w:rPr>
        <w:t>Scientific Reports, 12</w:t>
      </w:r>
      <w:r>
        <w:t xml:space="preserve">, Article 1711. </w:t>
      </w:r>
      <w:hyperlink r:id="rId32">
        <w:r>
          <w:rPr>
            <w:color w:val="0563C1"/>
            <w:u w:val="single"/>
          </w:rPr>
          <w:t>https://doi.org/10.1038/s41598-022-05766-y</w:t>
        </w:r>
      </w:hyperlink>
    </w:p>
    <w:p w14:paraId="02B1DC49" w14:textId="77777777" w:rsidR="005D7ECD" w:rsidRDefault="005D7ECD" w:rsidP="005D7ECD">
      <w:pPr>
        <w:pStyle w:val="NormalWeb"/>
        <w:ind w:left="720" w:hanging="720"/>
      </w:pPr>
      <w:r>
        <w:t xml:space="preserve">Lamas, G. A., Ujueta, F., &amp; Navas-Acien, A. (2021). Lead and cadmium as cardiovascular risk factors: The burden of proof has been met. </w:t>
      </w:r>
      <w:r>
        <w:rPr>
          <w:i/>
        </w:rPr>
        <w:t>Journal of the American Heart Association, 10</w:t>
      </w:r>
      <w:r>
        <w:t xml:space="preserve">(10), e018692. </w:t>
      </w:r>
      <w:hyperlink r:id="rId33">
        <w:r>
          <w:rPr>
            <w:color w:val="0563C1"/>
            <w:u w:val="single"/>
          </w:rPr>
          <w:t>https://doi.org/10.1161/JAHA.120.018692</w:t>
        </w:r>
      </w:hyperlink>
    </w:p>
    <w:p w14:paraId="7C5C9ED4" w14:textId="77777777" w:rsidR="00441B6F" w:rsidRDefault="005D7ECD" w:rsidP="00441B6F">
      <w:pPr>
        <w:pStyle w:val="Body"/>
        <w:spacing w:after="0"/>
        <w:ind w:left="720" w:hanging="720"/>
        <w:jc w:val="left"/>
        <w:rPr>
          <w:rFonts w:ascii="Arial" w:hAnsi="Arial" w:cs="Arial"/>
        </w:rPr>
      </w:pPr>
      <w:r>
        <w:t xml:space="preserve">Lamkarkach, F., Ougier, E., Garnier, R., Viau, C., Kolossa-Gehring, M., Lange, R., &amp; Apel, P. (2021). Human biomonitoring initiative (HBM4EU): Human biomonitoring guidance values (HBM-GVs) derived for cadmium and its compounds. </w:t>
      </w:r>
      <w:r>
        <w:rPr>
          <w:i/>
        </w:rPr>
        <w:t>Environment International, 147</w:t>
      </w:r>
      <w:r>
        <w:t xml:space="preserve">, 106337. </w:t>
      </w:r>
      <w:hyperlink r:id="rId34">
        <w:r>
          <w:rPr>
            <w:color w:val="0563C1"/>
            <w:u w:val="single"/>
          </w:rPr>
          <w:t>https://doi.org/10.1016/j.envint.2020.106337</w:t>
        </w:r>
      </w:hyperlink>
    </w:p>
    <w:p w14:paraId="084621B5" w14:textId="77777777" w:rsidR="003741E0" w:rsidRDefault="00000000">
      <w:pPr>
        <w:pStyle w:val="Body"/>
        <w:spacing w:after="0"/>
        <w:ind w:left="720" w:hanging="720"/>
        <w:jc w:val="left"/>
        <w:rPr>
          <w:rFonts w:ascii="Arial" w:hAnsi="Arial" w:cs="Arial"/>
        </w:rPr>
      </w:pPr>
      <w:r>
        <w:t xml:space="preserve">Laz-Okenwa, J. O. A., Batubo, N. P., Reuben, E., Opusunju, B. H., Owhorji, B. I., Somiari, A.-T. F., Obia, O., &amp; Ogbu, O. S. (2026). Effect of </w:t>
      </w:r>
      <w:r>
        <w:rPr>
          <w:i/>
        </w:rPr>
        <w:t>Azanza garckeana</w:t>
      </w:r>
      <w:r>
        <w:t xml:space="preserve"> fruit extract on lipid profile levels and oxidative stress biomarkers in cadmium chloride induced female Wistar rats. </w:t>
      </w:r>
      <w:r>
        <w:rPr>
          <w:i/>
        </w:rPr>
        <w:t>Journal of Medicine and Health Research, 11</w:t>
      </w:r>
      <w:r>
        <w:t xml:space="preserve">(1), 285–294. </w:t>
      </w:r>
      <w:hyperlink r:id="rId35">
        <w:r w:rsidR="003741E0">
          <w:rPr>
            <w:color w:val="0563C1"/>
            <w:u w:val="single"/>
          </w:rPr>
          <w:t>https://doi.org/10.56557/jomahr/2026/v11i110467</w:t>
        </w:r>
      </w:hyperlink>
    </w:p>
    <w:p w14:paraId="0587DC86" w14:textId="77777777" w:rsidR="005D7ECD" w:rsidRDefault="005D7ECD" w:rsidP="005D7ECD">
      <w:pPr>
        <w:pStyle w:val="pdq2pgselectionanchorcontainer"/>
        <w:ind w:left="720" w:hanging="720"/>
      </w:pPr>
      <w:r>
        <w:t xml:space="preserve">Ledda, C., Iavicoli, I., Bracci, M., Avola, R., Senia, P., Santarelli, L., Pomara, C., &amp; Rapisarda, V. (2018). Serum lipid, lipoprotein and apolipoprotein profiles in workers exposed to low arsenic levels: Lipid profiles and occupational arsenic exposure. </w:t>
      </w:r>
      <w:r>
        <w:rPr>
          <w:i/>
        </w:rPr>
        <w:t>Toxicology Letters, 282</w:t>
      </w:r>
      <w:r>
        <w:t xml:space="preserve">, 49–56. </w:t>
      </w:r>
      <w:hyperlink r:id="rId36">
        <w:r>
          <w:rPr>
            <w:color w:val="0563C1"/>
            <w:u w:val="single"/>
          </w:rPr>
          <w:t>https://doi.org/10.1016/j.toxlet.2017.10.014</w:t>
        </w:r>
      </w:hyperlink>
    </w:p>
    <w:p w14:paraId="4823A3E5" w14:textId="77777777" w:rsidR="005D7ECD" w:rsidRDefault="005D7ECD" w:rsidP="005D7ECD">
      <w:pPr>
        <w:pStyle w:val="NormalWeb"/>
        <w:ind w:left="720" w:hanging="720"/>
      </w:pPr>
      <w:r>
        <w:t xml:space="preserve">Leem, A. Y., Kim, H. Y., Kim, Y. S., Park, M. S., Chang, J., &amp; Jung, J. Y. (2018). Association of serum bilirubin level with lung function decline: A Korean community-based cohort study. </w:t>
      </w:r>
      <w:r>
        <w:rPr>
          <w:i/>
        </w:rPr>
        <w:t>Respiratory Research, 19</w:t>
      </w:r>
      <w:r>
        <w:t xml:space="preserve">, Article 99. </w:t>
      </w:r>
      <w:hyperlink r:id="rId37">
        <w:r>
          <w:rPr>
            <w:color w:val="0563C1"/>
            <w:u w:val="single"/>
          </w:rPr>
          <w:t>https://doi.org/10.1186/s12931-018-0814-z</w:t>
        </w:r>
      </w:hyperlink>
    </w:p>
    <w:p w14:paraId="1A537045" w14:textId="77777777" w:rsidR="005D7ECD" w:rsidRDefault="005D7ECD" w:rsidP="005D7ECD">
      <w:pPr>
        <w:pStyle w:val="NormalWeb"/>
        <w:ind w:left="720" w:hanging="720"/>
      </w:pPr>
      <w:r>
        <w:lastRenderedPageBreak/>
        <w:t xml:space="preserve">Ihmed, M. H. M. (2016). Heavy metal toxicity—Metabolism, absorption, distribution, excretion and mechanism of toxicity for each of the metals. </w:t>
      </w:r>
      <w:r>
        <w:rPr>
          <w:i/>
        </w:rPr>
        <w:t>World News of Natural Sciences, 4</w:t>
      </w:r>
      <w:r>
        <w:t xml:space="preserve">, 20–32. </w:t>
      </w:r>
      <w:hyperlink r:id="rId38">
        <w:r>
          <w:rPr>
            <w:color w:val="0563C1"/>
            <w:u w:val="single"/>
          </w:rPr>
          <w:t>https://doi.org/10.5281/zenodo.18752581</w:t>
        </w:r>
      </w:hyperlink>
    </w:p>
    <w:p w14:paraId="0E06C602" w14:textId="77777777" w:rsidR="005D7ECD" w:rsidRDefault="005D7ECD" w:rsidP="005D7ECD">
      <w:pPr>
        <w:pStyle w:val="NormalWeb"/>
        <w:ind w:left="720" w:hanging="720"/>
      </w:pPr>
      <w:r>
        <w:t xml:space="preserve">Nigra, A. E., Ruiz-Hernandez, A., Redon, J., Navas-Acien, A., &amp; Tellez-Plaza, M. (2016). Environmental metals and cardiovascular disease in adults: A systematic review beyond lead and cadmium. </w:t>
      </w:r>
      <w:r>
        <w:rPr>
          <w:i/>
        </w:rPr>
        <w:t>Current Environmental Health Reports, 3</w:t>
      </w:r>
      <w:r>
        <w:t xml:space="preserve">(4), 416–433. </w:t>
      </w:r>
      <w:hyperlink r:id="rId39">
        <w:r>
          <w:rPr>
            <w:color w:val="0563C1"/>
            <w:u w:val="single"/>
          </w:rPr>
          <w:t>https://doi.org/10.1007/s40572-016-0117-9</w:t>
        </w:r>
      </w:hyperlink>
    </w:p>
    <w:p w14:paraId="34E70462" w14:textId="77777777" w:rsidR="005D7ECD" w:rsidRDefault="005D7ECD" w:rsidP="005D7ECD">
      <w:pPr>
        <w:pStyle w:val="NormalWeb"/>
        <w:ind w:left="720" w:hanging="720"/>
      </w:pPr>
      <w:r>
        <w:t xml:space="preserve">Okpo, S. O., Ching, F. P., &amp; Ekeleme, I. C. (2011). Evaluation of the anti-diarrhoeal activity of the aqueous extract from leaves of </w:t>
      </w:r>
      <w:r>
        <w:rPr>
          <w:i/>
        </w:rPr>
        <w:t>Pterocarpus santalinoides</w:t>
      </w:r>
      <w:r>
        <w:t xml:space="preserve">. </w:t>
      </w:r>
      <w:r>
        <w:rPr>
          <w:i/>
        </w:rPr>
        <w:t>Research Journal of Pharmaceutical, Biological and Chemical Sciences, 2</w:t>
      </w:r>
      <w:r>
        <w:t xml:space="preserve">(3), 590–597. </w:t>
      </w:r>
      <w:hyperlink r:id="rId40">
        <w:r>
          <w:rPr>
            <w:color w:val="0563C1"/>
            <w:u w:val="single"/>
          </w:rPr>
          <w:t>https://www.rjpbcs.com/pdf/2011_2%283%29/71.pdf</w:t>
        </w:r>
      </w:hyperlink>
    </w:p>
    <w:p w14:paraId="1D9FEC49" w14:textId="77777777" w:rsidR="005D7ECD" w:rsidRDefault="005D7ECD" w:rsidP="005D7ECD">
      <w:pPr>
        <w:pStyle w:val="pdq2pgselectionanchorcontainer"/>
        <w:ind w:left="720" w:hanging="720"/>
      </w:pPr>
      <w:r>
        <w:t xml:space="preserve">Okwuosa, C. N., Unekwe, P. C., Achukwu, P. U., Udeani, T. K. C., &amp; Ogidi, U. H. (2011). Glucose and triglyceride lowering activity of </w:t>
      </w:r>
      <w:r>
        <w:rPr>
          <w:i/>
        </w:rPr>
        <w:t>Pterocarpus santaniloides</w:t>
      </w:r>
      <w:r>
        <w:t xml:space="preserve"> leaf extracts against dexamethasone-induced hyperlipidemia and insulin resistance in rats. </w:t>
      </w:r>
      <w:r>
        <w:rPr>
          <w:i/>
        </w:rPr>
        <w:t>African Journal of Biotechnology, 10</w:t>
      </w:r>
      <w:r>
        <w:t xml:space="preserve">(46), 9415–9420. </w:t>
      </w:r>
      <w:hyperlink r:id="rId41">
        <w:r>
          <w:rPr>
            <w:color w:val="0563C1"/>
            <w:u w:val="single"/>
          </w:rPr>
          <w:t>https://doi.org/10.5897/AJB10.451</w:t>
        </w:r>
      </w:hyperlink>
    </w:p>
    <w:p w14:paraId="1B386757" w14:textId="77777777" w:rsidR="005D7ECD" w:rsidRDefault="005D7ECD" w:rsidP="005D7ECD">
      <w:pPr>
        <w:pStyle w:val="NormalWeb"/>
        <w:ind w:left="720" w:hanging="720"/>
      </w:pPr>
      <w:r>
        <w:lastRenderedPageBreak/>
        <w:t xml:space="preserve">Olorunnisola, O. S., Bradley, G., &amp; Afolayan, A. J. (2012). Protective effect of </w:t>
      </w:r>
      <w:r>
        <w:rPr>
          <w:i/>
        </w:rPr>
        <w:t>T. violacea</w:t>
      </w:r>
      <w:r>
        <w:t xml:space="preserve"> rhizome extract against hypercholesterolemia-induced oxidative stress in Wistar rats. </w:t>
      </w:r>
      <w:r>
        <w:rPr>
          <w:i/>
        </w:rPr>
        <w:t>Molecules, 17</w:t>
      </w:r>
      <w:r>
        <w:t xml:space="preserve">(5), 6033–6045. </w:t>
      </w:r>
      <w:hyperlink r:id="rId42">
        <w:r>
          <w:rPr>
            <w:color w:val="0563C1"/>
            <w:u w:val="single"/>
          </w:rPr>
          <w:t>https://doi.org/10.3390/molecules17056033</w:t>
        </w:r>
      </w:hyperlink>
    </w:p>
    <w:p w14:paraId="5DE13EA2" w14:textId="77777777" w:rsidR="005D7ECD" w:rsidRDefault="005D7ECD" w:rsidP="005D7ECD">
      <w:pPr>
        <w:pStyle w:val="NormalWeb"/>
        <w:ind w:left="720" w:hanging="720"/>
      </w:pPr>
      <w:r>
        <w:t xml:space="preserve">Patra, R. C., Rautray, A. K., &amp; Swarup, D. (2011). Oxidative stress in lead and cadmium toxicity and its amelioration. </w:t>
      </w:r>
      <w:r>
        <w:rPr>
          <w:i/>
        </w:rPr>
        <w:t>Veterinary Medicine International, 2011</w:t>
      </w:r>
      <w:r>
        <w:t xml:space="preserve">, Article 457327. </w:t>
      </w:r>
      <w:hyperlink r:id="rId43">
        <w:r>
          <w:rPr>
            <w:color w:val="0563C1"/>
            <w:u w:val="single"/>
          </w:rPr>
          <w:t>https://doi.org/10.4061/2011/457327</w:t>
        </w:r>
      </w:hyperlink>
    </w:p>
    <w:p w14:paraId="252CB860" w14:textId="77777777" w:rsidR="005D7ECD" w:rsidRDefault="005D7ECD" w:rsidP="005D7ECD">
      <w:pPr>
        <w:pStyle w:val="NormalWeb"/>
        <w:ind w:left="720" w:hanging="720"/>
      </w:pPr>
      <w:r>
        <w:t xml:space="preserve">Ranasinghe, P., Wathurapatha, W. S., Ishara, M. H., Jayawardana, R., Galappatthy, P., Katulanda, P., &amp; Constantine, G. R. (2015). Effects of zinc supplementation on serum lipids: A systematic review and meta-analysis. </w:t>
      </w:r>
      <w:r>
        <w:rPr>
          <w:i/>
        </w:rPr>
        <w:t>Nutrition &amp; Metabolism, 12</w:t>
      </w:r>
      <w:r>
        <w:t xml:space="preserve">, Article 26. </w:t>
      </w:r>
      <w:hyperlink r:id="rId44">
        <w:r>
          <w:rPr>
            <w:color w:val="0563C1"/>
            <w:u w:val="single"/>
          </w:rPr>
          <w:t>https://doi.org/10.1186/s12986-015-0023-4</w:t>
        </w:r>
      </w:hyperlink>
    </w:p>
    <w:p w14:paraId="3FAA0774" w14:textId="77777777" w:rsidR="005D7ECD" w:rsidRDefault="005D7ECD" w:rsidP="005D7ECD">
      <w:pPr>
        <w:pStyle w:val="NormalWeb"/>
        <w:ind w:left="720" w:hanging="720"/>
      </w:pPr>
      <w:r>
        <w:t xml:space="preserve">Samarghandian, S., Azimi-Nezhad, M., Shabestari, M. M., Azad, F. J., Farkhondeh, T., &amp; Bafandeh, F. (2015). Effect of chronic exposure to cadmium on serum lipid, lipoprotein and oxidative stress indices in male rats. </w:t>
      </w:r>
      <w:r>
        <w:rPr>
          <w:i/>
        </w:rPr>
        <w:t>Interdisciplinary Toxicology, 8</w:t>
      </w:r>
      <w:r>
        <w:t xml:space="preserve">(3), 151–154. </w:t>
      </w:r>
      <w:hyperlink r:id="rId45">
        <w:r>
          <w:rPr>
            <w:color w:val="0563C1"/>
            <w:u w:val="single"/>
          </w:rPr>
          <w:t>https://doi.org/10.1515/intox-2015-0023</w:t>
        </w:r>
      </w:hyperlink>
    </w:p>
    <w:p w14:paraId="78ECB90A" w14:textId="77777777" w:rsidR="005D7ECD" w:rsidRDefault="005D7ECD" w:rsidP="005D7ECD">
      <w:pPr>
        <w:pStyle w:val="NormalWeb"/>
        <w:ind w:left="720" w:hanging="720"/>
      </w:pPr>
      <w:r>
        <w:t xml:space="preserve">Satarug, S. (2019). Cadmium sources and toxicity. </w:t>
      </w:r>
      <w:r>
        <w:rPr>
          <w:i/>
        </w:rPr>
        <w:t>Toxics, 7</w:t>
      </w:r>
      <w:r>
        <w:t xml:space="preserve">(2), 25. </w:t>
      </w:r>
      <w:hyperlink r:id="rId46">
        <w:r>
          <w:rPr>
            <w:color w:val="0563C1"/>
            <w:u w:val="single"/>
          </w:rPr>
          <w:t>https://doi.org/10.3390/toxics7020025</w:t>
        </w:r>
      </w:hyperlink>
    </w:p>
    <w:p w14:paraId="2C83B4E9" w14:textId="77777777" w:rsidR="003741E0" w:rsidRDefault="00000000">
      <w:pPr>
        <w:pStyle w:val="Body"/>
        <w:spacing w:after="0"/>
        <w:ind w:left="720" w:hanging="720"/>
        <w:jc w:val="left"/>
        <w:rPr>
          <w:rFonts w:ascii="Arial" w:hAnsi="Arial" w:cs="Arial"/>
        </w:rPr>
      </w:pPr>
      <w:r>
        <w:t xml:space="preserve">Shi, Y., Wang, K., Ling, H., Mao, J., Xu, B., Liu, Z., &amp; Wang, J. (2024). Quercetin attenuates cadmium-induced hepatotoxicity by suppressing oxidative stress and apoptosis in rat. </w:t>
      </w:r>
      <w:r>
        <w:rPr>
          <w:i/>
        </w:rPr>
        <w:t>Journal of Trace Elements in Medicine and Biology, 86</w:t>
      </w:r>
      <w:r>
        <w:t xml:space="preserve">, 127554. </w:t>
      </w:r>
      <w:hyperlink r:id="rId47">
        <w:r w:rsidR="003741E0">
          <w:rPr>
            <w:color w:val="0563C1"/>
            <w:u w:val="single"/>
          </w:rPr>
          <w:t>https://doi.org/10.1016/j.jtemb.2024.127554</w:t>
        </w:r>
      </w:hyperlink>
    </w:p>
    <w:p w14:paraId="53C02749" w14:textId="77777777" w:rsidR="005D7ECD" w:rsidRDefault="005D7ECD" w:rsidP="005D7ECD">
      <w:pPr>
        <w:pStyle w:val="NormalWeb"/>
        <w:ind w:left="720" w:hanging="720"/>
      </w:pPr>
      <w:r>
        <w:t xml:space="preserve">Sofowora, A. (2008). </w:t>
      </w:r>
      <w:r>
        <w:rPr>
          <w:i/>
        </w:rPr>
        <w:t>Medicinal plants and traditional medicine in Africa</w:t>
      </w:r>
      <w:r>
        <w:t xml:space="preserve"> (3rd ed.). Spectrum Books Limited. </w:t>
      </w:r>
      <w:hyperlink r:id="rId48">
        <w:r>
          <w:rPr>
            <w:color w:val="0563C1"/>
            <w:u w:val="single"/>
          </w:rPr>
          <w:t>https://opac.kwasu.edu.ng/cgi-bin/koha/opac-detail.pl?biblionumber=7153</w:t>
        </w:r>
      </w:hyperlink>
    </w:p>
    <w:p w14:paraId="0DAFF0CB" w14:textId="77777777" w:rsidR="005D7ECD" w:rsidRDefault="005D7ECD" w:rsidP="005D7ECD">
      <w:pPr>
        <w:pStyle w:val="NormalWeb"/>
        <w:ind w:left="720" w:hanging="720"/>
      </w:pPr>
      <w:r>
        <w:t xml:space="preserve">Tchounwou, P. B., Yedjou, C. G., Patlolla, A. K., &amp; Sutton, D. J. (2012). Heavy metal toxicity and the environment. </w:t>
      </w:r>
      <w:r>
        <w:rPr>
          <w:i/>
        </w:rPr>
        <w:t>EXS, 101</w:t>
      </w:r>
      <w:r>
        <w:t xml:space="preserve">, 133–164. </w:t>
      </w:r>
      <w:hyperlink r:id="rId49">
        <w:r>
          <w:rPr>
            <w:color w:val="0563C1"/>
            <w:u w:val="single"/>
          </w:rPr>
          <w:t>https://doi.org/10.1007/978-3-7643-8340-4_6</w:t>
        </w:r>
      </w:hyperlink>
    </w:p>
    <w:p w14:paraId="31B543FC" w14:textId="77777777" w:rsidR="005D7ECD" w:rsidRDefault="005D7ECD" w:rsidP="005D7ECD">
      <w:pPr>
        <w:pStyle w:val="NormalWeb"/>
        <w:ind w:left="720" w:hanging="720"/>
      </w:pPr>
      <w:r>
        <w:t xml:space="preserve">Thévenod, F. (2009). Cadmium and cellular signaling cascades: To be or not to be? </w:t>
      </w:r>
      <w:r>
        <w:rPr>
          <w:i/>
        </w:rPr>
        <w:t>Toxicology and Applied Pharmacology, 238</w:t>
      </w:r>
      <w:r>
        <w:t xml:space="preserve">(3), 221–239. </w:t>
      </w:r>
      <w:hyperlink r:id="rId50">
        <w:r>
          <w:rPr>
            <w:color w:val="0563C1"/>
            <w:u w:val="single"/>
          </w:rPr>
          <w:t>https://doi.org/10.1016/j.taap.2009.01.013</w:t>
        </w:r>
      </w:hyperlink>
    </w:p>
    <w:p w14:paraId="11FDE2C8" w14:textId="77777777" w:rsidR="005D7ECD" w:rsidRDefault="005D7ECD" w:rsidP="005D7ECD">
      <w:pPr>
        <w:pStyle w:val="NormalWeb"/>
        <w:ind w:left="720" w:hanging="720"/>
      </w:pPr>
      <w:r>
        <w:t xml:space="preserve">Uchendu, I. K., &amp; Okoroiwu, H. U. (2021). Evaluation of blood oxidant/antioxidant changes and testicular toxicity after subacute exposure to cadmium in albino rats: Therapeutic effect of </w:t>
      </w:r>
      <w:r>
        <w:rPr>
          <w:i/>
        </w:rPr>
        <w:t>Nigella sativa</w:t>
      </w:r>
      <w:r>
        <w:t xml:space="preserve"> seed </w:t>
      </w:r>
      <w:r>
        <w:lastRenderedPageBreak/>
        <w:t xml:space="preserve">extracts. </w:t>
      </w:r>
      <w:r>
        <w:rPr>
          <w:i/>
        </w:rPr>
        <w:t>Combinatorial Chemistry &amp; High Throughput Screening, 24</w:t>
      </w:r>
      <w:r>
        <w:t xml:space="preserve">(1), 79–87. </w:t>
      </w:r>
      <w:hyperlink r:id="rId51">
        <w:r>
          <w:rPr>
            <w:color w:val="0563C1"/>
            <w:u w:val="single"/>
          </w:rPr>
          <w:t>https://doi.org/10.2174/1386207323666200526134923</w:t>
        </w:r>
      </w:hyperlink>
    </w:p>
    <w:p w14:paraId="53F1CA07" w14:textId="77777777" w:rsidR="005D7ECD" w:rsidRDefault="005D7ECD" w:rsidP="005D7ECD">
      <w:pPr>
        <w:pStyle w:val="NormalWeb"/>
        <w:ind w:left="720" w:hanging="720"/>
      </w:pPr>
      <w:r>
        <w:t xml:space="preserve">Valko, M., Morris, H., &amp; Cronin, M. T. D. (2005). Metals, toxicity and oxidative stress. </w:t>
      </w:r>
      <w:r>
        <w:rPr>
          <w:i/>
        </w:rPr>
        <w:t>Current Medicinal Chemistry, 12</w:t>
      </w:r>
      <w:r>
        <w:t xml:space="preserve">(10), 1161–1208. </w:t>
      </w:r>
      <w:hyperlink r:id="rId52">
        <w:r>
          <w:rPr>
            <w:color w:val="0563C1"/>
            <w:u w:val="single"/>
          </w:rPr>
          <w:t>https://doi.org/10.2174/0929867053764635</w:t>
        </w:r>
      </w:hyperlink>
    </w:p>
    <w:p w14:paraId="7DE0514C" w14:textId="77777777" w:rsidR="003741E0" w:rsidRDefault="00000000">
      <w:pPr>
        <w:pStyle w:val="Body"/>
        <w:spacing w:after="0"/>
        <w:ind w:left="720" w:hanging="720"/>
        <w:jc w:val="left"/>
        <w:rPr>
          <w:rFonts w:ascii="Arial" w:hAnsi="Arial" w:cs="Arial"/>
        </w:rPr>
      </w:pPr>
      <w:r>
        <w:t xml:space="preserve">Xie, D., Yan, J., Zhang, H., Zhang, H., Nie, G., Zhu, X., &amp; Li, X. (2024). Cadmium exacerbates liver injury by remodeling ceramide metabolism: Multiomics and laboratory evidence. </w:t>
      </w:r>
      <w:r>
        <w:rPr>
          <w:i/>
        </w:rPr>
        <w:t>Science of the Total Environment, 923</w:t>
      </w:r>
      <w:r>
        <w:t xml:space="preserve">, 171405. </w:t>
      </w:r>
      <w:hyperlink r:id="rId53">
        <w:r w:rsidR="003741E0">
          <w:rPr>
            <w:color w:val="0563C1"/>
            <w:u w:val="single"/>
          </w:rPr>
          <w:t>https://doi.org/10.1016/j.scitotenv.2024.171405</w:t>
        </w:r>
      </w:hyperlink>
    </w:p>
    <w:p w14:paraId="219BB9E3" w14:textId="77777777" w:rsidR="005D7ECD" w:rsidRDefault="005D7ECD" w:rsidP="005D7ECD">
      <w:pPr>
        <w:pStyle w:val="NormalWeb"/>
        <w:ind w:left="720" w:hanging="720"/>
      </w:pPr>
      <w:r>
        <w:t xml:space="preserve">Xu, Z., Weng, Z., Liang, J., Liu, Q., Zhang, X., Xu, J., Xu, C., &amp; Gu, A. (2022). Association between urinary cadmium concentrations and liver function in adolescents. </w:t>
      </w:r>
      <w:r>
        <w:rPr>
          <w:i/>
        </w:rPr>
        <w:t>Environmental Science and Pollution Research, 29</w:t>
      </w:r>
      <w:r>
        <w:t xml:space="preserve">(26), 39768–39776. </w:t>
      </w:r>
      <w:hyperlink r:id="rId54">
        <w:r>
          <w:rPr>
            <w:color w:val="0563C1"/>
            <w:u w:val="single"/>
          </w:rPr>
          <w:t>https://doi.org/10.1007/s11356-022-18950-4</w:t>
        </w:r>
      </w:hyperlink>
    </w:p>
    <w:sectPr w:rsidR="005D7ECD" w:rsidSect="00EA4C8E">
      <w:headerReference w:type="even" r:id="rId55"/>
      <w:headerReference w:type="default" r:id="rId56"/>
      <w:footerReference w:type="default" r:id="rId57"/>
      <w:headerReference w:type="first" r:id="rId58"/>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4D2C3" w14:textId="77777777" w:rsidR="00464963" w:rsidRDefault="00464963" w:rsidP="00C37E61">
      <w:r>
        <w:separator/>
      </w:r>
    </w:p>
  </w:endnote>
  <w:endnote w:type="continuationSeparator" w:id="0">
    <w:p w14:paraId="0A5486DB" w14:textId="77777777" w:rsidR="00464963" w:rsidRDefault="00464963"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119A5" w14:textId="77777777" w:rsidR="00C2677C" w:rsidRDefault="00C267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0E4E5" w14:textId="77777777" w:rsidR="00C2677C" w:rsidRDefault="00C267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E5E8" w14:textId="77777777" w:rsidR="00754C9A" w:rsidRPr="00C2677C" w:rsidRDefault="00754C9A" w:rsidP="00C267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E5EB5"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6840E" w14:textId="77777777" w:rsidR="00464963" w:rsidRDefault="00464963" w:rsidP="00C37E61">
      <w:r>
        <w:separator/>
      </w:r>
    </w:p>
  </w:footnote>
  <w:footnote w:type="continuationSeparator" w:id="0">
    <w:p w14:paraId="788B990C" w14:textId="77777777" w:rsidR="00464963" w:rsidRDefault="00464963"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332C8" w14:textId="77777777" w:rsidR="00C2677C" w:rsidRDefault="00000000">
    <w:pPr>
      <w:pStyle w:val="Header"/>
    </w:pPr>
    <w:r>
      <w:rPr>
        <w:noProof/>
      </w:rPr>
      <w:pict w14:anchorId="64A25A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9094313"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FBC1D" w14:textId="77777777" w:rsidR="00C2677C" w:rsidRDefault="00000000">
    <w:pPr>
      <w:pStyle w:val="Header"/>
    </w:pPr>
    <w:r>
      <w:rPr>
        <w:noProof/>
      </w:rPr>
      <w:pict w14:anchorId="6DD637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9094314"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B483A" w14:textId="77777777" w:rsidR="00296529" w:rsidRPr="00296529" w:rsidRDefault="00000000" w:rsidP="00296529">
    <w:pPr>
      <w:ind w:left="2160"/>
      <w:jc w:val="center"/>
      <w:rPr>
        <w:rFonts w:ascii="Times New Roman" w:eastAsia="Calibri" w:hAnsi="Times New Roman"/>
        <w:i/>
        <w:sz w:val="18"/>
        <w:szCs w:val="22"/>
      </w:rPr>
    </w:pPr>
    <w:r>
      <w:rPr>
        <w:noProof/>
      </w:rPr>
      <w:pict w14:anchorId="231270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9094312"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624EA0B3"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7D77E5BD"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BB58761"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7E17A106"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6B896F12"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1276E42D"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89B72" w14:textId="77777777" w:rsidR="00C2677C" w:rsidRDefault="00000000">
    <w:pPr>
      <w:pStyle w:val="Header"/>
    </w:pPr>
    <w:r>
      <w:rPr>
        <w:noProof/>
      </w:rPr>
      <w:pict w14:anchorId="71B6C0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9094316"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3307BD0D">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755A7" w14:textId="77777777" w:rsidR="00C2677C" w:rsidRDefault="00000000">
    <w:pPr>
      <w:pStyle w:val="Header"/>
    </w:pPr>
    <w:r>
      <w:rPr>
        <w:noProof/>
      </w:rPr>
      <w:pict w14:anchorId="43F000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9094317"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739E0313">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D32E9" w14:textId="77777777" w:rsidR="00C2677C" w:rsidRPr="00296529" w:rsidRDefault="00000000" w:rsidP="00296529">
    <w:pPr>
      <w:ind w:left="2160"/>
      <w:jc w:val="center"/>
      <w:rPr>
        <w:rFonts w:ascii="Times New Roman" w:eastAsia="Calibri" w:hAnsi="Times New Roman"/>
        <w:i/>
        <w:sz w:val="18"/>
        <w:szCs w:val="22"/>
      </w:rPr>
    </w:pPr>
    <w:r>
      <w:rPr>
        <w:noProof/>
      </w:rPr>
      <w:pict w14:anchorId="07E27C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9094315"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4F6CBA07">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7DC6F2AD" w14:textId="77777777" w:rsidR="00C2677C" w:rsidRPr="00296529" w:rsidRDefault="00C2677C"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5458D57A" w14:textId="77777777" w:rsidR="00C2677C" w:rsidRPr="00296529" w:rsidRDefault="00C2677C" w:rsidP="00296529">
    <w:pPr>
      <w:jc w:val="center"/>
      <w:rPr>
        <w:rFonts w:ascii="Times New Roman" w:eastAsia="Calibri" w:hAnsi="Times New Roman"/>
        <w:i/>
        <w:sz w:val="18"/>
        <w:szCs w:val="22"/>
      </w:rPr>
    </w:pPr>
    <w:r>
      <w:rPr>
        <w:rFonts w:ascii="Times New Roman" w:eastAsia="Calibri" w:hAnsi="Times New Roman"/>
        <w:i/>
        <w:sz w:val="18"/>
        <w:szCs w:val="22"/>
      </w:rPr>
      <w:t>.</w:t>
    </w:r>
  </w:p>
  <w:p w14:paraId="6F028242" w14:textId="77777777" w:rsidR="00C2677C" w:rsidRPr="00296529" w:rsidRDefault="00C2677C"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E4C0F1E" w14:textId="77777777" w:rsidR="00C2677C" w:rsidRDefault="00C2677C"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56ECD687" w14:textId="77777777" w:rsidR="00C2677C" w:rsidRDefault="00C2677C"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56EED0B5" w14:textId="77777777" w:rsidR="00C2677C" w:rsidRDefault="00C2677C">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50397479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295331561">
    <w:abstractNumId w:val="15"/>
  </w:num>
  <w:num w:numId="3" w16cid:durableId="1711607412">
    <w:abstractNumId w:val="23"/>
  </w:num>
  <w:num w:numId="4" w16cid:durableId="123735977">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980256355">
    <w:abstractNumId w:val="7"/>
  </w:num>
  <w:num w:numId="6" w16cid:durableId="1802654464">
    <w:abstractNumId w:val="6"/>
  </w:num>
  <w:num w:numId="7" w16cid:durableId="1687051853">
    <w:abstractNumId w:val="1"/>
  </w:num>
  <w:num w:numId="8" w16cid:durableId="258491740">
    <w:abstractNumId w:val="12"/>
  </w:num>
  <w:num w:numId="9" w16cid:durableId="149366082">
    <w:abstractNumId w:val="25"/>
  </w:num>
  <w:num w:numId="10" w16cid:durableId="212812816">
    <w:abstractNumId w:val="2"/>
  </w:num>
  <w:num w:numId="11" w16cid:durableId="1416785345">
    <w:abstractNumId w:val="18"/>
  </w:num>
  <w:num w:numId="12" w16cid:durableId="555626917">
    <w:abstractNumId w:val="3"/>
  </w:num>
  <w:num w:numId="13" w16cid:durableId="705301312">
    <w:abstractNumId w:val="17"/>
  </w:num>
  <w:num w:numId="14" w16cid:durableId="1972906292">
    <w:abstractNumId w:val="8"/>
  </w:num>
  <w:num w:numId="15" w16cid:durableId="2041199993">
    <w:abstractNumId w:val="21"/>
  </w:num>
  <w:num w:numId="16" w16cid:durableId="51003067">
    <w:abstractNumId w:val="5"/>
  </w:num>
  <w:num w:numId="17" w16cid:durableId="1946646075">
    <w:abstractNumId w:val="22"/>
  </w:num>
  <w:num w:numId="18" w16cid:durableId="1407340237">
    <w:abstractNumId w:val="14"/>
  </w:num>
  <w:num w:numId="19" w16cid:durableId="2028022109">
    <w:abstractNumId w:val="28"/>
  </w:num>
  <w:num w:numId="20" w16cid:durableId="702369576">
    <w:abstractNumId w:val="11"/>
  </w:num>
  <w:num w:numId="21" w16cid:durableId="514657678">
    <w:abstractNumId w:val="9"/>
  </w:num>
  <w:num w:numId="22" w16cid:durableId="519399138">
    <w:abstractNumId w:val="13"/>
  </w:num>
  <w:num w:numId="23" w16cid:durableId="1768883929">
    <w:abstractNumId w:val="19"/>
  </w:num>
  <w:num w:numId="24" w16cid:durableId="2073379817">
    <w:abstractNumId w:val="26"/>
  </w:num>
  <w:num w:numId="25" w16cid:durableId="2136410277">
    <w:abstractNumId w:val="4"/>
  </w:num>
  <w:num w:numId="26" w16cid:durableId="1894147969">
    <w:abstractNumId w:val="16"/>
  </w:num>
  <w:num w:numId="27" w16cid:durableId="1250307598">
    <w:abstractNumId w:val="20"/>
  </w:num>
  <w:num w:numId="28" w16cid:durableId="1641030409">
    <w:abstractNumId w:val="27"/>
  </w:num>
  <w:num w:numId="29" w16cid:durableId="871461258">
    <w:abstractNumId w:val="24"/>
  </w:num>
  <w:num w:numId="30" w16cid:durableId="4693727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30174"/>
    <w:rsid w:val="0004579C"/>
    <w:rsid w:val="000A47FA"/>
    <w:rsid w:val="000A65D3"/>
    <w:rsid w:val="000B1E33"/>
    <w:rsid w:val="000D689F"/>
    <w:rsid w:val="000E7B7B"/>
    <w:rsid w:val="000E7D62"/>
    <w:rsid w:val="00103357"/>
    <w:rsid w:val="00123C9F"/>
    <w:rsid w:val="00126190"/>
    <w:rsid w:val="00130F17"/>
    <w:rsid w:val="001320BF"/>
    <w:rsid w:val="00163BC4"/>
    <w:rsid w:val="00191062"/>
    <w:rsid w:val="00191FC8"/>
    <w:rsid w:val="00192B72"/>
    <w:rsid w:val="001A29D8"/>
    <w:rsid w:val="001A5CAA"/>
    <w:rsid w:val="001B0427"/>
    <w:rsid w:val="001D3A51"/>
    <w:rsid w:val="001E10D2"/>
    <w:rsid w:val="001E25B4"/>
    <w:rsid w:val="001E44FE"/>
    <w:rsid w:val="00200595"/>
    <w:rsid w:val="00204835"/>
    <w:rsid w:val="00231920"/>
    <w:rsid w:val="0023195C"/>
    <w:rsid w:val="00241831"/>
    <w:rsid w:val="0024282C"/>
    <w:rsid w:val="002460DC"/>
    <w:rsid w:val="00250985"/>
    <w:rsid w:val="002556F6"/>
    <w:rsid w:val="002770DC"/>
    <w:rsid w:val="00283105"/>
    <w:rsid w:val="00284C4C"/>
    <w:rsid w:val="00287E68"/>
    <w:rsid w:val="00296529"/>
    <w:rsid w:val="002B27FB"/>
    <w:rsid w:val="002B685A"/>
    <w:rsid w:val="002C57D2"/>
    <w:rsid w:val="002E0D56"/>
    <w:rsid w:val="00315186"/>
    <w:rsid w:val="0033343E"/>
    <w:rsid w:val="00335E4D"/>
    <w:rsid w:val="003512C2"/>
    <w:rsid w:val="00371FB6"/>
    <w:rsid w:val="003741E0"/>
    <w:rsid w:val="003763C1"/>
    <w:rsid w:val="00376BBE"/>
    <w:rsid w:val="0039224F"/>
    <w:rsid w:val="003A0D5E"/>
    <w:rsid w:val="003A43A4"/>
    <w:rsid w:val="003A7E18"/>
    <w:rsid w:val="003C4C86"/>
    <w:rsid w:val="003C6258"/>
    <w:rsid w:val="003E2904"/>
    <w:rsid w:val="00401927"/>
    <w:rsid w:val="0041027F"/>
    <w:rsid w:val="00412475"/>
    <w:rsid w:val="00423789"/>
    <w:rsid w:val="00432586"/>
    <w:rsid w:val="00440F43"/>
    <w:rsid w:val="00441B6F"/>
    <w:rsid w:val="00446221"/>
    <w:rsid w:val="00450E62"/>
    <w:rsid w:val="004539DB"/>
    <w:rsid w:val="00464963"/>
    <w:rsid w:val="00471A80"/>
    <w:rsid w:val="004D305E"/>
    <w:rsid w:val="004D4277"/>
    <w:rsid w:val="004F3DAF"/>
    <w:rsid w:val="00502516"/>
    <w:rsid w:val="0050343D"/>
    <w:rsid w:val="00505F06"/>
    <w:rsid w:val="00506828"/>
    <w:rsid w:val="0053056E"/>
    <w:rsid w:val="0055123A"/>
    <w:rsid w:val="00554FDA"/>
    <w:rsid w:val="00582051"/>
    <w:rsid w:val="005A5B4D"/>
    <w:rsid w:val="005C784C"/>
    <w:rsid w:val="005D17F6"/>
    <w:rsid w:val="005D7ECD"/>
    <w:rsid w:val="005E5539"/>
    <w:rsid w:val="005F50B1"/>
    <w:rsid w:val="00602BF5"/>
    <w:rsid w:val="006044A6"/>
    <w:rsid w:val="00617FDD"/>
    <w:rsid w:val="00633614"/>
    <w:rsid w:val="00633F68"/>
    <w:rsid w:val="00636EB2"/>
    <w:rsid w:val="006375B8"/>
    <w:rsid w:val="0066510A"/>
    <w:rsid w:val="00670BD4"/>
    <w:rsid w:val="00673F9F"/>
    <w:rsid w:val="00686953"/>
    <w:rsid w:val="00687DEA"/>
    <w:rsid w:val="00687E67"/>
    <w:rsid w:val="006967F7"/>
    <w:rsid w:val="006A250C"/>
    <w:rsid w:val="006B21D3"/>
    <w:rsid w:val="006B57D0"/>
    <w:rsid w:val="006D30FF"/>
    <w:rsid w:val="006D6940"/>
    <w:rsid w:val="006F11EC"/>
    <w:rsid w:val="0070082C"/>
    <w:rsid w:val="007369E6"/>
    <w:rsid w:val="00746E59"/>
    <w:rsid w:val="007473C9"/>
    <w:rsid w:val="00754C9A"/>
    <w:rsid w:val="0075599A"/>
    <w:rsid w:val="00761D52"/>
    <w:rsid w:val="0077749E"/>
    <w:rsid w:val="00790ADA"/>
    <w:rsid w:val="007D2288"/>
    <w:rsid w:val="007D5DA0"/>
    <w:rsid w:val="007E088F"/>
    <w:rsid w:val="007F7B32"/>
    <w:rsid w:val="00804BC2"/>
    <w:rsid w:val="0081431A"/>
    <w:rsid w:val="0083216F"/>
    <w:rsid w:val="008475B0"/>
    <w:rsid w:val="00860000"/>
    <w:rsid w:val="00863BD3"/>
    <w:rsid w:val="008641ED"/>
    <w:rsid w:val="00866D66"/>
    <w:rsid w:val="008671C6"/>
    <w:rsid w:val="00875803"/>
    <w:rsid w:val="008A496A"/>
    <w:rsid w:val="008B1D41"/>
    <w:rsid w:val="008B459E"/>
    <w:rsid w:val="008C2953"/>
    <w:rsid w:val="008E13AE"/>
    <w:rsid w:val="008E1506"/>
    <w:rsid w:val="008E710C"/>
    <w:rsid w:val="008F69D6"/>
    <w:rsid w:val="00902823"/>
    <w:rsid w:val="00915CA6"/>
    <w:rsid w:val="00921B1D"/>
    <w:rsid w:val="00927834"/>
    <w:rsid w:val="009500A6"/>
    <w:rsid w:val="00957C18"/>
    <w:rsid w:val="009659BA"/>
    <w:rsid w:val="00983040"/>
    <w:rsid w:val="009B3FB9"/>
    <w:rsid w:val="009C2465"/>
    <w:rsid w:val="009D35A0"/>
    <w:rsid w:val="009D7EB7"/>
    <w:rsid w:val="009E048A"/>
    <w:rsid w:val="009E08E9"/>
    <w:rsid w:val="009E3DB9"/>
    <w:rsid w:val="009E6E35"/>
    <w:rsid w:val="009F0EDA"/>
    <w:rsid w:val="00A03B96"/>
    <w:rsid w:val="00A05B19"/>
    <w:rsid w:val="00A1134E"/>
    <w:rsid w:val="00A24E7E"/>
    <w:rsid w:val="00A258C3"/>
    <w:rsid w:val="00A347C0"/>
    <w:rsid w:val="00A51431"/>
    <w:rsid w:val="00A539AD"/>
    <w:rsid w:val="00A94063"/>
    <w:rsid w:val="00AA2758"/>
    <w:rsid w:val="00AA6219"/>
    <w:rsid w:val="00AA74E0"/>
    <w:rsid w:val="00AB703F"/>
    <w:rsid w:val="00AC6BB8"/>
    <w:rsid w:val="00AE008F"/>
    <w:rsid w:val="00B01FCD"/>
    <w:rsid w:val="00B1776C"/>
    <w:rsid w:val="00B40AD6"/>
    <w:rsid w:val="00B52583"/>
    <w:rsid w:val="00B52896"/>
    <w:rsid w:val="00B95236"/>
    <w:rsid w:val="00B96BD9"/>
    <w:rsid w:val="00BA1B01"/>
    <w:rsid w:val="00BA2641"/>
    <w:rsid w:val="00BB37AA"/>
    <w:rsid w:val="00BB4C46"/>
    <w:rsid w:val="00BC53A0"/>
    <w:rsid w:val="00BE62AD"/>
    <w:rsid w:val="00BF121F"/>
    <w:rsid w:val="00BF1F80"/>
    <w:rsid w:val="00C166EF"/>
    <w:rsid w:val="00C17EB0"/>
    <w:rsid w:val="00C2677C"/>
    <w:rsid w:val="00C27F5F"/>
    <w:rsid w:val="00C30A0F"/>
    <w:rsid w:val="00C37E61"/>
    <w:rsid w:val="00C70F1B"/>
    <w:rsid w:val="00C71A47"/>
    <w:rsid w:val="00C7464C"/>
    <w:rsid w:val="00C85110"/>
    <w:rsid w:val="00C85588"/>
    <w:rsid w:val="00CB2F38"/>
    <w:rsid w:val="00CD6755"/>
    <w:rsid w:val="00CD6856"/>
    <w:rsid w:val="00CE0089"/>
    <w:rsid w:val="00CE793C"/>
    <w:rsid w:val="00CF193C"/>
    <w:rsid w:val="00D173F1"/>
    <w:rsid w:val="00D74CB0"/>
    <w:rsid w:val="00D8295D"/>
    <w:rsid w:val="00DC2A65"/>
    <w:rsid w:val="00DE15F0"/>
    <w:rsid w:val="00DE5663"/>
    <w:rsid w:val="00DE78AA"/>
    <w:rsid w:val="00E0273A"/>
    <w:rsid w:val="00E053D0"/>
    <w:rsid w:val="00E15994"/>
    <w:rsid w:val="00E3114E"/>
    <w:rsid w:val="00E31A70"/>
    <w:rsid w:val="00E35B02"/>
    <w:rsid w:val="00E66496"/>
    <w:rsid w:val="00E66B35"/>
    <w:rsid w:val="00E66E10"/>
    <w:rsid w:val="00E72CAE"/>
    <w:rsid w:val="00E769F6"/>
    <w:rsid w:val="00E8407C"/>
    <w:rsid w:val="00E84F3C"/>
    <w:rsid w:val="00E9584D"/>
    <w:rsid w:val="00EA012C"/>
    <w:rsid w:val="00EA4C8E"/>
    <w:rsid w:val="00EA7300"/>
    <w:rsid w:val="00EC6A55"/>
    <w:rsid w:val="00ED0288"/>
    <w:rsid w:val="00ED7A10"/>
    <w:rsid w:val="00EE52CB"/>
    <w:rsid w:val="00EF581D"/>
    <w:rsid w:val="00EF7FD8"/>
    <w:rsid w:val="00F03028"/>
    <w:rsid w:val="00F06F59"/>
    <w:rsid w:val="00F17988"/>
    <w:rsid w:val="00F469F0"/>
    <w:rsid w:val="00F53273"/>
    <w:rsid w:val="00F755E4"/>
    <w:rsid w:val="00F77D02"/>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8D7BE9"/>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3">
    <w:name w:val="heading 3"/>
    <w:basedOn w:val="Normal"/>
    <w:next w:val="Normal"/>
    <w:link w:val="Heading3Char"/>
    <w:unhideWhenUsed/>
    <w:qFormat/>
    <w:rsid w:val="0050343D"/>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semiHidden/>
    <w:unhideWhenUsed/>
    <w:qFormat/>
    <w:rsid w:val="0050343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customStyle="1" w:styleId="Heading3Char">
    <w:name w:val="Heading 3 Char"/>
    <w:basedOn w:val="DefaultParagraphFont"/>
    <w:link w:val="Heading3"/>
    <w:rsid w:val="0050343D"/>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semiHidden/>
    <w:rsid w:val="0050343D"/>
    <w:rPr>
      <w:rFonts w:asciiTheme="majorHAnsi" w:eastAsiaTheme="majorEastAsia" w:hAnsiTheme="majorHAnsi" w:cstheme="majorBidi"/>
      <w:i/>
      <w:iCs/>
      <w:color w:val="365F91" w:themeColor="accent1" w:themeShade="BF"/>
    </w:rPr>
  </w:style>
  <w:style w:type="paragraph" w:styleId="NormalWeb">
    <w:name w:val="Normal (Web)"/>
    <w:basedOn w:val="Normal"/>
    <w:uiPriority w:val="99"/>
    <w:unhideWhenUsed/>
    <w:rsid w:val="0050343D"/>
    <w:pPr>
      <w:spacing w:before="100" w:beforeAutospacing="1" w:after="100" w:afterAutospacing="1"/>
    </w:pPr>
    <w:rPr>
      <w:rFonts w:ascii="Times New Roman" w:hAnsi="Times New Roman"/>
      <w:sz w:val="24"/>
      <w:szCs w:val="24"/>
    </w:rPr>
  </w:style>
  <w:style w:type="character" w:styleId="Strong">
    <w:name w:val="Strong"/>
    <w:basedOn w:val="DefaultParagraphFont"/>
    <w:uiPriority w:val="22"/>
    <w:qFormat/>
    <w:rsid w:val="0050343D"/>
    <w:rPr>
      <w:b/>
      <w:bCs/>
    </w:rPr>
  </w:style>
  <w:style w:type="paragraph" w:customStyle="1" w:styleId="pdq2pgselectionanchorcontainer">
    <w:name w:val="pdq2pg_selectionanchorcontainer"/>
    <w:basedOn w:val="Normal"/>
    <w:rsid w:val="005D7ECD"/>
    <w:pPr>
      <w:spacing w:before="100" w:beforeAutospacing="1" w:after="100" w:afterAutospacing="1"/>
    </w:pPr>
    <w:rPr>
      <w:rFonts w:ascii="Times New Roman" w:hAnsi="Times New Roman"/>
      <w:sz w:val="24"/>
      <w:szCs w:val="24"/>
    </w:rPr>
  </w:style>
  <w:style w:type="paragraph" w:styleId="Revision">
    <w:name w:val="Revision"/>
    <w:hidden/>
    <w:uiPriority w:val="99"/>
    <w:semiHidden/>
    <w:rsid w:val="008C2953"/>
    <w:rPr>
      <w:rFonts w:ascii="Helvetica" w:hAnsi="Helveti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131365731">
      <w:bodyDiv w:val="1"/>
      <w:marLeft w:val="0"/>
      <w:marRight w:val="0"/>
      <w:marTop w:val="0"/>
      <w:marBottom w:val="0"/>
      <w:divBdr>
        <w:top w:val="none" w:sz="0" w:space="0" w:color="auto"/>
        <w:left w:val="none" w:sz="0" w:space="0" w:color="auto"/>
        <w:bottom w:val="none" w:sz="0" w:space="0" w:color="auto"/>
        <w:right w:val="none" w:sz="0" w:space="0" w:color="auto"/>
      </w:divBdr>
    </w:div>
    <w:div w:id="1137603409">
      <w:bodyDiv w:val="1"/>
      <w:marLeft w:val="0"/>
      <w:marRight w:val="0"/>
      <w:marTop w:val="0"/>
      <w:marBottom w:val="0"/>
      <w:divBdr>
        <w:top w:val="none" w:sz="0" w:space="0" w:color="auto"/>
        <w:left w:val="none" w:sz="0" w:space="0" w:color="auto"/>
        <w:bottom w:val="none" w:sz="0" w:space="0" w:color="auto"/>
        <w:right w:val="none" w:sz="0" w:space="0" w:color="auto"/>
      </w:divBdr>
    </w:div>
    <w:div w:id="1190991931">
      <w:bodyDiv w:val="1"/>
      <w:marLeft w:val="0"/>
      <w:marRight w:val="0"/>
      <w:marTop w:val="0"/>
      <w:marBottom w:val="0"/>
      <w:divBdr>
        <w:top w:val="none" w:sz="0" w:space="0" w:color="auto"/>
        <w:left w:val="none" w:sz="0" w:space="0" w:color="auto"/>
        <w:bottom w:val="none" w:sz="0" w:space="0" w:color="auto"/>
        <w:right w:val="none" w:sz="0" w:space="0" w:color="auto"/>
      </w:divBdr>
      <w:divsChild>
        <w:div w:id="2145928115">
          <w:marLeft w:val="0"/>
          <w:marRight w:val="0"/>
          <w:marTop w:val="0"/>
          <w:marBottom w:val="0"/>
          <w:divBdr>
            <w:top w:val="none" w:sz="0" w:space="0" w:color="auto"/>
            <w:left w:val="none" w:sz="0" w:space="0" w:color="auto"/>
            <w:bottom w:val="none" w:sz="0" w:space="0" w:color="auto"/>
            <w:right w:val="none" w:sz="0" w:space="0" w:color="auto"/>
          </w:divBdr>
          <w:divsChild>
            <w:div w:id="403646033">
              <w:marLeft w:val="0"/>
              <w:marRight w:val="0"/>
              <w:marTop w:val="0"/>
              <w:marBottom w:val="0"/>
              <w:divBdr>
                <w:top w:val="none" w:sz="0" w:space="0" w:color="auto"/>
                <w:left w:val="none" w:sz="0" w:space="0" w:color="auto"/>
                <w:bottom w:val="none" w:sz="0" w:space="0" w:color="auto"/>
                <w:right w:val="none" w:sz="0" w:space="0" w:color="auto"/>
              </w:divBdr>
              <w:divsChild>
                <w:div w:id="238172792">
                  <w:marLeft w:val="0"/>
                  <w:marRight w:val="0"/>
                  <w:marTop w:val="0"/>
                  <w:marBottom w:val="0"/>
                  <w:divBdr>
                    <w:top w:val="none" w:sz="0" w:space="0" w:color="auto"/>
                    <w:left w:val="none" w:sz="0" w:space="0" w:color="auto"/>
                    <w:bottom w:val="none" w:sz="0" w:space="0" w:color="auto"/>
                    <w:right w:val="none" w:sz="0" w:space="0" w:color="auto"/>
                  </w:divBdr>
                  <w:divsChild>
                    <w:div w:id="912853797">
                      <w:marLeft w:val="0"/>
                      <w:marRight w:val="0"/>
                      <w:marTop w:val="0"/>
                      <w:marBottom w:val="0"/>
                      <w:divBdr>
                        <w:top w:val="none" w:sz="0" w:space="0" w:color="auto"/>
                        <w:left w:val="none" w:sz="0" w:space="0" w:color="auto"/>
                        <w:bottom w:val="none" w:sz="0" w:space="0" w:color="auto"/>
                        <w:right w:val="none" w:sz="0" w:space="0" w:color="auto"/>
                      </w:divBdr>
                      <w:divsChild>
                        <w:div w:id="1200318412">
                          <w:marLeft w:val="0"/>
                          <w:marRight w:val="0"/>
                          <w:marTop w:val="0"/>
                          <w:marBottom w:val="0"/>
                          <w:divBdr>
                            <w:top w:val="none" w:sz="0" w:space="0" w:color="auto"/>
                            <w:left w:val="none" w:sz="0" w:space="0" w:color="auto"/>
                            <w:bottom w:val="none" w:sz="0" w:space="0" w:color="auto"/>
                            <w:right w:val="none" w:sz="0" w:space="0" w:color="auto"/>
                          </w:divBdr>
                          <w:divsChild>
                            <w:div w:id="1450202767">
                              <w:marLeft w:val="0"/>
                              <w:marRight w:val="0"/>
                              <w:marTop w:val="0"/>
                              <w:marBottom w:val="0"/>
                              <w:divBdr>
                                <w:top w:val="none" w:sz="0" w:space="0" w:color="auto"/>
                                <w:left w:val="none" w:sz="0" w:space="0" w:color="auto"/>
                                <w:bottom w:val="none" w:sz="0" w:space="0" w:color="auto"/>
                                <w:right w:val="none" w:sz="0" w:space="0" w:color="auto"/>
                              </w:divBdr>
                              <w:divsChild>
                                <w:div w:id="1021511125">
                                  <w:marLeft w:val="0"/>
                                  <w:marRight w:val="0"/>
                                  <w:marTop w:val="0"/>
                                  <w:marBottom w:val="0"/>
                                  <w:divBdr>
                                    <w:top w:val="none" w:sz="0" w:space="0" w:color="auto"/>
                                    <w:left w:val="none" w:sz="0" w:space="0" w:color="auto"/>
                                    <w:bottom w:val="none" w:sz="0" w:space="0" w:color="auto"/>
                                    <w:right w:val="none" w:sz="0" w:space="0" w:color="auto"/>
                                  </w:divBdr>
                                  <w:divsChild>
                                    <w:div w:id="142661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7464813">
      <w:bodyDiv w:val="1"/>
      <w:marLeft w:val="0"/>
      <w:marRight w:val="0"/>
      <w:marTop w:val="0"/>
      <w:marBottom w:val="0"/>
      <w:divBdr>
        <w:top w:val="none" w:sz="0" w:space="0" w:color="auto"/>
        <w:left w:val="none" w:sz="0" w:space="0" w:color="auto"/>
        <w:bottom w:val="none" w:sz="0" w:space="0" w:color="auto"/>
        <w:right w:val="none" w:sz="0" w:space="0" w:color="auto"/>
      </w:divBdr>
      <w:divsChild>
        <w:div w:id="1186140877">
          <w:marLeft w:val="0"/>
          <w:marRight w:val="0"/>
          <w:marTop w:val="0"/>
          <w:marBottom w:val="0"/>
          <w:divBdr>
            <w:top w:val="none" w:sz="0" w:space="0" w:color="auto"/>
            <w:left w:val="none" w:sz="0" w:space="0" w:color="auto"/>
            <w:bottom w:val="none" w:sz="0" w:space="0" w:color="auto"/>
            <w:right w:val="none" w:sz="0" w:space="0" w:color="auto"/>
          </w:divBdr>
          <w:divsChild>
            <w:div w:id="926307739">
              <w:marLeft w:val="0"/>
              <w:marRight w:val="0"/>
              <w:marTop w:val="0"/>
              <w:marBottom w:val="0"/>
              <w:divBdr>
                <w:top w:val="none" w:sz="0" w:space="0" w:color="auto"/>
                <w:left w:val="none" w:sz="0" w:space="0" w:color="auto"/>
                <w:bottom w:val="none" w:sz="0" w:space="0" w:color="auto"/>
                <w:right w:val="none" w:sz="0" w:space="0" w:color="auto"/>
              </w:divBdr>
              <w:divsChild>
                <w:div w:id="1419011988">
                  <w:marLeft w:val="0"/>
                  <w:marRight w:val="0"/>
                  <w:marTop w:val="0"/>
                  <w:marBottom w:val="0"/>
                  <w:divBdr>
                    <w:top w:val="none" w:sz="0" w:space="0" w:color="auto"/>
                    <w:left w:val="none" w:sz="0" w:space="0" w:color="auto"/>
                    <w:bottom w:val="none" w:sz="0" w:space="0" w:color="auto"/>
                    <w:right w:val="none" w:sz="0" w:space="0" w:color="auto"/>
                  </w:divBdr>
                  <w:divsChild>
                    <w:div w:id="20667144">
                      <w:marLeft w:val="0"/>
                      <w:marRight w:val="0"/>
                      <w:marTop w:val="0"/>
                      <w:marBottom w:val="0"/>
                      <w:divBdr>
                        <w:top w:val="none" w:sz="0" w:space="0" w:color="auto"/>
                        <w:left w:val="none" w:sz="0" w:space="0" w:color="auto"/>
                        <w:bottom w:val="none" w:sz="0" w:space="0" w:color="auto"/>
                        <w:right w:val="none" w:sz="0" w:space="0" w:color="auto"/>
                      </w:divBdr>
                      <w:divsChild>
                        <w:div w:id="1036733645">
                          <w:marLeft w:val="0"/>
                          <w:marRight w:val="0"/>
                          <w:marTop w:val="0"/>
                          <w:marBottom w:val="0"/>
                          <w:divBdr>
                            <w:top w:val="none" w:sz="0" w:space="0" w:color="auto"/>
                            <w:left w:val="none" w:sz="0" w:space="0" w:color="auto"/>
                            <w:bottom w:val="none" w:sz="0" w:space="0" w:color="auto"/>
                            <w:right w:val="none" w:sz="0" w:space="0" w:color="auto"/>
                          </w:divBdr>
                          <w:divsChild>
                            <w:div w:id="417755135">
                              <w:marLeft w:val="0"/>
                              <w:marRight w:val="0"/>
                              <w:marTop w:val="0"/>
                              <w:marBottom w:val="0"/>
                              <w:divBdr>
                                <w:top w:val="none" w:sz="0" w:space="0" w:color="auto"/>
                                <w:left w:val="none" w:sz="0" w:space="0" w:color="auto"/>
                                <w:bottom w:val="none" w:sz="0" w:space="0" w:color="auto"/>
                                <w:right w:val="none" w:sz="0" w:space="0" w:color="auto"/>
                              </w:divBdr>
                              <w:divsChild>
                                <w:div w:id="135923336">
                                  <w:marLeft w:val="0"/>
                                  <w:marRight w:val="0"/>
                                  <w:marTop w:val="0"/>
                                  <w:marBottom w:val="0"/>
                                  <w:divBdr>
                                    <w:top w:val="none" w:sz="0" w:space="0" w:color="auto"/>
                                    <w:left w:val="none" w:sz="0" w:space="0" w:color="auto"/>
                                    <w:bottom w:val="none" w:sz="0" w:space="0" w:color="auto"/>
                                    <w:right w:val="none" w:sz="0" w:space="0" w:color="auto"/>
                                  </w:divBdr>
                                  <w:divsChild>
                                    <w:div w:id="27271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7337650">
      <w:bodyDiv w:val="1"/>
      <w:marLeft w:val="0"/>
      <w:marRight w:val="0"/>
      <w:marTop w:val="0"/>
      <w:marBottom w:val="0"/>
      <w:divBdr>
        <w:top w:val="none" w:sz="0" w:space="0" w:color="auto"/>
        <w:left w:val="none" w:sz="0" w:space="0" w:color="auto"/>
        <w:bottom w:val="none" w:sz="0" w:space="0" w:color="auto"/>
        <w:right w:val="none" w:sz="0" w:space="0" w:color="auto"/>
      </w:divBdr>
    </w:div>
    <w:div w:id="1604532764">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2019695830">
      <w:bodyDiv w:val="1"/>
      <w:marLeft w:val="0"/>
      <w:marRight w:val="0"/>
      <w:marTop w:val="0"/>
      <w:marBottom w:val="0"/>
      <w:divBdr>
        <w:top w:val="none" w:sz="0" w:space="0" w:color="auto"/>
        <w:left w:val="none" w:sz="0" w:space="0" w:color="auto"/>
        <w:bottom w:val="none" w:sz="0" w:space="0" w:color="auto"/>
        <w:right w:val="none" w:sz="0" w:space="0" w:color="auto"/>
      </w:divBdr>
    </w:div>
    <w:div w:id="2113358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1155/2013/394652" TargetMode="External"/><Relationship Id="rId26" Type="http://schemas.openxmlformats.org/officeDocument/2006/relationships/hyperlink" Target="https://doi.org/10.9734/ajbgmb/2025/v17i12510" TargetMode="External"/><Relationship Id="rId39" Type="http://schemas.openxmlformats.org/officeDocument/2006/relationships/hyperlink" Target="https://doi.org/10.1007/s40572-016-0117-9" TargetMode="External"/><Relationship Id="rId21" Type="http://schemas.openxmlformats.org/officeDocument/2006/relationships/hyperlink" Target="https://doi.org/10.1016/j.ecoenv.2019.01.121" TargetMode="External"/><Relationship Id="rId34" Type="http://schemas.openxmlformats.org/officeDocument/2006/relationships/hyperlink" Target="https://doi.org/10.1016/j.envint.2020.106337" TargetMode="External"/><Relationship Id="rId42" Type="http://schemas.openxmlformats.org/officeDocument/2006/relationships/hyperlink" Target="https://doi.org/10.3390/molecules17056033" TargetMode="External"/><Relationship Id="rId47" Type="http://schemas.openxmlformats.org/officeDocument/2006/relationships/hyperlink" Target="https://doi.org/10.1016/j.jtemb.2024.127554" TargetMode="External"/><Relationship Id="rId50" Type="http://schemas.openxmlformats.org/officeDocument/2006/relationships/hyperlink" Target="https://doi.org/10.1016/j.taap.2009.01.013" TargetMode="External"/><Relationship Id="rId55" Type="http://schemas.openxmlformats.org/officeDocument/2006/relationships/header" Target="head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26538/tjnpr/v9i7.49" TargetMode="External"/><Relationship Id="rId29" Type="http://schemas.openxmlformats.org/officeDocument/2006/relationships/hyperlink" Target="https://doi.org/10.1007/s00018-018-2860-6" TargetMode="External"/><Relationship Id="rId11" Type="http://schemas.openxmlformats.org/officeDocument/2006/relationships/footer" Target="footer2.xml"/><Relationship Id="rId24" Type="http://schemas.openxmlformats.org/officeDocument/2006/relationships/hyperlink" Target="https://doi.org/10.1016/j.fct.2004.05.001" TargetMode="External"/><Relationship Id="rId32" Type="http://schemas.openxmlformats.org/officeDocument/2006/relationships/hyperlink" Target="https://doi.org/10.1038/s41598-022-05766-y" TargetMode="External"/><Relationship Id="rId37" Type="http://schemas.openxmlformats.org/officeDocument/2006/relationships/hyperlink" Target="https://doi.org/10.1186/s12931-018-0814-z" TargetMode="External"/><Relationship Id="rId40" Type="http://schemas.openxmlformats.org/officeDocument/2006/relationships/hyperlink" Target="https://www.rjpbcs.com/pdf/2011_2%283%29/71.pdf" TargetMode="External"/><Relationship Id="rId45" Type="http://schemas.openxmlformats.org/officeDocument/2006/relationships/hyperlink" Target="https://doi.org/10.1515/intox-2015-0023" TargetMode="External"/><Relationship Id="rId53" Type="http://schemas.openxmlformats.org/officeDocument/2006/relationships/hyperlink" Target="https://doi.org/10.1016/j.scitotenv.2024.171405" TargetMode="External"/><Relationship Id="rId58" Type="http://schemas.openxmlformats.org/officeDocument/2006/relationships/header" Target="header6.xml"/><Relationship Id="rId5" Type="http://schemas.openxmlformats.org/officeDocument/2006/relationships/webSettings" Target="webSettings.xml"/><Relationship Id="rId19" Type="http://schemas.openxmlformats.org/officeDocument/2006/relationships/hyperlink" Target="https://doi.org/10.1177/0960327119889654"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1016/j.etp.2009.03.010" TargetMode="External"/><Relationship Id="rId22" Type="http://schemas.openxmlformats.org/officeDocument/2006/relationships/hyperlink" Target="https://doi.org/10.1016/j.jhep.2023.03.017" TargetMode="External"/><Relationship Id="rId27" Type="http://schemas.openxmlformats.org/officeDocument/2006/relationships/hyperlink" Target="https://doi.org/10.1016/j.jaim.2017.07.005" TargetMode="External"/><Relationship Id="rId30" Type="http://schemas.openxmlformats.org/officeDocument/2006/relationships/hyperlink" Target="https://www.sjweh.fi/article/281" TargetMode="External"/><Relationship Id="rId35" Type="http://schemas.openxmlformats.org/officeDocument/2006/relationships/hyperlink" Target="https://doi.org/10.56557/jomahr/2026/v11i110467" TargetMode="External"/><Relationship Id="rId43" Type="http://schemas.openxmlformats.org/officeDocument/2006/relationships/hyperlink" Target="https://doi.org/10.4061/2011/457327" TargetMode="External"/><Relationship Id="rId48" Type="http://schemas.openxmlformats.org/officeDocument/2006/relationships/hyperlink" Target="https://opac.kwasu.edu.ng/cgi-bin/koha/opac-detail.pl?biblionumber=7153" TargetMode="External"/><Relationship Id="rId56" Type="http://schemas.openxmlformats.org/officeDocument/2006/relationships/header" Target="header5.xml"/><Relationship Id="rId8" Type="http://schemas.openxmlformats.org/officeDocument/2006/relationships/header" Target="header1.xml"/><Relationship Id="rId51" Type="http://schemas.openxmlformats.org/officeDocument/2006/relationships/hyperlink" Target="https://doi.org/10.2174/1386207323666200526134923"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doi.org/10.1155/2021/8938534" TargetMode="External"/><Relationship Id="rId25" Type="http://schemas.openxmlformats.org/officeDocument/2006/relationships/hyperlink" Target="https://doi.org/10.1007/s11356-019-06660-3" TargetMode="External"/><Relationship Id="rId33" Type="http://schemas.openxmlformats.org/officeDocument/2006/relationships/hyperlink" Target="https://doi.org/10.1161/JAHA.120.018692" TargetMode="External"/><Relationship Id="rId38" Type="http://schemas.openxmlformats.org/officeDocument/2006/relationships/hyperlink" Target="https://doi.org/10.5281/zenodo.18752581" TargetMode="External"/><Relationship Id="rId46" Type="http://schemas.openxmlformats.org/officeDocument/2006/relationships/hyperlink" Target="https://doi.org/10.3390/toxics7020025" TargetMode="External"/><Relationship Id="rId59" Type="http://schemas.openxmlformats.org/officeDocument/2006/relationships/fontTable" Target="fontTable.xml"/><Relationship Id="rId20" Type="http://schemas.openxmlformats.org/officeDocument/2006/relationships/hyperlink" Target="https://shop.elsevier.com/books/tietz-fundamentals-of-clinical-chemistry-and-molecular-diagnostics/burtis/978-1-4557-4165-6" TargetMode="External"/><Relationship Id="rId41" Type="http://schemas.openxmlformats.org/officeDocument/2006/relationships/hyperlink" Target="https://doi.org/10.5897/AJB10.451" TargetMode="External"/><Relationship Id="rId54" Type="http://schemas.openxmlformats.org/officeDocument/2006/relationships/hyperlink" Target="https://doi.org/10.1007/s11356-022-18950-4"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5897/SRE.9000731" TargetMode="External"/><Relationship Id="rId23" Type="http://schemas.openxmlformats.org/officeDocument/2006/relationships/hyperlink" Target="https://doi.org/10.5897/AJB2005.000-3127" TargetMode="External"/><Relationship Id="rId28" Type="http://schemas.openxmlformats.org/officeDocument/2006/relationships/hyperlink" Target="https://doi.org/10.3390/ijerph17113782" TargetMode="External"/><Relationship Id="rId36" Type="http://schemas.openxmlformats.org/officeDocument/2006/relationships/hyperlink" Target="https://doi.org/10.1016/j.toxlet.2017.10.014" TargetMode="External"/><Relationship Id="rId49" Type="http://schemas.openxmlformats.org/officeDocument/2006/relationships/hyperlink" Target="https://doi.org/10.1007/978-3-7643-8340-4_6" TargetMode="External"/><Relationship Id="rId57" Type="http://schemas.openxmlformats.org/officeDocument/2006/relationships/footer" Target="footer4.xml"/><Relationship Id="rId10" Type="http://schemas.openxmlformats.org/officeDocument/2006/relationships/footer" Target="footer1.xml"/><Relationship Id="rId31" Type="http://schemas.openxmlformats.org/officeDocument/2006/relationships/hyperlink" Target="https://doi.org/10.1016/j.foodchem.2015.08.072" TargetMode="External"/><Relationship Id="rId44" Type="http://schemas.openxmlformats.org/officeDocument/2006/relationships/hyperlink" Target="https://doi.org/10.1186/s12986-015-0023-4" TargetMode="External"/><Relationship Id="rId52" Type="http://schemas.openxmlformats.org/officeDocument/2006/relationships/hyperlink" Target="https://doi.org/10.2174/0929867053764635" TargetMode="External"/><Relationship Id="rId6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60F71E-C636-43FA-B9B8-406447297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163</TotalTime>
  <Pages>17</Pages>
  <Words>6146</Words>
  <Characters>35033</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41097</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CPU 1117</cp:lastModifiedBy>
  <cp:revision>13</cp:revision>
  <cp:lastPrinted>1999-07-06T11:00:00Z</cp:lastPrinted>
  <dcterms:created xsi:type="dcterms:W3CDTF">2026-09-03T05:51:00Z</dcterms:created>
  <dcterms:modified xsi:type="dcterms:W3CDTF">2026-09-07T10:34:00Z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9453e6fc-f7ee-45d1-aa31-821130a32d77</vt:lpwstr>
  </property>
</Properties>
</file>