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152E" w14:textId="77777777" w:rsidR="001D665B" w:rsidRPr="00026201" w:rsidRDefault="001D665B" w:rsidP="00B80458">
      <w:pPr>
        <w:spacing w:line="360" w:lineRule="auto"/>
        <w:jc w:val="both"/>
        <w:rPr>
          <w:rFonts w:ascii="Times New Roman" w:hAnsi="Times New Roman" w:cs="Times New Roman"/>
          <w:b/>
          <w:bCs/>
          <w:lang w:val="en-US"/>
        </w:rPr>
      </w:pPr>
      <w:proofErr w:type="spellStart"/>
      <w:r w:rsidRPr="00026201">
        <w:rPr>
          <w:rFonts w:ascii="Times New Roman" w:hAnsi="Times New Roman" w:cs="Times New Roman"/>
          <w:b/>
          <w:bCs/>
          <w:i/>
          <w:iCs/>
          <w:lang w:val="en-US"/>
        </w:rPr>
        <w:t>Leptadenia</w:t>
      </w:r>
      <w:proofErr w:type="spellEnd"/>
      <w:r w:rsidRPr="00026201">
        <w:rPr>
          <w:rFonts w:ascii="Times New Roman" w:hAnsi="Times New Roman" w:cs="Times New Roman"/>
          <w:b/>
          <w:bCs/>
          <w:i/>
          <w:iCs/>
          <w:lang w:val="en-US"/>
        </w:rPr>
        <w:t xml:space="preserve"> hastata</w:t>
      </w:r>
      <w:r w:rsidRPr="00026201">
        <w:rPr>
          <w:rFonts w:ascii="Times New Roman" w:hAnsi="Times New Roman" w:cs="Times New Roman"/>
          <w:b/>
          <w:bCs/>
          <w:lang w:val="en-US"/>
        </w:rPr>
        <w:t xml:space="preserve"> and </w:t>
      </w:r>
      <w:proofErr w:type="spellStart"/>
      <w:r w:rsidRPr="00026201">
        <w:rPr>
          <w:rFonts w:ascii="Times New Roman" w:hAnsi="Times New Roman" w:cs="Times New Roman"/>
          <w:b/>
          <w:bCs/>
          <w:i/>
          <w:iCs/>
          <w:lang w:val="en-US"/>
        </w:rPr>
        <w:t>Sclerocarya</w:t>
      </w:r>
      <w:proofErr w:type="spellEnd"/>
      <w:r w:rsidRPr="00026201">
        <w:rPr>
          <w:rFonts w:ascii="Times New Roman" w:hAnsi="Times New Roman" w:cs="Times New Roman"/>
          <w:b/>
          <w:bCs/>
          <w:i/>
          <w:iCs/>
          <w:lang w:val="en-US"/>
        </w:rPr>
        <w:t xml:space="preserve"> </w:t>
      </w:r>
      <w:proofErr w:type="spellStart"/>
      <w:r w:rsidRPr="00026201">
        <w:rPr>
          <w:rFonts w:ascii="Times New Roman" w:hAnsi="Times New Roman" w:cs="Times New Roman"/>
          <w:b/>
          <w:bCs/>
          <w:i/>
          <w:iCs/>
          <w:lang w:val="en-US"/>
        </w:rPr>
        <w:t>birrea</w:t>
      </w:r>
      <w:proofErr w:type="spellEnd"/>
      <w:r w:rsidRPr="00026201">
        <w:rPr>
          <w:rFonts w:ascii="Times New Roman" w:hAnsi="Times New Roman" w:cs="Times New Roman"/>
          <w:b/>
          <w:bCs/>
          <w:lang w:val="en-US"/>
        </w:rPr>
        <w:t>: Ethnobotany, Phytochemical Profile, and Antioxidant Potential in the Traditional Management of Diabetes</w:t>
      </w:r>
    </w:p>
    <w:p w14:paraId="6DE4FEA1" w14:textId="77777777" w:rsidR="00B80458" w:rsidRPr="00883413" w:rsidRDefault="00B80458" w:rsidP="00B80458">
      <w:pPr>
        <w:spacing w:line="360" w:lineRule="auto"/>
        <w:jc w:val="both"/>
        <w:rPr>
          <w:rFonts w:ascii="Times New Roman" w:hAnsi="Times New Roman" w:cs="Times New Roman"/>
          <w:lang w:val="en-US"/>
        </w:rPr>
      </w:pPr>
    </w:p>
    <w:p w14:paraId="05096007" w14:textId="77777777" w:rsidR="001D665B" w:rsidRPr="00026201" w:rsidRDefault="001D665B" w:rsidP="00B80458">
      <w:pPr>
        <w:spacing w:line="360" w:lineRule="auto"/>
        <w:jc w:val="both"/>
        <w:rPr>
          <w:rFonts w:ascii="Times New Roman" w:hAnsi="Times New Roman" w:cs="Times New Roman"/>
          <w:b/>
          <w:bCs/>
          <w:lang w:val="en-US"/>
        </w:rPr>
      </w:pPr>
      <w:r w:rsidRPr="00026201">
        <w:rPr>
          <w:rFonts w:ascii="Times New Roman" w:hAnsi="Times New Roman" w:cs="Times New Roman"/>
          <w:b/>
          <w:bCs/>
          <w:lang w:val="en-US"/>
        </w:rPr>
        <w:t>Abstract</w:t>
      </w:r>
    </w:p>
    <w:p w14:paraId="7F9295A5" w14:textId="77777777" w:rsidR="00026201" w:rsidRDefault="00026201" w:rsidP="00B80458">
      <w:pPr>
        <w:spacing w:line="360" w:lineRule="auto"/>
        <w:jc w:val="both"/>
      </w:pPr>
      <w:r>
        <w:rPr>
          <w:rStyle w:val="Strong"/>
        </w:rPr>
        <w:t>Background:</w:t>
      </w:r>
      <w:r>
        <w:t xml:space="preserve"> Type 2 </w:t>
      </w:r>
      <w:proofErr w:type="spellStart"/>
      <w:r>
        <w:t>diabetes</w:t>
      </w:r>
      <w:proofErr w:type="spellEnd"/>
      <w:r>
        <w:t xml:space="preserve"> </w:t>
      </w:r>
      <w:proofErr w:type="spellStart"/>
      <w:r>
        <w:t>remains</w:t>
      </w:r>
      <w:proofErr w:type="spellEnd"/>
      <w:r>
        <w:t xml:space="preserve"> a public </w:t>
      </w:r>
      <w:proofErr w:type="spellStart"/>
      <w:r>
        <w:t>health</w:t>
      </w:r>
      <w:proofErr w:type="spellEnd"/>
      <w:r>
        <w:t xml:space="preserve"> </w:t>
      </w:r>
      <w:proofErr w:type="spellStart"/>
      <w:r>
        <w:t>concern</w:t>
      </w:r>
      <w:proofErr w:type="spellEnd"/>
      <w:r>
        <w:t xml:space="preserve">, and </w:t>
      </w:r>
      <w:proofErr w:type="spellStart"/>
      <w:r>
        <w:t>medicinal</w:t>
      </w:r>
      <w:proofErr w:type="spellEnd"/>
      <w:r>
        <w:t xml:space="preserve"> plants are </w:t>
      </w:r>
      <w:proofErr w:type="spellStart"/>
      <w:r>
        <w:t>used</w:t>
      </w:r>
      <w:proofErr w:type="spellEnd"/>
      <w:r>
        <w:t xml:space="preserve"> in </w:t>
      </w:r>
      <w:proofErr w:type="spellStart"/>
      <w:r>
        <w:t>its</w:t>
      </w:r>
      <w:proofErr w:type="spellEnd"/>
      <w:r>
        <w:t xml:space="preserve"> </w:t>
      </w:r>
      <w:proofErr w:type="spellStart"/>
      <w:r>
        <w:t>traditional</w:t>
      </w:r>
      <w:proofErr w:type="spellEnd"/>
      <w:r>
        <w:t xml:space="preserve"> management. This </w:t>
      </w:r>
      <w:proofErr w:type="spellStart"/>
      <w:r>
        <w:t>study</w:t>
      </w:r>
      <w:proofErr w:type="spellEnd"/>
      <w:r>
        <w:t xml:space="preserve"> </w:t>
      </w:r>
      <w:proofErr w:type="spellStart"/>
      <w:r>
        <w:t>documented</w:t>
      </w:r>
      <w:proofErr w:type="spellEnd"/>
      <w:r>
        <w:t xml:space="preserve"> </w:t>
      </w:r>
      <w:proofErr w:type="spellStart"/>
      <w:r>
        <w:t>medicinal</w:t>
      </w:r>
      <w:proofErr w:type="spellEnd"/>
      <w:r>
        <w:t xml:space="preserve"> plants </w:t>
      </w:r>
      <w:proofErr w:type="spellStart"/>
      <w:r>
        <w:t>used</w:t>
      </w:r>
      <w:proofErr w:type="spellEnd"/>
      <w:r>
        <w:t xml:space="preserve"> by </w:t>
      </w:r>
      <w:proofErr w:type="spellStart"/>
      <w:r>
        <w:t>traditional</w:t>
      </w:r>
      <w:proofErr w:type="spellEnd"/>
      <w:r>
        <w:t xml:space="preserve"> </w:t>
      </w:r>
      <w:proofErr w:type="spellStart"/>
      <w:r>
        <w:t>health</w:t>
      </w:r>
      <w:proofErr w:type="spellEnd"/>
      <w:r>
        <w:t xml:space="preserve"> </w:t>
      </w:r>
      <w:proofErr w:type="spellStart"/>
      <w:r>
        <w:t>practitioners</w:t>
      </w:r>
      <w:proofErr w:type="spellEnd"/>
      <w:r>
        <w:t xml:space="preserve"> and </w:t>
      </w:r>
      <w:proofErr w:type="spellStart"/>
      <w:r>
        <w:t>evaluated</w:t>
      </w:r>
      <w:proofErr w:type="spellEnd"/>
      <w:r>
        <w:t xml:space="preserve"> the </w:t>
      </w:r>
      <w:proofErr w:type="spellStart"/>
      <w:r>
        <w:t>phytochemical</w:t>
      </w:r>
      <w:proofErr w:type="spellEnd"/>
      <w:r>
        <w:t xml:space="preserve">, </w:t>
      </w:r>
      <w:proofErr w:type="spellStart"/>
      <w:r>
        <w:t>antioxidant</w:t>
      </w:r>
      <w:proofErr w:type="spellEnd"/>
      <w:r>
        <w:t xml:space="preserve">, and </w:t>
      </w:r>
      <w:proofErr w:type="spellStart"/>
      <w:r>
        <w:t>microbiological</w:t>
      </w:r>
      <w:proofErr w:type="spellEnd"/>
      <w:r>
        <w:t xml:space="preserve"> </w:t>
      </w:r>
      <w:proofErr w:type="spellStart"/>
      <w:r>
        <w:t>characteristics</w:t>
      </w:r>
      <w:proofErr w:type="spellEnd"/>
      <w:r>
        <w:t xml:space="preserve"> of </w:t>
      </w:r>
      <w:proofErr w:type="spellStart"/>
      <w:r>
        <w:t>selected</w:t>
      </w:r>
      <w:proofErr w:type="spellEnd"/>
      <w:r>
        <w:t xml:space="preserve"> </w:t>
      </w:r>
      <w:proofErr w:type="spellStart"/>
      <w:r>
        <w:t>species</w:t>
      </w:r>
      <w:proofErr w:type="spellEnd"/>
      <w:r>
        <w:t xml:space="preserve">. </w:t>
      </w:r>
    </w:p>
    <w:p w14:paraId="1D2A9B66" w14:textId="77777777" w:rsidR="00026201" w:rsidRDefault="00026201" w:rsidP="00B80458">
      <w:pPr>
        <w:spacing w:line="360" w:lineRule="auto"/>
        <w:jc w:val="both"/>
      </w:pPr>
      <w:r>
        <w:rPr>
          <w:rStyle w:val="Strong"/>
        </w:rPr>
        <w:t>Methods:</w:t>
      </w:r>
      <w:r>
        <w:t xml:space="preserve"> </w:t>
      </w:r>
      <w:proofErr w:type="spellStart"/>
      <w:r>
        <w:t>Fifty</w:t>
      </w:r>
      <w:proofErr w:type="spellEnd"/>
      <w:r>
        <w:t xml:space="preserve"> </w:t>
      </w:r>
      <w:proofErr w:type="spellStart"/>
      <w:r>
        <w:t>traditional</w:t>
      </w:r>
      <w:proofErr w:type="spellEnd"/>
      <w:r>
        <w:t xml:space="preserve"> </w:t>
      </w:r>
      <w:proofErr w:type="spellStart"/>
      <w:r>
        <w:t>health</w:t>
      </w:r>
      <w:proofErr w:type="spellEnd"/>
      <w:r>
        <w:t xml:space="preserve"> </w:t>
      </w:r>
      <w:proofErr w:type="spellStart"/>
      <w:r>
        <w:t>practitioners</w:t>
      </w:r>
      <w:proofErr w:type="spellEnd"/>
      <w:r>
        <w:t xml:space="preserve"> in Bobo-Dioulasso </w:t>
      </w:r>
      <w:proofErr w:type="spellStart"/>
      <w:r>
        <w:t>were</w:t>
      </w:r>
      <w:proofErr w:type="spellEnd"/>
      <w:r>
        <w:t xml:space="preserve"> </w:t>
      </w:r>
      <w:proofErr w:type="spellStart"/>
      <w:r>
        <w:t>interviewed</w:t>
      </w:r>
      <w:proofErr w:type="spellEnd"/>
      <w:r>
        <w:t xml:space="preserve"> </w:t>
      </w:r>
      <w:proofErr w:type="spellStart"/>
      <w:r>
        <w:t>using</w:t>
      </w:r>
      <w:proofErr w:type="spellEnd"/>
      <w:r>
        <w:t xml:space="preserve"> a semi-</w:t>
      </w:r>
      <w:proofErr w:type="spellStart"/>
      <w:r>
        <w:t>structured</w:t>
      </w:r>
      <w:proofErr w:type="spellEnd"/>
      <w:r>
        <w:t xml:space="preserve"> questionnaire. Thirty </w:t>
      </w:r>
      <w:proofErr w:type="spellStart"/>
      <w:r>
        <w:t>medicinal</w:t>
      </w:r>
      <w:proofErr w:type="spellEnd"/>
      <w:r>
        <w:t xml:space="preserve"> plant </w:t>
      </w:r>
      <w:proofErr w:type="spellStart"/>
      <w:r>
        <w:t>species</w:t>
      </w:r>
      <w:proofErr w:type="spellEnd"/>
      <w:r>
        <w:t xml:space="preserve"> </w:t>
      </w:r>
      <w:proofErr w:type="spellStart"/>
      <w:r>
        <w:t>belonging</w:t>
      </w:r>
      <w:proofErr w:type="spellEnd"/>
      <w:r>
        <w:t xml:space="preserve"> to 19 </w:t>
      </w:r>
      <w:proofErr w:type="spellStart"/>
      <w:r>
        <w:t>botanical</w:t>
      </w:r>
      <w:proofErr w:type="spellEnd"/>
      <w:r>
        <w:t xml:space="preserve"> </w:t>
      </w:r>
      <w:proofErr w:type="spellStart"/>
      <w:r>
        <w:t>families</w:t>
      </w:r>
      <w:proofErr w:type="spellEnd"/>
      <w:r>
        <w:t xml:space="preserve"> </w:t>
      </w:r>
      <w:proofErr w:type="spellStart"/>
      <w:r>
        <w:t>were</w:t>
      </w:r>
      <w:proofErr w:type="spellEnd"/>
      <w:r>
        <w:t xml:space="preserve"> </w:t>
      </w:r>
      <w:proofErr w:type="spellStart"/>
      <w:r>
        <w:t>recorded</w:t>
      </w:r>
      <w:proofErr w:type="spellEnd"/>
      <w:r>
        <w:t xml:space="preserve">.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and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w:t>
      </w:r>
      <w:proofErr w:type="spellStart"/>
      <w:r>
        <w:t>cited</w:t>
      </w:r>
      <w:proofErr w:type="spellEnd"/>
      <w:r>
        <w:t xml:space="preserve"> at 14% and 10%, </w:t>
      </w:r>
      <w:proofErr w:type="spellStart"/>
      <w:r>
        <w:t>respectively</w:t>
      </w:r>
      <w:proofErr w:type="spellEnd"/>
      <w:r>
        <w:t xml:space="preserve">, </w:t>
      </w:r>
      <w:proofErr w:type="spellStart"/>
      <w:r>
        <w:t>were</w:t>
      </w:r>
      <w:proofErr w:type="spellEnd"/>
      <w:r>
        <w:t xml:space="preserve"> </w:t>
      </w:r>
      <w:proofErr w:type="spellStart"/>
      <w:r>
        <w:t>selected</w:t>
      </w:r>
      <w:proofErr w:type="spellEnd"/>
      <w:r>
        <w:t xml:space="preserve"> for </w:t>
      </w:r>
      <w:proofErr w:type="spellStart"/>
      <w:r>
        <w:t>laboratory</w:t>
      </w:r>
      <w:proofErr w:type="spellEnd"/>
      <w:r>
        <w:t xml:space="preserve"> </w:t>
      </w:r>
      <w:proofErr w:type="spellStart"/>
      <w:r>
        <w:t>evaluation</w:t>
      </w:r>
      <w:proofErr w:type="spellEnd"/>
      <w:r>
        <w:t xml:space="preserve">. </w:t>
      </w:r>
      <w:proofErr w:type="spellStart"/>
      <w:r>
        <w:t>Ethanolic</w:t>
      </w:r>
      <w:proofErr w:type="spellEnd"/>
      <w:r>
        <w:t xml:space="preserve"> </w:t>
      </w:r>
      <w:proofErr w:type="spellStart"/>
      <w:r>
        <w:t>macerates</w:t>
      </w:r>
      <w:proofErr w:type="spellEnd"/>
      <w:r>
        <w:t xml:space="preserve"> </w:t>
      </w:r>
      <w:proofErr w:type="spellStart"/>
      <w:r>
        <w:t>were</w:t>
      </w:r>
      <w:proofErr w:type="spellEnd"/>
      <w:r>
        <w:t xml:space="preserve"> </w:t>
      </w:r>
      <w:proofErr w:type="spellStart"/>
      <w:r>
        <w:t>analysed</w:t>
      </w:r>
      <w:proofErr w:type="spellEnd"/>
      <w:r>
        <w:t xml:space="preserve"> for </w:t>
      </w:r>
      <w:proofErr w:type="spellStart"/>
      <w:r>
        <w:t>ascorbic</w:t>
      </w:r>
      <w:proofErr w:type="spellEnd"/>
      <w:r>
        <w:t xml:space="preserve"> </w:t>
      </w:r>
      <w:proofErr w:type="spellStart"/>
      <w:r>
        <w:t>acid</w:t>
      </w:r>
      <w:proofErr w:type="spellEnd"/>
      <w:r>
        <w:t xml:space="preserve">, total </w:t>
      </w:r>
      <w:proofErr w:type="spellStart"/>
      <w:r>
        <w:t>sugars</w:t>
      </w:r>
      <w:proofErr w:type="spellEnd"/>
      <w:r>
        <w:t xml:space="preserve">, total </w:t>
      </w:r>
      <w:proofErr w:type="spellStart"/>
      <w:r>
        <w:t>phenolics</w:t>
      </w:r>
      <w:proofErr w:type="spellEnd"/>
      <w:r>
        <w:t xml:space="preserve">, and total </w:t>
      </w:r>
      <w:proofErr w:type="spellStart"/>
      <w:r>
        <w:t>flavonoids</w:t>
      </w:r>
      <w:proofErr w:type="spellEnd"/>
      <w:r>
        <w:t xml:space="preserve">. </w:t>
      </w:r>
      <w:proofErr w:type="spellStart"/>
      <w:r>
        <w:t>Antioxidant</w:t>
      </w:r>
      <w:proofErr w:type="spellEnd"/>
      <w:r>
        <w:t xml:space="preserve"> </w:t>
      </w:r>
      <w:proofErr w:type="spellStart"/>
      <w:r>
        <w:t>activity</w:t>
      </w:r>
      <w:proofErr w:type="spellEnd"/>
      <w:r>
        <w:t xml:space="preserve"> </w:t>
      </w:r>
      <w:proofErr w:type="spellStart"/>
      <w:r>
        <w:t>was</w:t>
      </w:r>
      <w:proofErr w:type="spellEnd"/>
      <w:r>
        <w:t xml:space="preserve"> </w:t>
      </w:r>
      <w:proofErr w:type="spellStart"/>
      <w:r>
        <w:t>evaluated</w:t>
      </w:r>
      <w:proofErr w:type="spellEnd"/>
      <w:r>
        <w:t xml:space="preserve"> </w:t>
      </w:r>
      <w:proofErr w:type="spellStart"/>
      <w:r>
        <w:t>using</w:t>
      </w:r>
      <w:proofErr w:type="spellEnd"/>
      <w:r>
        <w:t xml:space="preserve"> DPPH•, FRAP, and ABTS•+ </w:t>
      </w:r>
      <w:proofErr w:type="spellStart"/>
      <w:r>
        <w:t>assays</w:t>
      </w:r>
      <w:proofErr w:type="spellEnd"/>
      <w:r>
        <w:t xml:space="preserve">, and Total </w:t>
      </w:r>
      <w:proofErr w:type="spellStart"/>
      <w:r>
        <w:t>Mesophilic</w:t>
      </w:r>
      <w:proofErr w:type="spellEnd"/>
      <w:r>
        <w:t xml:space="preserve"> </w:t>
      </w:r>
      <w:proofErr w:type="spellStart"/>
      <w:r>
        <w:t>Aerobic</w:t>
      </w:r>
      <w:proofErr w:type="spellEnd"/>
      <w:r>
        <w:t xml:space="preserve"> Flora </w:t>
      </w:r>
      <w:proofErr w:type="spellStart"/>
      <w:r>
        <w:t>was</w:t>
      </w:r>
      <w:proofErr w:type="spellEnd"/>
      <w:r>
        <w:t xml:space="preserve"> </w:t>
      </w:r>
      <w:proofErr w:type="spellStart"/>
      <w:r>
        <w:t>enumerated</w:t>
      </w:r>
      <w:proofErr w:type="spellEnd"/>
      <w:r>
        <w:t xml:space="preserve">. </w:t>
      </w:r>
    </w:p>
    <w:p w14:paraId="1B209762" w14:textId="77777777" w:rsidR="00026201" w:rsidRDefault="00026201" w:rsidP="00B80458">
      <w:pPr>
        <w:spacing w:line="360" w:lineRule="auto"/>
        <w:jc w:val="both"/>
      </w:pPr>
      <w:proofErr w:type="spellStart"/>
      <w:r>
        <w:rPr>
          <w:rStyle w:val="Strong"/>
        </w:rPr>
        <w:t>Results</w:t>
      </w:r>
      <w:proofErr w:type="spellEnd"/>
      <w:r>
        <w:rPr>
          <w:rStyle w:val="Strong"/>
        </w:rPr>
        <w:t>:</w:t>
      </w:r>
      <w:r>
        <w:t xml:space="preserve">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w:t>
      </w:r>
      <w:proofErr w:type="spellStart"/>
      <w:r>
        <w:t>bark</w:t>
      </w:r>
      <w:proofErr w:type="spellEnd"/>
      <w:r>
        <w:t xml:space="preserve"> </w:t>
      </w:r>
      <w:proofErr w:type="spellStart"/>
      <w:r>
        <w:t>from</w:t>
      </w:r>
      <w:proofErr w:type="spellEnd"/>
      <w:r>
        <w:t xml:space="preserve"> Boromo </w:t>
      </w:r>
      <w:proofErr w:type="spellStart"/>
      <w:r>
        <w:t>had</w:t>
      </w:r>
      <w:proofErr w:type="spellEnd"/>
      <w:r>
        <w:t xml:space="preserve"> the </w:t>
      </w:r>
      <w:proofErr w:type="spellStart"/>
      <w:r>
        <w:t>highest</w:t>
      </w:r>
      <w:proofErr w:type="spellEnd"/>
      <w:r>
        <w:t xml:space="preserve"> </w:t>
      </w:r>
      <w:proofErr w:type="spellStart"/>
      <w:r>
        <w:t>ascorbic</w:t>
      </w:r>
      <w:proofErr w:type="spellEnd"/>
      <w:r>
        <w:t xml:space="preserve"> </w:t>
      </w:r>
      <w:proofErr w:type="spellStart"/>
      <w:r>
        <w:t>acid</w:t>
      </w:r>
      <w:proofErr w:type="spellEnd"/>
      <w:r>
        <w:t xml:space="preserve"> content (1.5 mg EAA/100 mg), </w:t>
      </w:r>
      <w:proofErr w:type="spellStart"/>
      <w:r>
        <w:t>whereas</w:t>
      </w:r>
      <w:proofErr w:type="spellEnd"/>
      <w:r>
        <w:t xml:space="preserve">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w:t>
      </w:r>
      <w:proofErr w:type="spellStart"/>
      <w:r>
        <w:t>from</w:t>
      </w:r>
      <w:proofErr w:type="spellEnd"/>
      <w:r>
        <w:t xml:space="preserve"> Boromo </w:t>
      </w:r>
      <w:proofErr w:type="spellStart"/>
      <w:r>
        <w:t>had</w:t>
      </w:r>
      <w:proofErr w:type="spellEnd"/>
      <w:r>
        <w:t xml:space="preserve"> the </w:t>
      </w:r>
      <w:proofErr w:type="spellStart"/>
      <w:r>
        <w:t>highest</w:t>
      </w:r>
      <w:proofErr w:type="spellEnd"/>
      <w:r>
        <w:t xml:space="preserve"> total </w:t>
      </w:r>
      <w:proofErr w:type="spellStart"/>
      <w:r>
        <w:t>sugar</w:t>
      </w:r>
      <w:proofErr w:type="spellEnd"/>
      <w:r>
        <w:t xml:space="preserve"> content (363.66 µg ES/100 mg). The </w:t>
      </w:r>
      <w:proofErr w:type="spellStart"/>
      <w:r>
        <w:t>highest</w:t>
      </w:r>
      <w:proofErr w:type="spellEnd"/>
      <w:r>
        <w:t xml:space="preserve"> total </w:t>
      </w:r>
      <w:proofErr w:type="spellStart"/>
      <w:r>
        <w:t>phenolic</w:t>
      </w:r>
      <w:proofErr w:type="spellEnd"/>
      <w:r>
        <w:t xml:space="preserve"> content </w:t>
      </w:r>
      <w:proofErr w:type="spellStart"/>
      <w:r>
        <w:t>was</w:t>
      </w:r>
      <w:proofErr w:type="spellEnd"/>
      <w:r>
        <w:t xml:space="preserve"> </w:t>
      </w:r>
      <w:proofErr w:type="spellStart"/>
      <w:r>
        <w:t>observed</w:t>
      </w:r>
      <w:proofErr w:type="spellEnd"/>
      <w:r>
        <w:t xml:space="preserve"> in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w:t>
      </w:r>
      <w:proofErr w:type="spellStart"/>
      <w:r>
        <w:t>from</w:t>
      </w:r>
      <w:proofErr w:type="spellEnd"/>
      <w:r>
        <w:t xml:space="preserve"> Bobo-Dioulasso (26,724.11 ± 67.54 µg EAG/g), </w:t>
      </w:r>
      <w:proofErr w:type="spellStart"/>
      <w:r>
        <w:t>while</w:t>
      </w:r>
      <w:proofErr w:type="spellEnd"/>
      <w:r>
        <w:t xml:space="preserve">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w:t>
      </w:r>
      <w:proofErr w:type="spellStart"/>
      <w:r>
        <w:t>from</w:t>
      </w:r>
      <w:proofErr w:type="spellEnd"/>
      <w:r>
        <w:t xml:space="preserve"> Bobo-Dioulasso </w:t>
      </w:r>
      <w:proofErr w:type="spellStart"/>
      <w:r>
        <w:t>had</w:t>
      </w:r>
      <w:proofErr w:type="spellEnd"/>
      <w:r>
        <w:t xml:space="preserve"> the </w:t>
      </w:r>
      <w:proofErr w:type="spellStart"/>
      <w:r>
        <w:t>highest</w:t>
      </w:r>
      <w:proofErr w:type="spellEnd"/>
      <w:r>
        <w:t xml:space="preserve"> total </w:t>
      </w:r>
      <w:proofErr w:type="spellStart"/>
      <w:r>
        <w:t>flavonoid</w:t>
      </w:r>
      <w:proofErr w:type="spellEnd"/>
      <w:r>
        <w:t xml:space="preserve"> content (3.93 ± 0.038 µg EQ/100 mg). </w:t>
      </w:r>
      <w:proofErr w:type="spellStart"/>
      <w:r>
        <w:t>Antioxidant</w:t>
      </w:r>
      <w:proofErr w:type="spellEnd"/>
      <w:r>
        <w:t xml:space="preserve"> </w:t>
      </w:r>
      <w:proofErr w:type="spellStart"/>
      <w:r>
        <w:t>activity</w:t>
      </w:r>
      <w:proofErr w:type="spellEnd"/>
      <w:r>
        <w:t xml:space="preserve"> </w:t>
      </w:r>
      <w:proofErr w:type="spellStart"/>
      <w:r>
        <w:t>was</w:t>
      </w:r>
      <w:proofErr w:type="spellEnd"/>
      <w:r>
        <w:t xml:space="preserve"> </w:t>
      </w:r>
      <w:proofErr w:type="spellStart"/>
      <w:r>
        <w:t>detected</w:t>
      </w:r>
      <w:proofErr w:type="spellEnd"/>
      <w:r>
        <w:t xml:space="preserve"> </w:t>
      </w:r>
      <w:proofErr w:type="spellStart"/>
      <w:r>
        <w:t>across</w:t>
      </w:r>
      <w:proofErr w:type="spellEnd"/>
      <w:r>
        <w:t xml:space="preserve"> the </w:t>
      </w:r>
      <w:proofErr w:type="spellStart"/>
      <w:r>
        <w:t>assays</w:t>
      </w:r>
      <w:proofErr w:type="spellEnd"/>
      <w:r>
        <w:t xml:space="preserve">, and </w:t>
      </w:r>
      <w:proofErr w:type="spellStart"/>
      <w:r>
        <w:t>microbial</w:t>
      </w:r>
      <w:proofErr w:type="spellEnd"/>
      <w:r>
        <w:t xml:space="preserve"> </w:t>
      </w:r>
      <w:proofErr w:type="spellStart"/>
      <w:r>
        <w:t>counts</w:t>
      </w:r>
      <w:proofErr w:type="spellEnd"/>
      <w:r>
        <w:t xml:space="preserve"> </w:t>
      </w:r>
      <w:proofErr w:type="spellStart"/>
      <w:r>
        <w:t>varied</w:t>
      </w:r>
      <w:proofErr w:type="spellEnd"/>
      <w:r>
        <w:t xml:space="preserve"> by collection site. </w:t>
      </w:r>
    </w:p>
    <w:p w14:paraId="0D7F4EE2" w14:textId="06984876" w:rsidR="001D665B" w:rsidRPr="00883413" w:rsidRDefault="00026201" w:rsidP="00B80458">
      <w:pPr>
        <w:spacing w:line="360" w:lineRule="auto"/>
        <w:jc w:val="both"/>
        <w:rPr>
          <w:rFonts w:ascii="Times New Roman" w:hAnsi="Times New Roman" w:cs="Times New Roman"/>
          <w:lang w:val="en-US"/>
        </w:rPr>
      </w:pPr>
      <w:r>
        <w:rPr>
          <w:rStyle w:val="Strong"/>
        </w:rPr>
        <w:t>Conclusion:</w:t>
      </w:r>
      <w:r>
        <w:t xml:space="preserve"> The </w:t>
      </w:r>
      <w:proofErr w:type="spellStart"/>
      <w:r>
        <w:t>findings</w:t>
      </w:r>
      <w:proofErr w:type="spellEnd"/>
      <w:r>
        <w:t xml:space="preserve"> document the </w:t>
      </w:r>
      <w:proofErr w:type="spellStart"/>
      <w:r>
        <w:t>traditional</w:t>
      </w:r>
      <w:proofErr w:type="spellEnd"/>
      <w:r>
        <w:t xml:space="preserve"> use and </w:t>
      </w:r>
      <w:proofErr w:type="spellStart"/>
      <w:r>
        <w:t>measured</w:t>
      </w:r>
      <w:proofErr w:type="spellEnd"/>
      <w:r>
        <w:t xml:space="preserve"> </w:t>
      </w:r>
      <w:proofErr w:type="spellStart"/>
      <w:r>
        <w:t>biochemical</w:t>
      </w:r>
      <w:proofErr w:type="spellEnd"/>
      <w:r>
        <w:t xml:space="preserve"> </w:t>
      </w:r>
      <w:proofErr w:type="spellStart"/>
      <w:r>
        <w:t>properties</w:t>
      </w:r>
      <w:proofErr w:type="spellEnd"/>
      <w:r>
        <w:t xml:space="preserve"> of the </w:t>
      </w:r>
      <w:proofErr w:type="spellStart"/>
      <w:r>
        <w:t>selected</w:t>
      </w:r>
      <w:proofErr w:type="spellEnd"/>
      <w:r>
        <w:t xml:space="preserve"> plants </w:t>
      </w:r>
      <w:proofErr w:type="spellStart"/>
      <w:r>
        <w:t>while</w:t>
      </w:r>
      <w:proofErr w:type="spellEnd"/>
      <w:r>
        <w:t xml:space="preserve"> </w:t>
      </w:r>
      <w:proofErr w:type="spellStart"/>
      <w:r>
        <w:t>underscoring</w:t>
      </w:r>
      <w:proofErr w:type="spellEnd"/>
      <w:r>
        <w:t xml:space="preserve"> the importance of </w:t>
      </w:r>
      <w:proofErr w:type="spellStart"/>
      <w:r>
        <w:t>microbiological</w:t>
      </w:r>
      <w:proofErr w:type="spellEnd"/>
      <w:r>
        <w:t xml:space="preserve"> </w:t>
      </w:r>
      <w:proofErr w:type="spellStart"/>
      <w:r>
        <w:t>quality</w:t>
      </w:r>
      <w:proofErr w:type="spellEnd"/>
      <w:r>
        <w:t xml:space="preserve"> control and </w:t>
      </w:r>
      <w:proofErr w:type="spellStart"/>
      <w:r>
        <w:t>further</w:t>
      </w:r>
      <w:proofErr w:type="spellEnd"/>
      <w:r>
        <w:t xml:space="preserve"> </w:t>
      </w:r>
      <w:proofErr w:type="spellStart"/>
      <w:r>
        <w:t>scientific</w:t>
      </w:r>
      <w:proofErr w:type="spellEnd"/>
      <w:r>
        <w:t xml:space="preserve"> </w:t>
      </w:r>
      <w:proofErr w:type="spellStart"/>
      <w:r>
        <w:t>evaluation</w:t>
      </w:r>
      <w:proofErr w:type="spellEnd"/>
      <w:r>
        <w:t>.</w:t>
      </w:r>
      <w:r w:rsidR="001D665B" w:rsidRPr="00883413">
        <w:rPr>
          <w:rFonts w:ascii="Times New Roman" w:hAnsi="Times New Roman" w:cs="Times New Roman"/>
          <w:lang w:val="en-US"/>
        </w:rPr>
        <w:t>Keywords: Type 2 diabetes, ethnobotany, quality control, medicinal plants.</w:t>
      </w:r>
    </w:p>
    <w:p w14:paraId="6801E15B" w14:textId="77777777" w:rsidR="001D665B" w:rsidRPr="00883413" w:rsidRDefault="001D665B" w:rsidP="00B80458">
      <w:pPr>
        <w:spacing w:line="360" w:lineRule="auto"/>
        <w:jc w:val="both"/>
        <w:rPr>
          <w:rFonts w:ascii="Times New Roman" w:hAnsi="Times New Roman" w:cs="Times New Roman"/>
          <w:lang w:val="en-US"/>
        </w:rPr>
      </w:pPr>
    </w:p>
    <w:p w14:paraId="2B2F552C" w14:textId="77777777" w:rsidR="006955AD" w:rsidRPr="00AC7972" w:rsidRDefault="006955AD" w:rsidP="00B80458">
      <w:pPr>
        <w:spacing w:line="360" w:lineRule="auto"/>
        <w:jc w:val="both"/>
        <w:rPr>
          <w:rFonts w:ascii="Times New Roman" w:hAnsi="Times New Roman" w:cs="Times New Roman"/>
          <w:b/>
          <w:bCs/>
          <w:lang w:val="en-US"/>
        </w:rPr>
      </w:pPr>
      <w:r w:rsidRPr="00AC7972">
        <w:rPr>
          <w:rFonts w:ascii="Times New Roman" w:hAnsi="Times New Roman" w:cs="Times New Roman"/>
          <w:b/>
          <w:bCs/>
          <w:lang w:val="en-US"/>
        </w:rPr>
        <w:t>1. Introduction</w:t>
      </w:r>
    </w:p>
    <w:p w14:paraId="51E34F27" w14:textId="1CA1FB88" w:rsidR="006955AD" w:rsidRPr="00AC7972" w:rsidRDefault="006955AD"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Diabetes is a chronic metabolic disease </w:t>
      </w:r>
      <w:proofErr w:type="spellStart"/>
      <w:r>
        <w:rPr>
          <w:rFonts w:ascii="Times New Roman" w:hAnsi="Times New Roman" w:cs="Times New Roman"/>
          <w:highlight w:val="yellow"/>
          <w:lang w:val="en-US"/>
        </w:rPr>
        <w:t>characterised</w:t>
      </w:r>
      <w:proofErr w:type="spellEnd"/>
      <w:r>
        <w:rPr>
          <w:rFonts w:ascii="Times New Roman" w:hAnsi="Times New Roman" w:cs="Times New Roman"/>
          <w:lang w:val="en-US"/>
        </w:rPr>
        <w:t xml:space="preserve"> by high blood glucose levels due to defects in insulin secretion and/or action (Dong et al., 2024). High blood glucose levels lead to </w:t>
      </w:r>
      <w:r>
        <w:rPr>
          <w:rFonts w:ascii="Times New Roman" w:hAnsi="Times New Roman" w:cs="Times New Roman"/>
          <w:lang w:val="en-US"/>
        </w:rPr>
        <w:lastRenderedPageBreak/>
        <w:t xml:space="preserve">the production of reactive oxygen species (ROS), which promote oxidative stress, impair insulin </w:t>
      </w:r>
      <w:proofErr w:type="spellStart"/>
      <w:r>
        <w:rPr>
          <w:rFonts w:ascii="Times New Roman" w:hAnsi="Times New Roman" w:cs="Times New Roman"/>
          <w:highlight w:val="yellow"/>
          <w:lang w:val="en-US"/>
        </w:rPr>
        <w:t>signalling</w:t>
      </w:r>
      <w:proofErr w:type="spellEnd"/>
      <w:r>
        <w:rPr>
          <w:rFonts w:ascii="Times New Roman" w:hAnsi="Times New Roman" w:cs="Times New Roman"/>
          <w:lang w:val="en-US"/>
        </w:rPr>
        <w:t>, and induce insulin resistance (</w:t>
      </w:r>
      <w:proofErr w:type="spellStart"/>
      <w:r>
        <w:rPr>
          <w:rFonts w:ascii="Times New Roman" w:hAnsi="Times New Roman" w:cs="Times New Roman"/>
          <w:lang w:val="en-US"/>
        </w:rPr>
        <w:t>Belemnaba</w:t>
      </w:r>
      <w:proofErr w:type="spellEnd"/>
      <w:r>
        <w:rPr>
          <w:rFonts w:ascii="Times New Roman" w:hAnsi="Times New Roman" w:cs="Times New Roman"/>
          <w:lang w:val="en-US"/>
        </w:rPr>
        <w:t xml:space="preserve"> et al., 202</w:t>
      </w:r>
      <w:r w:rsidR="00B04D5D">
        <w:rPr>
          <w:rFonts w:ascii="Times New Roman" w:hAnsi="Times New Roman" w:cs="Times New Roman"/>
          <w:lang w:val="en-US"/>
        </w:rPr>
        <w:t>5</w:t>
      </w:r>
      <w:r>
        <w:rPr>
          <w:rFonts w:ascii="Times New Roman" w:hAnsi="Times New Roman" w:cs="Times New Roman"/>
          <w:lang w:val="en-US"/>
        </w:rPr>
        <w:t xml:space="preserve">). </w:t>
      </w:r>
      <w:r>
        <w:rPr>
          <w:rFonts w:ascii="Times New Roman" w:hAnsi="Times New Roman" w:cs="Times New Roman"/>
          <w:highlight w:val="yellow"/>
          <w:lang w:val="en-US"/>
        </w:rPr>
        <w:t xml:space="preserve">According to </w:t>
      </w:r>
      <w:proofErr w:type="spellStart"/>
      <w:r>
        <w:rPr>
          <w:rFonts w:ascii="Times New Roman" w:hAnsi="Times New Roman" w:cs="Times New Roman"/>
          <w:highlight w:val="yellow"/>
          <w:lang w:val="en-US"/>
        </w:rPr>
        <w:t>Jlali</w:t>
      </w:r>
      <w:proofErr w:type="spellEnd"/>
      <w:r>
        <w:rPr>
          <w:rFonts w:ascii="Times New Roman" w:hAnsi="Times New Roman" w:cs="Times New Roman"/>
          <w:highlight w:val="yellow"/>
          <w:lang w:val="en-US"/>
        </w:rPr>
        <w:t xml:space="preserve"> (2023)</w:t>
      </w:r>
      <w:r>
        <w:rPr>
          <w:rFonts w:ascii="Times New Roman" w:hAnsi="Times New Roman" w:cs="Times New Roman"/>
          <w:lang w:val="en-US"/>
        </w:rPr>
        <w:t xml:space="preserve">, diabetes mellitus is primarily divided into two forms: type 1 diabetes (T1D) and type 2 diabetes (T2D). Both non-modifiable factors (autoimmune destruction of pancreatic beta cells, genetic predisposition) and modifiable factors (viral infections, overeating, physical inactivity, obesity) can contribute to the development of this disease (Leduc et al., 2006; </w:t>
      </w:r>
      <w:proofErr w:type="spellStart"/>
      <w:r>
        <w:rPr>
          <w:rFonts w:ascii="Times New Roman" w:hAnsi="Times New Roman" w:cs="Times New Roman"/>
          <w:lang w:val="en-US"/>
        </w:rPr>
        <w:t>Ricciardolo</w:t>
      </w:r>
      <w:proofErr w:type="spellEnd"/>
      <w:r>
        <w:rPr>
          <w:rFonts w:ascii="Times New Roman" w:hAnsi="Times New Roman" w:cs="Times New Roman"/>
          <w:lang w:val="en-US"/>
        </w:rPr>
        <w:t>, 2023). According to the 2024 report by the International Diabetes Federation (IDF), approximately 588.7 million people worldwide are living with this disease (</w:t>
      </w:r>
      <w:proofErr w:type="spellStart"/>
      <w:r>
        <w:rPr>
          <w:rFonts w:ascii="Times New Roman" w:hAnsi="Times New Roman" w:cs="Times New Roman"/>
          <w:lang w:val="en-US"/>
        </w:rPr>
        <w:t>Genitsaridi</w:t>
      </w:r>
      <w:proofErr w:type="spellEnd"/>
      <w:r>
        <w:rPr>
          <w:rFonts w:ascii="Times New Roman" w:hAnsi="Times New Roman" w:cs="Times New Roman"/>
          <w:lang w:val="en-US"/>
        </w:rPr>
        <w:t xml:space="preserve"> et al., 2026). In Africa, the IDF estimates that 24.6 million people have diabetes (Abbas &amp; Gangji, 2025). In Burkina Faso, according to the STEPS survey, the overall prevalence rose from 4.9% in 2013 to 7.6% in 2021 (Millogo et al., 2015; </w:t>
      </w:r>
      <w:proofErr w:type="spellStart"/>
      <w:r>
        <w:rPr>
          <w:rFonts w:ascii="Times New Roman" w:hAnsi="Times New Roman" w:cs="Times New Roman"/>
          <w:lang w:val="en-US"/>
        </w:rPr>
        <w:t>Séré</w:t>
      </w:r>
      <w:proofErr w:type="spellEnd"/>
      <w:r>
        <w:rPr>
          <w:rFonts w:ascii="Times New Roman" w:hAnsi="Times New Roman" w:cs="Times New Roman"/>
          <w:lang w:val="en-US"/>
        </w:rPr>
        <w:t xml:space="preserve"> et al., 2021).</w:t>
      </w:r>
      <w:r w:rsidR="00C26807">
        <w:rPr>
          <w:rFonts w:ascii="Times New Roman" w:hAnsi="Times New Roman" w:cs="Times New Roman"/>
          <w:lang w:val="en-US"/>
        </w:rPr>
        <w:t xml:space="preserve"> </w:t>
      </w:r>
      <w:r>
        <w:rPr>
          <w:rFonts w:ascii="Times New Roman" w:hAnsi="Times New Roman" w:cs="Times New Roman"/>
          <w:highlight w:val="yellow"/>
          <w:lang w:val="en-US"/>
        </w:rPr>
        <w:t>Diabetes causes nearly 6.7 million deaths worldwide each year and approximately 416,000 deaths per year in Africa</w:t>
      </w:r>
      <w:r>
        <w:rPr>
          <w:rFonts w:ascii="Times New Roman" w:hAnsi="Times New Roman" w:cs="Times New Roman"/>
          <w:lang w:val="en-US"/>
        </w:rPr>
        <w:t xml:space="preserve"> (Duncan et al., 2025). According to Chen et al. (2026), managing this condition represents a heavy economic and social burden worldwide. Modern treatments lead to adverse effects and complications such as acidosis, severe </w:t>
      </w:r>
      <w:proofErr w:type="spellStart"/>
      <w:r>
        <w:rPr>
          <w:rFonts w:ascii="Times New Roman" w:hAnsi="Times New Roman" w:cs="Times New Roman"/>
          <w:highlight w:val="yellow"/>
          <w:lang w:val="en-US"/>
        </w:rPr>
        <w:t>hypoglycaemia</w:t>
      </w:r>
      <w:proofErr w:type="spellEnd"/>
      <w:r>
        <w:rPr>
          <w:rFonts w:ascii="Times New Roman" w:hAnsi="Times New Roman" w:cs="Times New Roman"/>
          <w:lang w:val="en-US"/>
        </w:rPr>
        <w:t xml:space="preserve">, </w:t>
      </w:r>
      <w:r>
        <w:rPr>
          <w:rFonts w:ascii="Times New Roman" w:hAnsi="Times New Roman" w:cs="Times New Roman"/>
          <w:highlight w:val="yellow"/>
          <w:lang w:val="en-US"/>
        </w:rPr>
        <w:t>oedema</w:t>
      </w:r>
      <w:r>
        <w:rPr>
          <w:rFonts w:ascii="Times New Roman" w:hAnsi="Times New Roman" w:cs="Times New Roman"/>
          <w:lang w:val="en-US"/>
        </w:rPr>
        <w:t>, obesity, ketoacidosis, high blood pressure, neuropathy, and cardiovascular diseases (heart failure, stroke) (Coulidiaty et al., 2025). To address this issue, it is therefore necessary to search for new bioactive compounds capable of managing diabetes and exhibiting fewer iatrogenic effects (</w:t>
      </w:r>
      <w:proofErr w:type="spellStart"/>
      <w:r>
        <w:rPr>
          <w:rFonts w:ascii="Times New Roman" w:hAnsi="Times New Roman" w:cs="Times New Roman"/>
          <w:lang w:val="en-US"/>
        </w:rPr>
        <w:t>Yameny</w:t>
      </w:r>
      <w:proofErr w:type="spellEnd"/>
      <w:r>
        <w:rPr>
          <w:rFonts w:ascii="Times New Roman" w:hAnsi="Times New Roman" w:cs="Times New Roman"/>
          <w:lang w:val="en-US"/>
        </w:rPr>
        <w:t>, 2025). Herbal medicine proves to be a good alternative because it has been used for centuries in the management of metabolic diseases, has fewer side effects and complications, and is more accessible (</w:t>
      </w:r>
      <w:r>
        <w:rPr>
          <w:rFonts w:ascii="Times New Roman" w:hAnsi="Times New Roman" w:cs="Times New Roman"/>
          <w:highlight w:val="yellow"/>
          <w:lang w:val="en-US"/>
        </w:rPr>
        <w:t>Jamshidi-Kia et al., 2018; World Health Organization, 2009</w:t>
      </w:r>
      <w:r>
        <w:rPr>
          <w:rFonts w:ascii="Times New Roman" w:hAnsi="Times New Roman" w:cs="Times New Roman"/>
          <w:lang w:val="en-US"/>
        </w:rPr>
        <w:t xml:space="preserve">). </w:t>
      </w:r>
      <w:r>
        <w:rPr>
          <w:rFonts w:ascii="Times New Roman" w:hAnsi="Times New Roman" w:cs="Times New Roman"/>
          <w:highlight w:val="yellow"/>
          <w:lang w:val="en-US"/>
        </w:rPr>
        <w:t xml:space="preserve">Thus, Wang et al. (2023) estimate that more than 80% of the world’s population and 90% of developing countries rely on traditional medicine for </w:t>
      </w:r>
      <w:r w:rsidRPr="00AC7972">
        <w:rPr>
          <w:rFonts w:ascii="Times New Roman" w:hAnsi="Times New Roman" w:cs="Times New Roman"/>
          <w:highlight w:val="yellow"/>
          <w:lang w:val="en-US"/>
        </w:rPr>
        <w:t>their primary care needs.</w:t>
      </w:r>
      <w:r w:rsidRPr="00AC7972">
        <w:rPr>
          <w:rFonts w:ascii="Times New Roman" w:hAnsi="Times New Roman" w:cs="Times New Roman"/>
          <w:lang w:val="en-US"/>
        </w:rPr>
        <w:t xml:space="preserve"> In fact, plants are a major source of bioactive compounds that can repair certain types of cellular damage caused by oxidative stress (Duarte et al., 2025; </w:t>
      </w:r>
      <w:r w:rsidRPr="00AC7972">
        <w:rPr>
          <w:rFonts w:ascii="Times New Roman" w:hAnsi="Times New Roman" w:cs="Times New Roman"/>
          <w:highlight w:val="yellow"/>
          <w:lang w:val="en-US"/>
        </w:rPr>
        <w:t>N’Do et al., 2024a</w:t>
      </w:r>
      <w:r w:rsidRPr="00AC7972">
        <w:rPr>
          <w:rFonts w:ascii="Times New Roman" w:hAnsi="Times New Roman" w:cs="Times New Roman"/>
          <w:lang w:val="en-US"/>
        </w:rPr>
        <w:t xml:space="preserve">). </w:t>
      </w:r>
    </w:p>
    <w:p w14:paraId="186060AA" w14:textId="77777777" w:rsidR="001F7690" w:rsidRPr="00AC7972" w:rsidRDefault="00000000">
      <w:pPr>
        <w:spacing w:line="360" w:lineRule="auto"/>
        <w:jc w:val="both"/>
      </w:pPr>
      <w:proofErr w:type="spellStart"/>
      <w:r w:rsidRPr="00AC7972">
        <w:rPr>
          <w:rFonts w:ascii="Times New Roman" w:hAnsi="Times New Roman"/>
          <w:highlight w:val="yellow"/>
        </w:rPr>
        <w:t>Recent</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systematic</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reviews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indicate</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that</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traditional</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medicine</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remains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widely</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used</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among</w:t>
      </w:r>
      <w:proofErr w:type="spellEnd"/>
      <w:r w:rsidRPr="00AC7972">
        <w:rPr>
          <w:rFonts w:ascii="Times New Roman" w:hAnsi="Times New Roman"/>
          <w:highlight w:val="yellow"/>
        </w:rPr>
        <w:t xml:space="preserve"> people </w:t>
      </w:r>
      <w:proofErr w:type="spellStart"/>
      <w:r w:rsidRPr="00AC7972">
        <w:rPr>
          <w:rFonts w:ascii="Times New Roman" w:hAnsi="Times New Roman"/>
          <w:highlight w:val="yellow"/>
        </w:rPr>
        <w:t>with</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diabetes</w:t>
      </w:r>
      <w:proofErr w:type="spellEnd"/>
      <w:r w:rsidRPr="00AC7972">
        <w:rPr>
          <w:rFonts w:ascii="Times New Roman" w:hAnsi="Times New Roman"/>
          <w:highlight w:val="yellow"/>
        </w:rPr>
        <w:t xml:space="preserve"> in </w:t>
      </w:r>
      <w:proofErr w:type="spellStart"/>
      <w:r w:rsidRPr="00AC7972">
        <w:rPr>
          <w:rFonts w:ascii="Times New Roman" w:hAnsi="Times New Roman"/>
          <w:highlight w:val="yellow"/>
        </w:rPr>
        <w:t>Africa</w:t>
      </w:r>
      <w:proofErr w:type="spellEnd"/>
      <w:r w:rsidRPr="00AC7972">
        <w:rPr>
          <w:rFonts w:ascii="Times New Roman" w:hAnsi="Times New Roman"/>
          <w:highlight w:val="yellow"/>
        </w:rPr>
        <w:t xml:space="preserve"> and </w:t>
      </w:r>
      <w:proofErr w:type="spellStart"/>
      <w:r w:rsidRPr="00AC7972">
        <w:rPr>
          <w:rFonts w:ascii="Times New Roman" w:hAnsi="Times New Roman"/>
          <w:highlight w:val="yellow"/>
        </w:rPr>
        <w:t>that</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indigenous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medicinal</w:t>
      </w:r>
      <w:proofErr w:type="spellEnd"/>
      <w:r w:rsidRPr="00AC7972">
        <w:rPr>
          <w:rFonts w:ascii="Times New Roman" w:hAnsi="Times New Roman"/>
          <w:highlight w:val="yellow"/>
        </w:rPr>
        <w:t xml:space="preserve"> plants continue to </w:t>
      </w:r>
      <w:proofErr w:type="spellStart"/>
      <w:r w:rsidRPr="00AC7972">
        <w:rPr>
          <w:rFonts w:ascii="Times New Roman" w:hAnsi="Times New Roman"/>
          <w:highlight w:val="yellow"/>
        </w:rPr>
        <w:t>receive</w:t>
      </w:r>
      <w:proofErr w:type="spellEnd"/>
      <w:r w:rsidRPr="00AC7972">
        <w:rPr>
          <w:rFonts w:ascii="Times New Roman" w:hAnsi="Times New Roman"/>
          <w:highlight w:val="yellow"/>
        </w:rPr>
        <w:t xml:space="preserve"> attention in </w:t>
      </w:r>
      <w:proofErr w:type="spellStart"/>
      <w:r w:rsidRPr="00AC7972">
        <w:rPr>
          <w:rFonts w:ascii="Times New Roman" w:hAnsi="Times New Roman"/>
          <w:highlight w:val="yellow"/>
        </w:rPr>
        <w:t>diabetes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research</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Ekpor</w:t>
      </w:r>
      <w:proofErr w:type="spellEnd"/>
      <w:r w:rsidRPr="00AC7972">
        <w:rPr>
          <w:rFonts w:ascii="Times New Roman" w:hAnsi="Times New Roman"/>
          <w:highlight w:val="yellow"/>
        </w:rPr>
        <w:t xml:space="preserve"> et al., 2024; Frimpong et al., 2024). </w:t>
      </w:r>
      <w:proofErr w:type="spellStart"/>
      <w:r w:rsidRPr="00AC7972">
        <w:rPr>
          <w:rFonts w:ascii="Times New Roman" w:hAnsi="Times New Roman"/>
          <w:highlight w:val="yellow"/>
        </w:rPr>
        <w:t>Reviews</w:t>
      </w:r>
      <w:proofErr w:type="spellEnd"/>
      <w:r w:rsidRPr="00AC7972">
        <w:rPr>
          <w:rFonts w:ascii="Times New Roman" w:hAnsi="Times New Roman"/>
          <w:highlight w:val="yellow"/>
        </w:rPr>
        <w:t xml:space="preserve"> of </w:t>
      </w:r>
      <w:proofErr w:type="spellStart"/>
      <w:r w:rsidRPr="00AC7972">
        <w:rPr>
          <w:rFonts w:ascii="Times New Roman" w:hAnsi="Times New Roman"/>
          <w:highlight w:val="yellow"/>
        </w:rPr>
        <w:t>antidiabetic</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medicinal</w:t>
      </w:r>
      <w:proofErr w:type="spellEnd"/>
      <w:r w:rsidRPr="00AC7972">
        <w:rPr>
          <w:rFonts w:ascii="Times New Roman" w:hAnsi="Times New Roman"/>
          <w:highlight w:val="yellow"/>
        </w:rPr>
        <w:t xml:space="preserve"> plants </w:t>
      </w:r>
      <w:proofErr w:type="spellStart"/>
      <w:r w:rsidRPr="00AC7972">
        <w:rPr>
          <w:rFonts w:ascii="Times New Roman" w:hAnsi="Times New Roman"/>
          <w:highlight w:val="yellow"/>
        </w:rPr>
        <w:t>likewise</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describe</w:t>
      </w:r>
      <w:proofErr w:type="spellEnd"/>
      <w:r w:rsidRPr="00AC7972">
        <w:rPr>
          <w:rFonts w:ascii="Times New Roman" w:hAnsi="Times New Roman"/>
          <w:highlight w:val="yellow"/>
        </w:rPr>
        <w:t xml:space="preserve"> the </w:t>
      </w:r>
      <w:proofErr w:type="spellStart"/>
      <w:r w:rsidRPr="00AC7972">
        <w:rPr>
          <w:rFonts w:ascii="Times New Roman" w:hAnsi="Times New Roman"/>
          <w:highlight w:val="yellow"/>
        </w:rPr>
        <w:t>continued</w:t>
      </w:r>
      <w:proofErr w:type="spellEnd"/>
      <w:r w:rsidRPr="00AC7972">
        <w:rPr>
          <w:rFonts w:ascii="Times New Roman" w:hAnsi="Times New Roman"/>
          <w:highlight w:val="yellow"/>
        </w:rPr>
        <w:t xml:space="preserve"> use of plant-</w:t>
      </w:r>
      <w:proofErr w:type="spellStart"/>
      <w:r w:rsidRPr="00AC7972">
        <w:rPr>
          <w:rFonts w:ascii="Times New Roman" w:hAnsi="Times New Roman"/>
          <w:highlight w:val="yellow"/>
        </w:rPr>
        <w:t>based</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remedies</w:t>
      </w:r>
      <w:proofErr w:type="spellEnd"/>
      <w:r w:rsidRPr="00AC7972">
        <w:rPr>
          <w:rFonts w:ascii="Times New Roman" w:hAnsi="Times New Roman"/>
          <w:highlight w:val="yellow"/>
        </w:rPr>
        <w:t xml:space="preserve"> and the </w:t>
      </w:r>
      <w:proofErr w:type="spellStart"/>
      <w:r w:rsidRPr="00AC7972">
        <w:rPr>
          <w:rFonts w:ascii="Times New Roman" w:hAnsi="Times New Roman"/>
          <w:highlight w:val="yellow"/>
        </w:rPr>
        <w:t>need</w:t>
      </w:r>
      <w:proofErr w:type="spellEnd"/>
      <w:r w:rsidRPr="00AC7972">
        <w:rPr>
          <w:rFonts w:ascii="Times New Roman" w:hAnsi="Times New Roman"/>
          <w:highlight w:val="yellow"/>
        </w:rPr>
        <w:t xml:space="preserve"> for </w:t>
      </w:r>
      <w:proofErr w:type="spellStart"/>
      <w:r w:rsidRPr="00AC7972">
        <w:rPr>
          <w:rFonts w:ascii="Times New Roman" w:hAnsi="Times New Roman"/>
          <w:highlight w:val="yellow"/>
        </w:rPr>
        <w:t>scientific</w:t>
      </w:r>
      <w:proofErr w:type="spellEnd"/>
      <w:r w:rsidRPr="00AC7972">
        <w:rPr>
          <w:rFonts w:ascii="Times New Roman" w:hAnsi="Times New Roman"/>
          <w:highlight w:val="yellow"/>
        </w:rPr>
        <w:t xml:space="preserve"> validation of </w:t>
      </w:r>
      <w:proofErr w:type="spellStart"/>
      <w:r w:rsidRPr="00AC7972">
        <w:rPr>
          <w:rFonts w:ascii="Times New Roman" w:hAnsi="Times New Roman"/>
          <w:highlight w:val="yellow"/>
        </w:rPr>
        <w:t>their</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therapeutic</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potential</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Idaguko</w:t>
      </w:r>
      <w:proofErr w:type="spellEnd"/>
      <w:r w:rsidRPr="00AC7972">
        <w:rPr>
          <w:rFonts w:ascii="Times New Roman" w:hAnsi="Times New Roman"/>
          <w:highlight w:val="yellow"/>
        </w:rPr>
        <w:t xml:space="preserve"> &amp; Adeniyi, 2023; Singh &amp; Sharma, 2025). For </w:t>
      </w:r>
      <w:proofErr w:type="spellStart"/>
      <w:r w:rsidRPr="00AC7972">
        <w:rPr>
          <w:rFonts w:ascii="Times New Roman" w:hAnsi="Times New Roman"/>
          <w:i/>
          <w:highlight w:val="yellow"/>
        </w:rPr>
        <w:t>Sclerocarya</w:t>
      </w:r>
      <w:proofErr w:type="spellEnd"/>
      <w:r w:rsidRPr="00AC7972">
        <w:rPr>
          <w:rFonts w:ascii="Times New Roman" w:hAnsi="Times New Roman"/>
          <w:i/>
          <w:highlight w:val="yellow"/>
        </w:rPr>
        <w:t xml:space="preserve"> </w:t>
      </w:r>
      <w:proofErr w:type="spellStart"/>
      <w:r w:rsidRPr="00AC7972">
        <w:rPr>
          <w:rFonts w:ascii="Times New Roman" w:hAnsi="Times New Roman"/>
          <w:i/>
          <w:highlight w:val="yellow"/>
        </w:rPr>
        <w:t>birrea</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specifically</w:t>
      </w:r>
      <w:proofErr w:type="spellEnd"/>
      <w:r w:rsidRPr="00AC7972">
        <w:rPr>
          <w:rFonts w:ascii="Times New Roman" w:hAnsi="Times New Roman"/>
          <w:highlight w:val="yellow"/>
        </w:rPr>
        <w:t xml:space="preserve">, a </w:t>
      </w:r>
      <w:proofErr w:type="spellStart"/>
      <w:r w:rsidRPr="00AC7972">
        <w:rPr>
          <w:rFonts w:ascii="Times New Roman" w:hAnsi="Times New Roman"/>
          <w:highlight w:val="yellow"/>
        </w:rPr>
        <w:t>recent</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systematic</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review</w:t>
      </w:r>
      <w:proofErr w:type="spellEnd"/>
      <w:r w:rsidRPr="00AC7972">
        <w:rPr>
          <w:rFonts w:ascii="Times New Roman" w:hAnsi="Times New Roman"/>
          <w:highlight w:val="yellow"/>
        </w:rPr>
        <w:t xml:space="preserve"> and </w:t>
      </w:r>
      <w:proofErr w:type="spellStart"/>
      <w:r w:rsidRPr="00AC7972">
        <w:rPr>
          <w:rFonts w:ascii="Times New Roman" w:hAnsi="Times New Roman"/>
          <w:highlight w:val="yellow"/>
        </w:rPr>
        <w:t>meta-analysis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synthesised</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preclinical</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evidence</w:t>
      </w:r>
      <w:proofErr w:type="spellEnd"/>
      <w:r w:rsidRPr="00AC7972">
        <w:rPr>
          <w:rFonts w:ascii="Times New Roman" w:hAnsi="Times New Roman"/>
          <w:highlight w:val="yellow"/>
        </w:rPr>
        <w:t xml:space="preserve"> of </w:t>
      </w:r>
      <w:proofErr w:type="spellStart"/>
      <w:r w:rsidRPr="00AC7972">
        <w:rPr>
          <w:rFonts w:ascii="Times New Roman" w:hAnsi="Times New Roman"/>
          <w:highlight w:val="yellow"/>
        </w:rPr>
        <w:t>antihyperglycaemic</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effects</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while</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noting</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variability</w:t>
      </w:r>
      <w:proofErr w:type="spellEnd"/>
      <w:r w:rsidRPr="00AC7972">
        <w:rPr>
          <w:rFonts w:ascii="Times New Roman" w:hAnsi="Times New Roman"/>
          <w:highlight w:val="yellow"/>
        </w:rPr>
        <w:t xml:space="preserve"> in the </w:t>
      </w:r>
      <w:proofErr w:type="spellStart"/>
      <w:r w:rsidRPr="00AC7972">
        <w:rPr>
          <w:rFonts w:ascii="Times New Roman" w:hAnsi="Times New Roman"/>
          <w:highlight w:val="yellow"/>
        </w:rPr>
        <w:t>available</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evidence</w:t>
      </w:r>
      <w:proofErr w:type="spellEnd"/>
      <w:r w:rsidRPr="00AC7972">
        <w:rPr>
          <w:rFonts w:ascii="Times New Roman" w:hAnsi="Times New Roman"/>
          <w:highlight w:val="yellow"/>
        </w:rPr>
        <w:t xml:space="preserve"> and the </w:t>
      </w:r>
      <w:proofErr w:type="spellStart"/>
      <w:r w:rsidRPr="00AC7972">
        <w:rPr>
          <w:rFonts w:ascii="Times New Roman" w:hAnsi="Times New Roman"/>
          <w:highlight w:val="yellow"/>
        </w:rPr>
        <w:t>need</w:t>
      </w:r>
      <w:proofErr w:type="spellEnd"/>
      <w:r w:rsidRPr="00AC7972">
        <w:rPr>
          <w:rFonts w:ascii="Times New Roman" w:hAnsi="Times New Roman"/>
          <w:highlight w:val="yellow"/>
        </w:rPr>
        <w:t xml:space="preserve"> for </w:t>
      </w:r>
      <w:proofErr w:type="spellStart"/>
      <w:r w:rsidRPr="00AC7972">
        <w:rPr>
          <w:rFonts w:ascii="Times New Roman" w:hAnsi="Times New Roman"/>
          <w:highlight w:val="yellow"/>
        </w:rPr>
        <w:t>further</w:t>
      </w:r>
      <w:proofErr w:type="spellEnd"/>
      <w:r w:rsidRPr="00AC7972">
        <w:rPr>
          <w:rFonts w:ascii="Times New Roman" w:hAnsi="Times New Roman"/>
          <w:highlight w:val="yellow"/>
        </w:rPr>
        <w:t xml:space="preserve"> </w:t>
      </w:r>
      <w:proofErr w:type="spellStart"/>
      <w:r w:rsidRPr="00AC7972">
        <w:rPr>
          <w:rFonts w:ascii="Times New Roman" w:hAnsi="Times New Roman"/>
          <w:highlight w:val="yellow"/>
        </w:rPr>
        <w:t>standardised</w:t>
      </w:r>
      <w:proofErr w:type="spellEnd"/>
      <w:r w:rsidRPr="00AC7972">
        <w:rPr>
          <w:rFonts w:ascii="Times New Roman" w:hAnsi="Times New Roman"/>
          <w:highlight w:val="yellow"/>
        </w:rPr>
        <w:t xml:space="preserve"> investigation (Victoria-Montesinos et al., 2024).</w:t>
      </w:r>
    </w:p>
    <w:p w14:paraId="446916E6" w14:textId="77777777" w:rsidR="00D95AAB" w:rsidRPr="00883413" w:rsidRDefault="00D95AAB" w:rsidP="00B80458">
      <w:pPr>
        <w:spacing w:line="360" w:lineRule="auto"/>
        <w:jc w:val="both"/>
        <w:rPr>
          <w:rFonts w:ascii="Times New Roman" w:hAnsi="Times New Roman" w:cs="Times New Roman"/>
          <w:lang w:val="en-US"/>
        </w:rPr>
      </w:pPr>
      <w:r>
        <w:rPr>
          <w:rFonts w:ascii="Times New Roman" w:hAnsi="Times New Roman" w:cs="Times New Roman"/>
          <w:lang w:val="en-US"/>
        </w:rPr>
        <w:lastRenderedPageBreak/>
        <w:t>Ethnobotanical studies have shown that a wide variety of medicinal plants are used locally to treat diabetes (</w:t>
      </w:r>
      <w:r>
        <w:rPr>
          <w:rFonts w:ascii="Times New Roman" w:hAnsi="Times New Roman" w:cs="Times New Roman"/>
          <w:highlight w:val="yellow"/>
          <w:lang w:val="en-US"/>
        </w:rPr>
        <w:t>N’do et al., 2024b</w:t>
      </w:r>
      <w:r>
        <w:rPr>
          <w:rFonts w:ascii="Times New Roman" w:hAnsi="Times New Roman" w:cs="Times New Roman"/>
          <w:lang w:val="en-US"/>
        </w:rPr>
        <w:t xml:space="preserve">); among these are </w:t>
      </w:r>
      <w:r w:rsidRPr="00C26807">
        <w:rPr>
          <w:rFonts w:ascii="Times New Roman" w:hAnsi="Times New Roman" w:cs="Times New Roman"/>
          <w:i/>
          <w:iCs/>
          <w:lang w:val="en-US"/>
        </w:rPr>
        <w:t>Anacardium occidentale</w:t>
      </w:r>
      <w:r w:rsidRPr="00883413">
        <w:rPr>
          <w:rFonts w:ascii="Times New Roman" w:hAnsi="Times New Roman" w:cs="Times New Roman"/>
          <w:lang w:val="en-US"/>
        </w:rPr>
        <w:t xml:space="preserve"> L., </w:t>
      </w:r>
      <w:r w:rsidRPr="00C26807">
        <w:rPr>
          <w:rFonts w:ascii="Times New Roman" w:hAnsi="Times New Roman" w:cs="Times New Roman"/>
          <w:i/>
          <w:iCs/>
          <w:lang w:val="en-US"/>
        </w:rPr>
        <w:t xml:space="preserve">Moringa oleifera </w:t>
      </w:r>
      <w:r w:rsidRPr="00883413">
        <w:rPr>
          <w:rFonts w:ascii="Times New Roman" w:hAnsi="Times New Roman" w:cs="Times New Roman"/>
          <w:lang w:val="en-US"/>
        </w:rPr>
        <w:t xml:space="preserve">Lam., </w:t>
      </w:r>
      <w:r w:rsidRPr="00C26807">
        <w:rPr>
          <w:rFonts w:ascii="Times New Roman" w:hAnsi="Times New Roman" w:cs="Times New Roman"/>
          <w:i/>
          <w:iCs/>
          <w:lang w:val="en-US"/>
        </w:rPr>
        <w:t xml:space="preserve">Cassia </w:t>
      </w:r>
      <w:proofErr w:type="spellStart"/>
      <w:r w:rsidRPr="00C26807">
        <w:rPr>
          <w:rFonts w:ascii="Times New Roman" w:hAnsi="Times New Roman" w:cs="Times New Roman"/>
          <w:i/>
          <w:iCs/>
          <w:lang w:val="en-US"/>
        </w:rPr>
        <w:t>siamea</w:t>
      </w:r>
      <w:proofErr w:type="spellEnd"/>
      <w:r w:rsidRPr="00883413">
        <w:rPr>
          <w:rFonts w:ascii="Times New Roman" w:hAnsi="Times New Roman" w:cs="Times New Roman"/>
          <w:lang w:val="en-US"/>
        </w:rPr>
        <w:t xml:space="preserve"> Lam., </w:t>
      </w:r>
      <w:r w:rsidRPr="00C26807">
        <w:rPr>
          <w:rFonts w:ascii="Times New Roman" w:hAnsi="Times New Roman" w:cs="Times New Roman"/>
          <w:i/>
          <w:iCs/>
          <w:lang w:val="en-US"/>
        </w:rPr>
        <w:t xml:space="preserve">Phyllanthus </w:t>
      </w:r>
      <w:proofErr w:type="spellStart"/>
      <w:r w:rsidRPr="00C26807">
        <w:rPr>
          <w:rFonts w:ascii="Times New Roman" w:hAnsi="Times New Roman" w:cs="Times New Roman"/>
          <w:i/>
          <w:iCs/>
          <w:lang w:val="en-US"/>
        </w:rPr>
        <w:t>amarus</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Schumach</w:t>
      </w:r>
      <w:proofErr w:type="spellEnd"/>
      <w:r w:rsidRPr="00883413">
        <w:rPr>
          <w:rFonts w:ascii="Times New Roman" w:hAnsi="Times New Roman" w:cs="Times New Roman"/>
          <w:lang w:val="en-US"/>
        </w:rPr>
        <w:t xml:space="preserve">. et Thonn., </w:t>
      </w:r>
      <w:proofErr w:type="spellStart"/>
      <w:r w:rsidRPr="00C26807">
        <w:rPr>
          <w:rFonts w:ascii="Times New Roman" w:hAnsi="Times New Roman" w:cs="Times New Roman"/>
          <w:i/>
          <w:iCs/>
          <w:lang w:val="en-US"/>
        </w:rPr>
        <w:t>Chrysanthellum</w:t>
      </w:r>
      <w:proofErr w:type="spellEnd"/>
      <w:r w:rsidRPr="00C26807">
        <w:rPr>
          <w:rFonts w:ascii="Times New Roman" w:hAnsi="Times New Roman" w:cs="Times New Roman"/>
          <w:i/>
          <w:iCs/>
          <w:lang w:val="en-US"/>
        </w:rPr>
        <w:t xml:space="preserve"> americanum</w:t>
      </w:r>
      <w:r w:rsidRPr="00883413">
        <w:rPr>
          <w:rFonts w:ascii="Times New Roman" w:hAnsi="Times New Roman" w:cs="Times New Roman"/>
          <w:lang w:val="en-US"/>
        </w:rPr>
        <w:t xml:space="preserve"> (L.) Vatke, </w:t>
      </w:r>
      <w:proofErr w:type="spellStart"/>
      <w:r w:rsidRPr="00C26807">
        <w:rPr>
          <w:rFonts w:ascii="Times New Roman" w:hAnsi="Times New Roman" w:cs="Times New Roman"/>
          <w:i/>
          <w:iCs/>
          <w:lang w:val="en-US"/>
        </w:rPr>
        <w:t>Chamaecrista</w:t>
      </w:r>
      <w:proofErr w:type="spellEnd"/>
      <w:r w:rsidRPr="00C26807">
        <w:rPr>
          <w:rFonts w:ascii="Times New Roman" w:hAnsi="Times New Roman" w:cs="Times New Roman"/>
          <w:i/>
          <w:iCs/>
          <w:lang w:val="en-US"/>
        </w:rPr>
        <w:t xml:space="preserve"> nigricans</w:t>
      </w:r>
      <w:r w:rsidRPr="00883413">
        <w:rPr>
          <w:rFonts w:ascii="Times New Roman" w:hAnsi="Times New Roman" w:cs="Times New Roman"/>
          <w:lang w:val="en-US"/>
        </w:rPr>
        <w:t xml:space="preserve"> (Vahl) Greene, </w:t>
      </w:r>
      <w:r w:rsidRPr="00C26807">
        <w:rPr>
          <w:rFonts w:ascii="Times New Roman" w:hAnsi="Times New Roman" w:cs="Times New Roman"/>
          <w:i/>
          <w:iCs/>
          <w:lang w:val="en-US"/>
        </w:rPr>
        <w:t xml:space="preserve">Ziziphus </w:t>
      </w:r>
      <w:proofErr w:type="spellStart"/>
      <w:r w:rsidRPr="00C26807">
        <w:rPr>
          <w:rFonts w:ascii="Times New Roman" w:hAnsi="Times New Roman" w:cs="Times New Roman"/>
          <w:i/>
          <w:iCs/>
          <w:lang w:val="en-US"/>
        </w:rPr>
        <w:t>mauritiana</w:t>
      </w:r>
      <w:proofErr w:type="spellEnd"/>
      <w:r w:rsidRPr="00883413">
        <w:rPr>
          <w:rFonts w:ascii="Times New Roman" w:hAnsi="Times New Roman" w:cs="Times New Roman"/>
          <w:lang w:val="en-US"/>
        </w:rPr>
        <w:t xml:space="preserve"> Lam.,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(Pers.) </w:t>
      </w:r>
      <w:proofErr w:type="spellStart"/>
      <w:r w:rsidRPr="00883413">
        <w:rPr>
          <w:rFonts w:ascii="Times New Roman" w:hAnsi="Times New Roman" w:cs="Times New Roman"/>
        </w:rPr>
        <w:t>Decne</w:t>
      </w:r>
      <w:proofErr w:type="spellEnd"/>
      <w:r w:rsidRPr="00883413">
        <w:rPr>
          <w:rFonts w:ascii="Times New Roman" w:hAnsi="Times New Roman" w:cs="Times New Roman"/>
        </w:rPr>
        <w:t xml:space="preserve">., and </w:t>
      </w:r>
      <w:proofErr w:type="spellStart"/>
      <w:r w:rsidRPr="00C26807">
        <w:rPr>
          <w:rFonts w:ascii="Times New Roman" w:hAnsi="Times New Roman" w:cs="Times New Roman"/>
          <w:i/>
          <w:iCs/>
        </w:rPr>
        <w:t>Sclerocarya</w:t>
      </w:r>
      <w:proofErr w:type="spellEnd"/>
      <w:r w:rsidR="00C26807" w:rsidRPr="00C26807">
        <w:rPr>
          <w:rFonts w:ascii="Times New Roman" w:hAnsi="Times New Roman" w:cs="Times New Roman"/>
          <w:i/>
          <w:iCs/>
        </w:rPr>
        <w:t xml:space="preserve"> </w:t>
      </w:r>
      <w:proofErr w:type="spellStart"/>
      <w:r w:rsidR="00C26807" w:rsidRPr="00C26807">
        <w:rPr>
          <w:rFonts w:ascii="Times New Roman" w:hAnsi="Times New Roman" w:cs="Times New Roman"/>
          <w:i/>
          <w:iCs/>
        </w:rPr>
        <w:t>birrea</w:t>
      </w:r>
      <w:proofErr w:type="spellEnd"/>
      <w:r w:rsidRPr="00883413">
        <w:rPr>
          <w:rFonts w:ascii="Times New Roman" w:hAnsi="Times New Roman" w:cs="Times New Roman"/>
        </w:rPr>
        <w:t xml:space="preserve"> (A. Rich.) </w:t>
      </w:r>
      <w:proofErr w:type="spellStart"/>
      <w:r w:rsidRPr="00883413">
        <w:rPr>
          <w:rFonts w:ascii="Times New Roman" w:hAnsi="Times New Roman" w:cs="Times New Roman"/>
        </w:rPr>
        <w:t>Hochst</w:t>
      </w:r>
      <w:proofErr w:type="spellEnd"/>
      <w:r w:rsidRPr="00883413">
        <w:rPr>
          <w:rFonts w:ascii="Times New Roman" w:hAnsi="Times New Roman" w:cs="Times New Roman"/>
        </w:rPr>
        <w:t xml:space="preserve">. (Gnagne et al., </w:t>
      </w:r>
      <w:r>
        <w:rPr>
          <w:rFonts w:ascii="Times New Roman" w:hAnsi="Times New Roman" w:cs="Times New Roman"/>
          <w:highlight w:val="yellow"/>
        </w:rPr>
        <w:t>2017;</w:t>
      </w:r>
      <w:r w:rsidRPr="00883413">
        <w:rPr>
          <w:rFonts w:ascii="Times New Roman" w:hAnsi="Times New Roman" w:cs="Times New Roman"/>
        </w:rPr>
        <w:t xml:space="preserve"> Dembélé et al., </w:t>
      </w:r>
      <w:r>
        <w:rPr>
          <w:rFonts w:ascii="Times New Roman" w:hAnsi="Times New Roman" w:cs="Times New Roman"/>
          <w:highlight w:val="yellow"/>
        </w:rPr>
        <w:t>2020;</w:t>
      </w:r>
      <w:r>
        <w:rPr>
          <w:rFonts w:ascii="Times New Roman" w:hAnsi="Times New Roman" w:cs="Times New Roman"/>
        </w:rPr>
        <w:t xml:space="preserve"> </w:t>
      </w:r>
      <w:r>
        <w:rPr>
          <w:rFonts w:ascii="Times New Roman" w:hAnsi="Times New Roman" w:cs="Times New Roman"/>
          <w:highlight w:val="yellow"/>
        </w:rPr>
        <w:t>N’Do et al., 2024b</w:t>
      </w:r>
      <w:r>
        <w:rPr>
          <w:rFonts w:ascii="Times New Roman" w:hAnsi="Times New Roman" w:cs="Times New Roman"/>
        </w:rPr>
        <w:t xml:space="preserve">). </w:t>
      </w:r>
      <w:r>
        <w:rPr>
          <w:rFonts w:ascii="Times New Roman" w:hAnsi="Times New Roman" w:cs="Times New Roman"/>
          <w:lang w:val="en-US"/>
        </w:rPr>
        <w:t xml:space="preserve">Furthermore, the efficacy of certain plant parts must be </w:t>
      </w:r>
      <w:r>
        <w:rPr>
          <w:rFonts w:ascii="Times New Roman" w:hAnsi="Times New Roman" w:cs="Times New Roman"/>
          <w:highlight w:val="yellow"/>
          <w:lang w:val="en-US"/>
        </w:rPr>
        <w:t>supported by scientific evidence from experimental and clinical studies</w:t>
      </w:r>
      <w:r>
        <w:rPr>
          <w:rFonts w:ascii="Times New Roman" w:hAnsi="Times New Roman" w:cs="Times New Roman"/>
          <w:lang w:val="en-US"/>
        </w:rPr>
        <w:t>, which may lead to the formulation of herbal medicines (Cisse et al., 2025). Thus, the efficacy, safety, and security of remedies (</w:t>
      </w:r>
      <w:r>
        <w:rPr>
          <w:rFonts w:ascii="Times New Roman" w:hAnsi="Times New Roman" w:cs="Times New Roman"/>
          <w:highlight w:val="yellow"/>
          <w:lang w:val="en-US"/>
        </w:rPr>
        <w:t>N’Do et al., 2025a</w:t>
      </w:r>
      <w:r>
        <w:rPr>
          <w:rFonts w:ascii="Times New Roman" w:hAnsi="Times New Roman" w:cs="Times New Roman"/>
          <w:lang w:val="en-US"/>
        </w:rPr>
        <w:t>) constitute three essential principles for the quality assurance of plant-based products. In Burkina Faso, the use of medicinal plants by the majority of the population is often based on indigenous knowledge. This makes certain applications—such as formulating medicines from this natural resource—difficult for the simple reason that this knowledge is not supported by scientific data. To help resolve this ambiguity, it was necessary to conduct a survey of the plants used by the local population to manage type 2 diabetes and to screen extracts from some of the most commonly used medicinal plants. The aim of this study was to identify medicinal plants through an ethnobotanical survey of traditional healers regarding the medicinal plants traditionally used in the management of diabetes. Specifically, the study aimed to identify the herbal formulas traditionally used in the management of diabetes, quantify the content of certain primary and secondary metabolites in extracts from the selected plants, and evaluate their antioxidant activities; it also aimed to assess the microbiological quality of the plant samples through microbial counting.</w:t>
      </w:r>
    </w:p>
    <w:p w14:paraId="0EA057CA" w14:textId="77777777" w:rsidR="00D95AAB" w:rsidRPr="00883413" w:rsidRDefault="00D95AAB" w:rsidP="00B80458">
      <w:pPr>
        <w:spacing w:line="360" w:lineRule="auto"/>
        <w:jc w:val="both"/>
        <w:rPr>
          <w:rFonts w:ascii="Times New Roman" w:hAnsi="Times New Roman" w:cs="Times New Roman"/>
          <w:lang w:val="en-US"/>
        </w:rPr>
      </w:pPr>
    </w:p>
    <w:p w14:paraId="385498E1" w14:textId="77777777" w:rsidR="00D95AAB" w:rsidRPr="00883413" w:rsidRDefault="00D95AAB" w:rsidP="00B80458">
      <w:pPr>
        <w:spacing w:line="360" w:lineRule="auto"/>
        <w:jc w:val="both"/>
        <w:rPr>
          <w:rFonts w:ascii="Times New Roman" w:hAnsi="Times New Roman" w:cs="Times New Roman"/>
          <w:lang w:val="en-US"/>
        </w:rPr>
      </w:pPr>
    </w:p>
    <w:p w14:paraId="2079C7EE" w14:textId="77777777" w:rsidR="00D95AAB" w:rsidRPr="00883413" w:rsidRDefault="00D95AAB" w:rsidP="00B80458">
      <w:pPr>
        <w:spacing w:line="360" w:lineRule="auto"/>
        <w:jc w:val="both"/>
        <w:rPr>
          <w:rFonts w:ascii="Times New Roman" w:hAnsi="Times New Roman" w:cs="Times New Roman"/>
          <w:lang w:val="en-US"/>
        </w:rPr>
      </w:pPr>
    </w:p>
    <w:p w14:paraId="7AF7C748" w14:textId="77777777" w:rsidR="00D95AAB" w:rsidRPr="00883413" w:rsidRDefault="00D95AAB" w:rsidP="00B80458">
      <w:pPr>
        <w:spacing w:line="360" w:lineRule="auto"/>
        <w:jc w:val="both"/>
        <w:rPr>
          <w:rFonts w:ascii="Times New Roman" w:hAnsi="Times New Roman" w:cs="Times New Roman"/>
          <w:lang w:val="en-US"/>
        </w:rPr>
      </w:pPr>
    </w:p>
    <w:p w14:paraId="0EA4FC7C" w14:textId="77777777" w:rsidR="00D95AAB" w:rsidRPr="00883413" w:rsidRDefault="00D95AAB" w:rsidP="00B80458">
      <w:pPr>
        <w:spacing w:line="360" w:lineRule="auto"/>
        <w:jc w:val="both"/>
        <w:rPr>
          <w:rFonts w:ascii="Times New Roman" w:hAnsi="Times New Roman" w:cs="Times New Roman"/>
          <w:lang w:val="en-US"/>
        </w:rPr>
      </w:pPr>
    </w:p>
    <w:p w14:paraId="6A76E71A" w14:textId="77777777" w:rsidR="00D95AAB" w:rsidRPr="00883413" w:rsidRDefault="00D95AAB" w:rsidP="00B80458">
      <w:pPr>
        <w:spacing w:line="360" w:lineRule="auto"/>
        <w:jc w:val="both"/>
        <w:rPr>
          <w:rFonts w:ascii="Times New Roman" w:hAnsi="Times New Roman" w:cs="Times New Roman"/>
          <w:lang w:val="en-US"/>
        </w:rPr>
      </w:pPr>
    </w:p>
    <w:p w14:paraId="6E8CCA47" w14:textId="77777777" w:rsidR="00D95AAB" w:rsidRPr="00883413" w:rsidRDefault="00D95AAB" w:rsidP="00B80458">
      <w:pPr>
        <w:spacing w:line="360" w:lineRule="auto"/>
        <w:jc w:val="both"/>
        <w:rPr>
          <w:rFonts w:ascii="Times New Roman" w:hAnsi="Times New Roman" w:cs="Times New Roman"/>
          <w:lang w:val="en-US"/>
        </w:rPr>
      </w:pPr>
    </w:p>
    <w:p w14:paraId="2A38ECF9" w14:textId="77777777" w:rsidR="00D95AAB" w:rsidRPr="00883413" w:rsidRDefault="00D95AAB" w:rsidP="00B80458">
      <w:pPr>
        <w:spacing w:line="360" w:lineRule="auto"/>
        <w:jc w:val="both"/>
        <w:rPr>
          <w:rFonts w:ascii="Times New Roman" w:hAnsi="Times New Roman" w:cs="Times New Roman"/>
          <w:lang w:val="en-US"/>
        </w:rPr>
      </w:pPr>
    </w:p>
    <w:p w14:paraId="64E7C494" w14:textId="77777777" w:rsidR="00D95AAB" w:rsidRPr="00883413" w:rsidRDefault="00D95AAB" w:rsidP="00B80458">
      <w:pPr>
        <w:spacing w:line="360" w:lineRule="auto"/>
        <w:jc w:val="both"/>
        <w:rPr>
          <w:rFonts w:ascii="Times New Roman" w:hAnsi="Times New Roman" w:cs="Times New Roman"/>
          <w:lang w:val="en-US"/>
        </w:rPr>
      </w:pPr>
    </w:p>
    <w:p w14:paraId="2A6D3D7B" w14:textId="77777777" w:rsidR="00D95AAB" w:rsidRPr="00883413" w:rsidRDefault="00D95AAB" w:rsidP="00B80458">
      <w:pPr>
        <w:spacing w:line="360" w:lineRule="auto"/>
        <w:jc w:val="both"/>
        <w:rPr>
          <w:rFonts w:ascii="Times New Roman" w:hAnsi="Times New Roman" w:cs="Times New Roman"/>
          <w:lang w:val="en-US"/>
        </w:rPr>
      </w:pPr>
    </w:p>
    <w:p w14:paraId="3BDC57BF" w14:textId="77777777" w:rsidR="00883413" w:rsidRDefault="00883413" w:rsidP="00B80458">
      <w:pPr>
        <w:spacing w:line="360" w:lineRule="auto"/>
        <w:jc w:val="both"/>
        <w:rPr>
          <w:rFonts w:ascii="Times New Roman" w:hAnsi="Times New Roman" w:cs="Times New Roman"/>
          <w:lang w:val="en-US"/>
        </w:rPr>
      </w:pPr>
    </w:p>
    <w:p w14:paraId="0F1F1FD8" w14:textId="77777777" w:rsidR="00E02DCD" w:rsidRDefault="00E02DCD" w:rsidP="00B80458">
      <w:pPr>
        <w:spacing w:line="360" w:lineRule="auto"/>
        <w:jc w:val="both"/>
        <w:rPr>
          <w:rFonts w:ascii="Times New Roman" w:hAnsi="Times New Roman" w:cs="Times New Roman"/>
          <w:lang w:val="en-US"/>
        </w:rPr>
      </w:pPr>
    </w:p>
    <w:p w14:paraId="381552B3" w14:textId="77777777" w:rsidR="00D95AAB" w:rsidRPr="00AC7972" w:rsidRDefault="00D95AAB" w:rsidP="00B80458">
      <w:pPr>
        <w:spacing w:line="360" w:lineRule="auto"/>
        <w:jc w:val="both"/>
        <w:rPr>
          <w:rFonts w:ascii="Times New Roman" w:hAnsi="Times New Roman" w:cs="Times New Roman"/>
          <w:b/>
          <w:bCs/>
          <w:lang w:val="en-US"/>
        </w:rPr>
      </w:pPr>
      <w:r w:rsidRPr="00AC7972">
        <w:rPr>
          <w:rFonts w:ascii="Times New Roman" w:hAnsi="Times New Roman" w:cs="Times New Roman"/>
          <w:b/>
          <w:bCs/>
          <w:lang w:val="en-US"/>
        </w:rPr>
        <w:t>2. Methodology</w:t>
      </w:r>
    </w:p>
    <w:p w14:paraId="25125D78" w14:textId="77777777" w:rsidR="00D95AAB" w:rsidRPr="00AC7972" w:rsidRDefault="00D95AAB" w:rsidP="00B80458">
      <w:pPr>
        <w:spacing w:line="360" w:lineRule="auto"/>
        <w:jc w:val="both"/>
        <w:rPr>
          <w:rFonts w:ascii="Times New Roman" w:hAnsi="Times New Roman" w:cs="Times New Roman"/>
          <w:b/>
          <w:bCs/>
          <w:lang w:val="en-US"/>
        </w:rPr>
      </w:pPr>
      <w:r w:rsidRPr="00AC7972">
        <w:rPr>
          <w:rFonts w:ascii="Times New Roman" w:hAnsi="Times New Roman" w:cs="Times New Roman"/>
          <w:b/>
          <w:bCs/>
          <w:lang w:val="en-US"/>
        </w:rPr>
        <w:t>2.1. Study Setting</w:t>
      </w:r>
    </w:p>
    <w:p w14:paraId="4C988029" w14:textId="77777777" w:rsidR="00D95AAB" w:rsidRPr="00883413" w:rsidRDefault="00D95AAB"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The study was conducted in the cities of Bobo-Dioulasso and Ouagadougou (Burkina Faso). Laboratory work was performed at Joseph Ki Zerbo University, specifically at the Laboratory of Biochemistry and Applied Chemistry (LABIOCA) within the Life and Earth Sciences Education and Research Unit for photochemistry and antioxidant activity. </w:t>
      </w:r>
      <w:r>
        <w:rPr>
          <w:rFonts w:ascii="Times New Roman" w:hAnsi="Times New Roman" w:cs="Times New Roman"/>
          <w:highlight w:val="yellow"/>
          <w:lang w:val="en-US"/>
        </w:rPr>
        <w:t>Laboratory work was also conducted at the Center</w:t>
      </w:r>
      <w:r>
        <w:rPr>
          <w:rFonts w:ascii="Times New Roman" w:hAnsi="Times New Roman" w:cs="Times New Roman"/>
          <w:lang w:val="en-US"/>
        </w:rPr>
        <w:t xml:space="preserve"> for Research in Biological, Food, and Nutritional Sciences (CRSBAN)/Laboratory of Microbiology and Microbial Biotechnology (LAMBM) for the evaluation of microbiological quality.</w:t>
      </w:r>
    </w:p>
    <w:p w14:paraId="11798E3F" w14:textId="77777777" w:rsidR="00D95AAB" w:rsidRPr="00883413" w:rsidRDefault="00D95AAB" w:rsidP="00B80458">
      <w:pPr>
        <w:spacing w:line="360" w:lineRule="auto"/>
        <w:jc w:val="both"/>
        <w:rPr>
          <w:rFonts w:ascii="Times New Roman" w:hAnsi="Times New Roman" w:cs="Times New Roman"/>
          <w:lang w:val="en-US"/>
        </w:rPr>
      </w:pPr>
    </w:p>
    <w:p w14:paraId="7F52C932"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noProof/>
          <w:lang w:val="en-US"/>
        </w:rPr>
        <w:drawing>
          <wp:inline distT="0" distB="0" distL="0" distR="0" wp14:anchorId="170F4AB5" wp14:editId="66C60353">
            <wp:extent cx="3602990" cy="2402205"/>
            <wp:effectExtent l="0" t="0" r="0" b="0"/>
            <wp:docPr id="175964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2990" cy="2402205"/>
                    </a:xfrm>
                    <a:prstGeom prst="rect">
                      <a:avLst/>
                    </a:prstGeom>
                    <a:noFill/>
                  </pic:spPr>
                </pic:pic>
              </a:graphicData>
            </a:graphic>
          </wp:inline>
        </w:drawing>
      </w:r>
    </w:p>
    <w:p w14:paraId="25FD79DA" w14:textId="77777777" w:rsidR="00D95AAB" w:rsidRPr="00883413" w:rsidRDefault="00E10961"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Map </w:t>
      </w:r>
      <w:r w:rsidR="00D95AAB" w:rsidRPr="00883413">
        <w:rPr>
          <w:rFonts w:ascii="Times New Roman" w:hAnsi="Times New Roman" w:cs="Times New Roman"/>
          <w:lang w:val="en-US"/>
        </w:rPr>
        <w:t xml:space="preserve"> 1: Data collection sites</w:t>
      </w:r>
    </w:p>
    <w:p w14:paraId="08386F40" w14:textId="77777777" w:rsidR="00D95AAB" w:rsidRPr="00883413" w:rsidRDefault="00D95AAB" w:rsidP="00B80458">
      <w:pPr>
        <w:spacing w:line="360" w:lineRule="auto"/>
        <w:jc w:val="both"/>
        <w:rPr>
          <w:rFonts w:ascii="Times New Roman" w:hAnsi="Times New Roman" w:cs="Times New Roman"/>
          <w:lang w:val="en-US"/>
        </w:rPr>
      </w:pPr>
    </w:p>
    <w:p w14:paraId="78108F90"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2.2. Plant Material</w:t>
      </w:r>
    </w:p>
    <w:p w14:paraId="2E6072B0"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The plant material used consisted of leafy stems of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and bark from the trunk of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Pr>
          <w:rFonts w:ascii="Times New Roman" w:hAnsi="Times New Roman" w:cs="Times New Roman"/>
          <w:lang w:val="en-US"/>
        </w:rPr>
        <w:t xml:space="preserve"> (A. Rich.) </w:t>
      </w:r>
      <w:proofErr w:type="spellStart"/>
      <w:r>
        <w:rPr>
          <w:rFonts w:ascii="Times New Roman" w:hAnsi="Times New Roman" w:cs="Times New Roman"/>
          <w:lang w:val="en-US"/>
        </w:rPr>
        <w:t>Hochst</w:t>
      </w:r>
      <w:proofErr w:type="spellEnd"/>
      <w:r>
        <w:rPr>
          <w:rFonts w:ascii="Times New Roman" w:hAnsi="Times New Roman" w:cs="Times New Roman"/>
          <w:lang w:val="en-US"/>
        </w:rPr>
        <w:t>. Samples were collected at two locations in Burkina Faso: the city of Bobo-Dioulasso (</w:t>
      </w:r>
      <w:proofErr w:type="spellStart"/>
      <w:r>
        <w:rPr>
          <w:rFonts w:ascii="Times New Roman" w:hAnsi="Times New Roman" w:cs="Times New Roman"/>
          <w:lang w:val="en-US"/>
        </w:rPr>
        <w:t>Dindéresso</w:t>
      </w:r>
      <w:proofErr w:type="spellEnd"/>
      <w:r>
        <w:rPr>
          <w:rFonts w:ascii="Times New Roman" w:hAnsi="Times New Roman" w:cs="Times New Roman"/>
          <w:lang w:val="en-US"/>
        </w:rPr>
        <w:t xml:space="preserve"> Protected Forest) and </w:t>
      </w:r>
      <w:proofErr w:type="spellStart"/>
      <w:r>
        <w:rPr>
          <w:rFonts w:ascii="Times New Roman" w:hAnsi="Times New Roman" w:cs="Times New Roman"/>
          <w:lang w:val="en-US"/>
        </w:rPr>
        <w:t>Boromo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Bagassi</w:t>
      </w:r>
      <w:proofErr w:type="spellEnd"/>
      <w:r>
        <w:rPr>
          <w:rFonts w:ascii="Times New Roman" w:hAnsi="Times New Roman" w:cs="Times New Roman"/>
          <w:lang w:val="en-US"/>
        </w:rPr>
        <w:t xml:space="preserve"> Protected Forest) during the month of July 2025 at the following GPS coordinates: </w:t>
      </w:r>
      <w:r>
        <w:rPr>
          <w:rFonts w:ascii="Times New Roman" w:hAnsi="Times New Roman" w:cs="Times New Roman"/>
          <w:lang w:val="en-US"/>
        </w:rPr>
        <w:lastRenderedPageBreak/>
        <w:t xml:space="preserve">30P 344621 1242188. Both plants were identified and authenticated. Specimens of these plants were deposited in the herbarium at Joseph Ki-Zerbo University under the following accession numbers: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(Pers.) </w:t>
      </w:r>
      <w:proofErr w:type="spellStart"/>
      <w:r>
        <w:rPr>
          <w:rFonts w:ascii="Times New Roman" w:hAnsi="Times New Roman" w:cs="Times New Roman"/>
          <w:lang w:val="en-US"/>
        </w:rPr>
        <w:t>Decne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Apocynaceae</w:t>
      </w:r>
      <w:proofErr w:type="spellEnd"/>
      <w:r>
        <w:rPr>
          <w:rFonts w:ascii="Times New Roman" w:hAnsi="Times New Roman" w:cs="Times New Roman"/>
          <w:lang w:val="en-US"/>
        </w:rPr>
        <w:t xml:space="preserve">) – 16711,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(A. Rich.) </w:t>
      </w:r>
      <w:proofErr w:type="spellStart"/>
      <w:r>
        <w:rPr>
          <w:rFonts w:ascii="Times New Roman" w:hAnsi="Times New Roman" w:cs="Times New Roman"/>
          <w:lang w:val="en-US"/>
        </w:rPr>
        <w:t>Hochst</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Anacardiaceae</w:t>
      </w:r>
      <w:proofErr w:type="spellEnd"/>
      <w:r>
        <w:rPr>
          <w:rFonts w:ascii="Times New Roman" w:hAnsi="Times New Roman" w:cs="Times New Roman"/>
          <w:lang w:val="en-US"/>
        </w:rPr>
        <w:t>) – 16713.</w:t>
      </w:r>
    </w:p>
    <w:p w14:paraId="451C88A7"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2.3. Ethnobotanical Survey Methodology</w:t>
      </w:r>
    </w:p>
    <w:p w14:paraId="72B349C7" w14:textId="77777777" w:rsidR="002E5BFA" w:rsidRPr="00883413" w:rsidRDefault="002E5BFA"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The ethnobotanical survey was conducted in the city of Bobo-Dioulasso. It consisted of a semi-structured interview with fifty (50) traditional healers, including women who sell traditional products in markets and from their homes. Data were collected in accordance with recommendations for ethnobotanical surveys </w:t>
      </w:r>
      <w:r>
        <w:rPr>
          <w:rFonts w:ascii="Times New Roman" w:hAnsi="Times New Roman" w:cs="Times New Roman"/>
          <w:highlight w:val="yellow"/>
          <w:lang w:val="en-US"/>
        </w:rPr>
        <w:t>(N’do et al., 2025a)</w:t>
      </w:r>
      <w:r>
        <w:rPr>
          <w:rFonts w:ascii="Times New Roman" w:hAnsi="Times New Roman" w:cs="Times New Roman"/>
          <w:lang w:val="en-US"/>
        </w:rPr>
        <w:t>.</w:t>
      </w:r>
    </w:p>
    <w:p w14:paraId="632252B3" w14:textId="77777777" w:rsidR="002E5BFA" w:rsidRPr="00883413" w:rsidRDefault="002E5BFA" w:rsidP="00B80458">
      <w:pPr>
        <w:spacing w:line="360" w:lineRule="auto"/>
        <w:jc w:val="both"/>
        <w:rPr>
          <w:rFonts w:ascii="Times New Roman" w:hAnsi="Times New Roman" w:cs="Times New Roman"/>
          <w:lang w:val="en-US"/>
        </w:rPr>
      </w:pPr>
    </w:p>
    <w:p w14:paraId="36CB7D29"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2.4. Ethanol Maceration Extraction</w:t>
      </w:r>
    </w:p>
    <w:p w14:paraId="378D6975" w14:textId="77777777" w:rsidR="002E5BFA" w:rsidRPr="00883413" w:rsidRDefault="002E5BFA" w:rsidP="00B80458">
      <w:pPr>
        <w:spacing w:line="360" w:lineRule="auto"/>
        <w:jc w:val="both"/>
        <w:rPr>
          <w:rFonts w:ascii="Times New Roman" w:hAnsi="Times New Roman" w:cs="Times New Roman"/>
          <w:lang w:val="en-US"/>
        </w:rPr>
      </w:pPr>
      <w:r>
        <w:rPr>
          <w:rFonts w:ascii="Times New Roman" w:hAnsi="Times New Roman" w:cs="Times New Roman"/>
          <w:highlight w:val="yellow"/>
          <w:lang w:val="en-US"/>
        </w:rPr>
        <w:t>To perform this procedure,</w:t>
      </w:r>
      <w:r>
        <w:rPr>
          <w:rFonts w:ascii="Times New Roman" w:hAnsi="Times New Roman" w:cs="Times New Roman"/>
          <w:lang w:val="en-US"/>
        </w:rPr>
        <w:t xml:space="preserve"> twenty grams (20 g) of powder from each sample were weighed and placed in a flask. A volume of 200 mL of ethanol was added, corresponding to a ratio of 1:10 (g/mL). The mixture was placed on a shaker and left to macerate for 24 hours. The macerate was filtered through Whatman paper into an Erlenmeyer flask. The resulting filtrate was concentrated. The extracts obtained were used for the various tests.</w:t>
      </w:r>
    </w:p>
    <w:p w14:paraId="471385FE"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2.5. Assay of Primary Metabolites</w:t>
      </w:r>
    </w:p>
    <w:p w14:paraId="53084EF8"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2.5.1. Vitamin C (Ascorbic Acid) Assay</w:t>
      </w:r>
    </w:p>
    <w:p w14:paraId="00CA56F1" w14:textId="77777777" w:rsidR="002E5BFA" w:rsidRPr="00883413" w:rsidRDefault="002E5BFA"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The vitamin C content of the aqueous extracts was determined using the method </w:t>
      </w:r>
      <w:r>
        <w:rPr>
          <w:rFonts w:ascii="Times New Roman" w:hAnsi="Times New Roman" w:cs="Times New Roman"/>
          <w:highlight w:val="yellow"/>
          <w:lang w:val="en-US"/>
        </w:rPr>
        <w:t>adapted from Zongo et al. (2023)</w:t>
      </w:r>
      <w:r>
        <w:rPr>
          <w:rFonts w:ascii="Times New Roman" w:hAnsi="Times New Roman" w:cs="Times New Roman"/>
          <w:lang w:val="en-US"/>
        </w:rPr>
        <w:t xml:space="preserve">. This assay is based on the ability of ascorbic acid to reduce potassium permanganate (a violet solution), resulting in a decrease in absorbance measured at 530 nm. To do this, 20 µL of extract (5 mg/mL) was mixed with 180 µL of an acidic potassium permanganate solution (0.1 mg/mL). A positive control was prepared using 20 µL of methanol and 180 µL of </w:t>
      </w:r>
      <w:proofErr w:type="spellStart"/>
      <w:r>
        <w:rPr>
          <w:rFonts w:ascii="Times New Roman" w:hAnsi="Times New Roman" w:cs="Times New Roman"/>
          <w:lang w:val="en-US"/>
        </w:rPr>
        <w:t>KMnO</w:t>
      </w:r>
      <w:proofErr w:type="spellEnd"/>
      <w:r>
        <w:rPr>
          <w:rFonts w:ascii="Times New Roman" w:hAnsi="Times New Roman" w:cs="Times New Roman"/>
          <w:lang w:val="en-US"/>
        </w:rPr>
        <w:t xml:space="preserve">₄. After </w:t>
      </w:r>
      <w:proofErr w:type="spellStart"/>
      <w:r>
        <w:rPr>
          <w:rFonts w:ascii="Times New Roman" w:hAnsi="Times New Roman" w:cs="Times New Roman"/>
          <w:highlight w:val="yellow"/>
          <w:lang w:val="en-US"/>
        </w:rPr>
        <w:t>homogenisation</w:t>
      </w:r>
      <w:proofErr w:type="spellEnd"/>
      <w:r>
        <w:rPr>
          <w:rFonts w:ascii="Times New Roman" w:hAnsi="Times New Roman" w:cs="Times New Roman"/>
          <w:lang w:val="en-US"/>
        </w:rPr>
        <w:t xml:space="preserve">, the mixtures were incubated for 5 minutes in the dark, and then the absorbance was measured at 530 nm. Ascorbic acid served as the standard (y = 6.0911x + 0.0523, R² = 0.997) (Appendix </w:t>
      </w:r>
      <w:r w:rsidR="00B7596D">
        <w:rPr>
          <w:rFonts w:ascii="Times New Roman" w:hAnsi="Times New Roman" w:cs="Times New Roman"/>
          <w:lang w:val="en-US"/>
        </w:rPr>
        <w:t>1</w:t>
      </w:r>
      <w:r w:rsidRPr="00883413">
        <w:rPr>
          <w:rFonts w:ascii="Times New Roman" w:hAnsi="Times New Roman" w:cs="Times New Roman"/>
          <w:lang w:val="en-US"/>
        </w:rPr>
        <w:t>). All tests were performed in triplicate, and the results were expressed in milligrams equivalent of ascorbic acid per 100 mg of dry extract (mg EAA/100 mg of dry extract), according to the following formula (Equation 1):</w:t>
      </w:r>
    </w:p>
    <w:p w14:paraId="6D75FCAB" w14:textId="77777777" w:rsidR="002E5BFA" w:rsidRPr="00883413" w:rsidRDefault="002E5BFA" w:rsidP="00B80458">
      <w:pPr>
        <w:spacing w:line="360" w:lineRule="auto"/>
        <w:jc w:val="both"/>
        <w:rPr>
          <w:rFonts w:ascii="Times New Roman" w:eastAsia="DengXian" w:hAnsi="Times New Roman" w:cs="Times New Roman"/>
          <w:bCs/>
          <w:iCs/>
          <w:kern w:val="0"/>
          <w:lang w:val="en-US" w:eastAsia="fr-FR"/>
          <w14:ligatures w14:val="none"/>
        </w:rPr>
      </w:pPr>
      <m:oMath>
        <m:r>
          <w:rPr>
            <w:rFonts w:ascii="Cambria Math" w:eastAsia="DengXian" w:hAnsi="Cambria Math" w:cs="Times New Roman"/>
            <w:kern w:val="0"/>
            <w:lang w:eastAsia="fr-FR"/>
            <w14:ligatures w14:val="none"/>
          </w:rPr>
          <m:t>C</m:t>
        </m:r>
        <m:r>
          <m:rPr>
            <m:sty m:val="p"/>
          </m:rPr>
          <w:rPr>
            <w:rFonts w:ascii="Cambria Math" w:eastAsia="DengXian" w:hAnsi="Cambria Math" w:cs="Times New Roman"/>
            <w:kern w:val="0"/>
            <w:lang w:val="en-US" w:eastAsia="fr-FR"/>
            <w14:ligatures w14:val="none"/>
          </w:rPr>
          <m:t>=</m:t>
        </m:r>
        <m:f>
          <m:fPr>
            <m:ctrlPr>
              <w:rPr>
                <w:rFonts w:ascii="Cambria Math" w:eastAsia="DengXian" w:hAnsi="Cambria Math" w:cs="Times New Roman"/>
                <w:bCs/>
                <w:iCs/>
                <w:kern w:val="0"/>
                <w:lang w:eastAsia="fr-FR"/>
                <w14:ligatures w14:val="none"/>
              </w:rPr>
            </m:ctrlPr>
          </m:fPr>
          <m:num>
            <m:r>
              <m:rPr>
                <m:sty m:val="p"/>
              </m:rPr>
              <w:rPr>
                <w:rFonts w:ascii="Cambria Math" w:eastAsia="DengXian" w:hAnsi="Cambria Math" w:cs="Times New Roman"/>
                <w:kern w:val="0"/>
                <w:lang w:val="en-US" w:eastAsia="fr-FR"/>
                <w14:ligatures w14:val="none"/>
              </w:rPr>
              <m:t>Clue*FD</m:t>
            </m:r>
          </m:num>
          <m:den>
            <m:r>
              <m:rPr>
                <m:sty m:val="p"/>
              </m:rPr>
              <w:rPr>
                <w:rFonts w:ascii="Cambria Math" w:eastAsia="DengXian" w:hAnsi="Cambria Math" w:cs="Times New Roman"/>
                <w:kern w:val="0"/>
                <w:lang w:val="en-US" w:eastAsia="fr-FR"/>
                <w14:ligatures w14:val="none"/>
              </w:rPr>
              <m:t>Ci</m:t>
            </m:r>
          </m:den>
        </m:f>
        <m:r>
          <w:rPr>
            <w:rFonts w:ascii="Cambria Math" w:eastAsia="DengXian" w:hAnsi="Cambria Math" w:cs="Times New Roman"/>
            <w:kern w:val="0"/>
            <w:lang w:val="en-US" w:eastAsia="fr-FR"/>
            <w14:ligatures w14:val="none"/>
          </w:rPr>
          <m:t>*100</m:t>
        </m:r>
      </m:oMath>
      <w:r w:rsidRPr="00883413">
        <w:rPr>
          <w:rFonts w:ascii="Times New Roman" w:eastAsia="DengXian" w:hAnsi="Times New Roman" w:cs="Times New Roman"/>
          <w:bCs/>
          <w:kern w:val="0"/>
          <w:lang w:val="en-US" w:eastAsia="fr-FR"/>
          <w14:ligatures w14:val="none"/>
        </w:rPr>
        <w:t xml:space="preserve"> (Equation 1)</w:t>
      </w:r>
    </w:p>
    <w:p w14:paraId="626B10E6" w14:textId="77777777" w:rsidR="002E5BFA" w:rsidRPr="00883413" w:rsidRDefault="002E5BFA" w:rsidP="00B80458">
      <w:pPr>
        <w:spacing w:line="360" w:lineRule="auto"/>
        <w:jc w:val="both"/>
        <w:rPr>
          <w:rFonts w:ascii="Times New Roman" w:hAnsi="Times New Roman" w:cs="Times New Roman"/>
          <w:lang w:val="en-US"/>
        </w:rPr>
      </w:pPr>
    </w:p>
    <w:p w14:paraId="407438C6"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C: Vitamin C content in mg of ascorbic acid equivalent per 100 mg of dry extract; Clue: Measured sample concentration (mg/mL); FD: Dilution factor; Ci: Initial concentration in mg/</w:t>
      </w:r>
      <w:proofErr w:type="spellStart"/>
      <w:r w:rsidRPr="00883413">
        <w:rPr>
          <w:rFonts w:ascii="Times New Roman" w:hAnsi="Times New Roman" w:cs="Times New Roman"/>
          <w:lang w:val="en-US"/>
        </w:rPr>
        <w:t>mL.</w:t>
      </w:r>
      <w:proofErr w:type="spellEnd"/>
    </w:p>
    <w:p w14:paraId="45B2C903"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2.5.2. Total Sugar Assay</w:t>
      </w:r>
    </w:p>
    <w:p w14:paraId="76D6640F" w14:textId="77777777" w:rsidR="002E5BFA" w:rsidRPr="00883413" w:rsidRDefault="002E5BFA"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The determination of soluble sugars was performed according to the method described by Dubois et al. (1951), based on the phenol–sulfuric acid reaction. In the presence of concentrated sulfuric acid, the </w:t>
      </w:r>
      <w:proofErr w:type="spellStart"/>
      <w:r>
        <w:rPr>
          <w:rFonts w:ascii="Times New Roman" w:hAnsi="Times New Roman" w:cs="Times New Roman"/>
          <w:lang w:val="en-US"/>
        </w:rPr>
        <w:t>oses</w:t>
      </w:r>
      <w:proofErr w:type="spellEnd"/>
      <w:r>
        <w:rPr>
          <w:rFonts w:ascii="Times New Roman" w:hAnsi="Times New Roman" w:cs="Times New Roman"/>
          <w:lang w:val="en-US"/>
        </w:rPr>
        <w:t xml:space="preserve"> contained in the extracts undergo dehydration and are converted into furfuryl derivatives (C₅H₆O₂). These react with phenol to form a yellow-orange complex, whose absorbance was measured at 490 nm. The intensity of the </w:t>
      </w:r>
      <w:proofErr w:type="spellStart"/>
      <w:r>
        <w:rPr>
          <w:rFonts w:ascii="Times New Roman" w:hAnsi="Times New Roman" w:cs="Times New Roman"/>
          <w:highlight w:val="yellow"/>
          <w:lang w:val="en-US"/>
        </w:rPr>
        <w:t>colour</w:t>
      </w:r>
      <w:proofErr w:type="spellEnd"/>
      <w:r>
        <w:rPr>
          <w:rFonts w:ascii="Times New Roman" w:hAnsi="Times New Roman" w:cs="Times New Roman"/>
          <w:lang w:val="en-US"/>
        </w:rPr>
        <w:t xml:space="preserve"> is proportional to the amount of sugars present in the reaction medium.</w:t>
      </w:r>
    </w:p>
    <w:p w14:paraId="19C989D7" w14:textId="77777777" w:rsidR="002E5BFA" w:rsidRPr="00883413" w:rsidRDefault="002E5BFA" w:rsidP="00B80458">
      <w:pPr>
        <w:spacing w:line="360" w:lineRule="auto"/>
        <w:jc w:val="both"/>
        <w:rPr>
          <w:rFonts w:ascii="Times New Roman" w:hAnsi="Times New Roman" w:cs="Times New Roman"/>
          <w:lang w:val="en-US"/>
        </w:rPr>
      </w:pPr>
      <w:r>
        <w:rPr>
          <w:rFonts w:ascii="Times New Roman" w:hAnsi="Times New Roman" w:cs="Times New Roman"/>
          <w:lang w:val="en-US"/>
        </w:rPr>
        <w:t xml:space="preserve">Specifically, </w:t>
      </w:r>
      <w:r>
        <w:rPr>
          <w:rFonts w:ascii="Times New Roman" w:hAnsi="Times New Roman" w:cs="Times New Roman"/>
          <w:highlight w:val="yellow"/>
          <w:lang w:val="en-US"/>
        </w:rPr>
        <w:t>70 µL of sample solution (0.2 mg/mL) was mixed</w:t>
      </w:r>
      <w:r>
        <w:rPr>
          <w:rFonts w:ascii="Times New Roman" w:hAnsi="Times New Roman" w:cs="Times New Roman"/>
          <w:lang w:val="en-US"/>
        </w:rPr>
        <w:t xml:space="preserve"> with 35 µL of 5% phenol and 175 µL of concentrated sulfuric acid. A blank was prepared by replacing the extract solution with 70 µL of 80% methanol. After 15 minutes of incubation, </w:t>
      </w:r>
      <w:r>
        <w:rPr>
          <w:rFonts w:ascii="Times New Roman" w:hAnsi="Times New Roman" w:cs="Times New Roman"/>
          <w:highlight w:val="yellow"/>
          <w:lang w:val="en-US"/>
        </w:rPr>
        <w:t>the absorbance was measured</w:t>
      </w:r>
      <w:r>
        <w:rPr>
          <w:rFonts w:ascii="Times New Roman" w:hAnsi="Times New Roman" w:cs="Times New Roman"/>
          <w:lang w:val="en-US"/>
        </w:rPr>
        <w:t xml:space="preserve"> at 490 nm using a spectrophotometer. For quantification, a sucrose calibration curve was used (y = 9.0732x – 0.0592; R² = 0.993). The results were expressed in milligrams of sucrose equivalent per 100 mg of dry extract (mg DE/100 mg), according to the following formula (Equation 2):</w:t>
      </w:r>
    </w:p>
    <w:p w14:paraId="63B9B048"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m:oMath>
        <m:r>
          <w:rPr>
            <w:rFonts w:ascii="Cambria Math" w:eastAsia="DengXian" w:hAnsi="Cambria Math" w:cs="Times New Roman"/>
            <w:kern w:val="0"/>
            <w:lang w:eastAsia="fr-FR"/>
            <w14:ligatures w14:val="none"/>
          </w:rPr>
          <m:t>T</m:t>
        </m:r>
        <m:r>
          <m:rPr>
            <m:sty m:val="p"/>
          </m:rPr>
          <w:rPr>
            <w:rFonts w:ascii="Cambria Math" w:eastAsia="DengXian" w:hAnsi="Cambria Math" w:cs="Times New Roman"/>
            <w:kern w:val="0"/>
            <w:lang w:val="en-US" w:eastAsia="fr-FR"/>
            <w14:ligatures w14:val="none"/>
          </w:rPr>
          <m:t>=</m:t>
        </m:r>
        <m:f>
          <m:fPr>
            <m:ctrlPr>
              <w:rPr>
                <w:rFonts w:ascii="Cambria Math" w:eastAsia="DengXian" w:hAnsi="Cambria Math" w:cs="Times New Roman"/>
                <w:bCs/>
                <w:iCs/>
                <w:kern w:val="0"/>
                <w:lang w:eastAsia="fr-FR"/>
                <w14:ligatures w14:val="none"/>
              </w:rPr>
            </m:ctrlPr>
          </m:fPr>
          <m:num>
            <m:r>
              <m:rPr>
                <m:sty m:val="p"/>
              </m:rPr>
              <w:rPr>
                <w:rFonts w:ascii="Cambria Math" w:eastAsia="DengXian" w:hAnsi="Cambria Math" w:cs="Times New Roman"/>
                <w:kern w:val="0"/>
                <w:lang w:val="en-US" w:eastAsia="fr-FR"/>
                <w14:ligatures w14:val="none"/>
              </w:rPr>
              <m:t>Clue*FD</m:t>
            </m:r>
          </m:num>
          <m:den>
            <m:r>
              <m:rPr>
                <m:sty m:val="p"/>
              </m:rPr>
              <w:rPr>
                <w:rFonts w:ascii="Cambria Math" w:eastAsia="DengXian" w:hAnsi="Cambria Math" w:cs="Times New Roman"/>
                <w:kern w:val="0"/>
                <w:lang w:val="en-US" w:eastAsia="fr-FR"/>
                <w14:ligatures w14:val="none"/>
              </w:rPr>
              <m:t>Ci</m:t>
            </m:r>
          </m:den>
        </m:f>
        <m:r>
          <w:rPr>
            <w:rFonts w:ascii="Cambria Math" w:eastAsia="DengXian" w:hAnsi="Cambria Math" w:cs="Times New Roman"/>
            <w:kern w:val="0"/>
            <w:lang w:val="en-US" w:eastAsia="fr-FR"/>
            <w14:ligatures w14:val="none"/>
          </w:rPr>
          <m:t>*100</m:t>
        </m:r>
      </m:oMath>
      <w:r w:rsidRPr="00883413">
        <w:rPr>
          <w:rFonts w:ascii="Times New Roman" w:eastAsia="DengXian" w:hAnsi="Times New Roman" w:cs="Times New Roman"/>
          <w:bCs/>
          <w:kern w:val="0"/>
          <w:lang w:val="en-US" w:eastAsia="fr-FR"/>
          <w14:ligatures w14:val="none"/>
        </w:rPr>
        <w:t xml:space="preserve"> (Equation 2)</w:t>
      </w:r>
    </w:p>
    <w:p w14:paraId="65AC9651"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T: Total sugar content of the sample in mg DS/100 mg of dry matter; Clue: Sample concentration in mg DS/mL; FD: Dilution factor; Ci: Initial sample concentration</w:t>
      </w:r>
    </w:p>
    <w:p w14:paraId="290F8B4D"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p>
    <w:p w14:paraId="545FD5B3"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2.6. Determination of phenolic compounds</w:t>
      </w:r>
    </w:p>
    <w:p w14:paraId="7B960DDD"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2.6.1. Determination of total phenolics</w:t>
      </w:r>
    </w:p>
    <w:p w14:paraId="469ECF52"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Pr>
          <w:rFonts w:ascii="Times New Roman" w:eastAsia="DengXian" w:hAnsi="Times New Roman" w:cs="Times New Roman"/>
          <w:bCs/>
          <w:kern w:val="0"/>
          <w:lang w:val="en-US" w:eastAsia="fr-FR"/>
          <w14:ligatures w14:val="none"/>
        </w:rPr>
        <w:t xml:space="preserve">The determination of total phenolics was performed according to the procedure described by Singleton et al. (1999). It is based on the high </w:t>
      </w:r>
      <w:proofErr w:type="spellStart"/>
      <w:r>
        <w:rPr>
          <w:rFonts w:ascii="Times New Roman" w:eastAsia="DengXian" w:hAnsi="Times New Roman" w:cs="Times New Roman"/>
          <w:bCs/>
          <w:kern w:val="0"/>
          <w:highlight w:val="yellow"/>
          <w:lang w:val="en-US" w:eastAsia="fr-FR"/>
          <w14:ligatures w14:val="none"/>
        </w:rPr>
        <w:t>oxidisability</w:t>
      </w:r>
      <w:proofErr w:type="spellEnd"/>
      <w:r>
        <w:rPr>
          <w:rFonts w:ascii="Times New Roman" w:eastAsia="DengXian" w:hAnsi="Times New Roman" w:cs="Times New Roman"/>
          <w:bCs/>
          <w:kern w:val="0"/>
          <w:lang w:val="en-US" w:eastAsia="fr-FR"/>
          <w14:ligatures w14:val="none"/>
        </w:rPr>
        <w:t xml:space="preserve"> of phenolic compounds. The reagent used was a mixture of phosphomolybdate and sodium tungstate, which is reduced during the oxidation of phenols in an alkaline medium to form a mixture of tungsten blue and molybdenum. This results in a change in the </w:t>
      </w:r>
      <w:proofErr w:type="spellStart"/>
      <w:r>
        <w:rPr>
          <w:rFonts w:ascii="Times New Roman" w:eastAsia="DengXian" w:hAnsi="Times New Roman" w:cs="Times New Roman"/>
          <w:bCs/>
          <w:kern w:val="0"/>
          <w:highlight w:val="yellow"/>
          <w:lang w:val="en-US" w:eastAsia="fr-FR"/>
          <w14:ligatures w14:val="none"/>
        </w:rPr>
        <w:t>colourimetric</w:t>
      </w:r>
      <w:proofErr w:type="spellEnd"/>
      <w:r>
        <w:rPr>
          <w:rFonts w:ascii="Times New Roman" w:eastAsia="DengXian" w:hAnsi="Times New Roman" w:cs="Times New Roman"/>
          <w:bCs/>
          <w:kern w:val="0"/>
          <w:lang w:val="en-US" w:eastAsia="fr-FR"/>
          <w14:ligatures w14:val="none"/>
        </w:rPr>
        <w:t xml:space="preserve"> properties of the Folin-</w:t>
      </w:r>
      <w:proofErr w:type="spellStart"/>
      <w:r>
        <w:rPr>
          <w:rFonts w:ascii="Times New Roman" w:eastAsia="DengXian" w:hAnsi="Times New Roman" w:cs="Times New Roman"/>
          <w:bCs/>
          <w:kern w:val="0"/>
          <w:lang w:val="en-US" w:eastAsia="fr-FR"/>
          <w14:ligatures w14:val="none"/>
        </w:rPr>
        <w:t>Ciocalteu</w:t>
      </w:r>
      <w:proofErr w:type="spellEnd"/>
      <w:r>
        <w:rPr>
          <w:rFonts w:ascii="Times New Roman" w:eastAsia="DengXian" w:hAnsi="Times New Roman" w:cs="Times New Roman"/>
          <w:bCs/>
          <w:kern w:val="0"/>
          <w:lang w:val="en-US" w:eastAsia="fr-FR"/>
          <w14:ligatures w14:val="none"/>
        </w:rPr>
        <w:t xml:space="preserve"> reagent, which reacts with the OH group of the phenols. 96-well microplates were used. The </w:t>
      </w:r>
      <w:r>
        <w:rPr>
          <w:rFonts w:ascii="Times New Roman" w:eastAsia="DengXian" w:hAnsi="Times New Roman" w:cs="Times New Roman"/>
          <w:bCs/>
          <w:kern w:val="0"/>
          <w:lang w:val="en-US" w:eastAsia="fr-FR"/>
          <w14:ligatures w14:val="none"/>
        </w:rPr>
        <w:lastRenderedPageBreak/>
        <w:t xml:space="preserve">following were added sequentially to each well: 25 µL of extract solution (0.1 mg/mL) and 125 µL of FCR solution (0.2 N). After a 5-minute incubation, 100 µL of a sodium carbonate solution (75 g/L) was added. After one hour of incubation, the absorbance was measured at 760 nm against a gallic acid standard curve (100 mg/L). Three independent readings were taken for </w:t>
      </w:r>
      <w:r w:rsidRPr="00883413">
        <w:rPr>
          <w:rFonts w:ascii="Times New Roman" w:eastAsia="DengXian" w:hAnsi="Times New Roman" w:cs="Times New Roman"/>
          <w:bCs/>
          <w:kern w:val="0"/>
          <w:lang w:val="en-US" w:eastAsia="fr-FR"/>
          <w14:ligatures w14:val="none"/>
        </w:rPr>
        <w:t>each extract sample, and the results were expressed in µg gallic acid equivalent per 100 mg of dry extract. The total phenolic content was expressed in µg gallic acid equivalent per gram of dry extract, according to the following formula (Equation 3):</w:t>
      </w:r>
    </w:p>
    <w:p w14:paraId="55845654" w14:textId="77777777" w:rsidR="002E5BFA" w:rsidRPr="00883413" w:rsidRDefault="002E5BFA" w:rsidP="00B80458">
      <w:pPr>
        <w:spacing w:line="360" w:lineRule="auto"/>
        <w:jc w:val="both"/>
        <w:rPr>
          <w:rFonts w:ascii="Times New Roman" w:eastAsiaTheme="minorEastAsia" w:hAnsi="Times New Roman" w:cs="Times New Roman"/>
          <w:lang w:val="en-US"/>
        </w:rPr>
      </w:pPr>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C*D</m:t>
            </m:r>
          </m:num>
          <m:den>
            <m:r>
              <m:rPr>
                <m:sty m:val="p"/>
              </m:rPr>
              <w:rPr>
                <w:rFonts w:ascii="Cambria Math" w:hAnsi="Cambria Math" w:cs="Times New Roman"/>
                <w:lang w:val="en-US"/>
              </w:rPr>
              <m:t>Ci</m:t>
            </m:r>
          </m:den>
        </m:f>
        <m:r>
          <w:rPr>
            <w:rFonts w:ascii="Cambria Math" w:hAnsi="Cambria Math" w:cs="Times New Roman"/>
            <w:lang w:val="en-US"/>
          </w:rPr>
          <m:t xml:space="preserve"> </m:t>
        </m:r>
        <m:r>
          <m:rPr>
            <m:sty m:val="p"/>
          </m:rPr>
          <w:rPr>
            <w:rFonts w:ascii="Cambria Math" w:hAnsi="Cambria Math" w:cs="Times New Roman"/>
            <w:lang w:val="en-US"/>
          </w:rPr>
          <m:t>*1000</m:t>
        </m:r>
      </m:oMath>
      <w:r w:rsidRPr="00883413">
        <w:rPr>
          <w:rFonts w:ascii="Times New Roman" w:eastAsiaTheme="minorEastAsia" w:hAnsi="Times New Roman" w:cs="Times New Roman"/>
          <w:lang w:val="en-US"/>
        </w:rPr>
        <w:t xml:space="preserve"> (Equation 3)</w:t>
      </w:r>
    </w:p>
    <w:p w14:paraId="50F0B0AD"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 = total phenolic concentration in µg EG/g of dry extract; C = concentration of the sample on the calibration curve; D = dilution factor of the sample to be assayed; Ci = initial concentration of the assayed sample solution.</w:t>
      </w:r>
    </w:p>
    <w:p w14:paraId="3CB6C6B9"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4AF273EF"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2.6.2. Determination of Total Flavonoids</w:t>
      </w:r>
    </w:p>
    <w:p w14:paraId="525671AA" w14:textId="77777777" w:rsidR="00443739" w:rsidRPr="00883413" w:rsidRDefault="00443739" w:rsidP="00B80458">
      <w:pPr>
        <w:spacing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t xml:space="preserve">Total flavonoids were determined using the </w:t>
      </w:r>
      <w:proofErr w:type="spellStart"/>
      <w:r>
        <w:rPr>
          <w:rFonts w:ascii="Times New Roman" w:eastAsiaTheme="minorEastAsia" w:hAnsi="Times New Roman" w:cs="Times New Roman"/>
          <w:highlight w:val="yellow"/>
          <w:lang w:val="en-US"/>
        </w:rPr>
        <w:t>colourimetric</w:t>
      </w:r>
      <w:proofErr w:type="spellEnd"/>
      <w:r>
        <w:rPr>
          <w:rFonts w:ascii="Times New Roman" w:eastAsiaTheme="minorEastAsia" w:hAnsi="Times New Roman" w:cs="Times New Roman"/>
          <w:lang w:val="en-US"/>
        </w:rPr>
        <w:t xml:space="preserve"> method described by </w:t>
      </w:r>
      <w:proofErr w:type="spellStart"/>
      <w:r>
        <w:rPr>
          <w:rFonts w:ascii="Times New Roman" w:eastAsiaTheme="minorEastAsia" w:hAnsi="Times New Roman" w:cs="Times New Roman"/>
          <w:lang w:val="en-US"/>
        </w:rPr>
        <w:t>Arvouet</w:t>
      </w:r>
      <w:proofErr w:type="spellEnd"/>
      <w:r>
        <w:rPr>
          <w:rFonts w:ascii="Times New Roman" w:eastAsiaTheme="minorEastAsia" w:hAnsi="Times New Roman" w:cs="Times New Roman"/>
          <w:lang w:val="en-US"/>
        </w:rPr>
        <w:t xml:space="preserve">-Grand et al. (1994). A volume of 100 µL of 2% </w:t>
      </w:r>
      <w:proofErr w:type="spellStart"/>
      <w:r>
        <w:rPr>
          <w:rFonts w:ascii="Times New Roman" w:eastAsiaTheme="minorEastAsia" w:hAnsi="Times New Roman" w:cs="Times New Roman"/>
          <w:lang w:val="en-US"/>
        </w:rPr>
        <w:t>AlCl</w:t>
      </w:r>
      <w:proofErr w:type="spellEnd"/>
      <w:r>
        <w:rPr>
          <w:rFonts w:ascii="Times New Roman" w:eastAsiaTheme="minorEastAsia" w:hAnsi="Times New Roman" w:cs="Times New Roman"/>
          <w:lang w:val="en-US"/>
        </w:rPr>
        <w:t>₃ in pure methanol was mixed with an equal volume of extract at 1 mg/mL in methanol. The optical densities were measured at 415 nm using a spectrophotometer based on a calibration curve established beforehand, following a 10-minute incubation period. The calibration curve was plotted using quercetin as the reference substance. Readings were taken in triplicate, and the results were expressed in milligrams of quercetin equivalent per 100 mg of dry extract (mg EQ/100 mg) according to the following formula (Equation 4):</w:t>
      </w:r>
    </w:p>
    <w:p w14:paraId="5953586E" w14:textId="77777777" w:rsidR="00443739" w:rsidRPr="00883413" w:rsidRDefault="00443739" w:rsidP="00B80458">
      <w:pPr>
        <w:spacing w:line="360" w:lineRule="auto"/>
        <w:jc w:val="both"/>
        <w:rPr>
          <w:rFonts w:ascii="Times New Roman" w:eastAsiaTheme="minorEastAsia" w:hAnsi="Times New Roman" w:cs="Times New Roman"/>
          <w:lang w:val="en-US"/>
        </w:rPr>
      </w:pPr>
      <w:bookmarkStart w:id="0" w:name="_Hlk209687290"/>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C*D</m:t>
            </m:r>
          </m:num>
          <m:den>
            <m:r>
              <w:rPr>
                <w:rFonts w:ascii="Cambria Math" w:hAnsi="Cambria Math" w:cs="Times New Roman"/>
              </w:rPr>
              <m:t>Ci</m:t>
            </m:r>
          </m:den>
        </m:f>
        <m:r>
          <m:rPr>
            <m:sty m:val="p"/>
          </m:rPr>
          <w:rPr>
            <w:rFonts w:ascii="Cambria Math" w:hAnsi="Cambria Math" w:cs="Times New Roman"/>
            <w:lang w:val="en-US"/>
          </w:rPr>
          <m:t>*1000</m:t>
        </m:r>
      </m:oMath>
      <w:r w:rsidRPr="00883413">
        <w:rPr>
          <w:rFonts w:ascii="Times New Roman" w:eastAsiaTheme="minorEastAsia" w:hAnsi="Times New Roman" w:cs="Times New Roman"/>
          <w:lang w:val="en-US"/>
        </w:rPr>
        <w:t xml:space="preserve"> (Equation 4)</w:t>
      </w:r>
    </w:p>
    <w:p w14:paraId="6D744D59"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 = total flavonoid concentration in µg EQ/100 mg of dry extract; C = sample concentration read from the calibration curve; D = dilution factor of the sample to be assayed; Ci = initial concentration of the sample solution to be assayed.</w:t>
      </w:r>
    </w:p>
    <w:p w14:paraId="21C843EC"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1AE2807D"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 Biological Assays</w:t>
      </w:r>
    </w:p>
    <w:p w14:paraId="7E680762"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 In Vitro Antioxidant Activities</w:t>
      </w:r>
    </w:p>
    <w:p w14:paraId="77F041D8" w14:textId="77777777" w:rsidR="00443739" w:rsidRPr="00883413" w:rsidRDefault="00443739" w:rsidP="00B80458">
      <w:pPr>
        <w:spacing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lastRenderedPageBreak/>
        <w:t>Due to the diversity of natural compounds and reactive oxygen species, several methods have been used to evaluate the antioxidant activities of plant extracts (</w:t>
      </w:r>
      <w:r>
        <w:rPr>
          <w:rFonts w:ascii="Times New Roman" w:eastAsiaTheme="minorEastAsia" w:hAnsi="Times New Roman" w:cs="Times New Roman"/>
          <w:highlight w:val="yellow"/>
          <w:lang w:val="en-US"/>
        </w:rPr>
        <w:t>Zongo et al., 2023</w:t>
      </w:r>
      <w:r>
        <w:rPr>
          <w:rFonts w:ascii="Times New Roman" w:eastAsiaTheme="minorEastAsia" w:hAnsi="Times New Roman" w:cs="Times New Roman"/>
          <w:lang w:val="en-US"/>
        </w:rPr>
        <w:t xml:space="preserve">). </w:t>
      </w:r>
      <w:r>
        <w:rPr>
          <w:rFonts w:ascii="Times New Roman" w:eastAsiaTheme="minorEastAsia" w:hAnsi="Times New Roman" w:cs="Times New Roman"/>
          <w:highlight w:val="yellow"/>
          <w:lang w:val="en-US"/>
        </w:rPr>
        <w:t>In this study, three methods were used to evaluate the antioxidant activity of the extracts: the DPPH• (2,2-diphenylpicrylhydrazyl) radical-scavenging assay, the FRAP (Ferric Reducing Antioxidant Power) iron-reducing assay, and the ABTS•+ (2,2′-azino-bis(3-ethylbenzothiazoline-6-sulfonic acid)) radical-scavenging assay.</w:t>
      </w:r>
    </w:p>
    <w:p w14:paraId="571AF66D"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406C9049"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2.7.1.1. DPPH• (2,2-diphenylpicrylhydrazyl) Radical Scavenging Assay</w:t>
      </w:r>
    </w:p>
    <w:p w14:paraId="1FE80E72" w14:textId="77777777" w:rsidR="00443739" w:rsidRPr="00883413" w:rsidRDefault="00443739" w:rsidP="00B80458">
      <w:pPr>
        <w:spacing w:line="360" w:lineRule="auto"/>
        <w:jc w:val="both"/>
        <w:rPr>
          <w:rFonts w:ascii="Times New Roman" w:eastAsiaTheme="minorEastAsia" w:hAnsi="Times New Roman" w:cs="Times New Roman"/>
          <w:lang w:val="en-US"/>
        </w:rPr>
      </w:pPr>
      <w:r>
        <w:rPr>
          <w:rFonts w:ascii="Times New Roman" w:eastAsiaTheme="minorEastAsia" w:hAnsi="Times New Roman" w:cs="Times New Roman"/>
          <w:highlight w:val="yellow"/>
          <w:lang w:val="en-US"/>
        </w:rPr>
        <w:t>Radical-scavenging activity was assessed using the DPPH• (2,2-diphenyl-1-picrylhydrazyl) method described by Velázquez et al. (2003).</w:t>
      </w:r>
      <w:r>
        <w:rPr>
          <w:rFonts w:ascii="Times New Roman" w:eastAsiaTheme="minorEastAsia" w:hAnsi="Times New Roman" w:cs="Times New Roman"/>
          <w:lang w:val="en-US"/>
        </w:rPr>
        <w:t xml:space="preserve"> This method is based on the reduction in absorbance at 517 nm caused by the stable free radical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 xml:space="preserve"> in the presence of a radical donor H. A series of seven (07) successive dilutions was prepared from sample solutions at 0.1 mg/mL in methanol. For each concentration, three (03) replicates were prepared by mixing 100 µL of sample with 200 µL of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 xml:space="preserve"> (20 mg/L in methanol). The blank consisted of 100 µL of methanol and 200 µL of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w:t>
      </w:r>
      <w:r w:rsidR="00C26807">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After 15 minutes of incubation, the absorbance was measured at 517 nm using a 96-well UV microplate spectrophotometer against a calibration curve of ascorbic acid (0 to 10 mg/mL) </w:t>
      </w:r>
      <w:r>
        <w:rPr>
          <w:rFonts w:ascii="Times New Roman" w:eastAsiaTheme="minorEastAsia" w:hAnsi="Times New Roman" w:cs="Times New Roman"/>
          <w:highlight w:val="yellow"/>
          <w:lang w:val="en-US"/>
        </w:rPr>
        <w:t>(N’do et al., 2025b)</w:t>
      </w:r>
      <w:r>
        <w:rPr>
          <w:rFonts w:ascii="Times New Roman" w:eastAsiaTheme="minorEastAsia" w:hAnsi="Times New Roman" w:cs="Times New Roman"/>
          <w:lang w:val="en-US"/>
        </w:rPr>
        <w:t xml:space="preserve"> according to Equation 5.</w:t>
      </w:r>
    </w:p>
    <w:p w14:paraId="247F01A9" w14:textId="77777777" w:rsidR="00443739" w:rsidRPr="00883413" w:rsidRDefault="00443739" w:rsidP="00B80458">
      <w:pPr>
        <w:spacing w:before="240" w:after="240" w:line="360" w:lineRule="auto"/>
        <w:jc w:val="both"/>
        <w:rPr>
          <w:rFonts w:ascii="Times New Roman" w:eastAsiaTheme="minorEastAsia" w:hAnsi="Times New Roman" w:cs="Times New Roman"/>
          <w:lang w:val="en-US"/>
        </w:rPr>
      </w:pPr>
      <m:oMath>
        <m:r>
          <m:rPr>
            <m:sty m:val="p"/>
          </m:rPr>
          <w:rPr>
            <w:rFonts w:ascii="Cambria Math" w:eastAsiaTheme="minorEastAsia" w:hAnsi="Cambria Math" w:cs="Times New Roman"/>
            <w:lang w:val="en-US"/>
          </w:rPr>
          <m:t>Antioxidant activity</m:t>
        </m:r>
        <m:r>
          <m:rPr>
            <m:sty m:val="p"/>
          </m:rPr>
          <w:rPr>
            <w:rFonts w:ascii="Cambria Math" w:hAnsi="Cambria Math" w:cs="Times New Roman"/>
            <w:lang w:val="en-US"/>
          </w:rPr>
          <m:t>: AA=</m:t>
        </m:r>
        <m:f>
          <m:fPr>
            <m:ctrlPr>
              <w:rPr>
                <w:rFonts w:ascii="Cambria Math" w:hAnsi="Cambria Math" w:cs="Times New Roman"/>
              </w:rPr>
            </m:ctrlPr>
          </m:fPr>
          <m:num>
            <m:r>
              <w:rPr>
                <w:rFonts w:ascii="Cambria Math" w:hAnsi="Cambria Math" w:cs="Times New Roman"/>
                <w:lang w:val="en-US"/>
              </w:rPr>
              <m:t xml:space="preserve"> </m:t>
            </m:r>
            <m:r>
              <w:rPr>
                <w:rFonts w:ascii="Cambria Math" w:hAnsi="Cambria Math" w:cs="Times New Roman"/>
              </w:rPr>
              <m:t>C</m:t>
            </m:r>
            <m:r>
              <w:rPr>
                <w:rFonts w:ascii="Cambria Math" w:hAnsi="Cambria Math" w:cs="Times New Roman"/>
                <w:lang w:val="en-US"/>
              </w:rPr>
              <m:t>*</m:t>
            </m:r>
            <m:r>
              <w:rPr>
                <w:rFonts w:ascii="Cambria Math" w:hAnsi="Cambria Math" w:cs="Times New Roman"/>
              </w:rPr>
              <m:t>D</m:t>
            </m:r>
            <m:r>
              <w:rPr>
                <w:rFonts w:ascii="Cambria Math" w:hAnsi="Cambria Math" w:cs="Times New Roman"/>
                <w:lang w:val="en-US"/>
              </w:rPr>
              <m:t>:</m:t>
            </m:r>
          </m:num>
          <m:den>
            <m:r>
              <w:rPr>
                <w:rFonts w:ascii="Cambria Math" w:hAnsi="Cambria Math" w:cs="Times New Roman"/>
              </w:rPr>
              <m:t>Ci</m:t>
            </m:r>
          </m:den>
        </m:f>
      </m:oMath>
      <w:r w:rsidRPr="00883413">
        <w:rPr>
          <w:rFonts w:ascii="Times New Roman" w:eastAsiaTheme="minorEastAsia" w:hAnsi="Times New Roman" w:cs="Times New Roman"/>
          <w:lang w:val="en-US"/>
        </w:rPr>
        <w:t>*D (Equation 5)</w:t>
      </w:r>
    </w:p>
    <w:p w14:paraId="376F667E"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AA : Antioxidant activity in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g/</w:t>
      </w:r>
      <w:r w:rsidR="008C25C1" w:rsidRPr="00883413">
        <w:rPr>
          <w:rFonts w:ascii="Times New Roman" w:eastAsiaTheme="minorEastAsia" w:hAnsi="Times New Roman" w:cs="Times New Roman"/>
          <w:lang w:val="en-US"/>
        </w:rPr>
        <w:t>mg ;</w:t>
      </w:r>
      <w:r w:rsidRPr="00883413">
        <w:rPr>
          <w:rFonts w:ascii="Times New Roman" w:eastAsiaTheme="minorEastAsia" w:hAnsi="Times New Roman" w:cs="Times New Roman"/>
          <w:lang w:val="en-US"/>
        </w:rPr>
        <w:t xml:space="preserve"> </w:t>
      </w:r>
      <w:r w:rsidR="008C25C1" w:rsidRPr="00883413">
        <w:rPr>
          <w:rFonts w:ascii="Times New Roman" w:eastAsiaTheme="minorEastAsia" w:hAnsi="Times New Roman" w:cs="Times New Roman"/>
          <w:lang w:val="en-US"/>
        </w:rPr>
        <w:t>C :</w:t>
      </w:r>
      <w:r w:rsidRPr="00883413">
        <w:rPr>
          <w:rFonts w:ascii="Times New Roman" w:eastAsiaTheme="minorEastAsia" w:hAnsi="Times New Roman" w:cs="Times New Roman"/>
          <w:lang w:val="en-US"/>
        </w:rPr>
        <w:t xml:space="preserve"> sample concentration in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g/</w:t>
      </w:r>
      <w:r w:rsidR="008C25C1" w:rsidRPr="00883413">
        <w:rPr>
          <w:rFonts w:ascii="Times New Roman" w:eastAsiaTheme="minorEastAsia" w:hAnsi="Times New Roman" w:cs="Times New Roman"/>
          <w:lang w:val="en-US"/>
        </w:rPr>
        <w:t>mL ;</w:t>
      </w:r>
      <w:r w:rsidRPr="00883413">
        <w:rPr>
          <w:rFonts w:ascii="Times New Roman" w:eastAsiaTheme="minorEastAsia" w:hAnsi="Times New Roman" w:cs="Times New Roman"/>
          <w:lang w:val="en-US"/>
        </w:rPr>
        <w:t xml:space="preserve"> </w:t>
      </w:r>
      <w:r w:rsidR="008C25C1" w:rsidRPr="00883413">
        <w:rPr>
          <w:rFonts w:ascii="Times New Roman" w:eastAsiaTheme="minorEastAsia" w:hAnsi="Times New Roman" w:cs="Times New Roman"/>
          <w:lang w:val="en-US"/>
        </w:rPr>
        <w:t>D :</w:t>
      </w:r>
      <w:r w:rsidRPr="00883413">
        <w:rPr>
          <w:rFonts w:ascii="Times New Roman" w:eastAsiaTheme="minorEastAsia" w:hAnsi="Times New Roman" w:cs="Times New Roman"/>
          <w:lang w:val="en-US"/>
        </w:rPr>
        <w:t xml:space="preserve"> dilution </w:t>
      </w:r>
      <w:r w:rsidR="008C25C1" w:rsidRPr="00883413">
        <w:rPr>
          <w:rFonts w:ascii="Times New Roman" w:eastAsiaTheme="minorEastAsia" w:hAnsi="Times New Roman" w:cs="Times New Roman"/>
          <w:lang w:val="en-US"/>
        </w:rPr>
        <w:t>factor ;</w:t>
      </w:r>
      <w:r w:rsidRPr="00883413">
        <w:rPr>
          <w:rFonts w:ascii="Times New Roman" w:eastAsiaTheme="minorEastAsia" w:hAnsi="Times New Roman" w:cs="Times New Roman"/>
          <w:lang w:val="en-US"/>
        </w:rPr>
        <w:t xml:space="preserve"> </w:t>
      </w:r>
      <w:r w:rsidR="008C25C1" w:rsidRPr="00883413">
        <w:rPr>
          <w:rFonts w:ascii="Times New Roman" w:eastAsiaTheme="minorEastAsia" w:hAnsi="Times New Roman" w:cs="Times New Roman"/>
          <w:lang w:val="en-US"/>
        </w:rPr>
        <w:t>Ci :</w:t>
      </w:r>
      <w:r w:rsidRPr="00883413">
        <w:rPr>
          <w:rFonts w:ascii="Times New Roman" w:eastAsiaTheme="minorEastAsia" w:hAnsi="Times New Roman" w:cs="Times New Roman"/>
          <w:lang w:val="en-US"/>
        </w:rPr>
        <w:t xml:space="preserve"> initial sample concentration (mg/mL).</w:t>
      </w:r>
    </w:p>
    <w:p w14:paraId="47BBCF28"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0B071424"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2.7.1.2. Iron-Reducing Capacity Using the FRAP (Ferric Reducing Antioxidant Power) Method</w:t>
      </w:r>
    </w:p>
    <w:p w14:paraId="299C5E0E"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The FRAP (Ferric Reducing Antioxidant Power) method assesses the ability of compounds to reduce ferric ions (Fe³⁺) to ferrous ions (Fe²⁺) (</w:t>
      </w:r>
      <w:proofErr w:type="spellStart"/>
      <w:r w:rsidRPr="00883413">
        <w:rPr>
          <w:rFonts w:ascii="Times New Roman" w:eastAsiaTheme="minorEastAsia" w:hAnsi="Times New Roman" w:cs="Times New Roman"/>
          <w:lang w:val="en-US"/>
        </w:rPr>
        <w:t>Hinneburg</w:t>
      </w:r>
      <w:proofErr w:type="spellEnd"/>
      <w:r w:rsidRPr="00883413">
        <w:rPr>
          <w:rFonts w:ascii="Times New Roman" w:eastAsiaTheme="minorEastAsia" w:hAnsi="Times New Roman" w:cs="Times New Roman"/>
          <w:lang w:val="en-US"/>
        </w:rPr>
        <w:t xml:space="preserve"> et al., 2006). To a test tube containing 0.5 mL of sample solution (0.1 mg/mL), 1.25 mL of phosphate buffer (0.2 M, pH 6.6) was added, followed by 1.25 mL of 1% potassium hexacyanoferrate [</w:t>
      </w:r>
      <w:proofErr w:type="spellStart"/>
      <w:r w:rsidRPr="00883413">
        <w:rPr>
          <w:rFonts w:ascii="Times New Roman" w:eastAsiaTheme="minorEastAsia" w:hAnsi="Times New Roman" w:cs="Times New Roman"/>
          <w:lang w:val="en-US"/>
        </w:rPr>
        <w:t>K₃Fe</w:t>
      </w:r>
      <w:proofErr w:type="spellEnd"/>
      <w:r w:rsidRPr="00883413">
        <w:rPr>
          <w:rFonts w:ascii="Times New Roman" w:eastAsiaTheme="minorEastAsia" w:hAnsi="Times New Roman" w:cs="Times New Roman"/>
          <w:lang w:val="en-US"/>
        </w:rPr>
        <w:t xml:space="preserve">(CN)₆] in water. The mixture was heated to 50°C in a water bath for 30 minutes. A volume of 1.25 mL of trichloroacetic acid (10%) was then added, and the mixture was centrifuged at 2,000 rpm for 10 minutes. A volume of 1.25 mL of the supernatant was mixed with 1.25 mL of distilled water and 0.25 mL of freshly prepared </w:t>
      </w:r>
      <w:proofErr w:type="spellStart"/>
      <w:r w:rsidRPr="00883413">
        <w:rPr>
          <w:rFonts w:ascii="Times New Roman" w:eastAsiaTheme="minorEastAsia" w:hAnsi="Times New Roman" w:cs="Times New Roman"/>
          <w:lang w:val="en-US"/>
        </w:rPr>
        <w:t>FeCl</w:t>
      </w:r>
      <w:proofErr w:type="spellEnd"/>
      <w:r w:rsidRPr="00883413">
        <w:rPr>
          <w:rFonts w:ascii="Times New Roman" w:eastAsiaTheme="minorEastAsia" w:hAnsi="Times New Roman" w:cs="Times New Roman"/>
          <w:lang w:val="en-US"/>
        </w:rPr>
        <w:t xml:space="preserve">₃ (1%) in water. A blank without a sample was prepared </w:t>
      </w:r>
      <w:r w:rsidRPr="00883413">
        <w:rPr>
          <w:rFonts w:ascii="Times New Roman" w:eastAsiaTheme="minorEastAsia" w:hAnsi="Times New Roman" w:cs="Times New Roman"/>
          <w:lang w:val="en-US"/>
        </w:rPr>
        <w:lastRenderedPageBreak/>
        <w:t>under the same conditions. The absorbance was measured at 700 nm against a standard curve of ascorbic acid (0–200 mg/L). Quercetin was used as a positive control. The extract’s ability to reduce iron (III) to iron (II) was expressed in µmol of ascorbic acid equivalent per milligram of extract (µmol AAE/100 mg). The concentration (content) of reducing compounds in the extracts was expressed in µmol ascorbic acid equivalent per 100 mg of dry extract (µmol AAE/100 mg) according to the formula (Equation 6):</w:t>
      </w:r>
    </w:p>
    <w:p w14:paraId="6ED102AB" w14:textId="77777777" w:rsidR="008C25C1" w:rsidRPr="00883413" w:rsidRDefault="008C25C1" w:rsidP="00B80458">
      <w:pPr>
        <w:spacing w:before="240" w:line="360" w:lineRule="auto"/>
        <w:jc w:val="both"/>
        <w:rPr>
          <w:rFonts w:ascii="Times New Roman" w:hAnsi="Times New Roman" w:cs="Times New Roman"/>
          <w:lang w:val="en-US"/>
        </w:rPr>
      </w:pPr>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Cl*Vf*D</m:t>
            </m:r>
          </m:num>
          <m:den>
            <m:r>
              <m:rPr>
                <m:sty m:val="p"/>
              </m:rPr>
              <w:rPr>
                <w:rFonts w:ascii="Cambria Math" w:hAnsi="Cambria Math" w:cs="Times New Roman"/>
                <w:lang w:val="en-US"/>
              </w:rPr>
              <m:t>Ci*Vi</m:t>
            </m:r>
          </m:den>
        </m:f>
      </m:oMath>
      <w:r w:rsidRPr="00883413">
        <w:rPr>
          <w:rFonts w:ascii="Times New Roman" w:hAnsi="Times New Roman" w:cs="Times New Roman"/>
          <w:lang w:val="en-US"/>
        </w:rPr>
        <w:t>*100 (Equation 6)</w:t>
      </w:r>
    </w:p>
    <w:p w14:paraId="6360542D" w14:textId="77777777" w:rsidR="008C25C1" w:rsidRPr="00883413" w:rsidRDefault="008C25C1" w:rsidP="00B80458">
      <w:pPr>
        <w:spacing w:line="360" w:lineRule="auto"/>
        <w:jc w:val="both"/>
        <w:rPr>
          <w:rFonts w:ascii="Times New Roman" w:eastAsiaTheme="minorEastAsia" w:hAnsi="Times New Roman" w:cs="Times New Roman"/>
        </w:rPr>
      </w:pPr>
      <w:r w:rsidRPr="00883413">
        <w:rPr>
          <w:rFonts w:ascii="Times New Roman" w:eastAsiaTheme="minorEastAsia" w:hAnsi="Times New Roman" w:cs="Times New Roman"/>
        </w:rPr>
        <w:t>T = (Cl × Vf × D) / (Ci × Vi) × 100 (Equation 6)</w:t>
      </w:r>
    </w:p>
    <w:p w14:paraId="018A3E82"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T: content of reducing compounds in µmol ascorbic acid equivalent/100 mg dry extract. Cl: measured concentration; </w:t>
      </w:r>
      <w:proofErr w:type="spellStart"/>
      <w:r w:rsidRPr="00883413">
        <w:rPr>
          <w:rFonts w:ascii="Times New Roman" w:eastAsiaTheme="minorEastAsia" w:hAnsi="Times New Roman" w:cs="Times New Roman"/>
          <w:lang w:val="en-US"/>
        </w:rPr>
        <w:t>Vf</w:t>
      </w:r>
      <w:proofErr w:type="spellEnd"/>
      <w:r w:rsidRPr="00883413">
        <w:rPr>
          <w:rFonts w:ascii="Times New Roman" w:eastAsiaTheme="minorEastAsia" w:hAnsi="Times New Roman" w:cs="Times New Roman"/>
          <w:lang w:val="en-US"/>
        </w:rPr>
        <w:t>: final volume; D: dilution factor; Ci: initial concentration; Vi: initial volume; C = concentration of antiradical compounds in µmol EAA/100 mg of dry extract; Clue = sample concentration read from the calibration curve; D = sample dilution factor.</w:t>
      </w:r>
    </w:p>
    <w:p w14:paraId="2F8CB3E1"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43DD907C"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2.7.1.3. Antiradical capacity of the ABTS•+ cation (2,2′-azinobis-(3-ethylbenzothiazoline-6-sulfonic acid))</w:t>
      </w:r>
    </w:p>
    <w:p w14:paraId="25FCD0E8" w14:textId="77777777" w:rsidR="008C25C1" w:rsidRPr="00883413" w:rsidRDefault="008C25C1" w:rsidP="00B80458">
      <w:pPr>
        <w:spacing w:line="360" w:lineRule="auto"/>
        <w:jc w:val="both"/>
        <w:rPr>
          <w:rFonts w:ascii="Times New Roman" w:eastAsiaTheme="minorEastAsia" w:hAnsi="Times New Roman" w:cs="Times New Roman"/>
          <w:lang w:val="en-US"/>
        </w:rPr>
      </w:pPr>
      <w:r>
        <w:rPr>
          <w:rFonts w:ascii="Times New Roman" w:eastAsiaTheme="minorEastAsia" w:hAnsi="Times New Roman" w:cs="Times New Roman"/>
          <w:lang w:val="en-US"/>
        </w:rPr>
        <w:t xml:space="preserve">The principle of this reduction is based on the </w:t>
      </w:r>
      <w:proofErr w:type="spellStart"/>
      <w:r>
        <w:rPr>
          <w:rFonts w:ascii="Times New Roman" w:eastAsiaTheme="minorEastAsia" w:hAnsi="Times New Roman" w:cs="Times New Roman"/>
          <w:lang w:val="en-US"/>
        </w:rPr>
        <w:t>de</w:t>
      </w:r>
      <w:r>
        <w:rPr>
          <w:rFonts w:ascii="Times New Roman" w:eastAsiaTheme="minorEastAsia" w:hAnsi="Times New Roman" w:cs="Times New Roman"/>
          <w:highlight w:val="yellow"/>
          <w:lang w:val="en-US"/>
        </w:rPr>
        <w:t>colour</w:t>
      </w:r>
      <w:r>
        <w:rPr>
          <w:rFonts w:ascii="Times New Roman" w:eastAsiaTheme="minorEastAsia" w:hAnsi="Times New Roman" w:cs="Times New Roman"/>
          <w:lang w:val="en-US"/>
        </w:rPr>
        <w:t>ization</w:t>
      </w:r>
      <w:proofErr w:type="spellEnd"/>
      <w:r>
        <w:rPr>
          <w:rFonts w:ascii="Times New Roman" w:eastAsiaTheme="minorEastAsia" w:hAnsi="Times New Roman" w:cs="Times New Roman"/>
          <w:lang w:val="en-US"/>
        </w:rPr>
        <w:t xml:space="preserve"> of the stable ABTS•+ radical cation [2,2′-azinobis-(3-ethylbenzothiazoline-6-sulfonic acid)] to ABTS•+ in the presence of antiradical compounds. The method described by Re et al. (1999) was used for this purpose. In practice, a 200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 xml:space="preserve">L volume of prepared ABTS•+ solution was added to 50 </w:t>
      </w:r>
      <w:r w:rsidRPr="00883413">
        <w:rPr>
          <w:rFonts w:ascii="Times New Roman" w:eastAsiaTheme="minorEastAsia" w:hAnsi="Times New Roman" w:cs="Times New Roman"/>
        </w:rPr>
        <w:t>μ</w:t>
      </w:r>
      <w:r>
        <w:rPr>
          <w:rFonts w:ascii="Times New Roman" w:eastAsiaTheme="minorEastAsia" w:hAnsi="Times New Roman" w:cs="Times New Roman"/>
          <w:lang w:val="en-US"/>
        </w:rPr>
        <w:t xml:space="preserve">L of sample solution (0.625 mg/mL). Trolox served as the reference. The mixture was left in the dark for 15 min, and </w:t>
      </w:r>
      <w:r>
        <w:rPr>
          <w:rFonts w:ascii="Times New Roman" w:eastAsiaTheme="minorEastAsia" w:hAnsi="Times New Roman" w:cs="Times New Roman"/>
          <w:highlight w:val="yellow"/>
          <w:lang w:val="en-US"/>
        </w:rPr>
        <w:t>absorbance was measured</w:t>
      </w:r>
      <w:r>
        <w:rPr>
          <w:rFonts w:ascii="Times New Roman" w:eastAsiaTheme="minorEastAsia" w:hAnsi="Times New Roman" w:cs="Times New Roman"/>
          <w:lang w:val="en-US"/>
        </w:rPr>
        <w:t xml:space="preserve"> at 734 nm using a spectrophotometer. The antiradical activity of the samples, as determined by the reduction of the ABTS•+ cation (an antiradical compound), was expressed in mg of Trolox equivalent per 100 mg (µg TE/100 mg) of dry extract according to the following formula (Equation 7):</w:t>
      </w:r>
    </w:p>
    <w:p w14:paraId="6EE72CFE" w14:textId="77777777" w:rsidR="008C25C1" w:rsidRPr="00883413" w:rsidRDefault="008C25C1" w:rsidP="00B80458">
      <w:pPr>
        <w:spacing w:before="240" w:line="360" w:lineRule="auto"/>
        <w:jc w:val="both"/>
        <w:rPr>
          <w:rFonts w:ascii="Times New Roman" w:hAnsi="Times New Roman" w:cs="Times New Roman"/>
          <w:lang w:val="en-US"/>
        </w:rPr>
      </w:pPr>
      <m:oMath>
        <m:r>
          <m:rPr>
            <m:sty m:val="p"/>
          </m:rPr>
          <w:rPr>
            <w:rFonts w:ascii="Cambria Math" w:hAnsi="Cambria Math" w:cs="Times New Roman"/>
            <w:lang w:val="en-US"/>
          </w:rPr>
          <m:t>CAEA =</m:t>
        </m:r>
        <m:f>
          <m:fPr>
            <m:ctrlPr>
              <w:rPr>
                <w:rFonts w:ascii="Cambria Math" w:hAnsi="Cambria Math" w:cs="Times New Roman"/>
              </w:rPr>
            </m:ctrlPr>
          </m:fPr>
          <m:num>
            <m:r>
              <m:rPr>
                <m:sty m:val="p"/>
              </m:rPr>
              <w:rPr>
                <w:rFonts w:ascii="Cambria Math" w:hAnsi="Cambria Math" w:cs="Times New Roman"/>
                <w:lang w:val="en-US"/>
              </w:rPr>
              <m:t>C * D</m:t>
            </m:r>
          </m:num>
          <m:den>
            <m:r>
              <m:rPr>
                <m:sty m:val="p"/>
              </m:rPr>
              <w:rPr>
                <w:rFonts w:ascii="Cambria Math" w:hAnsi="Cambria Math" w:cs="Times New Roman"/>
                <w:lang w:val="en-US"/>
              </w:rPr>
              <m:t>Ci</m:t>
            </m:r>
          </m:den>
        </m:f>
      </m:oMath>
      <w:r w:rsidRPr="00883413">
        <w:rPr>
          <w:rFonts w:ascii="Times New Roman" w:hAnsi="Times New Roman" w:cs="Times New Roman"/>
          <w:lang w:val="en-US"/>
        </w:rPr>
        <w:t>* 100 (Equation 7) </w:t>
      </w:r>
    </w:p>
    <w:p w14:paraId="35B60EE0"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CAEA: Antioxidant capacity; C: sample concentration read from the calibration curve; D: dilution factor of the sample to be assayed; Ci = initial.</w:t>
      </w:r>
    </w:p>
    <w:p w14:paraId="246571EE" w14:textId="77777777" w:rsidR="00322208" w:rsidRPr="00883413" w:rsidRDefault="00322208" w:rsidP="00B80458">
      <w:pPr>
        <w:spacing w:before="240" w:line="360" w:lineRule="auto"/>
        <w:jc w:val="both"/>
        <w:rPr>
          <w:rFonts w:ascii="Times New Roman" w:hAnsi="Times New Roman" w:cs="Times New Roman"/>
          <w:lang w:val="en-US"/>
        </w:rPr>
      </w:pPr>
    </w:p>
    <w:p w14:paraId="62D08708"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2.7.2. Enumeration of Total Mesophilic Aerobic Flora</w:t>
      </w:r>
    </w:p>
    <w:p w14:paraId="74D93A5C"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2.7.2.1. Sample Preparation</w:t>
      </w:r>
    </w:p>
    <w:p w14:paraId="4CA0D04F" w14:textId="77777777" w:rsidR="00322208" w:rsidRPr="00883413" w:rsidRDefault="00322208"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 samples were processed according to the International Organization for Standardization (ISO) protocol used by </w:t>
      </w:r>
      <w:r>
        <w:rPr>
          <w:rFonts w:ascii="Times New Roman" w:hAnsi="Times New Roman" w:cs="Times New Roman"/>
          <w:highlight w:val="yellow"/>
          <w:lang w:val="en-US"/>
        </w:rPr>
        <w:t>N’do et al. (2025a)</w:t>
      </w:r>
      <w:r>
        <w:rPr>
          <w:rFonts w:ascii="Times New Roman" w:hAnsi="Times New Roman" w:cs="Times New Roman"/>
          <w:lang w:val="en-US"/>
        </w:rPr>
        <w:t xml:space="preserve">. A stock solution with a concentration of 1 g/9 mL was prepared using physiological saline (9‰ NaCl). A mass of 1 g of powder from each sample was aseptically removed, added to 9 mL of sterile water, and </w:t>
      </w:r>
      <w:proofErr w:type="spellStart"/>
      <w:r>
        <w:rPr>
          <w:rFonts w:ascii="Times New Roman" w:hAnsi="Times New Roman" w:cs="Times New Roman"/>
          <w:highlight w:val="yellow"/>
          <w:lang w:val="en-US"/>
        </w:rPr>
        <w:t>homogenised</w:t>
      </w:r>
      <w:proofErr w:type="spellEnd"/>
      <w:r>
        <w:rPr>
          <w:rFonts w:ascii="Times New Roman" w:hAnsi="Times New Roman" w:cs="Times New Roman"/>
          <w:lang w:val="en-US"/>
        </w:rPr>
        <w:t xml:space="preserve"> for 30 minutes. From the stock solutions (SM), 1 mL was withdrawn for serial dilution into six (6) tubes (10⁻¹, 10⁻², 10⁻³, 10⁻⁴, 10⁻⁵, and 10⁻⁶), each containing 9 mL of physiological saline (9‰ NaCl).</w:t>
      </w:r>
    </w:p>
    <w:p w14:paraId="50644E53" w14:textId="77777777" w:rsidR="00322208" w:rsidRPr="00883413" w:rsidRDefault="00322208" w:rsidP="00B80458">
      <w:pPr>
        <w:spacing w:before="240" w:line="360" w:lineRule="auto"/>
        <w:jc w:val="both"/>
        <w:rPr>
          <w:rFonts w:ascii="Times New Roman" w:hAnsi="Times New Roman" w:cs="Times New Roman"/>
          <w:lang w:val="en-US"/>
        </w:rPr>
      </w:pPr>
    </w:p>
    <w:p w14:paraId="331DA803"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2.7.2.2. Seeding</w:t>
      </w:r>
    </w:p>
    <w:p w14:paraId="13C3371C" w14:textId="77777777" w:rsidR="00322208" w:rsidRPr="00883413" w:rsidRDefault="00322208"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A 1 mL volume of each of the last three dilutions (10⁻⁴, 10⁻⁵, and 10⁻⁶) was withdrawn and added to sterile Petri dishes. Next, the previously prepared PCA medium was poured over the samples (10 to 15 mL), </w:t>
      </w:r>
      <w:proofErr w:type="spellStart"/>
      <w:r>
        <w:rPr>
          <w:rFonts w:ascii="Times New Roman" w:hAnsi="Times New Roman" w:cs="Times New Roman"/>
          <w:highlight w:val="yellow"/>
          <w:lang w:val="en-US"/>
        </w:rPr>
        <w:t>homogenised</w:t>
      </w:r>
      <w:proofErr w:type="spellEnd"/>
      <w:r>
        <w:rPr>
          <w:rFonts w:ascii="Times New Roman" w:hAnsi="Times New Roman" w:cs="Times New Roman"/>
          <w:lang w:val="en-US"/>
        </w:rPr>
        <w:t xml:space="preserve">, and allowed to solidify for 30 minutes. After solidification, the Petri dishes containing the samples were incubated at 37 °C and examined after 24 hours. Incubation was carried out at 37 °C for 24 h, 48 h, and 72 h, </w:t>
      </w:r>
      <w:r>
        <w:rPr>
          <w:rFonts w:ascii="Times New Roman" w:hAnsi="Times New Roman" w:cs="Times New Roman"/>
          <w:highlight w:val="yellow"/>
          <w:lang w:val="en-US"/>
        </w:rPr>
        <w:t>followed by counting the microorganisms</w:t>
      </w:r>
      <w:r>
        <w:rPr>
          <w:rFonts w:ascii="Times New Roman" w:hAnsi="Times New Roman" w:cs="Times New Roman"/>
          <w:lang w:val="en-US"/>
        </w:rPr>
        <w:t xml:space="preserve"> according to ISO 4832 (2006), as used by </w:t>
      </w:r>
      <w:r>
        <w:rPr>
          <w:rFonts w:ascii="Times New Roman" w:hAnsi="Times New Roman" w:cs="Times New Roman"/>
          <w:highlight w:val="yellow"/>
          <w:lang w:val="en-US"/>
        </w:rPr>
        <w:t>Compaoré et al. (2021b)</w:t>
      </w:r>
      <w:r>
        <w:rPr>
          <w:rFonts w:ascii="Times New Roman" w:hAnsi="Times New Roman" w:cs="Times New Roman"/>
          <w:lang w:val="en-US"/>
        </w:rPr>
        <w:t>.</w:t>
      </w:r>
    </w:p>
    <w:p w14:paraId="4325F39B" w14:textId="77777777" w:rsidR="00322208" w:rsidRPr="00883413" w:rsidRDefault="00322208" w:rsidP="00B80458">
      <w:pPr>
        <w:spacing w:before="240" w:line="360" w:lineRule="auto"/>
        <w:jc w:val="both"/>
        <w:rPr>
          <w:rFonts w:ascii="Times New Roman" w:hAnsi="Times New Roman" w:cs="Times New Roman"/>
          <w:lang w:val="en-US"/>
        </w:rPr>
      </w:pPr>
    </w:p>
    <w:p w14:paraId="21FF5142"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2.7.2.3. Colony Counting</w:t>
      </w:r>
    </w:p>
    <w:p w14:paraId="5ADD238C" w14:textId="77777777" w:rsidR="00322208" w:rsidRPr="00883413" w:rsidRDefault="00322208"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According to ISO 4832 (2006), as used by </w:t>
      </w:r>
      <w:r>
        <w:rPr>
          <w:rFonts w:ascii="Times New Roman" w:hAnsi="Times New Roman" w:cs="Times New Roman"/>
          <w:highlight w:val="yellow"/>
          <w:lang w:val="en-US"/>
        </w:rPr>
        <w:t>N’do et al. (2025a)</w:t>
      </w:r>
      <w:r>
        <w:rPr>
          <w:rFonts w:ascii="Times New Roman" w:hAnsi="Times New Roman" w:cs="Times New Roman"/>
          <w:lang w:val="en-US"/>
        </w:rPr>
        <w:t xml:space="preserve">, plates containing more than 15 and fewer than 300 colonies were selected. The number of microorganisms present in a sample was calculated using the formula employed by </w:t>
      </w:r>
      <w:r>
        <w:rPr>
          <w:rFonts w:ascii="Times New Roman" w:hAnsi="Times New Roman" w:cs="Times New Roman"/>
          <w:highlight w:val="yellow"/>
          <w:lang w:val="en-US"/>
        </w:rPr>
        <w:t>N’do et al. (2025a)</w:t>
      </w:r>
      <w:r>
        <w:rPr>
          <w:rFonts w:ascii="Times New Roman" w:hAnsi="Times New Roman" w:cs="Times New Roman"/>
          <w:lang w:val="en-US"/>
        </w:rPr>
        <w:t xml:space="preserve"> (Equation 8).</w:t>
      </w:r>
    </w:p>
    <w:p w14:paraId="70A99224" w14:textId="77777777" w:rsidR="00322208" w:rsidRPr="00883413" w:rsidRDefault="00322208" w:rsidP="00B80458">
      <w:pPr>
        <w:spacing w:line="360" w:lineRule="auto"/>
        <w:jc w:val="both"/>
        <w:rPr>
          <w:rFonts w:ascii="Times New Roman" w:eastAsia="Times New Roman" w:hAnsi="Times New Roman" w:cs="Times New Roman"/>
          <w:bCs/>
          <w:lang w:val="en-US"/>
        </w:rPr>
      </w:pPr>
      <m:oMath>
        <m:r>
          <w:rPr>
            <w:rFonts w:ascii="Cambria Math" w:hAnsi="Cambria Math" w:cs="Times New Roman"/>
          </w:rPr>
          <m:t>N</m:t>
        </m:r>
        <m:r>
          <m:rPr>
            <m:sty m:val="p"/>
          </m:rPr>
          <w:rPr>
            <w:rFonts w:ascii="Cambria Math" w:hAnsi="Cambria Math" w:cs="Times New Roman"/>
            <w:lang w:val="en-US"/>
          </w:rPr>
          <m:t>=</m:t>
        </m:r>
        <m:f>
          <m:fPr>
            <m:ctrlPr>
              <w:rPr>
                <w:rFonts w:ascii="Cambria Math" w:hAnsi="Cambria Math" w:cs="Times New Roman"/>
                <w:bCs/>
              </w:rPr>
            </m:ctrlPr>
          </m:fPr>
          <m:num>
            <m:r>
              <m:rPr>
                <m:sty m:val="p"/>
              </m:rPr>
              <w:rPr>
                <w:rFonts w:ascii="Cambria Math" w:hAnsi="Cambria Math" w:cs="Times New Roman"/>
                <w:lang w:val="en-US"/>
              </w:rPr>
              <m:t>∑C</m:t>
            </m:r>
          </m:num>
          <m:den>
            <m:r>
              <m:rPr>
                <m:sty m:val="p"/>
              </m:rPr>
              <w:rPr>
                <w:rFonts w:ascii="Cambria Math" w:hAnsi="Cambria Math" w:cs="Times New Roman"/>
                <w:lang w:val="en-US"/>
              </w:rPr>
              <m:t>V(n1 +0,1n2)d</m:t>
            </m:r>
          </m:den>
        </m:f>
        <m:r>
          <w:rPr>
            <w:rFonts w:ascii="Cambria Math" w:hAnsi="Cambria Math" w:cs="Times New Roman"/>
            <w:lang w:val="en-US"/>
          </w:rPr>
          <m:t xml:space="preserve"> </m:t>
        </m:r>
        <m:r>
          <m:rPr>
            <m:sty m:val="p"/>
          </m:rPr>
          <w:rPr>
            <w:rFonts w:ascii="Cambria Math" w:hAnsi="Cambria Math" w:cs="Times New Roman"/>
            <w:lang w:val="en-US"/>
          </w:rPr>
          <m:t>(Germs/mL)</m:t>
        </m:r>
      </m:oMath>
      <w:r w:rsidRPr="00883413">
        <w:rPr>
          <w:rFonts w:ascii="Times New Roman" w:eastAsia="Times New Roman" w:hAnsi="Times New Roman" w:cs="Times New Roman"/>
          <w:bCs/>
          <w:lang w:val="en-US"/>
        </w:rPr>
        <w:t xml:space="preserve"> (Equation 8)</w:t>
      </w:r>
    </w:p>
    <w:p w14:paraId="34585894"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N = number of microorganisms; </w:t>
      </w:r>
      <w:r w:rsidRPr="00883413">
        <w:rPr>
          <w:rFonts w:ascii="Times New Roman" w:hAnsi="Times New Roman" w:cs="Times New Roman"/>
        </w:rPr>
        <w:t>Σ</w:t>
      </w:r>
      <w:r w:rsidRPr="00883413">
        <w:rPr>
          <w:rFonts w:ascii="Times New Roman" w:hAnsi="Times New Roman" w:cs="Times New Roman"/>
          <w:lang w:val="en-US"/>
        </w:rPr>
        <w:t>C = sum of colonies on the selected plates; V = volume of inoculum applied to each plate; n1 = number of plates in the first dilution; n2 = number of plates in the second dilution; d = dilution ratio corresponding to the first dilution.</w:t>
      </w:r>
    </w:p>
    <w:p w14:paraId="3C4AF604"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2.8. Statistical Analysis</w:t>
      </w:r>
    </w:p>
    <w:p w14:paraId="22CCBF89" w14:textId="77777777" w:rsidR="00322208" w:rsidRPr="00883413" w:rsidRDefault="00322208" w:rsidP="00B80458">
      <w:pPr>
        <w:spacing w:before="240"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survey forms containing information on medicinal plants, their uses, and ethnobotanical knowledge were entered, coded, and then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using Excel 2016. This software was used to list the most frequently cited plants, their uses, and their methods of preparation. The results of the phytochemical assays and antioxidant activities were calculated using Excel 2016 and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using GraphPad Prism 10. </w:t>
      </w:r>
      <w:r>
        <w:rPr>
          <w:rFonts w:ascii="Times New Roman" w:hAnsi="Times New Roman" w:cs="Times New Roman"/>
          <w:highlight w:val="yellow"/>
          <w:lang w:val="en-US"/>
        </w:rPr>
        <w:t>Differences were considered significant at p = 0.05.</w:t>
      </w:r>
    </w:p>
    <w:p w14:paraId="23DCBA92" w14:textId="77777777" w:rsidR="00883413" w:rsidRDefault="00883413" w:rsidP="00B80458">
      <w:pPr>
        <w:spacing w:before="240" w:line="360" w:lineRule="auto"/>
        <w:jc w:val="both"/>
        <w:rPr>
          <w:rFonts w:ascii="Times New Roman" w:hAnsi="Times New Roman" w:cs="Times New Roman"/>
          <w:lang w:val="en-US"/>
        </w:rPr>
      </w:pPr>
    </w:p>
    <w:p w14:paraId="65EE37AC" w14:textId="77777777" w:rsidR="00883413" w:rsidRDefault="00883413" w:rsidP="00B80458">
      <w:pPr>
        <w:spacing w:before="240" w:line="360" w:lineRule="auto"/>
        <w:jc w:val="both"/>
        <w:rPr>
          <w:rFonts w:ascii="Times New Roman" w:hAnsi="Times New Roman" w:cs="Times New Roman"/>
          <w:lang w:val="en-US"/>
        </w:rPr>
      </w:pPr>
    </w:p>
    <w:p w14:paraId="7EDAAA01" w14:textId="77777777" w:rsidR="00883413" w:rsidRDefault="00883413" w:rsidP="00B80458">
      <w:pPr>
        <w:spacing w:before="240" w:line="360" w:lineRule="auto"/>
        <w:jc w:val="both"/>
        <w:rPr>
          <w:rFonts w:ascii="Times New Roman" w:hAnsi="Times New Roman" w:cs="Times New Roman"/>
          <w:lang w:val="en-US"/>
        </w:rPr>
      </w:pPr>
    </w:p>
    <w:p w14:paraId="25B8F77A" w14:textId="77777777" w:rsidR="00883413" w:rsidRDefault="00883413" w:rsidP="00B80458">
      <w:pPr>
        <w:spacing w:before="240" w:line="360" w:lineRule="auto"/>
        <w:jc w:val="both"/>
        <w:rPr>
          <w:rFonts w:ascii="Times New Roman" w:hAnsi="Times New Roman" w:cs="Times New Roman"/>
          <w:lang w:val="en-US"/>
        </w:rPr>
      </w:pPr>
    </w:p>
    <w:p w14:paraId="43FADAC3" w14:textId="77777777" w:rsidR="00883413" w:rsidRDefault="00883413" w:rsidP="00B80458">
      <w:pPr>
        <w:spacing w:before="240" w:line="360" w:lineRule="auto"/>
        <w:jc w:val="both"/>
        <w:rPr>
          <w:rFonts w:ascii="Times New Roman" w:hAnsi="Times New Roman" w:cs="Times New Roman"/>
          <w:lang w:val="en-US"/>
        </w:rPr>
      </w:pPr>
    </w:p>
    <w:p w14:paraId="09A743B5" w14:textId="77777777" w:rsidR="00883413" w:rsidRDefault="00883413" w:rsidP="00B80458">
      <w:pPr>
        <w:spacing w:before="240" w:line="360" w:lineRule="auto"/>
        <w:jc w:val="both"/>
        <w:rPr>
          <w:rFonts w:ascii="Times New Roman" w:hAnsi="Times New Roman" w:cs="Times New Roman"/>
          <w:lang w:val="en-US"/>
        </w:rPr>
      </w:pPr>
    </w:p>
    <w:p w14:paraId="70DD3A90" w14:textId="77777777" w:rsidR="00883413" w:rsidRDefault="00883413" w:rsidP="00B80458">
      <w:pPr>
        <w:spacing w:before="240" w:line="360" w:lineRule="auto"/>
        <w:jc w:val="both"/>
        <w:rPr>
          <w:rFonts w:ascii="Times New Roman" w:hAnsi="Times New Roman" w:cs="Times New Roman"/>
          <w:lang w:val="en-US"/>
        </w:rPr>
      </w:pPr>
    </w:p>
    <w:p w14:paraId="721C8EE9" w14:textId="77777777" w:rsidR="00883413" w:rsidRDefault="00883413" w:rsidP="00B80458">
      <w:pPr>
        <w:spacing w:before="240" w:line="360" w:lineRule="auto"/>
        <w:jc w:val="both"/>
        <w:rPr>
          <w:rFonts w:ascii="Times New Roman" w:hAnsi="Times New Roman" w:cs="Times New Roman"/>
          <w:lang w:val="en-US"/>
        </w:rPr>
      </w:pPr>
    </w:p>
    <w:p w14:paraId="4CA3705D" w14:textId="77777777" w:rsidR="00883413" w:rsidRDefault="00883413" w:rsidP="00B80458">
      <w:pPr>
        <w:spacing w:before="240" w:line="360" w:lineRule="auto"/>
        <w:jc w:val="both"/>
        <w:rPr>
          <w:rFonts w:ascii="Times New Roman" w:hAnsi="Times New Roman" w:cs="Times New Roman"/>
          <w:lang w:val="en-US"/>
        </w:rPr>
      </w:pPr>
    </w:p>
    <w:p w14:paraId="351A7308" w14:textId="77777777" w:rsidR="00883413" w:rsidRDefault="00883413" w:rsidP="00B80458">
      <w:pPr>
        <w:spacing w:before="240" w:line="360" w:lineRule="auto"/>
        <w:jc w:val="both"/>
        <w:rPr>
          <w:rFonts w:ascii="Times New Roman" w:hAnsi="Times New Roman" w:cs="Times New Roman"/>
          <w:lang w:val="en-US"/>
        </w:rPr>
      </w:pPr>
    </w:p>
    <w:p w14:paraId="52BBCC2D" w14:textId="77777777" w:rsidR="00C26807" w:rsidRDefault="00C26807" w:rsidP="00B80458">
      <w:pPr>
        <w:spacing w:before="240" w:line="360" w:lineRule="auto"/>
        <w:jc w:val="both"/>
        <w:rPr>
          <w:rFonts w:ascii="Times New Roman" w:hAnsi="Times New Roman" w:cs="Times New Roman"/>
          <w:lang w:val="en-US"/>
        </w:rPr>
      </w:pPr>
    </w:p>
    <w:p w14:paraId="0994C520"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 Results</w:t>
      </w:r>
    </w:p>
    <w:p w14:paraId="2B5B09E2"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 Data from the ethnobotanical survey</w:t>
      </w:r>
    </w:p>
    <w:p w14:paraId="5E96F1DA"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 Sociodemographic characteristics of the respondents</w:t>
      </w:r>
    </w:p>
    <w:p w14:paraId="5FC90E5C"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3.1.1.1. Sociodemographic distribution of respondents by gender</w:t>
      </w:r>
    </w:p>
    <w:p w14:paraId="3F38DB47" w14:textId="277218AE" w:rsidR="00322208" w:rsidRPr="00883413" w:rsidRDefault="00322208"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Figure </w:t>
      </w:r>
      <w:r w:rsidR="00B02DD1">
        <w:rPr>
          <w:rFonts w:ascii="Times New Roman" w:hAnsi="Times New Roman" w:cs="Times New Roman"/>
          <w:lang w:val="en-US"/>
        </w:rPr>
        <w:t>1</w:t>
      </w:r>
      <w:r>
        <w:rPr>
          <w:rFonts w:ascii="Times New Roman" w:hAnsi="Times New Roman" w:cs="Times New Roman"/>
          <w:lang w:val="en-US"/>
        </w:rPr>
        <w:t xml:space="preserve"> illustrates the distribution of traditional health practitioners surveyed during the study by gender in the city of Bobo-Dioulasso. A total of 50 traditional health practitioners were surveyed; women accounted for 56% of the respondents, </w:t>
      </w:r>
      <w:r>
        <w:rPr>
          <w:rFonts w:ascii="Times New Roman" w:hAnsi="Times New Roman" w:cs="Times New Roman"/>
          <w:highlight w:val="yellow"/>
          <w:lang w:val="en-US"/>
        </w:rPr>
        <w:t>compared with 44% for men</w:t>
      </w:r>
      <w:r>
        <w:rPr>
          <w:rFonts w:ascii="Times New Roman" w:hAnsi="Times New Roman" w:cs="Times New Roman"/>
          <w:lang w:val="en-US"/>
        </w:rPr>
        <w:t>.</w:t>
      </w:r>
    </w:p>
    <w:p w14:paraId="0341164D"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rPr>
        <w:lastRenderedPageBreak/>
        <w:drawing>
          <wp:inline distT="0" distB="0" distL="0" distR="0" wp14:anchorId="188F461D" wp14:editId="0F15F5F3">
            <wp:extent cx="4476750" cy="2648585"/>
            <wp:effectExtent l="0" t="0" r="0" b="18415"/>
            <wp:docPr id="315642884" name="Graphique 1">
              <a:extLst xmlns:a="http://schemas.openxmlformats.org/drawingml/2006/main">
                <a:ext uri="{FF2B5EF4-FFF2-40B4-BE49-F238E27FC236}">
                  <a16:creationId xmlns:a16="http://schemas.microsoft.com/office/drawing/2014/main" id="{FD8A33E8-C6B8-345E-AAF9-7FCD6E8B6E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0143D6" w14:textId="582CDDBE"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Figure </w:t>
      </w:r>
      <w:r w:rsidR="00B02DD1">
        <w:rPr>
          <w:rFonts w:ascii="Times New Roman" w:hAnsi="Times New Roman" w:cs="Times New Roman"/>
          <w:lang w:val="en-US"/>
        </w:rPr>
        <w:t>1</w:t>
      </w:r>
      <w:r w:rsidRPr="00883413">
        <w:rPr>
          <w:rFonts w:ascii="Times New Roman" w:hAnsi="Times New Roman" w:cs="Times New Roman"/>
          <w:lang w:val="en-US"/>
        </w:rPr>
        <w:t>: Sociodemographic Distribution of Respondents by Gender</w:t>
      </w:r>
    </w:p>
    <w:p w14:paraId="12946DF8" w14:textId="77777777" w:rsidR="004747E0" w:rsidRPr="00883413" w:rsidRDefault="004747E0" w:rsidP="00B80458">
      <w:pPr>
        <w:spacing w:before="240" w:line="360" w:lineRule="auto"/>
        <w:jc w:val="both"/>
        <w:rPr>
          <w:rFonts w:ascii="Times New Roman" w:hAnsi="Times New Roman" w:cs="Times New Roman"/>
          <w:lang w:val="en-US"/>
        </w:rPr>
      </w:pPr>
    </w:p>
    <w:p w14:paraId="634B8BFF"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3.1.1.2. Sociodemographic Distribution of Respondents by Age and Professional Experience</w:t>
      </w:r>
    </w:p>
    <w:p w14:paraId="6446ABB9" w14:textId="0BA7FB03" w:rsidR="004747E0" w:rsidRPr="00883413" w:rsidRDefault="004747E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Table </w:t>
      </w:r>
      <w:r w:rsidR="00B02DD1">
        <w:rPr>
          <w:rFonts w:ascii="Times New Roman" w:hAnsi="Times New Roman" w:cs="Times New Roman"/>
          <w:lang w:val="en-US"/>
        </w:rPr>
        <w:t>1</w:t>
      </w:r>
      <w:r>
        <w:rPr>
          <w:rFonts w:ascii="Times New Roman" w:hAnsi="Times New Roman" w:cs="Times New Roman"/>
          <w:lang w:val="en-US"/>
        </w:rPr>
        <w:t xml:space="preserve"> shows the distribution of respondents by age and experience. The ages of the respondents ranged from 20 to 80 years. </w:t>
      </w:r>
      <w:r>
        <w:rPr>
          <w:rFonts w:ascii="Times New Roman" w:hAnsi="Times New Roman" w:cs="Times New Roman"/>
          <w:highlight w:val="yellow"/>
          <w:lang w:val="en-US"/>
        </w:rPr>
        <w:t>The most highly represented age group</w:t>
      </w:r>
      <w:r>
        <w:rPr>
          <w:rFonts w:ascii="Times New Roman" w:hAnsi="Times New Roman" w:cs="Times New Roman"/>
          <w:lang w:val="en-US"/>
        </w:rPr>
        <w:t xml:space="preserve"> among traditional practitioners was between 61 and 70 years old. Professional experience ranged from 2 to 65 years.</w:t>
      </w:r>
    </w:p>
    <w:p w14:paraId="0636BC3D" w14:textId="5563EEF4"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w:t>
      </w:r>
      <w:r w:rsidR="00B02DD1">
        <w:rPr>
          <w:rFonts w:ascii="Times New Roman" w:hAnsi="Times New Roman" w:cs="Times New Roman"/>
          <w:lang w:val="en-US"/>
        </w:rPr>
        <w:t>1</w:t>
      </w:r>
      <w:r w:rsidRPr="00883413">
        <w:rPr>
          <w:rFonts w:ascii="Times New Roman" w:hAnsi="Times New Roman" w:cs="Times New Roman"/>
          <w:lang w:val="en-US"/>
        </w:rPr>
        <w:t>: Sociodemographic distribution of respondents by age and experience:</w:t>
      </w:r>
    </w:p>
    <w:p w14:paraId="7CE03671"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Number of </w:t>
      </w:r>
      <w:proofErr w:type="spellStart"/>
      <w:r w:rsidRPr="00883413">
        <w:rPr>
          <w:rFonts w:ascii="Times New Roman" w:hAnsi="Times New Roman" w:cs="Times New Roman"/>
        </w:rPr>
        <w:t>respondents</w:t>
      </w:r>
      <w:proofErr w:type="spellEnd"/>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1843"/>
        <w:gridCol w:w="112"/>
        <w:gridCol w:w="2156"/>
      </w:tblGrid>
      <w:tr w:rsidR="004747E0" w:rsidRPr="00883413" w14:paraId="2193C88D" w14:textId="77777777" w:rsidTr="00ED2118">
        <w:trPr>
          <w:cnfStyle w:val="100000000000" w:firstRow="1" w:lastRow="0" w:firstColumn="0" w:lastColumn="0" w:oddVBand="0" w:evenVBand="0" w:oddHBand="0"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24" w:space="0" w:color="4472C4" w:themeColor="accent1"/>
              <w:bottom w:val="single" w:sz="24" w:space="0" w:color="4472C4" w:themeColor="accent1"/>
            </w:tcBorders>
          </w:tcPr>
          <w:p w14:paraId="4095756D" w14:textId="77777777" w:rsidR="004747E0" w:rsidRPr="00883413" w:rsidRDefault="004747E0" w:rsidP="00B80458">
            <w:pPr>
              <w:spacing w:line="360" w:lineRule="auto"/>
              <w:jc w:val="both"/>
              <w:rPr>
                <w:rFonts w:ascii="Times New Roman" w:hAnsi="Times New Roman" w:cs="Times New Roman"/>
                <w:sz w:val="24"/>
                <w:szCs w:val="24"/>
              </w:rPr>
            </w:pPr>
          </w:p>
        </w:tc>
        <w:tc>
          <w:tcPr>
            <w:tcW w:w="2268" w:type="dxa"/>
            <w:gridSpan w:val="2"/>
            <w:tcBorders>
              <w:top w:val="single" w:sz="24" w:space="0" w:color="4472C4" w:themeColor="accent1"/>
              <w:bottom w:val="single" w:sz="24" w:space="0" w:color="4472C4" w:themeColor="accent1"/>
            </w:tcBorders>
          </w:tcPr>
          <w:p w14:paraId="40C6B17C" w14:textId="77777777" w:rsidR="004747E0" w:rsidRPr="00883413" w:rsidRDefault="004747E0"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Effectif</w:t>
            </w:r>
          </w:p>
        </w:tc>
      </w:tr>
      <w:tr w:rsidR="004747E0" w:rsidRPr="00883413" w14:paraId="1653314E" w14:textId="77777777" w:rsidTr="00ED2118">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955" w:type="dxa"/>
            <w:gridSpan w:val="2"/>
            <w:tcBorders>
              <w:top w:val="single" w:sz="24" w:space="0" w:color="4472C4" w:themeColor="accent1"/>
            </w:tcBorders>
          </w:tcPr>
          <w:p w14:paraId="3D818F48"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 </w:t>
            </w:r>
            <w:r w:rsidR="002E4A57" w:rsidRPr="00883413">
              <w:rPr>
                <w:rFonts w:ascii="Times New Roman" w:hAnsi="Times New Roman" w:cs="Times New Roman"/>
                <w:sz w:val="24"/>
                <w:szCs w:val="24"/>
              </w:rPr>
              <w:t>Age</w:t>
            </w:r>
            <w:r w:rsidRPr="00883413">
              <w:rPr>
                <w:rFonts w:ascii="Times New Roman" w:hAnsi="Times New Roman" w:cs="Times New Roman"/>
                <w:sz w:val="24"/>
                <w:szCs w:val="24"/>
              </w:rPr>
              <w:t xml:space="preserve"> (</w:t>
            </w:r>
            <w:proofErr w:type="spellStart"/>
            <w:r w:rsidR="002E4A57" w:rsidRPr="00883413">
              <w:rPr>
                <w:rFonts w:ascii="Times New Roman" w:hAnsi="Times New Roman" w:cs="Times New Roman"/>
                <w:sz w:val="24"/>
                <w:szCs w:val="24"/>
              </w:rPr>
              <w:t>years</w:t>
            </w:r>
            <w:proofErr w:type="spellEnd"/>
            <w:r w:rsidRPr="00883413">
              <w:rPr>
                <w:rFonts w:ascii="Times New Roman" w:hAnsi="Times New Roman" w:cs="Times New Roman"/>
                <w:sz w:val="24"/>
                <w:szCs w:val="24"/>
              </w:rPr>
              <w:t>)</w:t>
            </w:r>
          </w:p>
        </w:tc>
        <w:tc>
          <w:tcPr>
            <w:tcW w:w="2156" w:type="dxa"/>
            <w:tcBorders>
              <w:top w:val="single" w:sz="24" w:space="0" w:color="4472C4" w:themeColor="accent1"/>
            </w:tcBorders>
          </w:tcPr>
          <w:p w14:paraId="2E6290A1"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4747E0" w:rsidRPr="00883413" w14:paraId="3D8AAB84"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10973563"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20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30 </w:t>
            </w:r>
          </w:p>
        </w:tc>
        <w:tc>
          <w:tcPr>
            <w:tcW w:w="2156" w:type="dxa"/>
          </w:tcPr>
          <w:p w14:paraId="13E7C559"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3</w:t>
            </w:r>
          </w:p>
        </w:tc>
      </w:tr>
      <w:tr w:rsidR="004747E0" w:rsidRPr="00883413" w14:paraId="7EEAD6DB"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0BE2CC09"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31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40</w:t>
            </w:r>
          </w:p>
        </w:tc>
        <w:tc>
          <w:tcPr>
            <w:tcW w:w="2156" w:type="dxa"/>
          </w:tcPr>
          <w:p w14:paraId="16BA2A06"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9</w:t>
            </w:r>
          </w:p>
        </w:tc>
      </w:tr>
      <w:tr w:rsidR="004747E0" w:rsidRPr="00883413" w14:paraId="64C878A5"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124195FC"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41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50 </w:t>
            </w:r>
          </w:p>
        </w:tc>
        <w:tc>
          <w:tcPr>
            <w:tcW w:w="2156" w:type="dxa"/>
          </w:tcPr>
          <w:p w14:paraId="792392ED"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5</w:t>
            </w:r>
          </w:p>
        </w:tc>
      </w:tr>
      <w:tr w:rsidR="004747E0" w:rsidRPr="00883413" w14:paraId="06217471"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79C9372B"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51 </w:t>
            </w:r>
            <w:r w:rsidR="002C6A79">
              <w:rPr>
                <w:rFonts w:ascii="Times New Roman" w:hAnsi="Times New Roman" w:cs="Times New Roman"/>
                <w:sz w:val="24"/>
                <w:szCs w:val="24"/>
              </w:rPr>
              <w:t>to</w:t>
            </w:r>
            <w:r w:rsidRPr="00883413">
              <w:rPr>
                <w:rFonts w:ascii="Times New Roman" w:hAnsi="Times New Roman" w:cs="Times New Roman"/>
                <w:sz w:val="24"/>
                <w:szCs w:val="24"/>
              </w:rPr>
              <w:t> 60</w:t>
            </w:r>
          </w:p>
        </w:tc>
        <w:tc>
          <w:tcPr>
            <w:tcW w:w="2156" w:type="dxa"/>
          </w:tcPr>
          <w:p w14:paraId="375655AC"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13</w:t>
            </w:r>
          </w:p>
        </w:tc>
      </w:tr>
      <w:tr w:rsidR="004747E0" w:rsidRPr="00883413" w14:paraId="6600B758"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4C7CB511"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61 </w:t>
            </w:r>
            <w:r w:rsidR="002C6A79">
              <w:rPr>
                <w:rFonts w:ascii="Times New Roman" w:hAnsi="Times New Roman" w:cs="Times New Roman"/>
                <w:sz w:val="24"/>
                <w:szCs w:val="24"/>
              </w:rPr>
              <w:t>to</w:t>
            </w:r>
            <w:r w:rsidRPr="00883413">
              <w:rPr>
                <w:rFonts w:ascii="Times New Roman" w:hAnsi="Times New Roman" w:cs="Times New Roman"/>
                <w:sz w:val="24"/>
                <w:szCs w:val="24"/>
              </w:rPr>
              <w:t>70</w:t>
            </w:r>
          </w:p>
        </w:tc>
        <w:tc>
          <w:tcPr>
            <w:tcW w:w="2156" w:type="dxa"/>
          </w:tcPr>
          <w:p w14:paraId="673B38D8"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16</w:t>
            </w:r>
          </w:p>
        </w:tc>
      </w:tr>
      <w:tr w:rsidR="004747E0" w:rsidRPr="00883413" w14:paraId="2059FEC9"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448694FE"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71 </w:t>
            </w:r>
            <w:r w:rsidR="002C6A79">
              <w:rPr>
                <w:rFonts w:ascii="Times New Roman" w:hAnsi="Times New Roman" w:cs="Times New Roman"/>
                <w:sz w:val="24"/>
                <w:szCs w:val="24"/>
              </w:rPr>
              <w:t xml:space="preserve">to </w:t>
            </w:r>
            <w:r w:rsidRPr="00883413">
              <w:rPr>
                <w:rFonts w:ascii="Times New Roman" w:hAnsi="Times New Roman" w:cs="Times New Roman"/>
                <w:sz w:val="24"/>
                <w:szCs w:val="24"/>
              </w:rPr>
              <w:t xml:space="preserve"> 80</w:t>
            </w:r>
          </w:p>
        </w:tc>
        <w:tc>
          <w:tcPr>
            <w:tcW w:w="2156" w:type="dxa"/>
          </w:tcPr>
          <w:p w14:paraId="7A0EAEEF"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4</w:t>
            </w:r>
          </w:p>
        </w:tc>
      </w:tr>
      <w:tr w:rsidR="004747E0" w:rsidRPr="00883413" w14:paraId="6FADCA52" w14:textId="77777777" w:rsidTr="00ED2118">
        <w:trPr>
          <w:trHeight w:val="87"/>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37903784"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Total=</w:t>
            </w:r>
          </w:p>
        </w:tc>
        <w:tc>
          <w:tcPr>
            <w:tcW w:w="2156" w:type="dxa"/>
          </w:tcPr>
          <w:p w14:paraId="32AE9C45"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50</w:t>
            </w:r>
          </w:p>
        </w:tc>
      </w:tr>
      <w:tr w:rsidR="004747E0" w:rsidRPr="00883413" w14:paraId="1A77D9AA" w14:textId="77777777" w:rsidTr="00ED2118">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7937A206"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lastRenderedPageBreak/>
              <w:t>Expérience (ans)</w:t>
            </w:r>
          </w:p>
        </w:tc>
        <w:tc>
          <w:tcPr>
            <w:tcW w:w="2156" w:type="dxa"/>
          </w:tcPr>
          <w:p w14:paraId="664FB24B"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bl>
    <w:p w14:paraId="02E61040"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3.1.2. </w:t>
      </w:r>
      <w:proofErr w:type="spellStart"/>
      <w:r w:rsidRPr="00883413">
        <w:rPr>
          <w:rFonts w:ascii="Times New Roman" w:hAnsi="Times New Roman" w:cs="Times New Roman"/>
        </w:rPr>
        <w:t>Ethnopharmacological</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Characteristics</w:t>
      </w:r>
      <w:proofErr w:type="spellEnd"/>
    </w:p>
    <w:p w14:paraId="4F0A1149"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3.1.2.1. Parts of Plants </w:t>
      </w:r>
      <w:proofErr w:type="spellStart"/>
      <w:r w:rsidRPr="00883413">
        <w:rPr>
          <w:rFonts w:ascii="Times New Roman" w:hAnsi="Times New Roman" w:cs="Times New Roman"/>
        </w:rPr>
        <w:t>Used</w:t>
      </w:r>
      <w:proofErr w:type="spellEnd"/>
    </w:p>
    <w:p w14:paraId="5045F38A" w14:textId="5BA4DD9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Figure </w:t>
      </w:r>
      <w:r w:rsidR="00B02DD1">
        <w:rPr>
          <w:rFonts w:ascii="Times New Roman" w:hAnsi="Times New Roman" w:cs="Times New Roman"/>
          <w:lang w:val="en-US"/>
        </w:rPr>
        <w:t>2</w:t>
      </w:r>
      <w:r w:rsidRPr="00883413">
        <w:rPr>
          <w:rFonts w:ascii="Times New Roman" w:hAnsi="Times New Roman" w:cs="Times New Roman"/>
          <w:lang w:val="en-US"/>
        </w:rPr>
        <w:t xml:space="preserve"> illustrates the parts of plants used by the respondents. Bark, leaves, roots, and seeds were the various parts used by traditional healers in their preparations for treating diabetes. Leaves were the most commonly used, accounting for approximately 58% of the preparations, followed by bark (20%).</w:t>
      </w:r>
    </w:p>
    <w:p w14:paraId="269CD3B2" w14:textId="77777777" w:rsidR="004747E0" w:rsidRPr="00883413" w:rsidRDefault="004747E0" w:rsidP="00B80458">
      <w:pPr>
        <w:spacing w:before="240" w:line="360" w:lineRule="auto"/>
        <w:jc w:val="both"/>
        <w:rPr>
          <w:rFonts w:ascii="Times New Roman" w:hAnsi="Times New Roman" w:cs="Times New Roman"/>
          <w:lang w:val="en-US"/>
        </w:rPr>
      </w:pPr>
    </w:p>
    <w:p w14:paraId="69720FF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14:ligatures w14:val="none"/>
        </w:rPr>
        <w:drawing>
          <wp:inline distT="0" distB="0" distL="0" distR="0" wp14:anchorId="0400B1D3" wp14:editId="4FE73037">
            <wp:extent cx="4212000" cy="2736000"/>
            <wp:effectExtent l="0" t="0" r="17145" b="7620"/>
            <wp:docPr id="536771549" name="Graphique 1">
              <a:extLst xmlns:a="http://schemas.openxmlformats.org/drawingml/2006/main">
                <a:ext uri="{FF2B5EF4-FFF2-40B4-BE49-F238E27FC236}">
                  <a16:creationId xmlns:a16="http://schemas.microsoft.com/office/drawing/2014/main" id="{B81314A5-B5F5-E081-4FA2-0315340364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DBF27D" w14:textId="67758653"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Figure </w:t>
      </w:r>
      <w:r w:rsidR="00B02DD1">
        <w:rPr>
          <w:rFonts w:ascii="Times New Roman" w:hAnsi="Times New Roman" w:cs="Times New Roman"/>
          <w:lang w:val="en-US"/>
        </w:rPr>
        <w:t>2</w:t>
      </w:r>
      <w:r w:rsidRPr="00883413">
        <w:rPr>
          <w:rFonts w:ascii="Times New Roman" w:hAnsi="Times New Roman" w:cs="Times New Roman"/>
          <w:lang w:val="en-US"/>
        </w:rPr>
        <w:t>: Distribution of the Parts Used</w:t>
      </w:r>
    </w:p>
    <w:p w14:paraId="2BF28B3D" w14:textId="77777777" w:rsidR="004747E0" w:rsidRPr="00883413" w:rsidRDefault="004747E0" w:rsidP="00B80458">
      <w:pPr>
        <w:spacing w:before="240" w:line="360" w:lineRule="auto"/>
        <w:jc w:val="both"/>
        <w:rPr>
          <w:rFonts w:ascii="Times New Roman" w:hAnsi="Times New Roman" w:cs="Times New Roman"/>
          <w:lang w:val="en-US"/>
        </w:rPr>
      </w:pPr>
    </w:p>
    <w:p w14:paraId="12D4773C"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3.1.2.2. Distribution by Method of Plant Preparation</w:t>
      </w:r>
    </w:p>
    <w:p w14:paraId="7BEEE4A0" w14:textId="2DCB78AE"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Figure </w:t>
      </w:r>
      <w:r w:rsidR="00B02DD1">
        <w:rPr>
          <w:rFonts w:ascii="Times New Roman" w:hAnsi="Times New Roman" w:cs="Times New Roman"/>
          <w:lang w:val="en-US"/>
        </w:rPr>
        <w:t>3</w:t>
      </w:r>
      <w:r w:rsidRPr="00883413">
        <w:rPr>
          <w:rFonts w:ascii="Times New Roman" w:hAnsi="Times New Roman" w:cs="Times New Roman"/>
          <w:lang w:val="en-US"/>
        </w:rPr>
        <w:t xml:space="preserve"> shows the different preparation methods used by practitioners of traditional medicine, such as decoction, infusion, ingestion, and maceration. Decoction had the highest percentage at 72%. Segda et al. (2023) and Bonkian et al. (2025) report a predominance of decoction, with percentages of 73.21% and 82%, respectively. Decoction is the most commonly used extraction method because it allows for better diffusion of metabolites into the solvent.</w:t>
      </w:r>
    </w:p>
    <w:p w14:paraId="16C5D84C" w14:textId="77777777" w:rsidR="004747E0" w:rsidRPr="00883413" w:rsidRDefault="004747E0" w:rsidP="00B80458">
      <w:pPr>
        <w:spacing w:before="240" w:line="360" w:lineRule="auto"/>
        <w:jc w:val="both"/>
        <w:rPr>
          <w:rFonts w:ascii="Times New Roman" w:hAnsi="Times New Roman" w:cs="Times New Roman"/>
          <w:lang w:val="en-US"/>
        </w:rPr>
      </w:pPr>
    </w:p>
    <w:p w14:paraId="3F078CFD" w14:textId="77777777" w:rsidR="00C26807" w:rsidRDefault="0089358D"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rPr>
        <w:lastRenderedPageBreak/>
        <mc:AlternateContent>
          <mc:Choice Requires="wps">
            <w:drawing>
              <wp:inline distT="0" distB="0" distL="0" distR="0" wp14:anchorId="257DF9F8" wp14:editId="1669847D">
                <wp:extent cx="304800" cy="304800"/>
                <wp:effectExtent l="0" t="0" r="0" b="0"/>
                <wp:docPr id="101903353" name="Rectangle 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825D0" id="Rectangle 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899CB48" wp14:editId="308BF3A6">
                <wp:extent cx="304800" cy="304800"/>
                <wp:effectExtent l="0" t="0" r="0" b="0"/>
                <wp:docPr id="2088833751" name="Rectangle 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D8772A" id="Rectangle 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ABE57B2" wp14:editId="40510A22">
                <wp:extent cx="304800" cy="304800"/>
                <wp:effectExtent l="0" t="0" r="0" b="0"/>
                <wp:docPr id="202972654" name="Rectangle 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F6DA67" id="Rectangle 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47F1465B" wp14:editId="64DD8E78">
                <wp:extent cx="304800" cy="304800"/>
                <wp:effectExtent l="0" t="0" r="0" b="0"/>
                <wp:docPr id="608664557" name="Rectangle 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F5155" id="Rectangle 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98422F8" wp14:editId="0D625831">
                <wp:extent cx="304800" cy="304800"/>
                <wp:effectExtent l="0" t="0" r="0" b="0"/>
                <wp:docPr id="1353846331" name="Rectangle 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A2B43" id="Rectangle 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4200327A" wp14:editId="513ECE11">
                <wp:extent cx="304800" cy="304800"/>
                <wp:effectExtent l="0" t="0" r="0" b="0"/>
                <wp:docPr id="1554969319" name="Rectangle 10"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868B78" id="Rectangle 10"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EABEFD9" wp14:editId="1ADB77B8">
                <wp:extent cx="304800" cy="304800"/>
                <wp:effectExtent l="0" t="0" r="0" b="0"/>
                <wp:docPr id="946381652" name="Rectangle 11"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53F4F2" id="Rectangle 11"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94B0B73" wp14:editId="196E40FD">
                <wp:extent cx="304800" cy="304800"/>
                <wp:effectExtent l="0" t="0" r="0" b="0"/>
                <wp:docPr id="428800746" name="Rectangle 12"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68B348" id="Rectangle 12"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A319378" wp14:editId="2E30404F">
                <wp:extent cx="304800" cy="304800"/>
                <wp:effectExtent l="0" t="0" r="0" b="0"/>
                <wp:docPr id="2093961794" name="Rectangle 1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749B8" id="Rectangle 13"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3EBEF6E3" wp14:editId="594BA0BC">
                <wp:extent cx="304800" cy="304800"/>
                <wp:effectExtent l="0" t="0" r="0" b="0"/>
                <wp:docPr id="293991978" name="Rectangle 14"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F9B415" id="Rectangle 14"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3D548234" wp14:editId="0D8D6CB5">
                <wp:extent cx="1219200" cy="304800"/>
                <wp:effectExtent l="0" t="0" r="0" b="0"/>
                <wp:docPr id="1920433150" name="Rectangle 18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493536" id="Rectangle 183" o:spid="_x0000_s1026" alt="14%&#10;&#10;6%&#10;&#10;6%&#10;&#10;2%&#10;&#10;72%&#10;&#10;Decoction&#10;&#10;Fumigation&#10;&#10;Infusion&#10;&#10;Ingestion&#10;&#10;Maceration" style="width:96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4FA9B63" wp14:editId="22B6AC0E">
                <wp:extent cx="304800" cy="304800"/>
                <wp:effectExtent l="0" t="0" r="0" b="0"/>
                <wp:docPr id="1593766426" name="Rectangle 1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BF430C" id="Rectangle 1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A66A9B3" wp14:editId="771530E3">
                <wp:extent cx="304800" cy="304800"/>
                <wp:effectExtent l="0" t="0" r="0" b="0"/>
                <wp:docPr id="378334520" name="Rectangle 1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289223" id="Rectangle 1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DADC90E" wp14:editId="02868F7E">
                <wp:extent cx="304800" cy="304800"/>
                <wp:effectExtent l="0" t="0" r="0" b="0"/>
                <wp:docPr id="1055819148" name="Rectangle 1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EB86D" id="Rectangle 1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5A32B94" wp14:editId="38B53C76">
                <wp:extent cx="304800" cy="304800"/>
                <wp:effectExtent l="0" t="0" r="0" b="0"/>
                <wp:docPr id="796511197" name="Rectangle 1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8D1E6E" id="Rectangle 1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527FEAF" wp14:editId="21559DFE">
                <wp:extent cx="304800" cy="304800"/>
                <wp:effectExtent l="0" t="0" r="0" b="0"/>
                <wp:docPr id="651144679" name="Rectangle 1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3F10DE" id="Rectangle 1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89EC43F" wp14:editId="4BF9A17A">
                <wp:extent cx="304800" cy="304800"/>
                <wp:effectExtent l="0" t="0" r="0" b="0"/>
                <wp:docPr id="663931303" name="Rectangle 20"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69C735" id="Rectangle 20"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78BADE1" wp14:editId="59A6FAAB">
                <wp:extent cx="304800" cy="304800"/>
                <wp:effectExtent l="0" t="0" r="0" b="0"/>
                <wp:docPr id="966768856" name="Rectangle 21"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F615D2" id="Rectangle 21"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B9C98FC" wp14:editId="53CCBC1F">
                <wp:extent cx="304800" cy="304800"/>
                <wp:effectExtent l="0" t="0" r="0" b="0"/>
                <wp:docPr id="1978321836" name="Rectangle 22"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89C8D4" id="Rectangle 22"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6FB14B0" wp14:editId="636DC118">
                <wp:extent cx="304800" cy="304800"/>
                <wp:effectExtent l="0" t="0" r="0" b="0"/>
                <wp:docPr id="355372924" name="Rectangle 2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30BC03" id="Rectangle 23"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7F749FE" wp14:editId="3C86690B">
                <wp:extent cx="304800" cy="304800"/>
                <wp:effectExtent l="0" t="0" r="0" b="0"/>
                <wp:docPr id="1472374048" name="Rectangle 24"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92350A" id="Rectangle 24"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3CAEAEE" wp14:editId="4BAF422D">
                <wp:extent cx="304800" cy="304800"/>
                <wp:effectExtent l="0" t="0" r="0" b="0"/>
                <wp:docPr id="995831541" name="Rectangle 2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94CA6A" id="Rectangle 2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CDB63FE" wp14:editId="482550F8">
                <wp:extent cx="304800" cy="304800"/>
                <wp:effectExtent l="0" t="0" r="0" b="0"/>
                <wp:docPr id="1436833594" name="Rectangle 2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0CCD09" id="Rectangle 2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1CD621F" wp14:editId="4FF48B11">
                <wp:extent cx="304800" cy="304800"/>
                <wp:effectExtent l="0" t="0" r="0" b="0"/>
                <wp:docPr id="526562217" name="Rectangle 2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38E58E" id="Rectangle 2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26807">
        <w:rPr>
          <w:noProof/>
        </w:rPr>
        <w:drawing>
          <wp:inline distT="0" distB="0" distL="0" distR="0" wp14:anchorId="5EFA632F" wp14:editId="573C80AA">
            <wp:extent cx="4572000" cy="2743200"/>
            <wp:effectExtent l="0" t="0" r="0" b="0"/>
            <wp:docPr id="1" name="Graphique 1">
              <a:extLst xmlns:a="http://schemas.openxmlformats.org/drawingml/2006/main">
                <a:ext uri="{FF2B5EF4-FFF2-40B4-BE49-F238E27FC236}">
                  <a16:creationId xmlns:a16="http://schemas.microsoft.com/office/drawing/2014/main" id="{48A617F6-1B41-784B-BE9C-0FF7EB65C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FB8944A" w14:textId="7086DA40" w:rsidR="004747E0" w:rsidRPr="00883413" w:rsidRDefault="0089358D"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rPr>
        <mc:AlternateContent>
          <mc:Choice Requires="wps">
            <w:drawing>
              <wp:inline distT="0" distB="0" distL="0" distR="0" wp14:anchorId="4F01EF6C" wp14:editId="14C049A6">
                <wp:extent cx="304800" cy="304800"/>
                <wp:effectExtent l="0" t="0" r="0" b="0"/>
                <wp:docPr id="513595848" name="Rectangle 2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5A567B" id="Rectangle 2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F60C648" wp14:editId="604F433E">
                <wp:extent cx="304800" cy="304800"/>
                <wp:effectExtent l="0" t="0" r="0" b="0"/>
                <wp:docPr id="1813490937" name="Rectangle 2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BE589" id="Rectangle 2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747E0" w:rsidRPr="00883413">
        <w:rPr>
          <w:rFonts w:ascii="Times New Roman" w:hAnsi="Times New Roman" w:cs="Times New Roman"/>
          <w:lang w:val="en-US"/>
        </w:rPr>
        <w:t xml:space="preserve">Figure </w:t>
      </w:r>
      <w:r w:rsidR="00B02DD1">
        <w:rPr>
          <w:rFonts w:ascii="Times New Roman" w:hAnsi="Times New Roman" w:cs="Times New Roman"/>
          <w:lang w:val="en-US"/>
        </w:rPr>
        <w:t>3</w:t>
      </w:r>
      <w:r w:rsidR="004747E0" w:rsidRPr="00883413">
        <w:rPr>
          <w:rFonts w:ascii="Times New Roman" w:hAnsi="Times New Roman" w:cs="Times New Roman"/>
          <w:lang w:val="en-US"/>
        </w:rPr>
        <w:t xml:space="preserve">: Distribution of </w:t>
      </w:r>
      <w:r w:rsidR="00C26807">
        <w:rPr>
          <w:rFonts w:ascii="Times New Roman" w:hAnsi="Times New Roman" w:cs="Times New Roman"/>
          <w:lang w:val="en-US"/>
        </w:rPr>
        <w:t>p</w:t>
      </w:r>
      <w:r w:rsidR="004747E0" w:rsidRPr="00883413">
        <w:rPr>
          <w:rFonts w:ascii="Times New Roman" w:hAnsi="Times New Roman" w:cs="Times New Roman"/>
          <w:lang w:val="en-US"/>
        </w:rPr>
        <w:t xml:space="preserve">lant </w:t>
      </w:r>
      <w:r w:rsidR="00C26807">
        <w:rPr>
          <w:rFonts w:ascii="Times New Roman" w:hAnsi="Times New Roman" w:cs="Times New Roman"/>
          <w:lang w:val="en-US"/>
        </w:rPr>
        <w:t>p</w:t>
      </w:r>
      <w:r w:rsidR="004747E0" w:rsidRPr="00883413">
        <w:rPr>
          <w:rFonts w:ascii="Times New Roman" w:hAnsi="Times New Roman" w:cs="Times New Roman"/>
          <w:lang w:val="en-US"/>
        </w:rPr>
        <w:t xml:space="preserve">reparation </w:t>
      </w:r>
      <w:r w:rsidR="00C26807">
        <w:rPr>
          <w:rFonts w:ascii="Times New Roman" w:hAnsi="Times New Roman" w:cs="Times New Roman"/>
          <w:lang w:val="en-US"/>
        </w:rPr>
        <w:t>m</w:t>
      </w:r>
      <w:r w:rsidR="004747E0" w:rsidRPr="00883413">
        <w:rPr>
          <w:rFonts w:ascii="Times New Roman" w:hAnsi="Times New Roman" w:cs="Times New Roman"/>
          <w:lang w:val="en-US"/>
        </w:rPr>
        <w:t>ethods</w:t>
      </w:r>
    </w:p>
    <w:p w14:paraId="071D8E36" w14:textId="77777777" w:rsidR="004747E0" w:rsidRPr="00883413" w:rsidRDefault="004747E0" w:rsidP="00B80458">
      <w:pPr>
        <w:spacing w:before="240" w:line="360" w:lineRule="auto"/>
        <w:jc w:val="both"/>
        <w:rPr>
          <w:rFonts w:ascii="Times New Roman" w:hAnsi="Times New Roman" w:cs="Times New Roman"/>
          <w:lang w:val="en-US"/>
        </w:rPr>
      </w:pPr>
    </w:p>
    <w:p w14:paraId="13E5715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3.1.2.3. Frequency of Plant Mentions by Respondents</w:t>
      </w:r>
    </w:p>
    <w:p w14:paraId="643A6B53" w14:textId="594B9303" w:rsidR="004747E0" w:rsidRPr="00883413" w:rsidRDefault="004747E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A total of 50 traditional health practitioners and sellers of traditional products were surveyed. Thirty (30) species belonging to 19 botanical families were identified (Figure </w:t>
      </w:r>
      <w:r w:rsidR="00B02DD1">
        <w:rPr>
          <w:rFonts w:ascii="Times New Roman" w:hAnsi="Times New Roman" w:cs="Times New Roman"/>
          <w:lang w:val="en-US"/>
        </w:rPr>
        <w:t>4</w:t>
      </w:r>
      <w:r>
        <w:rPr>
          <w:rFonts w:ascii="Times New Roman" w:hAnsi="Times New Roman" w:cs="Times New Roman"/>
          <w:lang w:val="en-US"/>
        </w:rPr>
        <w:t xml:space="preserve">). In this phase, 18 traditional health practitioners were interviewed, and 13 species belonging to 8 families were identified. Additionally, 32 sellers of traditional health products were surveyed, and 17 species belonging to 11 botanical families were identified. The most frequently cited species were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and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with frequencies of 14% and 10%, respectively.</w:t>
      </w:r>
    </w:p>
    <w:p w14:paraId="303442FE"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14:ligatures w14:val="none"/>
        </w:rPr>
        <w:lastRenderedPageBreak/>
        <w:drawing>
          <wp:inline distT="0" distB="0" distL="0" distR="0" wp14:anchorId="5116C15C" wp14:editId="5F7DEA46">
            <wp:extent cx="6157608" cy="4620638"/>
            <wp:effectExtent l="0" t="0" r="14605" b="8890"/>
            <wp:docPr id="745120078" name="Graphique 1">
              <a:extLst xmlns:a="http://schemas.openxmlformats.org/drawingml/2006/main">
                <a:ext uri="{FF2B5EF4-FFF2-40B4-BE49-F238E27FC236}">
                  <a16:creationId xmlns:a16="http://schemas.microsoft.com/office/drawing/2014/main" id="{94807C0D-F1B9-0640-07A1-8749CBDAA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FADD11" w14:textId="77777777" w:rsidR="00F84329" w:rsidRPr="00F84329" w:rsidRDefault="00F84329" w:rsidP="00F84329">
      <w:pPr>
        <w:spacing w:before="240" w:line="360" w:lineRule="auto"/>
        <w:jc w:val="both"/>
        <w:rPr>
          <w:rFonts w:ascii="Times New Roman" w:hAnsi="Times New Roman" w:cs="Times New Roman"/>
          <w:b/>
          <w:bCs/>
        </w:rPr>
      </w:pPr>
      <w:r>
        <w:rPr>
          <w:rFonts w:ascii="Times New Roman" w:hAnsi="Times New Roman" w:cs="Times New Roman"/>
          <w:b/>
          <w:bCs/>
        </w:rPr>
        <w:t xml:space="preserve">                                                                          </w:t>
      </w:r>
      <w:proofErr w:type="spellStart"/>
      <w:r w:rsidRPr="00F84329">
        <w:rPr>
          <w:rFonts w:ascii="Times New Roman" w:hAnsi="Times New Roman" w:cs="Times New Roman"/>
          <w:b/>
          <w:bCs/>
        </w:rPr>
        <w:t>surveyed</w:t>
      </w:r>
      <w:proofErr w:type="spellEnd"/>
      <w:r w:rsidRPr="00F84329">
        <w:rPr>
          <w:rFonts w:ascii="Times New Roman" w:hAnsi="Times New Roman" w:cs="Times New Roman"/>
          <w:b/>
          <w:bCs/>
        </w:rPr>
        <w:t xml:space="preserve"> </w:t>
      </w:r>
      <w:proofErr w:type="spellStart"/>
      <w:r w:rsidRPr="00F84329">
        <w:rPr>
          <w:rFonts w:ascii="Times New Roman" w:hAnsi="Times New Roman" w:cs="Times New Roman"/>
          <w:b/>
          <w:bCs/>
        </w:rPr>
        <w:t>species</w:t>
      </w:r>
      <w:proofErr w:type="spellEnd"/>
    </w:p>
    <w:p w14:paraId="35FFCA5D" w14:textId="7C69F742"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Figure </w:t>
      </w:r>
      <w:r w:rsidR="00B02DD1">
        <w:rPr>
          <w:rFonts w:ascii="Times New Roman" w:hAnsi="Times New Roman" w:cs="Times New Roman"/>
          <w:lang w:val="en-US"/>
        </w:rPr>
        <w:t>4</w:t>
      </w:r>
      <w:r w:rsidRPr="00883413">
        <w:rPr>
          <w:rFonts w:ascii="Times New Roman" w:hAnsi="Times New Roman" w:cs="Times New Roman"/>
          <w:lang w:val="en-US"/>
        </w:rPr>
        <w:t>: Frequency of species citations</w:t>
      </w:r>
    </w:p>
    <w:p w14:paraId="31032EEC" w14:textId="77777777" w:rsidR="004747E0" w:rsidRPr="00883413" w:rsidRDefault="004747E0" w:rsidP="00B80458">
      <w:pPr>
        <w:spacing w:before="240" w:line="360" w:lineRule="auto"/>
        <w:jc w:val="both"/>
        <w:rPr>
          <w:rFonts w:ascii="Times New Roman" w:hAnsi="Times New Roman" w:cs="Times New Roman"/>
          <w:lang w:val="en-US"/>
        </w:rPr>
      </w:pPr>
    </w:p>
    <w:p w14:paraId="622BE51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 Results of Biochemical Parameters</w:t>
      </w:r>
    </w:p>
    <w:p w14:paraId="490120B0"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3.2.1. Vitamin C (ascorbic acid) Assay</w:t>
      </w:r>
    </w:p>
    <w:p w14:paraId="4B4FDEA6"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II shows the vitamin C content of the extracts, expressed in (mg EAA/mg of extract). The ascorbic acid content of the extracts ranged from 0.1 to 1.5 mg EAA/100 mg of extract. The highest levels were obtained from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 mg EAA/100 mg), followed by the extract from Bobo-Dioulasso (0.6 mg EAA/100 mg). The lowest levels were found in the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extract from Bobo-Dioulasso (0.2 mg EAA/100 mg) and that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(0.1 mg EAA/100 mg).</w:t>
      </w:r>
    </w:p>
    <w:p w14:paraId="521D508F"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 xml:space="preserve">The use of these vitamin C-rich medicinal plants in the treatment of diabetes may be due to their high ascorbic acid content. This study corroborates the work of Mashaba, </w:t>
      </w:r>
      <w:proofErr w:type="spellStart"/>
      <w:r w:rsidRPr="00883413">
        <w:rPr>
          <w:rFonts w:ascii="Times New Roman" w:hAnsi="Times New Roman" w:cs="Times New Roman"/>
          <w:lang w:val="en-US"/>
        </w:rPr>
        <w:t>Mokgalaboni</w:t>
      </w:r>
      <w:proofErr w:type="spellEnd"/>
      <w:r w:rsidRPr="00883413">
        <w:rPr>
          <w:rFonts w:ascii="Times New Roman" w:hAnsi="Times New Roman" w:cs="Times New Roman"/>
          <w:lang w:val="en-US"/>
        </w:rPr>
        <w:t>, and Lebelo (2025), who demonstrated that extracts rich in ascorbic acid possess antidiabetic properties.</w:t>
      </w:r>
    </w:p>
    <w:p w14:paraId="49A85803"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3.2.2. Total Sugar Content Assay</w:t>
      </w:r>
    </w:p>
    <w:p w14:paraId="5A4551AA" w14:textId="14A2F321" w:rsidR="004747E0" w:rsidRPr="00883413" w:rsidRDefault="004747E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 results for total sugar content in the extracts, expressed in µg ES/mg of extract from the two locations, are presented in Table </w:t>
      </w:r>
      <w:r w:rsidR="00B02DD1">
        <w:rPr>
          <w:rFonts w:ascii="Times New Roman" w:hAnsi="Times New Roman" w:cs="Times New Roman"/>
          <w:lang w:val="en-US"/>
        </w:rPr>
        <w:t>2</w:t>
      </w:r>
      <w:r>
        <w:rPr>
          <w:rFonts w:ascii="Times New Roman" w:hAnsi="Times New Roman" w:cs="Times New Roman"/>
          <w:lang w:val="en-US"/>
        </w:rPr>
        <w:t xml:space="preserve">. Total sugar content ranged from 140.29 to 363.66 µg ES/100 mg of extract. The highest levels were observed in the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extract from </w:t>
      </w:r>
      <w:proofErr w:type="spellStart"/>
      <w:r>
        <w:rPr>
          <w:rFonts w:ascii="Times New Roman" w:hAnsi="Times New Roman" w:cs="Times New Roman"/>
          <w:lang w:val="en-US"/>
        </w:rPr>
        <w:t>Boromo</w:t>
      </w:r>
      <w:proofErr w:type="spellEnd"/>
      <w:r>
        <w:rPr>
          <w:rFonts w:ascii="Times New Roman" w:hAnsi="Times New Roman" w:cs="Times New Roman"/>
          <w:lang w:val="en-US"/>
        </w:rPr>
        <w:t xml:space="preserve"> (363.66 µg ES/100 mg), followed by the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extract from Bobo-Dioulasso (343.38 µg ES/100 mg). The lowest levels were obtained from the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extract from Bobo-Dioulasso (169.39 µg ES/100 mg) and the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extract from </w:t>
      </w:r>
      <w:proofErr w:type="spellStart"/>
      <w:r>
        <w:rPr>
          <w:rFonts w:ascii="Times New Roman" w:hAnsi="Times New Roman" w:cs="Times New Roman"/>
          <w:lang w:val="en-US"/>
        </w:rPr>
        <w:t>Boromo</w:t>
      </w:r>
      <w:proofErr w:type="spellEnd"/>
      <w:r>
        <w:rPr>
          <w:rFonts w:ascii="Times New Roman" w:hAnsi="Times New Roman" w:cs="Times New Roman"/>
          <w:lang w:val="en-US"/>
        </w:rPr>
        <w:t xml:space="preserve"> (140.29 µg ES/100 mg).</w:t>
      </w:r>
    </w:p>
    <w:p w14:paraId="305ADA26" w14:textId="3A41CF15"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w:t>
      </w:r>
      <w:r w:rsidR="00B02DD1">
        <w:rPr>
          <w:rFonts w:ascii="Times New Roman" w:hAnsi="Times New Roman" w:cs="Times New Roman"/>
          <w:lang w:val="en-US"/>
        </w:rPr>
        <w:t>2</w:t>
      </w:r>
      <w:r w:rsidRPr="00883413">
        <w:rPr>
          <w:rFonts w:ascii="Times New Roman" w:hAnsi="Times New Roman" w:cs="Times New Roman"/>
          <w:lang w:val="en-US"/>
        </w:rPr>
        <w:t>: Results for ascorbic acid and total sugar content</w:t>
      </w:r>
    </w:p>
    <w:p w14:paraId="286FB328" w14:textId="77777777" w:rsidR="004747E0" w:rsidRPr="00883413" w:rsidRDefault="004747E0" w:rsidP="00B80458">
      <w:pPr>
        <w:spacing w:before="240" w:line="360" w:lineRule="auto"/>
        <w:jc w:val="both"/>
        <w:rPr>
          <w:rFonts w:ascii="Times New Roman" w:hAnsi="Times New Roman" w:cs="Times New Roman"/>
          <w:lang w:val="en-US"/>
        </w:rPr>
      </w:pPr>
    </w:p>
    <w:tbl>
      <w:tblPr>
        <w:tblStyle w:val="PlainTable2"/>
        <w:tblW w:w="9356" w:type="dxa"/>
        <w:jc w:val="center"/>
        <w:tblBorders>
          <w:top w:val="single" w:sz="18" w:space="0" w:color="0070C0"/>
          <w:bottom w:val="single" w:sz="18" w:space="0" w:color="0070C0"/>
          <w:insideH w:val="single" w:sz="4" w:space="0" w:color="7F7F7F" w:themeColor="text1" w:themeTint="80"/>
        </w:tblBorders>
        <w:tblLook w:val="04A0" w:firstRow="1" w:lastRow="0" w:firstColumn="1" w:lastColumn="0" w:noHBand="0" w:noVBand="1"/>
      </w:tblPr>
      <w:tblGrid>
        <w:gridCol w:w="1977"/>
        <w:gridCol w:w="2100"/>
        <w:gridCol w:w="2382"/>
        <w:gridCol w:w="2897"/>
      </w:tblGrid>
      <w:tr w:rsidR="002A25E2" w:rsidRPr="00883413" w14:paraId="2DA0B464" w14:textId="77777777" w:rsidTr="00ED21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18" w:space="0" w:color="0070C0"/>
              <w:bottom w:val="single" w:sz="18" w:space="0" w:color="0070C0"/>
            </w:tcBorders>
          </w:tcPr>
          <w:p w14:paraId="6038C6B8" w14:textId="77777777" w:rsidR="00BD7DF1" w:rsidRPr="00883413" w:rsidRDefault="00BD7DF1"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p w14:paraId="7D2C5BBA"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Borders>
              <w:top w:val="single" w:sz="18" w:space="0" w:color="0070C0"/>
              <w:bottom w:val="single" w:sz="18" w:space="0" w:color="0070C0"/>
            </w:tcBorders>
          </w:tcPr>
          <w:p w14:paraId="29C7FB70" w14:textId="77777777" w:rsidR="00FD5D50" w:rsidRPr="00883413" w:rsidRDefault="00FD5D50"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83413">
              <w:rPr>
                <w:rFonts w:ascii="Times New Roman" w:hAnsi="Times New Roman" w:cs="Times New Roman"/>
                <w:sz w:val="24"/>
                <w:szCs w:val="24"/>
              </w:rPr>
              <w:t>Species</w:t>
            </w:r>
            <w:proofErr w:type="spellEnd"/>
          </w:p>
          <w:p w14:paraId="7805BDBE" w14:textId="77777777"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c>
          <w:tcPr>
            <w:tcW w:w="2410" w:type="dxa"/>
            <w:tcBorders>
              <w:top w:val="single" w:sz="18" w:space="0" w:color="0070C0"/>
              <w:bottom w:val="single" w:sz="18" w:space="0" w:color="0070C0"/>
            </w:tcBorders>
          </w:tcPr>
          <w:p w14:paraId="0F4D1BDC" w14:textId="77777777"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83413">
              <w:rPr>
                <w:rFonts w:ascii="Times New Roman" w:hAnsi="Times New Roman" w:cs="Times New Roman"/>
                <w:sz w:val="24"/>
                <w:szCs w:val="24"/>
                <w:lang w:val="en-US"/>
              </w:rPr>
              <w:t>Vitamin C</w:t>
            </w:r>
          </w:p>
          <w:p w14:paraId="1C3287E3" w14:textId="77777777" w:rsidR="00FD5D50" w:rsidRPr="00883413" w:rsidRDefault="002A25E2"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 xml:space="preserve">(mg EAA /100 mg </w:t>
            </w:r>
            <w:proofErr w:type="spellStart"/>
            <w:r w:rsidR="00FD5D50" w:rsidRPr="00883413">
              <w:rPr>
                <w:rFonts w:ascii="Times New Roman" w:hAnsi="Times New Roman" w:cs="Times New Roman"/>
                <w:sz w:val="24"/>
                <w:szCs w:val="24"/>
              </w:rPr>
              <w:t>extracts</w:t>
            </w:r>
            <w:proofErr w:type="spellEnd"/>
          </w:p>
          <w:p w14:paraId="5993D572" w14:textId="77777777"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w:t>
            </w:r>
          </w:p>
        </w:tc>
        <w:tc>
          <w:tcPr>
            <w:tcW w:w="2977" w:type="dxa"/>
            <w:tcBorders>
              <w:top w:val="single" w:sz="18" w:space="0" w:color="0070C0"/>
              <w:bottom w:val="single" w:sz="18" w:space="0" w:color="0070C0"/>
            </w:tcBorders>
          </w:tcPr>
          <w:p w14:paraId="17706948" w14:textId="77777777" w:rsidR="00FD5D50" w:rsidRPr="00883413" w:rsidRDefault="00FD5D50"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 xml:space="preserve">total </w:t>
            </w:r>
            <w:proofErr w:type="spellStart"/>
            <w:r w:rsidRPr="00883413">
              <w:rPr>
                <w:rFonts w:ascii="Times New Roman" w:hAnsi="Times New Roman" w:cs="Times New Roman"/>
                <w:sz w:val="24"/>
                <w:szCs w:val="24"/>
              </w:rPr>
              <w:t>sugars</w:t>
            </w:r>
            <w:proofErr w:type="spellEnd"/>
          </w:p>
          <w:p w14:paraId="4E83B417" w14:textId="77777777" w:rsidR="002A25E2" w:rsidRPr="00883413" w:rsidRDefault="00FD5D50"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 xml:space="preserve">                 </w:t>
            </w:r>
            <w:r w:rsidR="002A25E2" w:rsidRPr="00883413">
              <w:rPr>
                <w:rFonts w:ascii="Times New Roman" w:hAnsi="Times New Roman" w:cs="Times New Roman"/>
                <w:sz w:val="24"/>
                <w:szCs w:val="24"/>
              </w:rPr>
              <w:t xml:space="preserve">(µg ES/100 mg </w:t>
            </w:r>
            <w:proofErr w:type="spellStart"/>
            <w:r w:rsidRPr="00883413">
              <w:rPr>
                <w:rFonts w:ascii="Times New Roman" w:hAnsi="Times New Roman" w:cs="Times New Roman"/>
                <w:sz w:val="24"/>
                <w:szCs w:val="24"/>
              </w:rPr>
              <w:t>extracts</w:t>
            </w:r>
            <w:proofErr w:type="spellEnd"/>
            <w:r w:rsidR="002A25E2" w:rsidRPr="00883413">
              <w:rPr>
                <w:rFonts w:ascii="Times New Roman" w:hAnsi="Times New Roman" w:cs="Times New Roman"/>
                <w:sz w:val="24"/>
                <w:szCs w:val="24"/>
              </w:rPr>
              <w:t>)</w:t>
            </w:r>
          </w:p>
        </w:tc>
      </w:tr>
      <w:tr w:rsidR="002A25E2" w:rsidRPr="00883413" w14:paraId="66DE6E0D"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18" w:space="0" w:color="0070C0"/>
            </w:tcBorders>
          </w:tcPr>
          <w:p w14:paraId="09353899"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126" w:type="dxa"/>
            <w:tcBorders>
              <w:top w:val="single" w:sz="18" w:space="0" w:color="0070C0"/>
            </w:tcBorders>
          </w:tcPr>
          <w:p w14:paraId="59C8F802"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410" w:type="dxa"/>
            <w:tcBorders>
              <w:top w:val="single" w:sz="18" w:space="0" w:color="0070C0"/>
            </w:tcBorders>
            <w:vAlign w:val="center"/>
          </w:tcPr>
          <w:p w14:paraId="0DDF47EF"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6</w:t>
            </w:r>
          </w:p>
        </w:tc>
        <w:tc>
          <w:tcPr>
            <w:tcW w:w="2977" w:type="dxa"/>
            <w:tcBorders>
              <w:top w:val="single" w:sz="18" w:space="0" w:color="0070C0"/>
            </w:tcBorders>
            <w:vAlign w:val="center"/>
          </w:tcPr>
          <w:p w14:paraId="49D7622E"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343</w:t>
            </w:r>
            <w:r w:rsidR="00C26807">
              <w:rPr>
                <w:rFonts w:ascii="Times New Roman" w:hAnsi="Times New Roman" w:cs="Times New Roman"/>
                <w:sz w:val="24"/>
                <w:szCs w:val="24"/>
              </w:rPr>
              <w:t>.</w:t>
            </w:r>
            <w:r w:rsidRPr="00883413">
              <w:rPr>
                <w:rFonts w:ascii="Times New Roman" w:hAnsi="Times New Roman" w:cs="Times New Roman"/>
                <w:sz w:val="24"/>
                <w:szCs w:val="24"/>
              </w:rPr>
              <w:t>38</w:t>
            </w:r>
          </w:p>
        </w:tc>
      </w:tr>
      <w:tr w:rsidR="002A25E2" w:rsidRPr="00883413" w14:paraId="09B67DB1"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843" w:type="dxa"/>
            <w:vMerge/>
          </w:tcPr>
          <w:p w14:paraId="7E30E5C6"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Pr>
          <w:p w14:paraId="34EBE334"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410" w:type="dxa"/>
            <w:vAlign w:val="center"/>
          </w:tcPr>
          <w:p w14:paraId="5878088C"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0,2</w:t>
            </w:r>
          </w:p>
        </w:tc>
        <w:tc>
          <w:tcPr>
            <w:tcW w:w="2977" w:type="dxa"/>
            <w:vAlign w:val="center"/>
          </w:tcPr>
          <w:p w14:paraId="0FECC7B7"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169</w:t>
            </w:r>
            <w:r w:rsidR="00C26807">
              <w:rPr>
                <w:rFonts w:ascii="Times New Roman" w:hAnsi="Times New Roman" w:cs="Times New Roman"/>
                <w:sz w:val="24"/>
                <w:szCs w:val="24"/>
              </w:rPr>
              <w:t>.</w:t>
            </w:r>
            <w:r w:rsidRPr="00883413">
              <w:rPr>
                <w:rFonts w:ascii="Times New Roman" w:hAnsi="Times New Roman" w:cs="Times New Roman"/>
                <w:sz w:val="24"/>
                <w:szCs w:val="24"/>
              </w:rPr>
              <w:t>39</w:t>
            </w:r>
          </w:p>
        </w:tc>
      </w:tr>
      <w:tr w:rsidR="002A25E2" w:rsidRPr="00883413" w14:paraId="6D2C3C6E"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3900AA58"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126" w:type="dxa"/>
          </w:tcPr>
          <w:p w14:paraId="6993D0E7"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410" w:type="dxa"/>
            <w:vAlign w:val="center"/>
          </w:tcPr>
          <w:p w14:paraId="66C20D13"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1</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50</w:t>
            </w:r>
          </w:p>
        </w:tc>
        <w:tc>
          <w:tcPr>
            <w:tcW w:w="2977" w:type="dxa"/>
            <w:vAlign w:val="center"/>
          </w:tcPr>
          <w:p w14:paraId="3D7C85F7"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140,29</w:t>
            </w:r>
          </w:p>
        </w:tc>
      </w:tr>
      <w:tr w:rsidR="002A25E2" w:rsidRPr="00883413" w14:paraId="6FEAB3CD" w14:textId="77777777" w:rsidTr="00ED2118">
        <w:trPr>
          <w:trHeight w:val="285"/>
          <w:jc w:val="center"/>
        </w:trPr>
        <w:tc>
          <w:tcPr>
            <w:cnfStyle w:val="001000000000" w:firstRow="0" w:lastRow="0" w:firstColumn="1" w:lastColumn="0" w:oddVBand="0" w:evenVBand="0" w:oddHBand="0" w:evenHBand="0" w:firstRowFirstColumn="0" w:firstRowLastColumn="0" w:lastRowFirstColumn="0" w:lastRowLastColumn="0"/>
            <w:tcW w:w="1843" w:type="dxa"/>
            <w:vMerge/>
          </w:tcPr>
          <w:p w14:paraId="551730C9"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Pr>
          <w:p w14:paraId="75B76D5A"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410" w:type="dxa"/>
            <w:vAlign w:val="center"/>
          </w:tcPr>
          <w:p w14:paraId="18EB09D6"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1</w:t>
            </w:r>
          </w:p>
        </w:tc>
        <w:tc>
          <w:tcPr>
            <w:tcW w:w="2977" w:type="dxa"/>
            <w:vAlign w:val="center"/>
          </w:tcPr>
          <w:p w14:paraId="0BE51F34"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363</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66</w:t>
            </w:r>
          </w:p>
        </w:tc>
      </w:tr>
    </w:tbl>
    <w:p w14:paraId="1A00BC3B"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3.2.3. Determination of Total Phenolics and Total Flavonoids</w:t>
      </w:r>
    </w:p>
    <w:p w14:paraId="2941E78C" w14:textId="77777777" w:rsidR="002A25E2" w:rsidRPr="00883413" w:rsidRDefault="002A25E2" w:rsidP="00B80458">
      <w:pPr>
        <w:spacing w:before="240" w:line="360" w:lineRule="auto"/>
        <w:jc w:val="both"/>
        <w:rPr>
          <w:rFonts w:ascii="Times New Roman" w:hAnsi="Times New Roman" w:cs="Times New Roman"/>
          <w:lang w:val="en-US"/>
        </w:rPr>
      </w:pPr>
      <w:r>
        <w:rPr>
          <w:rFonts w:ascii="Times New Roman" w:hAnsi="Times New Roman" w:cs="Times New Roman"/>
          <w:highlight w:val="yellow"/>
          <w:lang w:val="en-US"/>
        </w:rPr>
        <w:t>Table III shows</w:t>
      </w:r>
      <w:r>
        <w:rPr>
          <w:rFonts w:ascii="Times New Roman" w:hAnsi="Times New Roman" w:cs="Times New Roman"/>
          <w:lang w:val="en-US"/>
        </w:rPr>
        <w:t xml:space="preserve"> the results for the total polyphenol content of the extracts, expressed in milligrams of gallic acid equivalents per gram of dry extract (µg GAE/g). The levels ranged from 2,578.62 ± 11.27 to 26,724.11 ± 67.54 µg GAE/g of extract.</w:t>
      </w:r>
    </w:p>
    <w:p w14:paraId="605C9D9B"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highest total polyphenol levels were obtained from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Bobo-Dioulasso (26,724.11 ± 67.54 µg EAG/g of extract), followed by the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(15,974.454 ± 11.27 µg EAG/g of extract).</w:t>
      </w:r>
    </w:p>
    <w:p w14:paraId="5C17228B" w14:textId="06BD2B1C"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 xml:space="preserve">The lowest levels were found in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extracts from Bobo-Dioulasso (4,053.18 ± 33.77 µg EAG/g of extract) and from </w:t>
      </w:r>
      <w:proofErr w:type="spellStart"/>
      <w:r w:rsidRPr="00C26807">
        <w:rPr>
          <w:rFonts w:ascii="Times New Roman" w:hAnsi="Times New Roman" w:cs="Times New Roman"/>
          <w:i/>
          <w:iCs/>
          <w:lang w:val="en-US"/>
        </w:rPr>
        <w:t>Boromo</w:t>
      </w:r>
      <w:proofErr w:type="spellEnd"/>
      <w:r w:rsidRPr="00883413">
        <w:rPr>
          <w:rFonts w:ascii="Times New Roman" w:hAnsi="Times New Roman" w:cs="Times New Roman"/>
          <w:lang w:val="en-US"/>
        </w:rPr>
        <w:t xml:space="preserve"> (2,578.62 ± 11.27 µg EAG/g of extract). Regarding the total flavonoid content of the extracts, the results show that it ranged from 3.37 ± 0.044 to 3.93 ± 0.038 µg EQ/100 mg of extract. The highest levels were obtained with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Bobo-Dioulasso (3.93 ± 0.038 µg EQ/100 mg) and that from </w:t>
      </w:r>
      <w:proofErr w:type="spellStart"/>
      <w:r w:rsidRPr="00C26807">
        <w:rPr>
          <w:rFonts w:ascii="Times New Roman" w:hAnsi="Times New Roman" w:cs="Times New Roman"/>
          <w:i/>
          <w:iCs/>
          <w:lang w:val="en-US"/>
        </w:rPr>
        <w:t>Boromo</w:t>
      </w:r>
      <w:proofErr w:type="spellEnd"/>
      <w:r w:rsidRPr="00883413">
        <w:rPr>
          <w:rFonts w:ascii="Times New Roman" w:hAnsi="Times New Roman" w:cs="Times New Roman"/>
          <w:lang w:val="en-US"/>
        </w:rPr>
        <w:t xml:space="preserve"> (3.37 ± 0.044 µg EQ/100 mg). The results are presented in Table </w:t>
      </w:r>
      <w:r w:rsidR="00B02DD1">
        <w:rPr>
          <w:rFonts w:ascii="Times New Roman" w:hAnsi="Times New Roman" w:cs="Times New Roman"/>
          <w:lang w:val="en-US"/>
        </w:rPr>
        <w:t>3</w:t>
      </w:r>
      <w:r w:rsidRPr="00883413">
        <w:rPr>
          <w:rFonts w:ascii="Times New Roman" w:hAnsi="Times New Roman" w:cs="Times New Roman"/>
          <w:lang w:val="en-US"/>
        </w:rPr>
        <w:t>.</w:t>
      </w:r>
    </w:p>
    <w:p w14:paraId="7E950329" w14:textId="77777777" w:rsidR="002A25E2" w:rsidRPr="00883413" w:rsidRDefault="002A25E2" w:rsidP="00B80458">
      <w:pPr>
        <w:spacing w:before="240" w:line="360" w:lineRule="auto"/>
        <w:jc w:val="both"/>
        <w:rPr>
          <w:rFonts w:ascii="Times New Roman" w:hAnsi="Times New Roman" w:cs="Times New Roman"/>
          <w:lang w:val="en-US"/>
        </w:rPr>
      </w:pPr>
    </w:p>
    <w:p w14:paraId="35A745D7" w14:textId="6087FE6E"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w:t>
      </w:r>
      <w:r w:rsidR="00B02DD1">
        <w:rPr>
          <w:rFonts w:ascii="Times New Roman" w:hAnsi="Times New Roman" w:cs="Times New Roman"/>
          <w:lang w:val="en-US"/>
        </w:rPr>
        <w:t>3</w:t>
      </w:r>
      <w:r w:rsidRPr="00883413">
        <w:rPr>
          <w:rFonts w:ascii="Times New Roman" w:hAnsi="Times New Roman" w:cs="Times New Roman"/>
          <w:lang w:val="en-US"/>
        </w:rPr>
        <w:t>: Results of phenolic compound assays</w:t>
      </w:r>
    </w:p>
    <w:p w14:paraId="6D2F0C04" w14:textId="77777777" w:rsidR="002A25E2" w:rsidRPr="00883413" w:rsidRDefault="002A25E2" w:rsidP="00B80458">
      <w:pPr>
        <w:spacing w:line="360" w:lineRule="auto"/>
        <w:jc w:val="both"/>
        <w:rPr>
          <w:rFonts w:ascii="Times New Roman" w:hAnsi="Times New Roman" w:cs="Times New Roman"/>
          <w:b/>
          <w:bCs/>
          <w:lang w:val="en-US"/>
        </w:rPr>
      </w:pPr>
    </w:p>
    <w:tbl>
      <w:tblPr>
        <w:tblStyle w:val="PlainTable2"/>
        <w:tblW w:w="8931" w:type="dxa"/>
        <w:tblLook w:val="04A0" w:firstRow="1" w:lastRow="0" w:firstColumn="1" w:lastColumn="0" w:noHBand="0" w:noVBand="1"/>
      </w:tblPr>
      <w:tblGrid>
        <w:gridCol w:w="2127"/>
        <w:gridCol w:w="2409"/>
        <w:gridCol w:w="2552"/>
        <w:gridCol w:w="1843"/>
      </w:tblGrid>
      <w:tr w:rsidR="002A25E2" w:rsidRPr="00883413" w14:paraId="4B2070AE" w14:textId="77777777" w:rsidTr="00ED2118">
        <w:trPr>
          <w:cnfStyle w:val="100000000000" w:firstRow="1" w:lastRow="0" w:firstColumn="0" w:lastColumn="0" w:oddVBand="0" w:evenVBand="0" w:oddHBand="0"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2127" w:type="dxa"/>
            <w:tcBorders>
              <w:top w:val="single" w:sz="18" w:space="0" w:color="4472C4" w:themeColor="accent1"/>
              <w:bottom w:val="single" w:sz="18" w:space="0" w:color="4472C4" w:themeColor="accent1"/>
            </w:tcBorders>
          </w:tcPr>
          <w:p w14:paraId="40ECD729" w14:textId="77777777" w:rsidR="00FD5D50" w:rsidRPr="00883413" w:rsidRDefault="00FD5D50"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p w14:paraId="59071456"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top w:val="single" w:sz="18" w:space="0" w:color="4472C4" w:themeColor="accent1"/>
              <w:bottom w:val="single" w:sz="18" w:space="0" w:color="4472C4" w:themeColor="accent1"/>
            </w:tcBorders>
          </w:tcPr>
          <w:p w14:paraId="7FA41C47" w14:textId="77777777" w:rsidR="00FD5D50"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 xml:space="preserve"> </w:t>
            </w:r>
            <w:proofErr w:type="spellStart"/>
            <w:r w:rsidR="0089358D" w:rsidRPr="00883413">
              <w:rPr>
                <w:rFonts w:ascii="Times New Roman" w:hAnsi="Times New Roman" w:cs="Times New Roman"/>
                <w:sz w:val="24"/>
                <w:szCs w:val="24"/>
              </w:rPr>
              <w:t>S</w:t>
            </w:r>
            <w:r w:rsidR="00FD5D50" w:rsidRPr="00883413">
              <w:rPr>
                <w:rFonts w:ascii="Times New Roman" w:hAnsi="Times New Roman" w:cs="Times New Roman"/>
                <w:sz w:val="24"/>
                <w:szCs w:val="24"/>
              </w:rPr>
              <w:t>pecies</w:t>
            </w:r>
            <w:proofErr w:type="spellEnd"/>
          </w:p>
          <w:p w14:paraId="55DDC55B"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c>
          <w:tcPr>
            <w:tcW w:w="2552" w:type="dxa"/>
            <w:tcBorders>
              <w:top w:val="single" w:sz="18" w:space="0" w:color="4472C4" w:themeColor="accent1"/>
              <w:bottom w:val="single" w:sz="18" w:space="0" w:color="4472C4" w:themeColor="accent1"/>
            </w:tcBorders>
          </w:tcPr>
          <w:p w14:paraId="37E90DC0"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83413">
              <w:rPr>
                <w:rFonts w:ascii="Times New Roman" w:hAnsi="Times New Roman" w:cs="Times New Roman"/>
                <w:sz w:val="24"/>
                <w:szCs w:val="24"/>
                <w:lang w:val="en-US"/>
              </w:rPr>
              <w:t>PT (µ</w:t>
            </w:r>
            <w:r w:rsidRPr="00883413">
              <w:rPr>
                <w:rFonts w:ascii="Times New Roman" w:eastAsia="Times New Roman" w:hAnsi="Times New Roman" w:cs="Times New Roman"/>
                <w:color w:val="000000"/>
                <w:sz w:val="24"/>
                <w:szCs w:val="24"/>
                <w:lang w:val="en-US"/>
              </w:rPr>
              <w:t xml:space="preserve">g </w:t>
            </w:r>
            <w:r w:rsidRPr="00883413">
              <w:rPr>
                <w:rFonts w:ascii="Times New Roman" w:hAnsi="Times New Roman" w:cs="Times New Roman"/>
                <w:sz w:val="24"/>
                <w:szCs w:val="24"/>
                <w:lang w:val="en-US"/>
              </w:rPr>
              <w:t xml:space="preserve">EAG/g </w:t>
            </w:r>
            <w:r w:rsidR="00FD5D50" w:rsidRPr="00883413">
              <w:rPr>
                <w:rFonts w:ascii="Times New Roman" w:hAnsi="Times New Roman" w:cs="Times New Roman"/>
                <w:sz w:val="24"/>
                <w:szCs w:val="24"/>
                <w:lang w:val="en-US"/>
              </w:rPr>
              <w:t>extract</w:t>
            </w:r>
            <w:r w:rsidRPr="00883413">
              <w:rPr>
                <w:rFonts w:ascii="Times New Roman" w:hAnsi="Times New Roman" w:cs="Times New Roman"/>
                <w:sz w:val="24"/>
                <w:szCs w:val="24"/>
                <w:lang w:val="en-US"/>
              </w:rPr>
              <w:t>)</w:t>
            </w:r>
          </w:p>
        </w:tc>
        <w:tc>
          <w:tcPr>
            <w:tcW w:w="1843" w:type="dxa"/>
            <w:tcBorders>
              <w:top w:val="single" w:sz="18" w:space="0" w:color="4472C4" w:themeColor="accent1"/>
              <w:bottom w:val="single" w:sz="18" w:space="0" w:color="4472C4" w:themeColor="accent1"/>
            </w:tcBorders>
          </w:tcPr>
          <w:p w14:paraId="02C1427D"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lang w:val="en-US"/>
              </w:rPr>
              <w:t xml:space="preserve"> </w:t>
            </w:r>
            <w:r w:rsidRPr="00883413">
              <w:rPr>
                <w:rFonts w:ascii="Times New Roman" w:hAnsi="Times New Roman" w:cs="Times New Roman"/>
                <w:sz w:val="24"/>
                <w:szCs w:val="24"/>
              </w:rPr>
              <w:t>FT</w:t>
            </w:r>
            <w:r w:rsidRPr="00883413">
              <w:rPr>
                <w:rFonts w:ascii="Times New Roman" w:eastAsia="Times New Roman" w:hAnsi="Times New Roman" w:cs="Times New Roman"/>
                <w:color w:val="000000"/>
                <w:sz w:val="24"/>
                <w:szCs w:val="24"/>
              </w:rPr>
              <w:t xml:space="preserve"> (µg EQ/100 mg </w:t>
            </w:r>
            <w:proofErr w:type="spellStart"/>
            <w:r w:rsidR="00FD5D50" w:rsidRPr="00883413">
              <w:rPr>
                <w:rFonts w:ascii="Times New Roman" w:eastAsia="Times New Roman" w:hAnsi="Times New Roman" w:cs="Times New Roman"/>
                <w:color w:val="000000"/>
                <w:sz w:val="24"/>
                <w:szCs w:val="24"/>
              </w:rPr>
              <w:t>extract</w:t>
            </w:r>
            <w:proofErr w:type="spellEnd"/>
            <w:r w:rsidRPr="00883413">
              <w:rPr>
                <w:rFonts w:ascii="Times New Roman" w:hAnsi="Times New Roman" w:cs="Times New Roman"/>
                <w:sz w:val="24"/>
                <w:szCs w:val="24"/>
              </w:rPr>
              <w:t>)</w:t>
            </w:r>
          </w:p>
        </w:tc>
      </w:tr>
      <w:tr w:rsidR="002A25E2" w:rsidRPr="00883413" w14:paraId="02BD1FAE"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18" w:space="0" w:color="4472C4" w:themeColor="accent1"/>
            </w:tcBorders>
          </w:tcPr>
          <w:p w14:paraId="368F90B1"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409" w:type="dxa"/>
            <w:tcBorders>
              <w:top w:val="single" w:sz="18" w:space="0" w:color="4472C4" w:themeColor="accent1"/>
            </w:tcBorders>
          </w:tcPr>
          <w:p w14:paraId="3CAE99BD"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Sclerocarya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birrea</w:t>
            </w:r>
            <w:proofErr w:type="spellEnd"/>
          </w:p>
        </w:tc>
        <w:tc>
          <w:tcPr>
            <w:tcW w:w="2552" w:type="dxa"/>
            <w:tcBorders>
              <w:top w:val="single" w:sz="18" w:space="0" w:color="4472C4" w:themeColor="accent1"/>
            </w:tcBorders>
          </w:tcPr>
          <w:p w14:paraId="114CAD6C"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26724</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11</w:t>
            </w:r>
            <w:r w:rsidRPr="00883413">
              <w:rPr>
                <w:rFonts w:ascii="Times New Roman" w:hAnsi="Times New Roman" w:cs="Times New Roman"/>
                <w:sz w:val="24"/>
                <w:szCs w:val="24"/>
              </w:rPr>
              <w:t>± </w:t>
            </w:r>
            <w:r w:rsidRPr="00883413">
              <w:rPr>
                <w:rFonts w:ascii="Times New Roman" w:eastAsia="Times New Roman" w:hAnsi="Times New Roman" w:cs="Times New Roman"/>
                <w:color w:val="000000"/>
                <w:sz w:val="24"/>
                <w:szCs w:val="24"/>
              </w:rPr>
              <w:t>67</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54</w:t>
            </w:r>
          </w:p>
        </w:tc>
        <w:tc>
          <w:tcPr>
            <w:tcW w:w="1843" w:type="dxa"/>
            <w:tcBorders>
              <w:top w:val="single" w:sz="18" w:space="0" w:color="4472C4" w:themeColor="accent1"/>
            </w:tcBorders>
          </w:tcPr>
          <w:p w14:paraId="45A5BFD5"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2</w:t>
            </w:r>
            <w:r w:rsidR="00C26807">
              <w:rPr>
                <w:rFonts w:ascii="Times New Roman" w:hAnsi="Times New Roman" w:cs="Times New Roman"/>
                <w:sz w:val="24"/>
                <w:szCs w:val="24"/>
              </w:rPr>
              <w:t>.</w:t>
            </w:r>
            <w:r w:rsidRPr="00883413">
              <w:rPr>
                <w:rFonts w:ascii="Times New Roman" w:hAnsi="Times New Roman" w:cs="Times New Roman"/>
                <w:sz w:val="24"/>
                <w:szCs w:val="24"/>
              </w:rPr>
              <w:t>15±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038</w:t>
            </w:r>
          </w:p>
        </w:tc>
      </w:tr>
      <w:tr w:rsidR="002A25E2" w:rsidRPr="00883413" w14:paraId="5EFA81F2" w14:textId="77777777" w:rsidTr="00ED2118">
        <w:tc>
          <w:tcPr>
            <w:cnfStyle w:val="001000000000" w:firstRow="0" w:lastRow="0" w:firstColumn="1" w:lastColumn="0" w:oddVBand="0" w:evenVBand="0" w:oddHBand="0" w:evenHBand="0" w:firstRowFirstColumn="0" w:firstRowLastColumn="0" w:lastRowFirstColumn="0" w:lastRowLastColumn="0"/>
            <w:tcW w:w="2127" w:type="dxa"/>
            <w:vMerge/>
            <w:tcBorders>
              <w:bottom w:val="single" w:sz="4" w:space="0" w:color="7F7F7F" w:themeColor="text1" w:themeTint="80"/>
            </w:tcBorders>
          </w:tcPr>
          <w:p w14:paraId="2C750CC3"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bottom w:val="single" w:sz="4" w:space="0" w:color="7F7F7F" w:themeColor="text1" w:themeTint="80"/>
            </w:tcBorders>
          </w:tcPr>
          <w:p w14:paraId="21775150"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Leptadenia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hastata</w:t>
            </w:r>
            <w:proofErr w:type="spellEnd"/>
          </w:p>
        </w:tc>
        <w:tc>
          <w:tcPr>
            <w:tcW w:w="2552" w:type="dxa"/>
            <w:tcBorders>
              <w:bottom w:val="single" w:sz="4" w:space="0" w:color="7F7F7F" w:themeColor="text1" w:themeTint="80"/>
            </w:tcBorders>
          </w:tcPr>
          <w:p w14:paraId="79772494"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4053</w:t>
            </w:r>
            <w:r w:rsidR="00C26807">
              <w:rPr>
                <w:rFonts w:ascii="Times New Roman" w:hAnsi="Times New Roman" w:cs="Times New Roman"/>
                <w:sz w:val="24"/>
                <w:szCs w:val="24"/>
              </w:rPr>
              <w:t>.</w:t>
            </w:r>
            <w:r w:rsidRPr="00883413">
              <w:rPr>
                <w:rFonts w:ascii="Times New Roman" w:hAnsi="Times New Roman" w:cs="Times New Roman"/>
                <w:sz w:val="24"/>
                <w:szCs w:val="24"/>
              </w:rPr>
              <w:t>18±3</w:t>
            </w:r>
            <w:r w:rsidR="00C26807">
              <w:rPr>
                <w:rFonts w:ascii="Times New Roman" w:hAnsi="Times New Roman" w:cs="Times New Roman"/>
                <w:sz w:val="24"/>
                <w:szCs w:val="24"/>
              </w:rPr>
              <w:t>.</w:t>
            </w:r>
            <w:r w:rsidRPr="00883413">
              <w:rPr>
                <w:rFonts w:ascii="Times New Roman" w:hAnsi="Times New Roman" w:cs="Times New Roman"/>
                <w:sz w:val="24"/>
                <w:szCs w:val="24"/>
              </w:rPr>
              <w:t>77</w:t>
            </w:r>
          </w:p>
        </w:tc>
        <w:tc>
          <w:tcPr>
            <w:tcW w:w="1843" w:type="dxa"/>
            <w:tcBorders>
              <w:bottom w:val="single" w:sz="4" w:space="0" w:color="7F7F7F" w:themeColor="text1" w:themeTint="80"/>
            </w:tcBorders>
          </w:tcPr>
          <w:p w14:paraId="6AC33CA5"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3</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93</w:t>
            </w:r>
            <w:r w:rsidRPr="00883413">
              <w:rPr>
                <w:rFonts w:ascii="Times New Roman" w:hAnsi="Times New Roman" w:cs="Times New Roman"/>
                <w:sz w:val="24"/>
                <w:szCs w:val="24"/>
              </w:rPr>
              <w:t>±</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038</w:t>
            </w:r>
          </w:p>
        </w:tc>
      </w:tr>
      <w:tr w:rsidR="002A25E2" w:rsidRPr="00883413" w14:paraId="0194AE94"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4B58125B"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409" w:type="dxa"/>
          </w:tcPr>
          <w:p w14:paraId="0CC5070D"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Sclerocarya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birrea</w:t>
            </w:r>
            <w:proofErr w:type="spellEnd"/>
          </w:p>
        </w:tc>
        <w:tc>
          <w:tcPr>
            <w:tcW w:w="2552" w:type="dxa"/>
          </w:tcPr>
          <w:p w14:paraId="7DAC36F7"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15974</w:t>
            </w:r>
            <w:r w:rsidR="00C26807">
              <w:rPr>
                <w:rFonts w:ascii="Times New Roman" w:hAnsi="Times New Roman" w:cs="Times New Roman"/>
                <w:sz w:val="24"/>
                <w:szCs w:val="24"/>
              </w:rPr>
              <w:t>.</w:t>
            </w:r>
            <w:r w:rsidRPr="00883413">
              <w:rPr>
                <w:rFonts w:ascii="Times New Roman" w:hAnsi="Times New Roman" w:cs="Times New Roman"/>
                <w:sz w:val="24"/>
                <w:szCs w:val="24"/>
              </w:rPr>
              <w:t>454±11</w:t>
            </w:r>
            <w:r w:rsidR="00C26807">
              <w:rPr>
                <w:rFonts w:ascii="Times New Roman" w:hAnsi="Times New Roman" w:cs="Times New Roman"/>
                <w:sz w:val="24"/>
                <w:szCs w:val="24"/>
              </w:rPr>
              <w:t>.</w:t>
            </w:r>
            <w:r w:rsidRPr="00883413">
              <w:rPr>
                <w:rFonts w:ascii="Times New Roman" w:hAnsi="Times New Roman" w:cs="Times New Roman"/>
                <w:sz w:val="24"/>
                <w:szCs w:val="24"/>
              </w:rPr>
              <w:t>27</w:t>
            </w:r>
          </w:p>
        </w:tc>
        <w:tc>
          <w:tcPr>
            <w:tcW w:w="1843" w:type="dxa"/>
          </w:tcPr>
          <w:p w14:paraId="52C5993E"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45±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023</w:t>
            </w:r>
          </w:p>
        </w:tc>
      </w:tr>
      <w:tr w:rsidR="002A25E2" w:rsidRPr="00883413" w14:paraId="54F462B7" w14:textId="77777777" w:rsidTr="00ED2118">
        <w:tc>
          <w:tcPr>
            <w:cnfStyle w:val="001000000000" w:firstRow="0" w:lastRow="0" w:firstColumn="1" w:lastColumn="0" w:oddVBand="0" w:evenVBand="0" w:oddHBand="0" w:evenHBand="0" w:firstRowFirstColumn="0" w:firstRowLastColumn="0" w:lastRowFirstColumn="0" w:lastRowLastColumn="0"/>
            <w:tcW w:w="2127" w:type="dxa"/>
            <w:vMerge/>
            <w:tcBorders>
              <w:top w:val="single" w:sz="4" w:space="0" w:color="7F7F7F" w:themeColor="text1" w:themeTint="80"/>
              <w:bottom w:val="single" w:sz="18" w:space="0" w:color="4472C4" w:themeColor="accent1"/>
            </w:tcBorders>
          </w:tcPr>
          <w:p w14:paraId="3FFA0915"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top w:val="single" w:sz="4" w:space="0" w:color="7F7F7F" w:themeColor="text1" w:themeTint="80"/>
              <w:bottom w:val="single" w:sz="18" w:space="0" w:color="4472C4" w:themeColor="accent1"/>
            </w:tcBorders>
          </w:tcPr>
          <w:p w14:paraId="763B2FA3"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Leptadenia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hastata</w:t>
            </w:r>
            <w:proofErr w:type="spellEnd"/>
          </w:p>
        </w:tc>
        <w:tc>
          <w:tcPr>
            <w:tcW w:w="2552" w:type="dxa"/>
            <w:tcBorders>
              <w:top w:val="single" w:sz="4" w:space="0" w:color="7F7F7F" w:themeColor="text1" w:themeTint="80"/>
              <w:bottom w:val="single" w:sz="18" w:space="0" w:color="4472C4" w:themeColor="accent1"/>
            </w:tcBorders>
          </w:tcPr>
          <w:p w14:paraId="579F70AE"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2578</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62</w:t>
            </w:r>
            <w:r w:rsidRPr="00883413">
              <w:rPr>
                <w:rFonts w:ascii="Times New Roman" w:hAnsi="Times New Roman" w:cs="Times New Roman"/>
                <w:sz w:val="24"/>
                <w:szCs w:val="24"/>
              </w:rPr>
              <w:t>±</w:t>
            </w:r>
            <w:r w:rsidRPr="00883413">
              <w:rPr>
                <w:rFonts w:ascii="Times New Roman" w:eastAsia="Times New Roman" w:hAnsi="Times New Roman" w:cs="Times New Roman"/>
                <w:color w:val="000000"/>
                <w:sz w:val="24"/>
                <w:szCs w:val="24"/>
              </w:rPr>
              <w:t>11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27</w:t>
            </w:r>
          </w:p>
        </w:tc>
        <w:tc>
          <w:tcPr>
            <w:tcW w:w="1843" w:type="dxa"/>
            <w:tcBorders>
              <w:top w:val="single" w:sz="4" w:space="0" w:color="7F7F7F" w:themeColor="text1" w:themeTint="80"/>
              <w:bottom w:val="single" w:sz="18" w:space="0" w:color="4472C4" w:themeColor="accent1"/>
            </w:tcBorders>
          </w:tcPr>
          <w:p w14:paraId="1AB2B5C7"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3</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37±0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044</w:t>
            </w:r>
          </w:p>
        </w:tc>
      </w:tr>
    </w:tbl>
    <w:p w14:paraId="3E7BF500"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PT: Total polyphenols; FT: Total flavonoids</w:t>
      </w:r>
    </w:p>
    <w:p w14:paraId="3472D7C5" w14:textId="77777777" w:rsidR="002A25E2" w:rsidRPr="00883413" w:rsidRDefault="002A25E2"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These results indicate that the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extract from Bobo-Dioulasso </w:t>
      </w:r>
      <w:r>
        <w:rPr>
          <w:rFonts w:ascii="Times New Roman" w:hAnsi="Times New Roman" w:cs="Times New Roman"/>
          <w:highlight w:val="yellow"/>
          <w:lang w:val="en-US"/>
        </w:rPr>
        <w:t xml:space="preserve">had a higher total phenolic content than the extract from </w:t>
      </w:r>
      <w:proofErr w:type="spellStart"/>
      <w:r>
        <w:rPr>
          <w:rFonts w:ascii="Times New Roman" w:hAnsi="Times New Roman" w:cs="Times New Roman"/>
          <w:highlight w:val="yellow"/>
          <w:lang w:val="en-US"/>
        </w:rPr>
        <w:t>Boromo</w:t>
      </w:r>
      <w:proofErr w:type="spellEnd"/>
      <w:r>
        <w:rPr>
          <w:rFonts w:ascii="Times New Roman" w:hAnsi="Times New Roman" w:cs="Times New Roman"/>
          <w:lang w:val="en-US"/>
        </w:rPr>
        <w:t xml:space="preserve">. Aqueous extracts of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trunk bark showed total flavonoid contents (0.37 EQ) in the study conducted by </w:t>
      </w:r>
      <w:r>
        <w:rPr>
          <w:rFonts w:ascii="Times New Roman" w:hAnsi="Times New Roman" w:cs="Times New Roman"/>
          <w:highlight w:val="yellow"/>
          <w:lang w:val="en-US"/>
        </w:rPr>
        <w:t>Konaré et al. (2024)</w:t>
      </w:r>
      <w:r>
        <w:rPr>
          <w:rFonts w:ascii="Times New Roman" w:hAnsi="Times New Roman" w:cs="Times New Roman"/>
          <w:lang w:val="en-US"/>
        </w:rPr>
        <w:t>.</w:t>
      </w:r>
    </w:p>
    <w:p w14:paraId="34CC6115" w14:textId="77777777" w:rsidR="002A25E2" w:rsidRPr="00883413" w:rsidRDefault="002A25E2" w:rsidP="00B80458">
      <w:pPr>
        <w:spacing w:before="240" w:line="360" w:lineRule="auto"/>
        <w:jc w:val="both"/>
        <w:rPr>
          <w:rFonts w:ascii="Times New Roman" w:hAnsi="Times New Roman" w:cs="Times New Roman"/>
          <w:lang w:val="en-US"/>
        </w:rPr>
      </w:pPr>
    </w:p>
    <w:p w14:paraId="1FB5252B"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3.2.3. Antioxidant Activities</w:t>
      </w:r>
    </w:p>
    <w:p w14:paraId="035FA17D"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results are presented in Table IV. The values obtained using the DPPH• method ranged from 1.52±2.78 to 2.13±0.034 µg EAA/100 mg of extract. The highest activity was observed in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Bobo-Dioulasso (2.13 ± 0.034 µg EAA/100 mg of extract), followed by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w:t>
      </w:r>
      <w:r w:rsidRPr="00883413">
        <w:rPr>
          <w:rFonts w:ascii="Times New Roman" w:hAnsi="Times New Roman" w:cs="Times New Roman"/>
          <w:lang w:val="en-US"/>
        </w:rPr>
        <w:t>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(1.82 ± 0.036 µg EAA/100 mg). The lowest activities were observed in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w:t>
      </w:r>
      <w:r w:rsidRPr="00883413">
        <w:rPr>
          <w:rFonts w:ascii="Times New Roman" w:hAnsi="Times New Roman" w:cs="Times New Roman"/>
          <w:lang w:val="en-US"/>
        </w:rPr>
        <w:lastRenderedPageBreak/>
        <w:t xml:space="preserve">Dioulasso (1.63 ± 1.64 µg EAA/100 mg) and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(1.52 ± 2.78 µg EAA/100 mg).</w:t>
      </w:r>
    </w:p>
    <w:p w14:paraId="06C2FB1A"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As for the FRAP method, the levels of iron-reducing compounds, expressed in µmol EAA/100 mg of dry extract, ranged from 0.38 ± 0.001 to 0.98 ± 0.007 (µmol EAA/100 mg of dry extract). The highest levels were obtained with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(0.98 ± 0.007 µmol EAA/100 mg), followed by that from Bobo-Dioulasso (0.95 ± 0.01 µmol EAA/100 mg). The lowest amounts were obtained from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extracts from Bobo-Dioulasso (0.42 ± 0.06 µmol EAA/100 mg) and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(0.38 ± 0.001 µmol EAA/100 mg). Research by Mashaba et al. (2025) on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stem bark extracts for the treatment of cardiovascular diseases demonstrated iron-reducing capacity (0.22 ± 7 µmol EAA/100 mg), which was lower than the results of this study.</w:t>
      </w:r>
    </w:p>
    <w:p w14:paraId="0127BAE3"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Regarding the ABTS</w:t>
      </w:r>
      <w:r w:rsidRPr="00C26807">
        <w:rPr>
          <w:rFonts w:ascii="Times New Roman" w:hAnsi="Times New Roman" w:cs="Times New Roman"/>
          <w:vertAlign w:val="superscript"/>
          <w:lang w:val="en-US"/>
        </w:rPr>
        <w:t>•+</w:t>
      </w:r>
      <w:r w:rsidRPr="00883413">
        <w:rPr>
          <w:rFonts w:ascii="Times New Roman" w:hAnsi="Times New Roman" w:cs="Times New Roman"/>
          <w:lang w:val="en-US"/>
        </w:rPr>
        <w:t xml:space="preserve"> method, the levels ranged from 0.5 to 17 mg ET/100 mg. The highest activities were observed with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Bobo-Dioulasso (17 mg ET/100 mg) and that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(16 µg ET/100 mg). The lowest activity was obtained with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collected in Bobo-Dioulasso (0.5 mg ET/100 mg).</w:t>
      </w:r>
    </w:p>
    <w:p w14:paraId="6C3950E8" w14:textId="7916F6C9"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w:t>
      </w:r>
      <w:r w:rsidR="00B02DD1">
        <w:rPr>
          <w:rFonts w:ascii="Times New Roman" w:hAnsi="Times New Roman" w:cs="Times New Roman"/>
          <w:lang w:val="en-US"/>
        </w:rPr>
        <w:t>4</w:t>
      </w:r>
      <w:r w:rsidRPr="00883413">
        <w:rPr>
          <w:rFonts w:ascii="Times New Roman" w:hAnsi="Times New Roman" w:cs="Times New Roman"/>
          <w:lang w:val="en-US"/>
        </w:rPr>
        <w:t>: Results of antioxidant activities</w:t>
      </w:r>
    </w:p>
    <w:p w14:paraId="6DE1C832" w14:textId="77777777" w:rsidR="002A25E2" w:rsidRPr="00883413" w:rsidRDefault="002A25E2" w:rsidP="00B80458">
      <w:pPr>
        <w:spacing w:before="240" w:line="360" w:lineRule="auto"/>
        <w:jc w:val="both"/>
        <w:rPr>
          <w:rFonts w:ascii="Times New Roman" w:hAnsi="Times New Roman" w:cs="Times New Roman"/>
          <w:lang w:val="en-US"/>
        </w:rPr>
      </w:pPr>
    </w:p>
    <w:tbl>
      <w:tblPr>
        <w:tblStyle w:val="PlainTable2"/>
        <w:tblW w:w="9025" w:type="dxa"/>
        <w:tblBorders>
          <w:bottom w:val="single" w:sz="18" w:space="0" w:color="0070C0"/>
          <w:insideH w:val="single" w:sz="4" w:space="0" w:color="7F7F7F" w:themeColor="text1" w:themeTint="80"/>
        </w:tblBorders>
        <w:tblLayout w:type="fixed"/>
        <w:tblLook w:val="04A0" w:firstRow="1" w:lastRow="0" w:firstColumn="1" w:lastColumn="0" w:noHBand="0" w:noVBand="1"/>
      </w:tblPr>
      <w:tblGrid>
        <w:gridCol w:w="1702"/>
        <w:gridCol w:w="1559"/>
        <w:gridCol w:w="1559"/>
        <w:gridCol w:w="2362"/>
        <w:gridCol w:w="1843"/>
      </w:tblGrid>
      <w:tr w:rsidR="002A25E2" w:rsidRPr="00883413" w14:paraId="5FF4B31C" w14:textId="77777777" w:rsidTr="00ED2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Borders>
              <w:top w:val="single" w:sz="18" w:space="0" w:color="0070C0"/>
              <w:bottom w:val="single" w:sz="18" w:space="0" w:color="0070C0"/>
            </w:tcBorders>
          </w:tcPr>
          <w:p w14:paraId="09CA0B8C" w14:textId="77777777" w:rsidR="00FD5D50" w:rsidRPr="00883413" w:rsidRDefault="00FD5D50" w:rsidP="00B80458">
            <w:pPr>
              <w:pStyle w:val="ListParagraph"/>
              <w:spacing w:line="360" w:lineRule="auto"/>
              <w:jc w:val="both"/>
              <w:rPr>
                <w:rFonts w:ascii="Times New Roman" w:hAnsi="Times New Roman" w:cs="Times New Roman"/>
                <w:sz w:val="24"/>
                <w:szCs w:val="24"/>
              </w:rPr>
            </w:pPr>
            <w:proofErr w:type="spellStart"/>
            <w:r w:rsidRPr="00883413">
              <w:rPr>
                <w:rFonts w:ascii="Times New Roman" w:hAnsi="Times New Roman" w:cs="Times New Roman"/>
                <w:sz w:val="24"/>
                <w:szCs w:val="24"/>
              </w:rPr>
              <w:t>CollectioLocation</w:t>
            </w:r>
            <w:proofErr w:type="spellEnd"/>
          </w:p>
          <w:p w14:paraId="2729A432"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Borders>
              <w:top w:val="single" w:sz="18" w:space="0" w:color="0070C0"/>
              <w:bottom w:val="single" w:sz="18" w:space="0" w:color="0070C0"/>
            </w:tcBorders>
          </w:tcPr>
          <w:p w14:paraId="038CDDB2" w14:textId="77777777" w:rsidR="002A25E2" w:rsidRPr="00883413" w:rsidRDefault="0089358D"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883413">
              <w:rPr>
                <w:rFonts w:ascii="Times New Roman" w:hAnsi="Times New Roman" w:cs="Times New Roman"/>
                <w:sz w:val="24"/>
                <w:szCs w:val="24"/>
              </w:rPr>
              <w:t>Species</w:t>
            </w:r>
            <w:proofErr w:type="spellEnd"/>
          </w:p>
        </w:tc>
        <w:tc>
          <w:tcPr>
            <w:tcW w:w="1559" w:type="dxa"/>
            <w:tcBorders>
              <w:top w:val="single" w:sz="18" w:space="0" w:color="0070C0"/>
              <w:bottom w:val="single" w:sz="18" w:space="0" w:color="0070C0"/>
            </w:tcBorders>
            <w:vAlign w:val="center"/>
          </w:tcPr>
          <w:p w14:paraId="4E21ACBC"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DPPH</w:t>
            </w:r>
            <w:r w:rsidRPr="00883413">
              <w:rPr>
                <w:rFonts w:ascii="Times New Roman" w:hAnsi="Times New Roman" w:cs="Times New Roman"/>
                <w:sz w:val="24"/>
                <w:szCs w:val="24"/>
                <w:vertAlign w:val="superscript"/>
              </w:rPr>
              <w:t>•</w:t>
            </w:r>
            <w:r w:rsidRPr="00883413">
              <w:rPr>
                <w:rFonts w:ascii="Times New Roman" w:hAnsi="Times New Roman" w:cs="Times New Roman"/>
                <w:sz w:val="24"/>
                <w:szCs w:val="24"/>
              </w:rPr>
              <w:t xml:space="preserve"> (µg EAA/100mg)</w:t>
            </w:r>
          </w:p>
        </w:tc>
        <w:tc>
          <w:tcPr>
            <w:tcW w:w="2362" w:type="dxa"/>
            <w:tcBorders>
              <w:top w:val="single" w:sz="18" w:space="0" w:color="0070C0"/>
              <w:bottom w:val="single" w:sz="18" w:space="0" w:color="0070C0"/>
            </w:tcBorders>
            <w:vAlign w:val="center"/>
          </w:tcPr>
          <w:p w14:paraId="7CEC958A"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FRAP (µmol EAA/100 mg)</w:t>
            </w:r>
          </w:p>
        </w:tc>
        <w:tc>
          <w:tcPr>
            <w:tcW w:w="1843" w:type="dxa"/>
            <w:tcBorders>
              <w:top w:val="single" w:sz="18" w:space="0" w:color="0070C0"/>
              <w:bottom w:val="single" w:sz="18" w:space="0" w:color="0070C0"/>
            </w:tcBorders>
            <w:vAlign w:val="center"/>
          </w:tcPr>
          <w:p w14:paraId="1B31C8E5"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bCs w:val="0"/>
                <w:sz w:val="24"/>
                <w:szCs w:val="24"/>
              </w:rPr>
              <w:t>ABTS</w:t>
            </w:r>
            <w:r w:rsidRPr="00883413">
              <w:rPr>
                <w:rFonts w:ascii="Times New Roman" w:hAnsi="Times New Roman" w:cs="Times New Roman"/>
                <w:bCs w:val="0"/>
                <w:sz w:val="24"/>
                <w:szCs w:val="24"/>
                <w:vertAlign w:val="superscript"/>
              </w:rPr>
              <w:t>•+</w:t>
            </w:r>
            <w:r w:rsidRPr="00883413">
              <w:rPr>
                <w:rFonts w:ascii="Times New Roman" w:hAnsi="Times New Roman" w:cs="Times New Roman"/>
                <w:sz w:val="24"/>
                <w:szCs w:val="24"/>
              </w:rPr>
              <w:t xml:space="preserve"> (mg ET/100 mg)</w:t>
            </w:r>
          </w:p>
        </w:tc>
      </w:tr>
      <w:tr w:rsidR="002A25E2" w:rsidRPr="00883413" w14:paraId="28D2623B"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vMerge w:val="restart"/>
            <w:tcBorders>
              <w:top w:val="single" w:sz="18" w:space="0" w:color="0070C0"/>
            </w:tcBorders>
          </w:tcPr>
          <w:p w14:paraId="498822AC"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1559" w:type="dxa"/>
            <w:tcBorders>
              <w:top w:val="single" w:sz="18" w:space="0" w:color="0070C0"/>
            </w:tcBorders>
          </w:tcPr>
          <w:p w14:paraId="06A6F0BD"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1559" w:type="dxa"/>
            <w:tcBorders>
              <w:top w:val="single" w:sz="18" w:space="0" w:color="0070C0"/>
            </w:tcBorders>
            <w:vAlign w:val="center"/>
          </w:tcPr>
          <w:p w14:paraId="4D6E2461"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63</w:t>
            </w:r>
            <w:r w:rsidRPr="00883413">
              <w:rPr>
                <w:rFonts w:ascii="Times New Roman" w:eastAsia="Times New Roman" w:hAnsi="Times New Roman" w:cs="Times New Roman"/>
                <w:color w:val="000000"/>
                <w:sz w:val="24"/>
                <w:szCs w:val="24"/>
              </w:rPr>
              <w:t>±1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64</w:t>
            </w:r>
          </w:p>
        </w:tc>
        <w:tc>
          <w:tcPr>
            <w:tcW w:w="2362" w:type="dxa"/>
            <w:tcBorders>
              <w:top w:val="single" w:sz="18" w:space="0" w:color="0070C0"/>
            </w:tcBorders>
            <w:vAlign w:val="center"/>
          </w:tcPr>
          <w:p w14:paraId="15766D0A"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95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01</w:t>
            </w:r>
          </w:p>
        </w:tc>
        <w:tc>
          <w:tcPr>
            <w:tcW w:w="1843" w:type="dxa"/>
            <w:tcBorders>
              <w:top w:val="single" w:sz="18" w:space="0" w:color="0070C0"/>
            </w:tcBorders>
            <w:vAlign w:val="center"/>
          </w:tcPr>
          <w:p w14:paraId="7B41DD44"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b/>
                <w:bCs/>
                <w:sz w:val="24"/>
                <w:szCs w:val="24"/>
              </w:rPr>
              <w:t>1</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7</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02</w:t>
            </w:r>
            <w:r w:rsidRPr="00883413">
              <w:rPr>
                <w:rFonts w:ascii="Times New Roman" w:hAnsi="Times New Roman" w:cs="Times New Roman"/>
                <w:b/>
                <w:bCs/>
                <w:sz w:val="24"/>
                <w:szCs w:val="24"/>
              </w:rPr>
              <w:t xml:space="preserve"> </w:t>
            </w:r>
          </w:p>
        </w:tc>
      </w:tr>
      <w:tr w:rsidR="002A25E2" w:rsidRPr="00883413" w14:paraId="3BBE8200" w14:textId="77777777" w:rsidTr="00ED2118">
        <w:tc>
          <w:tcPr>
            <w:cnfStyle w:val="001000000000" w:firstRow="0" w:lastRow="0" w:firstColumn="1" w:lastColumn="0" w:oddVBand="0" w:evenVBand="0" w:oddHBand="0" w:evenHBand="0" w:firstRowFirstColumn="0" w:firstRowLastColumn="0" w:lastRowFirstColumn="0" w:lastRowLastColumn="0"/>
            <w:tcW w:w="1702" w:type="dxa"/>
            <w:vMerge/>
          </w:tcPr>
          <w:p w14:paraId="2A0F33E6"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Pr>
          <w:p w14:paraId="2446B674"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1559" w:type="dxa"/>
            <w:vAlign w:val="center"/>
          </w:tcPr>
          <w:p w14:paraId="47D246F3"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2</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13</w:t>
            </w:r>
            <w:r w:rsidRPr="00883413">
              <w:rPr>
                <w:rFonts w:ascii="Times New Roman" w:eastAsia="Times New Roman" w:hAnsi="Times New Roman" w:cs="Times New Roman"/>
                <w:b/>
                <w:bCs/>
                <w:color w:val="000000"/>
                <w:sz w:val="24"/>
                <w:szCs w:val="24"/>
              </w:rPr>
              <w:t>±0</w:t>
            </w:r>
            <w:r w:rsidR="00C26807">
              <w:rPr>
                <w:rFonts w:ascii="Times New Roman" w:eastAsia="Times New Roman" w:hAnsi="Times New Roman" w:cs="Times New Roman"/>
                <w:b/>
                <w:bCs/>
                <w:color w:val="000000"/>
                <w:sz w:val="24"/>
                <w:szCs w:val="24"/>
              </w:rPr>
              <w:t>.</w:t>
            </w:r>
            <w:r w:rsidRPr="00883413">
              <w:rPr>
                <w:rFonts w:ascii="Times New Roman" w:eastAsia="Times New Roman" w:hAnsi="Times New Roman" w:cs="Times New Roman"/>
                <w:b/>
                <w:bCs/>
                <w:color w:val="000000"/>
                <w:sz w:val="24"/>
                <w:szCs w:val="24"/>
              </w:rPr>
              <w:t>03</w:t>
            </w:r>
          </w:p>
        </w:tc>
        <w:tc>
          <w:tcPr>
            <w:tcW w:w="2362" w:type="dxa"/>
            <w:vAlign w:val="center"/>
          </w:tcPr>
          <w:p w14:paraId="68F8A4B4"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42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005</w:t>
            </w:r>
          </w:p>
        </w:tc>
        <w:tc>
          <w:tcPr>
            <w:tcW w:w="1843" w:type="dxa"/>
            <w:vAlign w:val="center"/>
          </w:tcPr>
          <w:p w14:paraId="25D371B9"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003</w:t>
            </w:r>
          </w:p>
        </w:tc>
      </w:tr>
      <w:tr w:rsidR="002A25E2" w:rsidRPr="00883413" w14:paraId="4E356B7B"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vMerge w:val="restart"/>
          </w:tcPr>
          <w:p w14:paraId="168E11E5"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1559" w:type="dxa"/>
          </w:tcPr>
          <w:p w14:paraId="63513423"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1559" w:type="dxa"/>
            <w:vAlign w:val="center"/>
          </w:tcPr>
          <w:p w14:paraId="3D4A1A87"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82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4</w:t>
            </w:r>
          </w:p>
        </w:tc>
        <w:tc>
          <w:tcPr>
            <w:tcW w:w="2362" w:type="dxa"/>
            <w:vAlign w:val="center"/>
          </w:tcPr>
          <w:p w14:paraId="5EE87187"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98</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007</w:t>
            </w:r>
          </w:p>
        </w:tc>
        <w:tc>
          <w:tcPr>
            <w:tcW w:w="1843" w:type="dxa"/>
            <w:vAlign w:val="center"/>
          </w:tcPr>
          <w:p w14:paraId="165822A2"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16</w:t>
            </w:r>
            <w:r w:rsidR="00C26807">
              <w:rPr>
                <w:rFonts w:ascii="Times New Roman" w:hAnsi="Times New Roman" w:cs="Times New Roman"/>
                <w:sz w:val="24"/>
                <w:szCs w:val="24"/>
              </w:rPr>
              <w:t>.</w:t>
            </w:r>
            <w:r w:rsidRPr="00883413">
              <w:rPr>
                <w:rFonts w:ascii="Times New Roman" w:hAnsi="Times New Roman" w:cs="Times New Roman"/>
                <w:sz w:val="24"/>
                <w:szCs w:val="24"/>
              </w:rPr>
              <w:t>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005</w:t>
            </w:r>
          </w:p>
        </w:tc>
      </w:tr>
      <w:tr w:rsidR="002A25E2" w:rsidRPr="00883413" w14:paraId="79DAD452" w14:textId="77777777" w:rsidTr="00ED2118">
        <w:tc>
          <w:tcPr>
            <w:cnfStyle w:val="001000000000" w:firstRow="0" w:lastRow="0" w:firstColumn="1" w:lastColumn="0" w:oddVBand="0" w:evenVBand="0" w:oddHBand="0" w:evenHBand="0" w:firstRowFirstColumn="0" w:firstRowLastColumn="0" w:lastRowFirstColumn="0" w:lastRowLastColumn="0"/>
            <w:tcW w:w="1702" w:type="dxa"/>
            <w:vMerge/>
          </w:tcPr>
          <w:p w14:paraId="72692439"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Pr>
          <w:p w14:paraId="469F970B"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1559" w:type="dxa"/>
            <w:vAlign w:val="center"/>
          </w:tcPr>
          <w:p w14:paraId="7372500B"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52</w:t>
            </w:r>
            <w:r w:rsidRPr="00883413">
              <w:rPr>
                <w:rFonts w:ascii="Times New Roman" w:eastAsia="Times New Roman" w:hAnsi="Times New Roman" w:cs="Times New Roman"/>
                <w:color w:val="000000"/>
                <w:sz w:val="24"/>
                <w:szCs w:val="24"/>
              </w:rPr>
              <w:t>±2</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78</w:t>
            </w:r>
          </w:p>
        </w:tc>
        <w:tc>
          <w:tcPr>
            <w:tcW w:w="2362" w:type="dxa"/>
            <w:vAlign w:val="center"/>
          </w:tcPr>
          <w:p w14:paraId="0375A80A"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37</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001</w:t>
            </w:r>
          </w:p>
        </w:tc>
        <w:tc>
          <w:tcPr>
            <w:tcW w:w="1843" w:type="dxa"/>
            <w:vAlign w:val="center"/>
          </w:tcPr>
          <w:p w14:paraId="53BC4CCA"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125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001</w:t>
            </w:r>
          </w:p>
        </w:tc>
      </w:tr>
    </w:tbl>
    <w:p w14:paraId="5B10400E" w14:textId="77777777" w:rsidR="002A25E2" w:rsidRPr="00883413" w:rsidRDefault="002A25E2" w:rsidP="00B80458">
      <w:pPr>
        <w:spacing w:before="240"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These results show that all extracts exhibited antioxidant activity, with the exception of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from </w:t>
      </w:r>
      <w:proofErr w:type="spellStart"/>
      <w:r>
        <w:rPr>
          <w:rFonts w:ascii="Times New Roman" w:hAnsi="Times New Roman" w:cs="Times New Roman"/>
          <w:lang w:val="en-US"/>
        </w:rPr>
        <w:t>Boromo</w:t>
      </w:r>
      <w:proofErr w:type="spellEnd"/>
      <w:r>
        <w:rPr>
          <w:rFonts w:ascii="Times New Roman" w:hAnsi="Times New Roman" w:cs="Times New Roman"/>
          <w:lang w:val="en-US"/>
        </w:rPr>
        <w:t xml:space="preserve">. The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extract from Bobo-Dioulasso exhibited the highest antioxidant activity as measured by the ABTS•+ method.</w:t>
      </w:r>
    </w:p>
    <w:p w14:paraId="19763314" w14:textId="77777777" w:rsidR="002A25E2" w:rsidRPr="00883413" w:rsidRDefault="002A25E2" w:rsidP="00B80458">
      <w:pPr>
        <w:spacing w:before="240" w:line="360" w:lineRule="auto"/>
        <w:jc w:val="both"/>
        <w:rPr>
          <w:rFonts w:ascii="Times New Roman" w:hAnsi="Times New Roman" w:cs="Times New Roman"/>
          <w:lang w:val="en-US"/>
        </w:rPr>
      </w:pPr>
    </w:p>
    <w:p w14:paraId="66923F82"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3.3. Enumeration of Total Mesophilic Aerobic Flora</w:t>
      </w:r>
    </w:p>
    <w:p w14:paraId="139B55BD" w14:textId="77777777" w:rsidR="002A25E2" w:rsidRPr="00883413" w:rsidRDefault="002A25E2"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 enumeration of Total Mesophilic Aerobic Flora was performed using a microdilution series in PCA culture medium. </w:t>
      </w:r>
      <w:r>
        <w:rPr>
          <w:rFonts w:ascii="Times New Roman" w:hAnsi="Times New Roman" w:cs="Times New Roman"/>
          <w:highlight w:val="yellow"/>
          <w:lang w:val="en-US"/>
        </w:rPr>
        <w:t>The aerobic bacterial count is considered an indicator of quality control</w:t>
      </w:r>
      <w:r>
        <w:rPr>
          <w:rFonts w:ascii="Times New Roman" w:hAnsi="Times New Roman" w:cs="Times New Roman"/>
          <w:lang w:val="en-US"/>
        </w:rPr>
        <w:t xml:space="preserve"> for products intended for therapeutic use (</w:t>
      </w:r>
      <w:proofErr w:type="spellStart"/>
      <w:r>
        <w:rPr>
          <w:rFonts w:ascii="Times New Roman" w:hAnsi="Times New Roman" w:cs="Times New Roman"/>
          <w:lang w:val="en-US"/>
        </w:rPr>
        <w:t>Patnala</w:t>
      </w:r>
      <w:proofErr w:type="spellEnd"/>
      <w:r>
        <w:rPr>
          <w:rFonts w:ascii="Times New Roman" w:hAnsi="Times New Roman" w:cs="Times New Roman"/>
          <w:lang w:val="en-US"/>
        </w:rPr>
        <w:t xml:space="preserve"> &amp; Kanfer, 2021). Table V shows the results for Total Mesophilic Aerobic Bacteria in the plant powder samples on PCA agar. These results indicate that the collection site significantly affects the microbiological quality of the samples. The samples collected in Bobo had the highest bacterial count (3.13 ± 0.03 × 10⁶ CFU/g).</w:t>
      </w:r>
    </w:p>
    <w:p w14:paraId="493502A2" w14:textId="77777777" w:rsidR="002A25E2" w:rsidRPr="00883413" w:rsidRDefault="002A25E2" w:rsidP="00B80458">
      <w:pPr>
        <w:spacing w:before="240" w:line="360" w:lineRule="auto"/>
        <w:jc w:val="both"/>
        <w:rPr>
          <w:rFonts w:ascii="Times New Roman" w:hAnsi="Times New Roman" w:cs="Times New Roman"/>
          <w:lang w:val="en-US"/>
        </w:rPr>
      </w:pPr>
    </w:p>
    <w:p w14:paraId="11B2EBED" w14:textId="70B9C88E"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w:t>
      </w:r>
      <w:r w:rsidR="00B02DD1">
        <w:rPr>
          <w:rFonts w:ascii="Times New Roman" w:hAnsi="Times New Roman" w:cs="Times New Roman"/>
          <w:lang w:val="en-US"/>
        </w:rPr>
        <w:t>5</w:t>
      </w:r>
      <w:r w:rsidRPr="00883413">
        <w:rPr>
          <w:rFonts w:ascii="Times New Roman" w:hAnsi="Times New Roman" w:cs="Times New Roman"/>
          <w:lang w:val="en-US"/>
        </w:rPr>
        <w:t>: Count of Total Mesophilic Aerobic Flora</w:t>
      </w:r>
    </w:p>
    <w:p w14:paraId="1811AC3B" w14:textId="77777777" w:rsidR="002A25E2" w:rsidRPr="00883413" w:rsidRDefault="002A25E2" w:rsidP="00B80458">
      <w:pPr>
        <w:spacing w:before="240" w:line="360" w:lineRule="auto"/>
        <w:jc w:val="both"/>
        <w:rPr>
          <w:rFonts w:ascii="Times New Roman" w:hAnsi="Times New Roman" w:cs="Times New Roman"/>
          <w:lang w:val="en-US"/>
        </w:rPr>
      </w:pPr>
    </w:p>
    <w:tbl>
      <w:tblPr>
        <w:tblStyle w:val="PlainTable2"/>
        <w:tblW w:w="9025" w:type="dxa"/>
        <w:tblBorders>
          <w:bottom w:val="single" w:sz="18" w:space="0" w:color="0070C0"/>
          <w:insideH w:val="single" w:sz="4" w:space="0" w:color="7F7F7F" w:themeColor="text1" w:themeTint="80"/>
        </w:tblBorders>
        <w:tblLayout w:type="fixed"/>
        <w:tblLook w:val="04A0" w:firstRow="1" w:lastRow="0" w:firstColumn="1" w:lastColumn="0" w:noHBand="0" w:noVBand="1"/>
      </w:tblPr>
      <w:tblGrid>
        <w:gridCol w:w="3187"/>
        <w:gridCol w:w="2919"/>
        <w:gridCol w:w="2919"/>
      </w:tblGrid>
      <w:tr w:rsidR="002A25E2" w:rsidRPr="00883413" w14:paraId="39BE432B" w14:textId="77777777" w:rsidTr="007862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tcBorders>
              <w:top w:val="single" w:sz="18" w:space="0" w:color="0070C0"/>
              <w:bottom w:val="single" w:sz="18" w:space="0" w:color="0070C0"/>
            </w:tcBorders>
          </w:tcPr>
          <w:p w14:paraId="790911B2" w14:textId="77777777" w:rsidR="002A25E2" w:rsidRPr="00883413" w:rsidRDefault="0089358D"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tc>
        <w:tc>
          <w:tcPr>
            <w:tcW w:w="2919" w:type="dxa"/>
            <w:tcBorders>
              <w:top w:val="single" w:sz="18" w:space="0" w:color="0070C0"/>
              <w:bottom w:val="single" w:sz="18" w:space="0" w:color="0070C0"/>
            </w:tcBorders>
          </w:tcPr>
          <w:p w14:paraId="6BF8D7B1" w14:textId="77777777" w:rsidR="002A25E2" w:rsidRPr="00883413" w:rsidRDefault="0089358D"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883413">
              <w:rPr>
                <w:rFonts w:ascii="Times New Roman" w:hAnsi="Times New Roman" w:cs="Times New Roman"/>
                <w:sz w:val="24"/>
                <w:szCs w:val="24"/>
              </w:rPr>
              <w:t>Species</w:t>
            </w:r>
            <w:proofErr w:type="spellEnd"/>
          </w:p>
        </w:tc>
        <w:tc>
          <w:tcPr>
            <w:tcW w:w="2919" w:type="dxa"/>
            <w:tcBorders>
              <w:top w:val="single" w:sz="18" w:space="0" w:color="0070C0"/>
              <w:bottom w:val="single" w:sz="18" w:space="0" w:color="0070C0"/>
            </w:tcBorders>
            <w:vAlign w:val="center"/>
          </w:tcPr>
          <w:p w14:paraId="44778F38"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*10</w:t>
            </w:r>
            <w:r w:rsidRPr="00883413">
              <w:rPr>
                <w:rFonts w:ascii="Times New Roman" w:hAnsi="Times New Roman" w:cs="Times New Roman"/>
                <w:sz w:val="24"/>
                <w:szCs w:val="24"/>
                <w:vertAlign w:val="superscript"/>
              </w:rPr>
              <w:t>6</w:t>
            </w:r>
            <w:r w:rsidRPr="00883413">
              <w:rPr>
                <w:rFonts w:ascii="Times New Roman" w:hAnsi="Times New Roman" w:cs="Times New Roman"/>
                <w:sz w:val="24"/>
                <w:szCs w:val="24"/>
              </w:rPr>
              <w:t xml:space="preserve"> CFU/g</w:t>
            </w:r>
          </w:p>
        </w:tc>
      </w:tr>
      <w:tr w:rsidR="002A25E2" w:rsidRPr="00883413" w14:paraId="268E47A1" w14:textId="77777777" w:rsidTr="0078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vMerge w:val="restart"/>
            <w:tcBorders>
              <w:top w:val="single" w:sz="18" w:space="0" w:color="0070C0"/>
            </w:tcBorders>
          </w:tcPr>
          <w:p w14:paraId="53238AB5"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919" w:type="dxa"/>
            <w:tcBorders>
              <w:top w:val="single" w:sz="18" w:space="0" w:color="0070C0"/>
            </w:tcBorders>
          </w:tcPr>
          <w:p w14:paraId="158D238A"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919" w:type="dxa"/>
            <w:tcBorders>
              <w:top w:val="single" w:sz="18" w:space="0" w:color="0070C0"/>
            </w:tcBorders>
            <w:vAlign w:val="center"/>
          </w:tcPr>
          <w:p w14:paraId="62991A2E"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2</w:t>
            </w:r>
            <w:r w:rsidR="00C26807">
              <w:rPr>
                <w:rFonts w:ascii="Times New Roman" w:hAnsi="Times New Roman" w:cs="Times New Roman"/>
                <w:sz w:val="24"/>
                <w:szCs w:val="24"/>
              </w:rPr>
              <w:t>.</w:t>
            </w:r>
            <w:r w:rsidRPr="00883413">
              <w:rPr>
                <w:rFonts w:ascii="Times New Roman" w:hAnsi="Times New Roman" w:cs="Times New Roman"/>
                <w:sz w:val="24"/>
                <w:szCs w:val="24"/>
              </w:rPr>
              <w:t>63</w:t>
            </w:r>
            <w:r w:rsidRPr="00883413">
              <w:rPr>
                <w:rFonts w:ascii="Times New Roman" w:eastAsia="Times New Roman" w:hAnsi="Times New Roman" w:cs="Times New Roman"/>
                <w:color w:val="000000"/>
                <w:sz w:val="24"/>
                <w:szCs w:val="24"/>
              </w:rPr>
              <w:t>±1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64</w:t>
            </w:r>
          </w:p>
        </w:tc>
      </w:tr>
      <w:tr w:rsidR="002A25E2" w:rsidRPr="00883413" w14:paraId="5995CA76" w14:textId="77777777" w:rsidTr="00786220">
        <w:tc>
          <w:tcPr>
            <w:cnfStyle w:val="001000000000" w:firstRow="0" w:lastRow="0" w:firstColumn="1" w:lastColumn="0" w:oddVBand="0" w:evenVBand="0" w:oddHBand="0" w:evenHBand="0" w:firstRowFirstColumn="0" w:firstRowLastColumn="0" w:lastRowFirstColumn="0" w:lastRowLastColumn="0"/>
            <w:tcW w:w="3187" w:type="dxa"/>
            <w:vMerge/>
          </w:tcPr>
          <w:p w14:paraId="3B5EBB10"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919" w:type="dxa"/>
          </w:tcPr>
          <w:p w14:paraId="3C3B2AE8"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919" w:type="dxa"/>
            <w:vAlign w:val="center"/>
          </w:tcPr>
          <w:p w14:paraId="44E9D4CE"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3</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13</w:t>
            </w:r>
            <w:r w:rsidRPr="00883413">
              <w:rPr>
                <w:rFonts w:ascii="Times New Roman" w:eastAsia="Times New Roman" w:hAnsi="Times New Roman" w:cs="Times New Roman"/>
                <w:b/>
                <w:bCs/>
                <w:color w:val="000000"/>
                <w:sz w:val="24"/>
                <w:szCs w:val="24"/>
              </w:rPr>
              <w:t>±0</w:t>
            </w:r>
            <w:r w:rsidR="00C26807">
              <w:rPr>
                <w:rFonts w:ascii="Times New Roman" w:eastAsia="Times New Roman" w:hAnsi="Times New Roman" w:cs="Times New Roman"/>
                <w:b/>
                <w:bCs/>
                <w:color w:val="000000"/>
                <w:sz w:val="24"/>
                <w:szCs w:val="24"/>
              </w:rPr>
              <w:t>.</w:t>
            </w:r>
            <w:r w:rsidRPr="00883413">
              <w:rPr>
                <w:rFonts w:ascii="Times New Roman" w:eastAsia="Times New Roman" w:hAnsi="Times New Roman" w:cs="Times New Roman"/>
                <w:b/>
                <w:bCs/>
                <w:color w:val="000000"/>
                <w:sz w:val="24"/>
                <w:szCs w:val="24"/>
              </w:rPr>
              <w:t>03</w:t>
            </w:r>
          </w:p>
        </w:tc>
      </w:tr>
      <w:tr w:rsidR="002A25E2" w:rsidRPr="00883413" w14:paraId="6A37BED4" w14:textId="77777777" w:rsidTr="0078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vMerge w:val="restart"/>
          </w:tcPr>
          <w:p w14:paraId="6284F2B9"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919" w:type="dxa"/>
          </w:tcPr>
          <w:p w14:paraId="21608597"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919" w:type="dxa"/>
            <w:vAlign w:val="center"/>
          </w:tcPr>
          <w:p w14:paraId="0EF1B84B"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82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4</w:t>
            </w:r>
          </w:p>
        </w:tc>
      </w:tr>
      <w:tr w:rsidR="002A25E2" w:rsidRPr="00883413" w14:paraId="2A556FF9" w14:textId="77777777" w:rsidTr="00786220">
        <w:tc>
          <w:tcPr>
            <w:cnfStyle w:val="001000000000" w:firstRow="0" w:lastRow="0" w:firstColumn="1" w:lastColumn="0" w:oddVBand="0" w:evenVBand="0" w:oddHBand="0" w:evenHBand="0" w:firstRowFirstColumn="0" w:firstRowLastColumn="0" w:lastRowFirstColumn="0" w:lastRowLastColumn="0"/>
            <w:tcW w:w="3187" w:type="dxa"/>
            <w:vMerge/>
          </w:tcPr>
          <w:p w14:paraId="77A0C3F2"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919" w:type="dxa"/>
          </w:tcPr>
          <w:p w14:paraId="6D8A218F"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919" w:type="dxa"/>
            <w:vAlign w:val="center"/>
          </w:tcPr>
          <w:p w14:paraId="67365485"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52</w:t>
            </w:r>
            <w:r w:rsidRPr="00883413">
              <w:rPr>
                <w:rFonts w:ascii="Times New Roman" w:eastAsia="Times New Roman" w:hAnsi="Times New Roman" w:cs="Times New Roman"/>
                <w:color w:val="000000"/>
                <w:sz w:val="24"/>
                <w:szCs w:val="24"/>
              </w:rPr>
              <w:t>±2</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78</w:t>
            </w:r>
          </w:p>
        </w:tc>
      </w:tr>
    </w:tbl>
    <w:p w14:paraId="2AB56E63" w14:textId="77777777" w:rsidR="00786220" w:rsidRPr="00883413" w:rsidRDefault="00786220" w:rsidP="00B80458">
      <w:pPr>
        <w:spacing w:before="240" w:line="360" w:lineRule="auto"/>
        <w:jc w:val="both"/>
        <w:rPr>
          <w:rFonts w:ascii="Times New Roman" w:hAnsi="Times New Roman" w:cs="Times New Roman"/>
        </w:rPr>
      </w:pPr>
      <w:r w:rsidRPr="00883413">
        <w:rPr>
          <w:rFonts w:ascii="Times New Roman" w:hAnsi="Times New Roman" w:cs="Times New Roman"/>
        </w:rPr>
        <w:t>4. Discussion</w:t>
      </w:r>
    </w:p>
    <w:p w14:paraId="0D589805" w14:textId="77777777" w:rsidR="00786220" w:rsidRPr="00883413" w:rsidRDefault="0078622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4.1. </w:t>
      </w:r>
      <w:proofErr w:type="spellStart"/>
      <w:r w:rsidRPr="00883413">
        <w:rPr>
          <w:rFonts w:ascii="Times New Roman" w:hAnsi="Times New Roman" w:cs="Times New Roman"/>
        </w:rPr>
        <w:t>Ethnobotanical</w:t>
      </w:r>
      <w:proofErr w:type="spellEnd"/>
      <w:r w:rsidRPr="00883413">
        <w:rPr>
          <w:rFonts w:ascii="Times New Roman" w:hAnsi="Times New Roman" w:cs="Times New Roman"/>
        </w:rPr>
        <w:t xml:space="preserve"> Survey</w:t>
      </w:r>
    </w:p>
    <w:p w14:paraId="1ACCB94E"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Bonkian et al. (2025), </w:t>
      </w:r>
      <w:r>
        <w:rPr>
          <w:rFonts w:ascii="Times New Roman" w:hAnsi="Times New Roman" w:cs="Times New Roman"/>
          <w:highlight w:val="yellow"/>
          <w:lang w:val="en-US"/>
        </w:rPr>
        <w:t>in their study conducted</w:t>
      </w:r>
      <w:r>
        <w:rPr>
          <w:rFonts w:ascii="Times New Roman" w:hAnsi="Times New Roman" w:cs="Times New Roman"/>
          <w:lang w:val="en-US"/>
        </w:rPr>
        <w:t xml:space="preserve"> in the city of Bobo-Dioulasso on medicinal plants used in the treatment of cervical cancer, reported that women outnumbered men, with 71% of users being women and 29% being men. In contrast, the research by Segda et al. (2023) conducted in the city of Bobo-Dioulasso on diabetes showed that the majority of traditional healers interviewed were men—</w:t>
      </w:r>
      <w:r>
        <w:rPr>
          <w:rFonts w:ascii="Times New Roman" w:hAnsi="Times New Roman" w:cs="Times New Roman"/>
          <w:highlight w:val="yellow"/>
          <w:lang w:val="en-US"/>
        </w:rPr>
        <w:t>69.7% men compared with 30.3% women</w:t>
      </w:r>
      <w:r>
        <w:rPr>
          <w:rFonts w:ascii="Times New Roman" w:hAnsi="Times New Roman" w:cs="Times New Roman"/>
          <w:lang w:val="en-US"/>
        </w:rPr>
        <w:t xml:space="preserve">. These results indicate that traditional medicine is not exclusively the domain of men and that women in Burkina Faso have </w:t>
      </w:r>
      <w:r w:rsidRPr="00883413">
        <w:rPr>
          <w:rFonts w:ascii="Times New Roman" w:hAnsi="Times New Roman" w:cs="Times New Roman"/>
          <w:lang w:val="en-US"/>
        </w:rPr>
        <w:t xml:space="preserve">become increasingly interested in it over the years. This observed </w:t>
      </w:r>
      <w:r w:rsidRPr="00883413">
        <w:rPr>
          <w:rFonts w:ascii="Times New Roman" w:hAnsi="Times New Roman" w:cs="Times New Roman"/>
          <w:lang w:val="en-US"/>
        </w:rPr>
        <w:lastRenderedPageBreak/>
        <w:t>predominance of women could be explained by their strong involvement in commercial, income-generating activities.</w:t>
      </w:r>
    </w:p>
    <w:p w14:paraId="3AEDB5BC"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highlight w:val="yellow"/>
          <w:lang w:val="en-US"/>
        </w:rPr>
        <w:t>The most highly represented age group</w:t>
      </w:r>
      <w:r>
        <w:rPr>
          <w:rFonts w:ascii="Times New Roman" w:hAnsi="Times New Roman" w:cs="Times New Roman"/>
          <w:lang w:val="en-US"/>
        </w:rPr>
        <w:t xml:space="preserve"> was between 24 and 34 years old. Segda et al. (2023) reported in their study that the most represented age group among traditional healers was between 51 and 60 years old. Furthermore, the </w:t>
      </w:r>
      <w:r>
        <w:rPr>
          <w:rFonts w:ascii="Times New Roman" w:hAnsi="Times New Roman" w:cs="Times New Roman"/>
          <w:highlight w:val="yellow"/>
          <w:lang w:val="en-US"/>
        </w:rPr>
        <w:t>study by Zongo et al. (2023)</w:t>
      </w:r>
      <w:r>
        <w:rPr>
          <w:rFonts w:ascii="Times New Roman" w:hAnsi="Times New Roman" w:cs="Times New Roman"/>
          <w:lang w:val="en-US"/>
        </w:rPr>
        <w:t>, conducted in Bobo-Dioulasso among traditional healers regarding medicinal plants used in the treatment of hepatitis, found that the majority of traditional healers were between 43 and 73 years old and had professional experience ranging from 2 to 22 years. These results show that traditional medicine is practiced primarily by older adults.</w:t>
      </w:r>
    </w:p>
    <w:p w14:paraId="4C61C350"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Segda et al. (2023) reported </w:t>
      </w:r>
      <w:r>
        <w:rPr>
          <w:rFonts w:ascii="Times New Roman" w:hAnsi="Times New Roman" w:cs="Times New Roman"/>
          <w:highlight w:val="yellow"/>
          <w:lang w:val="en-US"/>
        </w:rPr>
        <w:t>frequent use of leaves</w:t>
      </w:r>
      <w:r>
        <w:rPr>
          <w:rFonts w:ascii="Times New Roman" w:hAnsi="Times New Roman" w:cs="Times New Roman"/>
          <w:lang w:val="en-US"/>
        </w:rPr>
        <w:t xml:space="preserve"> (46%), followed by the whole plant (39%). Similarly, Dembélé et al. (2020), </w:t>
      </w:r>
      <w:r>
        <w:rPr>
          <w:rFonts w:ascii="Times New Roman" w:hAnsi="Times New Roman" w:cs="Times New Roman"/>
          <w:highlight w:val="yellow"/>
          <w:lang w:val="en-US"/>
        </w:rPr>
        <w:t>in a study conducted in Mali</w:t>
      </w:r>
      <w:r>
        <w:rPr>
          <w:rFonts w:ascii="Times New Roman" w:hAnsi="Times New Roman" w:cs="Times New Roman"/>
          <w:lang w:val="en-US"/>
        </w:rPr>
        <w:t xml:space="preserve"> on hypertension and diabetes, reported </w:t>
      </w:r>
      <w:r>
        <w:rPr>
          <w:rFonts w:ascii="Times New Roman" w:hAnsi="Times New Roman" w:cs="Times New Roman"/>
          <w:highlight w:val="yellow"/>
          <w:lang w:val="en-US"/>
        </w:rPr>
        <w:t>frequent use of leaves</w:t>
      </w:r>
      <w:r>
        <w:rPr>
          <w:rFonts w:ascii="Times New Roman" w:hAnsi="Times New Roman" w:cs="Times New Roman"/>
          <w:lang w:val="en-US"/>
        </w:rPr>
        <w:t>, followed by the bark, in the traditional treatment of diabetes, with respective percentages of 44.13% and 25.40%. Researchers have shown that leaves are the most commonly used because they are rich in active compounds and are more readily available (Lema et al., 2022). Furthermore, other researchers have shown that the widespread use of leaves over other plant parts in various treatments is essential for the plants’ survival, as the frequent use of roots and bark poses a real threat to the conservation and restoration of species and the balance of ecosystems (Bonkian et al., 2025).</w:t>
      </w:r>
    </w:p>
    <w:p w14:paraId="5D8EC1FB"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highlight w:val="yellow"/>
          <w:lang w:val="en-US"/>
        </w:rPr>
        <w:t xml:space="preserve">Konaré et al. (2024) reported that the </w:t>
      </w:r>
      <w:proofErr w:type="spellStart"/>
      <w:r>
        <w:rPr>
          <w:rFonts w:ascii="Times New Roman" w:hAnsi="Times New Roman" w:cs="Times New Roman"/>
          <w:highlight w:val="yellow"/>
          <w:lang w:val="en-US"/>
        </w:rPr>
        <w:t>Anacardiaceae</w:t>
      </w:r>
      <w:proofErr w:type="spellEnd"/>
      <w:r>
        <w:rPr>
          <w:rFonts w:ascii="Times New Roman" w:hAnsi="Times New Roman" w:cs="Times New Roman"/>
          <w:highlight w:val="yellow"/>
          <w:lang w:val="en-US"/>
        </w:rPr>
        <w:t xml:space="preserve"> family was known to possess antidiabetic properties, particularly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Furthermore, Dembélé et al. (2026), </w:t>
      </w:r>
      <w:r>
        <w:rPr>
          <w:rFonts w:ascii="Times New Roman" w:hAnsi="Times New Roman" w:cs="Times New Roman"/>
          <w:highlight w:val="yellow"/>
          <w:lang w:val="en-US"/>
        </w:rPr>
        <w:t>in their study on diabetes and hypertension</w:t>
      </w:r>
      <w:r>
        <w:rPr>
          <w:rFonts w:ascii="Times New Roman" w:hAnsi="Times New Roman" w:cs="Times New Roman"/>
          <w:lang w:val="en-US"/>
        </w:rPr>
        <w:t xml:space="preserve">, showed that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was the most frequently cited species, with a citation rate of 15.61%. Segda et al. (2023), in their study on diabetes, noted that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was among the most frequently cited species, </w:t>
      </w:r>
      <w:r>
        <w:rPr>
          <w:rFonts w:ascii="Times New Roman" w:hAnsi="Times New Roman" w:cs="Times New Roman"/>
          <w:highlight w:val="yellow"/>
          <w:lang w:val="en-US"/>
        </w:rPr>
        <w:t>with a citation frequency of 17.67% for its use in the management of diabetes</w:t>
      </w:r>
      <w:r>
        <w:rPr>
          <w:rFonts w:ascii="Times New Roman" w:hAnsi="Times New Roman" w:cs="Times New Roman"/>
          <w:lang w:val="en-US"/>
        </w:rPr>
        <w:t>.</w:t>
      </w:r>
    </w:p>
    <w:p w14:paraId="48B4A5EE"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4.2. Biochemical Parameters</w:t>
      </w:r>
    </w:p>
    <w:p w14:paraId="554E7CF1"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 fruits of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in Senegal were found to contain ascorbic acid (0.3 mg EAA/100 mg) (Sene et al., 2018). Vitamin C is a powerful water-soluble antioxidant that combats oxidative stress by donating electrons to neutralize free radicals (</w:t>
      </w:r>
      <w:proofErr w:type="spellStart"/>
      <w:r>
        <w:rPr>
          <w:rFonts w:ascii="Times New Roman" w:hAnsi="Times New Roman" w:cs="Times New Roman"/>
          <w:lang w:val="en-US"/>
        </w:rPr>
        <w:t>Toffalini</w:t>
      </w:r>
      <w:proofErr w:type="spellEnd"/>
      <w:r>
        <w:rPr>
          <w:rFonts w:ascii="Times New Roman" w:hAnsi="Times New Roman" w:cs="Times New Roman"/>
          <w:lang w:val="en-US"/>
        </w:rPr>
        <w:t xml:space="preserve"> et al., 2025). Furthermore, oxidative stress is one of the key triggers of endothelial dysfunction through the reduction of nitric oxide (NO) </w:t>
      </w:r>
      <w:r>
        <w:rPr>
          <w:rFonts w:ascii="Times New Roman" w:hAnsi="Times New Roman" w:cs="Times New Roman"/>
          <w:highlight w:val="yellow"/>
          <w:lang w:val="en-US"/>
        </w:rPr>
        <w:t>and is a primary factor in the pathogenesis</w:t>
      </w:r>
      <w:r>
        <w:rPr>
          <w:rFonts w:ascii="Times New Roman" w:hAnsi="Times New Roman" w:cs="Times New Roman"/>
          <w:lang w:val="en-US"/>
        </w:rPr>
        <w:t xml:space="preserve"> of type 2 diabetes </w:t>
      </w:r>
      <w:r w:rsidRPr="00883413">
        <w:rPr>
          <w:rFonts w:ascii="Times New Roman" w:hAnsi="Times New Roman" w:cs="Times New Roman"/>
          <w:lang w:val="en-US"/>
        </w:rPr>
        <w:t xml:space="preserve">(An </w:t>
      </w:r>
      <w:r w:rsidRPr="00883413">
        <w:rPr>
          <w:rFonts w:ascii="Times New Roman" w:hAnsi="Times New Roman" w:cs="Times New Roman"/>
          <w:lang w:val="en-US"/>
        </w:rPr>
        <w:lastRenderedPageBreak/>
        <w:t>et al., 2023). Thus, vitamin C may help eliminate free radicals in the body by preventing cellular damage caused by oxidative stress.</w:t>
      </w:r>
    </w:p>
    <w:p w14:paraId="3F1C0F74"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lang w:val="en-US"/>
        </w:rPr>
        <w:t xml:space="preserve">These results indicate that the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leaf extract from </w:t>
      </w:r>
      <w:proofErr w:type="spellStart"/>
      <w:r>
        <w:rPr>
          <w:rFonts w:ascii="Times New Roman" w:hAnsi="Times New Roman" w:cs="Times New Roman"/>
          <w:lang w:val="en-US"/>
        </w:rPr>
        <w:t>Boromo</w:t>
      </w:r>
      <w:proofErr w:type="spellEnd"/>
      <w:r>
        <w:rPr>
          <w:rFonts w:ascii="Times New Roman" w:hAnsi="Times New Roman" w:cs="Times New Roman"/>
          <w:lang w:val="en-US"/>
        </w:rPr>
        <w:t xml:space="preserve"> contained the highest amount of total sugars. Research by </w:t>
      </w:r>
      <w:proofErr w:type="spellStart"/>
      <w:r>
        <w:rPr>
          <w:rFonts w:ascii="Times New Roman" w:hAnsi="Times New Roman" w:cs="Times New Roman"/>
          <w:lang w:val="en-US"/>
        </w:rPr>
        <w:t>Souratié</w:t>
      </w:r>
      <w:proofErr w:type="spellEnd"/>
      <w:r>
        <w:rPr>
          <w:rFonts w:ascii="Times New Roman" w:hAnsi="Times New Roman" w:cs="Times New Roman"/>
          <w:lang w:val="en-US"/>
        </w:rPr>
        <w:t xml:space="preserve"> et al. (2025), conducted in Ouagadougou on </w:t>
      </w:r>
      <w:proofErr w:type="spellStart"/>
      <w:r>
        <w:rPr>
          <w:rFonts w:ascii="Times New Roman" w:hAnsi="Times New Roman" w:cs="Times New Roman"/>
          <w:i/>
          <w:iCs/>
          <w:lang w:val="en-US"/>
        </w:rPr>
        <w:t>Leptadenia</w:t>
      </w:r>
      <w:proofErr w:type="spellEnd"/>
      <w:r>
        <w:rPr>
          <w:rFonts w:ascii="Times New Roman" w:hAnsi="Times New Roman" w:cs="Times New Roman"/>
          <w:i/>
          <w:iCs/>
          <w:lang w:val="en-US"/>
        </w:rPr>
        <w:t xml:space="preserve"> hastata</w:t>
      </w:r>
      <w:r>
        <w:rPr>
          <w:rFonts w:ascii="Times New Roman" w:hAnsi="Times New Roman" w:cs="Times New Roman"/>
          <w:lang w:val="en-US"/>
        </w:rPr>
        <w:t xml:space="preserve"> leaf extracts for the treatment of metabolic diseases, revealed a relatively lower total sugar content of 0.11 ± 0.33 µg ES/100 mg of extract. Soluble sugars slow the absorption of dietary carbohydrates by inhibiting alpha-glucosidase, the enzyme responsible for sugar digestion, thereby moderating the rise in blood glucose levels (Bello et al., 2011; Mashaba et al., 2025).</w:t>
      </w:r>
      <w:r w:rsidRPr="00883413">
        <w:rPr>
          <w:rFonts w:ascii="Times New Roman" w:eastAsia="Times New Roman" w:hAnsi="Times New Roman" w:cs="Times New Roman"/>
          <w:kern w:val="0"/>
          <w:lang w:val="en-US" w:eastAsia="fr-FR"/>
          <w14:ligatures w14:val="none"/>
        </w:rPr>
        <w:t xml:space="preserve"> </w:t>
      </w:r>
      <w:r w:rsidRPr="00883413">
        <w:rPr>
          <w:rFonts w:ascii="Times New Roman" w:hAnsi="Times New Roman" w:cs="Times New Roman"/>
          <w:lang w:val="en-US"/>
        </w:rPr>
        <w:t>The use of these medicinal plants in the treatment of diabetes may be due to their high total sugar content.</w:t>
      </w:r>
    </w:p>
    <w:p w14:paraId="3289B02E" w14:textId="77777777" w:rsidR="00786220" w:rsidRPr="00883413" w:rsidRDefault="00786220" w:rsidP="00B80458">
      <w:pPr>
        <w:spacing w:before="240" w:line="360" w:lineRule="auto"/>
        <w:jc w:val="both"/>
        <w:rPr>
          <w:rFonts w:ascii="Times New Roman" w:hAnsi="Times New Roman" w:cs="Times New Roman"/>
          <w:lang w:val="en-US"/>
        </w:rPr>
      </w:pPr>
      <w:r>
        <w:rPr>
          <w:rFonts w:ascii="Times New Roman" w:hAnsi="Times New Roman" w:cs="Times New Roman"/>
          <w:highlight w:val="yellow"/>
          <w:lang w:val="en-US"/>
        </w:rPr>
        <w:t>Konaré et al. (2024)</w:t>
      </w:r>
      <w:r>
        <w:rPr>
          <w:rFonts w:ascii="Times New Roman" w:hAnsi="Times New Roman" w:cs="Times New Roman"/>
          <w:lang w:val="en-US"/>
        </w:rPr>
        <w:t xml:space="preserve"> reported that the ethanolic extract of </w:t>
      </w:r>
      <w:proofErr w:type="spellStart"/>
      <w:r>
        <w:rPr>
          <w:rFonts w:ascii="Times New Roman" w:hAnsi="Times New Roman" w:cs="Times New Roman"/>
          <w:i/>
          <w:iCs/>
          <w:lang w:val="en-US"/>
        </w:rPr>
        <w:t>Sclerocarya</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birrea</w:t>
      </w:r>
      <w:proofErr w:type="spellEnd"/>
      <w:r>
        <w:rPr>
          <w:rFonts w:ascii="Times New Roman" w:hAnsi="Times New Roman" w:cs="Times New Roman"/>
          <w:lang w:val="en-US"/>
        </w:rPr>
        <w:t xml:space="preserve"> had a relatively low total phenolic content of 2.58 ± 0.08 µg EAG/100 g.</w:t>
      </w:r>
    </w:p>
    <w:p w14:paraId="6738A2C9" w14:textId="39EC55A1" w:rsidR="005643E1"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Similarly, the highest total flavonoid content obtained from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Pr>
          <w:rFonts w:ascii="Times New Roman" w:hAnsi="Times New Roman" w:cs="Times New Roman"/>
          <w:lang w:val="en-US"/>
        </w:rPr>
        <w:t xml:space="preserve"> extract from Bobo-Dioulasso </w:t>
      </w:r>
      <w:r>
        <w:rPr>
          <w:rFonts w:ascii="Times New Roman" w:hAnsi="Times New Roman" w:cs="Times New Roman"/>
          <w:highlight w:val="yellow"/>
          <w:lang w:val="en-US"/>
        </w:rPr>
        <w:t xml:space="preserve">was consistent with the findings of </w:t>
      </w:r>
      <w:proofErr w:type="spellStart"/>
      <w:r>
        <w:rPr>
          <w:rFonts w:ascii="Times New Roman" w:hAnsi="Times New Roman" w:cs="Times New Roman"/>
          <w:highlight w:val="yellow"/>
          <w:lang w:val="en-US"/>
        </w:rPr>
        <w:t>Souratié</w:t>
      </w:r>
      <w:proofErr w:type="spellEnd"/>
      <w:r>
        <w:rPr>
          <w:rFonts w:ascii="Times New Roman" w:hAnsi="Times New Roman" w:cs="Times New Roman"/>
          <w:highlight w:val="yellow"/>
          <w:lang w:val="en-US"/>
        </w:rPr>
        <w:t xml:space="preserve"> et al. (2025)</w:t>
      </w:r>
      <w:r>
        <w:rPr>
          <w:rFonts w:ascii="Times New Roman" w:hAnsi="Times New Roman" w:cs="Times New Roman"/>
          <w:lang w:val="en-US"/>
        </w:rPr>
        <w:t>. The difference in phenolic compound content observed between the extracts from the two locations could be due to certain environmental factors (edaphic or climatic) that influence the production of secondary metabolites (</w:t>
      </w:r>
      <w:r>
        <w:rPr>
          <w:rFonts w:ascii="Times New Roman" w:hAnsi="Times New Roman" w:cs="Times New Roman"/>
          <w:highlight w:val="yellow"/>
          <w:lang w:val="en-US"/>
        </w:rPr>
        <w:t>Zongo et al., 2023</w:t>
      </w:r>
      <w:r>
        <w:rPr>
          <w:rFonts w:ascii="Times New Roman" w:hAnsi="Times New Roman" w:cs="Times New Roman"/>
          <w:lang w:val="en-US"/>
        </w:rPr>
        <w:t>).</w:t>
      </w:r>
      <w:r w:rsidR="00C26807">
        <w:rPr>
          <w:rFonts w:ascii="Times New Roman" w:hAnsi="Times New Roman" w:cs="Times New Roman"/>
          <w:lang w:val="en-US"/>
        </w:rPr>
        <w:t xml:space="preserve"> </w:t>
      </w:r>
      <w:r w:rsidRPr="00883413">
        <w:rPr>
          <w:rFonts w:ascii="Times New Roman" w:hAnsi="Times New Roman" w:cs="Times New Roman"/>
          <w:lang w:val="en-US"/>
        </w:rPr>
        <w:t xml:space="preserve">Researchers who studied aqueous extracts of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demonstrated that they possessed antioxidant activity with an IC50 of 174.61 ± 2.77 </w:t>
      </w:r>
      <w:r w:rsidRPr="00883413">
        <w:rPr>
          <w:rFonts w:ascii="Times New Roman" w:hAnsi="Times New Roman" w:cs="Times New Roman"/>
        </w:rPr>
        <w:t>μ</w:t>
      </w:r>
      <w:r>
        <w:rPr>
          <w:rFonts w:ascii="Times New Roman" w:hAnsi="Times New Roman" w:cs="Times New Roman"/>
          <w:lang w:val="en-US"/>
        </w:rPr>
        <w:t>g/mL (</w:t>
      </w:r>
      <w:r>
        <w:rPr>
          <w:rFonts w:ascii="Times New Roman" w:hAnsi="Times New Roman" w:cs="Times New Roman"/>
          <w:highlight w:val="yellow"/>
          <w:lang w:val="en-US"/>
        </w:rPr>
        <w:t>Konaré et al., 2024</w:t>
      </w:r>
      <w:r>
        <w:rPr>
          <w:rFonts w:ascii="Times New Roman" w:hAnsi="Times New Roman" w:cs="Times New Roman"/>
          <w:lang w:val="en-US"/>
        </w:rPr>
        <w:t xml:space="preserve">). These results are consistent with those obtained by </w:t>
      </w:r>
      <w:proofErr w:type="spellStart"/>
      <w:r>
        <w:rPr>
          <w:rFonts w:ascii="Times New Roman" w:hAnsi="Times New Roman" w:cs="Times New Roman"/>
          <w:highlight w:val="yellow"/>
          <w:lang w:val="en-US"/>
        </w:rPr>
        <w:t>Belemnaba</w:t>
      </w:r>
      <w:proofErr w:type="spellEnd"/>
      <w:r>
        <w:rPr>
          <w:rFonts w:ascii="Times New Roman" w:hAnsi="Times New Roman" w:cs="Times New Roman"/>
          <w:highlight w:val="yellow"/>
          <w:lang w:val="en-US"/>
        </w:rPr>
        <w:t xml:space="preserve"> et al. (202</w:t>
      </w:r>
      <w:r w:rsidR="00B04D5D">
        <w:rPr>
          <w:rFonts w:ascii="Times New Roman" w:hAnsi="Times New Roman" w:cs="Times New Roman"/>
          <w:highlight w:val="yellow"/>
          <w:lang w:val="en-US"/>
        </w:rPr>
        <w:t>5</w:t>
      </w:r>
      <w:r>
        <w:rPr>
          <w:rFonts w:ascii="Times New Roman" w:hAnsi="Times New Roman" w:cs="Times New Roman"/>
          <w:highlight w:val="yellow"/>
          <w:lang w:val="en-US"/>
        </w:rPr>
        <w:t>), who, in their study</w:t>
      </w:r>
      <w:r>
        <w:rPr>
          <w:rFonts w:ascii="Times New Roman" w:hAnsi="Times New Roman" w:cs="Times New Roman"/>
          <w:lang w:val="en-US"/>
        </w:rPr>
        <w:t xml:space="preserve"> on cardiovascular diseases in Burkina Faso, reported that ethanolic extracts of </w:t>
      </w:r>
      <w:proofErr w:type="spellStart"/>
      <w:r w:rsidR="005643E1" w:rsidRPr="00C26807">
        <w:rPr>
          <w:rFonts w:ascii="Times New Roman" w:hAnsi="Times New Roman" w:cs="Times New Roman"/>
          <w:i/>
          <w:iCs/>
          <w:lang w:val="en-US"/>
        </w:rPr>
        <w:t>Sclerocarya</w:t>
      </w:r>
      <w:proofErr w:type="spellEnd"/>
      <w:r w:rsidR="005643E1" w:rsidRPr="00C26807">
        <w:rPr>
          <w:rFonts w:ascii="Times New Roman" w:hAnsi="Times New Roman" w:cs="Times New Roman"/>
          <w:i/>
          <w:iCs/>
          <w:lang w:val="en-US"/>
        </w:rPr>
        <w:t xml:space="preserve"> </w:t>
      </w:r>
      <w:proofErr w:type="spellStart"/>
      <w:r w:rsidR="005643E1" w:rsidRPr="00C26807">
        <w:rPr>
          <w:rFonts w:ascii="Times New Roman" w:hAnsi="Times New Roman" w:cs="Times New Roman"/>
          <w:i/>
          <w:iCs/>
          <w:lang w:val="en-US"/>
        </w:rPr>
        <w:t>birrea</w:t>
      </w:r>
      <w:proofErr w:type="spellEnd"/>
      <w:r w:rsidR="005643E1" w:rsidRPr="00883413">
        <w:rPr>
          <w:rFonts w:ascii="Times New Roman" w:hAnsi="Times New Roman" w:cs="Times New Roman"/>
          <w:lang w:val="en-US"/>
        </w:rPr>
        <w:t xml:space="preserve"> bark exhibited relatively high antioxidant activity (3.78 ± 0.21 </w:t>
      </w:r>
      <w:r w:rsidR="005643E1" w:rsidRPr="00883413">
        <w:rPr>
          <w:rFonts w:ascii="Times New Roman" w:hAnsi="Times New Roman" w:cs="Times New Roman"/>
        </w:rPr>
        <w:t>μ</w:t>
      </w:r>
      <w:r>
        <w:rPr>
          <w:rFonts w:ascii="Times New Roman" w:hAnsi="Times New Roman" w:cs="Times New Roman"/>
          <w:lang w:val="en-US"/>
        </w:rPr>
        <w:t xml:space="preserve">g ET/100 mg). Natural antioxidants inhibit the production of, or destroy through electron or proton transfer, reactive oxygen species resulting from oxidative stress (An et al., 2023). Furthermore, oxidative stress plays a significant role in the dysfunction of pancreatic beta cells and the onset of type 2 diabetes (Odoh et al., 2024). In fact, </w:t>
      </w:r>
      <w:proofErr w:type="spellStart"/>
      <w:r>
        <w:rPr>
          <w:rFonts w:ascii="Times New Roman" w:hAnsi="Times New Roman" w:cs="Times New Roman"/>
          <w:highlight w:val="yellow"/>
          <w:lang w:val="en-US"/>
        </w:rPr>
        <w:t>hyperglycaemia</w:t>
      </w:r>
      <w:proofErr w:type="spellEnd"/>
      <w:r>
        <w:rPr>
          <w:rFonts w:ascii="Times New Roman" w:hAnsi="Times New Roman" w:cs="Times New Roman"/>
          <w:lang w:val="en-US"/>
        </w:rPr>
        <w:t xml:space="preserve"> triggers the production of reactive oxygen species through the accumulation of free radicals in peripheral tissues, which exceeds the capacity of the pancreatic beta cells’ antioxidant system (Wang et al., 2023). Thus, the antioxidant activity of these plant extracts could help inhibit the production of free radicals in adipose tissue, the liver, and muscles. These findings could support their use in the management of diabetes in traditional medicine.</w:t>
      </w:r>
    </w:p>
    <w:p w14:paraId="02C9DD34" w14:textId="77777777" w:rsidR="005643E1" w:rsidRPr="00883413" w:rsidRDefault="005643E1" w:rsidP="00B80458">
      <w:pPr>
        <w:spacing w:before="240" w:line="360" w:lineRule="auto"/>
        <w:jc w:val="both"/>
        <w:rPr>
          <w:rFonts w:ascii="Times New Roman" w:hAnsi="Times New Roman" w:cs="Times New Roman"/>
          <w:lang w:val="en-US"/>
        </w:rPr>
      </w:pPr>
    </w:p>
    <w:p w14:paraId="1537C1C0" w14:textId="77777777" w:rsidR="005643E1" w:rsidRPr="00883413" w:rsidRDefault="005643E1"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4.3. Microbiological Quality</w:t>
      </w:r>
    </w:p>
    <w:p w14:paraId="17109C86" w14:textId="77777777" w:rsidR="005643E1" w:rsidRPr="00883413" w:rsidRDefault="005643E1" w:rsidP="00B80458">
      <w:pPr>
        <w:spacing w:before="240" w:line="360" w:lineRule="auto"/>
        <w:jc w:val="both"/>
        <w:rPr>
          <w:rFonts w:ascii="Times New Roman" w:hAnsi="Times New Roman" w:cs="Times New Roman"/>
          <w:lang w:val="en-US"/>
        </w:rPr>
      </w:pPr>
      <w:r>
        <w:rPr>
          <w:rFonts w:ascii="Times New Roman" w:hAnsi="Times New Roman" w:cs="Times New Roman"/>
          <w:highlight w:val="yellow"/>
          <w:lang w:val="en-US"/>
        </w:rPr>
        <w:t>Similar studies by Compaoré et al. (2021a) and N’do et al. (2025a)</w:t>
      </w:r>
      <w:r>
        <w:rPr>
          <w:rFonts w:ascii="Times New Roman" w:hAnsi="Times New Roman" w:cs="Times New Roman"/>
          <w:lang w:val="en-US"/>
        </w:rPr>
        <w:t xml:space="preserve"> reported contamination in their samples. The presence of film-like layers in the samples indicates contamination by microorganisms. Indeed, </w:t>
      </w:r>
      <w:r>
        <w:rPr>
          <w:rFonts w:ascii="Times New Roman" w:hAnsi="Times New Roman" w:cs="Times New Roman"/>
          <w:highlight w:val="yellow"/>
          <w:lang w:val="en-US"/>
        </w:rPr>
        <w:t>N’do et al. (2025a) state</w:t>
      </w:r>
      <w:r>
        <w:rPr>
          <w:rFonts w:ascii="Times New Roman" w:hAnsi="Times New Roman" w:cs="Times New Roman"/>
          <w:lang w:val="en-US"/>
        </w:rPr>
        <w:t xml:space="preserve"> that plant-based products are exposed to numerous forms of biotic and abiotic contamination. </w:t>
      </w:r>
      <w:r>
        <w:rPr>
          <w:rFonts w:ascii="Times New Roman" w:hAnsi="Times New Roman" w:cs="Times New Roman"/>
          <w:highlight w:val="yellow"/>
          <w:lang w:val="en-US"/>
        </w:rPr>
        <w:t>Compaoré et al. (2021b) add</w:t>
      </w:r>
      <w:r>
        <w:rPr>
          <w:rFonts w:ascii="Times New Roman" w:hAnsi="Times New Roman" w:cs="Times New Roman"/>
          <w:lang w:val="en-US"/>
        </w:rPr>
        <w:t xml:space="preserve"> that soil, water, and air are potential sources of contamination for plant-based products. The contamination of the samples observed in this study could be due to poor harvesting or post-harvest conditions (drying, grinding, storage, and handling) of the plant samples.</w:t>
      </w:r>
    </w:p>
    <w:p w14:paraId="73518CE1" w14:textId="77777777" w:rsidR="005643E1" w:rsidRPr="00883413" w:rsidRDefault="005643E1" w:rsidP="00B80458">
      <w:pPr>
        <w:spacing w:before="240" w:line="360" w:lineRule="auto"/>
        <w:jc w:val="both"/>
        <w:rPr>
          <w:rFonts w:ascii="Times New Roman" w:hAnsi="Times New Roman" w:cs="Times New Roman"/>
          <w:lang w:val="en-US"/>
        </w:rPr>
      </w:pPr>
    </w:p>
    <w:p w14:paraId="1A968987" w14:textId="77777777" w:rsidR="005643E1" w:rsidRPr="00AC7972" w:rsidRDefault="005643E1" w:rsidP="00B80458">
      <w:pPr>
        <w:spacing w:before="240" w:line="360" w:lineRule="auto"/>
        <w:jc w:val="both"/>
        <w:rPr>
          <w:rFonts w:ascii="Times New Roman" w:hAnsi="Times New Roman" w:cs="Times New Roman"/>
          <w:b/>
          <w:bCs/>
          <w:lang w:val="en-US"/>
        </w:rPr>
      </w:pPr>
      <w:r w:rsidRPr="00AC7972">
        <w:rPr>
          <w:rFonts w:ascii="Times New Roman" w:hAnsi="Times New Roman" w:cs="Times New Roman"/>
          <w:b/>
          <w:bCs/>
          <w:lang w:val="en-US"/>
        </w:rPr>
        <w:t>Conclusion</w:t>
      </w:r>
    </w:p>
    <w:p w14:paraId="60141D29" w14:textId="60A16F6A" w:rsidR="00786220" w:rsidRPr="00883413" w:rsidRDefault="00AC7972" w:rsidP="00B80458">
      <w:pPr>
        <w:spacing w:before="240" w:line="360" w:lineRule="auto"/>
        <w:jc w:val="both"/>
        <w:rPr>
          <w:rFonts w:ascii="Times New Roman" w:hAnsi="Times New Roman" w:cs="Times New Roman"/>
          <w:lang w:val="en-US"/>
        </w:rPr>
      </w:pPr>
      <w:r>
        <w:t xml:space="preserve">This </w:t>
      </w:r>
      <w:proofErr w:type="spellStart"/>
      <w:r>
        <w:t>study</w:t>
      </w:r>
      <w:proofErr w:type="spellEnd"/>
      <w:r>
        <w:t xml:space="preserve"> </w:t>
      </w:r>
      <w:proofErr w:type="spellStart"/>
      <w:r>
        <w:t>documented</w:t>
      </w:r>
      <w:proofErr w:type="spellEnd"/>
      <w:r>
        <w:t xml:space="preserve"> </w:t>
      </w:r>
      <w:proofErr w:type="spellStart"/>
      <w:r>
        <w:t>medicinal</w:t>
      </w:r>
      <w:proofErr w:type="spellEnd"/>
      <w:r>
        <w:t xml:space="preserve"> plants </w:t>
      </w:r>
      <w:proofErr w:type="spellStart"/>
      <w:r>
        <w:t>used</w:t>
      </w:r>
      <w:proofErr w:type="spellEnd"/>
      <w:r>
        <w:t xml:space="preserve"> </w:t>
      </w:r>
      <w:proofErr w:type="spellStart"/>
      <w:r>
        <w:t>traditionally</w:t>
      </w:r>
      <w:proofErr w:type="spellEnd"/>
      <w:r>
        <w:t xml:space="preserve"> for </w:t>
      </w:r>
      <w:proofErr w:type="spellStart"/>
      <w:r>
        <w:t>diabetes</w:t>
      </w:r>
      <w:proofErr w:type="spellEnd"/>
      <w:r>
        <w:t xml:space="preserve"> management in Bobo-Dioulasso and </w:t>
      </w:r>
      <w:proofErr w:type="spellStart"/>
      <w:r>
        <w:t>identified</w:t>
      </w:r>
      <w:proofErr w:type="spellEnd"/>
      <w:r>
        <w:t xml:space="preserve">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and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as the </w:t>
      </w:r>
      <w:proofErr w:type="spellStart"/>
      <w:r>
        <w:t>most</w:t>
      </w:r>
      <w:proofErr w:type="spellEnd"/>
      <w:r>
        <w:t xml:space="preserve"> </w:t>
      </w:r>
      <w:proofErr w:type="spellStart"/>
      <w:r>
        <w:t>frequently</w:t>
      </w:r>
      <w:proofErr w:type="spellEnd"/>
      <w:r>
        <w:t xml:space="preserve"> </w:t>
      </w:r>
      <w:proofErr w:type="spellStart"/>
      <w:r>
        <w:t>cited</w:t>
      </w:r>
      <w:proofErr w:type="spellEnd"/>
      <w:r>
        <w:t xml:space="preserve"> </w:t>
      </w:r>
      <w:proofErr w:type="spellStart"/>
      <w:r>
        <w:t>species</w:t>
      </w:r>
      <w:proofErr w:type="spellEnd"/>
      <w:r>
        <w:t xml:space="preserve">. </w:t>
      </w:r>
      <w:proofErr w:type="spellStart"/>
      <w:r>
        <w:t>Laboratory</w:t>
      </w:r>
      <w:proofErr w:type="spellEnd"/>
      <w:r>
        <w:t xml:space="preserve"> analyses </w:t>
      </w:r>
      <w:proofErr w:type="spellStart"/>
      <w:r>
        <w:t>showed</w:t>
      </w:r>
      <w:proofErr w:type="spellEnd"/>
      <w:r>
        <w:t xml:space="preserve"> variation in </w:t>
      </w:r>
      <w:proofErr w:type="spellStart"/>
      <w:r>
        <w:t>primary</w:t>
      </w:r>
      <w:proofErr w:type="spellEnd"/>
      <w:r>
        <w:t xml:space="preserve"> and </w:t>
      </w:r>
      <w:proofErr w:type="spellStart"/>
      <w:r>
        <w:t>secondary</w:t>
      </w:r>
      <w:proofErr w:type="spellEnd"/>
      <w:r>
        <w:t xml:space="preserve"> </w:t>
      </w:r>
      <w:proofErr w:type="spellStart"/>
      <w:r>
        <w:t>metabolites</w:t>
      </w:r>
      <w:proofErr w:type="spellEnd"/>
      <w:r>
        <w:t xml:space="preserve"> </w:t>
      </w:r>
      <w:proofErr w:type="spellStart"/>
      <w:r>
        <w:t>between</w:t>
      </w:r>
      <w:proofErr w:type="spellEnd"/>
      <w:r>
        <w:t xml:space="preserve"> </w:t>
      </w:r>
      <w:proofErr w:type="spellStart"/>
      <w:r>
        <w:t>species</w:t>
      </w:r>
      <w:proofErr w:type="spellEnd"/>
      <w:r>
        <w:t xml:space="preserve"> and collection sites.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w:t>
      </w:r>
      <w:proofErr w:type="spellStart"/>
      <w:r>
        <w:t>bark</w:t>
      </w:r>
      <w:proofErr w:type="spellEnd"/>
      <w:r>
        <w:t xml:space="preserve"> </w:t>
      </w:r>
      <w:proofErr w:type="spellStart"/>
      <w:r>
        <w:t>from</w:t>
      </w:r>
      <w:proofErr w:type="spellEnd"/>
      <w:r>
        <w:t xml:space="preserve"> Boromo </w:t>
      </w:r>
      <w:proofErr w:type="spellStart"/>
      <w:r>
        <w:t>showed</w:t>
      </w:r>
      <w:proofErr w:type="spellEnd"/>
      <w:r>
        <w:t xml:space="preserve"> the </w:t>
      </w:r>
      <w:proofErr w:type="spellStart"/>
      <w:r>
        <w:t>highest</w:t>
      </w:r>
      <w:proofErr w:type="spellEnd"/>
      <w:r>
        <w:t xml:space="preserve"> </w:t>
      </w:r>
      <w:proofErr w:type="spellStart"/>
      <w:r>
        <w:t>ascorbic</w:t>
      </w:r>
      <w:proofErr w:type="spellEnd"/>
      <w:r>
        <w:t xml:space="preserve"> </w:t>
      </w:r>
      <w:proofErr w:type="spellStart"/>
      <w:r>
        <w:t>acid</w:t>
      </w:r>
      <w:proofErr w:type="spellEnd"/>
      <w:r>
        <w:t xml:space="preserve"> content, </w:t>
      </w:r>
      <w:proofErr w:type="spellStart"/>
      <w:r>
        <w:t>while</w:t>
      </w:r>
      <w:proofErr w:type="spellEnd"/>
      <w:r>
        <w:t xml:space="preserve">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w:t>
      </w:r>
      <w:proofErr w:type="spellStart"/>
      <w:r>
        <w:t>from</w:t>
      </w:r>
      <w:proofErr w:type="spellEnd"/>
      <w:r>
        <w:t xml:space="preserve"> Boromo </w:t>
      </w:r>
      <w:proofErr w:type="spellStart"/>
      <w:r>
        <w:t>had</w:t>
      </w:r>
      <w:proofErr w:type="spellEnd"/>
      <w:r>
        <w:t xml:space="preserve"> the </w:t>
      </w:r>
      <w:proofErr w:type="spellStart"/>
      <w:r>
        <w:t>highest</w:t>
      </w:r>
      <w:proofErr w:type="spellEnd"/>
      <w:r>
        <w:t xml:space="preserve"> total </w:t>
      </w:r>
      <w:proofErr w:type="spellStart"/>
      <w:r>
        <w:t>sugar</w:t>
      </w:r>
      <w:proofErr w:type="spellEnd"/>
      <w:r>
        <w:t xml:space="preserve"> content. Total </w:t>
      </w:r>
      <w:proofErr w:type="spellStart"/>
      <w:r>
        <w:t>phenolic</w:t>
      </w:r>
      <w:proofErr w:type="spellEnd"/>
      <w:r>
        <w:t xml:space="preserve"> content </w:t>
      </w:r>
      <w:proofErr w:type="spellStart"/>
      <w:r>
        <w:t>was</w:t>
      </w:r>
      <w:proofErr w:type="spellEnd"/>
      <w:r>
        <w:t xml:space="preserve"> </w:t>
      </w:r>
      <w:proofErr w:type="spellStart"/>
      <w:r>
        <w:t>highest</w:t>
      </w:r>
      <w:proofErr w:type="spellEnd"/>
      <w:r>
        <w:t xml:space="preserve"> in </w:t>
      </w:r>
      <w:proofErr w:type="spellStart"/>
      <w:r>
        <w:rPr>
          <w:rStyle w:val="Emphasis"/>
        </w:rPr>
        <w:t>Sclerocarya</w:t>
      </w:r>
      <w:proofErr w:type="spellEnd"/>
      <w:r>
        <w:rPr>
          <w:rStyle w:val="Emphasis"/>
        </w:rPr>
        <w:t xml:space="preserve"> </w:t>
      </w:r>
      <w:proofErr w:type="spellStart"/>
      <w:r>
        <w:rPr>
          <w:rStyle w:val="Emphasis"/>
        </w:rPr>
        <w:t>birrea</w:t>
      </w:r>
      <w:proofErr w:type="spellEnd"/>
      <w:r>
        <w:t xml:space="preserve"> </w:t>
      </w:r>
      <w:proofErr w:type="spellStart"/>
      <w:r>
        <w:t>from</w:t>
      </w:r>
      <w:proofErr w:type="spellEnd"/>
      <w:r>
        <w:t xml:space="preserve"> Bobo-Dioulasso, </w:t>
      </w:r>
      <w:proofErr w:type="spellStart"/>
      <w:r>
        <w:t>whereas</w:t>
      </w:r>
      <w:proofErr w:type="spellEnd"/>
      <w:r>
        <w:t xml:space="preserve"> total </w:t>
      </w:r>
      <w:proofErr w:type="spellStart"/>
      <w:r>
        <w:t>flavonoids</w:t>
      </w:r>
      <w:proofErr w:type="spellEnd"/>
      <w:r>
        <w:t xml:space="preserve"> </w:t>
      </w:r>
      <w:proofErr w:type="spellStart"/>
      <w:r>
        <w:t>were</w:t>
      </w:r>
      <w:proofErr w:type="spellEnd"/>
      <w:r>
        <w:t xml:space="preserve"> </w:t>
      </w:r>
      <w:proofErr w:type="spellStart"/>
      <w:r>
        <w:t>highest</w:t>
      </w:r>
      <w:proofErr w:type="spellEnd"/>
      <w:r>
        <w:t xml:space="preserve"> in </w:t>
      </w:r>
      <w:proofErr w:type="spellStart"/>
      <w:r>
        <w:rPr>
          <w:rStyle w:val="Emphasis"/>
        </w:rPr>
        <w:t>Leptadenia</w:t>
      </w:r>
      <w:proofErr w:type="spellEnd"/>
      <w:r>
        <w:rPr>
          <w:rStyle w:val="Emphasis"/>
        </w:rPr>
        <w:t xml:space="preserve"> </w:t>
      </w:r>
      <w:proofErr w:type="spellStart"/>
      <w:r>
        <w:rPr>
          <w:rStyle w:val="Emphasis"/>
        </w:rPr>
        <w:t>hastata</w:t>
      </w:r>
      <w:proofErr w:type="spellEnd"/>
      <w:r>
        <w:t xml:space="preserve"> </w:t>
      </w:r>
      <w:proofErr w:type="spellStart"/>
      <w:r>
        <w:t>from</w:t>
      </w:r>
      <w:proofErr w:type="spellEnd"/>
      <w:r>
        <w:t xml:space="preserve"> Bobo-Dioulasso. The </w:t>
      </w:r>
      <w:proofErr w:type="spellStart"/>
      <w:r>
        <w:t>extracts</w:t>
      </w:r>
      <w:proofErr w:type="spellEnd"/>
      <w:r>
        <w:t xml:space="preserve"> </w:t>
      </w:r>
      <w:proofErr w:type="spellStart"/>
      <w:r>
        <w:t>also</w:t>
      </w:r>
      <w:proofErr w:type="spellEnd"/>
      <w:r>
        <w:t xml:space="preserve"> </w:t>
      </w:r>
      <w:proofErr w:type="spellStart"/>
      <w:r>
        <w:t>showed</w:t>
      </w:r>
      <w:proofErr w:type="spellEnd"/>
      <w:r>
        <w:t xml:space="preserve"> </w:t>
      </w:r>
      <w:proofErr w:type="spellStart"/>
      <w:r>
        <w:t>measurable</w:t>
      </w:r>
      <w:proofErr w:type="spellEnd"/>
      <w:r>
        <w:t xml:space="preserve"> </w:t>
      </w:r>
      <w:proofErr w:type="spellStart"/>
      <w:r>
        <w:t>antioxidant</w:t>
      </w:r>
      <w:proofErr w:type="spellEnd"/>
      <w:r>
        <w:t xml:space="preserve"> </w:t>
      </w:r>
      <w:proofErr w:type="spellStart"/>
      <w:r>
        <w:t>activity</w:t>
      </w:r>
      <w:proofErr w:type="spellEnd"/>
      <w:r>
        <w:t xml:space="preserve"> </w:t>
      </w:r>
      <w:proofErr w:type="spellStart"/>
      <w:r>
        <w:t>using</w:t>
      </w:r>
      <w:proofErr w:type="spellEnd"/>
      <w:r>
        <w:t xml:space="preserve"> DPPH•, FRAP, and ABTS•+ </w:t>
      </w:r>
      <w:proofErr w:type="spellStart"/>
      <w:r>
        <w:t>assays</w:t>
      </w:r>
      <w:proofErr w:type="spellEnd"/>
      <w:r>
        <w:t xml:space="preserve">. </w:t>
      </w:r>
      <w:proofErr w:type="spellStart"/>
      <w:r>
        <w:t>Microbiological</w:t>
      </w:r>
      <w:proofErr w:type="spellEnd"/>
      <w:r>
        <w:t xml:space="preserve"> </w:t>
      </w:r>
      <w:proofErr w:type="spellStart"/>
      <w:r>
        <w:t>assessment</w:t>
      </w:r>
      <w:proofErr w:type="spellEnd"/>
      <w:r>
        <w:t xml:space="preserve"> </w:t>
      </w:r>
      <w:proofErr w:type="spellStart"/>
      <w:r>
        <w:t>demonstrated</w:t>
      </w:r>
      <w:proofErr w:type="spellEnd"/>
      <w:r>
        <w:t xml:space="preserve"> variation in Total </w:t>
      </w:r>
      <w:proofErr w:type="spellStart"/>
      <w:r>
        <w:t>Mesophilic</w:t>
      </w:r>
      <w:proofErr w:type="spellEnd"/>
      <w:r>
        <w:t xml:space="preserve"> </w:t>
      </w:r>
      <w:proofErr w:type="spellStart"/>
      <w:r>
        <w:t>Aerobic</w:t>
      </w:r>
      <w:proofErr w:type="spellEnd"/>
      <w:r>
        <w:t xml:space="preserve"> Flora </w:t>
      </w:r>
      <w:proofErr w:type="spellStart"/>
      <w:r>
        <w:t>among</w:t>
      </w:r>
      <w:proofErr w:type="spellEnd"/>
      <w:r>
        <w:t xml:space="preserve"> the plant </w:t>
      </w:r>
      <w:proofErr w:type="spellStart"/>
      <w:r>
        <w:t>samples</w:t>
      </w:r>
      <w:proofErr w:type="spellEnd"/>
      <w:r>
        <w:t xml:space="preserve">, </w:t>
      </w:r>
      <w:proofErr w:type="spellStart"/>
      <w:r>
        <w:t>highlighting</w:t>
      </w:r>
      <w:proofErr w:type="spellEnd"/>
      <w:r>
        <w:t xml:space="preserve"> the relevance of </w:t>
      </w:r>
      <w:proofErr w:type="spellStart"/>
      <w:r>
        <w:t>harvesting</w:t>
      </w:r>
      <w:proofErr w:type="spellEnd"/>
      <w:r>
        <w:t>, handling, and post-</w:t>
      </w:r>
      <w:proofErr w:type="spellStart"/>
      <w:r>
        <w:t>harvest</w:t>
      </w:r>
      <w:proofErr w:type="spellEnd"/>
      <w:r>
        <w:t xml:space="preserve"> practices to </w:t>
      </w:r>
      <w:proofErr w:type="spellStart"/>
      <w:r>
        <w:t>product</w:t>
      </w:r>
      <w:proofErr w:type="spellEnd"/>
      <w:r>
        <w:t xml:space="preserve"> </w:t>
      </w:r>
      <w:proofErr w:type="spellStart"/>
      <w:r>
        <w:t>quality</w:t>
      </w:r>
      <w:proofErr w:type="spellEnd"/>
      <w:r>
        <w:t xml:space="preserve">. Taken </w:t>
      </w:r>
      <w:proofErr w:type="spellStart"/>
      <w:r>
        <w:t>together</w:t>
      </w:r>
      <w:proofErr w:type="spellEnd"/>
      <w:r>
        <w:t xml:space="preserve">, </w:t>
      </w:r>
      <w:proofErr w:type="spellStart"/>
      <w:r>
        <w:t>these</w:t>
      </w:r>
      <w:proofErr w:type="spellEnd"/>
      <w:r>
        <w:t xml:space="preserve"> </w:t>
      </w:r>
      <w:proofErr w:type="spellStart"/>
      <w:r>
        <w:t>findings</w:t>
      </w:r>
      <w:proofErr w:type="spellEnd"/>
      <w:r>
        <w:t xml:space="preserve"> </w:t>
      </w:r>
      <w:proofErr w:type="spellStart"/>
      <w:r>
        <w:t>provide</w:t>
      </w:r>
      <w:proofErr w:type="spellEnd"/>
      <w:r>
        <w:t xml:space="preserve"> </w:t>
      </w:r>
      <w:proofErr w:type="spellStart"/>
      <w:r>
        <w:t>phytochemical</w:t>
      </w:r>
      <w:proofErr w:type="spellEnd"/>
      <w:r>
        <w:t xml:space="preserve">, </w:t>
      </w:r>
      <w:proofErr w:type="spellStart"/>
      <w:r>
        <w:t>antioxidant</w:t>
      </w:r>
      <w:proofErr w:type="spellEnd"/>
      <w:r>
        <w:t xml:space="preserve">, and </w:t>
      </w:r>
      <w:proofErr w:type="spellStart"/>
      <w:r>
        <w:t>quality</w:t>
      </w:r>
      <w:proofErr w:type="spellEnd"/>
      <w:r>
        <w:t xml:space="preserve">-control data </w:t>
      </w:r>
      <w:proofErr w:type="spellStart"/>
      <w:r>
        <w:t>that</w:t>
      </w:r>
      <w:proofErr w:type="spellEnd"/>
      <w:r>
        <w:t xml:space="preserve"> support </w:t>
      </w:r>
      <w:proofErr w:type="spellStart"/>
      <w:r>
        <w:t>continued</w:t>
      </w:r>
      <w:proofErr w:type="spellEnd"/>
      <w:r>
        <w:t xml:space="preserve"> </w:t>
      </w:r>
      <w:proofErr w:type="spellStart"/>
      <w:r>
        <w:t>scientific</w:t>
      </w:r>
      <w:proofErr w:type="spellEnd"/>
      <w:r>
        <w:t xml:space="preserve"> investigation of </w:t>
      </w:r>
      <w:proofErr w:type="spellStart"/>
      <w:r>
        <w:t>these</w:t>
      </w:r>
      <w:proofErr w:type="spellEnd"/>
      <w:r>
        <w:t xml:space="preserve"> </w:t>
      </w:r>
      <w:proofErr w:type="spellStart"/>
      <w:r>
        <w:t>traditionally</w:t>
      </w:r>
      <w:proofErr w:type="spellEnd"/>
      <w:r>
        <w:t xml:space="preserve"> </w:t>
      </w:r>
      <w:proofErr w:type="spellStart"/>
      <w:r>
        <w:t>used</w:t>
      </w:r>
      <w:proofErr w:type="spellEnd"/>
      <w:r>
        <w:t xml:space="preserve"> plants. They </w:t>
      </w:r>
      <w:proofErr w:type="spellStart"/>
      <w:r>
        <w:t>should</w:t>
      </w:r>
      <w:proofErr w:type="spellEnd"/>
      <w:r>
        <w:t xml:space="preserve"> not, </w:t>
      </w:r>
      <w:proofErr w:type="spellStart"/>
      <w:r>
        <w:t>however</w:t>
      </w:r>
      <w:proofErr w:type="spellEnd"/>
      <w:r>
        <w:t xml:space="preserve">, </w:t>
      </w:r>
      <w:proofErr w:type="spellStart"/>
      <w:r>
        <w:t>be</w:t>
      </w:r>
      <w:proofErr w:type="spellEnd"/>
      <w:r>
        <w:t xml:space="preserve"> </w:t>
      </w:r>
      <w:proofErr w:type="spellStart"/>
      <w:r>
        <w:t>interpreted</w:t>
      </w:r>
      <w:proofErr w:type="spellEnd"/>
      <w:r>
        <w:t xml:space="preserve"> as direct confirmation of </w:t>
      </w:r>
      <w:proofErr w:type="spellStart"/>
      <w:r>
        <w:t>clinical</w:t>
      </w:r>
      <w:proofErr w:type="spellEnd"/>
      <w:r>
        <w:t xml:space="preserve"> </w:t>
      </w:r>
      <w:proofErr w:type="spellStart"/>
      <w:r>
        <w:t>antidiabetic</w:t>
      </w:r>
      <w:proofErr w:type="spellEnd"/>
      <w:r>
        <w:t xml:space="preserve"> </w:t>
      </w:r>
      <w:proofErr w:type="spellStart"/>
      <w:r>
        <w:t>efficacy</w:t>
      </w:r>
      <w:proofErr w:type="spellEnd"/>
      <w:r>
        <w:t>.</w:t>
      </w:r>
    </w:p>
    <w:p w14:paraId="7EAF931F" w14:textId="326A610D" w:rsidR="00E02DCD" w:rsidRDefault="00AC7972" w:rsidP="002C6A79">
      <w:pPr>
        <w:spacing w:after="0" w:line="240" w:lineRule="auto"/>
        <w:rPr>
          <w:rFonts w:ascii="Times New Roman" w:hAnsi="Times New Roman" w:cs="Times New Roman"/>
          <w:b/>
        </w:rPr>
      </w:pPr>
      <w:r>
        <w:rPr>
          <w:rFonts w:ascii="Times New Roman" w:hAnsi="Times New Roman" w:cs="Times New Roman"/>
          <w:b/>
        </w:rPr>
        <w:t xml:space="preserve">Limitations </w:t>
      </w:r>
    </w:p>
    <w:p w14:paraId="1D78274F" w14:textId="58F7C28E" w:rsidR="00AC7972" w:rsidRDefault="00AC7972" w:rsidP="00AC7972">
      <w:pPr>
        <w:spacing w:after="0" w:line="240" w:lineRule="auto"/>
        <w:jc w:val="both"/>
        <w:rPr>
          <w:rFonts w:ascii="Times New Roman" w:hAnsi="Times New Roman" w:cs="Times New Roman"/>
          <w:b/>
        </w:rPr>
      </w:pPr>
      <w:r>
        <w:t xml:space="preserve">The </w:t>
      </w:r>
      <w:proofErr w:type="spellStart"/>
      <w:r>
        <w:t>study</w:t>
      </w:r>
      <w:proofErr w:type="spellEnd"/>
      <w:r>
        <w:t xml:space="preserve"> </w:t>
      </w:r>
      <w:proofErr w:type="spellStart"/>
      <w:r>
        <w:t>surveyed</w:t>
      </w:r>
      <w:proofErr w:type="spellEnd"/>
      <w:r>
        <w:t xml:space="preserve"> 50 </w:t>
      </w:r>
      <w:proofErr w:type="spellStart"/>
      <w:r>
        <w:t>traditional</w:t>
      </w:r>
      <w:proofErr w:type="spellEnd"/>
      <w:r>
        <w:t xml:space="preserve"> </w:t>
      </w:r>
      <w:proofErr w:type="spellStart"/>
      <w:r>
        <w:t>health</w:t>
      </w:r>
      <w:proofErr w:type="spellEnd"/>
      <w:r>
        <w:t xml:space="preserve"> </w:t>
      </w:r>
      <w:proofErr w:type="spellStart"/>
      <w:r>
        <w:t>practitioners</w:t>
      </w:r>
      <w:proofErr w:type="spellEnd"/>
      <w:r>
        <w:t xml:space="preserve"> in Bobo-Dioulasso and </w:t>
      </w:r>
      <w:proofErr w:type="spellStart"/>
      <w:r>
        <w:t>experimentally</w:t>
      </w:r>
      <w:proofErr w:type="spellEnd"/>
      <w:r>
        <w:t xml:space="preserve"> </w:t>
      </w:r>
      <w:proofErr w:type="spellStart"/>
      <w:r>
        <w:t>evaluated</w:t>
      </w:r>
      <w:proofErr w:type="spellEnd"/>
      <w:r>
        <w:t xml:space="preserve"> </w:t>
      </w:r>
      <w:proofErr w:type="spellStart"/>
      <w:r>
        <w:t>only</w:t>
      </w:r>
      <w:proofErr w:type="spellEnd"/>
      <w:r>
        <w:t xml:space="preserve"> </w:t>
      </w:r>
      <w:proofErr w:type="spellStart"/>
      <w:r>
        <w:t>two</w:t>
      </w:r>
      <w:proofErr w:type="spellEnd"/>
      <w:r>
        <w:t xml:space="preserve"> of the </w:t>
      </w:r>
      <w:proofErr w:type="spellStart"/>
      <w:r>
        <w:t>identified</w:t>
      </w:r>
      <w:proofErr w:type="spellEnd"/>
      <w:r>
        <w:t xml:space="preserve"> </w:t>
      </w:r>
      <w:proofErr w:type="spellStart"/>
      <w:r>
        <w:t>medicinal</w:t>
      </w:r>
      <w:proofErr w:type="spellEnd"/>
      <w:r>
        <w:t xml:space="preserve"> plant </w:t>
      </w:r>
      <w:proofErr w:type="spellStart"/>
      <w:r>
        <w:t>species</w:t>
      </w:r>
      <w:proofErr w:type="spellEnd"/>
      <w:r>
        <w:t xml:space="preserve">. </w:t>
      </w:r>
      <w:proofErr w:type="spellStart"/>
      <w:r>
        <w:t>Laboratory</w:t>
      </w:r>
      <w:proofErr w:type="spellEnd"/>
      <w:r>
        <w:t xml:space="preserve"> </w:t>
      </w:r>
      <w:proofErr w:type="spellStart"/>
      <w:r>
        <w:t>assessment</w:t>
      </w:r>
      <w:proofErr w:type="spellEnd"/>
      <w:r>
        <w:t xml:space="preserve"> </w:t>
      </w:r>
      <w:proofErr w:type="spellStart"/>
      <w:r>
        <w:t>focused</w:t>
      </w:r>
      <w:proofErr w:type="spellEnd"/>
      <w:r>
        <w:t xml:space="preserve"> on </w:t>
      </w:r>
      <w:proofErr w:type="spellStart"/>
      <w:r>
        <w:t>ethanolic</w:t>
      </w:r>
      <w:proofErr w:type="spellEnd"/>
      <w:r>
        <w:t xml:space="preserve"> </w:t>
      </w:r>
      <w:proofErr w:type="spellStart"/>
      <w:r>
        <w:t>macerates</w:t>
      </w:r>
      <w:proofErr w:type="spellEnd"/>
      <w:r>
        <w:t xml:space="preserve">, </w:t>
      </w:r>
      <w:proofErr w:type="spellStart"/>
      <w:r>
        <w:t>selected</w:t>
      </w:r>
      <w:proofErr w:type="spellEnd"/>
      <w:r>
        <w:t xml:space="preserve"> </w:t>
      </w:r>
      <w:proofErr w:type="spellStart"/>
      <w:r>
        <w:t>phytochemical</w:t>
      </w:r>
      <w:proofErr w:type="spellEnd"/>
      <w:r>
        <w:t xml:space="preserve"> </w:t>
      </w:r>
      <w:proofErr w:type="spellStart"/>
      <w:r>
        <w:t>constituents</w:t>
      </w:r>
      <w:proofErr w:type="spellEnd"/>
      <w:r>
        <w:t xml:space="preserve">, in vitro </w:t>
      </w:r>
      <w:proofErr w:type="spellStart"/>
      <w:r>
        <w:t>antioxidant</w:t>
      </w:r>
      <w:proofErr w:type="spellEnd"/>
      <w:r>
        <w:t xml:space="preserve"> </w:t>
      </w:r>
      <w:proofErr w:type="spellStart"/>
      <w:r>
        <w:t>assays</w:t>
      </w:r>
      <w:proofErr w:type="spellEnd"/>
      <w:r>
        <w:t xml:space="preserve">, and Total </w:t>
      </w:r>
      <w:proofErr w:type="spellStart"/>
      <w:r>
        <w:t>Mesophilic</w:t>
      </w:r>
      <w:proofErr w:type="spellEnd"/>
      <w:r>
        <w:t xml:space="preserve"> </w:t>
      </w:r>
      <w:proofErr w:type="spellStart"/>
      <w:r>
        <w:t>Aerobic</w:t>
      </w:r>
      <w:proofErr w:type="spellEnd"/>
      <w:r>
        <w:t xml:space="preserve"> Flora. </w:t>
      </w:r>
      <w:proofErr w:type="spellStart"/>
      <w:r>
        <w:t>Accordingly</w:t>
      </w:r>
      <w:proofErr w:type="spellEnd"/>
      <w:r>
        <w:t xml:space="preserve">, the </w:t>
      </w:r>
      <w:proofErr w:type="spellStart"/>
      <w:r>
        <w:t>findings</w:t>
      </w:r>
      <w:proofErr w:type="spellEnd"/>
      <w:r>
        <w:t xml:space="preserve"> </w:t>
      </w:r>
      <w:proofErr w:type="spellStart"/>
      <w:r>
        <w:t>characterise</w:t>
      </w:r>
      <w:proofErr w:type="spellEnd"/>
      <w:r>
        <w:t xml:space="preserve"> the </w:t>
      </w:r>
      <w:proofErr w:type="spellStart"/>
      <w:r>
        <w:t>selected</w:t>
      </w:r>
      <w:proofErr w:type="spellEnd"/>
      <w:r>
        <w:t xml:space="preserve"> </w:t>
      </w:r>
      <w:proofErr w:type="spellStart"/>
      <w:r>
        <w:t>samples</w:t>
      </w:r>
      <w:proofErr w:type="spellEnd"/>
      <w:r>
        <w:t xml:space="preserve"> </w:t>
      </w:r>
      <w:proofErr w:type="spellStart"/>
      <w:r>
        <w:t>under</w:t>
      </w:r>
      <w:proofErr w:type="spellEnd"/>
      <w:r>
        <w:t xml:space="preserve"> the </w:t>
      </w:r>
      <w:proofErr w:type="spellStart"/>
      <w:r>
        <w:t>study</w:t>
      </w:r>
      <w:proofErr w:type="spellEnd"/>
      <w:r>
        <w:t xml:space="preserve"> conditions but do not </w:t>
      </w:r>
      <w:proofErr w:type="spellStart"/>
      <w:r>
        <w:t>directly</w:t>
      </w:r>
      <w:proofErr w:type="spellEnd"/>
      <w:r>
        <w:t xml:space="preserve"> </w:t>
      </w:r>
      <w:proofErr w:type="spellStart"/>
      <w:r>
        <w:t>establish</w:t>
      </w:r>
      <w:proofErr w:type="spellEnd"/>
      <w:r>
        <w:t xml:space="preserve"> </w:t>
      </w:r>
      <w:proofErr w:type="spellStart"/>
      <w:r>
        <w:t>antidiabetic</w:t>
      </w:r>
      <w:proofErr w:type="spellEnd"/>
      <w:r>
        <w:t xml:space="preserve"> </w:t>
      </w:r>
      <w:proofErr w:type="spellStart"/>
      <w:r>
        <w:t>efficacy</w:t>
      </w:r>
      <w:proofErr w:type="spellEnd"/>
      <w:r>
        <w:t xml:space="preserve">. </w:t>
      </w:r>
      <w:proofErr w:type="spellStart"/>
      <w:r>
        <w:t>Differences</w:t>
      </w:r>
      <w:proofErr w:type="spellEnd"/>
      <w:r>
        <w:t xml:space="preserve"> </w:t>
      </w:r>
      <w:proofErr w:type="spellStart"/>
      <w:r>
        <w:t>between</w:t>
      </w:r>
      <w:proofErr w:type="spellEnd"/>
      <w:r>
        <w:t xml:space="preserve"> collection sites </w:t>
      </w:r>
      <w:proofErr w:type="spellStart"/>
      <w:r>
        <w:t>also</w:t>
      </w:r>
      <w:proofErr w:type="spellEnd"/>
      <w:r>
        <w:t xml:space="preserve"> </w:t>
      </w:r>
      <w:proofErr w:type="spellStart"/>
      <w:r>
        <w:t>limit</w:t>
      </w:r>
      <w:proofErr w:type="spellEnd"/>
      <w:r>
        <w:t xml:space="preserve"> </w:t>
      </w:r>
      <w:proofErr w:type="spellStart"/>
      <w:r>
        <w:t>generalisation</w:t>
      </w:r>
      <w:proofErr w:type="spellEnd"/>
      <w:r>
        <w:t xml:space="preserve"> of the </w:t>
      </w:r>
      <w:proofErr w:type="spellStart"/>
      <w:r>
        <w:t>measured</w:t>
      </w:r>
      <w:proofErr w:type="spellEnd"/>
      <w:r>
        <w:t xml:space="preserve"> </w:t>
      </w:r>
      <w:proofErr w:type="spellStart"/>
      <w:r>
        <w:t>phytochemical</w:t>
      </w:r>
      <w:proofErr w:type="spellEnd"/>
      <w:r>
        <w:t xml:space="preserve">, </w:t>
      </w:r>
      <w:proofErr w:type="spellStart"/>
      <w:r>
        <w:t>antioxidant</w:t>
      </w:r>
      <w:proofErr w:type="spellEnd"/>
      <w:r>
        <w:t xml:space="preserve">, and </w:t>
      </w:r>
      <w:proofErr w:type="spellStart"/>
      <w:r>
        <w:t>microbiological</w:t>
      </w:r>
      <w:proofErr w:type="spellEnd"/>
      <w:r>
        <w:t xml:space="preserve"> values </w:t>
      </w:r>
      <w:proofErr w:type="spellStart"/>
      <w:r>
        <w:t>beyond</w:t>
      </w:r>
      <w:proofErr w:type="spellEnd"/>
      <w:r>
        <w:t xml:space="preserve"> the </w:t>
      </w:r>
      <w:proofErr w:type="spellStart"/>
      <w:r>
        <w:t>analysed</w:t>
      </w:r>
      <w:proofErr w:type="spellEnd"/>
      <w:r>
        <w:t xml:space="preserve"> </w:t>
      </w:r>
      <w:proofErr w:type="spellStart"/>
      <w:r>
        <w:t>samples</w:t>
      </w:r>
      <w:proofErr w:type="spellEnd"/>
      <w:r>
        <w:t>.</w:t>
      </w:r>
    </w:p>
    <w:p w14:paraId="18C38862" w14:textId="77777777" w:rsidR="00AC7972" w:rsidRDefault="00AC7972" w:rsidP="002C6A79">
      <w:pPr>
        <w:spacing w:after="0" w:line="240" w:lineRule="auto"/>
        <w:rPr>
          <w:rFonts w:ascii="Times New Roman" w:hAnsi="Times New Roman" w:cs="Times New Roman"/>
          <w:b/>
        </w:rPr>
      </w:pPr>
    </w:p>
    <w:p w14:paraId="4C9F2D89" w14:textId="77777777" w:rsidR="00AC7972" w:rsidRDefault="00AC7972" w:rsidP="002C6A79">
      <w:pPr>
        <w:spacing w:after="0" w:line="240" w:lineRule="auto"/>
        <w:rPr>
          <w:rFonts w:ascii="Times New Roman" w:hAnsi="Times New Roman" w:cs="Times New Roman"/>
          <w:b/>
        </w:rPr>
      </w:pPr>
    </w:p>
    <w:p w14:paraId="30ABF550" w14:textId="77777777" w:rsidR="002C6A79" w:rsidRDefault="002C6A79" w:rsidP="002C6A79">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4FEECB03" w14:textId="77777777" w:rsidR="002C6A79" w:rsidRDefault="002C6A79" w:rsidP="002C6A79">
      <w:pPr>
        <w:spacing w:after="0" w:line="240" w:lineRule="auto"/>
        <w:rPr>
          <w:rFonts w:ascii="Times New Roman" w:hAnsi="Times New Roman" w:cs="Times New Roman"/>
          <w:b/>
        </w:rPr>
      </w:pPr>
    </w:p>
    <w:p w14:paraId="16EF20D6" w14:textId="77777777" w:rsidR="002C6A79" w:rsidRDefault="002C6A79" w:rsidP="002C6A79">
      <w:pPr>
        <w:spacing w:after="0" w:line="240" w:lineRule="auto"/>
        <w:rPr>
          <w:rFonts w:ascii="Times New Roman" w:hAnsi="Times New Roman" w:cs="Times New Roman"/>
          <w:b/>
        </w:rPr>
      </w:pPr>
    </w:p>
    <w:p w14:paraId="1F7FCFD3" w14:textId="24B4463E" w:rsidR="002C6A79" w:rsidRDefault="002C6A79" w:rsidP="00AC7972">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955E967" w14:textId="77777777" w:rsidR="00AC7972" w:rsidRPr="00AC7972" w:rsidRDefault="00AC7972" w:rsidP="00AC7972">
      <w:pPr>
        <w:spacing w:after="0" w:line="240" w:lineRule="auto"/>
        <w:rPr>
          <w:rFonts w:ascii="Arial" w:hAnsi="Arial" w:cs="Arial"/>
          <w:sz w:val="20"/>
          <w:szCs w:val="20"/>
        </w:rPr>
      </w:pPr>
    </w:p>
    <w:p w14:paraId="055485F5" w14:textId="77777777" w:rsidR="005643E1" w:rsidRPr="00AC7972" w:rsidRDefault="005643E1" w:rsidP="00B80458">
      <w:pPr>
        <w:spacing w:before="240" w:line="360" w:lineRule="auto"/>
        <w:jc w:val="both"/>
        <w:rPr>
          <w:rFonts w:ascii="Times New Roman" w:hAnsi="Times New Roman" w:cs="Times New Roman"/>
          <w:b/>
          <w:bCs/>
        </w:rPr>
      </w:pPr>
      <w:r w:rsidRPr="00AC7972">
        <w:rPr>
          <w:rFonts w:ascii="Times New Roman" w:hAnsi="Times New Roman" w:cs="Times New Roman"/>
          <w:b/>
          <w:bCs/>
        </w:rPr>
        <w:t xml:space="preserve">REFERENCES </w:t>
      </w:r>
    </w:p>
    <w:bookmarkEnd w:id="0"/>
    <w:p w14:paraId="0D31EE91"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Abbas, Z. G., &amp; </w:t>
      </w:r>
      <w:proofErr w:type="spellStart"/>
      <w:r w:rsidRPr="00B04D5D">
        <w:rPr>
          <w:rFonts w:ascii="Times New Roman" w:eastAsia="Times New Roman" w:hAnsi="Times New Roman" w:cs="Times New Roman"/>
          <w:kern w:val="0"/>
          <w:lang w:val="en-US"/>
          <w14:ligatures w14:val="none"/>
        </w:rPr>
        <w:t>Gangji</w:t>
      </w:r>
      <w:proofErr w:type="spellEnd"/>
      <w:r w:rsidRPr="00B04D5D">
        <w:rPr>
          <w:rFonts w:ascii="Times New Roman" w:eastAsia="Times New Roman" w:hAnsi="Times New Roman" w:cs="Times New Roman"/>
          <w:kern w:val="0"/>
          <w:lang w:val="en-US"/>
          <w14:ligatures w14:val="none"/>
        </w:rPr>
        <w:t xml:space="preserve">, R. R. (2025). The diabetic foot: Progress in Sub-Saharan Africa. </w:t>
      </w:r>
      <w:r w:rsidRPr="00B04D5D">
        <w:rPr>
          <w:rFonts w:ascii="Times New Roman" w:eastAsia="Times New Roman" w:hAnsi="Times New Roman" w:cs="Times New Roman"/>
          <w:i/>
          <w:iCs/>
          <w:kern w:val="0"/>
          <w:lang w:val="en-US"/>
          <w14:ligatures w14:val="none"/>
        </w:rPr>
        <w:t>Diabetes Research and Clinical Practice, 225</w:t>
      </w:r>
      <w:r w:rsidRPr="00B04D5D">
        <w:rPr>
          <w:rFonts w:ascii="Times New Roman" w:eastAsia="Times New Roman" w:hAnsi="Times New Roman" w:cs="Times New Roman"/>
          <w:kern w:val="0"/>
          <w:lang w:val="en-US"/>
          <w14:ligatures w14:val="none"/>
        </w:rPr>
        <w:t>, 112264. https://doi.org/10.1016/j.diabres.2025.112264</w:t>
      </w:r>
    </w:p>
    <w:p w14:paraId="4F99F8AE"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An, Y., Xu, B., Wan, S., Ma, X., Long, Y., Xu, Y., &amp; Jiang, Z. (2023). The role of oxidative stress in diabetes mellitus-induced vascular endothelial dysfunction. </w:t>
      </w:r>
      <w:r w:rsidRPr="00B04D5D">
        <w:rPr>
          <w:rFonts w:ascii="Times New Roman" w:eastAsia="Times New Roman" w:hAnsi="Times New Roman" w:cs="Times New Roman"/>
          <w:i/>
          <w:iCs/>
          <w:kern w:val="0"/>
          <w:lang w:val="en-US"/>
          <w14:ligatures w14:val="none"/>
        </w:rPr>
        <w:t>Cardiovascular Diabetology, 22</w:t>
      </w:r>
      <w:r w:rsidRPr="00B04D5D">
        <w:rPr>
          <w:rFonts w:ascii="Times New Roman" w:eastAsia="Times New Roman" w:hAnsi="Times New Roman" w:cs="Times New Roman"/>
          <w:kern w:val="0"/>
          <w:lang w:val="en-US"/>
          <w14:ligatures w14:val="none"/>
        </w:rPr>
        <w:t xml:space="preserve">(1), 237. </w:t>
      </w:r>
      <w:hyperlink r:id="rId12" w:tgtFrame="_blank" w:history="1">
        <w:r w:rsidRPr="00B04D5D">
          <w:rPr>
            <w:rFonts w:ascii="Times New Roman" w:eastAsia="Times New Roman" w:hAnsi="Times New Roman" w:cs="Times New Roman"/>
            <w:color w:val="0000FF"/>
            <w:kern w:val="0"/>
            <w:u w:val="single"/>
            <w:lang w:val="en-US"/>
            <w14:ligatures w14:val="none"/>
          </w:rPr>
          <w:t>https://doi.org/10.1186/s12933-023-01965-7</w:t>
        </w:r>
      </w:hyperlink>
    </w:p>
    <w:p w14:paraId="60E61A67"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Arvouet</w:t>
      </w:r>
      <w:proofErr w:type="spellEnd"/>
      <w:r w:rsidRPr="00B04D5D">
        <w:rPr>
          <w:rFonts w:ascii="Times New Roman" w:eastAsia="Times New Roman" w:hAnsi="Times New Roman" w:cs="Times New Roman"/>
          <w:kern w:val="0"/>
          <w:lang w:val="en-US"/>
          <w14:ligatures w14:val="none"/>
        </w:rPr>
        <w:t xml:space="preserve">-Grand, A., </w:t>
      </w:r>
      <w:proofErr w:type="spellStart"/>
      <w:r w:rsidRPr="00B04D5D">
        <w:rPr>
          <w:rFonts w:ascii="Times New Roman" w:eastAsia="Times New Roman" w:hAnsi="Times New Roman" w:cs="Times New Roman"/>
          <w:kern w:val="0"/>
          <w:lang w:val="en-US"/>
          <w14:ligatures w14:val="none"/>
        </w:rPr>
        <w:t>Vennat</w:t>
      </w:r>
      <w:proofErr w:type="spellEnd"/>
      <w:r w:rsidRPr="00B04D5D">
        <w:rPr>
          <w:rFonts w:ascii="Times New Roman" w:eastAsia="Times New Roman" w:hAnsi="Times New Roman" w:cs="Times New Roman"/>
          <w:kern w:val="0"/>
          <w:lang w:val="en-US"/>
          <w14:ligatures w14:val="none"/>
        </w:rPr>
        <w:t xml:space="preserve">, B., </w:t>
      </w:r>
      <w:proofErr w:type="spellStart"/>
      <w:r w:rsidRPr="00B04D5D">
        <w:rPr>
          <w:rFonts w:ascii="Times New Roman" w:eastAsia="Times New Roman" w:hAnsi="Times New Roman" w:cs="Times New Roman"/>
          <w:kern w:val="0"/>
          <w:lang w:val="en-US"/>
          <w14:ligatures w14:val="none"/>
        </w:rPr>
        <w:t>Pourrat</w:t>
      </w:r>
      <w:proofErr w:type="spellEnd"/>
      <w:r w:rsidRPr="00B04D5D">
        <w:rPr>
          <w:rFonts w:ascii="Times New Roman" w:eastAsia="Times New Roman" w:hAnsi="Times New Roman" w:cs="Times New Roman"/>
          <w:kern w:val="0"/>
          <w:lang w:val="en-US"/>
          <w14:ligatures w14:val="none"/>
        </w:rPr>
        <w:t xml:space="preserve">, A., &amp; </w:t>
      </w:r>
      <w:proofErr w:type="spellStart"/>
      <w:r w:rsidRPr="00B04D5D">
        <w:rPr>
          <w:rFonts w:ascii="Times New Roman" w:eastAsia="Times New Roman" w:hAnsi="Times New Roman" w:cs="Times New Roman"/>
          <w:kern w:val="0"/>
          <w:lang w:val="en-US"/>
          <w14:ligatures w14:val="none"/>
        </w:rPr>
        <w:t>Legret</w:t>
      </w:r>
      <w:proofErr w:type="spellEnd"/>
      <w:r w:rsidRPr="00B04D5D">
        <w:rPr>
          <w:rFonts w:ascii="Times New Roman" w:eastAsia="Times New Roman" w:hAnsi="Times New Roman" w:cs="Times New Roman"/>
          <w:kern w:val="0"/>
          <w:lang w:val="en-US"/>
          <w14:ligatures w14:val="none"/>
        </w:rPr>
        <w:t xml:space="preserve">, P. (1994). [Standardization of propolis extract and identification of principal constituents]. </w:t>
      </w:r>
      <w:r w:rsidRPr="00B04D5D">
        <w:rPr>
          <w:rFonts w:ascii="Times New Roman" w:eastAsia="Times New Roman" w:hAnsi="Times New Roman" w:cs="Times New Roman"/>
          <w:i/>
          <w:iCs/>
          <w:kern w:val="0"/>
          <w:lang w:val="en-US"/>
          <w14:ligatures w14:val="none"/>
        </w:rPr>
        <w:t>Journal de Pharmacie de Belgique, 49</w:t>
      </w:r>
      <w:r w:rsidRPr="00B04D5D">
        <w:rPr>
          <w:rFonts w:ascii="Times New Roman" w:eastAsia="Times New Roman" w:hAnsi="Times New Roman" w:cs="Times New Roman"/>
          <w:kern w:val="0"/>
          <w:lang w:val="en-US"/>
          <w14:ligatures w14:val="none"/>
        </w:rPr>
        <w:t xml:space="preserve">(6), 462–468. </w:t>
      </w:r>
      <w:hyperlink r:id="rId13" w:tgtFrame="_blank" w:history="1">
        <w:r w:rsidRPr="00B04D5D">
          <w:rPr>
            <w:rFonts w:ascii="Times New Roman" w:eastAsia="Times New Roman" w:hAnsi="Times New Roman" w:cs="Times New Roman"/>
            <w:color w:val="0000FF"/>
            <w:kern w:val="0"/>
            <w:u w:val="single"/>
            <w:lang w:val="en-US"/>
            <w14:ligatures w14:val="none"/>
          </w:rPr>
          <w:t>https://pubmed.ncbi.nlm.nih.gov/7884635/</w:t>
        </w:r>
      </w:hyperlink>
    </w:p>
    <w:p w14:paraId="768FD089" w14:textId="3A9DE1C6"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Belemnaba</w:t>
      </w:r>
      <w:proofErr w:type="spellEnd"/>
      <w:r w:rsidRPr="00B04D5D">
        <w:rPr>
          <w:rFonts w:ascii="Times New Roman" w:eastAsia="Times New Roman" w:hAnsi="Times New Roman" w:cs="Times New Roman"/>
          <w:kern w:val="0"/>
          <w:lang w:val="en-US"/>
          <w14:ligatures w14:val="none"/>
        </w:rPr>
        <w:t xml:space="preserve">, L., Sawadogo, B., Nitiema, M., Ouedraogo, W. R. C., Kafando, B., Traore, T. K., Kabore, B., Koala, M., Ouedraogo, M., &amp; Ouedraogo, S. (2025). Preclinical evaluation of phytoconstituents, antioxidant activity and acute oral toxicity of the ethyl acetate fraction of the trunk bark of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(A. Rich.) </w:t>
      </w:r>
      <w:proofErr w:type="spellStart"/>
      <w:r w:rsidRPr="00B04D5D">
        <w:rPr>
          <w:rFonts w:ascii="Times New Roman" w:eastAsia="Times New Roman" w:hAnsi="Times New Roman" w:cs="Times New Roman"/>
          <w:kern w:val="0"/>
          <w:lang w:val="en-US"/>
          <w14:ligatures w14:val="none"/>
        </w:rPr>
        <w:t>Hochst</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Anacardiaceae</w:t>
      </w:r>
      <w:proofErr w:type="spellEnd"/>
      <w:r w:rsidRPr="00B04D5D">
        <w:rPr>
          <w:rFonts w:ascii="Times New Roman" w:eastAsia="Times New Roman" w:hAnsi="Times New Roman" w:cs="Times New Roman"/>
          <w:kern w:val="0"/>
          <w:lang w:val="en-US"/>
          <w14:ligatures w14:val="none"/>
        </w:rPr>
        <w:t xml:space="preserve">), a plant used in the treatment of cardiovascular diseases. </w:t>
      </w:r>
      <w:r w:rsidRPr="00B04D5D">
        <w:rPr>
          <w:rFonts w:ascii="Times New Roman" w:eastAsia="Times New Roman" w:hAnsi="Times New Roman" w:cs="Times New Roman"/>
          <w:i/>
          <w:iCs/>
          <w:kern w:val="0"/>
          <w:lang w:val="en-US"/>
          <w14:ligatures w14:val="none"/>
        </w:rPr>
        <w:t>Sciences de la Santé, 47</w:t>
      </w:r>
      <w:r w:rsidRPr="00B04D5D">
        <w:rPr>
          <w:rFonts w:ascii="Times New Roman" w:eastAsia="Times New Roman" w:hAnsi="Times New Roman" w:cs="Times New Roman"/>
          <w:kern w:val="0"/>
          <w:lang w:val="en-US"/>
          <w14:ligatures w14:val="none"/>
        </w:rPr>
        <w:t xml:space="preserve">(2[1]), 206–225. </w:t>
      </w:r>
    </w:p>
    <w:p w14:paraId="063FFFE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Bello, A., </w:t>
      </w:r>
      <w:proofErr w:type="spellStart"/>
      <w:r w:rsidRPr="00B04D5D">
        <w:rPr>
          <w:rFonts w:ascii="Times New Roman" w:eastAsia="Times New Roman" w:hAnsi="Times New Roman" w:cs="Times New Roman"/>
          <w:kern w:val="0"/>
          <w:lang w:val="en-US"/>
          <w14:ligatures w14:val="none"/>
        </w:rPr>
        <w:t>Aliero</w:t>
      </w:r>
      <w:proofErr w:type="spellEnd"/>
      <w:r w:rsidRPr="00B04D5D">
        <w:rPr>
          <w:rFonts w:ascii="Times New Roman" w:eastAsia="Times New Roman" w:hAnsi="Times New Roman" w:cs="Times New Roman"/>
          <w:kern w:val="0"/>
          <w:lang w:val="en-US"/>
          <w14:ligatures w14:val="none"/>
        </w:rPr>
        <w:t xml:space="preserve">, A. A., Saidu, Y., &amp; Muhammad, S. (2011). Phytochemical screening, polyphenolic content and alpha-glucosidase inhibitory potential of </w:t>
      </w:r>
      <w:proofErr w:type="spellStart"/>
      <w:r w:rsidRPr="00B04D5D">
        <w:rPr>
          <w:rFonts w:ascii="Times New Roman" w:eastAsia="Times New Roman" w:hAnsi="Times New Roman" w:cs="Times New Roman"/>
          <w:i/>
          <w:iCs/>
          <w:kern w:val="0"/>
          <w:lang w:val="en-US"/>
          <w14:ligatures w14:val="none"/>
        </w:rPr>
        <w:t>Leptadenia</w:t>
      </w:r>
      <w:proofErr w:type="spellEnd"/>
      <w:r w:rsidRPr="00B04D5D">
        <w:rPr>
          <w:rFonts w:ascii="Times New Roman" w:eastAsia="Times New Roman" w:hAnsi="Times New Roman" w:cs="Times New Roman"/>
          <w:i/>
          <w:iCs/>
          <w:kern w:val="0"/>
          <w:lang w:val="en-US"/>
          <w14:ligatures w14:val="none"/>
        </w:rPr>
        <w:t xml:space="preserve"> hastata</w:t>
      </w:r>
      <w:r w:rsidRPr="00B04D5D">
        <w:rPr>
          <w:rFonts w:ascii="Times New Roman" w:eastAsia="Times New Roman" w:hAnsi="Times New Roman" w:cs="Times New Roman"/>
          <w:kern w:val="0"/>
          <w:lang w:val="en-US"/>
          <w14:ligatures w14:val="none"/>
        </w:rPr>
        <w:t xml:space="preserve"> (Pers.) </w:t>
      </w:r>
      <w:proofErr w:type="spellStart"/>
      <w:r w:rsidRPr="00B04D5D">
        <w:rPr>
          <w:rFonts w:ascii="Times New Roman" w:eastAsia="Times New Roman" w:hAnsi="Times New Roman" w:cs="Times New Roman"/>
          <w:kern w:val="0"/>
          <w:lang w:val="en-US"/>
          <w14:ligatures w14:val="none"/>
        </w:rPr>
        <w:t>Decne</w:t>
      </w:r>
      <w:proofErr w:type="spellEnd"/>
      <w:r w:rsidRPr="00B04D5D">
        <w:rPr>
          <w:rFonts w:ascii="Times New Roman" w:eastAsia="Times New Roman" w:hAnsi="Times New Roman" w:cs="Times New Roman"/>
          <w:kern w:val="0"/>
          <w:lang w:val="en-US"/>
          <w14:ligatures w14:val="none"/>
        </w:rPr>
        <w:t xml:space="preserve">. </w:t>
      </w:r>
      <w:r w:rsidRPr="00B04D5D">
        <w:rPr>
          <w:rFonts w:ascii="Times New Roman" w:eastAsia="Times New Roman" w:hAnsi="Times New Roman" w:cs="Times New Roman"/>
          <w:i/>
          <w:iCs/>
          <w:kern w:val="0"/>
          <w:lang w:val="en-US"/>
          <w14:ligatures w14:val="none"/>
        </w:rPr>
        <w:t>Nigerian Journal of Basic and Applied Sciences, 19</w:t>
      </w:r>
      <w:r w:rsidRPr="00B04D5D">
        <w:rPr>
          <w:rFonts w:ascii="Times New Roman" w:eastAsia="Times New Roman" w:hAnsi="Times New Roman" w:cs="Times New Roman"/>
          <w:kern w:val="0"/>
          <w:lang w:val="en-US"/>
          <w14:ligatures w14:val="none"/>
        </w:rPr>
        <w:t>(2), 181–186. Official article/index page</w:t>
      </w:r>
    </w:p>
    <w:p w14:paraId="6049C6CA"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Bonkian, F. E., Zongo, K. J., Lema, A., </w:t>
      </w:r>
      <w:proofErr w:type="spellStart"/>
      <w:r w:rsidRPr="00B04D5D">
        <w:rPr>
          <w:rFonts w:ascii="Times New Roman" w:eastAsia="Times New Roman" w:hAnsi="Times New Roman" w:cs="Times New Roman"/>
          <w:kern w:val="0"/>
          <w:lang w:val="en-US"/>
          <w14:ligatures w14:val="none"/>
        </w:rPr>
        <w:t>Karaogo</w:t>
      </w:r>
      <w:proofErr w:type="spellEnd"/>
      <w:r w:rsidRPr="00B04D5D">
        <w:rPr>
          <w:rFonts w:ascii="Times New Roman" w:eastAsia="Times New Roman" w:hAnsi="Times New Roman" w:cs="Times New Roman"/>
          <w:kern w:val="0"/>
          <w:lang w:val="en-US"/>
          <w14:ligatures w14:val="none"/>
        </w:rPr>
        <w:t xml:space="preserve">, K. D., Bama, O. B., Ouoba, H. Y., Da, F. L., &amp; Bangou, M. J. (2025). Ethnobotanical, phytochemical and biological studies of a medicinal plant recipe used in the treatment of cervical cancer. </w:t>
      </w:r>
      <w:r w:rsidRPr="00B04D5D">
        <w:rPr>
          <w:rFonts w:ascii="Times New Roman" w:eastAsia="Times New Roman" w:hAnsi="Times New Roman" w:cs="Times New Roman"/>
          <w:i/>
          <w:iCs/>
          <w:kern w:val="0"/>
          <w:lang w:val="en-US"/>
          <w14:ligatures w14:val="none"/>
        </w:rPr>
        <w:t>Annual Research &amp; Review in Biology, 40</w:t>
      </w:r>
      <w:r w:rsidRPr="00B04D5D">
        <w:rPr>
          <w:rFonts w:ascii="Times New Roman" w:eastAsia="Times New Roman" w:hAnsi="Times New Roman" w:cs="Times New Roman"/>
          <w:kern w:val="0"/>
          <w:lang w:val="en-US"/>
          <w14:ligatures w14:val="none"/>
        </w:rPr>
        <w:t>(8), 191–203. https://doi.org/10.9734/arrb/2025/v40i82297</w:t>
      </w:r>
    </w:p>
    <w:p w14:paraId="095C2D38"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Chen, S., Cao, Z., Chen, W., Zhao, J., Jiao, L., Prettner, K., Kuhn, M., Pan, A., </w:t>
      </w:r>
      <w:proofErr w:type="spellStart"/>
      <w:r w:rsidRPr="00B04D5D">
        <w:rPr>
          <w:rFonts w:ascii="Times New Roman" w:eastAsia="Times New Roman" w:hAnsi="Times New Roman" w:cs="Times New Roman"/>
          <w:kern w:val="0"/>
          <w:lang w:val="en-US"/>
          <w14:ligatures w14:val="none"/>
        </w:rPr>
        <w:t>Bärnighausen</w:t>
      </w:r>
      <w:proofErr w:type="spellEnd"/>
      <w:r w:rsidRPr="00B04D5D">
        <w:rPr>
          <w:rFonts w:ascii="Times New Roman" w:eastAsia="Times New Roman" w:hAnsi="Times New Roman" w:cs="Times New Roman"/>
          <w:kern w:val="0"/>
          <w:lang w:val="en-US"/>
          <w14:ligatures w14:val="none"/>
        </w:rPr>
        <w:t xml:space="preserve">, T. W., &amp; Bloom, D. E. (2026). The global macroeconomic burden of diabetes mellitus. </w:t>
      </w:r>
      <w:r w:rsidRPr="00B04D5D">
        <w:rPr>
          <w:rFonts w:ascii="Times New Roman" w:eastAsia="Times New Roman" w:hAnsi="Times New Roman" w:cs="Times New Roman"/>
          <w:i/>
          <w:iCs/>
          <w:kern w:val="0"/>
          <w:lang w:val="en-US"/>
          <w14:ligatures w14:val="none"/>
        </w:rPr>
        <w:t>Nature Medicine, 32</w:t>
      </w:r>
      <w:r w:rsidRPr="00B04D5D">
        <w:rPr>
          <w:rFonts w:ascii="Times New Roman" w:eastAsia="Times New Roman" w:hAnsi="Times New Roman" w:cs="Times New Roman"/>
          <w:kern w:val="0"/>
          <w:lang w:val="en-US"/>
          <w14:ligatures w14:val="none"/>
        </w:rPr>
        <w:t>(1), 126–138. https://doi.org/10.1038/s41591-025-04027-5</w:t>
      </w:r>
    </w:p>
    <w:p w14:paraId="303F7E28"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Cisse, D., Diarra, S., Yaro, F., Guindo, A., Doumbia, A., Camara, M., &amp; Sow, H. (2025). </w:t>
      </w:r>
      <w:r w:rsidRPr="00B04D5D">
        <w:rPr>
          <w:rFonts w:ascii="Times New Roman" w:eastAsia="Times New Roman" w:hAnsi="Times New Roman" w:cs="Times New Roman"/>
          <w:kern w:val="0"/>
          <w:lang w:val="nl-BE"/>
          <w14:ligatures w14:val="none"/>
        </w:rPr>
        <w:t xml:space="preserve">Facteurs déterminants du faible score de diversité alimentaire des femmes en âge de procréer dans la Commune I du district de Bamako en septembre 2022. </w:t>
      </w:r>
      <w:r w:rsidRPr="00B04D5D">
        <w:rPr>
          <w:rFonts w:ascii="Times New Roman" w:eastAsia="Times New Roman" w:hAnsi="Times New Roman" w:cs="Times New Roman"/>
          <w:i/>
          <w:iCs/>
          <w:kern w:val="0"/>
          <w:lang w:val="en-US"/>
          <w14:ligatures w14:val="none"/>
        </w:rPr>
        <w:t xml:space="preserve">Journal Africain des Cas </w:t>
      </w:r>
      <w:proofErr w:type="spellStart"/>
      <w:r w:rsidRPr="00B04D5D">
        <w:rPr>
          <w:rFonts w:ascii="Times New Roman" w:eastAsia="Times New Roman" w:hAnsi="Times New Roman" w:cs="Times New Roman"/>
          <w:i/>
          <w:iCs/>
          <w:kern w:val="0"/>
          <w:lang w:val="en-US"/>
          <w14:ligatures w14:val="none"/>
        </w:rPr>
        <w:t>Cliniques</w:t>
      </w:r>
      <w:proofErr w:type="spellEnd"/>
      <w:r w:rsidRPr="00B04D5D">
        <w:rPr>
          <w:rFonts w:ascii="Times New Roman" w:eastAsia="Times New Roman" w:hAnsi="Times New Roman" w:cs="Times New Roman"/>
          <w:i/>
          <w:iCs/>
          <w:kern w:val="0"/>
          <w:lang w:val="en-US"/>
          <w14:ligatures w14:val="none"/>
        </w:rPr>
        <w:t xml:space="preserve"> et Revues, 9</w:t>
      </w:r>
      <w:r w:rsidRPr="00B04D5D">
        <w:rPr>
          <w:rFonts w:ascii="Times New Roman" w:eastAsia="Times New Roman" w:hAnsi="Times New Roman" w:cs="Times New Roman"/>
          <w:kern w:val="0"/>
          <w:lang w:val="en-US"/>
          <w14:ligatures w14:val="none"/>
        </w:rPr>
        <w:t>(3), 257–267. https://doi.org/10.70065/2593.jaccrAfri.007L011109</w:t>
      </w:r>
    </w:p>
    <w:p w14:paraId="0ED7A2F2" w14:textId="55EB2C10"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lastRenderedPageBreak/>
        <w:t xml:space="preserve">Compaore, H., Guenne, S., Diande, T., Pare, A., Sama, H., Bambara, A., </w:t>
      </w:r>
      <w:proofErr w:type="spellStart"/>
      <w:r w:rsidRPr="00B04D5D">
        <w:rPr>
          <w:rFonts w:ascii="Times New Roman" w:eastAsia="Times New Roman" w:hAnsi="Times New Roman" w:cs="Times New Roman"/>
          <w:kern w:val="0"/>
          <w:lang w:val="en-US"/>
          <w14:ligatures w14:val="none"/>
        </w:rPr>
        <w:t>Ratongue</w:t>
      </w:r>
      <w:proofErr w:type="spellEnd"/>
      <w:r w:rsidRPr="00B04D5D">
        <w:rPr>
          <w:rFonts w:ascii="Times New Roman" w:eastAsia="Times New Roman" w:hAnsi="Times New Roman" w:cs="Times New Roman"/>
          <w:kern w:val="0"/>
          <w:lang w:val="en-US"/>
          <w14:ligatures w14:val="none"/>
        </w:rPr>
        <w:t xml:space="preserve">, H., Traore, L., Sawadogo-Lingani, H., Hilou, A., &amp; Kiendrebeogo, M. (2021b). Evaluation de </w:t>
      </w:r>
      <w:proofErr w:type="spellStart"/>
      <w:r w:rsidRPr="00B04D5D">
        <w:rPr>
          <w:rFonts w:ascii="Times New Roman" w:eastAsia="Times New Roman" w:hAnsi="Times New Roman" w:cs="Times New Roman"/>
          <w:kern w:val="0"/>
          <w:lang w:val="en-US"/>
          <w14:ligatures w14:val="none"/>
        </w:rPr>
        <w:t>l’activité</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antibactérienne</w:t>
      </w:r>
      <w:proofErr w:type="spellEnd"/>
      <w:r w:rsidRPr="00B04D5D">
        <w:rPr>
          <w:rFonts w:ascii="Times New Roman" w:eastAsia="Times New Roman" w:hAnsi="Times New Roman" w:cs="Times New Roman"/>
          <w:kern w:val="0"/>
          <w:lang w:val="en-US"/>
          <w14:ligatures w14:val="none"/>
        </w:rPr>
        <w:t xml:space="preserve"> de </w:t>
      </w:r>
      <w:proofErr w:type="spellStart"/>
      <w:r w:rsidRPr="00B04D5D">
        <w:rPr>
          <w:rFonts w:ascii="Times New Roman" w:eastAsia="Times New Roman" w:hAnsi="Times New Roman" w:cs="Times New Roman"/>
          <w:kern w:val="0"/>
          <w:lang w:val="en-US"/>
          <w14:ligatures w14:val="none"/>
        </w:rPr>
        <w:t>l’extrait</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aqueux</w:t>
      </w:r>
      <w:proofErr w:type="spellEnd"/>
      <w:r w:rsidRPr="00B04D5D">
        <w:rPr>
          <w:rFonts w:ascii="Times New Roman" w:eastAsia="Times New Roman" w:hAnsi="Times New Roman" w:cs="Times New Roman"/>
          <w:kern w:val="0"/>
          <w:lang w:val="en-US"/>
          <w14:ligatures w14:val="none"/>
        </w:rPr>
        <w:t xml:space="preserve"> de la </w:t>
      </w:r>
      <w:proofErr w:type="spellStart"/>
      <w:r w:rsidRPr="00B04D5D">
        <w:rPr>
          <w:rFonts w:ascii="Times New Roman" w:eastAsia="Times New Roman" w:hAnsi="Times New Roman" w:cs="Times New Roman"/>
          <w:kern w:val="0"/>
          <w:lang w:val="en-US"/>
          <w14:ligatures w14:val="none"/>
        </w:rPr>
        <w:t>poudre</w:t>
      </w:r>
      <w:proofErr w:type="spellEnd"/>
      <w:r w:rsidRPr="00B04D5D">
        <w:rPr>
          <w:rFonts w:ascii="Times New Roman" w:eastAsia="Times New Roman" w:hAnsi="Times New Roman" w:cs="Times New Roman"/>
          <w:kern w:val="0"/>
          <w:lang w:val="en-US"/>
          <w14:ligatures w14:val="none"/>
        </w:rPr>
        <w:t xml:space="preserve"> de </w:t>
      </w:r>
      <w:proofErr w:type="spellStart"/>
      <w:r w:rsidRPr="00B04D5D">
        <w:rPr>
          <w:rFonts w:ascii="Times New Roman" w:eastAsia="Times New Roman" w:hAnsi="Times New Roman" w:cs="Times New Roman"/>
          <w:kern w:val="0"/>
          <w:lang w:val="en-US"/>
          <w14:ligatures w14:val="none"/>
        </w:rPr>
        <w:t>gousses</w:t>
      </w:r>
      <w:proofErr w:type="spellEnd"/>
      <w:r w:rsidRPr="00B04D5D">
        <w:rPr>
          <w:rFonts w:ascii="Times New Roman" w:eastAsia="Times New Roman" w:hAnsi="Times New Roman" w:cs="Times New Roman"/>
          <w:kern w:val="0"/>
          <w:lang w:val="en-US"/>
          <w14:ligatures w14:val="none"/>
        </w:rPr>
        <w:t xml:space="preserve"> de </w:t>
      </w:r>
      <w:r w:rsidRPr="00B04D5D">
        <w:rPr>
          <w:rFonts w:ascii="Times New Roman" w:eastAsia="Times New Roman" w:hAnsi="Times New Roman" w:cs="Times New Roman"/>
          <w:i/>
          <w:iCs/>
          <w:kern w:val="0"/>
          <w:lang w:val="en-US"/>
          <w14:ligatures w14:val="none"/>
        </w:rPr>
        <w:t>Vachellia nilotica</w:t>
      </w:r>
      <w:r w:rsidRPr="00B04D5D">
        <w:rPr>
          <w:rFonts w:ascii="Times New Roman" w:eastAsia="Times New Roman" w:hAnsi="Times New Roman" w:cs="Times New Roman"/>
          <w:kern w:val="0"/>
          <w:lang w:val="en-US"/>
          <w14:ligatures w14:val="none"/>
        </w:rPr>
        <w:t xml:space="preserve"> (L.) P.J.H. Hurter et Mabb sur des </w:t>
      </w:r>
      <w:proofErr w:type="spellStart"/>
      <w:r w:rsidRPr="00B04D5D">
        <w:rPr>
          <w:rFonts w:ascii="Times New Roman" w:eastAsia="Times New Roman" w:hAnsi="Times New Roman" w:cs="Times New Roman"/>
          <w:kern w:val="0"/>
          <w:lang w:val="en-US"/>
          <w14:ligatures w14:val="none"/>
        </w:rPr>
        <w:t>bactéries</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multirésistantes</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criblage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phytochimique</w:t>
      </w:r>
      <w:proofErr w:type="spellEnd"/>
      <w:r w:rsidRPr="00B04D5D">
        <w:rPr>
          <w:rFonts w:ascii="Times New Roman" w:eastAsia="Times New Roman" w:hAnsi="Times New Roman" w:cs="Times New Roman"/>
          <w:kern w:val="0"/>
          <w:lang w:val="en-US"/>
          <w14:ligatures w14:val="none"/>
        </w:rPr>
        <w:t xml:space="preserve"> et </w:t>
      </w:r>
      <w:proofErr w:type="spellStart"/>
      <w:r w:rsidRPr="00B04D5D">
        <w:rPr>
          <w:rFonts w:ascii="Times New Roman" w:eastAsia="Times New Roman" w:hAnsi="Times New Roman" w:cs="Times New Roman"/>
          <w:kern w:val="0"/>
          <w:lang w:val="en-US"/>
          <w14:ligatures w14:val="none"/>
        </w:rPr>
        <w:t>contrôle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qualité</w:t>
      </w:r>
      <w:proofErr w:type="spellEnd"/>
      <w:r w:rsidRPr="00B04D5D">
        <w:rPr>
          <w:rFonts w:ascii="Times New Roman" w:eastAsia="Times New Roman" w:hAnsi="Times New Roman" w:cs="Times New Roman"/>
          <w:kern w:val="0"/>
          <w:lang w:val="en-US"/>
          <w14:ligatures w14:val="none"/>
        </w:rPr>
        <w:t xml:space="preserve">. </w:t>
      </w:r>
      <w:r w:rsidRPr="00B04D5D">
        <w:rPr>
          <w:rFonts w:ascii="Times New Roman" w:eastAsia="Times New Roman" w:hAnsi="Times New Roman" w:cs="Times New Roman"/>
          <w:i/>
          <w:iCs/>
          <w:kern w:val="0"/>
          <w:lang w:val="en-US"/>
          <w14:ligatures w14:val="none"/>
        </w:rPr>
        <w:t xml:space="preserve">Science et Technique, Sciences </w:t>
      </w:r>
      <w:proofErr w:type="spellStart"/>
      <w:r w:rsidRPr="00B04D5D">
        <w:rPr>
          <w:rFonts w:ascii="Times New Roman" w:eastAsia="Times New Roman" w:hAnsi="Times New Roman" w:cs="Times New Roman"/>
          <w:i/>
          <w:iCs/>
          <w:kern w:val="0"/>
          <w:lang w:val="en-US"/>
          <w14:ligatures w14:val="none"/>
        </w:rPr>
        <w:t>Naturelles</w:t>
      </w:r>
      <w:proofErr w:type="spellEnd"/>
      <w:r w:rsidRPr="00B04D5D">
        <w:rPr>
          <w:rFonts w:ascii="Times New Roman" w:eastAsia="Times New Roman" w:hAnsi="Times New Roman" w:cs="Times New Roman"/>
          <w:i/>
          <w:iCs/>
          <w:kern w:val="0"/>
          <w:lang w:val="en-US"/>
          <w14:ligatures w14:val="none"/>
        </w:rPr>
        <w:t xml:space="preserve"> et </w:t>
      </w:r>
      <w:proofErr w:type="spellStart"/>
      <w:r w:rsidRPr="00B04D5D">
        <w:rPr>
          <w:rFonts w:ascii="Times New Roman" w:eastAsia="Times New Roman" w:hAnsi="Times New Roman" w:cs="Times New Roman"/>
          <w:i/>
          <w:iCs/>
          <w:kern w:val="0"/>
          <w:lang w:val="en-US"/>
          <w14:ligatures w14:val="none"/>
        </w:rPr>
        <w:t>Appliquées</w:t>
      </w:r>
      <w:proofErr w:type="spellEnd"/>
      <w:r w:rsidRPr="00B04D5D">
        <w:rPr>
          <w:rFonts w:ascii="Times New Roman" w:eastAsia="Times New Roman" w:hAnsi="Times New Roman" w:cs="Times New Roman"/>
          <w:i/>
          <w:iCs/>
          <w:kern w:val="0"/>
          <w:lang w:val="en-US"/>
          <w14:ligatures w14:val="none"/>
        </w:rPr>
        <w:t>, 40</w:t>
      </w:r>
      <w:r w:rsidRPr="00B04D5D">
        <w:rPr>
          <w:rFonts w:ascii="Times New Roman" w:eastAsia="Times New Roman" w:hAnsi="Times New Roman" w:cs="Times New Roman"/>
          <w:kern w:val="0"/>
          <w:lang w:val="en-US"/>
          <w14:ligatures w14:val="none"/>
        </w:rPr>
        <w:t xml:space="preserve">(2), 114–126. </w:t>
      </w:r>
    </w:p>
    <w:p w14:paraId="0192CC4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Compaore, H., </w:t>
      </w:r>
      <w:proofErr w:type="spellStart"/>
      <w:r w:rsidRPr="00B04D5D">
        <w:rPr>
          <w:rFonts w:ascii="Times New Roman" w:eastAsia="Times New Roman" w:hAnsi="Times New Roman" w:cs="Times New Roman"/>
          <w:kern w:val="0"/>
          <w:lang w:val="en-US"/>
          <w14:ligatures w14:val="none"/>
        </w:rPr>
        <w:t>Samandoulougou</w:t>
      </w:r>
      <w:proofErr w:type="spellEnd"/>
      <w:r w:rsidRPr="00B04D5D">
        <w:rPr>
          <w:rFonts w:ascii="Times New Roman" w:eastAsia="Times New Roman" w:hAnsi="Times New Roman" w:cs="Times New Roman"/>
          <w:kern w:val="0"/>
          <w:lang w:val="en-US"/>
          <w14:ligatures w14:val="none"/>
        </w:rPr>
        <w:t xml:space="preserve">, S., Tapsoba, F. W., Bambara, A., </w:t>
      </w:r>
      <w:proofErr w:type="spellStart"/>
      <w:r w:rsidRPr="00B04D5D">
        <w:rPr>
          <w:rFonts w:ascii="Times New Roman" w:eastAsia="Times New Roman" w:hAnsi="Times New Roman" w:cs="Times New Roman"/>
          <w:kern w:val="0"/>
          <w:lang w:val="en-US"/>
          <w14:ligatures w14:val="none"/>
        </w:rPr>
        <w:t>Ratongue</w:t>
      </w:r>
      <w:proofErr w:type="spellEnd"/>
      <w:r w:rsidRPr="00B04D5D">
        <w:rPr>
          <w:rFonts w:ascii="Times New Roman" w:eastAsia="Times New Roman" w:hAnsi="Times New Roman" w:cs="Times New Roman"/>
          <w:kern w:val="0"/>
          <w:lang w:val="en-US"/>
          <w14:ligatures w14:val="none"/>
        </w:rPr>
        <w:t xml:space="preserve">, H., Sawadogo, I., Kabore, D., Ouattara-Sourabie, P. B., &amp; Sawadogo-Lingani, H. (2021a). Aflatoxigenic potential of </w:t>
      </w:r>
      <w:r w:rsidRPr="00B04D5D">
        <w:rPr>
          <w:rFonts w:ascii="Times New Roman" w:eastAsia="Times New Roman" w:hAnsi="Times New Roman" w:cs="Times New Roman"/>
          <w:i/>
          <w:iCs/>
          <w:kern w:val="0"/>
          <w:lang w:val="en-US"/>
          <w14:ligatures w14:val="none"/>
        </w:rPr>
        <w:t>Aspergillus</w:t>
      </w:r>
      <w:r w:rsidRPr="00B04D5D">
        <w:rPr>
          <w:rFonts w:ascii="Times New Roman" w:eastAsia="Times New Roman" w:hAnsi="Times New Roman" w:cs="Times New Roman"/>
          <w:kern w:val="0"/>
          <w:lang w:val="en-US"/>
          <w14:ligatures w14:val="none"/>
        </w:rPr>
        <w:t xml:space="preserve"> section </w:t>
      </w:r>
      <w:proofErr w:type="spellStart"/>
      <w:r w:rsidRPr="00B04D5D">
        <w:rPr>
          <w:rFonts w:ascii="Times New Roman" w:eastAsia="Times New Roman" w:hAnsi="Times New Roman" w:cs="Times New Roman"/>
          <w:i/>
          <w:iCs/>
          <w:kern w:val="0"/>
          <w:lang w:val="en-US"/>
          <w14:ligatures w14:val="none"/>
        </w:rPr>
        <w:t>Flavi</w:t>
      </w:r>
      <w:proofErr w:type="spellEnd"/>
      <w:r w:rsidRPr="00B04D5D">
        <w:rPr>
          <w:rFonts w:ascii="Times New Roman" w:eastAsia="Times New Roman" w:hAnsi="Times New Roman" w:cs="Times New Roman"/>
          <w:kern w:val="0"/>
          <w:lang w:val="en-US"/>
          <w14:ligatures w14:val="none"/>
        </w:rPr>
        <w:t xml:space="preserve"> isolated from maize seeds in Burkina Faso. </w:t>
      </w:r>
      <w:r w:rsidRPr="00B04D5D">
        <w:rPr>
          <w:rFonts w:ascii="Times New Roman" w:eastAsia="Times New Roman" w:hAnsi="Times New Roman" w:cs="Times New Roman"/>
          <w:i/>
          <w:iCs/>
          <w:kern w:val="0"/>
          <w:lang w:val="en-US"/>
          <w14:ligatures w14:val="none"/>
        </w:rPr>
        <w:t>African Journal of Microbiology Research, 15</w:t>
      </w:r>
      <w:r w:rsidRPr="00B04D5D">
        <w:rPr>
          <w:rFonts w:ascii="Times New Roman" w:eastAsia="Times New Roman" w:hAnsi="Times New Roman" w:cs="Times New Roman"/>
          <w:kern w:val="0"/>
          <w:lang w:val="en-US"/>
          <w14:ligatures w14:val="none"/>
        </w:rPr>
        <w:t>(8), 420–428. https://doi.org/10.5897/AJMR2021.9553</w:t>
      </w:r>
    </w:p>
    <w:p w14:paraId="77B443CB"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Coulidiaty, A. G. V., Yaméogo, T. M., Ouedraogo, R., Clark, K., Dakuyo, V. M., &amp; Youl, E. N. H. (2025). Evaluation of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for type 2 diabetes management: Phase I safety and preliminary efficacy study in healthy volunteers. </w:t>
      </w:r>
      <w:r w:rsidRPr="00B04D5D">
        <w:rPr>
          <w:rFonts w:ascii="Times New Roman" w:eastAsia="Times New Roman" w:hAnsi="Times New Roman" w:cs="Times New Roman"/>
          <w:i/>
          <w:iCs/>
          <w:kern w:val="0"/>
          <w:lang w:val="en-US"/>
          <w14:ligatures w14:val="none"/>
        </w:rPr>
        <w:t>Clinical Traditional Medicine and Pharmacology, 6</w:t>
      </w:r>
      <w:r w:rsidRPr="00B04D5D">
        <w:rPr>
          <w:rFonts w:ascii="Times New Roman" w:eastAsia="Times New Roman" w:hAnsi="Times New Roman" w:cs="Times New Roman"/>
          <w:kern w:val="0"/>
          <w:lang w:val="en-US"/>
          <w14:ligatures w14:val="none"/>
        </w:rPr>
        <w:t>(2), 200212. https://doi.org/10.1016/j.ctmp.2025.200212</w:t>
      </w:r>
    </w:p>
    <w:p w14:paraId="5999A7D3"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Dembélé, A. A., Togola, I., Konaré, M. A., </w:t>
      </w:r>
      <w:proofErr w:type="spellStart"/>
      <w:r w:rsidRPr="00B04D5D">
        <w:rPr>
          <w:rFonts w:ascii="Times New Roman" w:eastAsia="Times New Roman" w:hAnsi="Times New Roman" w:cs="Times New Roman"/>
          <w:kern w:val="0"/>
          <w:lang w:val="en-US"/>
          <w14:ligatures w14:val="none"/>
        </w:rPr>
        <w:t>Samaké</w:t>
      </w:r>
      <w:proofErr w:type="spellEnd"/>
      <w:r w:rsidRPr="00B04D5D">
        <w:rPr>
          <w:rFonts w:ascii="Times New Roman" w:eastAsia="Times New Roman" w:hAnsi="Times New Roman" w:cs="Times New Roman"/>
          <w:kern w:val="0"/>
          <w:lang w:val="en-US"/>
          <w14:ligatures w14:val="none"/>
        </w:rPr>
        <w:t xml:space="preserve">, S., &amp; Diarra, N. (2026). Ethnobotanical knowledge of medicinal plants used in the management of hypertension and diabetes in the district of Bamako, Mali. </w:t>
      </w:r>
      <w:r w:rsidRPr="00B04D5D">
        <w:rPr>
          <w:rFonts w:ascii="Times New Roman" w:eastAsia="Times New Roman" w:hAnsi="Times New Roman" w:cs="Times New Roman"/>
          <w:i/>
          <w:iCs/>
          <w:kern w:val="0"/>
          <w:lang w:val="en-US"/>
          <w14:ligatures w14:val="none"/>
        </w:rPr>
        <w:t>Scientific Research and Essays, 21</w:t>
      </w:r>
      <w:r w:rsidRPr="00B04D5D">
        <w:rPr>
          <w:rFonts w:ascii="Times New Roman" w:eastAsia="Times New Roman" w:hAnsi="Times New Roman" w:cs="Times New Roman"/>
          <w:kern w:val="0"/>
          <w:lang w:val="en-US"/>
          <w14:ligatures w14:val="none"/>
        </w:rPr>
        <w:t>(1), 1–13. https://doi.org/10.5897/SRE2025.6803</w:t>
      </w:r>
    </w:p>
    <w:p w14:paraId="76C8306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Dembélé, A., Sissoko, L., Togola, I., Traoré, N., Sidibé, L., &amp; Diallo, D. (2020). </w:t>
      </w:r>
      <w:proofErr w:type="spellStart"/>
      <w:r w:rsidRPr="00B04D5D">
        <w:rPr>
          <w:rFonts w:ascii="Times New Roman" w:eastAsia="Times New Roman" w:hAnsi="Times New Roman" w:cs="Times New Roman"/>
          <w:kern w:val="0"/>
          <w:lang w:val="en-US"/>
          <w14:ligatures w14:val="none"/>
        </w:rPr>
        <w:t>Enquête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ethnobotanique</w:t>
      </w:r>
      <w:proofErr w:type="spellEnd"/>
      <w:r w:rsidRPr="00B04D5D">
        <w:rPr>
          <w:rFonts w:ascii="Times New Roman" w:eastAsia="Times New Roman" w:hAnsi="Times New Roman" w:cs="Times New Roman"/>
          <w:kern w:val="0"/>
          <w:lang w:val="en-US"/>
          <w14:ligatures w14:val="none"/>
        </w:rPr>
        <w:t xml:space="preserve"> de trois plantes </w:t>
      </w:r>
      <w:proofErr w:type="spellStart"/>
      <w:r w:rsidRPr="00B04D5D">
        <w:rPr>
          <w:rFonts w:ascii="Times New Roman" w:eastAsia="Times New Roman" w:hAnsi="Times New Roman" w:cs="Times New Roman"/>
          <w:kern w:val="0"/>
          <w:lang w:val="en-US"/>
          <w14:ligatures w14:val="none"/>
        </w:rPr>
        <w:t>utilisées</w:t>
      </w:r>
      <w:proofErr w:type="spellEnd"/>
      <w:r w:rsidRPr="00B04D5D">
        <w:rPr>
          <w:rFonts w:ascii="Times New Roman" w:eastAsia="Times New Roman" w:hAnsi="Times New Roman" w:cs="Times New Roman"/>
          <w:kern w:val="0"/>
          <w:lang w:val="en-US"/>
          <w14:ligatures w14:val="none"/>
        </w:rPr>
        <w:t xml:space="preserve"> dans la </w:t>
      </w:r>
      <w:proofErr w:type="spellStart"/>
      <w:r w:rsidRPr="00B04D5D">
        <w:rPr>
          <w:rFonts w:ascii="Times New Roman" w:eastAsia="Times New Roman" w:hAnsi="Times New Roman" w:cs="Times New Roman"/>
          <w:kern w:val="0"/>
          <w:lang w:val="en-US"/>
          <w14:ligatures w14:val="none"/>
        </w:rPr>
        <w:t>prise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en</w:t>
      </w:r>
      <w:proofErr w:type="spellEnd"/>
      <w:r w:rsidRPr="00B04D5D">
        <w:rPr>
          <w:rFonts w:ascii="Times New Roman" w:eastAsia="Times New Roman" w:hAnsi="Times New Roman" w:cs="Times New Roman"/>
          <w:kern w:val="0"/>
          <w:lang w:val="en-US"/>
          <w14:ligatures w14:val="none"/>
        </w:rPr>
        <w:t xml:space="preserve"> charge </w:t>
      </w:r>
      <w:proofErr w:type="spellStart"/>
      <w:r w:rsidRPr="00B04D5D">
        <w:rPr>
          <w:rFonts w:ascii="Times New Roman" w:eastAsia="Times New Roman" w:hAnsi="Times New Roman" w:cs="Times New Roman"/>
          <w:kern w:val="0"/>
          <w:lang w:val="en-US"/>
          <w14:ligatures w14:val="none"/>
        </w:rPr>
        <w:t>traditionnelle</w:t>
      </w:r>
      <w:proofErr w:type="spellEnd"/>
      <w:r w:rsidRPr="00B04D5D">
        <w:rPr>
          <w:rFonts w:ascii="Times New Roman" w:eastAsia="Times New Roman" w:hAnsi="Times New Roman" w:cs="Times New Roman"/>
          <w:kern w:val="0"/>
          <w:lang w:val="en-US"/>
          <w14:ligatures w14:val="none"/>
        </w:rPr>
        <w:t xml:space="preserve"> de </w:t>
      </w:r>
      <w:proofErr w:type="spellStart"/>
      <w:r w:rsidRPr="00B04D5D">
        <w:rPr>
          <w:rFonts w:ascii="Times New Roman" w:eastAsia="Times New Roman" w:hAnsi="Times New Roman" w:cs="Times New Roman"/>
          <w:kern w:val="0"/>
          <w:lang w:val="en-US"/>
          <w14:ligatures w14:val="none"/>
        </w:rPr>
        <w:t>l’hypertension</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artérielle</w:t>
      </w:r>
      <w:proofErr w:type="spellEnd"/>
      <w:r w:rsidRPr="00B04D5D">
        <w:rPr>
          <w:rFonts w:ascii="Times New Roman" w:eastAsia="Times New Roman" w:hAnsi="Times New Roman" w:cs="Times New Roman"/>
          <w:kern w:val="0"/>
          <w:lang w:val="en-US"/>
          <w14:ligatures w14:val="none"/>
        </w:rPr>
        <w:t xml:space="preserve"> au Mali: </w:t>
      </w:r>
      <w:r w:rsidRPr="00B04D5D">
        <w:rPr>
          <w:rFonts w:ascii="Times New Roman" w:eastAsia="Times New Roman" w:hAnsi="Times New Roman" w:cs="Times New Roman"/>
          <w:i/>
          <w:iCs/>
          <w:kern w:val="0"/>
          <w:lang w:val="en-US"/>
          <w14:ligatures w14:val="none"/>
        </w:rPr>
        <w:t>Balanites aegyptiaca</w:t>
      </w:r>
      <w:r w:rsidRPr="00B04D5D">
        <w:rPr>
          <w:rFonts w:ascii="Times New Roman" w:eastAsia="Times New Roman" w:hAnsi="Times New Roman" w:cs="Times New Roman"/>
          <w:kern w:val="0"/>
          <w:lang w:val="en-US"/>
          <w14:ligatures w14:val="none"/>
        </w:rPr>
        <w:t xml:space="preserve"> (L.) Del., </w:t>
      </w:r>
      <w:proofErr w:type="spellStart"/>
      <w:r w:rsidRPr="00B04D5D">
        <w:rPr>
          <w:rFonts w:ascii="Times New Roman" w:eastAsia="Times New Roman" w:hAnsi="Times New Roman" w:cs="Times New Roman"/>
          <w:i/>
          <w:iCs/>
          <w:kern w:val="0"/>
          <w:lang w:val="en-US"/>
          <w14:ligatures w14:val="none"/>
        </w:rPr>
        <w:t>Piliostigma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reticulatum</w:t>
      </w:r>
      <w:proofErr w:type="spellEnd"/>
      <w:r w:rsidRPr="00B04D5D">
        <w:rPr>
          <w:rFonts w:ascii="Times New Roman" w:eastAsia="Times New Roman" w:hAnsi="Times New Roman" w:cs="Times New Roman"/>
          <w:kern w:val="0"/>
          <w:lang w:val="en-US"/>
          <w14:ligatures w14:val="none"/>
        </w:rPr>
        <w:t xml:space="preserve"> (DC.) </w:t>
      </w:r>
      <w:proofErr w:type="spellStart"/>
      <w:r w:rsidRPr="00B04D5D">
        <w:rPr>
          <w:rFonts w:ascii="Times New Roman" w:eastAsia="Times New Roman" w:hAnsi="Times New Roman" w:cs="Times New Roman"/>
          <w:kern w:val="0"/>
          <w:lang w:val="en-US"/>
          <w14:ligatures w14:val="none"/>
        </w:rPr>
        <w:t>Hochst</w:t>
      </w:r>
      <w:proofErr w:type="spellEnd"/>
      <w:r w:rsidRPr="00B04D5D">
        <w:rPr>
          <w:rFonts w:ascii="Times New Roman" w:eastAsia="Times New Roman" w:hAnsi="Times New Roman" w:cs="Times New Roman"/>
          <w:kern w:val="0"/>
          <w:lang w:val="en-US"/>
          <w14:ligatures w14:val="none"/>
        </w:rPr>
        <w:t xml:space="preserve"> et </w:t>
      </w:r>
      <w:r w:rsidRPr="00B04D5D">
        <w:rPr>
          <w:rFonts w:ascii="Times New Roman" w:eastAsia="Times New Roman" w:hAnsi="Times New Roman" w:cs="Times New Roman"/>
          <w:i/>
          <w:iCs/>
          <w:kern w:val="0"/>
          <w:lang w:val="en-US"/>
          <w14:ligatures w14:val="none"/>
        </w:rPr>
        <w:t>Bauhinia rufescens</w:t>
      </w:r>
      <w:r w:rsidRPr="00B04D5D">
        <w:rPr>
          <w:rFonts w:ascii="Times New Roman" w:eastAsia="Times New Roman" w:hAnsi="Times New Roman" w:cs="Times New Roman"/>
          <w:kern w:val="0"/>
          <w:lang w:val="en-US"/>
          <w14:ligatures w14:val="none"/>
        </w:rPr>
        <w:t xml:space="preserve"> (L.). </w:t>
      </w:r>
      <w:r w:rsidRPr="00B04D5D">
        <w:rPr>
          <w:rFonts w:ascii="Times New Roman" w:eastAsia="Times New Roman" w:hAnsi="Times New Roman" w:cs="Times New Roman"/>
          <w:i/>
          <w:iCs/>
          <w:kern w:val="0"/>
          <w:lang w:val="en-US"/>
          <w14:ligatures w14:val="none"/>
        </w:rPr>
        <w:t>International Journal of Applied Research, 6</w:t>
      </w:r>
      <w:r w:rsidRPr="00B04D5D">
        <w:rPr>
          <w:rFonts w:ascii="Times New Roman" w:eastAsia="Times New Roman" w:hAnsi="Times New Roman" w:cs="Times New Roman"/>
          <w:kern w:val="0"/>
          <w:lang w:val="en-US"/>
          <w14:ligatures w14:val="none"/>
        </w:rPr>
        <w:t>(10), 998–1001. https://doi.org/10.22271/allresearch.2020.v6.i10o.7683</w:t>
      </w:r>
    </w:p>
    <w:p w14:paraId="78F4D433"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Dong, C., Wu, G., Li, H., Qiao, Y., &amp; Gao, S. (2024). Type 1 and type 2 diabetes mortality burden: Predictions for 2030 based on Bayesian age-period-cohort analysis of China and global mortality burden from 1990 to 2019. </w:t>
      </w:r>
      <w:r w:rsidRPr="00B04D5D">
        <w:rPr>
          <w:rFonts w:ascii="Times New Roman" w:eastAsia="Times New Roman" w:hAnsi="Times New Roman" w:cs="Times New Roman"/>
          <w:i/>
          <w:iCs/>
          <w:kern w:val="0"/>
          <w:lang w:val="en-US"/>
          <w14:ligatures w14:val="none"/>
        </w:rPr>
        <w:t>Journal of Diabetes Investigation, 15</w:t>
      </w:r>
      <w:r w:rsidRPr="00B04D5D">
        <w:rPr>
          <w:rFonts w:ascii="Times New Roman" w:eastAsia="Times New Roman" w:hAnsi="Times New Roman" w:cs="Times New Roman"/>
          <w:kern w:val="0"/>
          <w:lang w:val="en-US"/>
          <w14:ligatures w14:val="none"/>
        </w:rPr>
        <w:t>(5), 623–633. https://doi.org/10.1111/jdi.14146</w:t>
      </w:r>
    </w:p>
    <w:p w14:paraId="637D9625"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Duarte, R. C. O., Souza, G. S. de, Araújo, L. C. de, Herrera, S. D. S. C., Diogo, R. F., &amp; Paiva, M. J. M. de. (2025). O </w:t>
      </w:r>
      <w:proofErr w:type="spellStart"/>
      <w:r w:rsidRPr="00B04D5D">
        <w:rPr>
          <w:rFonts w:ascii="Times New Roman" w:eastAsia="Times New Roman" w:hAnsi="Times New Roman" w:cs="Times New Roman"/>
          <w:kern w:val="0"/>
          <w:lang w:val="en-US"/>
          <w14:ligatures w14:val="none"/>
        </w:rPr>
        <w:t>uso</w:t>
      </w:r>
      <w:proofErr w:type="spellEnd"/>
      <w:r w:rsidRPr="00B04D5D">
        <w:rPr>
          <w:rFonts w:ascii="Times New Roman" w:eastAsia="Times New Roman" w:hAnsi="Times New Roman" w:cs="Times New Roman"/>
          <w:kern w:val="0"/>
          <w:lang w:val="en-US"/>
          <w14:ligatures w14:val="none"/>
        </w:rPr>
        <w:t xml:space="preserve"> de </w:t>
      </w:r>
      <w:proofErr w:type="spellStart"/>
      <w:r w:rsidRPr="00B04D5D">
        <w:rPr>
          <w:rFonts w:ascii="Times New Roman" w:eastAsia="Times New Roman" w:hAnsi="Times New Roman" w:cs="Times New Roman"/>
          <w:kern w:val="0"/>
          <w:lang w:val="en-US"/>
          <w14:ligatures w14:val="none"/>
        </w:rPr>
        <w:t>plantas</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medicinais</w:t>
      </w:r>
      <w:proofErr w:type="spellEnd"/>
      <w:r w:rsidRPr="00B04D5D">
        <w:rPr>
          <w:rFonts w:ascii="Times New Roman" w:eastAsia="Times New Roman" w:hAnsi="Times New Roman" w:cs="Times New Roman"/>
          <w:kern w:val="0"/>
          <w:lang w:val="en-US"/>
          <w14:ligatures w14:val="none"/>
        </w:rPr>
        <w:t xml:space="preserve"> no </w:t>
      </w:r>
      <w:proofErr w:type="spellStart"/>
      <w:r w:rsidRPr="00B04D5D">
        <w:rPr>
          <w:rFonts w:ascii="Times New Roman" w:eastAsia="Times New Roman" w:hAnsi="Times New Roman" w:cs="Times New Roman"/>
          <w:kern w:val="0"/>
          <w:lang w:val="en-US"/>
          <w14:ligatures w14:val="none"/>
        </w:rPr>
        <w:t>tratamento</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suplementar</w:t>
      </w:r>
      <w:proofErr w:type="spellEnd"/>
      <w:r w:rsidRPr="00B04D5D">
        <w:rPr>
          <w:rFonts w:ascii="Times New Roman" w:eastAsia="Times New Roman" w:hAnsi="Times New Roman" w:cs="Times New Roman"/>
          <w:kern w:val="0"/>
          <w:lang w:val="en-US"/>
          <w14:ligatures w14:val="none"/>
        </w:rPr>
        <w:t xml:space="preserve"> da diabetes mellitus. </w:t>
      </w:r>
      <w:r w:rsidRPr="00B04D5D">
        <w:rPr>
          <w:rFonts w:ascii="Times New Roman" w:eastAsia="Times New Roman" w:hAnsi="Times New Roman" w:cs="Times New Roman"/>
          <w:i/>
          <w:iCs/>
          <w:kern w:val="0"/>
          <w:lang w:val="en-US"/>
          <w14:ligatures w14:val="none"/>
        </w:rPr>
        <w:t xml:space="preserve">O Mundo da </w:t>
      </w:r>
      <w:proofErr w:type="spellStart"/>
      <w:r w:rsidRPr="00B04D5D">
        <w:rPr>
          <w:rFonts w:ascii="Times New Roman" w:eastAsia="Times New Roman" w:hAnsi="Times New Roman" w:cs="Times New Roman"/>
          <w:i/>
          <w:iCs/>
          <w:kern w:val="0"/>
          <w:lang w:val="en-US"/>
          <w14:ligatures w14:val="none"/>
        </w:rPr>
        <w:t>Saúde</w:t>
      </w:r>
      <w:proofErr w:type="spellEnd"/>
      <w:r w:rsidRPr="00B04D5D">
        <w:rPr>
          <w:rFonts w:ascii="Times New Roman" w:eastAsia="Times New Roman" w:hAnsi="Times New Roman" w:cs="Times New Roman"/>
          <w:i/>
          <w:iCs/>
          <w:kern w:val="0"/>
          <w:lang w:val="en-US"/>
          <w14:ligatures w14:val="none"/>
        </w:rPr>
        <w:t>, 49</w:t>
      </w:r>
      <w:r w:rsidRPr="00B04D5D">
        <w:rPr>
          <w:rFonts w:ascii="Times New Roman" w:eastAsia="Times New Roman" w:hAnsi="Times New Roman" w:cs="Times New Roman"/>
          <w:kern w:val="0"/>
          <w:lang w:val="en-US"/>
          <w14:ligatures w14:val="none"/>
        </w:rPr>
        <w:t>. https://doi.org/10.15343/0104-7809.202549e17782025P</w:t>
      </w:r>
    </w:p>
    <w:p w14:paraId="63F5FFC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Dubois, M., Gilles, K., Hamilton, J. K., </w:t>
      </w:r>
      <w:proofErr w:type="spellStart"/>
      <w:r w:rsidRPr="00B04D5D">
        <w:rPr>
          <w:rFonts w:ascii="Times New Roman" w:eastAsia="Times New Roman" w:hAnsi="Times New Roman" w:cs="Times New Roman"/>
          <w:kern w:val="0"/>
          <w:lang w:val="en-US"/>
          <w14:ligatures w14:val="none"/>
        </w:rPr>
        <w:t>Rebers</w:t>
      </w:r>
      <w:proofErr w:type="spellEnd"/>
      <w:r w:rsidRPr="00B04D5D">
        <w:rPr>
          <w:rFonts w:ascii="Times New Roman" w:eastAsia="Times New Roman" w:hAnsi="Times New Roman" w:cs="Times New Roman"/>
          <w:kern w:val="0"/>
          <w:lang w:val="en-US"/>
          <w14:ligatures w14:val="none"/>
        </w:rPr>
        <w:t xml:space="preserve">, P. A., &amp; Smith, F. (1951). A colorimetric method for the determination of sugars. </w:t>
      </w:r>
      <w:r w:rsidRPr="00B04D5D">
        <w:rPr>
          <w:rFonts w:ascii="Times New Roman" w:eastAsia="Times New Roman" w:hAnsi="Times New Roman" w:cs="Times New Roman"/>
          <w:i/>
          <w:iCs/>
          <w:kern w:val="0"/>
          <w:lang w:val="en-US"/>
          <w14:ligatures w14:val="none"/>
        </w:rPr>
        <w:t>Nature, 168</w:t>
      </w:r>
      <w:r w:rsidRPr="00B04D5D">
        <w:rPr>
          <w:rFonts w:ascii="Times New Roman" w:eastAsia="Times New Roman" w:hAnsi="Times New Roman" w:cs="Times New Roman"/>
          <w:kern w:val="0"/>
          <w:lang w:val="en-US"/>
          <w14:ligatures w14:val="none"/>
        </w:rPr>
        <w:t>(4265), 167. https://doi.org/10.1038/168167a0</w:t>
      </w:r>
    </w:p>
    <w:p w14:paraId="6F6161AF"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Duncan, B. B., Magliano, D. J., &amp; Boyko, E. J. (2025). IDF Diabetes Atlas 11th edition 2025: Global prevalence and projections for 2050. </w:t>
      </w:r>
      <w:r w:rsidRPr="00B04D5D">
        <w:rPr>
          <w:rFonts w:ascii="Times New Roman" w:eastAsia="Times New Roman" w:hAnsi="Times New Roman" w:cs="Times New Roman"/>
          <w:i/>
          <w:iCs/>
          <w:kern w:val="0"/>
          <w:lang w:val="en-US"/>
          <w14:ligatures w14:val="none"/>
        </w:rPr>
        <w:t>Nephrology Dialysis Transplantation, 41</w:t>
      </w:r>
      <w:r w:rsidRPr="00B04D5D">
        <w:rPr>
          <w:rFonts w:ascii="Times New Roman" w:eastAsia="Times New Roman" w:hAnsi="Times New Roman" w:cs="Times New Roman"/>
          <w:kern w:val="0"/>
          <w:lang w:val="en-US"/>
          <w14:ligatures w14:val="none"/>
        </w:rPr>
        <w:t xml:space="preserve">(1), 7–9. </w:t>
      </w:r>
      <w:hyperlink r:id="rId14" w:tgtFrame="_blank" w:history="1">
        <w:r w:rsidRPr="00B04D5D">
          <w:rPr>
            <w:rFonts w:ascii="Times New Roman" w:eastAsia="Times New Roman" w:hAnsi="Times New Roman" w:cs="Times New Roman"/>
            <w:color w:val="0000FF"/>
            <w:kern w:val="0"/>
            <w:u w:val="single"/>
            <w:lang w:val="en-US"/>
            <w14:ligatures w14:val="none"/>
          </w:rPr>
          <w:t>https://doi.org/10.1093/ndt/gfaf177</w:t>
        </w:r>
      </w:hyperlink>
    </w:p>
    <w:p w14:paraId="05ED56D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Ekpor</w:t>
      </w:r>
      <w:proofErr w:type="spellEnd"/>
      <w:r w:rsidRPr="00B04D5D">
        <w:rPr>
          <w:rFonts w:ascii="Times New Roman" w:eastAsia="Times New Roman" w:hAnsi="Times New Roman" w:cs="Times New Roman"/>
          <w:kern w:val="0"/>
          <w:lang w:val="en-US"/>
          <w14:ligatures w14:val="none"/>
        </w:rPr>
        <w:t xml:space="preserve">, E., Osei, E., &amp; </w:t>
      </w:r>
      <w:proofErr w:type="spellStart"/>
      <w:r w:rsidRPr="00B04D5D">
        <w:rPr>
          <w:rFonts w:ascii="Times New Roman" w:eastAsia="Times New Roman" w:hAnsi="Times New Roman" w:cs="Times New Roman"/>
          <w:kern w:val="0"/>
          <w:lang w:val="en-US"/>
          <w14:ligatures w14:val="none"/>
        </w:rPr>
        <w:t>Akyirem</w:t>
      </w:r>
      <w:proofErr w:type="spellEnd"/>
      <w:r w:rsidRPr="00B04D5D">
        <w:rPr>
          <w:rFonts w:ascii="Times New Roman" w:eastAsia="Times New Roman" w:hAnsi="Times New Roman" w:cs="Times New Roman"/>
          <w:kern w:val="0"/>
          <w:lang w:val="en-US"/>
          <w14:ligatures w14:val="none"/>
        </w:rPr>
        <w:t xml:space="preserve">, S. (2024). Prevalence and predictors of traditional medicine use among persons with diabetes in Africa: A systematic review. </w:t>
      </w:r>
      <w:r w:rsidRPr="00B04D5D">
        <w:rPr>
          <w:rFonts w:ascii="Times New Roman" w:eastAsia="Times New Roman" w:hAnsi="Times New Roman" w:cs="Times New Roman"/>
          <w:i/>
          <w:iCs/>
          <w:kern w:val="0"/>
          <w:lang w:val="en-US"/>
          <w14:ligatures w14:val="none"/>
        </w:rPr>
        <w:t>International Health, 16</w:t>
      </w:r>
      <w:r w:rsidRPr="00B04D5D">
        <w:rPr>
          <w:rFonts w:ascii="Times New Roman" w:eastAsia="Times New Roman" w:hAnsi="Times New Roman" w:cs="Times New Roman"/>
          <w:kern w:val="0"/>
          <w:lang w:val="en-US"/>
          <w14:ligatures w14:val="none"/>
        </w:rPr>
        <w:t xml:space="preserve">(3), 252–260. </w:t>
      </w:r>
      <w:hyperlink r:id="rId15" w:tgtFrame="_blank" w:history="1">
        <w:r w:rsidRPr="00B04D5D">
          <w:rPr>
            <w:rFonts w:ascii="Times New Roman" w:eastAsia="Times New Roman" w:hAnsi="Times New Roman" w:cs="Times New Roman"/>
            <w:color w:val="0000FF"/>
            <w:kern w:val="0"/>
            <w:u w:val="single"/>
            <w:lang w:val="en-US"/>
            <w14:ligatures w14:val="none"/>
          </w:rPr>
          <w:t>https://doi.org/10.1093/inthealth/ihad080</w:t>
        </w:r>
      </w:hyperlink>
    </w:p>
    <w:p w14:paraId="7D29F921"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lastRenderedPageBreak/>
        <w:t xml:space="preserve">Frimpong, E. K., </w:t>
      </w:r>
      <w:proofErr w:type="spellStart"/>
      <w:r w:rsidRPr="00B04D5D">
        <w:rPr>
          <w:rFonts w:ascii="Times New Roman" w:eastAsia="Times New Roman" w:hAnsi="Times New Roman" w:cs="Times New Roman"/>
          <w:kern w:val="0"/>
          <w:lang w:val="en-US"/>
          <w14:ligatures w14:val="none"/>
        </w:rPr>
        <w:t>Thembane</w:t>
      </w:r>
      <w:proofErr w:type="spellEnd"/>
      <w:r w:rsidRPr="00B04D5D">
        <w:rPr>
          <w:rFonts w:ascii="Times New Roman" w:eastAsia="Times New Roman" w:hAnsi="Times New Roman" w:cs="Times New Roman"/>
          <w:kern w:val="0"/>
          <w:lang w:val="en-US"/>
          <w14:ligatures w14:val="none"/>
        </w:rPr>
        <w:t xml:space="preserve">, N., Hlatshwayo, S., Ngcobo, M., &amp; </w:t>
      </w:r>
      <w:proofErr w:type="spellStart"/>
      <w:r w:rsidRPr="00B04D5D">
        <w:rPr>
          <w:rFonts w:ascii="Times New Roman" w:eastAsia="Times New Roman" w:hAnsi="Times New Roman" w:cs="Times New Roman"/>
          <w:kern w:val="0"/>
          <w:lang w:val="en-US"/>
          <w14:ligatures w14:val="none"/>
        </w:rPr>
        <w:t>Gqaleni</w:t>
      </w:r>
      <w:proofErr w:type="spellEnd"/>
      <w:r w:rsidRPr="00B04D5D">
        <w:rPr>
          <w:rFonts w:ascii="Times New Roman" w:eastAsia="Times New Roman" w:hAnsi="Times New Roman" w:cs="Times New Roman"/>
          <w:kern w:val="0"/>
          <w:lang w:val="en-US"/>
          <w14:ligatures w14:val="none"/>
        </w:rPr>
        <w:t xml:space="preserve">, N. (2024). Indigenous medicinal plants used in the management of diabetes in Africa: 5 years (2019–2024) in perspective. </w:t>
      </w:r>
      <w:r w:rsidRPr="00B04D5D">
        <w:rPr>
          <w:rFonts w:ascii="Times New Roman" w:eastAsia="Times New Roman" w:hAnsi="Times New Roman" w:cs="Times New Roman"/>
          <w:i/>
          <w:iCs/>
          <w:kern w:val="0"/>
          <w:lang w:val="en-US"/>
          <w14:ligatures w14:val="none"/>
        </w:rPr>
        <w:t>Plants, 13</w:t>
      </w:r>
      <w:r w:rsidRPr="00B04D5D">
        <w:rPr>
          <w:rFonts w:ascii="Times New Roman" w:eastAsia="Times New Roman" w:hAnsi="Times New Roman" w:cs="Times New Roman"/>
          <w:kern w:val="0"/>
          <w:lang w:val="en-US"/>
          <w14:ligatures w14:val="none"/>
        </w:rPr>
        <w:t xml:space="preserve">(14), 1898. </w:t>
      </w:r>
      <w:hyperlink r:id="rId16" w:tgtFrame="_blank" w:history="1">
        <w:r w:rsidRPr="00B04D5D">
          <w:rPr>
            <w:rFonts w:ascii="Times New Roman" w:eastAsia="Times New Roman" w:hAnsi="Times New Roman" w:cs="Times New Roman"/>
            <w:color w:val="0000FF"/>
            <w:kern w:val="0"/>
            <w:u w:val="single"/>
            <w:lang w:val="en-US"/>
            <w14:ligatures w14:val="none"/>
          </w:rPr>
          <w:t>https://doi.org/10.3390/plants13141898</w:t>
        </w:r>
      </w:hyperlink>
    </w:p>
    <w:p w14:paraId="4E476491"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Genitsaridi</w:t>
      </w:r>
      <w:proofErr w:type="spellEnd"/>
      <w:r w:rsidRPr="00B04D5D">
        <w:rPr>
          <w:rFonts w:ascii="Times New Roman" w:eastAsia="Times New Roman" w:hAnsi="Times New Roman" w:cs="Times New Roman"/>
          <w:kern w:val="0"/>
          <w:lang w:val="en-US"/>
          <w14:ligatures w14:val="none"/>
        </w:rPr>
        <w:t xml:space="preserve">, I., </w:t>
      </w:r>
      <w:proofErr w:type="spellStart"/>
      <w:r w:rsidRPr="00B04D5D">
        <w:rPr>
          <w:rFonts w:ascii="Times New Roman" w:eastAsia="Times New Roman" w:hAnsi="Times New Roman" w:cs="Times New Roman"/>
          <w:kern w:val="0"/>
          <w:lang w:val="en-US"/>
          <w14:ligatures w14:val="none"/>
        </w:rPr>
        <w:t>Salpea</w:t>
      </w:r>
      <w:proofErr w:type="spellEnd"/>
      <w:r w:rsidRPr="00B04D5D">
        <w:rPr>
          <w:rFonts w:ascii="Times New Roman" w:eastAsia="Times New Roman" w:hAnsi="Times New Roman" w:cs="Times New Roman"/>
          <w:kern w:val="0"/>
          <w:lang w:val="en-US"/>
          <w14:ligatures w14:val="none"/>
        </w:rPr>
        <w:t xml:space="preserve">, P., Salim, A., Sajjadi, S. F., Tomic, D., James, S., Thirunavukkarasu, S., Issaka, A., Chen, L., Basit, A., Luk, A. O. Y., Ma, R. C. W., </w:t>
      </w:r>
      <w:proofErr w:type="spellStart"/>
      <w:r w:rsidRPr="00B04D5D">
        <w:rPr>
          <w:rFonts w:ascii="Times New Roman" w:eastAsia="Times New Roman" w:hAnsi="Times New Roman" w:cs="Times New Roman"/>
          <w:kern w:val="0"/>
          <w:lang w:val="en-US"/>
          <w14:ligatures w14:val="none"/>
        </w:rPr>
        <w:t>Mbanya</w:t>
      </w:r>
      <w:proofErr w:type="spellEnd"/>
      <w:r w:rsidRPr="00B04D5D">
        <w:rPr>
          <w:rFonts w:ascii="Times New Roman" w:eastAsia="Times New Roman" w:hAnsi="Times New Roman" w:cs="Times New Roman"/>
          <w:kern w:val="0"/>
          <w:lang w:val="en-US"/>
          <w14:ligatures w14:val="none"/>
        </w:rPr>
        <w:t xml:space="preserve">, J.-C., Ramachandran, A., Wild, S. H., Duncan, B. B., Boyko, E. J., &amp; Magliano, D. J. (2026). 11th edition of the IDF Diabetes Atlas: Global, regional, and national diabetes prevalence estimates for 2024 and projections for 2050. </w:t>
      </w:r>
      <w:r w:rsidRPr="00B04D5D">
        <w:rPr>
          <w:rFonts w:ascii="Times New Roman" w:eastAsia="Times New Roman" w:hAnsi="Times New Roman" w:cs="Times New Roman"/>
          <w:i/>
          <w:iCs/>
          <w:kern w:val="0"/>
          <w:lang w:val="en-US"/>
          <w14:ligatures w14:val="none"/>
        </w:rPr>
        <w:t>The Lancet Diabetes &amp; Endocrinology, 14</w:t>
      </w:r>
      <w:r w:rsidRPr="00B04D5D">
        <w:rPr>
          <w:rFonts w:ascii="Times New Roman" w:eastAsia="Times New Roman" w:hAnsi="Times New Roman" w:cs="Times New Roman"/>
          <w:kern w:val="0"/>
          <w:lang w:val="en-US"/>
          <w14:ligatures w14:val="none"/>
        </w:rPr>
        <w:t>(2), 149–156. https://doi.org/10.1016/S2213-8587(25)00299-2</w:t>
      </w:r>
    </w:p>
    <w:p w14:paraId="23E9F90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Gnagne, A. S., Camara, D., Fofie, N. B. Y., Bene, K., &amp; </w:t>
      </w:r>
      <w:proofErr w:type="spellStart"/>
      <w:r w:rsidRPr="00B04D5D">
        <w:rPr>
          <w:rFonts w:ascii="Times New Roman" w:eastAsia="Times New Roman" w:hAnsi="Times New Roman" w:cs="Times New Roman"/>
          <w:kern w:val="0"/>
          <w:lang w:val="en-US"/>
          <w14:ligatures w14:val="none"/>
        </w:rPr>
        <w:t>Zirihi</w:t>
      </w:r>
      <w:proofErr w:type="spellEnd"/>
      <w:r w:rsidRPr="00B04D5D">
        <w:rPr>
          <w:rFonts w:ascii="Times New Roman" w:eastAsia="Times New Roman" w:hAnsi="Times New Roman" w:cs="Times New Roman"/>
          <w:kern w:val="0"/>
          <w:lang w:val="en-US"/>
          <w14:ligatures w14:val="none"/>
        </w:rPr>
        <w:t xml:space="preserve">, G. N. (2017). Étude </w:t>
      </w:r>
      <w:proofErr w:type="spellStart"/>
      <w:r w:rsidRPr="00B04D5D">
        <w:rPr>
          <w:rFonts w:ascii="Times New Roman" w:eastAsia="Times New Roman" w:hAnsi="Times New Roman" w:cs="Times New Roman"/>
          <w:kern w:val="0"/>
          <w:lang w:val="en-US"/>
          <w14:ligatures w14:val="none"/>
        </w:rPr>
        <w:t>ethnobotanique</w:t>
      </w:r>
      <w:proofErr w:type="spellEnd"/>
      <w:r w:rsidRPr="00B04D5D">
        <w:rPr>
          <w:rFonts w:ascii="Times New Roman" w:eastAsia="Times New Roman" w:hAnsi="Times New Roman" w:cs="Times New Roman"/>
          <w:kern w:val="0"/>
          <w:lang w:val="en-US"/>
          <w14:ligatures w14:val="none"/>
        </w:rPr>
        <w:t xml:space="preserve"> des plantes </w:t>
      </w:r>
      <w:proofErr w:type="spellStart"/>
      <w:r w:rsidRPr="00B04D5D">
        <w:rPr>
          <w:rFonts w:ascii="Times New Roman" w:eastAsia="Times New Roman" w:hAnsi="Times New Roman" w:cs="Times New Roman"/>
          <w:kern w:val="0"/>
          <w:lang w:val="en-US"/>
          <w14:ligatures w14:val="none"/>
        </w:rPr>
        <w:t>médicinales</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utilisées</w:t>
      </w:r>
      <w:proofErr w:type="spellEnd"/>
      <w:r w:rsidRPr="00B04D5D">
        <w:rPr>
          <w:rFonts w:ascii="Times New Roman" w:eastAsia="Times New Roman" w:hAnsi="Times New Roman" w:cs="Times New Roman"/>
          <w:kern w:val="0"/>
          <w:lang w:val="en-US"/>
          <w14:ligatures w14:val="none"/>
        </w:rPr>
        <w:t xml:space="preserve"> dans le </w:t>
      </w:r>
      <w:proofErr w:type="spellStart"/>
      <w:r w:rsidRPr="00B04D5D">
        <w:rPr>
          <w:rFonts w:ascii="Times New Roman" w:eastAsia="Times New Roman" w:hAnsi="Times New Roman" w:cs="Times New Roman"/>
          <w:kern w:val="0"/>
          <w:lang w:val="en-US"/>
          <w14:ligatures w14:val="none"/>
        </w:rPr>
        <w:t>traitement</w:t>
      </w:r>
      <w:proofErr w:type="spellEnd"/>
      <w:r w:rsidRPr="00B04D5D">
        <w:rPr>
          <w:rFonts w:ascii="Times New Roman" w:eastAsia="Times New Roman" w:hAnsi="Times New Roman" w:cs="Times New Roman"/>
          <w:kern w:val="0"/>
          <w:lang w:val="en-US"/>
          <w14:ligatures w14:val="none"/>
        </w:rPr>
        <w:t xml:space="preserve"> du </w:t>
      </w:r>
      <w:proofErr w:type="spellStart"/>
      <w:r w:rsidRPr="00B04D5D">
        <w:rPr>
          <w:rFonts w:ascii="Times New Roman" w:eastAsia="Times New Roman" w:hAnsi="Times New Roman" w:cs="Times New Roman"/>
          <w:kern w:val="0"/>
          <w:lang w:val="en-US"/>
          <w14:ligatures w14:val="none"/>
        </w:rPr>
        <w:t>diabète</w:t>
      </w:r>
      <w:proofErr w:type="spellEnd"/>
      <w:r w:rsidRPr="00B04D5D">
        <w:rPr>
          <w:rFonts w:ascii="Times New Roman" w:eastAsia="Times New Roman" w:hAnsi="Times New Roman" w:cs="Times New Roman"/>
          <w:kern w:val="0"/>
          <w:lang w:val="en-US"/>
          <w14:ligatures w14:val="none"/>
        </w:rPr>
        <w:t xml:space="preserve"> dans le Département de </w:t>
      </w:r>
      <w:proofErr w:type="spellStart"/>
      <w:r w:rsidRPr="00B04D5D">
        <w:rPr>
          <w:rFonts w:ascii="Times New Roman" w:eastAsia="Times New Roman" w:hAnsi="Times New Roman" w:cs="Times New Roman"/>
          <w:kern w:val="0"/>
          <w:lang w:val="en-US"/>
          <w14:ligatures w14:val="none"/>
        </w:rPr>
        <w:t>Zouénoula</w:t>
      </w:r>
      <w:proofErr w:type="spellEnd"/>
      <w:r w:rsidRPr="00B04D5D">
        <w:rPr>
          <w:rFonts w:ascii="Times New Roman" w:eastAsia="Times New Roman" w:hAnsi="Times New Roman" w:cs="Times New Roman"/>
          <w:kern w:val="0"/>
          <w:lang w:val="en-US"/>
          <w14:ligatures w14:val="none"/>
        </w:rPr>
        <w:t xml:space="preserve"> (Côte d’Ivoire). </w:t>
      </w:r>
      <w:r w:rsidRPr="00B04D5D">
        <w:rPr>
          <w:rFonts w:ascii="Times New Roman" w:eastAsia="Times New Roman" w:hAnsi="Times New Roman" w:cs="Times New Roman"/>
          <w:i/>
          <w:iCs/>
          <w:kern w:val="0"/>
          <w:lang w:val="en-US"/>
          <w14:ligatures w14:val="none"/>
        </w:rPr>
        <w:t>Journal of Applied Biosciences, 113</w:t>
      </w:r>
      <w:r w:rsidRPr="00B04D5D">
        <w:rPr>
          <w:rFonts w:ascii="Times New Roman" w:eastAsia="Times New Roman" w:hAnsi="Times New Roman" w:cs="Times New Roman"/>
          <w:kern w:val="0"/>
          <w:lang w:val="en-US"/>
          <w14:ligatures w14:val="none"/>
        </w:rPr>
        <w:t>(1), 11257–11266. https://doi.org/10.4314/jab.v113i1.14</w:t>
      </w:r>
    </w:p>
    <w:p w14:paraId="6202452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Hinneburg</w:t>
      </w:r>
      <w:proofErr w:type="spellEnd"/>
      <w:r w:rsidRPr="00B04D5D">
        <w:rPr>
          <w:rFonts w:ascii="Times New Roman" w:eastAsia="Times New Roman" w:hAnsi="Times New Roman" w:cs="Times New Roman"/>
          <w:kern w:val="0"/>
          <w:lang w:val="en-US"/>
          <w14:ligatures w14:val="none"/>
        </w:rPr>
        <w:t xml:space="preserve">, I., Dorman, H. J. D., &amp; Hiltunen, R. (2006). Antioxidant activities of extracts from selected culinary herbs and spices. </w:t>
      </w:r>
      <w:r w:rsidRPr="00B04D5D">
        <w:rPr>
          <w:rFonts w:ascii="Times New Roman" w:eastAsia="Times New Roman" w:hAnsi="Times New Roman" w:cs="Times New Roman"/>
          <w:i/>
          <w:iCs/>
          <w:kern w:val="0"/>
          <w:lang w:val="en-US"/>
          <w14:ligatures w14:val="none"/>
        </w:rPr>
        <w:t>Food Chemistry, 97</w:t>
      </w:r>
      <w:r w:rsidRPr="00B04D5D">
        <w:rPr>
          <w:rFonts w:ascii="Times New Roman" w:eastAsia="Times New Roman" w:hAnsi="Times New Roman" w:cs="Times New Roman"/>
          <w:kern w:val="0"/>
          <w:lang w:val="en-US"/>
          <w14:ligatures w14:val="none"/>
        </w:rPr>
        <w:t>(1), 122–129. https://doi.org/10.1016/j.foodchem.2005.03.028</w:t>
      </w:r>
    </w:p>
    <w:p w14:paraId="0C249077"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Idaguko, C. A., &amp; Adeniyi, M. J. (2023). Indigenous antidiabetic medicinal plants used in Nigeria: A review. </w:t>
      </w:r>
      <w:r w:rsidRPr="00B04D5D">
        <w:rPr>
          <w:rFonts w:ascii="Times New Roman" w:eastAsia="Times New Roman" w:hAnsi="Times New Roman" w:cs="Times New Roman"/>
          <w:i/>
          <w:iCs/>
          <w:kern w:val="0"/>
          <w:lang w:val="en-US"/>
          <w14:ligatures w14:val="none"/>
        </w:rPr>
        <w:t>Asian Plant Research Journal, 11</w:t>
      </w:r>
      <w:r w:rsidRPr="00B04D5D">
        <w:rPr>
          <w:rFonts w:ascii="Times New Roman" w:eastAsia="Times New Roman" w:hAnsi="Times New Roman" w:cs="Times New Roman"/>
          <w:kern w:val="0"/>
          <w:lang w:val="en-US"/>
          <w14:ligatures w14:val="none"/>
        </w:rPr>
        <w:t>(6), 81–97. https://doi.org/10.9734/aprj/2023/v11i6234</w:t>
      </w:r>
    </w:p>
    <w:p w14:paraId="71C6D2C9" w14:textId="3A06586D"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International Organization for Standardization. (2006). </w:t>
      </w:r>
      <w:r w:rsidRPr="00B04D5D">
        <w:rPr>
          <w:rFonts w:ascii="Times New Roman" w:eastAsia="Times New Roman" w:hAnsi="Times New Roman" w:cs="Times New Roman"/>
          <w:i/>
          <w:iCs/>
          <w:kern w:val="0"/>
          <w:lang w:val="en-US"/>
          <w14:ligatures w14:val="none"/>
        </w:rPr>
        <w:t>Microbiology of food and animal feeding stuffs—Horizontal method for the enumeration of coliforms—Colony-count technique (ISO Standard No. 4832:2006).</w:t>
      </w:r>
      <w:r w:rsidRPr="00B04D5D">
        <w:rPr>
          <w:rFonts w:ascii="Times New Roman" w:eastAsia="Times New Roman" w:hAnsi="Times New Roman" w:cs="Times New Roman"/>
          <w:kern w:val="0"/>
          <w:lang w:val="en-US"/>
          <w14:ligatures w14:val="none"/>
        </w:rPr>
        <w:t xml:space="preserve"> </w:t>
      </w:r>
    </w:p>
    <w:p w14:paraId="739153A4"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Jamshidi-Kia, F., </w:t>
      </w:r>
      <w:proofErr w:type="spellStart"/>
      <w:r w:rsidRPr="00B04D5D">
        <w:rPr>
          <w:rFonts w:ascii="Times New Roman" w:eastAsia="Times New Roman" w:hAnsi="Times New Roman" w:cs="Times New Roman"/>
          <w:kern w:val="0"/>
          <w:lang w:val="en-US"/>
          <w14:ligatures w14:val="none"/>
        </w:rPr>
        <w:t>Lorigooini</w:t>
      </w:r>
      <w:proofErr w:type="spellEnd"/>
      <w:r w:rsidRPr="00B04D5D">
        <w:rPr>
          <w:rFonts w:ascii="Times New Roman" w:eastAsia="Times New Roman" w:hAnsi="Times New Roman" w:cs="Times New Roman"/>
          <w:kern w:val="0"/>
          <w:lang w:val="en-US"/>
          <w14:ligatures w14:val="none"/>
        </w:rPr>
        <w:t>, Z., &amp; Amini-</w:t>
      </w:r>
      <w:proofErr w:type="spellStart"/>
      <w:r w:rsidRPr="00B04D5D">
        <w:rPr>
          <w:rFonts w:ascii="Times New Roman" w:eastAsia="Times New Roman" w:hAnsi="Times New Roman" w:cs="Times New Roman"/>
          <w:kern w:val="0"/>
          <w:lang w:val="en-US"/>
          <w14:ligatures w14:val="none"/>
        </w:rPr>
        <w:t>Khoei</w:t>
      </w:r>
      <w:proofErr w:type="spellEnd"/>
      <w:r w:rsidRPr="00B04D5D">
        <w:rPr>
          <w:rFonts w:ascii="Times New Roman" w:eastAsia="Times New Roman" w:hAnsi="Times New Roman" w:cs="Times New Roman"/>
          <w:kern w:val="0"/>
          <w:lang w:val="en-US"/>
          <w14:ligatures w14:val="none"/>
        </w:rPr>
        <w:t xml:space="preserve">, H. (2018). Medicinal plants: Past history and future perspective. </w:t>
      </w:r>
      <w:r w:rsidRPr="00B04D5D">
        <w:rPr>
          <w:rFonts w:ascii="Times New Roman" w:eastAsia="Times New Roman" w:hAnsi="Times New Roman" w:cs="Times New Roman"/>
          <w:i/>
          <w:iCs/>
          <w:kern w:val="0"/>
          <w:lang w:val="en-US"/>
          <w14:ligatures w14:val="none"/>
        </w:rPr>
        <w:t xml:space="preserve">Journal of </w:t>
      </w:r>
      <w:proofErr w:type="spellStart"/>
      <w:r w:rsidRPr="00B04D5D">
        <w:rPr>
          <w:rFonts w:ascii="Times New Roman" w:eastAsia="Times New Roman" w:hAnsi="Times New Roman" w:cs="Times New Roman"/>
          <w:i/>
          <w:iCs/>
          <w:kern w:val="0"/>
          <w:lang w:val="en-US"/>
          <w14:ligatures w14:val="none"/>
        </w:rPr>
        <w:t>HerbMed</w:t>
      </w:r>
      <w:proofErr w:type="spellEnd"/>
      <w:r w:rsidRPr="00B04D5D">
        <w:rPr>
          <w:rFonts w:ascii="Times New Roman" w:eastAsia="Times New Roman" w:hAnsi="Times New Roman" w:cs="Times New Roman"/>
          <w:i/>
          <w:iCs/>
          <w:kern w:val="0"/>
          <w:lang w:val="en-US"/>
          <w14:ligatures w14:val="none"/>
        </w:rPr>
        <w:t xml:space="preserve"> Pharmacology, 7</w:t>
      </w:r>
      <w:r w:rsidRPr="00B04D5D">
        <w:rPr>
          <w:rFonts w:ascii="Times New Roman" w:eastAsia="Times New Roman" w:hAnsi="Times New Roman" w:cs="Times New Roman"/>
          <w:kern w:val="0"/>
          <w:lang w:val="en-US"/>
          <w14:ligatures w14:val="none"/>
        </w:rPr>
        <w:t>(1), 1–7. https://doi.org/10.15171/jhp.2018.01</w:t>
      </w:r>
    </w:p>
    <w:p w14:paraId="2942A6B4" w14:textId="2CFB8403"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Jlali</w:t>
      </w:r>
      <w:proofErr w:type="spellEnd"/>
      <w:r w:rsidRPr="00B04D5D">
        <w:rPr>
          <w:rFonts w:ascii="Times New Roman" w:eastAsia="Times New Roman" w:hAnsi="Times New Roman" w:cs="Times New Roman"/>
          <w:kern w:val="0"/>
          <w:lang w:val="en-US"/>
          <w14:ligatures w14:val="none"/>
        </w:rPr>
        <w:t xml:space="preserve">, I. (2023). </w:t>
      </w:r>
      <w:r w:rsidRPr="00B04D5D">
        <w:rPr>
          <w:rFonts w:ascii="Times New Roman" w:eastAsia="Times New Roman" w:hAnsi="Times New Roman" w:cs="Times New Roman"/>
          <w:i/>
          <w:iCs/>
          <w:kern w:val="0"/>
          <w:lang w:val="nl-BE"/>
          <w14:ligatures w14:val="none"/>
        </w:rPr>
        <w:t>Le diabète de type 1 et le diabète de type 2, deux acteurs de déconditionnement physique: Implication de la fonction pulmonaire et de l’oxygénation musculaire et cérébrale</w:t>
      </w:r>
      <w:r w:rsidRPr="00B04D5D">
        <w:rPr>
          <w:rFonts w:ascii="Times New Roman" w:eastAsia="Times New Roman" w:hAnsi="Times New Roman" w:cs="Times New Roman"/>
          <w:kern w:val="0"/>
          <w:lang w:val="nl-BE"/>
          <w14:ligatures w14:val="none"/>
        </w:rPr>
        <w:t xml:space="preserve"> [Doctoral dissertation, Université de Lille]. </w:t>
      </w:r>
    </w:p>
    <w:p w14:paraId="7D01FF0F"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Konaré, M. A., Maïga, A. D., Togola, I., &amp; Diarra, N. (2024). Antioxidant and antidiabetic potential of extracts from </w:t>
      </w:r>
      <w:r w:rsidRPr="00B04D5D">
        <w:rPr>
          <w:rFonts w:ascii="Times New Roman" w:eastAsia="Times New Roman" w:hAnsi="Times New Roman" w:cs="Times New Roman"/>
          <w:i/>
          <w:iCs/>
          <w:kern w:val="0"/>
          <w:lang w:val="en-US"/>
          <w14:ligatures w14:val="none"/>
        </w:rPr>
        <w:t>Anacardium occidentale</w:t>
      </w:r>
      <w:r w:rsidRPr="00B04D5D">
        <w:rPr>
          <w:rFonts w:ascii="Times New Roman" w:eastAsia="Times New Roman" w:hAnsi="Times New Roman" w:cs="Times New Roman"/>
          <w:kern w:val="0"/>
          <w:lang w:val="en-US"/>
          <w14:ligatures w14:val="none"/>
        </w:rPr>
        <w:t xml:space="preserve"> and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w:t>
      </w:r>
      <w:r w:rsidRPr="00B04D5D">
        <w:rPr>
          <w:rFonts w:ascii="Times New Roman" w:eastAsia="Times New Roman" w:hAnsi="Times New Roman" w:cs="Times New Roman"/>
          <w:i/>
          <w:iCs/>
          <w:kern w:val="0"/>
          <w:lang w:val="en-US"/>
          <w14:ligatures w14:val="none"/>
        </w:rPr>
        <w:t>Journal of Biochemical Technology, 15</w:t>
      </w:r>
      <w:r w:rsidRPr="00B04D5D">
        <w:rPr>
          <w:rFonts w:ascii="Times New Roman" w:eastAsia="Times New Roman" w:hAnsi="Times New Roman" w:cs="Times New Roman"/>
          <w:kern w:val="0"/>
          <w:lang w:val="en-US"/>
          <w14:ligatures w14:val="none"/>
        </w:rPr>
        <w:t>(3), 15–24. https://doi.org/10.51847/zpFCZqyBFX</w:t>
      </w:r>
    </w:p>
    <w:p w14:paraId="50A2E114"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Leduc, C., </w:t>
      </w:r>
      <w:proofErr w:type="spellStart"/>
      <w:r w:rsidRPr="00B04D5D">
        <w:rPr>
          <w:rFonts w:ascii="Times New Roman" w:eastAsia="Times New Roman" w:hAnsi="Times New Roman" w:cs="Times New Roman"/>
          <w:kern w:val="0"/>
          <w:lang w:val="en-US"/>
          <w14:ligatures w14:val="none"/>
        </w:rPr>
        <w:t>Coonishish</w:t>
      </w:r>
      <w:proofErr w:type="spellEnd"/>
      <w:r w:rsidRPr="00B04D5D">
        <w:rPr>
          <w:rFonts w:ascii="Times New Roman" w:eastAsia="Times New Roman" w:hAnsi="Times New Roman" w:cs="Times New Roman"/>
          <w:kern w:val="0"/>
          <w:lang w:val="en-US"/>
          <w14:ligatures w14:val="none"/>
        </w:rPr>
        <w:t xml:space="preserve">, J., Haddad, P., &amp; </w:t>
      </w:r>
      <w:proofErr w:type="spellStart"/>
      <w:r w:rsidRPr="00B04D5D">
        <w:rPr>
          <w:rFonts w:ascii="Times New Roman" w:eastAsia="Times New Roman" w:hAnsi="Times New Roman" w:cs="Times New Roman"/>
          <w:kern w:val="0"/>
          <w:lang w:val="en-US"/>
          <w14:ligatures w14:val="none"/>
        </w:rPr>
        <w:t>Cuerrier</w:t>
      </w:r>
      <w:proofErr w:type="spellEnd"/>
      <w:r w:rsidRPr="00B04D5D">
        <w:rPr>
          <w:rFonts w:ascii="Times New Roman" w:eastAsia="Times New Roman" w:hAnsi="Times New Roman" w:cs="Times New Roman"/>
          <w:kern w:val="0"/>
          <w:lang w:val="en-US"/>
          <w14:ligatures w14:val="none"/>
        </w:rPr>
        <w:t xml:space="preserve">, A. (2006). Plants used by the Cree Nation of Eeyou </w:t>
      </w:r>
      <w:proofErr w:type="spellStart"/>
      <w:r w:rsidRPr="00B04D5D">
        <w:rPr>
          <w:rFonts w:ascii="Times New Roman" w:eastAsia="Times New Roman" w:hAnsi="Times New Roman" w:cs="Times New Roman"/>
          <w:kern w:val="0"/>
          <w:lang w:val="en-US"/>
          <w14:ligatures w14:val="none"/>
        </w:rPr>
        <w:t>Istchee</w:t>
      </w:r>
      <w:proofErr w:type="spellEnd"/>
      <w:r w:rsidRPr="00B04D5D">
        <w:rPr>
          <w:rFonts w:ascii="Times New Roman" w:eastAsia="Times New Roman" w:hAnsi="Times New Roman" w:cs="Times New Roman"/>
          <w:kern w:val="0"/>
          <w:lang w:val="en-US"/>
          <w14:ligatures w14:val="none"/>
        </w:rPr>
        <w:t xml:space="preserve"> (Quebec, Canada) for the treatment of diabetes: A novel approach in quantitative ethnobotany. </w:t>
      </w:r>
      <w:r w:rsidRPr="00B04D5D">
        <w:rPr>
          <w:rFonts w:ascii="Times New Roman" w:eastAsia="Times New Roman" w:hAnsi="Times New Roman" w:cs="Times New Roman"/>
          <w:i/>
          <w:iCs/>
          <w:kern w:val="0"/>
          <w:lang w:val="en-US"/>
          <w14:ligatures w14:val="none"/>
        </w:rPr>
        <w:t>Journal of Ethnopharmacology, 105</w:t>
      </w:r>
      <w:r w:rsidRPr="00B04D5D">
        <w:rPr>
          <w:rFonts w:ascii="Times New Roman" w:eastAsia="Times New Roman" w:hAnsi="Times New Roman" w:cs="Times New Roman"/>
          <w:kern w:val="0"/>
          <w:lang w:val="en-US"/>
          <w14:ligatures w14:val="none"/>
        </w:rPr>
        <w:t>(1–2), 55–63. https://doi.org/10.1016/j.jep.2005.09.038</w:t>
      </w:r>
    </w:p>
    <w:p w14:paraId="13A19535"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Lema, A., Bangou, M. J., Sawadogo, M., Thiombiano, H. M., &amp; Ouoba, H. Y. (2022). Medicinal plant recipes used in the management of peptic ulcers in Burkina Faso: Ethnobotanical study. </w:t>
      </w:r>
      <w:r w:rsidRPr="00B04D5D">
        <w:rPr>
          <w:rFonts w:ascii="Times New Roman" w:eastAsia="Times New Roman" w:hAnsi="Times New Roman" w:cs="Times New Roman"/>
          <w:i/>
          <w:iCs/>
          <w:kern w:val="0"/>
          <w:lang w:val="en-US"/>
          <w14:ligatures w14:val="none"/>
        </w:rPr>
        <w:t>International Journal of Science and Research Archive, 6</w:t>
      </w:r>
      <w:r w:rsidRPr="00B04D5D">
        <w:rPr>
          <w:rFonts w:ascii="Times New Roman" w:eastAsia="Times New Roman" w:hAnsi="Times New Roman" w:cs="Times New Roman"/>
          <w:kern w:val="0"/>
          <w:lang w:val="en-US"/>
          <w14:ligatures w14:val="none"/>
        </w:rPr>
        <w:t>(1), 263–278. https://doi.org/10.30574/ijsra.2022.6.1.0133</w:t>
      </w:r>
    </w:p>
    <w:p w14:paraId="38E5DD08"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lastRenderedPageBreak/>
        <w:t xml:space="preserve">Mashaba, G. R., </w:t>
      </w:r>
      <w:proofErr w:type="spellStart"/>
      <w:r w:rsidRPr="00B04D5D">
        <w:rPr>
          <w:rFonts w:ascii="Times New Roman" w:eastAsia="Times New Roman" w:hAnsi="Times New Roman" w:cs="Times New Roman"/>
          <w:kern w:val="0"/>
          <w:lang w:val="en-US"/>
          <w14:ligatures w14:val="none"/>
        </w:rPr>
        <w:t>Mokgalaboni</w:t>
      </w:r>
      <w:proofErr w:type="spellEnd"/>
      <w:r w:rsidRPr="00B04D5D">
        <w:rPr>
          <w:rFonts w:ascii="Times New Roman" w:eastAsia="Times New Roman" w:hAnsi="Times New Roman" w:cs="Times New Roman"/>
          <w:kern w:val="0"/>
          <w:lang w:val="en-US"/>
          <w14:ligatures w14:val="none"/>
        </w:rPr>
        <w:t xml:space="preserve">, K., &amp; Lebelo, S. L. (2025). Potential impact of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on cardiovascular health and related risk factors: Review of existing evidence. </w:t>
      </w:r>
      <w:r w:rsidRPr="00B04D5D">
        <w:rPr>
          <w:rFonts w:ascii="Times New Roman" w:eastAsia="Times New Roman" w:hAnsi="Times New Roman" w:cs="Times New Roman"/>
          <w:i/>
          <w:iCs/>
          <w:kern w:val="0"/>
          <w:lang w:val="en-US"/>
          <w14:ligatures w14:val="none"/>
        </w:rPr>
        <w:t>Antioxidants, 14</w:t>
      </w:r>
      <w:r w:rsidRPr="00B04D5D">
        <w:rPr>
          <w:rFonts w:ascii="Times New Roman" w:eastAsia="Times New Roman" w:hAnsi="Times New Roman" w:cs="Times New Roman"/>
          <w:kern w:val="0"/>
          <w:lang w:val="en-US"/>
          <w14:ligatures w14:val="none"/>
        </w:rPr>
        <w:t>(8), 997. https://doi.org/10.3390/antiox14080997</w:t>
      </w:r>
    </w:p>
    <w:p w14:paraId="655D6062"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Millogo, G. R. C., Yaméogo, C., </w:t>
      </w:r>
      <w:proofErr w:type="spellStart"/>
      <w:r w:rsidRPr="00B04D5D">
        <w:rPr>
          <w:rFonts w:ascii="Times New Roman" w:eastAsia="Times New Roman" w:hAnsi="Times New Roman" w:cs="Times New Roman"/>
          <w:kern w:val="0"/>
          <w:lang w:val="en-US"/>
          <w14:ligatures w14:val="none"/>
        </w:rPr>
        <w:t>Samandoulougou</w:t>
      </w:r>
      <w:proofErr w:type="spellEnd"/>
      <w:r w:rsidRPr="00B04D5D">
        <w:rPr>
          <w:rFonts w:ascii="Times New Roman" w:eastAsia="Times New Roman" w:hAnsi="Times New Roman" w:cs="Times New Roman"/>
          <w:kern w:val="0"/>
          <w:lang w:val="en-US"/>
          <w14:ligatures w14:val="none"/>
        </w:rPr>
        <w:t xml:space="preserve">, A., Yaméogo, N. V., Kologo, K. J., Toguyeni, J. Y., &amp; Zabsonré, P. (2015). </w:t>
      </w:r>
      <w:r w:rsidRPr="00B04D5D">
        <w:rPr>
          <w:rFonts w:ascii="Times New Roman" w:eastAsia="Times New Roman" w:hAnsi="Times New Roman" w:cs="Times New Roman"/>
          <w:kern w:val="0"/>
          <w:lang w:val="nl-BE"/>
          <w14:ligatures w14:val="none"/>
        </w:rPr>
        <w:t xml:space="preserve">Diabète en milieu urbain de Ouagadougou au Burkina Faso: Profil épidémiologique et niveau de perception de la population adulte. </w:t>
      </w:r>
      <w:r w:rsidRPr="00B04D5D">
        <w:rPr>
          <w:rFonts w:ascii="Times New Roman" w:eastAsia="Times New Roman" w:hAnsi="Times New Roman" w:cs="Times New Roman"/>
          <w:i/>
          <w:iCs/>
          <w:kern w:val="0"/>
          <w:lang w:val="en-US"/>
          <w14:ligatures w14:val="none"/>
        </w:rPr>
        <w:t>Pan African Medical Journal, 20</w:t>
      </w:r>
      <w:r w:rsidRPr="00B04D5D">
        <w:rPr>
          <w:rFonts w:ascii="Times New Roman" w:eastAsia="Times New Roman" w:hAnsi="Times New Roman" w:cs="Times New Roman"/>
          <w:kern w:val="0"/>
          <w:lang w:val="en-US"/>
          <w14:ligatures w14:val="none"/>
        </w:rPr>
        <w:t>, 146. https://doi.org/10.11604/pamj.2015.20.146.3249</w:t>
      </w:r>
    </w:p>
    <w:p w14:paraId="4A477FB2"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N’Do, J. Y.-P., Paré, D., </w:t>
      </w:r>
      <w:proofErr w:type="spellStart"/>
      <w:r w:rsidRPr="00B04D5D">
        <w:rPr>
          <w:rFonts w:ascii="Times New Roman" w:eastAsia="Times New Roman" w:hAnsi="Times New Roman" w:cs="Times New Roman"/>
          <w:kern w:val="0"/>
          <w:lang w:val="en-US"/>
          <w14:ligatures w14:val="none"/>
        </w:rPr>
        <w:t>Bondé</w:t>
      </w:r>
      <w:proofErr w:type="spellEnd"/>
      <w:r w:rsidRPr="00B04D5D">
        <w:rPr>
          <w:rFonts w:ascii="Times New Roman" w:eastAsia="Times New Roman" w:hAnsi="Times New Roman" w:cs="Times New Roman"/>
          <w:kern w:val="0"/>
          <w:lang w:val="en-US"/>
          <w14:ligatures w14:val="none"/>
        </w:rPr>
        <w:t xml:space="preserve">, L., Guenne, S., Hilou, A., &amp; Kiendrebeogo, M. (2024b). Indigenous knowledge and uses of medicinal plants in Ouagadougou, Burkina Faso. </w:t>
      </w:r>
      <w:r w:rsidRPr="00B04D5D">
        <w:rPr>
          <w:rFonts w:ascii="Times New Roman" w:eastAsia="Times New Roman" w:hAnsi="Times New Roman" w:cs="Times New Roman"/>
          <w:i/>
          <w:iCs/>
          <w:kern w:val="0"/>
          <w:lang w:val="en-US"/>
          <w14:ligatures w14:val="none"/>
        </w:rPr>
        <w:t>Ethnobotany Research and Applications, 29</w:t>
      </w:r>
      <w:r w:rsidRPr="00B04D5D">
        <w:rPr>
          <w:rFonts w:ascii="Times New Roman" w:eastAsia="Times New Roman" w:hAnsi="Times New Roman" w:cs="Times New Roman"/>
          <w:kern w:val="0"/>
          <w:lang w:val="en-US"/>
          <w14:ligatures w14:val="none"/>
        </w:rPr>
        <w:t>, 1–15. https://doi.org/10.32859/era.29.22.1-15</w:t>
      </w:r>
    </w:p>
    <w:p w14:paraId="33FA9F5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N’Do, J. Y.-P., Paré, D., </w:t>
      </w:r>
      <w:proofErr w:type="spellStart"/>
      <w:r w:rsidRPr="00B04D5D">
        <w:rPr>
          <w:rFonts w:ascii="Times New Roman" w:eastAsia="Times New Roman" w:hAnsi="Times New Roman" w:cs="Times New Roman"/>
          <w:kern w:val="0"/>
          <w:lang w:val="en-US"/>
          <w14:ligatures w14:val="none"/>
        </w:rPr>
        <w:t>Soré</w:t>
      </w:r>
      <w:proofErr w:type="spellEnd"/>
      <w:r w:rsidRPr="00B04D5D">
        <w:rPr>
          <w:rFonts w:ascii="Times New Roman" w:eastAsia="Times New Roman" w:hAnsi="Times New Roman" w:cs="Times New Roman"/>
          <w:kern w:val="0"/>
          <w:lang w:val="en-US"/>
          <w14:ligatures w14:val="none"/>
        </w:rPr>
        <w:t xml:space="preserve">, H., </w:t>
      </w:r>
      <w:proofErr w:type="spellStart"/>
      <w:r w:rsidRPr="00B04D5D">
        <w:rPr>
          <w:rFonts w:ascii="Times New Roman" w:eastAsia="Times New Roman" w:hAnsi="Times New Roman" w:cs="Times New Roman"/>
          <w:kern w:val="0"/>
          <w:lang w:val="en-US"/>
          <w14:ligatures w14:val="none"/>
        </w:rPr>
        <w:t>Sombié</w:t>
      </w:r>
      <w:proofErr w:type="spellEnd"/>
      <w:r w:rsidRPr="00B04D5D">
        <w:rPr>
          <w:rFonts w:ascii="Times New Roman" w:eastAsia="Times New Roman" w:hAnsi="Times New Roman" w:cs="Times New Roman"/>
          <w:kern w:val="0"/>
          <w:lang w:val="en-US"/>
          <w14:ligatures w14:val="none"/>
        </w:rPr>
        <w:t xml:space="preserve">, E. N., Bangou, M. J., Hilou, A., &amp; </w:t>
      </w:r>
      <w:proofErr w:type="spellStart"/>
      <w:r w:rsidRPr="00B04D5D">
        <w:rPr>
          <w:rFonts w:ascii="Times New Roman" w:eastAsia="Times New Roman" w:hAnsi="Times New Roman" w:cs="Times New Roman"/>
          <w:kern w:val="0"/>
          <w:lang w:val="en-US"/>
          <w14:ligatures w14:val="none"/>
        </w:rPr>
        <w:t>Kiendrébéogo</w:t>
      </w:r>
      <w:proofErr w:type="spellEnd"/>
      <w:r w:rsidRPr="00B04D5D">
        <w:rPr>
          <w:rFonts w:ascii="Times New Roman" w:eastAsia="Times New Roman" w:hAnsi="Times New Roman" w:cs="Times New Roman"/>
          <w:kern w:val="0"/>
          <w:lang w:val="en-US"/>
          <w14:ligatures w14:val="none"/>
        </w:rPr>
        <w:t xml:space="preserve">, M. (2025a). Ethnobotany and quality control of bioproducts: Sustainable management of natural resources in urban environments. </w:t>
      </w:r>
      <w:r w:rsidRPr="00B04D5D">
        <w:rPr>
          <w:rFonts w:ascii="Times New Roman" w:eastAsia="Times New Roman" w:hAnsi="Times New Roman" w:cs="Times New Roman"/>
          <w:i/>
          <w:iCs/>
          <w:kern w:val="0"/>
          <w:lang w:val="en-US"/>
          <w14:ligatures w14:val="none"/>
        </w:rPr>
        <w:t>Results in Engineering, 27</w:t>
      </w:r>
      <w:r w:rsidRPr="00B04D5D">
        <w:rPr>
          <w:rFonts w:ascii="Times New Roman" w:eastAsia="Times New Roman" w:hAnsi="Times New Roman" w:cs="Times New Roman"/>
          <w:kern w:val="0"/>
          <w:lang w:val="en-US"/>
          <w14:ligatures w14:val="none"/>
        </w:rPr>
        <w:t xml:space="preserve">, 106300. </w:t>
      </w:r>
      <w:hyperlink r:id="rId17" w:tgtFrame="_blank" w:history="1">
        <w:r w:rsidRPr="00B04D5D">
          <w:rPr>
            <w:rFonts w:ascii="Times New Roman" w:eastAsia="Times New Roman" w:hAnsi="Times New Roman" w:cs="Times New Roman"/>
            <w:color w:val="0000FF"/>
            <w:kern w:val="0"/>
            <w:u w:val="single"/>
            <w:lang w:val="en-US"/>
            <w14:ligatures w14:val="none"/>
          </w:rPr>
          <w:t>https://doi.org/10.1016/j.rineng.2025.106300</w:t>
        </w:r>
      </w:hyperlink>
    </w:p>
    <w:p w14:paraId="30BE9D2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N’Do, J. Y.-P., Paré, D., </w:t>
      </w:r>
      <w:proofErr w:type="spellStart"/>
      <w:r w:rsidRPr="00B04D5D">
        <w:rPr>
          <w:rFonts w:ascii="Times New Roman" w:eastAsia="Times New Roman" w:hAnsi="Times New Roman" w:cs="Times New Roman"/>
          <w:kern w:val="0"/>
          <w:lang w:val="en-US"/>
          <w14:ligatures w14:val="none"/>
        </w:rPr>
        <w:t>Bondé</w:t>
      </w:r>
      <w:proofErr w:type="spellEnd"/>
      <w:r w:rsidRPr="00B04D5D">
        <w:rPr>
          <w:rFonts w:ascii="Times New Roman" w:eastAsia="Times New Roman" w:hAnsi="Times New Roman" w:cs="Times New Roman"/>
          <w:kern w:val="0"/>
          <w:lang w:val="en-US"/>
          <w14:ligatures w14:val="none"/>
        </w:rPr>
        <w:t xml:space="preserve">, L., &amp; Hilou, A. (2024a). Comparative phytochemical profile and biological activity of three </w:t>
      </w:r>
      <w:r w:rsidRPr="00B04D5D">
        <w:rPr>
          <w:rFonts w:ascii="Times New Roman" w:eastAsia="Times New Roman" w:hAnsi="Times New Roman" w:cs="Times New Roman"/>
          <w:i/>
          <w:iCs/>
          <w:kern w:val="0"/>
          <w:lang w:val="en-US"/>
          <w14:ligatures w14:val="none"/>
        </w:rPr>
        <w:t>Terminalia</w:t>
      </w:r>
      <w:r w:rsidRPr="00B04D5D">
        <w:rPr>
          <w:rFonts w:ascii="Times New Roman" w:eastAsia="Times New Roman" w:hAnsi="Times New Roman" w:cs="Times New Roman"/>
          <w:kern w:val="0"/>
          <w:lang w:val="en-US"/>
          <w14:ligatures w14:val="none"/>
        </w:rPr>
        <w:t xml:space="preserve"> species as alternative antimicrobial therapies. </w:t>
      </w:r>
      <w:proofErr w:type="spellStart"/>
      <w:r w:rsidRPr="00B04D5D">
        <w:rPr>
          <w:rFonts w:ascii="Times New Roman" w:eastAsia="Times New Roman" w:hAnsi="Times New Roman" w:cs="Times New Roman"/>
          <w:i/>
          <w:iCs/>
          <w:kern w:val="0"/>
          <w:lang w:val="en-US"/>
          <w14:ligatures w14:val="none"/>
        </w:rPr>
        <w:t>Heliyon</w:t>
      </w:r>
      <w:proofErr w:type="spellEnd"/>
      <w:r w:rsidRPr="00B04D5D">
        <w:rPr>
          <w:rFonts w:ascii="Times New Roman" w:eastAsia="Times New Roman" w:hAnsi="Times New Roman" w:cs="Times New Roman"/>
          <w:i/>
          <w:iCs/>
          <w:kern w:val="0"/>
          <w:lang w:val="en-US"/>
          <w14:ligatures w14:val="none"/>
        </w:rPr>
        <w:t>, 10</w:t>
      </w:r>
      <w:r w:rsidRPr="00B04D5D">
        <w:rPr>
          <w:rFonts w:ascii="Times New Roman" w:eastAsia="Times New Roman" w:hAnsi="Times New Roman" w:cs="Times New Roman"/>
          <w:kern w:val="0"/>
          <w:lang w:val="en-US"/>
          <w14:ligatures w14:val="none"/>
        </w:rPr>
        <w:t xml:space="preserve">(21), e40159. </w:t>
      </w:r>
      <w:hyperlink r:id="rId18" w:tgtFrame="_blank" w:history="1">
        <w:r w:rsidRPr="00B04D5D">
          <w:rPr>
            <w:rFonts w:ascii="Times New Roman" w:eastAsia="Times New Roman" w:hAnsi="Times New Roman" w:cs="Times New Roman"/>
            <w:color w:val="0000FF"/>
            <w:kern w:val="0"/>
            <w:u w:val="single"/>
            <w:lang w:val="en-US"/>
            <w14:ligatures w14:val="none"/>
          </w:rPr>
          <w:t>https://doi.org/10.1016/j.heliyon.2024.e40159</w:t>
        </w:r>
      </w:hyperlink>
    </w:p>
    <w:p w14:paraId="1B9E9F08"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N’Do, J. Y.-P., Sore, H., Sanou, S., Savadogo, P. W., Diarra, L. A. F., Sawadogo, A., Kabore, F. C. A., Sanou, G., &amp; Bangou, M. J. (2025b). Evaluation of phytochemical composition and antimicrobial activities of </w:t>
      </w:r>
      <w:r w:rsidRPr="00B04D5D">
        <w:rPr>
          <w:rFonts w:ascii="Times New Roman" w:eastAsia="Times New Roman" w:hAnsi="Times New Roman" w:cs="Times New Roman"/>
          <w:i/>
          <w:iCs/>
          <w:kern w:val="0"/>
          <w:lang w:val="en-US"/>
          <w14:ligatures w14:val="none"/>
        </w:rPr>
        <w:t xml:space="preserve">Terminalia </w:t>
      </w:r>
      <w:proofErr w:type="spellStart"/>
      <w:r w:rsidRPr="00B04D5D">
        <w:rPr>
          <w:rFonts w:ascii="Times New Roman" w:eastAsia="Times New Roman" w:hAnsi="Times New Roman" w:cs="Times New Roman"/>
          <w:i/>
          <w:iCs/>
          <w:kern w:val="0"/>
          <w:lang w:val="en-US"/>
          <w14:ligatures w14:val="none"/>
        </w:rPr>
        <w:t>avicennoides</w:t>
      </w:r>
      <w:proofErr w:type="spellEnd"/>
      <w:r w:rsidRPr="00B04D5D">
        <w:rPr>
          <w:rFonts w:ascii="Times New Roman" w:eastAsia="Times New Roman" w:hAnsi="Times New Roman" w:cs="Times New Roman"/>
          <w:i/>
          <w:iCs/>
          <w:kern w:val="0"/>
          <w:lang w:val="en-US"/>
          <w14:ligatures w14:val="none"/>
        </w:rPr>
        <w:t xml:space="preserve">, Terminalia </w:t>
      </w:r>
      <w:proofErr w:type="spellStart"/>
      <w:r w:rsidRPr="00B04D5D">
        <w:rPr>
          <w:rFonts w:ascii="Times New Roman" w:eastAsia="Times New Roman" w:hAnsi="Times New Roman" w:cs="Times New Roman"/>
          <w:i/>
          <w:iCs/>
          <w:kern w:val="0"/>
          <w:lang w:val="en-US"/>
          <w14:ligatures w14:val="none"/>
        </w:rPr>
        <w:t>macroptera</w:t>
      </w:r>
      <w:proofErr w:type="spellEnd"/>
      <w:r w:rsidRPr="00B04D5D">
        <w:rPr>
          <w:rFonts w:ascii="Times New Roman" w:eastAsia="Times New Roman" w:hAnsi="Times New Roman" w:cs="Times New Roman"/>
          <w:kern w:val="0"/>
          <w:lang w:val="en-US"/>
          <w14:ligatures w14:val="none"/>
        </w:rPr>
        <w:t xml:space="preserve">, and </w:t>
      </w:r>
      <w:r w:rsidRPr="00B04D5D">
        <w:rPr>
          <w:rFonts w:ascii="Times New Roman" w:eastAsia="Times New Roman" w:hAnsi="Times New Roman" w:cs="Times New Roman"/>
          <w:i/>
          <w:iCs/>
          <w:kern w:val="0"/>
          <w:lang w:val="en-US"/>
          <w14:ligatures w14:val="none"/>
        </w:rPr>
        <w:t>Argemone mexicana</w:t>
      </w:r>
      <w:r w:rsidRPr="00B04D5D">
        <w:rPr>
          <w:rFonts w:ascii="Times New Roman" w:eastAsia="Times New Roman" w:hAnsi="Times New Roman" w:cs="Times New Roman"/>
          <w:kern w:val="0"/>
          <w:lang w:val="en-US"/>
          <w14:ligatures w14:val="none"/>
        </w:rPr>
        <w:t xml:space="preserve"> used as traditional medicine in Burkina Faso. </w:t>
      </w:r>
      <w:r w:rsidRPr="00B04D5D">
        <w:rPr>
          <w:rFonts w:ascii="Times New Roman" w:eastAsia="Times New Roman" w:hAnsi="Times New Roman" w:cs="Times New Roman"/>
          <w:i/>
          <w:iCs/>
          <w:kern w:val="0"/>
          <w:lang w:val="en-US"/>
          <w14:ligatures w14:val="none"/>
        </w:rPr>
        <w:t>Journal of Advances in Microbiology, 25</w:t>
      </w:r>
      <w:r w:rsidRPr="00B04D5D">
        <w:rPr>
          <w:rFonts w:ascii="Times New Roman" w:eastAsia="Times New Roman" w:hAnsi="Times New Roman" w:cs="Times New Roman"/>
          <w:kern w:val="0"/>
          <w:lang w:val="en-US"/>
          <w14:ligatures w14:val="none"/>
        </w:rPr>
        <w:t>(11), 21–36. https://doi.org/10.9734/jamb/2025/v25i111012</w:t>
      </w:r>
    </w:p>
    <w:p w14:paraId="2F47B78B" w14:textId="48042BB9"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Odoh, U. E., Tijjani, H., &amp; Egbuna, C. (Eds.). (2024). </w:t>
      </w:r>
      <w:r w:rsidRPr="00B04D5D">
        <w:rPr>
          <w:rFonts w:ascii="Times New Roman" w:eastAsia="Times New Roman" w:hAnsi="Times New Roman" w:cs="Times New Roman"/>
          <w:i/>
          <w:iCs/>
          <w:kern w:val="0"/>
          <w:lang w:val="en-US"/>
          <w14:ligatures w14:val="none"/>
        </w:rPr>
        <w:t>Advances in pharmacognosy and phytochemistry of diabetes</w:t>
      </w:r>
      <w:r w:rsidRPr="00B04D5D">
        <w:rPr>
          <w:rFonts w:ascii="Times New Roman" w:eastAsia="Times New Roman" w:hAnsi="Times New Roman" w:cs="Times New Roman"/>
          <w:kern w:val="0"/>
          <w:lang w:val="en-US"/>
          <w14:ligatures w14:val="none"/>
        </w:rPr>
        <w:t xml:space="preserve">. IPS Intelligentsia Publishing Services. </w:t>
      </w:r>
    </w:p>
    <w:p w14:paraId="6D592DD4"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Patnala</w:t>
      </w:r>
      <w:proofErr w:type="spellEnd"/>
      <w:r w:rsidRPr="00B04D5D">
        <w:rPr>
          <w:rFonts w:ascii="Times New Roman" w:eastAsia="Times New Roman" w:hAnsi="Times New Roman" w:cs="Times New Roman"/>
          <w:kern w:val="0"/>
          <w:lang w:val="en-US"/>
          <w14:ligatures w14:val="none"/>
        </w:rPr>
        <w:t xml:space="preserve">, S., &amp; Kanfer, I. (2021). Quality control, extraction methods, and standardization: Interface between traditional use and scientific investigation. In R. Henkel &amp; A. Agarwal (Eds.), </w:t>
      </w:r>
      <w:r w:rsidRPr="00B04D5D">
        <w:rPr>
          <w:rFonts w:ascii="Times New Roman" w:eastAsia="Times New Roman" w:hAnsi="Times New Roman" w:cs="Times New Roman"/>
          <w:i/>
          <w:iCs/>
          <w:kern w:val="0"/>
          <w:lang w:val="en-US"/>
          <w14:ligatures w14:val="none"/>
        </w:rPr>
        <w:t>Herbal medicine in andrology: An evidence-based update</w:t>
      </w:r>
      <w:r w:rsidRPr="00B04D5D">
        <w:rPr>
          <w:rFonts w:ascii="Times New Roman" w:eastAsia="Times New Roman" w:hAnsi="Times New Roman" w:cs="Times New Roman"/>
          <w:kern w:val="0"/>
          <w:lang w:val="en-US"/>
          <w14:ligatures w14:val="none"/>
        </w:rPr>
        <w:t xml:space="preserve"> (pp. 175–187). Academic Press. https://doi.org/10.1016/B978-0-12-815565-3.00006-0</w:t>
      </w:r>
    </w:p>
    <w:p w14:paraId="11401228"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Re, R., Pellegrini, N., </w:t>
      </w:r>
      <w:proofErr w:type="spellStart"/>
      <w:r w:rsidRPr="00B04D5D">
        <w:rPr>
          <w:rFonts w:ascii="Times New Roman" w:eastAsia="Times New Roman" w:hAnsi="Times New Roman" w:cs="Times New Roman"/>
          <w:kern w:val="0"/>
          <w:lang w:val="en-US"/>
          <w14:ligatures w14:val="none"/>
        </w:rPr>
        <w:t>Proteggente</w:t>
      </w:r>
      <w:proofErr w:type="spellEnd"/>
      <w:r w:rsidRPr="00B04D5D">
        <w:rPr>
          <w:rFonts w:ascii="Times New Roman" w:eastAsia="Times New Roman" w:hAnsi="Times New Roman" w:cs="Times New Roman"/>
          <w:kern w:val="0"/>
          <w:lang w:val="en-US"/>
          <w14:ligatures w14:val="none"/>
        </w:rPr>
        <w:t xml:space="preserve">, A., Pannala, A., Yang, M., &amp; Rice-Evans, C. (1999). Antioxidant activity applying an improved ABTS radical cation decolorization assay. </w:t>
      </w:r>
      <w:r w:rsidRPr="00B04D5D">
        <w:rPr>
          <w:rFonts w:ascii="Times New Roman" w:eastAsia="Times New Roman" w:hAnsi="Times New Roman" w:cs="Times New Roman"/>
          <w:i/>
          <w:iCs/>
          <w:kern w:val="0"/>
          <w:lang w:val="en-US"/>
          <w14:ligatures w14:val="none"/>
        </w:rPr>
        <w:t>Free Radical Biology and Medicine, 26</w:t>
      </w:r>
      <w:r w:rsidRPr="00B04D5D">
        <w:rPr>
          <w:rFonts w:ascii="Times New Roman" w:eastAsia="Times New Roman" w:hAnsi="Times New Roman" w:cs="Times New Roman"/>
          <w:kern w:val="0"/>
          <w:lang w:val="en-US"/>
          <w14:ligatures w14:val="none"/>
        </w:rPr>
        <w:t>(9–10), 1231–1237. https://doi.org/10.1016/S0891-5849(98)00315-3</w:t>
      </w:r>
    </w:p>
    <w:p w14:paraId="620550F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Ricciardolo, L. (2023). </w:t>
      </w:r>
      <w:r w:rsidRPr="00B04D5D">
        <w:rPr>
          <w:rFonts w:ascii="Times New Roman" w:eastAsia="Times New Roman" w:hAnsi="Times New Roman" w:cs="Times New Roman"/>
          <w:i/>
          <w:iCs/>
          <w:kern w:val="0"/>
          <w:lang w:val="en-US"/>
          <w14:ligatures w14:val="none"/>
        </w:rPr>
        <w:t xml:space="preserve">Plantes </w:t>
      </w:r>
      <w:proofErr w:type="spellStart"/>
      <w:r w:rsidRPr="00B04D5D">
        <w:rPr>
          <w:rFonts w:ascii="Times New Roman" w:eastAsia="Times New Roman" w:hAnsi="Times New Roman" w:cs="Times New Roman"/>
          <w:i/>
          <w:iCs/>
          <w:kern w:val="0"/>
          <w:lang w:val="en-US"/>
          <w14:ligatures w14:val="none"/>
        </w:rPr>
        <w:t>méditerranéennes</w:t>
      </w:r>
      <w:proofErr w:type="spellEnd"/>
      <w:r w:rsidRPr="00B04D5D">
        <w:rPr>
          <w:rFonts w:ascii="Times New Roman" w:eastAsia="Times New Roman" w:hAnsi="Times New Roman" w:cs="Times New Roman"/>
          <w:i/>
          <w:iCs/>
          <w:kern w:val="0"/>
          <w:lang w:val="en-US"/>
          <w14:ligatures w14:val="none"/>
        </w:rPr>
        <w:t xml:space="preserve"> dans la </w:t>
      </w:r>
      <w:proofErr w:type="spellStart"/>
      <w:r w:rsidRPr="00B04D5D">
        <w:rPr>
          <w:rFonts w:ascii="Times New Roman" w:eastAsia="Times New Roman" w:hAnsi="Times New Roman" w:cs="Times New Roman"/>
          <w:i/>
          <w:iCs/>
          <w:kern w:val="0"/>
          <w:lang w:val="en-US"/>
          <w14:ligatures w14:val="none"/>
        </w:rPr>
        <w:t>prise</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en</w:t>
      </w:r>
      <w:proofErr w:type="spellEnd"/>
      <w:r w:rsidRPr="00B04D5D">
        <w:rPr>
          <w:rFonts w:ascii="Times New Roman" w:eastAsia="Times New Roman" w:hAnsi="Times New Roman" w:cs="Times New Roman"/>
          <w:i/>
          <w:iCs/>
          <w:kern w:val="0"/>
          <w:lang w:val="en-US"/>
          <w14:ligatures w14:val="none"/>
        </w:rPr>
        <w:t xml:space="preserve"> charge du </w:t>
      </w:r>
      <w:proofErr w:type="spellStart"/>
      <w:r w:rsidRPr="00B04D5D">
        <w:rPr>
          <w:rFonts w:ascii="Times New Roman" w:eastAsia="Times New Roman" w:hAnsi="Times New Roman" w:cs="Times New Roman"/>
          <w:i/>
          <w:iCs/>
          <w:kern w:val="0"/>
          <w:lang w:val="en-US"/>
          <w14:ligatures w14:val="none"/>
        </w:rPr>
        <w:t>diabète</w:t>
      </w:r>
      <w:proofErr w:type="spellEnd"/>
      <w:r w:rsidRPr="00B04D5D">
        <w:rPr>
          <w:rFonts w:ascii="Times New Roman" w:eastAsia="Times New Roman" w:hAnsi="Times New Roman" w:cs="Times New Roman"/>
          <w:i/>
          <w:iCs/>
          <w:kern w:val="0"/>
          <w:lang w:val="en-US"/>
          <w14:ligatures w14:val="none"/>
        </w:rPr>
        <w:t xml:space="preserve"> et de </w:t>
      </w:r>
      <w:proofErr w:type="spellStart"/>
      <w:r w:rsidRPr="00B04D5D">
        <w:rPr>
          <w:rFonts w:ascii="Times New Roman" w:eastAsia="Times New Roman" w:hAnsi="Times New Roman" w:cs="Times New Roman"/>
          <w:i/>
          <w:iCs/>
          <w:kern w:val="0"/>
          <w:lang w:val="en-US"/>
          <w14:ligatures w14:val="none"/>
        </w:rPr>
        <w:t>ses</w:t>
      </w:r>
      <w:proofErr w:type="spellEnd"/>
      <w:r w:rsidRPr="00B04D5D">
        <w:rPr>
          <w:rFonts w:ascii="Times New Roman" w:eastAsia="Times New Roman" w:hAnsi="Times New Roman" w:cs="Times New Roman"/>
          <w:i/>
          <w:iCs/>
          <w:kern w:val="0"/>
          <w:lang w:val="en-US"/>
          <w14:ligatures w14:val="none"/>
        </w:rPr>
        <w:t xml:space="preserve"> complications</w:t>
      </w:r>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Thèse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en</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pharmacie</w:t>
      </w:r>
      <w:proofErr w:type="spellEnd"/>
      <w:r w:rsidRPr="00B04D5D">
        <w:rPr>
          <w:rFonts w:ascii="Times New Roman" w:eastAsia="Times New Roman" w:hAnsi="Times New Roman" w:cs="Times New Roman"/>
          <w:kern w:val="0"/>
          <w:lang w:val="en-US"/>
          <w14:ligatures w14:val="none"/>
        </w:rPr>
        <w:t>, Université Grenoble Alpes]. DUMAS. DUMAS academic repository</w:t>
      </w:r>
    </w:p>
    <w:p w14:paraId="0100C631"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Segda, A., Meda, R. N.-T., Bangou, M. J., Koama, B. K., Ouoba, H. Y., Kagambega, W., Kam, S. E., &amp; Ouedraogo, G. A. (2023). Ethnobotany of medicinal plants for diabetes and antioxidant activity of selected </w:t>
      </w:r>
      <w:r w:rsidRPr="00B04D5D">
        <w:rPr>
          <w:rFonts w:ascii="Times New Roman" w:eastAsia="Times New Roman" w:hAnsi="Times New Roman" w:cs="Times New Roman"/>
          <w:i/>
          <w:iCs/>
          <w:kern w:val="0"/>
          <w:lang w:val="en-US"/>
          <w14:ligatures w14:val="none"/>
        </w:rPr>
        <w:t xml:space="preserve">Phyllanthus </w:t>
      </w:r>
      <w:proofErr w:type="spellStart"/>
      <w:r w:rsidRPr="00B04D5D">
        <w:rPr>
          <w:rFonts w:ascii="Times New Roman" w:eastAsia="Times New Roman" w:hAnsi="Times New Roman" w:cs="Times New Roman"/>
          <w:i/>
          <w:iCs/>
          <w:kern w:val="0"/>
          <w:lang w:val="en-US"/>
          <w14:ligatures w14:val="none"/>
        </w:rPr>
        <w:t>amarus</w:t>
      </w:r>
      <w:proofErr w:type="spellEnd"/>
      <w:r w:rsidRPr="00B04D5D">
        <w:rPr>
          <w:rFonts w:ascii="Times New Roman" w:eastAsia="Times New Roman" w:hAnsi="Times New Roman" w:cs="Times New Roman"/>
          <w:kern w:val="0"/>
          <w:lang w:val="en-US"/>
          <w14:ligatures w14:val="none"/>
        </w:rPr>
        <w:t xml:space="preserve"> Schum. &amp; Thonn., </w:t>
      </w:r>
      <w:proofErr w:type="spellStart"/>
      <w:r w:rsidRPr="00B04D5D">
        <w:rPr>
          <w:rFonts w:ascii="Times New Roman" w:eastAsia="Times New Roman" w:hAnsi="Times New Roman" w:cs="Times New Roman"/>
          <w:i/>
          <w:iCs/>
          <w:kern w:val="0"/>
          <w:lang w:val="en-US"/>
          <w14:ligatures w14:val="none"/>
        </w:rPr>
        <w:t>Chrysanthellum</w:t>
      </w:r>
      <w:proofErr w:type="spellEnd"/>
      <w:r w:rsidRPr="00B04D5D">
        <w:rPr>
          <w:rFonts w:ascii="Times New Roman" w:eastAsia="Times New Roman" w:hAnsi="Times New Roman" w:cs="Times New Roman"/>
          <w:i/>
          <w:iCs/>
          <w:kern w:val="0"/>
          <w:lang w:val="en-US"/>
          <w14:ligatures w14:val="none"/>
        </w:rPr>
        <w:t xml:space="preserve"> americanum</w:t>
      </w:r>
      <w:r w:rsidRPr="00B04D5D">
        <w:rPr>
          <w:rFonts w:ascii="Times New Roman" w:eastAsia="Times New Roman" w:hAnsi="Times New Roman" w:cs="Times New Roman"/>
          <w:kern w:val="0"/>
          <w:lang w:val="en-US"/>
          <w14:ligatures w14:val="none"/>
        </w:rPr>
        <w:t xml:space="preserve"> (L.) Vatke, and </w:t>
      </w:r>
      <w:r w:rsidRPr="00B04D5D">
        <w:rPr>
          <w:rFonts w:ascii="Times New Roman" w:eastAsia="Times New Roman" w:hAnsi="Times New Roman" w:cs="Times New Roman"/>
          <w:i/>
          <w:iCs/>
          <w:kern w:val="0"/>
          <w:lang w:val="en-US"/>
          <w14:ligatures w14:val="none"/>
        </w:rPr>
        <w:t xml:space="preserve">Striga </w:t>
      </w:r>
      <w:proofErr w:type="spellStart"/>
      <w:r w:rsidRPr="00B04D5D">
        <w:rPr>
          <w:rFonts w:ascii="Times New Roman" w:eastAsia="Times New Roman" w:hAnsi="Times New Roman" w:cs="Times New Roman"/>
          <w:i/>
          <w:iCs/>
          <w:kern w:val="0"/>
          <w:lang w:val="en-US"/>
          <w14:ligatures w14:val="none"/>
        </w:rPr>
        <w:t>hermonthica</w:t>
      </w:r>
      <w:proofErr w:type="spellEnd"/>
      <w:r w:rsidRPr="00B04D5D">
        <w:rPr>
          <w:rFonts w:ascii="Times New Roman" w:eastAsia="Times New Roman" w:hAnsi="Times New Roman" w:cs="Times New Roman"/>
          <w:kern w:val="0"/>
          <w:lang w:val="en-US"/>
          <w14:ligatures w14:val="none"/>
        </w:rPr>
        <w:t xml:space="preserve"> (Delile) Benth. of Burkina Faso. </w:t>
      </w:r>
      <w:r w:rsidRPr="00B04D5D">
        <w:rPr>
          <w:rFonts w:ascii="Times New Roman" w:eastAsia="Times New Roman" w:hAnsi="Times New Roman" w:cs="Times New Roman"/>
          <w:i/>
          <w:iCs/>
          <w:kern w:val="0"/>
          <w:lang w:val="en-US"/>
          <w14:ligatures w14:val="none"/>
        </w:rPr>
        <w:t xml:space="preserve">Natural </w:t>
      </w:r>
      <w:r w:rsidRPr="00B04D5D">
        <w:rPr>
          <w:rFonts w:ascii="Times New Roman" w:eastAsia="Times New Roman" w:hAnsi="Times New Roman" w:cs="Times New Roman"/>
          <w:i/>
          <w:iCs/>
          <w:kern w:val="0"/>
          <w:lang w:val="en-US"/>
          <w14:ligatures w14:val="none"/>
        </w:rPr>
        <w:lastRenderedPageBreak/>
        <w:t>Products Chemistry &amp; Research, 11</w:t>
      </w:r>
      <w:r w:rsidRPr="00B04D5D">
        <w:rPr>
          <w:rFonts w:ascii="Times New Roman" w:eastAsia="Times New Roman" w:hAnsi="Times New Roman" w:cs="Times New Roman"/>
          <w:kern w:val="0"/>
          <w:lang w:val="en-US"/>
          <w14:ligatures w14:val="none"/>
        </w:rPr>
        <w:t>(3), 1–7. https://doi.org/10.35248/2329-6836.23.11.3.1-7</w:t>
      </w:r>
    </w:p>
    <w:p w14:paraId="15BFF5D5"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Sene, A. L., Niang, K., Faye, G., Ayessou, N., Sagna, M. B., Cisse, M., Diallo, A., Cisse, O. K., Gueye, M., &amp; Guisse, A. (2018). Identification des usages de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(A. Rich) </w:t>
      </w:r>
      <w:proofErr w:type="spellStart"/>
      <w:r w:rsidRPr="00B04D5D">
        <w:rPr>
          <w:rFonts w:ascii="Times New Roman" w:eastAsia="Times New Roman" w:hAnsi="Times New Roman" w:cs="Times New Roman"/>
          <w:kern w:val="0"/>
          <w:lang w:val="en-US"/>
          <w14:ligatures w14:val="none"/>
        </w:rPr>
        <w:t>Hoscht</w:t>
      </w:r>
      <w:proofErr w:type="spellEnd"/>
      <w:r w:rsidRPr="00B04D5D">
        <w:rPr>
          <w:rFonts w:ascii="Times New Roman" w:eastAsia="Times New Roman" w:hAnsi="Times New Roman" w:cs="Times New Roman"/>
          <w:kern w:val="0"/>
          <w:lang w:val="en-US"/>
          <w14:ligatures w14:val="none"/>
        </w:rPr>
        <w:t xml:space="preserve"> dans la zone du Ferlo (Sénégal) et </w:t>
      </w:r>
      <w:proofErr w:type="spellStart"/>
      <w:r w:rsidRPr="00B04D5D">
        <w:rPr>
          <w:rFonts w:ascii="Times New Roman" w:eastAsia="Times New Roman" w:hAnsi="Times New Roman" w:cs="Times New Roman"/>
          <w:kern w:val="0"/>
          <w:lang w:val="en-US"/>
          <w14:ligatures w14:val="none"/>
        </w:rPr>
        <w:t>évaluation</w:t>
      </w:r>
      <w:proofErr w:type="spellEnd"/>
      <w:r w:rsidRPr="00B04D5D">
        <w:rPr>
          <w:rFonts w:ascii="Times New Roman" w:eastAsia="Times New Roman" w:hAnsi="Times New Roman" w:cs="Times New Roman"/>
          <w:kern w:val="0"/>
          <w:lang w:val="en-US"/>
          <w14:ligatures w14:val="none"/>
        </w:rPr>
        <w:t xml:space="preserve"> du </w:t>
      </w:r>
      <w:proofErr w:type="spellStart"/>
      <w:r w:rsidRPr="00B04D5D">
        <w:rPr>
          <w:rFonts w:ascii="Times New Roman" w:eastAsia="Times New Roman" w:hAnsi="Times New Roman" w:cs="Times New Roman"/>
          <w:kern w:val="0"/>
          <w:lang w:val="en-US"/>
          <w14:ligatures w14:val="none"/>
        </w:rPr>
        <w:t>potentiel</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biochimique</w:t>
      </w:r>
      <w:proofErr w:type="spellEnd"/>
      <w:r w:rsidRPr="00B04D5D">
        <w:rPr>
          <w:rFonts w:ascii="Times New Roman" w:eastAsia="Times New Roman" w:hAnsi="Times New Roman" w:cs="Times New Roman"/>
          <w:kern w:val="0"/>
          <w:lang w:val="en-US"/>
          <w14:ligatures w14:val="none"/>
        </w:rPr>
        <w:t xml:space="preserve"> et </w:t>
      </w:r>
      <w:proofErr w:type="spellStart"/>
      <w:r w:rsidRPr="00B04D5D">
        <w:rPr>
          <w:rFonts w:ascii="Times New Roman" w:eastAsia="Times New Roman" w:hAnsi="Times New Roman" w:cs="Times New Roman"/>
          <w:kern w:val="0"/>
          <w:lang w:val="en-US"/>
          <w14:ligatures w14:val="none"/>
        </w:rPr>
        <w:t>nutritionnel</w:t>
      </w:r>
      <w:proofErr w:type="spellEnd"/>
      <w:r w:rsidRPr="00B04D5D">
        <w:rPr>
          <w:rFonts w:ascii="Times New Roman" w:eastAsia="Times New Roman" w:hAnsi="Times New Roman" w:cs="Times New Roman"/>
          <w:kern w:val="0"/>
          <w:lang w:val="en-US"/>
          <w14:ligatures w14:val="none"/>
        </w:rPr>
        <w:t xml:space="preserve"> de son fruit. </w:t>
      </w:r>
      <w:r w:rsidRPr="00B04D5D">
        <w:rPr>
          <w:rFonts w:ascii="Times New Roman" w:eastAsia="Times New Roman" w:hAnsi="Times New Roman" w:cs="Times New Roman"/>
          <w:i/>
          <w:iCs/>
          <w:kern w:val="0"/>
          <w:lang w:val="en-US"/>
          <w14:ligatures w14:val="none"/>
        </w:rPr>
        <w:t>African Journal of Food, Agriculture, Nutrition and Development, 18</w:t>
      </w:r>
      <w:r w:rsidRPr="00B04D5D">
        <w:rPr>
          <w:rFonts w:ascii="Times New Roman" w:eastAsia="Times New Roman" w:hAnsi="Times New Roman" w:cs="Times New Roman"/>
          <w:kern w:val="0"/>
          <w:lang w:val="en-US"/>
          <w14:ligatures w14:val="none"/>
        </w:rPr>
        <w:t>(2), 13470–13489. https://doi.org/10.18697/ajfand.82.17015</w:t>
      </w:r>
    </w:p>
    <w:p w14:paraId="0046B06B"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Singh, R. K., &amp; Sharma, K. (2025). A comprehensive review on therapeutic potential of herbal plants in diabetes and diabetes associated problems. </w:t>
      </w:r>
      <w:r w:rsidRPr="00B04D5D">
        <w:rPr>
          <w:rFonts w:ascii="Times New Roman" w:eastAsia="Times New Roman" w:hAnsi="Times New Roman" w:cs="Times New Roman"/>
          <w:i/>
          <w:iCs/>
          <w:kern w:val="0"/>
          <w:lang w:val="en-US"/>
          <w14:ligatures w14:val="none"/>
        </w:rPr>
        <w:t>Journal of Disease and Global Health, 18</w:t>
      </w:r>
      <w:r w:rsidRPr="00B04D5D">
        <w:rPr>
          <w:rFonts w:ascii="Times New Roman" w:eastAsia="Times New Roman" w:hAnsi="Times New Roman" w:cs="Times New Roman"/>
          <w:kern w:val="0"/>
          <w:lang w:val="en-US"/>
          <w14:ligatures w14:val="none"/>
        </w:rPr>
        <w:t>(1), 7–27. https://doi.org/10.56557/jodagh/2025/v18i19088</w:t>
      </w:r>
    </w:p>
    <w:p w14:paraId="32EAB527"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Singleton, V. L., </w:t>
      </w:r>
      <w:proofErr w:type="spellStart"/>
      <w:r w:rsidRPr="00B04D5D">
        <w:rPr>
          <w:rFonts w:ascii="Times New Roman" w:eastAsia="Times New Roman" w:hAnsi="Times New Roman" w:cs="Times New Roman"/>
          <w:kern w:val="0"/>
          <w:lang w:val="en-US"/>
          <w14:ligatures w14:val="none"/>
        </w:rPr>
        <w:t>Orthofer</w:t>
      </w:r>
      <w:proofErr w:type="spellEnd"/>
      <w:r w:rsidRPr="00B04D5D">
        <w:rPr>
          <w:rFonts w:ascii="Times New Roman" w:eastAsia="Times New Roman" w:hAnsi="Times New Roman" w:cs="Times New Roman"/>
          <w:kern w:val="0"/>
          <w:lang w:val="en-US"/>
          <w14:ligatures w14:val="none"/>
        </w:rPr>
        <w:t xml:space="preserve">, R., &amp; </w:t>
      </w:r>
      <w:proofErr w:type="spellStart"/>
      <w:r w:rsidRPr="00B04D5D">
        <w:rPr>
          <w:rFonts w:ascii="Times New Roman" w:eastAsia="Times New Roman" w:hAnsi="Times New Roman" w:cs="Times New Roman"/>
          <w:kern w:val="0"/>
          <w:lang w:val="en-US"/>
          <w14:ligatures w14:val="none"/>
        </w:rPr>
        <w:t>Lamuela-Raventós</w:t>
      </w:r>
      <w:proofErr w:type="spellEnd"/>
      <w:r w:rsidRPr="00B04D5D">
        <w:rPr>
          <w:rFonts w:ascii="Times New Roman" w:eastAsia="Times New Roman" w:hAnsi="Times New Roman" w:cs="Times New Roman"/>
          <w:kern w:val="0"/>
          <w:lang w:val="en-US"/>
          <w14:ligatures w14:val="none"/>
        </w:rPr>
        <w:t>, R. M. (1999). Analysis of total phenols and other oxidation substrates and antioxidants by means of Folin-</w:t>
      </w:r>
      <w:proofErr w:type="spellStart"/>
      <w:r w:rsidRPr="00B04D5D">
        <w:rPr>
          <w:rFonts w:ascii="Times New Roman" w:eastAsia="Times New Roman" w:hAnsi="Times New Roman" w:cs="Times New Roman"/>
          <w:kern w:val="0"/>
          <w:lang w:val="en-US"/>
          <w14:ligatures w14:val="none"/>
        </w:rPr>
        <w:t>Ciocalteu</w:t>
      </w:r>
      <w:proofErr w:type="spellEnd"/>
      <w:r w:rsidRPr="00B04D5D">
        <w:rPr>
          <w:rFonts w:ascii="Times New Roman" w:eastAsia="Times New Roman" w:hAnsi="Times New Roman" w:cs="Times New Roman"/>
          <w:kern w:val="0"/>
          <w:lang w:val="en-US"/>
          <w14:ligatures w14:val="none"/>
        </w:rPr>
        <w:t xml:space="preserve"> reagent. </w:t>
      </w:r>
      <w:r w:rsidRPr="00B04D5D">
        <w:rPr>
          <w:rFonts w:ascii="Times New Roman" w:eastAsia="Times New Roman" w:hAnsi="Times New Roman" w:cs="Times New Roman"/>
          <w:i/>
          <w:iCs/>
          <w:kern w:val="0"/>
          <w:lang w:val="en-US"/>
          <w14:ligatures w14:val="none"/>
        </w:rPr>
        <w:t>Methods in Enzymology, 299</w:t>
      </w:r>
      <w:r w:rsidRPr="00B04D5D">
        <w:rPr>
          <w:rFonts w:ascii="Times New Roman" w:eastAsia="Times New Roman" w:hAnsi="Times New Roman" w:cs="Times New Roman"/>
          <w:kern w:val="0"/>
          <w:lang w:val="en-US"/>
          <w14:ligatures w14:val="none"/>
        </w:rPr>
        <w:t>, 152–178. https://doi.org/10.1016/S0076-6879(99)99017-1</w:t>
      </w:r>
    </w:p>
    <w:p w14:paraId="713464CF"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Souratié</w:t>
      </w:r>
      <w:proofErr w:type="spellEnd"/>
      <w:r w:rsidRPr="00B04D5D">
        <w:rPr>
          <w:rFonts w:ascii="Times New Roman" w:eastAsia="Times New Roman" w:hAnsi="Times New Roman" w:cs="Times New Roman"/>
          <w:kern w:val="0"/>
          <w:lang w:val="en-US"/>
          <w14:ligatures w14:val="none"/>
        </w:rPr>
        <w:t xml:space="preserve">, A., </w:t>
      </w:r>
      <w:proofErr w:type="spellStart"/>
      <w:r w:rsidRPr="00B04D5D">
        <w:rPr>
          <w:rFonts w:ascii="Times New Roman" w:eastAsia="Times New Roman" w:hAnsi="Times New Roman" w:cs="Times New Roman"/>
          <w:kern w:val="0"/>
          <w:lang w:val="en-US"/>
          <w14:ligatures w14:val="none"/>
        </w:rPr>
        <w:t>Dibala</w:t>
      </w:r>
      <w:proofErr w:type="spellEnd"/>
      <w:r w:rsidRPr="00B04D5D">
        <w:rPr>
          <w:rFonts w:ascii="Times New Roman" w:eastAsia="Times New Roman" w:hAnsi="Times New Roman" w:cs="Times New Roman"/>
          <w:kern w:val="0"/>
          <w:lang w:val="en-US"/>
          <w14:ligatures w14:val="none"/>
        </w:rPr>
        <w:t xml:space="preserve">, C. I., Sama, H., Dakuyo, R., Kaboré, K., Sanou, A., Diao, M., &amp; Dicko, M. H. (2025). Nutritional properties and preventive potential of </w:t>
      </w:r>
      <w:proofErr w:type="spellStart"/>
      <w:r w:rsidRPr="00B04D5D">
        <w:rPr>
          <w:rFonts w:ascii="Times New Roman" w:eastAsia="Times New Roman" w:hAnsi="Times New Roman" w:cs="Times New Roman"/>
          <w:i/>
          <w:iCs/>
          <w:kern w:val="0"/>
          <w:lang w:val="en-US"/>
          <w14:ligatures w14:val="none"/>
        </w:rPr>
        <w:t>Leptadenia</w:t>
      </w:r>
      <w:proofErr w:type="spellEnd"/>
      <w:r w:rsidRPr="00B04D5D">
        <w:rPr>
          <w:rFonts w:ascii="Times New Roman" w:eastAsia="Times New Roman" w:hAnsi="Times New Roman" w:cs="Times New Roman"/>
          <w:i/>
          <w:iCs/>
          <w:kern w:val="0"/>
          <w:lang w:val="en-US"/>
          <w14:ligatures w14:val="none"/>
        </w:rPr>
        <w:t xml:space="preserve"> hastata</w:t>
      </w:r>
      <w:r w:rsidRPr="00B04D5D">
        <w:rPr>
          <w:rFonts w:ascii="Times New Roman" w:eastAsia="Times New Roman" w:hAnsi="Times New Roman" w:cs="Times New Roman"/>
          <w:kern w:val="0"/>
          <w:lang w:val="en-US"/>
          <w14:ligatures w14:val="none"/>
        </w:rPr>
        <w:t xml:space="preserve"> (Pers.) </w:t>
      </w:r>
      <w:proofErr w:type="spellStart"/>
      <w:r w:rsidRPr="00B04D5D">
        <w:rPr>
          <w:rFonts w:ascii="Times New Roman" w:eastAsia="Times New Roman" w:hAnsi="Times New Roman" w:cs="Times New Roman"/>
          <w:kern w:val="0"/>
          <w:lang w:val="en-US"/>
          <w14:ligatures w14:val="none"/>
        </w:rPr>
        <w:t>Decne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Apocynaceae</w:t>
      </w:r>
      <w:proofErr w:type="spellEnd"/>
      <w:r w:rsidRPr="00B04D5D">
        <w:rPr>
          <w:rFonts w:ascii="Times New Roman" w:eastAsia="Times New Roman" w:hAnsi="Times New Roman" w:cs="Times New Roman"/>
          <w:kern w:val="0"/>
          <w:lang w:val="en-US"/>
          <w14:ligatures w14:val="none"/>
        </w:rPr>
        <w:t xml:space="preserve">) against metabolic diseases. </w:t>
      </w:r>
      <w:r w:rsidRPr="00B04D5D">
        <w:rPr>
          <w:rFonts w:ascii="Times New Roman" w:eastAsia="Times New Roman" w:hAnsi="Times New Roman" w:cs="Times New Roman"/>
          <w:i/>
          <w:iCs/>
          <w:kern w:val="0"/>
          <w:lang w:val="en-US"/>
          <w14:ligatures w14:val="none"/>
        </w:rPr>
        <w:t>Food Science &amp; Nutrition, 13</w:t>
      </w:r>
      <w:r w:rsidRPr="00B04D5D">
        <w:rPr>
          <w:rFonts w:ascii="Times New Roman" w:eastAsia="Times New Roman" w:hAnsi="Times New Roman" w:cs="Times New Roman"/>
          <w:kern w:val="0"/>
          <w:lang w:val="en-US"/>
          <w14:ligatures w14:val="none"/>
        </w:rPr>
        <w:t xml:space="preserve">(7), e70468. </w:t>
      </w:r>
      <w:hyperlink r:id="rId19" w:tgtFrame="_blank" w:history="1">
        <w:r w:rsidRPr="00B04D5D">
          <w:rPr>
            <w:rFonts w:ascii="Times New Roman" w:eastAsia="Times New Roman" w:hAnsi="Times New Roman" w:cs="Times New Roman"/>
            <w:color w:val="0000FF"/>
            <w:kern w:val="0"/>
            <w:u w:val="single"/>
            <w:lang w:val="en-US"/>
            <w14:ligatures w14:val="none"/>
          </w:rPr>
          <w:t>https://doi.org/10.1002/fsn3.70468</w:t>
        </w:r>
      </w:hyperlink>
    </w:p>
    <w:p w14:paraId="020C3C4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t>Séré</w:t>
      </w:r>
      <w:proofErr w:type="spellEnd"/>
      <w:r w:rsidRPr="00B04D5D">
        <w:rPr>
          <w:rFonts w:ascii="Times New Roman" w:eastAsia="Times New Roman" w:hAnsi="Times New Roman" w:cs="Times New Roman"/>
          <w:kern w:val="0"/>
          <w:lang w:val="en-US"/>
          <w14:ligatures w14:val="none"/>
        </w:rPr>
        <w:t xml:space="preserve">, L., </w:t>
      </w:r>
      <w:proofErr w:type="spellStart"/>
      <w:r w:rsidRPr="00B04D5D">
        <w:rPr>
          <w:rFonts w:ascii="Times New Roman" w:eastAsia="Times New Roman" w:hAnsi="Times New Roman" w:cs="Times New Roman"/>
          <w:kern w:val="0"/>
          <w:lang w:val="en-US"/>
          <w14:ligatures w14:val="none"/>
        </w:rPr>
        <w:t>Tiéno</w:t>
      </w:r>
      <w:proofErr w:type="spellEnd"/>
      <w:r w:rsidRPr="00B04D5D">
        <w:rPr>
          <w:rFonts w:ascii="Times New Roman" w:eastAsia="Times New Roman" w:hAnsi="Times New Roman" w:cs="Times New Roman"/>
          <w:kern w:val="0"/>
          <w:lang w:val="en-US"/>
          <w14:ligatures w14:val="none"/>
        </w:rPr>
        <w:t xml:space="preserve">, H., Yanogo, D., Traoré, S., </w:t>
      </w:r>
      <w:proofErr w:type="spellStart"/>
      <w:r w:rsidRPr="00B04D5D">
        <w:rPr>
          <w:rFonts w:ascii="Times New Roman" w:eastAsia="Times New Roman" w:hAnsi="Times New Roman" w:cs="Times New Roman"/>
          <w:kern w:val="0"/>
          <w:lang w:val="en-US"/>
          <w14:ligatures w14:val="none"/>
        </w:rPr>
        <w:t>Nagabila</w:t>
      </w:r>
      <w:proofErr w:type="spellEnd"/>
      <w:r w:rsidRPr="00B04D5D">
        <w:rPr>
          <w:rFonts w:ascii="Times New Roman" w:eastAsia="Times New Roman" w:hAnsi="Times New Roman" w:cs="Times New Roman"/>
          <w:kern w:val="0"/>
          <w:lang w:val="en-US"/>
          <w14:ligatures w14:val="none"/>
        </w:rPr>
        <w:t xml:space="preserve">, Y., Ouédraogo, D. D., &amp; Drabo, Y. J. (2021). </w:t>
      </w:r>
      <w:proofErr w:type="spellStart"/>
      <w:r w:rsidRPr="00B04D5D">
        <w:rPr>
          <w:rFonts w:ascii="Times New Roman" w:eastAsia="Times New Roman" w:hAnsi="Times New Roman" w:cs="Times New Roman"/>
          <w:kern w:val="0"/>
          <w:lang w:val="en-US"/>
          <w14:ligatures w14:val="none"/>
        </w:rPr>
        <w:t>Prévalence</w:t>
      </w:r>
      <w:proofErr w:type="spellEnd"/>
      <w:r w:rsidRPr="00B04D5D">
        <w:rPr>
          <w:rFonts w:ascii="Times New Roman" w:eastAsia="Times New Roman" w:hAnsi="Times New Roman" w:cs="Times New Roman"/>
          <w:kern w:val="0"/>
          <w:lang w:val="en-US"/>
          <w14:ligatures w14:val="none"/>
        </w:rPr>
        <w:t xml:space="preserve"> du </w:t>
      </w:r>
      <w:proofErr w:type="spellStart"/>
      <w:r w:rsidRPr="00B04D5D">
        <w:rPr>
          <w:rFonts w:ascii="Times New Roman" w:eastAsia="Times New Roman" w:hAnsi="Times New Roman" w:cs="Times New Roman"/>
          <w:kern w:val="0"/>
          <w:lang w:val="en-US"/>
          <w14:ligatures w14:val="none"/>
        </w:rPr>
        <w:t>diabète</w:t>
      </w:r>
      <w:proofErr w:type="spellEnd"/>
      <w:r w:rsidRPr="00B04D5D">
        <w:rPr>
          <w:rFonts w:ascii="Times New Roman" w:eastAsia="Times New Roman" w:hAnsi="Times New Roman" w:cs="Times New Roman"/>
          <w:kern w:val="0"/>
          <w:lang w:val="en-US"/>
          <w14:ligatures w14:val="none"/>
        </w:rPr>
        <w:t xml:space="preserve"> et </w:t>
      </w:r>
      <w:proofErr w:type="spellStart"/>
      <w:r w:rsidRPr="00B04D5D">
        <w:rPr>
          <w:rFonts w:ascii="Times New Roman" w:eastAsia="Times New Roman" w:hAnsi="Times New Roman" w:cs="Times New Roman"/>
          <w:kern w:val="0"/>
          <w:lang w:val="en-US"/>
          <w14:ligatures w14:val="none"/>
        </w:rPr>
        <w:t>facteurs</w:t>
      </w:r>
      <w:proofErr w:type="spellEnd"/>
      <w:r w:rsidRPr="00B04D5D">
        <w:rPr>
          <w:rFonts w:ascii="Times New Roman" w:eastAsia="Times New Roman" w:hAnsi="Times New Roman" w:cs="Times New Roman"/>
          <w:kern w:val="0"/>
          <w:lang w:val="en-US"/>
          <w14:ligatures w14:val="none"/>
        </w:rPr>
        <w:t xml:space="preserve"> de </w:t>
      </w:r>
      <w:proofErr w:type="spellStart"/>
      <w:r w:rsidRPr="00B04D5D">
        <w:rPr>
          <w:rFonts w:ascii="Times New Roman" w:eastAsia="Times New Roman" w:hAnsi="Times New Roman" w:cs="Times New Roman"/>
          <w:kern w:val="0"/>
          <w:lang w:val="en-US"/>
          <w14:ligatures w14:val="none"/>
        </w:rPr>
        <w:t>risque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cardiovasculaire</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associés</w:t>
      </w:r>
      <w:proofErr w:type="spellEnd"/>
      <w:r w:rsidRPr="00B04D5D">
        <w:rPr>
          <w:rFonts w:ascii="Times New Roman" w:eastAsia="Times New Roman" w:hAnsi="Times New Roman" w:cs="Times New Roman"/>
          <w:kern w:val="0"/>
          <w:lang w:val="en-US"/>
          <w14:ligatures w14:val="none"/>
        </w:rPr>
        <w:t xml:space="preserve"> dans </w:t>
      </w:r>
      <w:proofErr w:type="spellStart"/>
      <w:r w:rsidRPr="00B04D5D">
        <w:rPr>
          <w:rFonts w:ascii="Times New Roman" w:eastAsia="Times New Roman" w:hAnsi="Times New Roman" w:cs="Times New Roman"/>
          <w:kern w:val="0"/>
          <w:lang w:val="en-US"/>
          <w14:ligatures w14:val="none"/>
        </w:rPr>
        <w:t>une</w:t>
      </w:r>
      <w:proofErr w:type="spellEnd"/>
      <w:r w:rsidRPr="00B04D5D">
        <w:rPr>
          <w:rFonts w:ascii="Times New Roman" w:eastAsia="Times New Roman" w:hAnsi="Times New Roman" w:cs="Times New Roman"/>
          <w:kern w:val="0"/>
          <w:lang w:val="en-US"/>
          <w14:ligatures w14:val="none"/>
        </w:rPr>
        <w:t xml:space="preserve"> population </w:t>
      </w:r>
      <w:proofErr w:type="spellStart"/>
      <w:r w:rsidRPr="00B04D5D">
        <w:rPr>
          <w:rFonts w:ascii="Times New Roman" w:eastAsia="Times New Roman" w:hAnsi="Times New Roman" w:cs="Times New Roman"/>
          <w:kern w:val="0"/>
          <w:lang w:val="en-US"/>
          <w14:ligatures w14:val="none"/>
        </w:rPr>
        <w:t>rurale</w:t>
      </w:r>
      <w:proofErr w:type="spellEnd"/>
      <w:r w:rsidRPr="00B04D5D">
        <w:rPr>
          <w:rFonts w:ascii="Times New Roman" w:eastAsia="Times New Roman" w:hAnsi="Times New Roman" w:cs="Times New Roman"/>
          <w:kern w:val="0"/>
          <w:lang w:val="en-US"/>
          <w14:ligatures w14:val="none"/>
        </w:rPr>
        <w:t xml:space="preserve"> au Burkina Faso. </w:t>
      </w:r>
      <w:proofErr w:type="spellStart"/>
      <w:r w:rsidRPr="00B04D5D">
        <w:rPr>
          <w:rFonts w:ascii="Times New Roman" w:eastAsia="Times New Roman" w:hAnsi="Times New Roman" w:cs="Times New Roman"/>
          <w:i/>
          <w:iCs/>
          <w:kern w:val="0"/>
          <w:lang w:val="en-US"/>
          <w14:ligatures w14:val="none"/>
        </w:rPr>
        <w:t>Médecine</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Tropicale</w:t>
      </w:r>
      <w:proofErr w:type="spellEnd"/>
      <w:r w:rsidRPr="00B04D5D">
        <w:rPr>
          <w:rFonts w:ascii="Times New Roman" w:eastAsia="Times New Roman" w:hAnsi="Times New Roman" w:cs="Times New Roman"/>
          <w:i/>
          <w:iCs/>
          <w:kern w:val="0"/>
          <w:lang w:val="en-US"/>
          <w14:ligatures w14:val="none"/>
        </w:rPr>
        <w:t xml:space="preserve"> et Santé </w:t>
      </w:r>
      <w:proofErr w:type="spellStart"/>
      <w:r w:rsidRPr="00B04D5D">
        <w:rPr>
          <w:rFonts w:ascii="Times New Roman" w:eastAsia="Times New Roman" w:hAnsi="Times New Roman" w:cs="Times New Roman"/>
          <w:i/>
          <w:iCs/>
          <w:kern w:val="0"/>
          <w:lang w:val="en-US"/>
          <w14:ligatures w14:val="none"/>
        </w:rPr>
        <w:t>Internationale</w:t>
      </w:r>
      <w:proofErr w:type="spellEnd"/>
      <w:r w:rsidRPr="00B04D5D">
        <w:rPr>
          <w:rFonts w:ascii="Times New Roman" w:eastAsia="Times New Roman" w:hAnsi="Times New Roman" w:cs="Times New Roman"/>
          <w:i/>
          <w:iCs/>
          <w:kern w:val="0"/>
          <w:lang w:val="en-US"/>
          <w14:ligatures w14:val="none"/>
        </w:rPr>
        <w:t>, 1</w:t>
      </w:r>
      <w:r w:rsidRPr="00B04D5D">
        <w:rPr>
          <w:rFonts w:ascii="Times New Roman" w:eastAsia="Times New Roman" w:hAnsi="Times New Roman" w:cs="Times New Roman"/>
          <w:kern w:val="0"/>
          <w:lang w:val="en-US"/>
          <w14:ligatures w14:val="none"/>
        </w:rPr>
        <w:t>(1), B1J8-7K63. https://doi.org/10.48327/B1J8-7K63</w:t>
      </w:r>
    </w:p>
    <w:p w14:paraId="2A71D872"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nl-BE"/>
          <w14:ligatures w14:val="none"/>
        </w:rPr>
      </w:pPr>
      <w:r w:rsidRPr="00B04D5D">
        <w:rPr>
          <w:rFonts w:ascii="Times New Roman" w:eastAsia="Times New Roman" w:hAnsi="Times New Roman" w:cs="Times New Roman"/>
          <w:kern w:val="0"/>
          <w:lang w:val="en-US"/>
          <w14:ligatures w14:val="none"/>
        </w:rPr>
        <w:t xml:space="preserve">Toffalini, A., </w:t>
      </w:r>
      <w:proofErr w:type="spellStart"/>
      <w:r w:rsidRPr="00B04D5D">
        <w:rPr>
          <w:rFonts w:ascii="Times New Roman" w:eastAsia="Times New Roman" w:hAnsi="Times New Roman" w:cs="Times New Roman"/>
          <w:kern w:val="0"/>
          <w:lang w:val="en-US"/>
          <w14:ligatures w14:val="none"/>
        </w:rPr>
        <w:t>Vigolo</w:t>
      </w:r>
      <w:proofErr w:type="spellEnd"/>
      <w:r w:rsidRPr="00B04D5D">
        <w:rPr>
          <w:rFonts w:ascii="Times New Roman" w:eastAsia="Times New Roman" w:hAnsi="Times New Roman" w:cs="Times New Roman"/>
          <w:kern w:val="0"/>
          <w:lang w:val="en-US"/>
          <w14:ligatures w14:val="none"/>
        </w:rPr>
        <w:t xml:space="preserve">, N., Rolli, N., </w:t>
      </w:r>
      <w:proofErr w:type="spellStart"/>
      <w:r w:rsidRPr="00B04D5D">
        <w:rPr>
          <w:rFonts w:ascii="Times New Roman" w:eastAsia="Times New Roman" w:hAnsi="Times New Roman" w:cs="Times New Roman"/>
          <w:kern w:val="0"/>
          <w:lang w:val="en-US"/>
          <w14:ligatures w14:val="none"/>
        </w:rPr>
        <w:t>Paviati</w:t>
      </w:r>
      <w:proofErr w:type="spellEnd"/>
      <w:r w:rsidRPr="00B04D5D">
        <w:rPr>
          <w:rFonts w:ascii="Times New Roman" w:eastAsia="Times New Roman" w:hAnsi="Times New Roman" w:cs="Times New Roman"/>
          <w:kern w:val="0"/>
          <w:lang w:val="en-US"/>
          <w14:ligatures w14:val="none"/>
        </w:rPr>
        <w:t xml:space="preserve">, E., Gelati, M., Danese, E., &amp; </w:t>
      </w:r>
      <w:proofErr w:type="spellStart"/>
      <w:r w:rsidRPr="00B04D5D">
        <w:rPr>
          <w:rFonts w:ascii="Times New Roman" w:eastAsia="Times New Roman" w:hAnsi="Times New Roman" w:cs="Times New Roman"/>
          <w:kern w:val="0"/>
          <w:lang w:val="en-US"/>
          <w14:ligatures w14:val="none"/>
        </w:rPr>
        <w:t>Zoppini</w:t>
      </w:r>
      <w:proofErr w:type="spellEnd"/>
      <w:r w:rsidRPr="00B04D5D">
        <w:rPr>
          <w:rFonts w:ascii="Times New Roman" w:eastAsia="Times New Roman" w:hAnsi="Times New Roman" w:cs="Times New Roman"/>
          <w:kern w:val="0"/>
          <w:lang w:val="en-US"/>
          <w14:ligatures w14:val="none"/>
        </w:rPr>
        <w:t xml:space="preserve">, G. (2025). Association of low vitamin C concentrations and low consumption of fresh fruit and vegetables with cardiovascular disease in type 2 diabetes. </w:t>
      </w:r>
      <w:r w:rsidRPr="00B04D5D">
        <w:rPr>
          <w:rFonts w:ascii="Times New Roman" w:eastAsia="Times New Roman" w:hAnsi="Times New Roman" w:cs="Times New Roman"/>
          <w:i/>
          <w:iCs/>
          <w:kern w:val="0"/>
          <w:lang w:val="nl-BE"/>
          <w14:ligatures w14:val="none"/>
        </w:rPr>
        <w:t>BMC Nutrition, 11</w:t>
      </w:r>
      <w:r w:rsidRPr="00B04D5D">
        <w:rPr>
          <w:rFonts w:ascii="Times New Roman" w:eastAsia="Times New Roman" w:hAnsi="Times New Roman" w:cs="Times New Roman"/>
          <w:kern w:val="0"/>
          <w:lang w:val="nl-BE"/>
          <w14:ligatures w14:val="none"/>
        </w:rPr>
        <w:t>(1), 68. https://doi.org/10.1186/s40795-025-01049-7</w:t>
      </w:r>
    </w:p>
    <w:p w14:paraId="6C896707"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nl-BE"/>
          <w14:ligatures w14:val="none"/>
        </w:rPr>
        <w:t xml:space="preserve">Velázquez, E., Tournier, H. A., Mordujovich de Buschiazzo, P., Saavedra, G., &amp; Schinella, G. R. (2003). </w:t>
      </w:r>
      <w:r w:rsidRPr="00B04D5D">
        <w:rPr>
          <w:rFonts w:ascii="Times New Roman" w:eastAsia="Times New Roman" w:hAnsi="Times New Roman" w:cs="Times New Roman"/>
          <w:kern w:val="0"/>
          <w:lang w:val="en-US"/>
          <w14:ligatures w14:val="none"/>
        </w:rPr>
        <w:t xml:space="preserve">Antioxidant activity of Paraguayan plant extracts. </w:t>
      </w:r>
      <w:proofErr w:type="spellStart"/>
      <w:r w:rsidRPr="00B04D5D">
        <w:rPr>
          <w:rFonts w:ascii="Times New Roman" w:eastAsia="Times New Roman" w:hAnsi="Times New Roman" w:cs="Times New Roman"/>
          <w:i/>
          <w:iCs/>
          <w:kern w:val="0"/>
          <w:lang w:val="en-US"/>
          <w14:ligatures w14:val="none"/>
        </w:rPr>
        <w:t>Fitoterapia</w:t>
      </w:r>
      <w:proofErr w:type="spellEnd"/>
      <w:r w:rsidRPr="00B04D5D">
        <w:rPr>
          <w:rFonts w:ascii="Times New Roman" w:eastAsia="Times New Roman" w:hAnsi="Times New Roman" w:cs="Times New Roman"/>
          <w:i/>
          <w:iCs/>
          <w:kern w:val="0"/>
          <w:lang w:val="en-US"/>
          <w14:ligatures w14:val="none"/>
        </w:rPr>
        <w:t>, 74</w:t>
      </w:r>
      <w:r w:rsidRPr="00B04D5D">
        <w:rPr>
          <w:rFonts w:ascii="Times New Roman" w:eastAsia="Times New Roman" w:hAnsi="Times New Roman" w:cs="Times New Roman"/>
          <w:kern w:val="0"/>
          <w:lang w:val="en-US"/>
          <w14:ligatures w14:val="none"/>
        </w:rPr>
        <w:t>(1–2), 91–97. https://doi.org/10.1016/S0367-326X(02)00293-9</w:t>
      </w:r>
    </w:p>
    <w:p w14:paraId="6E4271AC"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Victoria-Montesinos, D., Ballester, P., </w:t>
      </w:r>
      <w:proofErr w:type="spellStart"/>
      <w:r w:rsidRPr="00B04D5D">
        <w:rPr>
          <w:rFonts w:ascii="Times New Roman" w:eastAsia="Times New Roman" w:hAnsi="Times New Roman" w:cs="Times New Roman"/>
          <w:kern w:val="0"/>
          <w:lang w:val="en-US"/>
          <w14:ligatures w14:val="none"/>
        </w:rPr>
        <w:t>Barcina</w:t>
      </w:r>
      <w:proofErr w:type="spellEnd"/>
      <w:r w:rsidRPr="00B04D5D">
        <w:rPr>
          <w:rFonts w:ascii="Times New Roman" w:eastAsia="Times New Roman" w:hAnsi="Times New Roman" w:cs="Times New Roman"/>
          <w:kern w:val="0"/>
          <w:lang w:val="en-US"/>
          <w14:ligatures w14:val="none"/>
        </w:rPr>
        <w:t xml:space="preserve">-Pérez, P., &amp; García-Muñoz, A. M. (2024). Systematic review and meta-analysis of </w:t>
      </w:r>
      <w:proofErr w:type="spellStart"/>
      <w:r w:rsidRPr="00B04D5D">
        <w:rPr>
          <w:rFonts w:ascii="Times New Roman" w:eastAsia="Times New Roman" w:hAnsi="Times New Roman" w:cs="Times New Roman"/>
          <w:i/>
          <w:iCs/>
          <w:kern w:val="0"/>
          <w:lang w:val="en-US"/>
          <w14:ligatures w14:val="none"/>
        </w:rPr>
        <w:t>Sclerocarya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birrea</w:t>
      </w:r>
      <w:proofErr w:type="spellEnd"/>
      <w:r w:rsidRPr="00B04D5D">
        <w:rPr>
          <w:rFonts w:ascii="Times New Roman" w:eastAsia="Times New Roman" w:hAnsi="Times New Roman" w:cs="Times New Roman"/>
          <w:kern w:val="0"/>
          <w:lang w:val="en-US"/>
          <w14:ligatures w14:val="none"/>
        </w:rPr>
        <w:t xml:space="preserve"> on metabolic disorders: Evidence from preclinical studies. </w:t>
      </w:r>
      <w:r w:rsidRPr="00B04D5D">
        <w:rPr>
          <w:rFonts w:ascii="Times New Roman" w:eastAsia="Times New Roman" w:hAnsi="Times New Roman" w:cs="Times New Roman"/>
          <w:i/>
          <w:iCs/>
          <w:kern w:val="0"/>
          <w:lang w:val="en-US"/>
          <w14:ligatures w14:val="none"/>
        </w:rPr>
        <w:t>Metabolites, 14</w:t>
      </w:r>
      <w:r w:rsidRPr="00B04D5D">
        <w:rPr>
          <w:rFonts w:ascii="Times New Roman" w:eastAsia="Times New Roman" w:hAnsi="Times New Roman" w:cs="Times New Roman"/>
          <w:kern w:val="0"/>
          <w:lang w:val="en-US"/>
          <w14:ligatures w14:val="none"/>
        </w:rPr>
        <w:t>(11), 615. https://doi.org/10.3390/metabo14110615</w:t>
      </w:r>
    </w:p>
    <w:p w14:paraId="060FD6B0"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Wang, H., Chen, Y., Wang, L., Liu, Q., Yang, S., &amp; Wang, C. (2023). Advancing herbal medicine: Enhancing product quality and safety through robust quality control practices. </w:t>
      </w:r>
      <w:r w:rsidRPr="00B04D5D">
        <w:rPr>
          <w:rFonts w:ascii="Times New Roman" w:eastAsia="Times New Roman" w:hAnsi="Times New Roman" w:cs="Times New Roman"/>
          <w:i/>
          <w:iCs/>
          <w:kern w:val="0"/>
          <w:lang w:val="en-US"/>
          <w14:ligatures w14:val="none"/>
        </w:rPr>
        <w:t>Frontiers in Pharmacology, 14</w:t>
      </w:r>
      <w:r w:rsidRPr="00B04D5D">
        <w:rPr>
          <w:rFonts w:ascii="Times New Roman" w:eastAsia="Times New Roman" w:hAnsi="Times New Roman" w:cs="Times New Roman"/>
          <w:kern w:val="0"/>
          <w:lang w:val="en-US"/>
          <w14:ligatures w14:val="none"/>
        </w:rPr>
        <w:t xml:space="preserve">, 1265178. </w:t>
      </w:r>
      <w:hyperlink r:id="rId20" w:tgtFrame="_blank" w:history="1">
        <w:r w:rsidRPr="00B04D5D">
          <w:rPr>
            <w:rFonts w:ascii="Times New Roman" w:eastAsia="Times New Roman" w:hAnsi="Times New Roman" w:cs="Times New Roman"/>
            <w:color w:val="0000FF"/>
            <w:kern w:val="0"/>
            <w:u w:val="single"/>
            <w:lang w:val="en-US"/>
            <w14:ligatures w14:val="none"/>
          </w:rPr>
          <w:t>https://doi.org/10.3389/fphar.2023.1265178</w:t>
        </w:r>
      </w:hyperlink>
    </w:p>
    <w:p w14:paraId="28ABD383" w14:textId="630E40BB"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World Health Organization. (2009). </w:t>
      </w:r>
      <w:r w:rsidRPr="00B04D5D">
        <w:rPr>
          <w:rFonts w:ascii="Times New Roman" w:eastAsia="Times New Roman" w:hAnsi="Times New Roman" w:cs="Times New Roman"/>
          <w:i/>
          <w:iCs/>
          <w:kern w:val="0"/>
          <w:lang w:val="en-US"/>
          <w14:ligatures w14:val="none"/>
        </w:rPr>
        <w:t>Report of the WHO interregional workshop on the use of traditional medicine in primary health care: Ulaanbaatar, Mongolia, 23–26 August 2007</w:t>
      </w:r>
      <w:r w:rsidRPr="00B04D5D">
        <w:rPr>
          <w:rFonts w:ascii="Times New Roman" w:eastAsia="Times New Roman" w:hAnsi="Times New Roman" w:cs="Times New Roman"/>
          <w:kern w:val="0"/>
          <w:lang w:val="en-US"/>
          <w14:ligatures w14:val="none"/>
        </w:rPr>
        <w:t xml:space="preserve">. </w:t>
      </w:r>
    </w:p>
    <w:p w14:paraId="62DE1D8F"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B04D5D">
        <w:rPr>
          <w:rFonts w:ascii="Times New Roman" w:eastAsia="Times New Roman" w:hAnsi="Times New Roman" w:cs="Times New Roman"/>
          <w:kern w:val="0"/>
          <w:lang w:val="en-US"/>
          <w14:ligatures w14:val="none"/>
        </w:rPr>
        <w:lastRenderedPageBreak/>
        <w:t>Yameny</w:t>
      </w:r>
      <w:proofErr w:type="spellEnd"/>
      <w:r w:rsidRPr="00B04D5D">
        <w:rPr>
          <w:rFonts w:ascii="Times New Roman" w:eastAsia="Times New Roman" w:hAnsi="Times New Roman" w:cs="Times New Roman"/>
          <w:kern w:val="0"/>
          <w:lang w:val="en-US"/>
          <w14:ligatures w14:val="none"/>
        </w:rPr>
        <w:t xml:space="preserve">, A. A. (2025). Diabetes mellitus: A comprehensive review of types, pathophysiology, complications, and standards of care in diabetes 2025. </w:t>
      </w:r>
      <w:r w:rsidRPr="00B04D5D">
        <w:rPr>
          <w:rFonts w:ascii="Times New Roman" w:eastAsia="Times New Roman" w:hAnsi="Times New Roman" w:cs="Times New Roman"/>
          <w:i/>
          <w:iCs/>
          <w:kern w:val="0"/>
          <w:lang w:val="en-US"/>
          <w14:ligatures w14:val="none"/>
        </w:rPr>
        <w:t>Journal of Medical and Life Science, 7</w:t>
      </w:r>
      <w:r w:rsidRPr="00B04D5D">
        <w:rPr>
          <w:rFonts w:ascii="Times New Roman" w:eastAsia="Times New Roman" w:hAnsi="Times New Roman" w:cs="Times New Roman"/>
          <w:kern w:val="0"/>
          <w:lang w:val="en-US"/>
          <w14:ligatures w14:val="none"/>
        </w:rPr>
        <w:t>(1), 134–141. https://doi.org/10.21608/jmals.2025.424001</w:t>
      </w:r>
    </w:p>
    <w:p w14:paraId="7E20D009" w14:textId="77777777" w:rsidR="00B04D5D" w:rsidRPr="00B04D5D" w:rsidRDefault="00B04D5D" w:rsidP="00B04D5D">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B04D5D">
        <w:rPr>
          <w:rFonts w:ascii="Times New Roman" w:eastAsia="Times New Roman" w:hAnsi="Times New Roman" w:cs="Times New Roman"/>
          <w:kern w:val="0"/>
          <w:lang w:val="en-US"/>
          <w14:ligatures w14:val="none"/>
        </w:rPr>
        <w:t xml:space="preserve">Zongo, E., Busuioc, A., Meda, R. N.-T., Botezatu, A. V., Mihaila, M. D., Mocanu, A.-M., Avramescu, S. M., Koama, B. K., Kam, S. E., Belem, H., Somda, F. L. S., Ouedraogo, C., Ouedraogo, G. A., &amp; </w:t>
      </w:r>
      <w:proofErr w:type="spellStart"/>
      <w:r w:rsidRPr="00B04D5D">
        <w:rPr>
          <w:rFonts w:ascii="Times New Roman" w:eastAsia="Times New Roman" w:hAnsi="Times New Roman" w:cs="Times New Roman"/>
          <w:kern w:val="0"/>
          <w:lang w:val="en-US"/>
          <w14:ligatures w14:val="none"/>
        </w:rPr>
        <w:t>Dinica</w:t>
      </w:r>
      <w:proofErr w:type="spellEnd"/>
      <w:r w:rsidRPr="00B04D5D">
        <w:rPr>
          <w:rFonts w:ascii="Times New Roman" w:eastAsia="Times New Roman" w:hAnsi="Times New Roman" w:cs="Times New Roman"/>
          <w:kern w:val="0"/>
          <w:lang w:val="en-US"/>
          <w14:ligatures w14:val="none"/>
        </w:rPr>
        <w:t xml:space="preserve">, R. M. (2023). Exploration of the antioxidant and anti-inflammatory potential of </w:t>
      </w:r>
      <w:r w:rsidRPr="00B04D5D">
        <w:rPr>
          <w:rFonts w:ascii="Times New Roman" w:eastAsia="Times New Roman" w:hAnsi="Times New Roman" w:cs="Times New Roman"/>
          <w:i/>
          <w:iCs/>
          <w:kern w:val="0"/>
          <w:lang w:val="en-US"/>
          <w14:ligatures w14:val="none"/>
        </w:rPr>
        <w:t xml:space="preserve">Cassia </w:t>
      </w:r>
      <w:proofErr w:type="spellStart"/>
      <w:r w:rsidRPr="00B04D5D">
        <w:rPr>
          <w:rFonts w:ascii="Times New Roman" w:eastAsia="Times New Roman" w:hAnsi="Times New Roman" w:cs="Times New Roman"/>
          <w:i/>
          <w:iCs/>
          <w:kern w:val="0"/>
          <w:lang w:val="en-US"/>
          <w14:ligatures w14:val="none"/>
        </w:rPr>
        <w:t>sieberiana</w:t>
      </w:r>
      <w:proofErr w:type="spellEnd"/>
      <w:r w:rsidRPr="00B04D5D">
        <w:rPr>
          <w:rFonts w:ascii="Times New Roman" w:eastAsia="Times New Roman" w:hAnsi="Times New Roman" w:cs="Times New Roman"/>
          <w:kern w:val="0"/>
          <w:lang w:val="en-US"/>
          <w14:ligatures w14:val="none"/>
        </w:rPr>
        <w:t xml:space="preserve"> DC and </w:t>
      </w:r>
      <w:proofErr w:type="spellStart"/>
      <w:r w:rsidRPr="00B04D5D">
        <w:rPr>
          <w:rFonts w:ascii="Times New Roman" w:eastAsia="Times New Roman" w:hAnsi="Times New Roman" w:cs="Times New Roman"/>
          <w:i/>
          <w:iCs/>
          <w:kern w:val="0"/>
          <w:lang w:val="en-US"/>
          <w14:ligatures w14:val="none"/>
        </w:rPr>
        <w:t>Piliostigma</w:t>
      </w:r>
      <w:proofErr w:type="spellEnd"/>
      <w:r w:rsidRPr="00B04D5D">
        <w:rPr>
          <w:rFonts w:ascii="Times New Roman" w:eastAsia="Times New Roman" w:hAnsi="Times New Roman" w:cs="Times New Roman"/>
          <w:i/>
          <w:iCs/>
          <w:kern w:val="0"/>
          <w:lang w:val="en-US"/>
          <w14:ligatures w14:val="none"/>
        </w:rPr>
        <w:t xml:space="preserve"> </w:t>
      </w:r>
      <w:proofErr w:type="spellStart"/>
      <w:r w:rsidRPr="00B04D5D">
        <w:rPr>
          <w:rFonts w:ascii="Times New Roman" w:eastAsia="Times New Roman" w:hAnsi="Times New Roman" w:cs="Times New Roman"/>
          <w:i/>
          <w:iCs/>
          <w:kern w:val="0"/>
          <w:lang w:val="en-US"/>
          <w14:ligatures w14:val="none"/>
        </w:rPr>
        <w:t>thonningii</w:t>
      </w:r>
      <w:proofErr w:type="spellEnd"/>
      <w:r w:rsidRPr="00B04D5D">
        <w:rPr>
          <w:rFonts w:ascii="Times New Roman" w:eastAsia="Times New Roman" w:hAnsi="Times New Roman" w:cs="Times New Roman"/>
          <w:kern w:val="0"/>
          <w:lang w:val="en-US"/>
          <w14:ligatures w14:val="none"/>
        </w:rPr>
        <w:t xml:space="preserve"> (</w:t>
      </w:r>
      <w:proofErr w:type="spellStart"/>
      <w:r w:rsidRPr="00B04D5D">
        <w:rPr>
          <w:rFonts w:ascii="Times New Roman" w:eastAsia="Times New Roman" w:hAnsi="Times New Roman" w:cs="Times New Roman"/>
          <w:kern w:val="0"/>
          <w:lang w:val="en-US"/>
          <w14:ligatures w14:val="none"/>
        </w:rPr>
        <w:t>Schumach</w:t>
      </w:r>
      <w:proofErr w:type="spellEnd"/>
      <w:r w:rsidRPr="00B04D5D">
        <w:rPr>
          <w:rFonts w:ascii="Times New Roman" w:eastAsia="Times New Roman" w:hAnsi="Times New Roman" w:cs="Times New Roman"/>
          <w:kern w:val="0"/>
          <w:lang w:val="en-US"/>
          <w14:ligatures w14:val="none"/>
        </w:rPr>
        <w:t>.) Milne-</w:t>
      </w:r>
      <w:proofErr w:type="spellStart"/>
      <w:r w:rsidRPr="00B04D5D">
        <w:rPr>
          <w:rFonts w:ascii="Times New Roman" w:eastAsia="Times New Roman" w:hAnsi="Times New Roman" w:cs="Times New Roman"/>
          <w:kern w:val="0"/>
          <w:lang w:val="en-US"/>
          <w14:ligatures w14:val="none"/>
        </w:rPr>
        <w:t>Redh</w:t>
      </w:r>
      <w:proofErr w:type="spellEnd"/>
      <w:r w:rsidRPr="00B04D5D">
        <w:rPr>
          <w:rFonts w:ascii="Times New Roman" w:eastAsia="Times New Roman" w:hAnsi="Times New Roman" w:cs="Times New Roman"/>
          <w:kern w:val="0"/>
          <w:lang w:val="en-US"/>
          <w14:ligatures w14:val="none"/>
        </w:rPr>
        <w:t>, traditionally used in the treatment of hepatitis in the Hauts-</w:t>
      </w:r>
      <w:proofErr w:type="spellStart"/>
      <w:r w:rsidRPr="00B04D5D">
        <w:rPr>
          <w:rFonts w:ascii="Times New Roman" w:eastAsia="Times New Roman" w:hAnsi="Times New Roman" w:cs="Times New Roman"/>
          <w:kern w:val="0"/>
          <w:lang w:val="en-US"/>
          <w14:ligatures w14:val="none"/>
        </w:rPr>
        <w:t>Bassins</w:t>
      </w:r>
      <w:proofErr w:type="spellEnd"/>
      <w:r w:rsidRPr="00B04D5D">
        <w:rPr>
          <w:rFonts w:ascii="Times New Roman" w:eastAsia="Times New Roman" w:hAnsi="Times New Roman" w:cs="Times New Roman"/>
          <w:kern w:val="0"/>
          <w:lang w:val="en-US"/>
          <w14:ligatures w14:val="none"/>
        </w:rPr>
        <w:t xml:space="preserve"> Region of Burkina Faso. </w:t>
      </w:r>
      <w:r w:rsidRPr="00B04D5D">
        <w:rPr>
          <w:rFonts w:ascii="Times New Roman" w:eastAsia="Times New Roman" w:hAnsi="Times New Roman" w:cs="Times New Roman"/>
          <w:i/>
          <w:iCs/>
          <w:kern w:val="0"/>
          <w:lang w:val="en-US"/>
          <w14:ligatures w14:val="none"/>
        </w:rPr>
        <w:t>Pharmaceuticals, 16</w:t>
      </w:r>
      <w:r w:rsidRPr="00B04D5D">
        <w:rPr>
          <w:rFonts w:ascii="Times New Roman" w:eastAsia="Times New Roman" w:hAnsi="Times New Roman" w:cs="Times New Roman"/>
          <w:kern w:val="0"/>
          <w:lang w:val="en-US"/>
          <w14:ligatures w14:val="none"/>
        </w:rPr>
        <w:t xml:space="preserve">(1), 133. </w:t>
      </w:r>
      <w:hyperlink r:id="rId21" w:tgtFrame="_blank" w:history="1">
        <w:r w:rsidRPr="00B04D5D">
          <w:rPr>
            <w:rFonts w:ascii="Times New Roman" w:eastAsia="Times New Roman" w:hAnsi="Times New Roman" w:cs="Times New Roman"/>
            <w:color w:val="0000FF"/>
            <w:kern w:val="0"/>
            <w:u w:val="single"/>
            <w:lang w:val="en-US"/>
            <w14:ligatures w14:val="none"/>
          </w:rPr>
          <w:t>https://doi.org/10.3390/ph16010133</w:t>
        </w:r>
      </w:hyperlink>
    </w:p>
    <w:p w14:paraId="5EC9E898" w14:textId="77777777" w:rsidR="00685058" w:rsidRPr="00883413" w:rsidRDefault="00685058" w:rsidP="00B80458">
      <w:pPr>
        <w:spacing w:line="360" w:lineRule="auto"/>
        <w:jc w:val="both"/>
        <w:rPr>
          <w:rFonts w:ascii="Times New Roman" w:hAnsi="Times New Roman" w:cs="Times New Roman"/>
          <w:lang w:val="en-US"/>
        </w:rPr>
      </w:pPr>
    </w:p>
    <w:sectPr w:rsidR="00685058" w:rsidRPr="00883413">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96CB" w14:textId="77777777" w:rsidR="000B3656" w:rsidRDefault="000B3656" w:rsidP="00821E30">
      <w:pPr>
        <w:spacing w:after="0" w:line="240" w:lineRule="auto"/>
      </w:pPr>
      <w:r>
        <w:separator/>
      </w:r>
    </w:p>
  </w:endnote>
  <w:endnote w:type="continuationSeparator" w:id="0">
    <w:p w14:paraId="2BBB6BA5" w14:textId="77777777" w:rsidR="000B3656" w:rsidRDefault="000B3656" w:rsidP="00821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D281" w14:textId="77777777" w:rsidR="00E02DCD" w:rsidRDefault="00E02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362078"/>
      <w:docPartObj>
        <w:docPartGallery w:val="Page Numbers (Bottom of Page)"/>
        <w:docPartUnique/>
      </w:docPartObj>
    </w:sdtPr>
    <w:sdtContent>
      <w:p w14:paraId="16513BD3" w14:textId="77777777" w:rsidR="00821E30" w:rsidRDefault="00821E30">
        <w:pPr>
          <w:pStyle w:val="Footer"/>
          <w:jc w:val="right"/>
        </w:pPr>
        <w:r>
          <w:fldChar w:fldCharType="begin"/>
        </w:r>
        <w:r>
          <w:instrText>PAGE   \* MERGEFORMAT</w:instrText>
        </w:r>
        <w:r>
          <w:fldChar w:fldCharType="separate"/>
        </w:r>
        <w:r>
          <w:t>2</w:t>
        </w:r>
        <w:r>
          <w:fldChar w:fldCharType="end"/>
        </w:r>
      </w:p>
    </w:sdtContent>
  </w:sdt>
  <w:p w14:paraId="4570D4D6" w14:textId="77777777" w:rsidR="00821E30" w:rsidRDefault="00821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83AF" w14:textId="77777777" w:rsidR="00E02DCD" w:rsidRDefault="00E02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2904B" w14:textId="77777777" w:rsidR="000B3656" w:rsidRDefault="000B3656" w:rsidP="00821E30">
      <w:pPr>
        <w:spacing w:after="0" w:line="240" w:lineRule="auto"/>
      </w:pPr>
      <w:r>
        <w:separator/>
      </w:r>
    </w:p>
  </w:footnote>
  <w:footnote w:type="continuationSeparator" w:id="0">
    <w:p w14:paraId="28B4051A" w14:textId="77777777" w:rsidR="000B3656" w:rsidRDefault="000B3656" w:rsidP="00821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137A" w14:textId="77777777" w:rsidR="00E02DCD" w:rsidRDefault="00000000">
    <w:pPr>
      <w:pStyle w:val="Header"/>
    </w:pPr>
    <w:r>
      <w:rPr>
        <w:noProof/>
      </w:rPr>
      <w:pict w14:anchorId="23BCB6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1"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F817" w14:textId="77777777" w:rsidR="00E02DCD" w:rsidRDefault="00000000">
    <w:pPr>
      <w:pStyle w:val="Header"/>
    </w:pPr>
    <w:r>
      <w:rPr>
        <w:noProof/>
      </w:rPr>
      <w:pict w14:anchorId="7E0D9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2"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5608" w14:textId="77777777" w:rsidR="00E02DCD" w:rsidRDefault="00000000">
    <w:pPr>
      <w:pStyle w:val="Header"/>
    </w:pPr>
    <w:r>
      <w:rPr>
        <w:noProof/>
      </w:rPr>
      <w:pict w14:anchorId="081DA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0"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C49D7"/>
    <w:multiLevelType w:val="hybridMultilevel"/>
    <w:tmpl w:val="8110A744"/>
    <w:lvl w:ilvl="0" w:tplc="BD40B808">
      <w:start w:val="5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40D6B1B"/>
    <w:multiLevelType w:val="hybridMultilevel"/>
    <w:tmpl w:val="8CD2FF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BFA0222"/>
    <w:multiLevelType w:val="hybridMultilevel"/>
    <w:tmpl w:val="250452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57639324">
    <w:abstractNumId w:val="2"/>
  </w:num>
  <w:num w:numId="2" w16cid:durableId="1528371476">
    <w:abstractNumId w:val="1"/>
  </w:num>
  <w:num w:numId="3" w16cid:durableId="64377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2MjMzMDe3MDe0tDBV0lEKTi0uzszPAykwrAUAkMi/PywAAAA="/>
  </w:docVars>
  <w:rsids>
    <w:rsidRoot w:val="001D665B"/>
    <w:rsid w:val="00026201"/>
    <w:rsid w:val="0005062A"/>
    <w:rsid w:val="000A5469"/>
    <w:rsid w:val="000B2910"/>
    <w:rsid w:val="000B3656"/>
    <w:rsid w:val="001520BF"/>
    <w:rsid w:val="001807BE"/>
    <w:rsid w:val="001D665B"/>
    <w:rsid w:val="001F7690"/>
    <w:rsid w:val="002A0C4E"/>
    <w:rsid w:val="002A25E2"/>
    <w:rsid w:val="002C6A79"/>
    <w:rsid w:val="002E4A57"/>
    <w:rsid w:val="002E5BFA"/>
    <w:rsid w:val="00322208"/>
    <w:rsid w:val="0037207A"/>
    <w:rsid w:val="004209B0"/>
    <w:rsid w:val="004310A6"/>
    <w:rsid w:val="00443739"/>
    <w:rsid w:val="0046125F"/>
    <w:rsid w:val="004661C0"/>
    <w:rsid w:val="00466D3C"/>
    <w:rsid w:val="004747E0"/>
    <w:rsid w:val="0048095D"/>
    <w:rsid w:val="005643E1"/>
    <w:rsid w:val="00583B11"/>
    <w:rsid w:val="00685058"/>
    <w:rsid w:val="006955AD"/>
    <w:rsid w:val="0071685A"/>
    <w:rsid w:val="00786220"/>
    <w:rsid w:val="007D5DA0"/>
    <w:rsid w:val="00821E30"/>
    <w:rsid w:val="00883413"/>
    <w:rsid w:val="0089358D"/>
    <w:rsid w:val="008C25C1"/>
    <w:rsid w:val="009502AC"/>
    <w:rsid w:val="00950B1B"/>
    <w:rsid w:val="00960144"/>
    <w:rsid w:val="00984E65"/>
    <w:rsid w:val="009E56A6"/>
    <w:rsid w:val="00AC2F54"/>
    <w:rsid w:val="00AC7972"/>
    <w:rsid w:val="00B02DD1"/>
    <w:rsid w:val="00B04D5D"/>
    <w:rsid w:val="00B7596D"/>
    <w:rsid w:val="00B80458"/>
    <w:rsid w:val="00BD7DF1"/>
    <w:rsid w:val="00BF3F7F"/>
    <w:rsid w:val="00C11991"/>
    <w:rsid w:val="00C26807"/>
    <w:rsid w:val="00CF6B17"/>
    <w:rsid w:val="00D04ABE"/>
    <w:rsid w:val="00D66339"/>
    <w:rsid w:val="00D95AAB"/>
    <w:rsid w:val="00DF086E"/>
    <w:rsid w:val="00E02DCD"/>
    <w:rsid w:val="00E038F9"/>
    <w:rsid w:val="00E10961"/>
    <w:rsid w:val="00EF0BFB"/>
    <w:rsid w:val="00F25B3E"/>
    <w:rsid w:val="00F84329"/>
    <w:rsid w:val="00F95CFA"/>
    <w:rsid w:val="00FD5D50"/>
    <w:rsid w:val="00FE0A2E"/>
    <w:rsid w:val="00FE31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0BE2D"/>
  <w15:chartTrackingRefBased/>
  <w15:docId w15:val="{E8FFE6A8-D198-4B88-9ABA-F123AE15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6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66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66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66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66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66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6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6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6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6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66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66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66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66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66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6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6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65B"/>
    <w:rPr>
      <w:rFonts w:eastAsiaTheme="majorEastAsia" w:cstheme="majorBidi"/>
      <w:color w:val="272727" w:themeColor="text1" w:themeTint="D8"/>
    </w:rPr>
  </w:style>
  <w:style w:type="paragraph" w:styleId="Title">
    <w:name w:val="Title"/>
    <w:basedOn w:val="Normal"/>
    <w:next w:val="Normal"/>
    <w:link w:val="TitleChar"/>
    <w:uiPriority w:val="10"/>
    <w:qFormat/>
    <w:rsid w:val="001D66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6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6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6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65B"/>
    <w:pPr>
      <w:spacing w:before="160"/>
      <w:jc w:val="center"/>
    </w:pPr>
    <w:rPr>
      <w:i/>
      <w:iCs/>
      <w:color w:val="404040" w:themeColor="text1" w:themeTint="BF"/>
    </w:rPr>
  </w:style>
  <w:style w:type="character" w:customStyle="1" w:styleId="QuoteChar">
    <w:name w:val="Quote Char"/>
    <w:basedOn w:val="DefaultParagraphFont"/>
    <w:link w:val="Quote"/>
    <w:uiPriority w:val="29"/>
    <w:rsid w:val="001D665B"/>
    <w:rPr>
      <w:i/>
      <w:iCs/>
      <w:color w:val="404040" w:themeColor="text1" w:themeTint="BF"/>
    </w:rPr>
  </w:style>
  <w:style w:type="paragraph" w:styleId="ListParagraph">
    <w:name w:val="List Paragraph"/>
    <w:basedOn w:val="Normal"/>
    <w:uiPriority w:val="34"/>
    <w:qFormat/>
    <w:rsid w:val="001D665B"/>
    <w:pPr>
      <w:ind w:left="720"/>
      <w:contextualSpacing/>
    </w:pPr>
  </w:style>
  <w:style w:type="character" w:styleId="IntenseEmphasis">
    <w:name w:val="Intense Emphasis"/>
    <w:basedOn w:val="DefaultParagraphFont"/>
    <w:uiPriority w:val="21"/>
    <w:qFormat/>
    <w:rsid w:val="001D665B"/>
    <w:rPr>
      <w:i/>
      <w:iCs/>
      <w:color w:val="2F5496" w:themeColor="accent1" w:themeShade="BF"/>
    </w:rPr>
  </w:style>
  <w:style w:type="paragraph" w:styleId="IntenseQuote">
    <w:name w:val="Intense Quote"/>
    <w:basedOn w:val="Normal"/>
    <w:next w:val="Normal"/>
    <w:link w:val="IntenseQuoteChar"/>
    <w:uiPriority w:val="30"/>
    <w:qFormat/>
    <w:rsid w:val="001D66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665B"/>
    <w:rPr>
      <w:i/>
      <w:iCs/>
      <w:color w:val="2F5496" w:themeColor="accent1" w:themeShade="BF"/>
    </w:rPr>
  </w:style>
  <w:style w:type="character" w:styleId="IntenseReference">
    <w:name w:val="Intense Reference"/>
    <w:basedOn w:val="DefaultParagraphFont"/>
    <w:uiPriority w:val="32"/>
    <w:qFormat/>
    <w:rsid w:val="001D665B"/>
    <w:rPr>
      <w:b/>
      <w:bCs/>
      <w:smallCaps/>
      <w:color w:val="2F5496" w:themeColor="accent1" w:themeShade="BF"/>
      <w:spacing w:val="5"/>
    </w:rPr>
  </w:style>
  <w:style w:type="character" w:styleId="Hyperlink">
    <w:name w:val="Hyperlink"/>
    <w:basedOn w:val="DefaultParagraphFont"/>
    <w:uiPriority w:val="99"/>
    <w:unhideWhenUsed/>
    <w:rsid w:val="001D665B"/>
    <w:rPr>
      <w:color w:val="0563C1" w:themeColor="hyperlink"/>
      <w:u w:val="single"/>
    </w:rPr>
  </w:style>
  <w:style w:type="character" w:styleId="UnresolvedMention">
    <w:name w:val="Unresolved Mention"/>
    <w:basedOn w:val="DefaultParagraphFont"/>
    <w:uiPriority w:val="99"/>
    <w:semiHidden/>
    <w:unhideWhenUsed/>
    <w:rsid w:val="001D665B"/>
    <w:rPr>
      <w:color w:val="605E5C"/>
      <w:shd w:val="clear" w:color="auto" w:fill="E1DFDD"/>
    </w:rPr>
  </w:style>
  <w:style w:type="paragraph" w:styleId="NormalWeb">
    <w:name w:val="Normal (Web)"/>
    <w:basedOn w:val="Normal"/>
    <w:uiPriority w:val="99"/>
    <w:semiHidden/>
    <w:unhideWhenUsed/>
    <w:rsid w:val="00D95AAB"/>
    <w:rPr>
      <w:rFonts w:ascii="Times New Roman" w:hAnsi="Times New Roman" w:cs="Times New Roman"/>
    </w:rPr>
  </w:style>
  <w:style w:type="table" w:styleId="PlainTable2">
    <w:name w:val="Plain Table 2"/>
    <w:basedOn w:val="TableNormal"/>
    <w:uiPriority w:val="42"/>
    <w:rsid w:val="004747E0"/>
    <w:pPr>
      <w:spacing w:after="0" w:line="240" w:lineRule="auto"/>
    </w:pPr>
    <w:rPr>
      <w:rFonts w:ascii="Calibri" w:eastAsia="Calibri" w:hAnsi="Calibri" w:cs="SimSun"/>
      <w:kern w:val="0"/>
      <w:sz w:val="20"/>
      <w:szCs w:val="20"/>
      <w:lang w:eastAsia="fr-F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950B1B"/>
  </w:style>
  <w:style w:type="paragraph" w:styleId="Header">
    <w:name w:val="header"/>
    <w:basedOn w:val="Normal"/>
    <w:link w:val="HeaderChar"/>
    <w:uiPriority w:val="99"/>
    <w:unhideWhenUsed/>
    <w:rsid w:val="00821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1E30"/>
  </w:style>
  <w:style w:type="paragraph" w:styleId="Footer">
    <w:name w:val="footer"/>
    <w:basedOn w:val="Normal"/>
    <w:link w:val="FooterChar"/>
    <w:uiPriority w:val="99"/>
    <w:unhideWhenUsed/>
    <w:rsid w:val="00821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1E30"/>
  </w:style>
  <w:style w:type="character" w:styleId="Strong">
    <w:name w:val="Strong"/>
    <w:basedOn w:val="DefaultParagraphFont"/>
    <w:uiPriority w:val="22"/>
    <w:qFormat/>
    <w:rsid w:val="00026201"/>
    <w:rPr>
      <w:b/>
      <w:bCs/>
    </w:rPr>
  </w:style>
  <w:style w:type="character" w:styleId="Emphasis">
    <w:name w:val="Emphasis"/>
    <w:basedOn w:val="DefaultParagraphFont"/>
    <w:uiPriority w:val="20"/>
    <w:qFormat/>
    <w:rsid w:val="000262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pubmed.ncbi.nlm.nih.gov/7884635/?utm_source=chatgpt.com" TargetMode="External"/><Relationship Id="rId18" Type="http://schemas.openxmlformats.org/officeDocument/2006/relationships/hyperlink" Target="https://doi.org/10.1016/j.heliyon.2024.e40159?utm_source=chatgpt.c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doi.org/10.3390/ph16010133?utm_source=chatgpt.com" TargetMode="External"/><Relationship Id="rId7" Type="http://schemas.openxmlformats.org/officeDocument/2006/relationships/image" Target="media/image1.png"/><Relationship Id="rId12" Type="http://schemas.openxmlformats.org/officeDocument/2006/relationships/hyperlink" Target="https://doi.org/10.1186/s12933-023-01965-7?utm_source=chatgpt.com" TargetMode="External"/><Relationship Id="rId17" Type="http://schemas.openxmlformats.org/officeDocument/2006/relationships/hyperlink" Target="https://doi.org/10.1016/j.rineng.2025.106300?utm_source=chatgpt.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3390/plants13141898?utm_source=chatgpt.com" TargetMode="External"/><Relationship Id="rId20" Type="http://schemas.openxmlformats.org/officeDocument/2006/relationships/hyperlink" Target="https://doi.org/10.3389/fphar.2023.1265178?utm_source=chatgpt.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93/inthealth/ihad080?utm_source=chatgpt.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hyperlink" Target="https://doi.org/10.1002/fsn3.70468?utm_source=chatgpt.com"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doi.org/10.1093/ndt/gfaf177?utm_source=chatgpt.com" TargetMode="External"/><Relationship Id="rId22" Type="http://schemas.openxmlformats.org/officeDocument/2006/relationships/header" Target="header1.xml"/><Relationship Id="rId27"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user\Downloads\ptfi_A%20hispidum_JYN%2008%2014%202026-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38349691350343"/>
          <c:y val="2.9053264665640677E-2"/>
          <c:w val="0.75083840963430271"/>
          <c:h val="0.87723491056609193"/>
        </c:manualLayout>
      </c:layout>
      <c:barChart>
        <c:barDir val="col"/>
        <c:grouping val="clustered"/>
        <c:varyColors val="0"/>
        <c:ser>
          <c:idx val="0"/>
          <c:order val="0"/>
          <c:tx>
            <c:strRef>
              <c:f>Feuil6!$A$11</c:f>
              <c:strCache>
                <c:ptCount val="1"/>
                <c:pt idx="0">
                  <c:v>F</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Feuil6!$B$10</c:f>
              <c:strCache>
                <c:ptCount val="1"/>
                <c:pt idx="0">
                  <c:v>% du Total</c:v>
                </c:pt>
              </c:strCache>
            </c:strRef>
          </c:cat>
          <c:val>
            <c:numRef>
              <c:f>Feuil6!$B$11</c:f>
              <c:numCache>
                <c:formatCode>General</c:formatCode>
                <c:ptCount val="1"/>
                <c:pt idx="0">
                  <c:v>56</c:v>
                </c:pt>
              </c:numCache>
            </c:numRef>
          </c:val>
          <c:extLst>
            <c:ext xmlns:c16="http://schemas.microsoft.com/office/drawing/2014/chart" uri="{C3380CC4-5D6E-409C-BE32-E72D297353CC}">
              <c16:uniqueId val="{00000000-DC4B-44E2-A86B-D1473169B212}"/>
            </c:ext>
          </c:extLst>
        </c:ser>
        <c:ser>
          <c:idx val="1"/>
          <c:order val="1"/>
          <c:tx>
            <c:strRef>
              <c:f>Feuil6!$A$12</c:f>
              <c:strCache>
                <c:ptCount val="1"/>
                <c:pt idx="0">
                  <c:v>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Feuil6!$B$10</c:f>
              <c:strCache>
                <c:ptCount val="1"/>
                <c:pt idx="0">
                  <c:v>% du Total</c:v>
                </c:pt>
              </c:strCache>
            </c:strRef>
          </c:cat>
          <c:val>
            <c:numRef>
              <c:f>Feuil6!$B$12</c:f>
              <c:numCache>
                <c:formatCode>General</c:formatCode>
                <c:ptCount val="1"/>
                <c:pt idx="0">
                  <c:v>44</c:v>
                </c:pt>
              </c:numCache>
            </c:numRef>
          </c:val>
          <c:extLst>
            <c:ext xmlns:c16="http://schemas.microsoft.com/office/drawing/2014/chart" uri="{C3380CC4-5D6E-409C-BE32-E72D297353CC}">
              <c16:uniqueId val="{00000001-DC4B-44E2-A86B-D1473169B212}"/>
            </c:ext>
          </c:extLst>
        </c:ser>
        <c:dLbls>
          <c:dLblPos val="outEnd"/>
          <c:showLegendKey val="0"/>
          <c:showVal val="1"/>
          <c:showCatName val="0"/>
          <c:showSerName val="0"/>
          <c:showPercent val="0"/>
          <c:showBubbleSize val="0"/>
        </c:dLbls>
        <c:gapWidth val="267"/>
        <c:overlap val="-43"/>
        <c:axId val="1881872032"/>
        <c:axId val="1881872512"/>
      </c:barChart>
      <c:catAx>
        <c:axId val="1881872032"/>
        <c:scaling>
          <c:orientation val="minMax"/>
        </c:scaling>
        <c:delete val="1"/>
        <c:axPos val="b"/>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fr-FR" sz="1200">
                    <a:latin typeface="Times New Roman" panose="02020603050405020304" pitchFamily="18" charset="0"/>
                    <a:cs typeface="Times New Roman" panose="02020603050405020304" pitchFamily="18" charset="0"/>
                  </a:rPr>
                  <a:t>Genre</a:t>
                </a:r>
              </a:p>
            </c:rich>
          </c:tx>
          <c:layout>
            <c:manualLayout>
              <c:xMode val="edge"/>
              <c:yMode val="edge"/>
              <c:x val="0.40709219858156026"/>
              <c:y val="0.914940619236309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BF"/>
            </a:p>
          </c:txPr>
        </c:title>
        <c:numFmt formatCode="General" sourceLinked="1"/>
        <c:majorTickMark val="none"/>
        <c:minorTickMark val="none"/>
        <c:tickLblPos val="nextTo"/>
        <c:crossAx val="1881872512"/>
        <c:crosses val="autoZero"/>
        <c:auto val="1"/>
        <c:lblAlgn val="ctr"/>
        <c:lblOffset val="100"/>
        <c:noMultiLvlLbl val="0"/>
      </c:catAx>
      <c:valAx>
        <c:axId val="1881872512"/>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FR" sz="1200"/>
              </a:p>
              <a:p>
                <a:pPr>
                  <a:defRPr sz="1200">
                    <a:latin typeface="Times New Roman" panose="02020603050405020304" pitchFamily="18" charset="0"/>
                    <a:cs typeface="Times New Roman" panose="02020603050405020304" pitchFamily="18" charset="0"/>
                  </a:defRPr>
                </a:pPr>
                <a:r>
                  <a:rPr lang="fr-FR" sz="1200"/>
                  <a:t>Frequency</a:t>
                </a:r>
              </a:p>
              <a:p>
                <a:pPr>
                  <a:defRPr sz="1200">
                    <a:latin typeface="Times New Roman" panose="02020603050405020304" pitchFamily="18" charset="0"/>
                    <a:cs typeface="Times New Roman" panose="02020603050405020304" pitchFamily="18" charset="0"/>
                  </a:defRPr>
                </a:pPr>
                <a:r>
                  <a:rPr lang="fr-FR" sz="1200" baseline="0">
                    <a:latin typeface="Times New Roman" panose="02020603050405020304" pitchFamily="18" charset="0"/>
                    <a:cs typeface="Times New Roman" panose="02020603050405020304" pitchFamily="18" charset="0"/>
                  </a:rPr>
                  <a:t> (%)</a:t>
                </a:r>
                <a:endParaRPr lang="fr-FR" sz="1200">
                  <a:latin typeface="Times New Roman" panose="02020603050405020304" pitchFamily="18" charset="0"/>
                  <a:cs typeface="Times New Roman" panose="02020603050405020304" pitchFamily="18" charset="0"/>
                </a:endParaRPr>
              </a:p>
            </c:rich>
          </c:tx>
          <c:layout>
            <c:manualLayout>
              <c:xMode val="edge"/>
              <c:yMode val="edge"/>
              <c:x val="9.6453900709219859E-2"/>
              <c:y val="6.86294757389323E-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BF"/>
          </a:p>
        </c:txPr>
        <c:crossAx val="1881872032"/>
        <c:crosses val="autoZero"/>
        <c:crossBetween val="between"/>
      </c:valAx>
      <c:spPr>
        <a:solidFill>
          <a:schemeClr val="bg1"/>
        </a:solidFill>
        <a:ln>
          <a:noFill/>
        </a:ln>
        <a:effectLst/>
      </c:spPr>
    </c:plotArea>
    <c:legend>
      <c:legendPos val="r"/>
      <c:layout>
        <c:manualLayout>
          <c:xMode val="edge"/>
          <c:yMode val="edge"/>
          <c:x val="0.91501989427420394"/>
          <c:y val="0.43718509663943422"/>
          <c:w val="6.7743679411518543E-2"/>
          <c:h val="0.1520774198385212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BF"/>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BF"/>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4272621009708621E-2"/>
          <c:y val="9.8713845954440882E-2"/>
          <c:w val="0.67757113007772585"/>
          <c:h val="0.90128615404555912"/>
        </c:manualLayout>
      </c:layout>
      <c:pie3DChart>
        <c:varyColors val="1"/>
        <c:ser>
          <c:idx val="0"/>
          <c:order val="0"/>
          <c:tx>
            <c:strRef>
              <c:f>Feuil6!$N$3</c:f>
              <c:strCache>
                <c:ptCount val="1"/>
                <c:pt idx="0">
                  <c:v>frequence %</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5EB1-4320-BDAC-2985CAAA807C}"/>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5EB1-4320-BDAC-2985CAAA807C}"/>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5EB1-4320-BDAC-2985CAAA807C}"/>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5EB1-4320-BDAC-2985CAAA807C}"/>
              </c:ext>
            </c:extLst>
          </c:dPt>
          <c:dLbls>
            <c:dLbl>
              <c:idx val="0"/>
              <c:layout>
                <c:manualLayout>
                  <c:x val="-8.7884378430361482E-2"/>
                  <c:y val="0.17231923787304365"/>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C2C3CCCB-4055-4FDC-86D0-16B81C740F5C}"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9.2361111111111116E-2"/>
                      <c:h val="0.17013888888888887"/>
                    </c:manualLayout>
                  </c15:layout>
                  <c15:dlblFieldTable/>
                  <c15:showDataLabelsRange val="0"/>
                </c:ext>
                <c:ext xmlns:c16="http://schemas.microsoft.com/office/drawing/2014/chart" uri="{C3380CC4-5D6E-409C-BE32-E72D297353CC}">
                  <c16:uniqueId val="{00000001-5EB1-4320-BDAC-2985CAAA807C}"/>
                </c:ext>
              </c:extLst>
            </c:dLbl>
            <c:dLbl>
              <c:idx val="1"/>
              <c:layout>
                <c:manualLayout>
                  <c:x val="5.6144057519879574E-2"/>
                  <c:y val="-0.24529326253199829"/>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3F4AE59D-3053-4C31-8CF0-B78EDB44F3A8}"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0.10395478170642591"/>
                      <c:h val="0.17723754901007743"/>
                    </c:manualLayout>
                  </c15:layout>
                  <c15:dlblFieldTable/>
                  <c15:showDataLabelsRange val="0"/>
                </c:ext>
                <c:ext xmlns:c16="http://schemas.microsoft.com/office/drawing/2014/chart" uri="{C3380CC4-5D6E-409C-BE32-E72D297353CC}">
                  <c16:uniqueId val="{00000003-5EB1-4320-BDAC-2985CAAA807C}"/>
                </c:ext>
              </c:extLst>
            </c:dLbl>
            <c:dLbl>
              <c:idx val="2"/>
              <c:layout>
                <c:manualLayout>
                  <c:x val="9.7928516407211383E-2"/>
                  <c:y val="3.0440750461747837E-2"/>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60A6F463-FA53-419C-B5A8-4793F1EE2B4C}"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7.6388888888888895E-2"/>
                      <c:h val="0.10069444444444445"/>
                    </c:manualLayout>
                  </c15:layout>
                  <c15:dlblFieldTable/>
                  <c15:showDataLabelsRange val="0"/>
                </c:ext>
                <c:ext xmlns:c16="http://schemas.microsoft.com/office/drawing/2014/chart" uri="{C3380CC4-5D6E-409C-BE32-E72D297353CC}">
                  <c16:uniqueId val="{00000005-5EB1-4320-BDAC-2985CAAA807C}"/>
                </c:ext>
              </c:extLst>
            </c:dLbl>
            <c:dLbl>
              <c:idx val="3"/>
              <c:layout>
                <c:manualLayout>
                  <c:x val="9.583333333333334E-2"/>
                  <c:y val="0.15597149314669001"/>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47325485-86CB-4774-83F6-97FCEBF8FEA9}"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9.7222222222222224E-2"/>
                      <c:h val="0.15625"/>
                    </c:manualLayout>
                  </c15:layout>
                  <c15:dlblFieldTable/>
                  <c15:showDataLabelsRange val="0"/>
                </c:ext>
                <c:ext xmlns:c16="http://schemas.microsoft.com/office/drawing/2014/chart" uri="{C3380CC4-5D6E-409C-BE32-E72D297353CC}">
                  <c16:uniqueId val="{00000007-5EB1-4320-BDAC-2985CAAA807C}"/>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Feuil6!$M$4:$M$7</c:f>
              <c:strCache>
                <c:ptCount val="4"/>
                <c:pt idx="0">
                  <c:v>Ecorces</c:v>
                </c:pt>
                <c:pt idx="1">
                  <c:v>Feuilles</c:v>
                </c:pt>
                <c:pt idx="2">
                  <c:v>Graines</c:v>
                </c:pt>
                <c:pt idx="3">
                  <c:v>Racines</c:v>
                </c:pt>
              </c:strCache>
            </c:strRef>
          </c:cat>
          <c:val>
            <c:numRef>
              <c:f>Feuil6!$N$4:$N$7</c:f>
              <c:numCache>
                <c:formatCode>General</c:formatCode>
                <c:ptCount val="4"/>
                <c:pt idx="0">
                  <c:v>20</c:v>
                </c:pt>
                <c:pt idx="1">
                  <c:v>57.999999999999993</c:v>
                </c:pt>
                <c:pt idx="2">
                  <c:v>6</c:v>
                </c:pt>
                <c:pt idx="3">
                  <c:v>16</c:v>
                </c:pt>
              </c:numCache>
            </c:numRef>
          </c:val>
          <c:extLst>
            <c:ext xmlns:c16="http://schemas.microsoft.com/office/drawing/2014/chart" uri="{C3380CC4-5D6E-409C-BE32-E72D297353CC}">
              <c16:uniqueId val="{00000008-5EB1-4320-BDAC-2985CAAA807C}"/>
            </c:ext>
          </c:extLst>
        </c:ser>
        <c:dLbls>
          <c:dLblPos val="bestFit"/>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75856447486791789"/>
          <c:y val="0.31001870950416099"/>
          <c:w val="0.2256148524028817"/>
          <c:h val="0.4860186145471217"/>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fr-BF"/>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fr-BF"/>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25D1-924C-8DE3-A2881FD7064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25D1-924C-8DE3-A2881FD7064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25D1-924C-8DE3-A2881FD7064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25D1-924C-8DE3-A2881FD7064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25D1-924C-8DE3-A2881FD706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Feuil4!$A$3:$A$7</c:f>
              <c:strCache>
                <c:ptCount val="5"/>
                <c:pt idx="0">
                  <c:v>Decoction</c:v>
                </c:pt>
                <c:pt idx="1">
                  <c:v>Fumigation</c:v>
                </c:pt>
                <c:pt idx="2">
                  <c:v>Infusion</c:v>
                </c:pt>
                <c:pt idx="3">
                  <c:v>Ingestion</c:v>
                </c:pt>
                <c:pt idx="4">
                  <c:v>Maceration</c:v>
                </c:pt>
              </c:strCache>
            </c:strRef>
          </c:cat>
          <c:val>
            <c:numRef>
              <c:f>Feuil4!$B$3:$B$7</c:f>
              <c:numCache>
                <c:formatCode>0%</c:formatCode>
                <c:ptCount val="5"/>
                <c:pt idx="0">
                  <c:v>0.72</c:v>
                </c:pt>
                <c:pt idx="1">
                  <c:v>0.02</c:v>
                </c:pt>
                <c:pt idx="2">
                  <c:v>0.06</c:v>
                </c:pt>
                <c:pt idx="3">
                  <c:v>0.06</c:v>
                </c:pt>
                <c:pt idx="4">
                  <c:v>0.14000000000000001</c:v>
                </c:pt>
              </c:numCache>
            </c:numRef>
          </c:val>
          <c:extLst>
            <c:ext xmlns:c16="http://schemas.microsoft.com/office/drawing/2014/chart" uri="{C3380CC4-5D6E-409C-BE32-E72D297353CC}">
              <c16:uniqueId val="{0000000A-25D1-924C-8DE3-A2881FD7064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BF"/>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fr-BF"/>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9369372403849393E-2"/>
          <c:y val="8.3256294352094876E-2"/>
          <c:w val="0.94200621935279183"/>
          <c:h val="0.71287766112569262"/>
        </c:manualLayout>
      </c:layout>
      <c:barChart>
        <c:barDir val="col"/>
        <c:grouping val="clustered"/>
        <c:varyColors val="0"/>
        <c:ser>
          <c:idx val="0"/>
          <c:order val="0"/>
          <c:tx>
            <c:strRef>
              <c:f>Feuil6!$C$35</c:f>
              <c:strCache>
                <c:ptCount val="1"/>
                <c:pt idx="0">
                  <c:v>Fréquences % du Total</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Feuil6!$A$36:$A$65</c:f>
              <c:strCache>
                <c:ptCount val="30"/>
                <c:pt idx="0">
                  <c:v>A. nilotica </c:v>
                </c:pt>
                <c:pt idx="1">
                  <c:v>A. occidentale </c:v>
                </c:pt>
                <c:pt idx="2">
                  <c:v>A. senegalensis </c:v>
                </c:pt>
                <c:pt idx="3">
                  <c:v>A. indica</c:v>
                </c:pt>
                <c:pt idx="4">
                  <c:v>B. aegytiaca </c:v>
                </c:pt>
                <c:pt idx="5">
                  <c:v>C. procera </c:v>
                </c:pt>
                <c:pt idx="6">
                  <c:v>C. nigricans </c:v>
                </c:pt>
                <c:pt idx="7">
                  <c:v>C. sieberiana </c:v>
                </c:pt>
                <c:pt idx="8">
                  <c:v>C. pentandra</c:v>
                </c:pt>
                <c:pt idx="9">
                  <c:v>C. americanum </c:v>
                </c:pt>
                <c:pt idx="10">
                  <c:v>C. micrantum </c:v>
                </c:pt>
                <c:pt idx="11">
                  <c:v>E. hirta </c:v>
                </c:pt>
                <c:pt idx="12">
                  <c:v>G. senegalensis </c:v>
                </c:pt>
                <c:pt idx="13">
                  <c:v>K. senegalensis </c:v>
                </c:pt>
                <c:pt idx="14">
                  <c:v>L. microcarpa</c:v>
                </c:pt>
                <c:pt idx="15">
                  <c:v>L. hastata </c:v>
                </c:pt>
                <c:pt idx="16">
                  <c:v>M. senegalensis </c:v>
                </c:pt>
                <c:pt idx="17">
                  <c:v>M. olifera</c:v>
                </c:pt>
                <c:pt idx="18">
                  <c:v>P. biglobosa</c:v>
                </c:pt>
                <c:pt idx="19">
                  <c:v>P.  amarus </c:v>
                </c:pt>
                <c:pt idx="20">
                  <c:v>S. senegalensis </c:v>
                </c:pt>
                <c:pt idx="21">
                  <c:v>S. birrea </c:v>
                </c:pt>
                <c:pt idx="22">
                  <c:v>S. dulcis </c:v>
                </c:pt>
                <c:pt idx="23">
                  <c:v>V. colorata </c:v>
                </c:pt>
                <c:pt idx="24">
                  <c:v>V. nigritana </c:v>
                </c:pt>
                <c:pt idx="25">
                  <c:v>V. doniana  </c:v>
                </c:pt>
                <c:pt idx="26">
                  <c:v>X. zanthoxzloïdes </c:v>
                </c:pt>
                <c:pt idx="27">
                  <c:v>X.americana </c:v>
                </c:pt>
                <c:pt idx="28">
                  <c:v>Z. mauritiana </c:v>
                </c:pt>
                <c:pt idx="29">
                  <c:v>Z. mucronata  </c:v>
                </c:pt>
              </c:strCache>
            </c:strRef>
          </c:cat>
          <c:val>
            <c:numRef>
              <c:f>Feuil6!$C$36:$C$65</c:f>
              <c:numCache>
                <c:formatCode>General</c:formatCode>
                <c:ptCount val="30"/>
                <c:pt idx="0">
                  <c:v>2</c:v>
                </c:pt>
                <c:pt idx="1">
                  <c:v>4</c:v>
                </c:pt>
                <c:pt idx="2">
                  <c:v>2</c:v>
                </c:pt>
                <c:pt idx="3">
                  <c:v>2</c:v>
                </c:pt>
                <c:pt idx="4">
                  <c:v>2</c:v>
                </c:pt>
                <c:pt idx="5">
                  <c:v>2</c:v>
                </c:pt>
                <c:pt idx="6">
                  <c:v>6</c:v>
                </c:pt>
                <c:pt idx="7">
                  <c:v>2</c:v>
                </c:pt>
                <c:pt idx="8">
                  <c:v>2</c:v>
                </c:pt>
                <c:pt idx="9">
                  <c:v>2</c:v>
                </c:pt>
                <c:pt idx="10">
                  <c:v>2</c:v>
                </c:pt>
                <c:pt idx="11">
                  <c:v>2</c:v>
                </c:pt>
                <c:pt idx="12">
                  <c:v>2</c:v>
                </c:pt>
                <c:pt idx="13">
                  <c:v>6</c:v>
                </c:pt>
                <c:pt idx="14">
                  <c:v>2</c:v>
                </c:pt>
                <c:pt idx="15">
                  <c:v>14.000000000000002</c:v>
                </c:pt>
                <c:pt idx="16">
                  <c:v>2</c:v>
                </c:pt>
                <c:pt idx="17">
                  <c:v>4</c:v>
                </c:pt>
                <c:pt idx="18">
                  <c:v>2</c:v>
                </c:pt>
                <c:pt idx="19">
                  <c:v>2</c:v>
                </c:pt>
                <c:pt idx="20">
                  <c:v>2</c:v>
                </c:pt>
                <c:pt idx="21">
                  <c:v>10</c:v>
                </c:pt>
                <c:pt idx="22">
                  <c:v>2</c:v>
                </c:pt>
                <c:pt idx="23">
                  <c:v>2</c:v>
                </c:pt>
                <c:pt idx="24">
                  <c:v>2</c:v>
                </c:pt>
                <c:pt idx="25">
                  <c:v>4</c:v>
                </c:pt>
                <c:pt idx="26">
                  <c:v>2</c:v>
                </c:pt>
                <c:pt idx="27">
                  <c:v>4</c:v>
                </c:pt>
                <c:pt idx="28">
                  <c:v>6</c:v>
                </c:pt>
                <c:pt idx="29">
                  <c:v>2</c:v>
                </c:pt>
              </c:numCache>
            </c:numRef>
          </c:val>
          <c:extLst>
            <c:ext xmlns:c16="http://schemas.microsoft.com/office/drawing/2014/chart" uri="{C3380CC4-5D6E-409C-BE32-E72D297353CC}">
              <c16:uniqueId val="{00000000-A62F-450E-856E-E17FCD4BC3B1}"/>
            </c:ext>
          </c:extLst>
        </c:ser>
        <c:dLbls>
          <c:dLblPos val="outEnd"/>
          <c:showLegendKey val="0"/>
          <c:showVal val="1"/>
          <c:showCatName val="0"/>
          <c:showSerName val="0"/>
          <c:showPercent val="0"/>
          <c:showBubbleSize val="0"/>
        </c:dLbls>
        <c:gapWidth val="41"/>
        <c:axId val="816825264"/>
        <c:axId val="816829584"/>
      </c:barChart>
      <c:catAx>
        <c:axId val="816825264"/>
        <c:scaling>
          <c:orientation val="minMax"/>
        </c:scaling>
        <c:delete val="0"/>
        <c:axPos val="b"/>
        <c:numFmt formatCode="General" sourceLinked="1"/>
        <c:majorTickMark val="none"/>
        <c:minorTickMark val="none"/>
        <c:tickLblPos val="nextTo"/>
        <c:spPr>
          <a:solidFill>
            <a:schemeClr val="bg1"/>
          </a:solidFill>
          <a:ln>
            <a:noFill/>
          </a:ln>
          <a:effectLst/>
        </c:spPr>
        <c:txPr>
          <a:bodyPr rot="-60000000" spcFirstLastPara="1" vertOverflow="ellipsis" vert="horz" wrap="square" anchor="ctr" anchorCtr="1"/>
          <a:lstStyle/>
          <a:p>
            <a:pPr>
              <a:defRPr sz="900" b="1" i="1"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fr-BF"/>
          </a:p>
        </c:txPr>
        <c:crossAx val="816829584"/>
        <c:crosses val="autoZero"/>
        <c:auto val="1"/>
        <c:lblAlgn val="ctr"/>
        <c:lblOffset val="100"/>
        <c:noMultiLvlLbl val="0"/>
      </c:catAx>
      <c:valAx>
        <c:axId val="816829584"/>
        <c:scaling>
          <c:orientation val="minMax"/>
        </c:scaling>
        <c:delete val="1"/>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fr-FR"/>
                  <a:t>citation frequency of species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latin typeface="Times New Roman" panose="02020603050405020304" pitchFamily="18" charset="0"/>
                    <a:cs typeface="Times New Roman" panose="02020603050405020304" pitchFamily="18" charset="0"/>
                  </a:defRPr>
                </a:pPr>
                <a:r>
                  <a:rPr lang="fr-FR" baseline="0">
                    <a:latin typeface="Times New Roman" panose="02020603050405020304" pitchFamily="18" charset="0"/>
                    <a:cs typeface="Times New Roman" panose="02020603050405020304" pitchFamily="18" charset="0"/>
                  </a:rPr>
                  <a:t> (%)</a:t>
                </a:r>
                <a:endParaRPr lang="fr-FR">
                  <a:latin typeface="Times New Roman" panose="02020603050405020304" pitchFamily="18" charset="0"/>
                  <a:cs typeface="Times New Roman" panose="02020603050405020304" pitchFamily="18" charset="0"/>
                </a:endParaRPr>
              </a:p>
            </c:rich>
          </c:tx>
          <c:overlay val="0"/>
          <c:spPr>
            <a:solidFill>
              <a:sysClr val="window" lastClr="FFFFFF"/>
            </a:solid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fr-BF"/>
            </a:p>
          </c:txPr>
        </c:title>
        <c:numFmt formatCode="General" sourceLinked="1"/>
        <c:majorTickMark val="none"/>
        <c:minorTickMark val="none"/>
        <c:tickLblPos val="nextTo"/>
        <c:crossAx val="816825264"/>
        <c:crosses val="autoZero"/>
        <c:crossBetween val="between"/>
      </c:valAx>
      <c:spPr>
        <a:solidFill>
          <a:sysClr val="window" lastClr="FFFFFF"/>
        </a:solidFill>
        <a:ln>
          <a:noFill/>
        </a:ln>
        <a:effectLst/>
      </c:spPr>
    </c:plotArea>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fr-BF"/>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28</Pages>
  <Words>8251</Words>
  <Characters>47032</Characters>
  <Application>Microsoft Office Word</Application>
  <DocSecurity>0</DocSecurity>
  <Lines>391</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diarralidwine@gmail.com</dc:creator>
  <cp:keywords/>
  <dc:description/>
  <cp:lastModifiedBy>Editor-90</cp:lastModifiedBy>
  <cp:revision>30</cp:revision>
  <dcterms:created xsi:type="dcterms:W3CDTF">2026-09-03T21:47:00Z</dcterms:created>
  <dcterms:modified xsi:type="dcterms:W3CDTF">2026-09-09T10:30:00Z</dcterms:modified>
</cp:coreProperties>
</file>