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9591" w14:textId="77777777" w:rsidR="00754C9A" w:rsidRDefault="007D114D" w:rsidP="00441B6F">
      <w:pPr>
        <w:pStyle w:val="Title"/>
        <w:spacing w:after="0"/>
        <w:jc w:val="both"/>
        <w:rPr>
          <w:rFonts w:ascii="Arial" w:hAnsi="Arial" w:cs="Arial"/>
        </w:rPr>
      </w:pPr>
      <w:r w:rsidRPr="007D114D">
        <w:rPr>
          <w:rFonts w:ascii="Arial" w:hAnsi="Arial" w:cs="Arial"/>
        </w:rPr>
        <w:t>Original Research Article</w:t>
      </w:r>
    </w:p>
    <w:p w14:paraId="4401A33B" w14:textId="77777777" w:rsidR="007D114D" w:rsidRDefault="007D114D" w:rsidP="00441B6F">
      <w:pPr>
        <w:pStyle w:val="Title"/>
        <w:spacing w:after="0"/>
        <w:jc w:val="both"/>
        <w:rPr>
          <w:rFonts w:ascii="Arial" w:hAnsi="Arial" w:cs="Arial"/>
        </w:rPr>
      </w:pPr>
    </w:p>
    <w:p w14:paraId="0DDFFA2F" w14:textId="77777777" w:rsidR="00A258C3" w:rsidRPr="00790ADA" w:rsidRDefault="00927DAE" w:rsidP="00927DAE">
      <w:pPr>
        <w:pStyle w:val="Author"/>
        <w:spacing w:line="240" w:lineRule="auto"/>
        <w:rPr>
          <w:rFonts w:ascii="Arial" w:hAnsi="Arial" w:cs="Arial"/>
          <w:sz w:val="36"/>
        </w:rPr>
      </w:pPr>
      <w:r w:rsidRPr="00927DAE">
        <w:rPr>
          <w:rFonts w:ascii="Arial" w:hAnsi="Arial" w:cs="Arial"/>
          <w:bCs/>
          <w:iCs/>
          <w:kern w:val="28"/>
          <w:sz w:val="36"/>
        </w:rPr>
        <w:t xml:space="preserve">Green Integrated Enzyme–Ultrasound Extraction of Astaxanthin into Soybean Oil from Dried </w:t>
      </w:r>
      <w:r w:rsidRPr="00927DAE">
        <w:rPr>
          <w:rFonts w:ascii="Arial" w:hAnsi="Arial" w:cs="Arial"/>
          <w:bCs/>
          <w:i/>
          <w:kern w:val="28"/>
          <w:sz w:val="36"/>
        </w:rPr>
        <w:t>Haematococcus pluvialis</w:t>
      </w:r>
      <w:r w:rsidRPr="00927DAE">
        <w:rPr>
          <w:rFonts w:ascii="Arial" w:hAnsi="Arial" w:cs="Arial"/>
          <w:bCs/>
          <w:iCs/>
          <w:kern w:val="28"/>
          <w:sz w:val="36"/>
        </w:rPr>
        <w:t>: Enhanced Cell Disruption and Response Surface Modeling</w:t>
      </w:r>
    </w:p>
    <w:p w14:paraId="648D9831" w14:textId="77777777" w:rsidR="00B01FCD" w:rsidRPr="00FB3A86" w:rsidRDefault="00B538E5" w:rsidP="00441B6F">
      <w:pPr>
        <w:pStyle w:val="Copyright"/>
        <w:spacing w:after="0" w:line="240" w:lineRule="auto"/>
        <w:jc w:val="both"/>
        <w:rPr>
          <w:rFonts w:ascii="Arial" w:hAnsi="Arial" w:cs="Arial"/>
        </w:rPr>
        <w:sectPr w:rsidR="00B01FCD" w:rsidRPr="00FB3A86" w:rsidSect="002A0E6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AF5E2EB" wp14:editId="6419356E">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3A95C6E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Pr>
          <w:rFonts w:ascii="Arial" w:hAnsi="Arial" w:cs="Arial"/>
        </w:rPr>
        <w:t>.</w:t>
      </w:r>
    </w:p>
    <w:p w14:paraId="271475B5"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56F4556D"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2A150877" w14:textId="77777777" w:rsidTr="001E44FE">
        <w:tc>
          <w:tcPr>
            <w:tcW w:w="9576" w:type="dxa"/>
            <w:shd w:val="clear" w:color="auto" w:fill="F2F2F2"/>
          </w:tcPr>
          <w:p w14:paraId="767E2B09" w14:textId="2C5F1788"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Aims:</w:t>
            </w:r>
            <w:r w:rsidRPr="00504715">
              <w:rPr>
                <w:rFonts w:ascii="Arial" w:eastAsia="Calibri" w:hAnsi="Arial" w:cs="Arial"/>
                <w:szCs w:val="22"/>
              </w:rPr>
              <w:t xml:space="preserve"> </w:t>
            </w:r>
            <w:r w:rsidR="00341CF9" w:rsidRPr="00341CF9">
              <w:rPr>
                <w:rFonts w:ascii="Arial" w:eastAsia="Calibri" w:hAnsi="Arial" w:cs="Arial"/>
                <w:szCs w:val="22"/>
              </w:rPr>
              <w:t>This study developed and statistically modelled an integrated enzyme–ultrasound process for recovering astaxanthin from dried Haematococcus pluvialis directly into food-grade soybean oil</w:t>
            </w:r>
            <w:r w:rsidR="00555B8B" w:rsidRPr="00555B8B">
              <w:rPr>
                <w:rFonts w:ascii="Arial" w:eastAsia="Calibri" w:hAnsi="Arial" w:cs="Arial"/>
                <w:szCs w:val="22"/>
              </w:rPr>
              <w:t>.</w:t>
            </w:r>
          </w:p>
          <w:p w14:paraId="6145DC72" w14:textId="77777777" w:rsidR="00AC63E4" w:rsidRDefault="00504715" w:rsidP="00504715">
            <w:pPr>
              <w:pStyle w:val="Body"/>
              <w:spacing w:after="0"/>
              <w:rPr>
                <w:rFonts w:ascii="Arial" w:eastAsia="Calibri" w:hAnsi="Arial" w:cs="Arial"/>
                <w:szCs w:val="22"/>
              </w:rPr>
            </w:pPr>
            <w:r w:rsidRPr="00504715">
              <w:rPr>
                <w:rFonts w:ascii="Arial" w:eastAsia="Calibri" w:hAnsi="Arial" w:cs="Arial"/>
                <w:b/>
                <w:bCs/>
                <w:szCs w:val="22"/>
              </w:rPr>
              <w:t>Study design:</w:t>
            </w:r>
            <w:r w:rsidRPr="00504715">
              <w:rPr>
                <w:rFonts w:ascii="Arial" w:eastAsia="Calibri" w:hAnsi="Arial" w:cs="Arial"/>
                <w:szCs w:val="22"/>
              </w:rPr>
              <w:t xml:space="preserve"> </w:t>
            </w:r>
            <w:r w:rsidR="00555B8B" w:rsidRPr="00555B8B">
              <w:rPr>
                <w:rFonts w:ascii="Arial" w:eastAsia="Calibri" w:hAnsi="Arial" w:cs="Arial"/>
                <w:szCs w:val="22"/>
              </w:rPr>
              <w:t>Laboratory experimental study comprising treatment comparison, single-factor screening, and a three-factor, three-level Box–Behnken response surface design</w:t>
            </w:r>
            <w:r w:rsidR="00AC63E4" w:rsidRPr="00AC63E4">
              <w:rPr>
                <w:rFonts w:ascii="Arial" w:eastAsia="Calibri" w:hAnsi="Arial" w:cs="Arial"/>
                <w:szCs w:val="22"/>
              </w:rPr>
              <w:t>.</w:t>
            </w:r>
          </w:p>
          <w:p w14:paraId="5026FC12" w14:textId="46C4E83F"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Place and Duration of Study:</w:t>
            </w:r>
            <w:r w:rsidRPr="00504715">
              <w:rPr>
                <w:rFonts w:ascii="Arial" w:eastAsia="Calibri" w:hAnsi="Arial" w:cs="Arial"/>
                <w:szCs w:val="22"/>
              </w:rPr>
              <w:t xml:space="preserve"> Faculty of</w:t>
            </w:r>
            <w:r>
              <w:rPr>
                <w:rFonts w:ascii="Arial" w:eastAsia="Calibri" w:hAnsi="Arial" w:cs="Arial"/>
                <w:szCs w:val="22"/>
              </w:rPr>
              <w:t xml:space="preserve"> </w:t>
            </w:r>
            <w:r w:rsidRPr="00504715">
              <w:rPr>
                <w:rFonts w:ascii="Arial" w:eastAsia="Calibri" w:hAnsi="Arial" w:cs="Arial"/>
                <w:szCs w:val="22"/>
              </w:rPr>
              <w:t>Pharmacy, Nguyen Tat Thanh</w:t>
            </w:r>
            <w:r w:rsidR="0076781E">
              <w:rPr>
                <w:rFonts w:ascii="Arial" w:eastAsia="Calibri" w:hAnsi="Arial" w:cs="Arial"/>
                <w:szCs w:val="22"/>
              </w:rPr>
              <w:t xml:space="preserve"> </w:t>
            </w:r>
            <w:r w:rsidRPr="00504715">
              <w:rPr>
                <w:rFonts w:ascii="Arial" w:eastAsia="Calibri" w:hAnsi="Arial" w:cs="Arial"/>
                <w:szCs w:val="22"/>
              </w:rPr>
              <w:t>University, Ho Chi Minh City,</w:t>
            </w:r>
            <w:r>
              <w:rPr>
                <w:rFonts w:ascii="Arial" w:eastAsia="Calibri" w:hAnsi="Arial" w:cs="Arial"/>
                <w:szCs w:val="22"/>
              </w:rPr>
              <w:t xml:space="preserve"> </w:t>
            </w:r>
            <w:r w:rsidRPr="00504715">
              <w:rPr>
                <w:rFonts w:ascii="Arial" w:eastAsia="Calibri" w:hAnsi="Arial" w:cs="Arial"/>
                <w:szCs w:val="22"/>
              </w:rPr>
              <w:t>Vietnam</w:t>
            </w:r>
            <w:r w:rsidR="00414257">
              <w:rPr>
                <w:rFonts w:ascii="Arial" w:eastAsia="Calibri" w:hAnsi="Arial" w:cs="Arial"/>
                <w:szCs w:val="22"/>
              </w:rPr>
              <w:t>,</w:t>
            </w:r>
            <w:r>
              <w:rPr>
                <w:rFonts w:ascii="Arial" w:eastAsia="Calibri" w:hAnsi="Arial" w:cs="Arial"/>
                <w:szCs w:val="22"/>
              </w:rPr>
              <w:t xml:space="preserve"> </w:t>
            </w:r>
            <w:r w:rsidRPr="00504715">
              <w:rPr>
                <w:rFonts w:ascii="Arial" w:eastAsia="Calibri" w:hAnsi="Arial" w:cs="Arial"/>
                <w:szCs w:val="22"/>
              </w:rPr>
              <w:t xml:space="preserve">from </w:t>
            </w:r>
            <w:r>
              <w:rPr>
                <w:rFonts w:ascii="Arial" w:eastAsia="Calibri" w:hAnsi="Arial" w:cs="Arial"/>
                <w:szCs w:val="22"/>
              </w:rPr>
              <w:t>December</w:t>
            </w:r>
            <w:r w:rsidRPr="00504715">
              <w:rPr>
                <w:rFonts w:ascii="Arial" w:eastAsia="Calibri" w:hAnsi="Arial" w:cs="Arial"/>
                <w:szCs w:val="22"/>
              </w:rPr>
              <w:t xml:space="preserve"> </w:t>
            </w:r>
            <w:r>
              <w:rPr>
                <w:rFonts w:ascii="Arial" w:eastAsia="Calibri" w:hAnsi="Arial" w:cs="Arial"/>
                <w:szCs w:val="22"/>
              </w:rPr>
              <w:t>2025</w:t>
            </w:r>
            <w:r w:rsidRPr="00504715">
              <w:rPr>
                <w:rFonts w:ascii="Arial" w:eastAsia="Calibri" w:hAnsi="Arial" w:cs="Arial"/>
                <w:szCs w:val="22"/>
              </w:rPr>
              <w:t xml:space="preserve"> to </w:t>
            </w:r>
            <w:r w:rsidR="00B5743D">
              <w:rPr>
                <w:rFonts w:ascii="Arial" w:eastAsia="Calibri" w:hAnsi="Arial" w:cs="Arial"/>
                <w:szCs w:val="22"/>
              </w:rPr>
              <w:t>June</w:t>
            </w:r>
            <w:r>
              <w:rPr>
                <w:rFonts w:ascii="Arial" w:eastAsia="Calibri" w:hAnsi="Arial" w:cs="Arial"/>
                <w:szCs w:val="22"/>
              </w:rPr>
              <w:t xml:space="preserve"> 2026</w:t>
            </w:r>
            <w:r w:rsidRPr="00504715">
              <w:rPr>
                <w:rFonts w:ascii="Arial" w:eastAsia="Calibri" w:hAnsi="Arial" w:cs="Arial"/>
                <w:szCs w:val="22"/>
              </w:rPr>
              <w:t>.</w:t>
            </w:r>
          </w:p>
          <w:p w14:paraId="02A125A5" w14:textId="77777777"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Methodology:</w:t>
            </w:r>
            <w:r w:rsidRPr="00504715">
              <w:rPr>
                <w:rFonts w:ascii="Arial" w:eastAsia="Calibri" w:hAnsi="Arial" w:cs="Arial"/>
                <w:szCs w:val="22"/>
              </w:rPr>
              <w:t xml:space="preserve"> </w:t>
            </w:r>
            <w:r>
              <w:rPr>
                <w:rFonts w:ascii="Arial" w:eastAsia="Calibri" w:hAnsi="Arial" w:cs="Arial"/>
                <w:szCs w:val="22"/>
                <w:highlight w:val="yellow"/>
              </w:rPr>
              <w:t>Standardised</w:t>
            </w:r>
            <w:r>
              <w:rPr>
                <w:rFonts w:ascii="Arial" w:eastAsia="Calibri" w:hAnsi="Arial" w:cs="Arial"/>
                <w:szCs w:val="22"/>
              </w:rPr>
              <w:t xml:space="preserve"> dried </w:t>
            </w:r>
            <w:r w:rsidR="00CC3C77" w:rsidRPr="00CC3C77">
              <w:rPr>
                <w:rFonts w:ascii="Arial" w:eastAsia="Calibri" w:hAnsi="Arial" w:cs="Arial"/>
                <w:i/>
                <w:iCs/>
                <w:szCs w:val="22"/>
              </w:rPr>
              <w:t>H. pluvialis</w:t>
            </w:r>
            <w:r>
              <w:rPr>
                <w:rFonts w:ascii="Arial" w:eastAsia="Calibri" w:hAnsi="Arial" w:cs="Arial"/>
                <w:i/>
                <w:iCs/>
                <w:szCs w:val="22"/>
                <w:highlight w:val="yellow"/>
              </w:rPr>
              <w:t xml:space="preserve"> </w:t>
            </w:r>
            <w:r w:rsidR="00555B8B" w:rsidRPr="00555B8B">
              <w:rPr>
                <w:rFonts w:ascii="Arial" w:eastAsia="Calibri" w:hAnsi="Arial" w:cs="Arial"/>
                <w:szCs w:val="22"/>
              </w:rPr>
              <w:t xml:space="preserve">biomass (initial astaxanthin content: 21.94 mg/g dry weight) was subjected to enzymatic pretreatment followed by ultrasound-assisted extraction into edible oil. Soybean, sunflower, and rice-bran oils and five </w:t>
            </w:r>
            <w:r>
              <w:rPr>
                <w:rFonts w:ascii="Arial" w:eastAsia="Calibri" w:hAnsi="Arial" w:cs="Arial"/>
                <w:szCs w:val="22"/>
                <w:highlight w:val="yellow"/>
              </w:rPr>
              <w:t>cellulase-to-pectinase ratios</w:t>
            </w:r>
            <w:r>
              <w:rPr>
                <w:rFonts w:ascii="Arial" w:eastAsia="Calibri" w:hAnsi="Arial" w:cs="Arial"/>
                <w:szCs w:val="22"/>
              </w:rPr>
              <w:t xml:space="preserve"> were screened. A Box–Behnken design comprising 15 </w:t>
            </w:r>
            <w:r>
              <w:rPr>
                <w:rFonts w:ascii="Arial" w:eastAsia="Calibri" w:hAnsi="Arial" w:cs="Arial"/>
                <w:szCs w:val="22"/>
                <w:highlight w:val="yellow"/>
              </w:rPr>
              <w:t>randomised</w:t>
            </w:r>
            <w:r>
              <w:rPr>
                <w:rFonts w:ascii="Arial" w:eastAsia="Calibri" w:hAnsi="Arial" w:cs="Arial"/>
                <w:szCs w:val="22"/>
              </w:rPr>
              <w:t xml:space="preserve"> runs with three </w:t>
            </w:r>
            <w:r>
              <w:rPr>
                <w:rFonts w:ascii="Arial" w:eastAsia="Calibri" w:hAnsi="Arial" w:cs="Arial"/>
                <w:szCs w:val="22"/>
                <w:highlight w:val="yellow"/>
              </w:rPr>
              <w:t>centre-point</w:t>
            </w:r>
            <w:r>
              <w:rPr>
                <w:rFonts w:ascii="Arial" w:eastAsia="Calibri" w:hAnsi="Arial" w:cs="Arial"/>
                <w:szCs w:val="22"/>
              </w:rPr>
              <w:t xml:space="preserve"> replicates was used to model total enzyme concentration (1.0–3.0%), sonication duration (15–55 min), and liquid-to-solid ratio (50–150 mL oil/g dry biomass). Astaxanthin was quantified by UV–Vis spectrophotometry at 475 nm using the specific absorption coefficient in acetone</w:t>
            </w:r>
            <w:r w:rsidR="00DC3B0F" w:rsidRPr="00DC3B0F">
              <w:rPr>
                <w:rFonts w:ascii="Arial" w:eastAsia="Calibri" w:hAnsi="Arial" w:cs="Arial"/>
                <w:szCs w:val="22"/>
              </w:rPr>
              <w:t>.</w:t>
            </w:r>
          </w:p>
          <w:p w14:paraId="7B2DDC04" w14:textId="77777777"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Results:</w:t>
            </w:r>
            <w:r w:rsidRPr="00504715">
              <w:rPr>
                <w:rFonts w:ascii="Arial" w:eastAsia="Calibri" w:hAnsi="Arial" w:cs="Arial"/>
                <w:szCs w:val="22"/>
              </w:rPr>
              <w:t xml:space="preserve"> </w:t>
            </w:r>
            <w:r w:rsidR="00555B8B" w:rsidRPr="00555B8B">
              <w:rPr>
                <w:rFonts w:ascii="Arial" w:eastAsia="Calibri" w:hAnsi="Arial" w:cs="Arial"/>
                <w:szCs w:val="22"/>
              </w:rPr>
              <w:t xml:space="preserve">Under the preliminary comparison conditions (1% total enzyme, 15 min sonication, 1.0 mL oil), individual enzyme or ultrasound treatments produced &lt;0.3% recovery, whereas sequential enzyme–ultrasound treatment yielded 20.822 ± 0.322%. Subsequent screening under intensified conditions (2% total enzyme, 35 min sonication, 1.0 mL oil) identified soybean oil and a </w:t>
            </w:r>
            <w:r>
              <w:rPr>
                <w:rFonts w:ascii="Arial" w:eastAsia="Calibri" w:hAnsi="Arial" w:cs="Arial"/>
                <w:szCs w:val="22"/>
                <w:highlight w:val="yellow"/>
              </w:rPr>
              <w:t>50:50 cellulase–pectinase blend</w:t>
            </w:r>
            <w:r>
              <w:rPr>
                <w:rFonts w:ascii="Arial" w:eastAsia="Calibri" w:hAnsi="Arial" w:cs="Arial"/>
                <w:szCs w:val="22"/>
              </w:rPr>
              <w:t xml:space="preserve"> as the </w:t>
            </w:r>
            <w:r>
              <w:rPr>
                <w:rFonts w:ascii="Arial" w:eastAsia="Calibri" w:hAnsi="Arial" w:cs="Arial"/>
                <w:szCs w:val="22"/>
                <w:highlight w:val="yellow"/>
              </w:rPr>
              <w:t>best-performing conditions among those tested</w:t>
            </w:r>
            <w:r>
              <w:rPr>
                <w:rFonts w:ascii="Arial" w:eastAsia="Calibri" w:hAnsi="Arial" w:cs="Arial"/>
                <w:szCs w:val="22"/>
              </w:rPr>
              <w:t xml:space="preserve">. The quadratic response-surface model was significant (F = 32.39, p = 0.000659), with R² = 0.9831, adjusted R² = 0.9528, and non-significant lack of fit (p = 0.4173). The liquid-to-solid ratio was the strongest linear factor. At the selected practical condition of 2.0% enzyme, 35 min sonication, and 100 mL/g, the model predicted 79.626% recovery and </w:t>
            </w:r>
            <w:r>
              <w:rPr>
                <w:rFonts w:ascii="Arial" w:eastAsia="Calibri" w:hAnsi="Arial" w:cs="Arial"/>
                <w:szCs w:val="22"/>
                <w:highlight w:val="yellow"/>
              </w:rPr>
              <w:t>experimental validation yielded</w:t>
            </w:r>
            <w:r>
              <w:rPr>
                <w:rFonts w:ascii="Arial" w:eastAsia="Calibri" w:hAnsi="Arial" w:cs="Arial"/>
                <w:szCs w:val="22"/>
              </w:rPr>
              <w:t xml:space="preserve"> </w:t>
            </w:r>
            <w:r>
              <w:rPr>
                <w:rFonts w:ascii="Arial" w:eastAsia="Calibri" w:hAnsi="Arial" w:cs="Arial"/>
                <w:szCs w:val="22"/>
                <w:highlight w:val="yellow"/>
              </w:rPr>
              <w:t>79.708 ± 1.224% (95% CI; n = 6)</w:t>
            </w:r>
            <w:r>
              <w:rPr>
                <w:rFonts w:ascii="Arial" w:eastAsia="Calibri" w:hAnsi="Arial" w:cs="Arial"/>
                <w:szCs w:val="22"/>
              </w:rPr>
              <w:t>.</w:t>
            </w:r>
          </w:p>
          <w:p w14:paraId="295E84AF" w14:textId="77777777" w:rsidR="00505F06" w:rsidRPr="00BA1B01" w:rsidRDefault="00504715" w:rsidP="00504715">
            <w:pPr>
              <w:pStyle w:val="Body"/>
              <w:spacing w:after="0"/>
              <w:rPr>
                <w:rFonts w:ascii="Arial" w:eastAsia="Calibri" w:hAnsi="Arial" w:cs="Arial"/>
                <w:szCs w:val="22"/>
              </w:rPr>
            </w:pPr>
            <w:r w:rsidRPr="00504715">
              <w:rPr>
                <w:rFonts w:ascii="Arial" w:eastAsia="Calibri" w:hAnsi="Arial" w:cs="Arial"/>
                <w:b/>
                <w:bCs/>
                <w:szCs w:val="22"/>
              </w:rPr>
              <w:t>Conclusion:</w:t>
            </w:r>
            <w:r w:rsidRPr="00504715">
              <w:rPr>
                <w:rFonts w:ascii="Arial" w:eastAsia="Calibri" w:hAnsi="Arial" w:cs="Arial"/>
                <w:szCs w:val="22"/>
              </w:rPr>
              <w:t xml:space="preserve"> </w:t>
            </w:r>
            <w:r>
              <w:rPr>
                <w:rFonts w:ascii="Arial" w:eastAsia="Calibri" w:hAnsi="Arial" w:cs="Arial"/>
                <w:szCs w:val="22"/>
              </w:rPr>
              <w:t xml:space="preserve">Sequential enzymatic pretreatment and ultrasound markedly enhanced astaxanthin recovery compared with the individual treatments under the conditions tested. Response-surface </w:t>
            </w:r>
            <w:r>
              <w:rPr>
                <w:rFonts w:ascii="Arial" w:eastAsia="Calibri" w:hAnsi="Arial" w:cs="Arial"/>
                <w:szCs w:val="22"/>
                <w:highlight w:val="yellow"/>
              </w:rPr>
              <w:t>modelling</w:t>
            </w:r>
            <w:r>
              <w:rPr>
                <w:rFonts w:ascii="Arial" w:eastAsia="Calibri" w:hAnsi="Arial" w:cs="Arial"/>
                <w:szCs w:val="22"/>
              </w:rPr>
              <w:t xml:space="preserve"> provided a statistically adequate description of the process and supported reproducible extraction into a food-compatible soybean-oil phase.</w:t>
            </w:r>
          </w:p>
        </w:tc>
      </w:tr>
    </w:tbl>
    <w:p w14:paraId="03F27D60" w14:textId="77777777" w:rsidR="00636EB2" w:rsidRDefault="00636EB2" w:rsidP="00441B6F">
      <w:pPr>
        <w:pStyle w:val="Body"/>
        <w:spacing w:after="0"/>
        <w:rPr>
          <w:rFonts w:ascii="Arial" w:hAnsi="Arial" w:cs="Arial"/>
          <w:i/>
        </w:rPr>
      </w:pPr>
    </w:p>
    <w:p w14:paraId="08C06B93" w14:textId="77777777" w:rsidR="0024282C" w:rsidRPr="00504715" w:rsidRDefault="00A24E7E" w:rsidP="00441B6F">
      <w:pPr>
        <w:pStyle w:val="Body"/>
        <w:spacing w:after="0"/>
        <w:rPr>
          <w:rFonts w:ascii="Arial" w:hAnsi="Arial" w:cs="Arial"/>
          <w:i/>
        </w:rPr>
      </w:pPr>
      <w:r>
        <w:rPr>
          <w:rFonts w:ascii="Arial" w:hAnsi="Arial" w:cs="Arial"/>
          <w:i/>
        </w:rPr>
        <w:t xml:space="preserve">Keywords: </w:t>
      </w:r>
      <w:r w:rsidR="00F167BA" w:rsidRPr="00F167BA">
        <w:rPr>
          <w:rFonts w:ascii="Arial" w:hAnsi="Arial" w:cs="Arial"/>
          <w:i/>
          <w:iCs/>
        </w:rPr>
        <w:t>Haematococcus pluvialis</w:t>
      </w:r>
      <w:r w:rsidR="00504715" w:rsidRPr="00504715">
        <w:rPr>
          <w:rFonts w:ascii="Arial" w:hAnsi="Arial" w:cs="Arial"/>
          <w:i/>
        </w:rPr>
        <w:t>; astaxanthin; enzyme-assisted extraction; ultrasound-assisted extraction; soybean oil; response surface methodology</w:t>
      </w:r>
    </w:p>
    <w:p w14:paraId="58EB9382" w14:textId="77777777" w:rsidR="00505F06" w:rsidRPr="00A24E7E" w:rsidRDefault="00505F06" w:rsidP="00441B6F">
      <w:pPr>
        <w:pStyle w:val="Body"/>
        <w:spacing w:after="0"/>
        <w:rPr>
          <w:rFonts w:ascii="Arial" w:hAnsi="Arial" w:cs="Arial"/>
          <w:i/>
        </w:rPr>
      </w:pPr>
    </w:p>
    <w:p w14:paraId="6086C967"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2DE952D4" w14:textId="77777777"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Astaxanthin is a high-value ketocarotenoid with pronounced antioxidant activity and is widely investigated for applications in nutraceuticals, functional foods, cosmetics, and aquaculture. Among natural sources, the green microalga </w:t>
      </w:r>
      <w:r w:rsidR="00CC3C77" w:rsidRPr="00CC3C77">
        <w:rPr>
          <w:rFonts w:ascii="Arial" w:hAnsi="Arial" w:cs="Arial"/>
          <w:b w:val="0"/>
          <w:i/>
          <w:iCs/>
          <w:caps w:val="0"/>
          <w:sz w:val="20"/>
        </w:rPr>
        <w:t xml:space="preserve">Haematococcus pluvialis </w:t>
      </w:r>
      <w:r w:rsidRPr="00927DAE">
        <w:rPr>
          <w:rFonts w:ascii="Arial" w:hAnsi="Arial" w:cs="Arial"/>
          <w:b w:val="0"/>
          <w:caps w:val="0"/>
          <w:sz w:val="20"/>
        </w:rPr>
        <w:t xml:space="preserve">is one of the most important biological sources of natural astaxanthin. During the encysted stage, </w:t>
      </w:r>
      <w:r w:rsidR="00CC3C77" w:rsidRPr="00CC3C77">
        <w:rPr>
          <w:rFonts w:ascii="Arial" w:hAnsi="Arial" w:cs="Arial"/>
          <w:b w:val="0"/>
          <w:i/>
          <w:iCs/>
          <w:caps w:val="0"/>
          <w:sz w:val="20"/>
        </w:rPr>
        <w:t>H. pluvialis</w:t>
      </w:r>
      <w:r>
        <w:rPr>
          <w:rFonts w:ascii="Arial" w:hAnsi="Arial" w:cs="Arial"/>
          <w:b w:val="0"/>
          <w:i/>
          <w:iCs/>
          <w:caps w:val="0"/>
          <w:sz w:val="20"/>
          <w:highlight w:val="yellow"/>
        </w:rPr>
        <w:t xml:space="preserve"> </w:t>
      </w:r>
      <w:r w:rsidRPr="00927DAE">
        <w:rPr>
          <w:rFonts w:ascii="Arial" w:hAnsi="Arial" w:cs="Arial"/>
          <w:b w:val="0"/>
          <w:caps w:val="0"/>
          <w:sz w:val="20"/>
        </w:rPr>
        <w:t xml:space="preserve">accumulates high levels of astaxanthin within a strong, multilayered cell wall, making </w:t>
      </w:r>
      <w:r w:rsidRPr="00927DAE">
        <w:rPr>
          <w:rFonts w:ascii="Arial" w:hAnsi="Arial" w:cs="Arial"/>
          <w:b w:val="0"/>
          <w:caps w:val="0"/>
          <w:sz w:val="20"/>
        </w:rPr>
        <w:lastRenderedPageBreak/>
        <w:t xml:space="preserve">intracellular pigment recovery a major downstream-processing challenge. The thick cell wall of </w:t>
      </w:r>
      <w:r w:rsidR="00CC3C77" w:rsidRPr="00CC3C77">
        <w:rPr>
          <w:rFonts w:ascii="Arial" w:hAnsi="Arial" w:cs="Arial"/>
          <w:b w:val="0"/>
          <w:i/>
          <w:iCs/>
          <w:caps w:val="0"/>
          <w:sz w:val="20"/>
        </w:rPr>
        <w:t>H. pluvialis</w:t>
      </w:r>
      <w:r>
        <w:rPr>
          <w:rFonts w:ascii="Arial" w:hAnsi="Arial" w:cs="Arial"/>
          <w:b w:val="0"/>
          <w:i/>
          <w:iCs/>
          <w:caps w:val="0"/>
          <w:sz w:val="20"/>
          <w:highlight w:val="yellow"/>
        </w:rPr>
        <w:t xml:space="preserve"> </w:t>
      </w:r>
      <w:r w:rsidRPr="00927DAE">
        <w:rPr>
          <w:rFonts w:ascii="Arial" w:hAnsi="Arial" w:cs="Arial"/>
          <w:b w:val="0"/>
          <w:caps w:val="0"/>
          <w:sz w:val="20"/>
        </w:rPr>
        <w:t>therefore</w:t>
      </w:r>
      <w:r>
        <w:rPr>
          <w:rFonts w:ascii="Arial" w:hAnsi="Arial" w:cs="Arial"/>
          <w:b w:val="0"/>
          <w:caps w:val="0"/>
          <w:sz w:val="20"/>
        </w:rPr>
        <w:t xml:space="preserve"> represents an important technological barrier to efficient astaxanthin extraction and the development of economically viable algal </w:t>
      </w:r>
      <w:r>
        <w:rPr>
          <w:rFonts w:ascii="Arial" w:hAnsi="Arial" w:cs="Arial"/>
          <w:b w:val="0"/>
          <w:caps w:val="0"/>
          <w:sz w:val="20"/>
          <w:highlight w:val="yellow"/>
        </w:rPr>
        <w:t>biorefineries (Kim et al., 2022).</w:t>
      </w:r>
    </w:p>
    <w:p w14:paraId="6B1B63C2" w14:textId="77777777" w:rsidR="0022614A" w:rsidRDefault="00E3518B">
      <w:pPr>
        <w:pStyle w:val="AbstHead"/>
        <w:spacing w:after="0"/>
        <w:jc w:val="both"/>
      </w:pPr>
      <w:r>
        <w:rPr>
          <w:rFonts w:ascii="Arial" w:hAnsi="Arial"/>
          <w:b w:val="0"/>
          <w:caps w:val="0"/>
          <w:color w:val="000000"/>
          <w:sz w:val="20"/>
          <w:highlight w:val="yellow"/>
        </w:rPr>
        <w:t xml:space="preserve">Recent work has also highlighted the antioxidant-related biochemical value of </w:t>
      </w:r>
      <w:r>
        <w:rPr>
          <w:rFonts w:ascii="Arial" w:hAnsi="Arial"/>
          <w:b w:val="0"/>
          <w:i/>
          <w:caps w:val="0"/>
          <w:color w:val="000000"/>
          <w:sz w:val="20"/>
          <w:highlight w:val="yellow"/>
        </w:rPr>
        <w:t>H. pluvialis</w:t>
      </w:r>
      <w:r>
        <w:rPr>
          <w:rFonts w:ascii="Arial" w:hAnsi="Arial"/>
          <w:b w:val="0"/>
          <w:caps w:val="0"/>
          <w:color w:val="000000"/>
          <w:sz w:val="20"/>
        </w:rPr>
        <w:t xml:space="preserve">, reinforcing continued interest in this microalga as a source of high-value bioactive compounds </w:t>
      </w:r>
      <w:r>
        <w:rPr>
          <w:rFonts w:ascii="Arial" w:hAnsi="Arial"/>
          <w:b w:val="0"/>
          <w:caps w:val="0"/>
          <w:color w:val="000000"/>
          <w:sz w:val="20"/>
          <w:highlight w:val="yellow"/>
        </w:rPr>
        <w:t>(Pham et al., 2025)</w:t>
      </w:r>
      <w:r>
        <w:rPr>
          <w:rFonts w:ascii="Arial" w:hAnsi="Arial"/>
          <w:b w:val="0"/>
          <w:caps w:val="0"/>
          <w:color w:val="000000"/>
          <w:sz w:val="20"/>
        </w:rPr>
        <w:t>.</w:t>
      </w:r>
    </w:p>
    <w:p w14:paraId="14CEF407" w14:textId="77777777" w:rsidR="003F33A3" w:rsidRPr="003F33A3" w:rsidRDefault="003F33A3" w:rsidP="003F33A3">
      <w:pPr>
        <w:pStyle w:val="AbstHead"/>
        <w:spacing w:after="0"/>
        <w:jc w:val="both"/>
        <w:rPr>
          <w:rFonts w:ascii="Arial" w:hAnsi="Arial" w:cs="Arial"/>
          <w:b w:val="0"/>
          <w:caps w:val="0"/>
          <w:sz w:val="20"/>
        </w:rPr>
      </w:pPr>
    </w:p>
    <w:p w14:paraId="62746F68" w14:textId="77777777"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Conventional astaxanthin extraction commonly relies on organic solvents or energy-intensive cell-disruption technologies. Acid-assisted extraction followed by acetone treatment has been reported to recover astaxanthin efficiently from </w:t>
      </w:r>
      <w:r w:rsidR="00CC3C77" w:rsidRPr="00CC3C77">
        <w:rPr>
          <w:rFonts w:ascii="Arial" w:hAnsi="Arial" w:cs="Arial"/>
          <w:b w:val="0"/>
          <w:i/>
          <w:iCs/>
          <w:caps w:val="0"/>
          <w:sz w:val="20"/>
        </w:rPr>
        <w:t>H. pluvialis</w:t>
      </w:r>
      <w:r>
        <w:rPr>
          <w:rFonts w:ascii="Arial" w:hAnsi="Arial" w:cs="Arial"/>
          <w:b w:val="0"/>
          <w:i/>
          <w:iCs/>
          <w:caps w:val="0"/>
          <w:sz w:val="20"/>
          <w:highlight w:val="yellow"/>
        </w:rPr>
        <w:t>.</w:t>
      </w:r>
      <w:r w:rsidRPr="00927DAE">
        <w:rPr>
          <w:rFonts w:ascii="Arial" w:hAnsi="Arial" w:cs="Arial"/>
          <w:b w:val="0"/>
          <w:caps w:val="0"/>
          <w:sz w:val="20"/>
        </w:rPr>
        <w:t xml:space="preserve"> Other approaches include ultrasound-assisted extraction, supercritical carbon dioxide extraction, and direct extraction into vegetable oils. However, </w:t>
      </w:r>
      <w:r w:rsidR="00B615A4">
        <w:rPr>
          <w:rFonts w:ascii="Arial" w:hAnsi="Arial" w:cs="Arial"/>
          <w:b w:val="0"/>
          <w:caps w:val="0"/>
          <w:sz w:val="20"/>
        </w:rPr>
        <w:t>selecting</w:t>
      </w:r>
      <w:r>
        <w:rPr>
          <w:rFonts w:ascii="Arial" w:hAnsi="Arial" w:cs="Arial"/>
          <w:b w:val="0"/>
          <w:caps w:val="0"/>
          <w:sz w:val="20"/>
        </w:rPr>
        <w:t xml:space="preserve"> an appropriate extraction technology involves trade-offs among cell-disruption efficiency, solvent use, energy consumption, product stability, and downstream processing </w:t>
      </w:r>
      <w:r>
        <w:rPr>
          <w:rFonts w:ascii="Arial" w:hAnsi="Arial" w:cs="Arial"/>
          <w:b w:val="0"/>
          <w:caps w:val="0"/>
          <w:sz w:val="20"/>
          <w:highlight w:val="yellow"/>
        </w:rPr>
        <w:t>requirements (Dong et al., 2014; Zou et al., 2013).</w:t>
      </w:r>
    </w:p>
    <w:p w14:paraId="27E2D1D5" w14:textId="77777777" w:rsidR="0022614A" w:rsidRDefault="00E3518B">
      <w:pPr>
        <w:pStyle w:val="AbstHead"/>
        <w:spacing w:after="0"/>
        <w:jc w:val="both"/>
      </w:pPr>
      <w:r>
        <w:rPr>
          <w:rFonts w:ascii="Arial" w:hAnsi="Arial"/>
          <w:b w:val="0"/>
          <w:caps w:val="0"/>
          <w:color w:val="000000"/>
          <w:sz w:val="20"/>
          <w:highlight w:val="yellow"/>
        </w:rPr>
        <w:t xml:space="preserve">Recent studies have expanded green extraction routes for </w:t>
      </w:r>
      <w:r>
        <w:rPr>
          <w:rFonts w:ascii="Arial" w:hAnsi="Arial"/>
          <w:b w:val="0"/>
          <w:i/>
          <w:caps w:val="0"/>
          <w:color w:val="000000"/>
          <w:sz w:val="20"/>
          <w:highlight w:val="yellow"/>
        </w:rPr>
        <w:t>H. pluvialis</w:t>
      </w:r>
      <w:r>
        <w:rPr>
          <w:rFonts w:ascii="Arial" w:hAnsi="Arial"/>
          <w:b w:val="0"/>
          <w:caps w:val="0"/>
          <w:color w:val="000000"/>
          <w:sz w:val="20"/>
        </w:rPr>
        <w:t xml:space="preserve"> astaxanthin to include integrated pulsed-electric-field/supercritical-CO₂ processing, natural deep eutectic solvents, bio-based ionic liquids, and aqueous biphasic systems </w:t>
      </w:r>
      <w:r>
        <w:rPr>
          <w:rFonts w:ascii="Arial" w:hAnsi="Arial"/>
          <w:b w:val="0"/>
          <w:caps w:val="0"/>
          <w:color w:val="000000"/>
          <w:sz w:val="20"/>
          <w:highlight w:val="yellow"/>
        </w:rPr>
        <w:t>(Al Fuhaid et al., 2024; Manikyam et al., 2026; Mussagy et al., 2025; Zhang et al., 2024)</w:t>
      </w:r>
      <w:r>
        <w:rPr>
          <w:rFonts w:ascii="Arial" w:hAnsi="Arial"/>
          <w:b w:val="0"/>
          <w:caps w:val="0"/>
          <w:color w:val="000000"/>
          <w:sz w:val="20"/>
        </w:rPr>
        <w:t>.</w:t>
      </w:r>
    </w:p>
    <w:p w14:paraId="4398A52E" w14:textId="77777777" w:rsidR="003F33A3" w:rsidRPr="003F33A3" w:rsidRDefault="003F33A3" w:rsidP="003F33A3">
      <w:pPr>
        <w:pStyle w:val="AbstHead"/>
        <w:spacing w:after="0"/>
        <w:jc w:val="both"/>
        <w:rPr>
          <w:rFonts w:ascii="Arial" w:hAnsi="Arial" w:cs="Arial"/>
          <w:b w:val="0"/>
          <w:caps w:val="0"/>
          <w:sz w:val="20"/>
        </w:rPr>
      </w:pPr>
    </w:p>
    <w:p w14:paraId="5205B684" w14:textId="77777777" w:rsidR="0093555C" w:rsidRDefault="00F63526">
      <w:pPr>
        <w:pStyle w:val="AbstHead"/>
        <w:spacing w:after="0"/>
        <w:jc w:val="both"/>
      </w:pPr>
      <w:r>
        <w:rPr>
          <w:b w:val="0"/>
          <w:caps w:val="0"/>
          <w:highlight w:val="yellow"/>
        </w:rPr>
        <w:t xml:space="preserve">Recent reviews of algal biotechnology have likewise emphasised eco-conscious extraction approaches for recovering high-value pigments and other bioactive compounds from microalgal biomass (Singh et al., 2024). Deep-eutectic-solvent-based aqueous two-phase pretreatment has also been shown to disrupt </w:t>
      </w:r>
      <w:r>
        <w:rPr>
          <w:b w:val="0"/>
          <w:i/>
          <w:caps w:val="0"/>
          <w:highlight w:val="yellow"/>
        </w:rPr>
        <w:t>H. pluvialis</w:t>
      </w:r>
      <w:r>
        <w:rPr>
          <w:b w:val="0"/>
          <w:caps w:val="0"/>
          <w:highlight w:val="yellow"/>
        </w:rPr>
        <w:t xml:space="preserve"> cyst cells and facilitate subsequent astaxanthin separation under mild extraction conditions (Nemani et al., 2024).</w:t>
      </w:r>
    </w:p>
    <w:p w14:paraId="4037D9DE" w14:textId="77777777" w:rsidR="0093555C" w:rsidRDefault="0093555C">
      <w:pPr>
        <w:pStyle w:val="AbstHead"/>
        <w:spacing w:after="0"/>
        <w:jc w:val="both"/>
        <w:rPr>
          <w:rFonts w:ascii="Arial" w:hAnsi="Arial" w:cs="Arial"/>
          <w:b w:val="0"/>
          <w:caps w:val="0"/>
          <w:sz w:val="20"/>
        </w:rPr>
      </w:pPr>
    </w:p>
    <w:p w14:paraId="39ADF36A" w14:textId="77777777"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Ultrasound-assisted extraction (UAE) is attractive because acoustic cavitation can promote mechanical disruption and enhance mass transfer. Nevertheless, </w:t>
      </w:r>
      <w:r w:rsidR="00CC3C77" w:rsidRPr="00CC3C77">
        <w:rPr>
          <w:rFonts w:ascii="Arial" w:hAnsi="Arial" w:cs="Arial"/>
          <w:b w:val="0"/>
          <w:i/>
          <w:iCs/>
          <w:caps w:val="0"/>
          <w:sz w:val="20"/>
        </w:rPr>
        <w:t>H. pluvialis</w:t>
      </w:r>
      <w:r>
        <w:rPr>
          <w:rFonts w:ascii="Arial" w:hAnsi="Arial" w:cs="Arial"/>
          <w:b w:val="0"/>
          <w:i/>
          <w:iCs/>
          <w:caps w:val="0"/>
          <w:sz w:val="20"/>
          <w:highlight w:val="yellow"/>
        </w:rPr>
        <w:t xml:space="preserve"> </w:t>
      </w:r>
      <w:r w:rsidRPr="00927DAE">
        <w:rPr>
          <w:rFonts w:ascii="Arial" w:hAnsi="Arial" w:cs="Arial"/>
          <w:b w:val="0"/>
          <w:caps w:val="0"/>
          <w:sz w:val="20"/>
        </w:rPr>
        <w:t>is</w:t>
      </w:r>
      <w:r>
        <w:rPr>
          <w:rFonts w:ascii="Arial" w:hAnsi="Arial" w:cs="Arial"/>
          <w:b w:val="0"/>
          <w:caps w:val="0"/>
          <w:sz w:val="20"/>
        </w:rPr>
        <w:t xml:space="preserve"> particularly resistant to physical disruption because of its robust cell-wall structure, and ultrasound alone may therefore provide limited extraction efficiency under mild processing conditions. Previous studies have demonstrated the feasibility of ultrasound-assisted processes for astaxanthin recovery, including response-surface </w:t>
      </w:r>
      <w:r>
        <w:rPr>
          <w:rFonts w:ascii="Arial" w:hAnsi="Arial" w:cs="Arial"/>
          <w:b w:val="0"/>
          <w:caps w:val="0"/>
          <w:sz w:val="20"/>
          <w:highlight w:val="yellow"/>
        </w:rPr>
        <w:t>optimisation</w:t>
      </w:r>
      <w:r>
        <w:rPr>
          <w:rFonts w:ascii="Arial" w:hAnsi="Arial" w:cs="Arial"/>
          <w:b w:val="0"/>
          <w:caps w:val="0"/>
          <w:sz w:val="20"/>
        </w:rPr>
        <w:t xml:space="preserve"> of liquid-to-solid ratio, extraction temperature, extraction time, and other operating </w:t>
      </w:r>
      <w:r>
        <w:rPr>
          <w:rFonts w:ascii="Arial" w:hAnsi="Arial" w:cs="Arial"/>
          <w:b w:val="0"/>
          <w:caps w:val="0"/>
          <w:sz w:val="20"/>
          <w:highlight w:val="yellow"/>
        </w:rPr>
        <w:t>variables (Khoo et al., 2020; Zou et al., 2013).</w:t>
      </w:r>
    </w:p>
    <w:p w14:paraId="615FF436" w14:textId="77777777" w:rsidR="003F33A3" w:rsidRPr="003F33A3" w:rsidRDefault="003F33A3" w:rsidP="003F33A3">
      <w:pPr>
        <w:pStyle w:val="AbstHead"/>
        <w:spacing w:after="0"/>
        <w:jc w:val="both"/>
        <w:rPr>
          <w:rFonts w:ascii="Arial" w:hAnsi="Arial" w:cs="Arial"/>
          <w:b w:val="0"/>
          <w:caps w:val="0"/>
          <w:sz w:val="20"/>
        </w:rPr>
      </w:pPr>
    </w:p>
    <w:p w14:paraId="39289921" w14:textId="77777777" w:rsidR="0093555C" w:rsidRDefault="00F63526">
      <w:pPr>
        <w:pStyle w:val="AbstHead"/>
        <w:spacing w:after="0"/>
        <w:jc w:val="both"/>
        <w:rPr>
          <w:rFonts w:ascii="Arial" w:hAnsi="Arial" w:cs="Arial"/>
          <w:b w:val="0"/>
          <w:caps w:val="0"/>
          <w:sz w:val="20"/>
        </w:rPr>
      </w:pPr>
      <w:r>
        <w:rPr>
          <w:b w:val="0"/>
          <w:caps w:val="0"/>
          <w:highlight w:val="yellow"/>
        </w:rPr>
        <w:t xml:space="preserve">Response-surface methodology has also been used to optimise microalgal growth and carotenoid production, supporting its broader application to multivariable microalgal process optimisation (Afiya &amp; Umar, 2022). More recent solvent-based optimisation of </w:t>
      </w:r>
      <w:r>
        <w:rPr>
          <w:b w:val="0"/>
          <w:i/>
          <w:caps w:val="0"/>
          <w:highlight w:val="yellow"/>
        </w:rPr>
        <w:t>H. pluvialis</w:t>
      </w:r>
      <w:r>
        <w:rPr>
          <w:b w:val="0"/>
          <w:caps w:val="0"/>
          <w:highlight w:val="yellow"/>
        </w:rPr>
        <w:t xml:space="preserve"> extraction has further shown that extraction solvent, temperature, and time influence astaxanthin extraction performance, reinforcing the value of systematic process optimisation (Luo et al., 2024).</w:t>
      </w:r>
    </w:p>
    <w:p w14:paraId="658754D6" w14:textId="77777777" w:rsidR="0093555C" w:rsidRDefault="0093555C">
      <w:pPr>
        <w:pStyle w:val="AbstHead"/>
        <w:spacing w:after="0"/>
        <w:jc w:val="both"/>
        <w:rPr>
          <w:rFonts w:ascii="Arial" w:hAnsi="Arial" w:cs="Arial"/>
          <w:b w:val="0"/>
          <w:caps w:val="0"/>
          <w:sz w:val="20"/>
        </w:rPr>
      </w:pPr>
    </w:p>
    <w:p w14:paraId="13CE8B62" w14:textId="77777777"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Enzyme-assisted extraction provides a complementary strategy by targeting structural components of the algal cell wall under relatively mild conditions. </w:t>
      </w:r>
      <w:r w:rsidR="00B615A4">
        <w:rPr>
          <w:rFonts w:ascii="Arial" w:hAnsi="Arial" w:cs="Arial"/>
          <w:b w:val="0"/>
          <w:caps w:val="0"/>
          <w:sz w:val="20"/>
        </w:rPr>
        <w:t>Researchers have investigated cellulase and pectinase</w:t>
      </w:r>
      <w:r w:rsidRPr="00927DAE">
        <w:rPr>
          <w:rFonts w:ascii="Arial" w:hAnsi="Arial" w:cs="Arial"/>
          <w:b w:val="0"/>
          <w:caps w:val="0"/>
          <w:sz w:val="20"/>
        </w:rPr>
        <w:t xml:space="preserve"> for astaxanthin release from </w:t>
      </w:r>
      <w:r w:rsidR="00CC3C77" w:rsidRPr="00CC3C77">
        <w:rPr>
          <w:rFonts w:ascii="Arial" w:hAnsi="Arial" w:cs="Arial"/>
          <w:b w:val="0"/>
          <w:i/>
          <w:iCs/>
          <w:caps w:val="0"/>
          <w:sz w:val="20"/>
        </w:rPr>
        <w:t>H. pluvialis</w:t>
      </w:r>
      <w:r>
        <w:rPr>
          <w:rFonts w:ascii="Arial" w:hAnsi="Arial" w:cs="Arial"/>
          <w:b w:val="0"/>
          <w:i/>
          <w:iCs/>
          <w:caps w:val="0"/>
          <w:sz w:val="20"/>
          <w:highlight w:val="yellow"/>
        </w:rPr>
        <w:t>,</w:t>
      </w:r>
      <w:r>
        <w:rPr>
          <w:rFonts w:ascii="Arial" w:hAnsi="Arial" w:cs="Arial"/>
          <w:b w:val="0"/>
          <w:caps w:val="0"/>
          <w:sz w:val="20"/>
        </w:rPr>
        <w:t xml:space="preserve"> with enzyme type, pH, temperature, and hydrolysis time influencing extraction performance. In particular, pectinase has been reported to provide greater astaxanthin release than cellulase under the conditions investigated, supporting further investigation of combined enzymatic </w:t>
      </w:r>
      <w:r>
        <w:rPr>
          <w:rFonts w:ascii="Arial" w:hAnsi="Arial" w:cs="Arial"/>
          <w:b w:val="0"/>
          <w:caps w:val="0"/>
          <w:sz w:val="20"/>
          <w:highlight w:val="yellow"/>
        </w:rPr>
        <w:t>systems (Zhao et al., 2019).</w:t>
      </w:r>
    </w:p>
    <w:p w14:paraId="75C5E8D1" w14:textId="77777777" w:rsidR="003F33A3" w:rsidRPr="003F33A3" w:rsidRDefault="003F33A3" w:rsidP="003F33A3">
      <w:pPr>
        <w:pStyle w:val="AbstHead"/>
        <w:spacing w:after="0"/>
        <w:jc w:val="both"/>
        <w:rPr>
          <w:rFonts w:ascii="Arial" w:hAnsi="Arial" w:cs="Arial"/>
          <w:b w:val="0"/>
          <w:caps w:val="0"/>
          <w:sz w:val="20"/>
        </w:rPr>
      </w:pPr>
    </w:p>
    <w:p w14:paraId="44819F4C" w14:textId="77777777"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Direct extraction into edible oils represents another attractive strategy because the recovered astaxanthin can remain in a food-compatible lipid phase without requiring a subsequent </w:t>
      </w:r>
      <w:r w:rsidRPr="00927DAE">
        <w:rPr>
          <w:rFonts w:ascii="Arial" w:hAnsi="Arial" w:cs="Arial"/>
          <w:b w:val="0"/>
          <w:caps w:val="0"/>
          <w:sz w:val="20"/>
        </w:rPr>
        <w:lastRenderedPageBreak/>
        <w:t xml:space="preserve">solvent-removal step. Soybean oil has previously been evaluated as an extraction or co-solvent phase for astaxanthin recovery from </w:t>
      </w:r>
      <w:r w:rsidR="00CC3C77" w:rsidRPr="00CC3C77">
        <w:rPr>
          <w:rFonts w:ascii="Arial" w:hAnsi="Arial" w:cs="Arial"/>
          <w:b w:val="0"/>
          <w:i/>
          <w:iCs/>
          <w:caps w:val="0"/>
          <w:sz w:val="20"/>
        </w:rPr>
        <w:t>H. pluvialis</w:t>
      </w:r>
      <w:r>
        <w:rPr>
          <w:rFonts w:ascii="Arial" w:hAnsi="Arial" w:cs="Arial"/>
          <w:b w:val="0"/>
          <w:i/>
          <w:iCs/>
          <w:caps w:val="0"/>
          <w:sz w:val="20"/>
          <w:highlight w:val="yellow"/>
        </w:rPr>
        <w:t xml:space="preserve"> </w:t>
      </w:r>
      <w:r>
        <w:rPr>
          <w:rFonts w:ascii="Arial" w:hAnsi="Arial" w:cs="Arial"/>
          <w:b w:val="0"/>
          <w:caps w:val="0"/>
          <w:sz w:val="20"/>
          <w:highlight w:val="yellow"/>
        </w:rPr>
        <w:t>(Krichnavaruk et al., 2008)</w:t>
      </w:r>
      <w:r>
        <w:rPr>
          <w:rFonts w:ascii="Arial" w:hAnsi="Arial" w:cs="Arial"/>
          <w:b w:val="0"/>
          <w:caps w:val="0"/>
          <w:sz w:val="20"/>
        </w:rPr>
        <w:t xml:space="preserve">. More recently, astaxanthin-containing soybean oil was produced from </w:t>
      </w:r>
      <w:r w:rsidR="00CC3C77" w:rsidRPr="00CC3C77">
        <w:rPr>
          <w:rFonts w:ascii="Arial" w:hAnsi="Arial" w:cs="Arial"/>
          <w:b w:val="0"/>
          <w:i/>
          <w:iCs/>
          <w:caps w:val="0"/>
          <w:sz w:val="20"/>
        </w:rPr>
        <w:t>H. pluvialis</w:t>
      </w:r>
      <w:r>
        <w:rPr>
          <w:rFonts w:ascii="Arial" w:hAnsi="Arial" w:cs="Arial"/>
          <w:b w:val="0"/>
          <w:i/>
          <w:iCs/>
          <w:caps w:val="0"/>
          <w:sz w:val="20"/>
          <w:highlight w:val="yellow"/>
        </w:rPr>
        <w:t xml:space="preserve"> </w:t>
      </w:r>
      <w:r w:rsidRPr="00927DAE">
        <w:rPr>
          <w:rFonts w:ascii="Arial" w:hAnsi="Arial" w:cs="Arial"/>
          <w:b w:val="0"/>
          <w:caps w:val="0"/>
          <w:sz w:val="20"/>
        </w:rPr>
        <w:t>biomass</w:t>
      </w:r>
      <w:r>
        <w:rPr>
          <w:rFonts w:ascii="Arial" w:hAnsi="Arial" w:cs="Arial"/>
          <w:b w:val="0"/>
          <w:caps w:val="0"/>
          <w:sz w:val="20"/>
        </w:rPr>
        <w:t xml:space="preserve"> using an integrated cell-disruption and phase-separation process, demonstrating the practical potential of edible oils as carriers for astaxanthin-enriched </w:t>
      </w:r>
      <w:r>
        <w:rPr>
          <w:rFonts w:ascii="Arial" w:hAnsi="Arial" w:cs="Arial"/>
          <w:b w:val="0"/>
          <w:caps w:val="0"/>
          <w:sz w:val="20"/>
          <w:highlight w:val="yellow"/>
        </w:rPr>
        <w:t>products (Lee et al., 2024).</w:t>
      </w:r>
    </w:p>
    <w:p w14:paraId="3BC90CBD" w14:textId="77777777" w:rsidR="003F33A3" w:rsidRPr="003F33A3" w:rsidRDefault="003F33A3" w:rsidP="003F33A3">
      <w:pPr>
        <w:pStyle w:val="AbstHead"/>
        <w:spacing w:after="0"/>
        <w:jc w:val="both"/>
        <w:rPr>
          <w:rFonts w:ascii="Arial" w:hAnsi="Arial" w:cs="Arial"/>
          <w:b w:val="0"/>
          <w:caps w:val="0"/>
          <w:sz w:val="20"/>
        </w:rPr>
      </w:pPr>
    </w:p>
    <w:p w14:paraId="2AFA783E" w14:textId="77777777" w:rsidR="00E84C44" w:rsidRDefault="00927DAE" w:rsidP="003F33A3">
      <w:pPr>
        <w:pStyle w:val="AbstHead"/>
        <w:spacing w:after="0"/>
        <w:jc w:val="both"/>
        <w:rPr>
          <w:rFonts w:ascii="Arial" w:hAnsi="Arial" w:cs="Arial"/>
          <w:b w:val="0"/>
          <w:caps w:val="0"/>
          <w:sz w:val="20"/>
        </w:rPr>
      </w:pPr>
      <w:r>
        <w:rPr>
          <w:rFonts w:ascii="Arial" w:hAnsi="Arial"/>
          <w:b w:val="0"/>
          <w:caps w:val="0"/>
          <w:color w:val="000000"/>
          <w:sz w:val="20"/>
        </w:rPr>
        <w:t xml:space="preserve">Despite these advances, the efficiency of direct oil-based extraction depends strongly on the accessibility of intracellular astaxanthin. Therefore, combining biochemical cell-wall weakening through enzymatic pretreatment with ultrasound-induced mechanical disruption provides a rational strategy to enhance pigment release and subsequent partitioning into the lipid phase. </w:t>
      </w:r>
    </w:p>
    <w:p w14:paraId="65E3A43C" w14:textId="77777777" w:rsidR="0022614A" w:rsidRPr="006D3267" w:rsidRDefault="00E3518B">
      <w:pPr>
        <w:pStyle w:val="AbstHead"/>
        <w:spacing w:after="0"/>
        <w:jc w:val="both"/>
        <w:rPr>
          <w:b w:val="0"/>
          <w:bCs/>
        </w:rPr>
      </w:pPr>
      <w:r w:rsidRPr="006D3267">
        <w:rPr>
          <w:rFonts w:ascii="Arial" w:hAnsi="Arial"/>
          <w:b w:val="0"/>
          <w:bCs/>
          <w:caps w:val="0"/>
          <w:color w:val="000000"/>
          <w:sz w:val="20"/>
          <w:highlight w:val="yellow"/>
        </w:rPr>
        <w:t>However, a process-level gap remains in the context of this study: the performance of sequential cellulase–pectinase pretreatment and ultrasound during direct soybean-oil extraction, together with the effects of total enzyme concentration, sonication duration, and liquid-to-solid ratio, requires systematic evaluation within one integrated experimental framework.</w:t>
      </w:r>
    </w:p>
    <w:p w14:paraId="69207719" w14:textId="77777777" w:rsidR="0093555C" w:rsidRDefault="00F63526">
      <w:pPr>
        <w:pStyle w:val="AbstHead"/>
        <w:spacing w:after="0"/>
        <w:jc w:val="both"/>
      </w:pPr>
      <w:r>
        <w:rPr>
          <w:caps w:val="0"/>
          <w:highlight w:val="yellow"/>
        </w:rPr>
        <w:t>Objective</w:t>
      </w:r>
    </w:p>
    <w:p w14:paraId="1D85EA1A" w14:textId="77777777" w:rsidR="0022614A" w:rsidRDefault="00E3518B">
      <w:pPr>
        <w:pStyle w:val="AbstHead"/>
        <w:spacing w:after="0"/>
        <w:jc w:val="both"/>
      </w:pPr>
      <w:r>
        <w:rPr>
          <w:rFonts w:ascii="Arial" w:hAnsi="Arial"/>
          <w:b w:val="0"/>
          <w:caps w:val="0"/>
          <w:color w:val="000000"/>
          <w:sz w:val="20"/>
        </w:rPr>
        <w:t>In the present study, we integrated a binary cellulase–pectinase system with ultrasound-assisted extraction to enable direct recovery of astaxanthin into food-grade soybean oil without organic solvents in the oil-extraction step. The study compared individual and combined treatments, screened suitable carrier oils and cellulase–pectinase ratios, examined cellular disruption by microscopy, and evaluated the effects of total enzyme concentration, sonication duration, and liquid-to-solid ratio using a Box–Behnken response-surface design.</w:t>
      </w:r>
    </w:p>
    <w:p w14:paraId="3572B020" w14:textId="77777777" w:rsidR="00927DAE" w:rsidRDefault="00927DAE" w:rsidP="003F33A3">
      <w:pPr>
        <w:pStyle w:val="AbstHead"/>
        <w:spacing w:after="0"/>
        <w:jc w:val="both"/>
        <w:rPr>
          <w:rFonts w:ascii="Arial" w:hAnsi="Arial" w:cs="Arial"/>
        </w:rPr>
      </w:pPr>
    </w:p>
    <w:p w14:paraId="0BDB9CCF" w14:textId="77777777" w:rsidR="007F7B32" w:rsidRDefault="00902823" w:rsidP="003F33A3">
      <w:pPr>
        <w:pStyle w:val="AbstHead"/>
        <w:spacing w:after="0"/>
        <w:jc w:val="both"/>
        <w:rPr>
          <w:rFonts w:ascii="Arial" w:hAnsi="Arial" w:cs="Arial"/>
        </w:rPr>
      </w:pPr>
      <w:r>
        <w:rPr>
          <w:rFonts w:ascii="Arial" w:hAnsi="Arial" w:cs="Arial"/>
        </w:rPr>
        <w:t xml:space="preserve">2. </w:t>
      </w:r>
      <w:r w:rsidR="009348B3">
        <w:rPr>
          <w:rFonts w:ascii="Arial" w:hAnsi="Arial" w:cs="Arial"/>
        </w:rPr>
        <w:t>Materials</w:t>
      </w:r>
      <w:r>
        <w:rPr>
          <w:rFonts w:ascii="Arial" w:hAnsi="Arial" w:cs="Arial"/>
        </w:rPr>
        <w:t xml:space="preserve"> and method</w:t>
      </w:r>
      <w:r w:rsidR="00000F8F">
        <w:rPr>
          <w:rFonts w:ascii="Arial" w:hAnsi="Arial" w:cs="Arial"/>
        </w:rPr>
        <w:t>s</w:t>
      </w:r>
    </w:p>
    <w:p w14:paraId="031B7B3B" w14:textId="77777777" w:rsidR="00EF5516" w:rsidRDefault="00EF5516" w:rsidP="003F33A3">
      <w:pPr>
        <w:pStyle w:val="Body"/>
        <w:spacing w:after="0"/>
        <w:rPr>
          <w:rFonts w:ascii="Arial" w:hAnsi="Arial" w:cs="Arial"/>
          <w:b/>
          <w:bCs/>
        </w:rPr>
      </w:pPr>
    </w:p>
    <w:p w14:paraId="50534B97" w14:textId="77777777" w:rsidR="00303C8D" w:rsidRPr="00EF5516" w:rsidRDefault="00303C8D" w:rsidP="003F33A3">
      <w:pPr>
        <w:pStyle w:val="Body"/>
        <w:spacing w:after="0"/>
        <w:rPr>
          <w:rFonts w:ascii="Arial" w:hAnsi="Arial" w:cs="Arial"/>
          <w:b/>
          <w:bCs/>
        </w:rPr>
      </w:pPr>
      <w:r w:rsidRPr="00EF5516">
        <w:rPr>
          <w:rFonts w:ascii="Arial" w:hAnsi="Arial" w:cs="Arial"/>
          <w:b/>
          <w:bCs/>
        </w:rPr>
        <w:t xml:space="preserve">2.1. </w:t>
      </w:r>
      <w:r w:rsidR="009348B3">
        <w:rPr>
          <w:rFonts w:ascii="Arial" w:hAnsi="Arial" w:cs="Arial"/>
          <w:b/>
          <w:bCs/>
        </w:rPr>
        <w:t>Objective</w:t>
      </w:r>
    </w:p>
    <w:p w14:paraId="2687D2CD" w14:textId="77777777" w:rsidR="00EF5516" w:rsidRDefault="00EF5516" w:rsidP="003F33A3">
      <w:pPr>
        <w:pStyle w:val="Body"/>
        <w:spacing w:after="0"/>
        <w:rPr>
          <w:rFonts w:ascii="Arial" w:hAnsi="Arial" w:cs="Arial"/>
        </w:rPr>
      </w:pPr>
    </w:p>
    <w:p w14:paraId="43AEBF04" w14:textId="77777777" w:rsidR="00303C8D" w:rsidRPr="00303C8D" w:rsidRDefault="00E84C44" w:rsidP="003F33A3">
      <w:pPr>
        <w:pStyle w:val="Body"/>
        <w:spacing w:after="0"/>
        <w:rPr>
          <w:rFonts w:ascii="Arial" w:hAnsi="Arial" w:cs="Arial"/>
        </w:rPr>
      </w:pPr>
      <w:r>
        <w:rPr>
          <w:rFonts w:ascii="Arial" w:hAnsi="Arial" w:cs="Arial"/>
          <w:highlight w:val="yellow"/>
        </w:rPr>
        <w:t xml:space="preserve">The primary biological matrix used in this study was microalgal biomass of </w:t>
      </w:r>
      <w:r w:rsidR="00CC3C77" w:rsidRPr="00CC3C77">
        <w:rPr>
          <w:rFonts w:ascii="Arial" w:hAnsi="Arial" w:cs="Arial"/>
          <w:i/>
          <w:iCs/>
        </w:rPr>
        <w:t>Haematococcus pluvialis</w:t>
      </w:r>
      <w:r>
        <w:rPr>
          <w:rFonts w:ascii="Arial" w:hAnsi="Arial" w:cs="Arial"/>
          <w:i/>
          <w:iCs/>
          <w:highlight w:val="yellow"/>
        </w:rPr>
        <w:t xml:space="preserve"> strain UTEX 2505,</w:t>
      </w:r>
      <w:r>
        <w:rPr>
          <w:rFonts w:ascii="Arial" w:hAnsi="Arial" w:cs="Arial"/>
        </w:rPr>
        <w:t xml:space="preserve"> cultivated at the Institute of High Technology, Nguyen Tat Thanh University. To preserve astaxanthin integrity, the harvested biomass was freeze-dried to a constant mass, with residual moisture strictly controlled at &lt; 5%. The dried biomass was then mechanically disrupted using a ball mill or stone mortar and passed through standard test sieves to obtain a homogeneous particle size distribution of 0.1–0.25 mm. The </w:t>
      </w:r>
      <w:r>
        <w:rPr>
          <w:rFonts w:ascii="Arial" w:hAnsi="Arial" w:cs="Arial"/>
          <w:highlight w:val="yellow"/>
        </w:rPr>
        <w:t>standardised</w:t>
      </w:r>
      <w:r>
        <w:rPr>
          <w:rFonts w:ascii="Arial" w:hAnsi="Arial" w:cs="Arial"/>
        </w:rPr>
        <w:t xml:space="preserve"> powder was vacuum-sealed in opaque </w:t>
      </w:r>
      <w:r>
        <w:rPr>
          <w:rFonts w:ascii="Arial" w:hAnsi="Arial" w:cs="Arial"/>
          <w:highlight w:val="yellow"/>
        </w:rPr>
        <w:t>aluminium</w:t>
      </w:r>
      <w:r>
        <w:rPr>
          <w:rFonts w:ascii="Arial" w:hAnsi="Arial" w:cs="Arial"/>
        </w:rPr>
        <w:t xml:space="preserve"> pouches and stored at -20 °C to inhibit spontaneous auto-oxidation </w:t>
      </w:r>
      <w:r>
        <w:rPr>
          <w:rFonts w:ascii="Arial" w:hAnsi="Arial" w:cs="Arial"/>
          <w:highlight w:val="yellow"/>
        </w:rPr>
        <w:t xml:space="preserve">before experimental use. </w:t>
      </w:r>
    </w:p>
    <w:p w14:paraId="21E2CD4E" w14:textId="77777777" w:rsidR="00EF5516" w:rsidRDefault="00EF5516" w:rsidP="002D7024">
      <w:pPr>
        <w:pStyle w:val="Body"/>
        <w:spacing w:after="0"/>
        <w:rPr>
          <w:rFonts w:ascii="Arial" w:hAnsi="Arial" w:cs="Arial"/>
          <w:b/>
          <w:bCs/>
        </w:rPr>
      </w:pPr>
    </w:p>
    <w:p w14:paraId="14EADC71" w14:textId="77777777" w:rsidR="002212AB" w:rsidRPr="00EF5516" w:rsidRDefault="00303C8D" w:rsidP="002D7024">
      <w:pPr>
        <w:pStyle w:val="Body"/>
        <w:spacing w:after="0"/>
        <w:rPr>
          <w:rFonts w:ascii="Arial" w:hAnsi="Arial" w:cs="Arial"/>
          <w:b/>
          <w:bCs/>
        </w:rPr>
      </w:pPr>
      <w:r w:rsidRPr="00EF5516">
        <w:rPr>
          <w:rFonts w:ascii="Arial" w:hAnsi="Arial" w:cs="Arial"/>
          <w:b/>
          <w:bCs/>
        </w:rPr>
        <w:t>2.2. Equipment</w:t>
      </w:r>
    </w:p>
    <w:p w14:paraId="111789E2" w14:textId="77777777" w:rsidR="00EF5516" w:rsidRDefault="00EF5516" w:rsidP="002D7024">
      <w:pPr>
        <w:pStyle w:val="Body"/>
        <w:spacing w:after="0"/>
        <w:rPr>
          <w:rFonts w:ascii="Arial" w:hAnsi="Arial" w:cs="Arial"/>
        </w:rPr>
      </w:pPr>
    </w:p>
    <w:p w14:paraId="4F116ABB" w14:textId="77777777" w:rsidR="00EF5516" w:rsidRDefault="00E84C44" w:rsidP="002D7024">
      <w:pPr>
        <w:pStyle w:val="Body"/>
        <w:spacing w:after="0"/>
        <w:rPr>
          <w:rFonts w:ascii="Arial" w:hAnsi="Arial" w:cs="Arial"/>
          <w:b/>
          <w:bCs/>
        </w:rPr>
      </w:pPr>
      <w:r>
        <w:rPr>
          <w:rFonts w:ascii="Arial" w:hAnsi="Arial" w:cs="Arial"/>
          <w:highlight w:val="yellow"/>
        </w:rPr>
        <w:t>A laboratory optical microscope</w:t>
      </w:r>
      <w:r>
        <w:rPr>
          <w:rFonts w:ascii="Arial" w:hAnsi="Arial" w:cs="Arial"/>
        </w:rPr>
        <w:t xml:space="preserve"> (Optica, Italy), pH meter (Mettler Toledo S220, Switzerland), Z306 centrifuge (</w:t>
      </w:r>
      <w:r w:rsidRPr="00E84C44">
        <w:rPr>
          <w:rFonts w:ascii="Arial" w:hAnsi="Arial" w:cs="Arial"/>
        </w:rPr>
        <w:t xml:space="preserve">Hermle, Germany), UV–Vis spectrophotometer (Thermo Scientific, USA), vortex mixer (Labnet, USA), and Elma Select 100 ultrasonic bath (Elma, Germany) were used. Sample preparation was performed using a freeze dryer, ball mill, standard sieves, and thermostatic orbital shaker. The microscope was used to evaluate morphological changes in </w:t>
      </w:r>
      <w:r w:rsidR="00CC3C77" w:rsidRPr="00CC3C77">
        <w:rPr>
          <w:rFonts w:ascii="Arial" w:hAnsi="Arial" w:cs="Arial"/>
          <w:i/>
          <w:iCs/>
        </w:rPr>
        <w:t>H. pluvialis</w:t>
      </w:r>
      <w:r>
        <w:rPr>
          <w:rFonts w:ascii="Arial" w:hAnsi="Arial" w:cs="Arial"/>
          <w:i/>
          <w:iCs/>
          <w:highlight w:val="yellow"/>
        </w:rPr>
        <w:t xml:space="preserve"> </w:t>
      </w:r>
      <w:r w:rsidRPr="00E84C44">
        <w:rPr>
          <w:rFonts w:ascii="Arial" w:hAnsi="Arial" w:cs="Arial"/>
        </w:rPr>
        <w:t>cells following the extraction treatments.</w:t>
      </w:r>
    </w:p>
    <w:p w14:paraId="6A387AA6" w14:textId="77777777" w:rsidR="000B4812" w:rsidRDefault="000B4812" w:rsidP="002D7024">
      <w:pPr>
        <w:pStyle w:val="Body"/>
        <w:spacing w:after="0"/>
        <w:rPr>
          <w:rFonts w:ascii="Arial" w:hAnsi="Arial" w:cs="Arial"/>
          <w:b/>
          <w:bCs/>
        </w:rPr>
      </w:pPr>
    </w:p>
    <w:p w14:paraId="13C60FAB" w14:textId="77777777" w:rsidR="002D7024" w:rsidRPr="00EF5516" w:rsidRDefault="002D7024" w:rsidP="002D7024">
      <w:pPr>
        <w:pStyle w:val="Body"/>
        <w:spacing w:after="0"/>
        <w:rPr>
          <w:rFonts w:ascii="Arial" w:hAnsi="Arial" w:cs="Arial"/>
          <w:b/>
          <w:bCs/>
        </w:rPr>
      </w:pPr>
      <w:r w:rsidRPr="00EF5516">
        <w:rPr>
          <w:rFonts w:ascii="Arial" w:hAnsi="Arial" w:cs="Arial"/>
          <w:b/>
          <w:bCs/>
        </w:rPr>
        <w:t>2.3. Chemicals</w:t>
      </w:r>
    </w:p>
    <w:p w14:paraId="3053D309" w14:textId="77777777" w:rsidR="00EF5516" w:rsidRDefault="00EF5516" w:rsidP="00303C8D">
      <w:pPr>
        <w:pStyle w:val="Body"/>
        <w:rPr>
          <w:rFonts w:ascii="Arial" w:hAnsi="Arial" w:cs="Arial"/>
        </w:rPr>
      </w:pPr>
    </w:p>
    <w:p w14:paraId="1AD3D7CA" w14:textId="77777777" w:rsidR="002D7024" w:rsidRDefault="00E84C44" w:rsidP="00303C8D">
      <w:pPr>
        <w:pStyle w:val="Body"/>
        <w:rPr>
          <w:rFonts w:ascii="Arial" w:hAnsi="Arial" w:cs="Arial"/>
        </w:rPr>
      </w:pPr>
      <w:r w:rsidRPr="00E84C44">
        <w:rPr>
          <w:rFonts w:ascii="Arial" w:hAnsi="Arial" w:cs="Arial"/>
        </w:rPr>
        <w:t xml:space="preserve">Hydrochloric acid (HCl, 37% fuming; EMSURE®, ACS, ISO, Reag. Ph Eur) and acetone (99.8%, Merck, Germany) were used for the reference extraction of total astaxanthin. We used citrate buffer (0.1 M, pH 4.8) to hydrate biomass and perform enzymatic pretreatment. Commercial cellulase (100,000 U/g) and pectinase (60,000 U/g) were obtained from Sunson </w:t>
      </w:r>
      <w:r w:rsidRPr="00E84C44">
        <w:rPr>
          <w:rFonts w:ascii="Arial" w:hAnsi="Arial" w:cs="Arial"/>
        </w:rPr>
        <w:lastRenderedPageBreak/>
        <w:t>Industry Group Co., Ltd. (China) and used for enzymatic cell-wall pretreatment. We used food-grade soybean oil, rice bran oil, and sunflower oil (Tường An, Vietnam) as edible lipophilic extraction phases for preliminary carrier-oil screening. All chemicals and reagents were used as received unless otherwise stated</w:t>
      </w:r>
      <w:r w:rsidR="009378FA">
        <w:rPr>
          <w:rFonts w:ascii="Arial" w:hAnsi="Arial" w:cs="Arial"/>
        </w:rPr>
        <w:t>.</w:t>
      </w:r>
      <w:r w:rsidR="002D7024" w:rsidRPr="002D7024">
        <w:rPr>
          <w:rFonts w:ascii="Arial" w:hAnsi="Arial" w:cs="Arial"/>
        </w:rPr>
        <w:t xml:space="preserve"> </w:t>
      </w:r>
    </w:p>
    <w:p w14:paraId="4C0A19DA" w14:textId="77777777" w:rsidR="00303C8D" w:rsidRPr="00EF5516" w:rsidRDefault="00303C8D" w:rsidP="00303C8D">
      <w:pPr>
        <w:pStyle w:val="Body"/>
        <w:rPr>
          <w:rFonts w:ascii="Arial" w:hAnsi="Arial" w:cs="Arial"/>
          <w:b/>
          <w:bCs/>
        </w:rPr>
      </w:pPr>
      <w:r w:rsidRPr="00EF5516">
        <w:rPr>
          <w:rFonts w:ascii="Arial" w:hAnsi="Arial" w:cs="Arial"/>
          <w:b/>
          <w:bCs/>
        </w:rPr>
        <w:t>2.</w:t>
      </w:r>
      <w:r w:rsidR="002D7024" w:rsidRPr="00EF5516">
        <w:rPr>
          <w:rFonts w:ascii="Arial" w:hAnsi="Arial" w:cs="Arial"/>
          <w:b/>
          <w:bCs/>
        </w:rPr>
        <w:t>4</w:t>
      </w:r>
      <w:r w:rsidRPr="00EF5516">
        <w:rPr>
          <w:rFonts w:ascii="Arial" w:hAnsi="Arial" w:cs="Arial"/>
          <w:b/>
          <w:bCs/>
        </w:rPr>
        <w:t xml:space="preserve">. </w:t>
      </w:r>
      <w:r>
        <w:rPr>
          <w:rFonts w:ascii="Arial" w:hAnsi="Arial" w:cs="Arial"/>
          <w:b/>
          <w:bCs/>
          <w:highlight w:val="yellow"/>
        </w:rPr>
        <w:t>Research Methods</w:t>
      </w:r>
    </w:p>
    <w:p w14:paraId="3A8EA640" w14:textId="77777777" w:rsidR="00D93A57" w:rsidRPr="00EF5516" w:rsidRDefault="00303C8D" w:rsidP="00D93A57">
      <w:pPr>
        <w:pStyle w:val="Body"/>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.1.</w:t>
      </w:r>
      <w:r w:rsidR="000F1CCA" w:rsidRPr="00EF5516">
        <w:rPr>
          <w:b/>
          <w:bCs/>
          <w:u w:val="single"/>
        </w:rPr>
        <w:t xml:space="preserve"> </w:t>
      </w:r>
      <w:r w:rsidR="00CB56D3" w:rsidRPr="00CB56D3">
        <w:rPr>
          <w:b/>
          <w:bCs/>
          <w:u w:val="single"/>
        </w:rPr>
        <w:t>Astaxanthin Quantification and Determination of Initial Total Content</w:t>
      </w:r>
    </w:p>
    <w:p w14:paraId="0D8CA7DD" w14:textId="77777777" w:rsidR="00CB56D3" w:rsidRPr="00CB56D3" w:rsidRDefault="00CB56D3" w:rsidP="00081BA2">
      <w:pPr>
        <w:pStyle w:val="Body"/>
        <w:spacing w:after="0"/>
        <w:rPr>
          <w:rFonts w:ascii="Arial" w:hAnsi="Arial" w:cs="Arial"/>
        </w:rPr>
      </w:pPr>
      <w:r>
        <w:rPr>
          <w:rFonts w:ascii="Arial" w:hAnsi="Arial" w:cs="Arial"/>
        </w:rPr>
        <w:t xml:space="preserve">The initial total astaxanthin content of </w:t>
      </w:r>
      <w:r>
        <w:rPr>
          <w:rFonts w:ascii="Arial" w:hAnsi="Arial" w:cs="Arial"/>
          <w:highlight w:val="yellow"/>
        </w:rPr>
        <w:t>standardised</w:t>
      </w:r>
      <w:r>
        <w:rPr>
          <w:rFonts w:ascii="Arial" w:hAnsi="Arial" w:cs="Arial"/>
        </w:rPr>
        <w:t xml:space="preserve"> dried </w:t>
      </w:r>
      <w:r w:rsidR="00CC3C77" w:rsidRPr="00CC3C77">
        <w:rPr>
          <w:rFonts w:ascii="Arial" w:hAnsi="Arial" w:cs="Arial"/>
          <w:i/>
          <w:iCs/>
        </w:rPr>
        <w:t>H. pluvialis</w:t>
      </w:r>
      <w:r>
        <w:rPr>
          <w:rFonts w:ascii="Arial" w:hAnsi="Arial" w:cs="Arial"/>
          <w:i/>
          <w:iCs/>
          <w:highlight w:val="yellow"/>
        </w:rPr>
        <w:t xml:space="preserve"> </w:t>
      </w:r>
      <w:r w:rsidRPr="00CB56D3">
        <w:rPr>
          <w:rFonts w:ascii="Arial" w:hAnsi="Arial" w:cs="Arial"/>
        </w:rPr>
        <w:t>biomass was determined as the reference value (</w:t>
      </w:r>
      <w:r w:rsidR="00081BA2">
        <w:rPr>
          <w:rFonts w:ascii="Arial" w:hAnsi="Arial" w:cs="Arial"/>
        </w:rPr>
        <w:t>M</w:t>
      </w:r>
      <w:r w:rsidR="00081BA2" w:rsidRPr="00081BA2">
        <w:rPr>
          <w:rFonts w:ascii="Arial" w:hAnsi="Arial" w:cs="Arial"/>
          <w:vertAlign w:val="subscript"/>
        </w:rPr>
        <w:t>total</w:t>
      </w:r>
      <w:r>
        <w:rPr>
          <w:rFonts w:ascii="Arial" w:hAnsi="Arial" w:cs="Arial"/>
        </w:rPr>
        <w:t xml:space="preserve">) for subsequent recovery calculations. </w:t>
      </w:r>
      <w:r>
        <w:rPr>
          <w:rFonts w:ascii="Arial" w:hAnsi="Arial" w:cs="Arial"/>
          <w:highlight w:val="yellow"/>
        </w:rPr>
        <w:t>Briefly, 10 mg of dried biomass</w:t>
      </w:r>
      <w:r>
        <w:rPr>
          <w:rFonts w:ascii="Arial" w:hAnsi="Arial" w:cs="Arial"/>
        </w:rPr>
        <w:t xml:space="preserve"> was treated with 1.0 mL of 4 M HCl at 70 °C for 5 min, cooled to room temperature, and repeatedly extracted with acetone. Each extraction consisted of vortex mixing, 10 min ultrasonication, and centrifugation until the residual biomass was visibly </w:t>
      </w:r>
      <w:r>
        <w:rPr>
          <w:rFonts w:ascii="Arial" w:hAnsi="Arial" w:cs="Arial"/>
          <w:highlight w:val="yellow"/>
        </w:rPr>
        <w:t>decolourised</w:t>
      </w:r>
      <w:r>
        <w:rPr>
          <w:rFonts w:ascii="Arial" w:hAnsi="Arial" w:cs="Arial"/>
        </w:rPr>
        <w:t>. The combined acetone extracts were collected for spectrophotometric analysis.</w:t>
      </w:r>
    </w:p>
    <w:p w14:paraId="68108F1E" w14:textId="77777777" w:rsidR="00CB56D3" w:rsidRPr="00CB56D3" w:rsidRDefault="00081BA2" w:rsidP="00081BA2">
      <w:pPr>
        <w:pStyle w:val="Body"/>
        <w:spacing w:after="0"/>
        <w:rPr>
          <w:rFonts w:ascii="Arial" w:hAnsi="Arial" w:cs="Arial"/>
        </w:rPr>
      </w:pPr>
      <w:r>
        <w:rPr>
          <w:rFonts w:ascii="Arial" w:hAnsi="Arial" w:cs="Arial"/>
        </w:rPr>
        <w:t>To determine</w:t>
      </w:r>
      <w:r w:rsidR="00CB56D3" w:rsidRPr="00CB56D3">
        <w:rPr>
          <w:rFonts w:ascii="Arial" w:hAnsi="Arial" w:cs="Arial"/>
        </w:rPr>
        <w:t xml:space="preserve"> astaxanthin in the reference acetone extract, 100 µL of the extract was diluted with 4.90 mL acetone to a final volume of 5.00 mL (dilution factor = 50). Acetone was used as the spectrophotometric blank.</w:t>
      </w:r>
    </w:p>
    <w:p w14:paraId="5E4F56D3" w14:textId="77777777" w:rsidR="00CB56D3" w:rsidRPr="00CB56D3" w:rsidRDefault="00CB56D3" w:rsidP="00081BA2">
      <w:pPr>
        <w:pStyle w:val="Body"/>
        <w:spacing w:after="0"/>
        <w:rPr>
          <w:rFonts w:ascii="Arial" w:hAnsi="Arial" w:cs="Arial"/>
        </w:rPr>
      </w:pPr>
    </w:p>
    <w:p w14:paraId="24C2D032" w14:textId="77777777" w:rsidR="00CB56D3" w:rsidRPr="00CB56D3" w:rsidRDefault="00CB56D3" w:rsidP="00081BA2">
      <w:pPr>
        <w:pStyle w:val="Body"/>
        <w:spacing w:after="0"/>
        <w:rPr>
          <w:rFonts w:ascii="Arial" w:hAnsi="Arial" w:cs="Arial"/>
        </w:rPr>
      </w:pPr>
      <w:r w:rsidRPr="00CB56D3">
        <w:rPr>
          <w:rFonts w:ascii="Arial" w:hAnsi="Arial" w:cs="Arial"/>
        </w:rPr>
        <w:t>For astaxanthin determination in the recovered soybean-oil phase, 100 µL of the collected oil extract was diluted with 4.90 mL acetone to a final volume of 5.00 mL (dilution factor = 50). A matrix-matched blank consisting of 100 µL of blank soybean oil and 4.90 mL acetone was prepared using the same dilution procedure to correct for background absorbance arising from the oil matrix. Absorption spectra were scanned before quantitative measurements, and absorbance was recorded at 475 nm.</w:t>
      </w:r>
    </w:p>
    <w:p w14:paraId="60B9C516" w14:textId="77777777" w:rsidR="00CB56D3" w:rsidRPr="00CB56D3" w:rsidRDefault="00CB56D3" w:rsidP="00081BA2">
      <w:pPr>
        <w:pStyle w:val="Body"/>
        <w:spacing w:after="0"/>
        <w:rPr>
          <w:rFonts w:ascii="Arial" w:hAnsi="Arial" w:cs="Arial"/>
        </w:rPr>
      </w:pPr>
    </w:p>
    <w:p w14:paraId="51CABC4D" w14:textId="77777777" w:rsidR="00CB56D3" w:rsidRPr="00CB56D3" w:rsidRDefault="00CB56D3" w:rsidP="00081BA2">
      <w:pPr>
        <w:pStyle w:val="Body"/>
        <w:spacing w:after="0"/>
        <w:rPr>
          <w:rFonts w:ascii="Arial" w:hAnsi="Arial" w:cs="Arial"/>
        </w:rPr>
      </w:pPr>
      <w:r w:rsidRPr="00CB56D3">
        <w:rPr>
          <w:rFonts w:ascii="Arial" w:hAnsi="Arial" w:cs="Arial"/>
        </w:rPr>
        <w:t>Astaxanthin content was spectrophotometrically estimated using the specific absorption coefficient method with (</w:t>
      </w:r>
      <m:oMath>
        <m:sSubSup>
          <m:sSubSupPr>
            <m:ctrlPr>
              <w:rPr>
                <w:rFonts w:ascii="Cambria Math" w:hAnsi="Cambria Math" w:cs="Arial"/>
                <w:i/>
              </w:rPr>
            </m:ctrlPr>
          </m:sSubSupPr>
          <m:e>
            <m:r>
              <w:rPr>
                <w:rFonts w:ascii="Cambria Math" w:hAnsi="Cambria Math" w:cs="Arial"/>
              </w:rPr>
              <m:t>A</m:t>
            </m:r>
          </m:e>
          <m:sub>
            <m:r>
              <w:rPr>
                <w:rFonts w:ascii="Cambria Math" w:hAnsi="Cambria Math" w:cs="Arial"/>
              </w:rPr>
              <m:t>1cm</m:t>
            </m:r>
          </m:sub>
          <m:sup>
            <m:r>
              <w:rPr>
                <w:rFonts w:ascii="Cambria Math" w:hAnsi="Cambria Math" w:cs="Arial"/>
              </w:rPr>
              <m:t>1%</m:t>
            </m:r>
          </m:sup>
        </m:sSubSup>
      </m:oMath>
      <w:r w:rsidRPr="00CB56D3">
        <w:rPr>
          <w:rFonts w:ascii="Arial" w:hAnsi="Arial" w:cs="Arial"/>
        </w:rPr>
        <w:t>=2100) for astaxanthin in acetone. The astaxanthin content of the dried biomass was calculated as:</w:t>
      </w:r>
    </w:p>
    <w:p w14:paraId="69A6B19C" w14:textId="77777777" w:rsidR="00CB56D3" w:rsidRPr="00CB56D3" w:rsidRDefault="00CB56D3" w:rsidP="00081BA2">
      <w:pPr>
        <w:pStyle w:val="Body"/>
        <w:spacing w:after="0"/>
        <w:rPr>
          <w:rFonts w:ascii="Arial" w:hAnsi="Arial" w:cs="Arial"/>
        </w:rPr>
      </w:pPr>
    </w:p>
    <w:p w14:paraId="3AF88D22" w14:textId="77777777" w:rsidR="00CB56D3" w:rsidRPr="00081BA2" w:rsidRDefault="00F63526" w:rsidP="00081BA2">
      <w:pPr>
        <w:pStyle w:val="Body"/>
        <w:spacing w:after="0"/>
        <w:rPr>
          <w:rFonts w:ascii="Arial" w:hAnsi="Arial" w:cs="Arial"/>
        </w:rPr>
      </w:pPr>
      <m:oMathPara>
        <m:oMath>
          <m:sSub>
            <m:sSubPr>
              <m:ctrlPr>
                <w:rPr>
                  <w:rFonts w:ascii="Cambria Math" w:hAnsi="Cambria Math" w:cs="Arial"/>
                  <w:i/>
                </w:rPr>
              </m:ctrlPr>
            </m:sSubPr>
            <m:e>
              <m:r>
                <w:rPr>
                  <w:rFonts w:ascii="Cambria Math" w:hAnsi="Cambria Math" w:cs="Arial"/>
                </w:rPr>
                <m:t>M</m:t>
              </m:r>
            </m:e>
            <m:sub>
              <m:r>
                <w:rPr>
                  <w:rFonts w:ascii="Cambria Math" w:hAnsi="Cambria Math" w:cs="Arial"/>
                </w:rPr>
                <m:t>total</m:t>
              </m:r>
            </m:sub>
          </m:sSub>
          <m:r>
            <w:rPr>
              <w:rFonts w:ascii="Cambria Math" w:hAnsi="Cambria Math" w:cs="Arial"/>
            </w:rPr>
            <m:t>=</m:t>
          </m:r>
          <m:f>
            <m:fPr>
              <m:ctrlPr>
                <w:rPr>
                  <w:rFonts w:ascii="Cambria Math" w:hAnsi="Cambria Math" w:cs="Arial"/>
                  <w:i/>
                </w:rPr>
              </m:ctrlPr>
            </m:fPr>
            <m:num>
              <m:r>
                <w:rPr>
                  <w:rFonts w:ascii="Cambria Math" w:hAnsi="Cambria Math" w:cs="Arial"/>
                </w:rPr>
                <m:t>A</m:t>
              </m:r>
              <m:r>
                <w:rPr>
                  <w:rFonts w:ascii="Cambria Math" w:hAnsi="Cambria Math" w:cs="Arial"/>
                </w:rPr>
                <m:t>×</m:t>
              </m:r>
              <m:r>
                <w:rPr>
                  <w:rFonts w:ascii="Cambria Math" w:hAnsi="Cambria Math" w:cs="Arial"/>
                </w:rPr>
                <m:t>V</m:t>
              </m:r>
              <m:r>
                <w:rPr>
                  <w:rFonts w:ascii="Cambria Math" w:hAnsi="Cambria Math" w:cs="Arial"/>
                </w:rPr>
                <m:t>×</m:t>
              </m:r>
              <m:r>
                <w:rPr>
                  <w:rFonts w:ascii="Cambria Math" w:hAnsi="Cambria Math" w:cs="Arial"/>
                </w:rPr>
                <m:t>D</m:t>
              </m:r>
              <m:r>
                <w:rPr>
                  <w:rFonts w:ascii="Cambria Math" w:hAnsi="Cambria Math" w:cs="Arial"/>
                </w:rPr>
                <m:t>×10</m:t>
              </m:r>
            </m:num>
            <m:den>
              <m:sSubSup>
                <m:sSubSupPr>
                  <m:ctrlPr>
                    <w:rPr>
                      <w:rFonts w:ascii="Cambria Math" w:hAnsi="Cambria Math" w:cs="Arial"/>
                      <w:i/>
                    </w:rPr>
                  </m:ctrlPr>
                </m:sSubSupPr>
                <m:e>
                  <m:r>
                    <w:rPr>
                      <w:rFonts w:ascii="Cambria Math" w:hAnsi="Cambria Math" w:cs="Arial"/>
                    </w:rPr>
                    <m:t>A</m:t>
                  </m:r>
                </m:e>
                <m:sub>
                  <m:r>
                    <w:rPr>
                      <w:rFonts w:ascii="Cambria Math" w:hAnsi="Cambria Math" w:cs="Arial"/>
                    </w:rPr>
                    <m:t>1</m:t>
                  </m:r>
                  <m:r>
                    <w:rPr>
                      <w:rFonts w:ascii="Cambria Math" w:hAnsi="Cambria Math" w:cs="Arial"/>
                    </w:rPr>
                    <m:t>cm</m:t>
                  </m:r>
                </m:sub>
                <m:sup>
                  <m:r>
                    <w:rPr>
                      <w:rFonts w:ascii="Cambria Math" w:hAnsi="Cambria Math" w:cs="Arial"/>
                    </w:rPr>
                    <m:t>1%</m:t>
                  </m:r>
                </m:sup>
              </m:sSubSup>
              <m:r>
                <w:rPr>
                  <w:rFonts w:ascii="Cambria Math" w:hAnsi="Cambria Math" w:cs="Arial"/>
                </w:rPr>
                <m:t>×</m:t>
              </m:r>
              <m:r>
                <w:rPr>
                  <w:rFonts w:ascii="Cambria Math" w:hAnsi="Cambria Math" w:cs="Arial"/>
                </w:rPr>
                <m:t>m</m:t>
              </m:r>
            </m:den>
          </m:f>
        </m:oMath>
      </m:oMathPara>
    </w:p>
    <w:p w14:paraId="6C4B148F" w14:textId="77777777" w:rsidR="00081BA2" w:rsidRDefault="00081BA2" w:rsidP="00081BA2">
      <w:pPr>
        <w:pStyle w:val="Body"/>
        <w:spacing w:after="0"/>
        <w:rPr>
          <w:rFonts w:ascii="Arial" w:hAnsi="Arial" w:cs="Arial"/>
        </w:rPr>
      </w:pPr>
      <w:r>
        <w:rPr>
          <w:rFonts w:ascii="Arial" w:hAnsi="Arial" w:cs="Arial"/>
          <w:highlight w:val="yellow"/>
        </w:rPr>
        <w:t>where (A) is</w:t>
      </w:r>
      <w:r>
        <w:rPr>
          <w:rFonts w:ascii="Arial" w:hAnsi="Arial" w:cs="Arial"/>
        </w:rPr>
        <w:t xml:space="preserve"> the absorbance at 475 nm, (V) is the final extract volume (mL), (D) is the dilution factor, (</w:t>
      </w:r>
      <m:oMath>
        <m:sSubSup>
          <m:sSubSupPr>
            <m:ctrlPr>
              <w:rPr>
                <w:rFonts w:ascii="Cambria Math" w:hAnsi="Cambria Math" w:cs="Arial"/>
                <w:i/>
              </w:rPr>
            </m:ctrlPr>
          </m:sSubSupPr>
          <m:e>
            <m:r>
              <w:rPr>
                <w:rFonts w:ascii="Cambria Math" w:hAnsi="Cambria Math" w:cs="Arial"/>
              </w:rPr>
              <m:t>A</m:t>
            </m:r>
          </m:e>
          <m:sub>
            <m:r>
              <w:rPr>
                <w:rFonts w:ascii="Cambria Math" w:hAnsi="Cambria Math" w:cs="Arial"/>
              </w:rPr>
              <m:t>1cm</m:t>
            </m:r>
          </m:sub>
          <m:sup>
            <m:r>
              <w:rPr>
                <w:rFonts w:ascii="Cambria Math" w:hAnsi="Cambria Math" w:cs="Arial"/>
              </w:rPr>
              <m:t>1%</m:t>
            </m:r>
          </m:sup>
        </m:sSubSup>
      </m:oMath>
      <w:r w:rsidR="00CB56D3" w:rsidRPr="00CB56D3">
        <w:rPr>
          <w:rFonts w:ascii="Arial" w:hAnsi="Arial" w:cs="Arial"/>
        </w:rPr>
        <w:t>) is the specific absorption coefficient of astaxanthin in acetone (2100), and (m) is the dry biomass mass (mg). Eight independent determinations (n=8) were performed, and the mean value was used as (</w:t>
      </w:r>
      <w:r>
        <w:rPr>
          <w:rFonts w:ascii="Arial" w:hAnsi="Arial" w:cs="Arial"/>
        </w:rPr>
        <w:t>M</w:t>
      </w:r>
      <w:r w:rsidRPr="00081BA2">
        <w:rPr>
          <w:rFonts w:ascii="Arial" w:hAnsi="Arial" w:cs="Arial"/>
          <w:vertAlign w:val="subscript"/>
        </w:rPr>
        <w:t>total</w:t>
      </w:r>
      <w:r>
        <w:rPr>
          <w:rFonts w:ascii="Arial" w:hAnsi="Arial" w:cs="Arial"/>
        </w:rPr>
        <w:t>). A</w:t>
      </w:r>
      <w:r w:rsidR="00CB56D3" w:rsidRPr="00CB56D3">
        <w:rPr>
          <w:rFonts w:ascii="Arial" w:hAnsi="Arial" w:cs="Arial"/>
        </w:rPr>
        <w:t>staxanthin recovery from the oil phase was subsequently calculated relative to (</w:t>
      </w:r>
      <w:r>
        <w:rPr>
          <w:rFonts w:ascii="Arial" w:hAnsi="Arial" w:cs="Arial"/>
        </w:rPr>
        <w:t>M</w:t>
      </w:r>
      <w:r w:rsidRPr="00081BA2">
        <w:rPr>
          <w:rFonts w:ascii="Arial" w:hAnsi="Arial" w:cs="Arial"/>
          <w:vertAlign w:val="subscript"/>
        </w:rPr>
        <w:t>total</w:t>
      </w:r>
      <w:r w:rsidRPr="00081BA2">
        <w:rPr>
          <w:rFonts w:ascii="Arial" w:hAnsi="Arial" w:cs="Arial"/>
        </w:rPr>
        <w:t>)</w:t>
      </w:r>
      <w:r>
        <w:rPr>
          <w:rFonts w:ascii="Arial" w:hAnsi="Arial" w:cs="Arial"/>
        </w:rPr>
        <w:t>.</w:t>
      </w:r>
    </w:p>
    <w:p w14:paraId="1760AF88" w14:textId="77777777" w:rsidR="00081BA2" w:rsidRDefault="00081BA2" w:rsidP="00081BA2">
      <w:pPr>
        <w:pStyle w:val="Body"/>
        <w:spacing w:after="0"/>
        <w:rPr>
          <w:rFonts w:ascii="Arial" w:hAnsi="Arial" w:cs="Arial"/>
        </w:rPr>
      </w:pPr>
    </w:p>
    <w:p w14:paraId="733AB85D" w14:textId="77777777" w:rsidR="009B6767" w:rsidRPr="00EF5516" w:rsidRDefault="00303C8D" w:rsidP="00081BA2">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.2. Green Extraction Protocol</w:t>
      </w:r>
    </w:p>
    <w:p w14:paraId="2EBFBE53" w14:textId="77777777" w:rsidR="00081BA2" w:rsidRDefault="00081BA2" w:rsidP="00081BA2">
      <w:pPr>
        <w:pStyle w:val="Body"/>
        <w:spacing w:after="0"/>
        <w:rPr>
          <w:rFonts w:ascii="Arial" w:eastAsia="Arial" w:hAnsi="Arial" w:cs="Arial"/>
        </w:rPr>
      </w:pPr>
    </w:p>
    <w:p w14:paraId="0CF5376B" w14:textId="77777777" w:rsidR="00F35F13" w:rsidRPr="00F35F13" w:rsidRDefault="00F35F13" w:rsidP="00F35F13">
      <w:pPr>
        <w:pStyle w:val="Body"/>
        <w:spacing w:after="0"/>
        <w:rPr>
          <w:rFonts w:ascii="Arial" w:eastAsia="Arial" w:hAnsi="Arial" w:cs="Arial"/>
        </w:rPr>
      </w:pPr>
      <w:r>
        <w:rPr>
          <w:rFonts w:ascii="Arial" w:eastAsia="Arial" w:hAnsi="Arial" w:cs="Arial"/>
        </w:rPr>
        <w:t xml:space="preserve">Six extraction treatments were evaluated: Control (no enzyme, no ultrasound), E1 (cellulase), E2 (pectinase), E3 (cellulase–pectinase), U (ultrasound alone), and EU (enzyme pretreatment followed by ultrasound). For the E3 and EU treatments, cellulase and pectinase were initially combined at a 50:50 (w/w) ratio as a balanced formulation for the preliminary treatment comparison; the effect of enzyme composition was subsequently evaluated systematically in the single-factor screening experiment. For each treatment, 10 mg of </w:t>
      </w:r>
      <w:r>
        <w:rPr>
          <w:rFonts w:ascii="Arial" w:eastAsia="Arial" w:hAnsi="Arial" w:cs="Arial"/>
          <w:highlight w:val="yellow"/>
        </w:rPr>
        <w:t>standardised</w:t>
      </w:r>
      <w:r>
        <w:rPr>
          <w:rFonts w:ascii="Arial" w:eastAsia="Arial" w:hAnsi="Arial" w:cs="Arial"/>
        </w:rPr>
        <w:t xml:space="preserve"> dried </w:t>
      </w:r>
      <w:r w:rsidR="00CC3C77" w:rsidRPr="00CC3C77">
        <w:rPr>
          <w:rFonts w:ascii="Arial" w:eastAsia="Arial" w:hAnsi="Arial" w:cs="Arial"/>
          <w:i/>
          <w:iCs/>
        </w:rPr>
        <w:t>H. pluvialis</w:t>
      </w:r>
      <w:r>
        <w:rPr>
          <w:rFonts w:ascii="Arial" w:eastAsia="Arial" w:hAnsi="Arial" w:cs="Arial"/>
          <w:i/>
          <w:iCs/>
          <w:highlight w:val="yellow"/>
        </w:rPr>
        <w:t xml:space="preserve"> </w:t>
      </w:r>
      <w:r w:rsidRPr="00F35F13">
        <w:rPr>
          <w:rFonts w:ascii="Arial" w:eastAsia="Arial" w:hAnsi="Arial" w:cs="Arial"/>
        </w:rPr>
        <w:t>biomass was dispersed in 1.0 mL of 0.1 M citrate buffer (pH 4.8).</w:t>
      </w:r>
    </w:p>
    <w:p w14:paraId="365BBF5D" w14:textId="77777777" w:rsidR="00F35F13" w:rsidRDefault="00F35F13" w:rsidP="00F35F13">
      <w:pPr>
        <w:pStyle w:val="Body"/>
        <w:spacing w:after="0"/>
        <w:rPr>
          <w:rFonts w:ascii="Arial" w:eastAsia="Arial" w:hAnsi="Arial" w:cs="Arial"/>
        </w:rPr>
      </w:pPr>
    </w:p>
    <w:p w14:paraId="78C9352A" w14:textId="77777777" w:rsidR="00F35F13" w:rsidRPr="00F35F13" w:rsidRDefault="00F35F13" w:rsidP="00F35F13">
      <w:pPr>
        <w:pStyle w:val="Body"/>
        <w:spacing w:after="0"/>
        <w:rPr>
          <w:rFonts w:ascii="Arial" w:eastAsia="Arial" w:hAnsi="Arial" w:cs="Arial"/>
        </w:rPr>
      </w:pPr>
      <w:r w:rsidRPr="00F35F13">
        <w:rPr>
          <w:rFonts w:ascii="Arial" w:eastAsia="Arial" w:hAnsi="Arial" w:cs="Arial"/>
        </w:rPr>
        <w:t xml:space="preserve">For the preliminary treatment-comparison experiment, the enzyme-containing groups were evaluated at a total enzyme concentration of 1% (w/w), calculated as the total mass of enzyme preparation relative to the dry biomass mass, and the ultrasound-containing groups were sonicated for 15 min. Enzyme-containing treatments were incubated at 40 °C for 30 min, whereas the Control and U treatments received no enzyme. After enzymatic </w:t>
      </w:r>
      <w:r w:rsidRPr="00F35F13">
        <w:rPr>
          <w:rFonts w:ascii="Arial" w:eastAsia="Arial" w:hAnsi="Arial" w:cs="Arial"/>
        </w:rPr>
        <w:lastRenderedPageBreak/>
        <w:t>pretreatment/hydration, the aqueous phase was removed, and 1.0 mL of food-grade soybean oil was added. Control, E1, E2, and E3 were extracted without ultrasound, whereas U and EU received ultrasound treatment.</w:t>
      </w:r>
    </w:p>
    <w:p w14:paraId="5A09790D" w14:textId="77777777" w:rsidR="00F35F13" w:rsidRDefault="00F35F13" w:rsidP="00F35F13">
      <w:pPr>
        <w:pStyle w:val="Body"/>
        <w:spacing w:after="0"/>
        <w:rPr>
          <w:rFonts w:ascii="Arial" w:eastAsia="Arial" w:hAnsi="Arial" w:cs="Arial"/>
        </w:rPr>
      </w:pPr>
    </w:p>
    <w:p w14:paraId="3875DE09" w14:textId="77777777" w:rsidR="000159AC" w:rsidRDefault="00F35F13" w:rsidP="00F35F13">
      <w:pPr>
        <w:pStyle w:val="Body"/>
        <w:spacing w:after="0"/>
        <w:rPr>
          <w:rFonts w:ascii="Arial" w:eastAsia="Arial" w:hAnsi="Arial" w:cs="Arial"/>
        </w:rPr>
      </w:pPr>
      <w:r w:rsidRPr="00F35F13">
        <w:rPr>
          <w:rFonts w:ascii="Arial" w:eastAsia="Arial" w:hAnsi="Arial" w:cs="Arial"/>
        </w:rPr>
        <w:t>Ultrasonication was performed using an Elmasonic Select 100 ultrasonic bath (Elma Schmidbauer</w:t>
      </w:r>
      <w:r>
        <w:rPr>
          <w:rFonts w:ascii="Arial" w:eastAsia="Arial" w:hAnsi="Arial" w:cs="Arial"/>
        </w:rPr>
        <w:t xml:space="preserve"> GmbH, Germany) operating at a nominal frequency of 37 kHz and a manufacturer-rated effective ultrasonic power of 150 W (±10%; maximum peak power 600 W). </w:t>
      </w:r>
      <w:r>
        <w:rPr>
          <w:rFonts w:ascii="Arial" w:eastAsia="Arial" w:hAnsi="Arial" w:cs="Arial"/>
          <w:highlight w:val="yellow"/>
        </w:rPr>
        <w:t>These values describe the instrument rating rather than the acoustic power delivered directly to each sample.</w:t>
      </w:r>
      <w:r>
        <w:rPr>
          <w:rFonts w:ascii="Arial" w:eastAsia="Arial" w:hAnsi="Arial" w:cs="Arial"/>
        </w:rPr>
        <w:t xml:space="preserve"> Following extraction, samples were centrifuged at 10,000 rpm for 3 min at room temperature. The upper oil phase was collected, protected from light, and </w:t>
      </w:r>
      <w:r>
        <w:rPr>
          <w:rFonts w:ascii="Arial" w:eastAsia="Arial" w:hAnsi="Arial" w:cs="Arial"/>
          <w:highlight w:val="yellow"/>
        </w:rPr>
        <w:t>analysed</w:t>
      </w:r>
      <w:r>
        <w:rPr>
          <w:rFonts w:ascii="Arial" w:eastAsia="Arial" w:hAnsi="Arial" w:cs="Arial"/>
        </w:rPr>
        <w:t xml:space="preserve"> using the UV–</w:t>
      </w:r>
      <w:r w:rsidRPr="00F35F13">
        <w:rPr>
          <w:rFonts w:ascii="Arial" w:eastAsia="Arial" w:hAnsi="Arial" w:cs="Arial"/>
        </w:rPr>
        <w:t>Vis procedure described above. Each treatment was performed in triplicate (n = 3)</w:t>
      </w:r>
      <w:r>
        <w:rPr>
          <w:rFonts w:ascii="Arial" w:eastAsia="Arial" w:hAnsi="Arial" w:cs="Arial"/>
        </w:rPr>
        <w:t>.</w:t>
      </w:r>
    </w:p>
    <w:p w14:paraId="1CD3D1D8" w14:textId="77777777" w:rsidR="00F35F13" w:rsidRDefault="00F35F13" w:rsidP="00F35F13">
      <w:pPr>
        <w:pStyle w:val="Body"/>
        <w:spacing w:after="0"/>
        <w:rPr>
          <w:rFonts w:ascii="Arial" w:eastAsia="Arial" w:hAnsi="Arial" w:cs="Arial"/>
        </w:rPr>
      </w:pPr>
    </w:p>
    <w:p w14:paraId="05260564" w14:textId="77777777" w:rsidR="00154511" w:rsidRPr="00EF5516" w:rsidRDefault="00154511" w:rsidP="000159AC">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.3. Single-Factor Experimental Screening</w:t>
      </w:r>
    </w:p>
    <w:p w14:paraId="1EA99077" w14:textId="77777777" w:rsidR="00336B3A" w:rsidRDefault="00336B3A" w:rsidP="00336B3A">
      <w:pPr>
        <w:pStyle w:val="Body"/>
        <w:spacing w:after="0"/>
        <w:rPr>
          <w:rFonts w:ascii="Arial" w:hAnsi="Arial" w:cs="Arial"/>
        </w:rPr>
      </w:pPr>
    </w:p>
    <w:p w14:paraId="6A17F57A" w14:textId="77777777" w:rsidR="00F35F13" w:rsidRDefault="00F35F13" w:rsidP="00F35F13">
      <w:pPr>
        <w:pStyle w:val="Body"/>
        <w:spacing w:after="0"/>
        <w:rPr>
          <w:rFonts w:ascii="Arial" w:eastAsia="Arial" w:hAnsi="Arial" w:cs="Arial"/>
        </w:rPr>
      </w:pPr>
      <w:r>
        <w:rPr>
          <w:rFonts w:ascii="Arial" w:eastAsia="Arial" w:hAnsi="Arial" w:cs="Arial"/>
        </w:rPr>
        <w:t xml:space="preserve">Two preliminary one-factor screening experiments were conducted before response-surface </w:t>
      </w:r>
      <w:r>
        <w:rPr>
          <w:rFonts w:ascii="Arial" w:eastAsia="Arial" w:hAnsi="Arial" w:cs="Arial"/>
          <w:highlight w:val="yellow"/>
        </w:rPr>
        <w:t>modelling</w:t>
      </w:r>
      <w:r>
        <w:rPr>
          <w:rFonts w:ascii="Arial" w:eastAsia="Arial" w:hAnsi="Arial" w:cs="Arial"/>
        </w:rPr>
        <w:t>. Unless otherwise specified, the screening experiments used 10 mg of dried biomass, 1.0 mL of 0.1 M citrate buffer (pH 4.8), enzymatic incubation at 40 °C for 30 min, a total enzyme concentration of 2% (w/w, relative to dry biomass), 35 min of sonication, and 1.0 mL of oil.</w:t>
      </w:r>
    </w:p>
    <w:p w14:paraId="343137C4" w14:textId="77777777" w:rsidR="00F35F13" w:rsidRDefault="00F35F13" w:rsidP="00F35F13">
      <w:pPr>
        <w:pStyle w:val="Body"/>
        <w:spacing w:after="0"/>
        <w:rPr>
          <w:rFonts w:ascii="Arial" w:eastAsia="Arial" w:hAnsi="Arial" w:cs="Arial"/>
        </w:rPr>
      </w:pPr>
    </w:p>
    <w:p w14:paraId="5F352A00" w14:textId="77777777" w:rsidR="00F35F13" w:rsidRDefault="00F35F13" w:rsidP="00F35F13">
      <w:pPr>
        <w:pStyle w:val="Body"/>
        <w:spacing w:after="0"/>
        <w:rPr>
          <w:rFonts w:ascii="Arial" w:eastAsia="Arial" w:hAnsi="Arial" w:cs="Arial"/>
        </w:rPr>
      </w:pPr>
      <w:r w:rsidRPr="00F35F13">
        <w:rPr>
          <w:rFonts w:ascii="Arial" w:eastAsia="Arial" w:hAnsi="Arial" w:cs="Arial"/>
        </w:rPr>
        <w:t>Carrier-oil screening. Soybean oil, sunflower oil, and rice-bran oil were compared under otherwise identical extraction conditions. Astaxanthin concentration and recovery were determined for each oil, and the best-performing oil among those tested was selected for subsequent experiments.</w:t>
      </w:r>
    </w:p>
    <w:p w14:paraId="15992D00" w14:textId="77777777" w:rsidR="00F35F13" w:rsidRDefault="00F35F13" w:rsidP="00F35F13">
      <w:pPr>
        <w:pStyle w:val="Body"/>
        <w:spacing w:after="0"/>
        <w:rPr>
          <w:rFonts w:ascii="Arial" w:eastAsia="Arial" w:hAnsi="Arial" w:cs="Arial"/>
        </w:rPr>
      </w:pPr>
    </w:p>
    <w:p w14:paraId="30601B2A" w14:textId="77777777" w:rsidR="000159AC" w:rsidRPr="00F35F13" w:rsidRDefault="00F35F13" w:rsidP="00F35F13">
      <w:pPr>
        <w:pStyle w:val="Body"/>
        <w:spacing w:after="0"/>
        <w:rPr>
          <w:rFonts w:ascii="Arial" w:eastAsia="Arial" w:hAnsi="Arial" w:cs="Arial"/>
        </w:rPr>
      </w:pPr>
      <w:r w:rsidRPr="00F35F13">
        <w:rPr>
          <w:rFonts w:ascii="Arial" w:eastAsia="Arial" w:hAnsi="Arial" w:cs="Arial"/>
        </w:rPr>
        <w:t xml:space="preserve">Binary enzyme-ratio screening. </w:t>
      </w:r>
      <w:r>
        <w:rPr>
          <w:rFonts w:ascii="Arial" w:eastAsia="Arial" w:hAnsi="Arial" w:cs="Arial"/>
          <w:highlight w:val="yellow"/>
        </w:rPr>
        <w:t>Five cellulase–pectinase formulations</w:t>
      </w:r>
      <w:r>
        <w:rPr>
          <w:rFonts w:ascii="Arial" w:eastAsia="Arial" w:hAnsi="Arial" w:cs="Arial"/>
        </w:rPr>
        <w:t xml:space="preserve"> (0:100, 25:75, 50:50, 75:25, and 100:0, w/w) were evaluated while the total enzyme concentration was maintained at 2% (w/w, relative to dry biomass). The formulation providing the highest astaxanthin recovery among those tested was selected for the subsequent response-surface experiments.</w:t>
      </w:r>
    </w:p>
    <w:p w14:paraId="71FEDCA4" w14:textId="77777777" w:rsidR="00F35F13" w:rsidRDefault="00F35F13" w:rsidP="00336B3A">
      <w:pPr>
        <w:pStyle w:val="Body"/>
        <w:spacing w:after="0"/>
        <w:rPr>
          <w:rFonts w:ascii="Arial" w:hAnsi="Arial" w:cs="Arial"/>
          <w:b/>
          <w:bCs/>
          <w:u w:val="single"/>
        </w:rPr>
      </w:pPr>
    </w:p>
    <w:p w14:paraId="59637D3B" w14:textId="77777777" w:rsidR="00303C8D" w:rsidRPr="00EF5516" w:rsidRDefault="00303C8D" w:rsidP="00336B3A">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 xml:space="preserve">.4. </w:t>
      </w:r>
      <w:r>
        <w:rPr>
          <w:rFonts w:ascii="Arial" w:hAnsi="Arial" w:cs="Arial"/>
          <w:b/>
          <w:bCs/>
          <w:u w:val="single"/>
        </w:rPr>
        <w:t xml:space="preserve">Response Surface </w:t>
      </w:r>
      <w:r>
        <w:rPr>
          <w:rFonts w:ascii="Arial" w:hAnsi="Arial" w:cs="Arial"/>
          <w:b/>
          <w:bCs/>
          <w:highlight w:val="yellow"/>
          <w:u w:val="single"/>
        </w:rPr>
        <w:t>Modelling</w:t>
      </w:r>
      <w:r>
        <w:rPr>
          <w:rFonts w:ascii="Arial" w:hAnsi="Arial" w:cs="Arial"/>
          <w:b/>
          <w:bCs/>
          <w:u w:val="single"/>
        </w:rPr>
        <w:t xml:space="preserve"> and Validation</w:t>
      </w:r>
    </w:p>
    <w:p w14:paraId="58C831CD" w14:textId="77777777" w:rsidR="00F35F13" w:rsidRDefault="00F35F13" w:rsidP="00336B3A">
      <w:pPr>
        <w:pStyle w:val="Body"/>
        <w:spacing w:after="0"/>
        <w:rPr>
          <w:rFonts w:ascii="Arial" w:hAnsi="Arial" w:cs="Arial"/>
        </w:rPr>
      </w:pPr>
    </w:p>
    <w:p w14:paraId="132B587F" w14:textId="77777777" w:rsidR="002E33CB" w:rsidRPr="002E33CB" w:rsidRDefault="002E33CB" w:rsidP="002E33CB">
      <w:pPr>
        <w:jc w:val="both"/>
        <w:rPr>
          <w:rFonts w:ascii="Arial" w:eastAsia="Arial" w:hAnsi="Arial" w:cs="Arial"/>
        </w:rPr>
      </w:pPr>
      <w:r>
        <w:rPr>
          <w:rFonts w:ascii="Arial" w:eastAsia="Arial" w:hAnsi="Arial" w:cs="Arial"/>
        </w:rPr>
        <w:t xml:space="preserve">The integrated enzyme-assisted ultrasound extraction process was </w:t>
      </w:r>
      <w:r>
        <w:rPr>
          <w:rFonts w:ascii="Arial" w:eastAsia="Arial" w:hAnsi="Arial" w:cs="Arial"/>
          <w:highlight w:val="yellow"/>
        </w:rPr>
        <w:t>modelled</w:t>
      </w:r>
      <w:r>
        <w:rPr>
          <w:rFonts w:ascii="Arial" w:eastAsia="Arial" w:hAnsi="Arial" w:cs="Arial"/>
        </w:rPr>
        <w:t xml:space="preserve"> using a three-factor, three-level Box–Behnken design generated in JMP Student Edition 19.1.4 (JMP Statistical Discovery LLC, USA). The independent variables were </w:t>
      </w:r>
      <w:r w:rsidR="00F35F13" w:rsidRPr="00F35F13">
        <w:rPr>
          <w:rFonts w:ascii="Arial" w:eastAsia="Arial" w:hAnsi="Arial" w:cs="Arial"/>
        </w:rPr>
        <w:t>total enzyme concentration (X</w:t>
      </w:r>
      <w:r w:rsidR="00F35F13" w:rsidRPr="00F35F13">
        <w:rPr>
          <w:rFonts w:ascii="Cambria Math" w:eastAsia="Arial" w:hAnsi="Cambria Math" w:cs="Cambria Math"/>
        </w:rPr>
        <w:t>₁</w:t>
      </w:r>
      <w:r w:rsidR="00F35F13" w:rsidRPr="00F35F13">
        <w:rPr>
          <w:rFonts w:ascii="Arial" w:eastAsia="Arial" w:hAnsi="Arial" w:cs="Arial"/>
        </w:rPr>
        <w:t>: 1.0, 2.0, and 3.0% w/w, relative to dry biomass)</w:t>
      </w:r>
      <w:r w:rsidRPr="002E33CB">
        <w:rPr>
          <w:rFonts w:ascii="Arial" w:eastAsia="Arial" w:hAnsi="Arial" w:cs="Arial"/>
        </w:rPr>
        <w:t>, sonication duration (X</w:t>
      </w:r>
      <w:r w:rsidRPr="002E33CB">
        <w:rPr>
          <w:rFonts w:ascii="Arial" w:eastAsia="Arial" w:hAnsi="Arial" w:cs="Arial"/>
          <w:vertAlign w:val="subscript"/>
        </w:rPr>
        <w:t>2</w:t>
      </w:r>
      <w:r w:rsidRPr="002E33CB">
        <w:rPr>
          <w:rFonts w:ascii="Arial" w:eastAsia="Arial" w:hAnsi="Arial" w:cs="Arial"/>
        </w:rPr>
        <w:t xml:space="preserve">: 15, 35, and 55 min), and liquid-to-solid ratio (X3: </w:t>
      </w:r>
      <w:r>
        <w:rPr>
          <w:rFonts w:ascii="Arial" w:eastAsia="Arial" w:hAnsi="Arial" w:cs="Arial"/>
          <w:highlight w:val="yellow"/>
        </w:rPr>
        <w:t>50, 100, and 150</w:t>
      </w:r>
      <w:r>
        <w:rPr>
          <w:rFonts w:ascii="Arial" w:eastAsia="Arial" w:hAnsi="Arial" w:cs="Arial"/>
        </w:rPr>
        <w:t xml:space="preserve"> mL</w:t>
      </w:r>
      <w:r w:rsidRPr="002E33CB">
        <w:rPr>
          <w:rFonts w:ascii="Arial" w:eastAsia="Arial" w:hAnsi="Arial" w:cs="Arial"/>
        </w:rPr>
        <w:t xml:space="preserve"> oil/g dry biomass). Astaxanthin recovery (%) was used as the response (Y).</w:t>
      </w:r>
    </w:p>
    <w:p w14:paraId="00EEBD82" w14:textId="77777777" w:rsidR="004332A4" w:rsidRDefault="002E33CB" w:rsidP="002E33CB">
      <w:pPr>
        <w:jc w:val="both"/>
        <w:rPr>
          <w:rFonts w:ascii="Arial" w:hAnsi="Arial" w:cs="Arial"/>
        </w:rPr>
      </w:pPr>
      <w:r>
        <w:rPr>
          <w:rFonts w:ascii="Arial" w:eastAsia="Arial" w:hAnsi="Arial" w:cs="Arial"/>
        </w:rPr>
        <w:t xml:space="preserve">The design comprised 15 </w:t>
      </w:r>
      <w:r>
        <w:rPr>
          <w:rFonts w:ascii="Arial" w:eastAsia="Arial" w:hAnsi="Arial" w:cs="Arial"/>
          <w:highlight w:val="yellow"/>
        </w:rPr>
        <w:t>randomised</w:t>
      </w:r>
      <w:r>
        <w:rPr>
          <w:rFonts w:ascii="Arial" w:eastAsia="Arial" w:hAnsi="Arial" w:cs="Arial"/>
        </w:rPr>
        <w:t xml:space="preserve"> experimental runs, including three replicated </w:t>
      </w:r>
      <w:r>
        <w:rPr>
          <w:rFonts w:ascii="Arial" w:eastAsia="Arial" w:hAnsi="Arial" w:cs="Arial"/>
          <w:highlight w:val="yellow"/>
        </w:rPr>
        <w:t>centre points</w:t>
      </w:r>
      <w:r>
        <w:rPr>
          <w:rFonts w:ascii="Arial" w:eastAsia="Arial" w:hAnsi="Arial" w:cs="Arial"/>
        </w:rPr>
        <w:t xml:space="preserve">. A full second-order polynomial model was fitted by standard least squares: </w:t>
      </w:r>
      <w:r w:rsidR="004332A4" w:rsidRPr="00773219">
        <w:rPr>
          <w:rFonts w:ascii="Arial" w:hAnsi="Arial" w:cs="Arial"/>
        </w:rPr>
        <w:t>Y = b</w:t>
      </w:r>
      <w:r w:rsidR="004332A4" w:rsidRPr="00773219">
        <w:rPr>
          <w:rFonts w:ascii="Arial" w:hAnsi="Arial" w:cs="Arial"/>
          <w:vertAlign w:val="subscript"/>
        </w:rPr>
        <w:t>0</w:t>
      </w:r>
      <w:r w:rsidR="004332A4" w:rsidRPr="00773219">
        <w:rPr>
          <w:rFonts w:ascii="Arial" w:hAnsi="Arial" w:cs="Arial"/>
        </w:rPr>
        <w:t xml:space="preserve"> + b</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 xml:space="preserve"> + b</w:t>
      </w:r>
      <w:r w:rsidR="004332A4" w:rsidRPr="00773219">
        <w:rPr>
          <w:rFonts w:ascii="Arial" w:hAnsi="Arial" w:cs="Arial"/>
          <w:vertAlign w:val="subscript"/>
        </w:rPr>
        <w:t>2</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 xml:space="preserve"> + b</w:t>
      </w:r>
      <w:r w:rsidR="004332A4" w:rsidRPr="00773219">
        <w:rPr>
          <w:rFonts w:ascii="Arial" w:hAnsi="Arial" w:cs="Arial"/>
          <w:vertAlign w:val="subscript"/>
        </w:rPr>
        <w:t>3</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 xml:space="preserve"> + b</w:t>
      </w:r>
      <w:r w:rsidR="004332A4" w:rsidRPr="00773219">
        <w:rPr>
          <w:rFonts w:ascii="Arial" w:hAnsi="Arial" w:cs="Arial"/>
          <w:vertAlign w:val="subscript"/>
        </w:rPr>
        <w:t>1</w:t>
      </w:r>
      <w:r w:rsidR="0026657E">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22</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33</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12</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 + b</w:t>
      </w:r>
      <w:r w:rsidR="004332A4" w:rsidRPr="00773219">
        <w:rPr>
          <w:rFonts w:ascii="Arial" w:hAnsi="Arial" w:cs="Arial"/>
          <w:vertAlign w:val="subscript"/>
        </w:rPr>
        <w:t>13</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 + b</w:t>
      </w:r>
      <w:r w:rsidR="004332A4" w:rsidRPr="00773219">
        <w:rPr>
          <w:rFonts w:ascii="Arial" w:hAnsi="Arial" w:cs="Arial"/>
          <w:vertAlign w:val="subscript"/>
        </w:rPr>
        <w:t>23</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w:t>
      </w:r>
    </w:p>
    <w:p w14:paraId="61E8CEA2" w14:textId="77777777" w:rsidR="002E33CB" w:rsidRPr="002E33CB" w:rsidRDefault="002E33CB" w:rsidP="002E33CB">
      <w:pPr>
        <w:jc w:val="both"/>
        <w:rPr>
          <w:rFonts w:ascii="Arial" w:hAnsi="Arial" w:cs="Arial"/>
        </w:rPr>
      </w:pPr>
      <w:r w:rsidRPr="002E33CB">
        <w:rPr>
          <w:rFonts w:ascii="Arial" w:hAnsi="Arial" w:cs="Arial"/>
        </w:rPr>
        <w:t>Model adequacy was assessed by analysis of variance (ANOVA), R², adjusted R², root mean square error (RMSE), lack-of-fit testing, residual diagnostics, and the significance of individual model terms. Statistical significance was defined as p &lt; 0.05.</w:t>
      </w:r>
    </w:p>
    <w:p w14:paraId="3B4C15B6" w14:textId="77777777" w:rsidR="002E33CB" w:rsidRDefault="00CB56D3" w:rsidP="002E33CB">
      <w:pPr>
        <w:jc w:val="both"/>
        <w:rPr>
          <w:rFonts w:ascii="Arial" w:hAnsi="Arial" w:cs="Arial"/>
        </w:rPr>
      </w:pPr>
      <w:r>
        <w:rPr>
          <w:rFonts w:ascii="Arial" w:hAnsi="Arial" w:cs="Arial"/>
          <w:highlight w:val="yellow"/>
        </w:rPr>
        <w:t>Table 2 presents the complete</w:t>
      </w:r>
      <w:r>
        <w:rPr>
          <w:rFonts w:ascii="Arial" w:hAnsi="Arial" w:cs="Arial"/>
        </w:rPr>
        <w:t xml:space="preserve"> </w:t>
      </w:r>
      <w:r>
        <w:rPr>
          <w:rFonts w:ascii="Arial" w:hAnsi="Arial" w:cs="Arial"/>
          <w:highlight w:val="yellow"/>
        </w:rPr>
        <w:t>randomised</w:t>
      </w:r>
      <w:r>
        <w:rPr>
          <w:rFonts w:ascii="Arial" w:hAnsi="Arial" w:cs="Arial"/>
        </w:rPr>
        <w:t xml:space="preserve"> design matrix and experimental responses</w:t>
      </w:r>
      <w:r w:rsidR="002E33CB" w:rsidRPr="002E33CB">
        <w:rPr>
          <w:rFonts w:ascii="Arial" w:hAnsi="Arial" w:cs="Arial"/>
        </w:rPr>
        <w:t xml:space="preserve">. Because the unconstrained stationary point identified by the fitted surface included an L/S value slightly outside the investigated range, it was not interpreted as an experimentally validated optimum. Instead, the </w:t>
      </w:r>
      <w:r>
        <w:rPr>
          <w:rFonts w:ascii="Arial" w:hAnsi="Arial" w:cs="Arial"/>
          <w:highlight w:val="yellow"/>
        </w:rPr>
        <w:t>centre operating condition</w:t>
      </w:r>
      <w:r>
        <w:rPr>
          <w:rFonts w:ascii="Arial" w:hAnsi="Arial" w:cs="Arial"/>
        </w:rPr>
        <w:t xml:space="preserve"> (2.0% total enzyme, 35 min sonication, and 100 mL/g) was selected as a practical validation condition within the experimental domain and was tested in six independent experiments.</w:t>
      </w:r>
    </w:p>
    <w:p w14:paraId="70E9CBE5" w14:textId="77777777" w:rsidR="002E33CB" w:rsidRPr="00773219" w:rsidRDefault="002E33CB" w:rsidP="002E33CB">
      <w:pPr>
        <w:rPr>
          <w:rFonts w:ascii="Arial" w:hAnsi="Arial" w:cs="Arial"/>
        </w:rPr>
      </w:pPr>
    </w:p>
    <w:p w14:paraId="543FF5CB" w14:textId="77777777" w:rsidR="00A03B96" w:rsidRDefault="0007346A" w:rsidP="00336B3A">
      <w:pPr>
        <w:pStyle w:val="Body"/>
        <w:spacing w:after="0"/>
        <w:jc w:val="center"/>
        <w:rPr>
          <w:rFonts w:ascii="Arial" w:hAnsi="Arial" w:cs="Arial"/>
          <w:b/>
          <w:bCs/>
        </w:rPr>
      </w:pPr>
      <w:r w:rsidRPr="004332A4">
        <w:rPr>
          <w:rFonts w:ascii="Arial" w:hAnsi="Arial" w:cs="Arial"/>
          <w:b/>
          <w:bCs/>
        </w:rPr>
        <w:t xml:space="preserve">Table 1. </w:t>
      </w:r>
      <w:r w:rsidR="0009377B" w:rsidRPr="0009377B">
        <w:rPr>
          <w:rFonts w:ascii="Arial" w:hAnsi="Arial" w:cs="Arial"/>
          <w:b/>
          <w:bCs/>
        </w:rPr>
        <w:t>Experimental factors and coded levels used in the Box–Behnken design</w:t>
      </w:r>
    </w:p>
    <w:tbl>
      <w:tblPr>
        <w:tblStyle w:val="TableGrid"/>
        <w:tblW w:w="0" w:type="auto"/>
        <w:tblInd w:w="60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939"/>
        <w:gridCol w:w="495"/>
        <w:gridCol w:w="550"/>
        <w:gridCol w:w="550"/>
      </w:tblGrid>
      <w:tr w:rsidR="0009377B" w:rsidRPr="0009377B" w14:paraId="46193B47" w14:textId="77777777" w:rsidTr="0009377B">
        <w:tc>
          <w:tcPr>
            <w:tcW w:w="0" w:type="auto"/>
            <w:tcBorders>
              <w:top w:val="single" w:sz="4" w:space="0" w:color="auto"/>
              <w:bottom w:val="single" w:sz="4" w:space="0" w:color="auto"/>
            </w:tcBorders>
            <w:hideMark/>
          </w:tcPr>
          <w:p w14:paraId="34C55246" w14:textId="77777777" w:rsidR="0009377B" w:rsidRPr="0009377B" w:rsidRDefault="0009377B" w:rsidP="0009377B">
            <w:pPr>
              <w:jc w:val="center"/>
              <w:rPr>
                <w:rFonts w:ascii="Arial" w:hAnsi="Arial" w:cs="Arial"/>
                <w:b/>
                <w:bCs/>
                <w:sz w:val="20"/>
                <w:szCs w:val="20"/>
              </w:rPr>
            </w:pPr>
            <w:r w:rsidRPr="0009377B">
              <w:rPr>
                <w:rFonts w:ascii="Arial" w:hAnsi="Arial" w:cs="Arial"/>
                <w:b/>
                <w:bCs/>
                <w:sz w:val="20"/>
                <w:szCs w:val="20"/>
              </w:rPr>
              <w:t>Factor</w:t>
            </w:r>
          </w:p>
        </w:tc>
        <w:tc>
          <w:tcPr>
            <w:tcW w:w="0" w:type="auto"/>
            <w:tcBorders>
              <w:top w:val="single" w:sz="4" w:space="0" w:color="auto"/>
              <w:bottom w:val="single" w:sz="4" w:space="0" w:color="auto"/>
            </w:tcBorders>
            <w:hideMark/>
          </w:tcPr>
          <w:p w14:paraId="10F225FE" w14:textId="77777777" w:rsidR="0009377B" w:rsidRPr="0009377B" w:rsidRDefault="0009377B" w:rsidP="0009377B">
            <w:pPr>
              <w:jc w:val="center"/>
              <w:rPr>
                <w:rFonts w:ascii="Arial" w:hAnsi="Arial" w:cs="Arial"/>
                <w:b/>
                <w:bCs/>
                <w:sz w:val="20"/>
                <w:szCs w:val="20"/>
              </w:rPr>
            </w:pPr>
            <w:r w:rsidRPr="0009377B">
              <w:rPr>
                <w:rFonts w:ascii="Arial" w:hAnsi="Arial" w:cs="Arial"/>
                <w:b/>
                <w:bCs/>
                <w:sz w:val="20"/>
                <w:szCs w:val="20"/>
              </w:rPr>
              <w:t>Symbol</w:t>
            </w:r>
          </w:p>
        </w:tc>
        <w:tc>
          <w:tcPr>
            <w:tcW w:w="0" w:type="auto"/>
            <w:tcBorders>
              <w:top w:val="single" w:sz="4" w:space="0" w:color="auto"/>
              <w:bottom w:val="single" w:sz="4" w:space="0" w:color="auto"/>
            </w:tcBorders>
            <w:hideMark/>
          </w:tcPr>
          <w:p w14:paraId="34A83D97"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−1</w:t>
            </w:r>
          </w:p>
        </w:tc>
        <w:tc>
          <w:tcPr>
            <w:tcW w:w="0" w:type="auto"/>
            <w:tcBorders>
              <w:top w:val="single" w:sz="4" w:space="0" w:color="auto"/>
              <w:bottom w:val="single" w:sz="4" w:space="0" w:color="auto"/>
            </w:tcBorders>
            <w:hideMark/>
          </w:tcPr>
          <w:p w14:paraId="354FAC2A"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0</w:t>
            </w:r>
          </w:p>
        </w:tc>
        <w:tc>
          <w:tcPr>
            <w:tcW w:w="0" w:type="auto"/>
            <w:tcBorders>
              <w:top w:val="single" w:sz="4" w:space="0" w:color="auto"/>
              <w:bottom w:val="single" w:sz="4" w:space="0" w:color="auto"/>
            </w:tcBorders>
            <w:hideMark/>
          </w:tcPr>
          <w:p w14:paraId="4C8C86B9"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+1</w:t>
            </w:r>
          </w:p>
        </w:tc>
      </w:tr>
      <w:tr w:rsidR="0009377B" w:rsidRPr="0009377B" w14:paraId="5F225686" w14:textId="77777777" w:rsidTr="0009377B">
        <w:tc>
          <w:tcPr>
            <w:tcW w:w="0" w:type="auto"/>
            <w:tcBorders>
              <w:top w:val="single" w:sz="4" w:space="0" w:color="auto"/>
            </w:tcBorders>
            <w:hideMark/>
          </w:tcPr>
          <w:p w14:paraId="5103E4FD" w14:textId="77777777" w:rsidR="0009377B" w:rsidRPr="0009377B" w:rsidRDefault="0009377B" w:rsidP="0009377B">
            <w:pPr>
              <w:rPr>
                <w:rFonts w:ascii="Arial" w:hAnsi="Arial" w:cs="Arial"/>
                <w:sz w:val="20"/>
                <w:szCs w:val="20"/>
              </w:rPr>
            </w:pPr>
            <w:r w:rsidRPr="0009377B">
              <w:rPr>
                <w:rFonts w:ascii="Arial" w:hAnsi="Arial" w:cs="Arial"/>
                <w:sz w:val="20"/>
                <w:szCs w:val="20"/>
              </w:rPr>
              <w:lastRenderedPageBreak/>
              <w:t>Total enzyme concentration (%)</w:t>
            </w:r>
          </w:p>
        </w:tc>
        <w:tc>
          <w:tcPr>
            <w:tcW w:w="0" w:type="auto"/>
            <w:tcBorders>
              <w:top w:val="single" w:sz="4" w:space="0" w:color="auto"/>
            </w:tcBorders>
            <w:hideMark/>
          </w:tcPr>
          <w:p w14:paraId="1D74A1B8" w14:textId="77777777" w:rsidR="0009377B" w:rsidRPr="0009377B" w:rsidRDefault="0009377B" w:rsidP="0009377B">
            <w:pPr>
              <w:rPr>
                <w:rFonts w:ascii="Arial" w:hAnsi="Arial" w:cs="Arial"/>
                <w:sz w:val="20"/>
                <w:szCs w:val="20"/>
              </w:rPr>
            </w:pPr>
            <w:r w:rsidRPr="0009377B">
              <w:rPr>
                <w:rFonts w:ascii="Arial" w:hAnsi="Arial" w:cs="Arial"/>
                <w:sz w:val="20"/>
                <w:szCs w:val="20"/>
              </w:rPr>
              <w:t>X1</w:t>
            </w:r>
          </w:p>
        </w:tc>
        <w:tc>
          <w:tcPr>
            <w:tcW w:w="0" w:type="auto"/>
            <w:tcBorders>
              <w:top w:val="single" w:sz="4" w:space="0" w:color="auto"/>
            </w:tcBorders>
            <w:hideMark/>
          </w:tcPr>
          <w:p w14:paraId="1E6CC139"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1.0</w:t>
            </w:r>
          </w:p>
        </w:tc>
        <w:tc>
          <w:tcPr>
            <w:tcW w:w="0" w:type="auto"/>
            <w:tcBorders>
              <w:top w:val="single" w:sz="4" w:space="0" w:color="auto"/>
            </w:tcBorders>
            <w:hideMark/>
          </w:tcPr>
          <w:p w14:paraId="4D3D7615"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2.0</w:t>
            </w:r>
          </w:p>
        </w:tc>
        <w:tc>
          <w:tcPr>
            <w:tcW w:w="0" w:type="auto"/>
            <w:tcBorders>
              <w:top w:val="single" w:sz="4" w:space="0" w:color="auto"/>
            </w:tcBorders>
            <w:hideMark/>
          </w:tcPr>
          <w:p w14:paraId="49E7DD51"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3.0</w:t>
            </w:r>
          </w:p>
        </w:tc>
      </w:tr>
      <w:tr w:rsidR="0009377B" w:rsidRPr="0009377B" w14:paraId="552E067A" w14:textId="77777777" w:rsidTr="0009377B">
        <w:tc>
          <w:tcPr>
            <w:tcW w:w="0" w:type="auto"/>
            <w:hideMark/>
          </w:tcPr>
          <w:p w14:paraId="435E3450" w14:textId="77777777" w:rsidR="0009377B" w:rsidRPr="0009377B" w:rsidRDefault="0009377B" w:rsidP="0009377B">
            <w:pPr>
              <w:rPr>
                <w:rFonts w:ascii="Arial" w:hAnsi="Arial" w:cs="Arial"/>
                <w:sz w:val="20"/>
                <w:szCs w:val="20"/>
              </w:rPr>
            </w:pPr>
            <w:r w:rsidRPr="0009377B">
              <w:rPr>
                <w:rFonts w:ascii="Arial" w:hAnsi="Arial" w:cs="Arial"/>
                <w:sz w:val="20"/>
                <w:szCs w:val="20"/>
              </w:rPr>
              <w:t>Sonication duration (min)</w:t>
            </w:r>
          </w:p>
        </w:tc>
        <w:tc>
          <w:tcPr>
            <w:tcW w:w="0" w:type="auto"/>
            <w:hideMark/>
          </w:tcPr>
          <w:p w14:paraId="1009AE8B" w14:textId="77777777" w:rsidR="0009377B" w:rsidRPr="0009377B" w:rsidRDefault="0009377B" w:rsidP="0009377B">
            <w:pPr>
              <w:rPr>
                <w:rFonts w:ascii="Arial" w:hAnsi="Arial" w:cs="Arial"/>
                <w:sz w:val="20"/>
                <w:szCs w:val="20"/>
              </w:rPr>
            </w:pPr>
            <w:r w:rsidRPr="0009377B">
              <w:rPr>
                <w:rFonts w:ascii="Arial" w:hAnsi="Arial" w:cs="Arial"/>
                <w:sz w:val="20"/>
                <w:szCs w:val="20"/>
              </w:rPr>
              <w:t>X2</w:t>
            </w:r>
          </w:p>
        </w:tc>
        <w:tc>
          <w:tcPr>
            <w:tcW w:w="0" w:type="auto"/>
            <w:hideMark/>
          </w:tcPr>
          <w:p w14:paraId="5E79B6ED"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15</w:t>
            </w:r>
          </w:p>
        </w:tc>
        <w:tc>
          <w:tcPr>
            <w:tcW w:w="0" w:type="auto"/>
            <w:hideMark/>
          </w:tcPr>
          <w:p w14:paraId="7E6B9748"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35</w:t>
            </w:r>
          </w:p>
        </w:tc>
        <w:tc>
          <w:tcPr>
            <w:tcW w:w="0" w:type="auto"/>
            <w:hideMark/>
          </w:tcPr>
          <w:p w14:paraId="0097A8A9"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55</w:t>
            </w:r>
          </w:p>
        </w:tc>
      </w:tr>
      <w:tr w:rsidR="0009377B" w:rsidRPr="0009377B" w14:paraId="6295BC12" w14:textId="77777777" w:rsidTr="0009377B">
        <w:tc>
          <w:tcPr>
            <w:tcW w:w="0" w:type="auto"/>
            <w:hideMark/>
          </w:tcPr>
          <w:p w14:paraId="61BB612B" w14:textId="77777777" w:rsidR="0009377B" w:rsidRPr="0009377B" w:rsidRDefault="0009377B" w:rsidP="0009377B">
            <w:pPr>
              <w:rPr>
                <w:rFonts w:ascii="Arial" w:hAnsi="Arial" w:cs="Arial"/>
                <w:sz w:val="20"/>
                <w:szCs w:val="20"/>
              </w:rPr>
            </w:pPr>
            <w:r w:rsidRPr="0009377B">
              <w:rPr>
                <w:rFonts w:ascii="Arial" w:hAnsi="Arial" w:cs="Arial"/>
                <w:sz w:val="20"/>
                <w:szCs w:val="20"/>
              </w:rPr>
              <w:t>L/S ratio (mL/g)</w:t>
            </w:r>
          </w:p>
        </w:tc>
        <w:tc>
          <w:tcPr>
            <w:tcW w:w="0" w:type="auto"/>
            <w:hideMark/>
          </w:tcPr>
          <w:p w14:paraId="6C8B94AC" w14:textId="77777777" w:rsidR="0009377B" w:rsidRPr="0009377B" w:rsidRDefault="0009377B" w:rsidP="0009377B">
            <w:pPr>
              <w:rPr>
                <w:rFonts w:ascii="Arial" w:hAnsi="Arial" w:cs="Arial"/>
                <w:sz w:val="20"/>
                <w:szCs w:val="20"/>
              </w:rPr>
            </w:pPr>
            <w:r w:rsidRPr="0009377B">
              <w:rPr>
                <w:rFonts w:ascii="Arial" w:hAnsi="Arial" w:cs="Arial"/>
                <w:sz w:val="20"/>
                <w:szCs w:val="20"/>
              </w:rPr>
              <w:t>X3</w:t>
            </w:r>
          </w:p>
        </w:tc>
        <w:tc>
          <w:tcPr>
            <w:tcW w:w="0" w:type="auto"/>
            <w:hideMark/>
          </w:tcPr>
          <w:p w14:paraId="41D37376"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50</w:t>
            </w:r>
          </w:p>
        </w:tc>
        <w:tc>
          <w:tcPr>
            <w:tcW w:w="0" w:type="auto"/>
            <w:hideMark/>
          </w:tcPr>
          <w:p w14:paraId="68013BC6"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100</w:t>
            </w:r>
          </w:p>
        </w:tc>
        <w:tc>
          <w:tcPr>
            <w:tcW w:w="0" w:type="auto"/>
            <w:hideMark/>
          </w:tcPr>
          <w:p w14:paraId="125F06D4"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150</w:t>
            </w:r>
          </w:p>
        </w:tc>
      </w:tr>
    </w:tbl>
    <w:p w14:paraId="255CDC34" w14:textId="77777777" w:rsidR="0009377B" w:rsidRDefault="0009377B" w:rsidP="0009377B">
      <w:pPr>
        <w:pStyle w:val="Body"/>
        <w:spacing w:after="0"/>
        <w:rPr>
          <w:rFonts w:ascii="Arial" w:hAnsi="Arial" w:cs="Arial"/>
          <w:b/>
          <w:bCs/>
        </w:rPr>
      </w:pPr>
    </w:p>
    <w:p w14:paraId="76786C50" w14:textId="77777777" w:rsidR="0009377B" w:rsidRDefault="0009377B" w:rsidP="0009377B">
      <w:pPr>
        <w:pStyle w:val="Body"/>
        <w:spacing w:after="0"/>
        <w:rPr>
          <w:rFonts w:ascii="Arial" w:hAnsi="Arial" w:cs="Arial"/>
          <w:b/>
          <w:bCs/>
        </w:rPr>
      </w:pPr>
      <w:r w:rsidRPr="0009377B">
        <w:rPr>
          <w:rFonts w:ascii="Arial" w:hAnsi="Arial" w:cs="Arial"/>
          <w:b/>
          <w:bCs/>
        </w:rPr>
        <w:t xml:space="preserve">Table </w:t>
      </w:r>
      <w:r>
        <w:rPr>
          <w:rFonts w:ascii="Arial" w:hAnsi="Arial" w:cs="Arial"/>
          <w:b/>
          <w:bCs/>
        </w:rPr>
        <w:t>2</w:t>
      </w:r>
      <w:r w:rsidRPr="0009377B">
        <w:rPr>
          <w:rFonts w:ascii="Arial" w:hAnsi="Arial" w:cs="Arial"/>
          <w:b/>
          <w:bCs/>
        </w:rPr>
        <w:t xml:space="preserve">. </w:t>
      </w:r>
      <w:r>
        <w:rPr>
          <w:rFonts w:ascii="Arial" w:hAnsi="Arial" w:cs="Arial"/>
          <w:b/>
          <w:bCs/>
        </w:rPr>
        <w:t>B</w:t>
      </w:r>
      <w:r w:rsidRPr="0009377B">
        <w:rPr>
          <w:rFonts w:ascii="Arial" w:hAnsi="Arial" w:cs="Arial"/>
          <w:b/>
          <w:bCs/>
        </w:rPr>
        <w:t>ox–Behnken experimental design matrix and observed astaxanthin recovery</w:t>
      </w:r>
    </w:p>
    <w:p w14:paraId="04E02676" w14:textId="77777777" w:rsidR="0009377B" w:rsidRDefault="0009377B" w:rsidP="0009377B">
      <w:pPr>
        <w:pStyle w:val="Body"/>
        <w:spacing w:after="0"/>
        <w:rPr>
          <w:rFonts w:ascii="Arial" w:hAnsi="Arial" w:cs="Arial"/>
          <w:b/>
          <w:bCs/>
        </w:rPr>
      </w:pPr>
    </w:p>
    <w:tbl>
      <w:tblPr>
        <w:tblW w:w="0" w:type="auto"/>
        <w:jc w:val="center"/>
        <w:tblBorders>
          <w:top w:val="single" w:sz="4" w:space="0" w:color="auto"/>
        </w:tblBorders>
        <w:tblLook w:val="04A0" w:firstRow="1" w:lastRow="0" w:firstColumn="1" w:lastColumn="0" w:noHBand="0" w:noVBand="1"/>
      </w:tblPr>
      <w:tblGrid>
        <w:gridCol w:w="1611"/>
        <w:gridCol w:w="1598"/>
        <w:gridCol w:w="1629"/>
        <w:gridCol w:w="1656"/>
        <w:gridCol w:w="1714"/>
      </w:tblGrid>
      <w:tr w:rsidR="0009377B" w:rsidRPr="0009377B" w14:paraId="173B7932" w14:textId="77777777" w:rsidTr="0009377B">
        <w:trPr>
          <w:jc w:val="center"/>
        </w:trPr>
        <w:tc>
          <w:tcPr>
            <w:tcW w:w="1897" w:type="dxa"/>
            <w:tcBorders>
              <w:top w:val="single" w:sz="4" w:space="0" w:color="auto"/>
              <w:bottom w:val="single" w:sz="4" w:space="0" w:color="auto"/>
            </w:tcBorders>
            <w:vAlign w:val="center"/>
          </w:tcPr>
          <w:p w14:paraId="263037D6" w14:textId="77777777" w:rsidR="0009377B" w:rsidRPr="0009377B" w:rsidRDefault="0009377B" w:rsidP="00EC7BE5">
            <w:pPr>
              <w:rPr>
                <w:rFonts w:ascii="Arial" w:hAnsi="Arial" w:cs="Arial"/>
              </w:rPr>
            </w:pPr>
            <w:r w:rsidRPr="0009377B">
              <w:rPr>
                <w:rFonts w:ascii="Arial" w:hAnsi="Arial" w:cs="Arial"/>
              </w:rPr>
              <w:t>Run</w:t>
            </w:r>
          </w:p>
        </w:tc>
        <w:tc>
          <w:tcPr>
            <w:tcW w:w="1897" w:type="dxa"/>
            <w:tcBorders>
              <w:top w:val="single" w:sz="4" w:space="0" w:color="auto"/>
              <w:bottom w:val="single" w:sz="4" w:space="0" w:color="auto"/>
            </w:tcBorders>
            <w:vAlign w:val="center"/>
          </w:tcPr>
          <w:p w14:paraId="22DAE4B6" w14:textId="77777777" w:rsidR="0009377B" w:rsidRPr="0009377B" w:rsidRDefault="0009377B" w:rsidP="00EC7BE5">
            <w:pPr>
              <w:rPr>
                <w:rFonts w:ascii="Arial" w:hAnsi="Arial" w:cs="Arial"/>
              </w:rPr>
            </w:pPr>
            <w:r w:rsidRPr="0009377B">
              <w:rPr>
                <w:rFonts w:ascii="Arial" w:hAnsi="Arial" w:cs="Arial"/>
              </w:rPr>
              <w:t>X1 (%)</w:t>
            </w:r>
          </w:p>
        </w:tc>
        <w:tc>
          <w:tcPr>
            <w:tcW w:w="1897" w:type="dxa"/>
            <w:tcBorders>
              <w:top w:val="single" w:sz="4" w:space="0" w:color="auto"/>
              <w:bottom w:val="single" w:sz="4" w:space="0" w:color="auto"/>
            </w:tcBorders>
            <w:vAlign w:val="center"/>
          </w:tcPr>
          <w:p w14:paraId="4284D709" w14:textId="77777777" w:rsidR="0009377B" w:rsidRPr="0009377B" w:rsidRDefault="0009377B" w:rsidP="00EC7BE5">
            <w:pPr>
              <w:rPr>
                <w:rFonts w:ascii="Arial" w:hAnsi="Arial" w:cs="Arial"/>
              </w:rPr>
            </w:pPr>
            <w:r w:rsidRPr="0009377B">
              <w:rPr>
                <w:rFonts w:ascii="Arial" w:hAnsi="Arial" w:cs="Arial"/>
              </w:rPr>
              <w:t>X2 (min)</w:t>
            </w:r>
          </w:p>
        </w:tc>
        <w:tc>
          <w:tcPr>
            <w:tcW w:w="1897" w:type="dxa"/>
            <w:tcBorders>
              <w:top w:val="single" w:sz="4" w:space="0" w:color="auto"/>
              <w:bottom w:val="single" w:sz="4" w:space="0" w:color="auto"/>
            </w:tcBorders>
            <w:vAlign w:val="center"/>
          </w:tcPr>
          <w:p w14:paraId="7D3A4198" w14:textId="77777777" w:rsidR="0009377B" w:rsidRPr="0009377B" w:rsidRDefault="0009377B" w:rsidP="00EC7BE5">
            <w:pPr>
              <w:rPr>
                <w:rFonts w:ascii="Arial" w:hAnsi="Arial" w:cs="Arial"/>
              </w:rPr>
            </w:pPr>
            <w:r w:rsidRPr="0009377B">
              <w:rPr>
                <w:rFonts w:ascii="Arial" w:hAnsi="Arial" w:cs="Arial"/>
              </w:rPr>
              <w:t>X3 (mL/g)</w:t>
            </w:r>
          </w:p>
        </w:tc>
        <w:tc>
          <w:tcPr>
            <w:tcW w:w="1897" w:type="dxa"/>
            <w:tcBorders>
              <w:top w:val="single" w:sz="4" w:space="0" w:color="auto"/>
              <w:bottom w:val="single" w:sz="4" w:space="0" w:color="auto"/>
            </w:tcBorders>
            <w:vAlign w:val="center"/>
          </w:tcPr>
          <w:p w14:paraId="3EF34F71" w14:textId="77777777" w:rsidR="0009377B" w:rsidRPr="0009377B" w:rsidRDefault="0009377B" w:rsidP="00EC7BE5">
            <w:pPr>
              <w:rPr>
                <w:rFonts w:ascii="Arial" w:hAnsi="Arial" w:cs="Arial"/>
              </w:rPr>
            </w:pPr>
            <w:r w:rsidRPr="0009377B">
              <w:rPr>
                <w:rFonts w:ascii="Arial" w:hAnsi="Arial" w:cs="Arial"/>
              </w:rPr>
              <w:t>Recovery (%)</w:t>
            </w:r>
          </w:p>
        </w:tc>
      </w:tr>
      <w:tr w:rsidR="0009377B" w:rsidRPr="0009377B" w14:paraId="03D45BF4" w14:textId="77777777" w:rsidTr="0009377B">
        <w:trPr>
          <w:jc w:val="center"/>
        </w:trPr>
        <w:tc>
          <w:tcPr>
            <w:tcW w:w="1897" w:type="dxa"/>
            <w:tcBorders>
              <w:top w:val="single" w:sz="4" w:space="0" w:color="auto"/>
            </w:tcBorders>
            <w:vAlign w:val="center"/>
          </w:tcPr>
          <w:p w14:paraId="5FA53027" w14:textId="77777777" w:rsidR="0009377B" w:rsidRPr="0009377B" w:rsidRDefault="0009377B" w:rsidP="00EC7BE5">
            <w:pPr>
              <w:rPr>
                <w:rFonts w:ascii="Arial" w:hAnsi="Arial" w:cs="Arial"/>
              </w:rPr>
            </w:pPr>
            <w:r w:rsidRPr="0009377B">
              <w:rPr>
                <w:rFonts w:ascii="Arial" w:hAnsi="Arial" w:cs="Arial"/>
              </w:rPr>
              <w:t>1</w:t>
            </w:r>
          </w:p>
        </w:tc>
        <w:tc>
          <w:tcPr>
            <w:tcW w:w="1897" w:type="dxa"/>
            <w:tcBorders>
              <w:top w:val="single" w:sz="4" w:space="0" w:color="auto"/>
            </w:tcBorders>
            <w:vAlign w:val="center"/>
          </w:tcPr>
          <w:p w14:paraId="5F3542D3" w14:textId="77777777" w:rsidR="0009377B" w:rsidRPr="0009377B" w:rsidRDefault="0009377B" w:rsidP="00EC7BE5">
            <w:pPr>
              <w:rPr>
                <w:rFonts w:ascii="Arial" w:hAnsi="Arial" w:cs="Arial"/>
              </w:rPr>
            </w:pPr>
            <w:r w:rsidRPr="0009377B">
              <w:rPr>
                <w:rFonts w:ascii="Arial" w:hAnsi="Arial" w:cs="Arial"/>
              </w:rPr>
              <w:t>3</w:t>
            </w:r>
          </w:p>
        </w:tc>
        <w:tc>
          <w:tcPr>
            <w:tcW w:w="1897" w:type="dxa"/>
            <w:tcBorders>
              <w:top w:val="single" w:sz="4" w:space="0" w:color="auto"/>
            </w:tcBorders>
            <w:vAlign w:val="center"/>
          </w:tcPr>
          <w:p w14:paraId="19517FC2"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single" w:sz="4" w:space="0" w:color="auto"/>
            </w:tcBorders>
            <w:vAlign w:val="center"/>
          </w:tcPr>
          <w:p w14:paraId="669EE68D"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top w:val="single" w:sz="4" w:space="0" w:color="auto"/>
            </w:tcBorders>
            <w:vAlign w:val="center"/>
          </w:tcPr>
          <w:p w14:paraId="78FFAE73" w14:textId="77777777" w:rsidR="0009377B" w:rsidRPr="0009377B" w:rsidRDefault="0009377B" w:rsidP="00EC7BE5">
            <w:pPr>
              <w:rPr>
                <w:rFonts w:ascii="Arial" w:hAnsi="Arial" w:cs="Arial"/>
              </w:rPr>
            </w:pPr>
            <w:r w:rsidRPr="0009377B">
              <w:rPr>
                <w:rFonts w:ascii="Arial" w:hAnsi="Arial" w:cs="Arial"/>
              </w:rPr>
              <w:t>46.863</w:t>
            </w:r>
          </w:p>
        </w:tc>
      </w:tr>
      <w:tr w:rsidR="0009377B" w:rsidRPr="0009377B" w14:paraId="406D1925" w14:textId="77777777" w:rsidTr="0009377B">
        <w:trPr>
          <w:jc w:val="center"/>
        </w:trPr>
        <w:tc>
          <w:tcPr>
            <w:tcW w:w="1897" w:type="dxa"/>
            <w:vAlign w:val="center"/>
          </w:tcPr>
          <w:p w14:paraId="04D861F5"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7C329DF6"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3CE2DBC8" w14:textId="77777777" w:rsidR="0009377B" w:rsidRPr="0009377B" w:rsidRDefault="0009377B" w:rsidP="00EC7BE5">
            <w:pPr>
              <w:rPr>
                <w:rFonts w:ascii="Arial" w:hAnsi="Arial" w:cs="Arial"/>
              </w:rPr>
            </w:pPr>
            <w:r w:rsidRPr="0009377B">
              <w:rPr>
                <w:rFonts w:ascii="Arial" w:hAnsi="Arial" w:cs="Arial"/>
              </w:rPr>
              <w:t>15</w:t>
            </w:r>
          </w:p>
        </w:tc>
        <w:tc>
          <w:tcPr>
            <w:tcW w:w="1897" w:type="dxa"/>
            <w:vAlign w:val="center"/>
          </w:tcPr>
          <w:p w14:paraId="66165368"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018AAF20" w14:textId="77777777" w:rsidR="0009377B" w:rsidRPr="0009377B" w:rsidRDefault="0009377B" w:rsidP="00EC7BE5">
            <w:pPr>
              <w:rPr>
                <w:rFonts w:ascii="Arial" w:hAnsi="Arial" w:cs="Arial"/>
              </w:rPr>
            </w:pPr>
            <w:r w:rsidRPr="0009377B">
              <w:rPr>
                <w:rFonts w:ascii="Arial" w:hAnsi="Arial" w:cs="Arial"/>
              </w:rPr>
              <w:t>33.354</w:t>
            </w:r>
          </w:p>
        </w:tc>
      </w:tr>
      <w:tr w:rsidR="0009377B" w:rsidRPr="0009377B" w14:paraId="4AB69CA6" w14:textId="77777777" w:rsidTr="0009377B">
        <w:trPr>
          <w:jc w:val="center"/>
        </w:trPr>
        <w:tc>
          <w:tcPr>
            <w:tcW w:w="1897" w:type="dxa"/>
            <w:vAlign w:val="center"/>
          </w:tcPr>
          <w:p w14:paraId="346A74F6"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7315E279"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299E2562"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330CE9F5"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11782F2D" w14:textId="77777777" w:rsidR="0009377B" w:rsidRPr="0009377B" w:rsidRDefault="0009377B" w:rsidP="00EC7BE5">
            <w:pPr>
              <w:rPr>
                <w:rFonts w:ascii="Arial" w:hAnsi="Arial" w:cs="Arial"/>
              </w:rPr>
            </w:pPr>
            <w:r w:rsidRPr="0009377B">
              <w:rPr>
                <w:rFonts w:ascii="Arial" w:hAnsi="Arial" w:cs="Arial"/>
              </w:rPr>
              <w:t>40.194</w:t>
            </w:r>
          </w:p>
        </w:tc>
      </w:tr>
      <w:tr w:rsidR="0009377B" w:rsidRPr="0009377B" w14:paraId="2983F5C0" w14:textId="77777777" w:rsidTr="0009377B">
        <w:trPr>
          <w:jc w:val="center"/>
        </w:trPr>
        <w:tc>
          <w:tcPr>
            <w:tcW w:w="1897" w:type="dxa"/>
            <w:vAlign w:val="center"/>
          </w:tcPr>
          <w:p w14:paraId="5AA47B32" w14:textId="77777777" w:rsidR="0009377B" w:rsidRPr="0009377B" w:rsidRDefault="0009377B" w:rsidP="00EC7BE5">
            <w:pPr>
              <w:rPr>
                <w:rFonts w:ascii="Arial" w:hAnsi="Arial" w:cs="Arial"/>
              </w:rPr>
            </w:pPr>
            <w:r w:rsidRPr="0009377B">
              <w:rPr>
                <w:rFonts w:ascii="Arial" w:hAnsi="Arial" w:cs="Arial"/>
              </w:rPr>
              <w:t>4</w:t>
            </w:r>
          </w:p>
        </w:tc>
        <w:tc>
          <w:tcPr>
            <w:tcW w:w="1897" w:type="dxa"/>
            <w:vAlign w:val="center"/>
          </w:tcPr>
          <w:p w14:paraId="731726C5"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5A374C33"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16732B74"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5B56BC55" w14:textId="77777777" w:rsidR="0009377B" w:rsidRPr="0009377B" w:rsidRDefault="0009377B" w:rsidP="00EC7BE5">
            <w:pPr>
              <w:rPr>
                <w:rFonts w:ascii="Arial" w:hAnsi="Arial" w:cs="Arial"/>
              </w:rPr>
            </w:pPr>
            <w:r w:rsidRPr="0009377B">
              <w:rPr>
                <w:rFonts w:ascii="Arial" w:hAnsi="Arial" w:cs="Arial"/>
              </w:rPr>
              <w:t>43.971</w:t>
            </w:r>
          </w:p>
        </w:tc>
      </w:tr>
      <w:tr w:rsidR="0009377B" w:rsidRPr="0009377B" w14:paraId="46A80719" w14:textId="77777777" w:rsidTr="0009377B">
        <w:trPr>
          <w:jc w:val="center"/>
        </w:trPr>
        <w:tc>
          <w:tcPr>
            <w:tcW w:w="1897" w:type="dxa"/>
            <w:vAlign w:val="center"/>
          </w:tcPr>
          <w:p w14:paraId="46779DAB" w14:textId="77777777" w:rsidR="0009377B" w:rsidRPr="0009377B" w:rsidRDefault="0009377B" w:rsidP="00EC7BE5">
            <w:pPr>
              <w:rPr>
                <w:rFonts w:ascii="Arial" w:hAnsi="Arial" w:cs="Arial"/>
              </w:rPr>
            </w:pPr>
            <w:r w:rsidRPr="0009377B">
              <w:rPr>
                <w:rFonts w:ascii="Arial" w:hAnsi="Arial" w:cs="Arial"/>
              </w:rPr>
              <w:t>5</w:t>
            </w:r>
          </w:p>
        </w:tc>
        <w:tc>
          <w:tcPr>
            <w:tcW w:w="1897" w:type="dxa"/>
            <w:vAlign w:val="center"/>
          </w:tcPr>
          <w:p w14:paraId="75E87791"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723FFCB2"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1BCE1ECB"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4D801B66" w14:textId="77777777" w:rsidR="0009377B" w:rsidRPr="0009377B" w:rsidRDefault="0009377B" w:rsidP="00EC7BE5">
            <w:pPr>
              <w:rPr>
                <w:rFonts w:ascii="Arial" w:hAnsi="Arial" w:cs="Arial"/>
              </w:rPr>
            </w:pPr>
            <w:r w:rsidRPr="0009377B">
              <w:rPr>
                <w:rFonts w:ascii="Arial" w:hAnsi="Arial" w:cs="Arial"/>
              </w:rPr>
              <w:t>51.654</w:t>
            </w:r>
          </w:p>
        </w:tc>
      </w:tr>
      <w:tr w:rsidR="0009377B" w:rsidRPr="0009377B" w14:paraId="3EAD2352" w14:textId="77777777" w:rsidTr="0009377B">
        <w:trPr>
          <w:jc w:val="center"/>
        </w:trPr>
        <w:tc>
          <w:tcPr>
            <w:tcW w:w="1897" w:type="dxa"/>
            <w:vAlign w:val="center"/>
          </w:tcPr>
          <w:p w14:paraId="37252B44" w14:textId="77777777" w:rsidR="0009377B" w:rsidRPr="0009377B" w:rsidRDefault="0009377B" w:rsidP="00EC7BE5">
            <w:pPr>
              <w:rPr>
                <w:rFonts w:ascii="Arial" w:hAnsi="Arial" w:cs="Arial"/>
              </w:rPr>
            </w:pPr>
            <w:r w:rsidRPr="0009377B">
              <w:rPr>
                <w:rFonts w:ascii="Arial" w:hAnsi="Arial" w:cs="Arial"/>
              </w:rPr>
              <w:t>6</w:t>
            </w:r>
          </w:p>
        </w:tc>
        <w:tc>
          <w:tcPr>
            <w:tcW w:w="1897" w:type="dxa"/>
            <w:vAlign w:val="center"/>
          </w:tcPr>
          <w:p w14:paraId="27F999BC"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2D8B8675"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5CB20314"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342D0888" w14:textId="77777777" w:rsidR="0009377B" w:rsidRPr="0009377B" w:rsidRDefault="0009377B" w:rsidP="00EC7BE5">
            <w:pPr>
              <w:rPr>
                <w:rFonts w:ascii="Arial" w:hAnsi="Arial" w:cs="Arial"/>
              </w:rPr>
            </w:pPr>
            <w:r w:rsidRPr="0009377B">
              <w:rPr>
                <w:rFonts w:ascii="Arial" w:hAnsi="Arial" w:cs="Arial"/>
              </w:rPr>
              <w:t>73.946</w:t>
            </w:r>
          </w:p>
        </w:tc>
      </w:tr>
      <w:tr w:rsidR="0009377B" w:rsidRPr="0009377B" w14:paraId="762E69A0" w14:textId="77777777" w:rsidTr="0009377B">
        <w:trPr>
          <w:jc w:val="center"/>
        </w:trPr>
        <w:tc>
          <w:tcPr>
            <w:tcW w:w="1897" w:type="dxa"/>
            <w:vAlign w:val="center"/>
          </w:tcPr>
          <w:p w14:paraId="1330D96F" w14:textId="77777777" w:rsidR="0009377B" w:rsidRPr="0009377B" w:rsidRDefault="0009377B" w:rsidP="00EC7BE5">
            <w:pPr>
              <w:rPr>
                <w:rFonts w:ascii="Arial" w:hAnsi="Arial" w:cs="Arial"/>
              </w:rPr>
            </w:pPr>
            <w:r w:rsidRPr="0009377B">
              <w:rPr>
                <w:rFonts w:ascii="Arial" w:hAnsi="Arial" w:cs="Arial"/>
              </w:rPr>
              <w:t>7</w:t>
            </w:r>
          </w:p>
        </w:tc>
        <w:tc>
          <w:tcPr>
            <w:tcW w:w="1897" w:type="dxa"/>
            <w:vAlign w:val="center"/>
          </w:tcPr>
          <w:p w14:paraId="5412263A"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57517408"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6ADD4580"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45C01D3C" w14:textId="77777777" w:rsidR="0009377B" w:rsidRPr="0009377B" w:rsidRDefault="0009377B" w:rsidP="00EC7BE5">
            <w:pPr>
              <w:rPr>
                <w:rFonts w:ascii="Arial" w:hAnsi="Arial" w:cs="Arial"/>
              </w:rPr>
            </w:pPr>
            <w:r w:rsidRPr="0009377B">
              <w:rPr>
                <w:rFonts w:ascii="Arial" w:hAnsi="Arial" w:cs="Arial"/>
              </w:rPr>
              <w:t>54.262</w:t>
            </w:r>
          </w:p>
        </w:tc>
      </w:tr>
      <w:tr w:rsidR="0009377B" w:rsidRPr="0009377B" w14:paraId="3FD5F9B7" w14:textId="77777777" w:rsidTr="0009377B">
        <w:trPr>
          <w:jc w:val="center"/>
        </w:trPr>
        <w:tc>
          <w:tcPr>
            <w:tcW w:w="1897" w:type="dxa"/>
            <w:vAlign w:val="center"/>
          </w:tcPr>
          <w:p w14:paraId="6D970F5D" w14:textId="77777777" w:rsidR="0009377B" w:rsidRPr="0009377B" w:rsidRDefault="0009377B" w:rsidP="00EC7BE5">
            <w:pPr>
              <w:rPr>
                <w:rFonts w:ascii="Arial" w:hAnsi="Arial" w:cs="Arial"/>
              </w:rPr>
            </w:pPr>
            <w:r w:rsidRPr="0009377B">
              <w:rPr>
                <w:rFonts w:ascii="Arial" w:hAnsi="Arial" w:cs="Arial"/>
              </w:rPr>
              <w:t>8</w:t>
            </w:r>
          </w:p>
        </w:tc>
        <w:tc>
          <w:tcPr>
            <w:tcW w:w="1897" w:type="dxa"/>
            <w:vAlign w:val="center"/>
          </w:tcPr>
          <w:p w14:paraId="573566E2"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36B8CEEF"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6AE770B4"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4BDB86FA" w14:textId="77777777" w:rsidR="0009377B" w:rsidRPr="0009377B" w:rsidRDefault="0009377B" w:rsidP="00EC7BE5">
            <w:pPr>
              <w:rPr>
                <w:rFonts w:ascii="Arial" w:hAnsi="Arial" w:cs="Arial"/>
              </w:rPr>
            </w:pPr>
            <w:r w:rsidRPr="0009377B">
              <w:rPr>
                <w:rFonts w:ascii="Arial" w:hAnsi="Arial" w:cs="Arial"/>
              </w:rPr>
              <w:t>35.517</w:t>
            </w:r>
          </w:p>
        </w:tc>
      </w:tr>
      <w:tr w:rsidR="0009377B" w:rsidRPr="0009377B" w14:paraId="0515AC8F" w14:textId="77777777" w:rsidTr="0009377B">
        <w:trPr>
          <w:jc w:val="center"/>
        </w:trPr>
        <w:tc>
          <w:tcPr>
            <w:tcW w:w="1897" w:type="dxa"/>
            <w:vAlign w:val="center"/>
          </w:tcPr>
          <w:p w14:paraId="0ED9B39B" w14:textId="77777777" w:rsidR="0009377B" w:rsidRPr="0009377B" w:rsidRDefault="0009377B" w:rsidP="00EC7BE5">
            <w:pPr>
              <w:rPr>
                <w:rFonts w:ascii="Arial" w:hAnsi="Arial" w:cs="Arial"/>
              </w:rPr>
            </w:pPr>
            <w:r w:rsidRPr="0009377B">
              <w:rPr>
                <w:rFonts w:ascii="Arial" w:hAnsi="Arial" w:cs="Arial"/>
              </w:rPr>
              <w:t>9</w:t>
            </w:r>
          </w:p>
        </w:tc>
        <w:tc>
          <w:tcPr>
            <w:tcW w:w="1897" w:type="dxa"/>
            <w:vAlign w:val="center"/>
          </w:tcPr>
          <w:p w14:paraId="50CBF7C8"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3BED8F85"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23A7AF52"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72FD93A2" w14:textId="77777777" w:rsidR="0009377B" w:rsidRPr="0009377B" w:rsidRDefault="0009377B" w:rsidP="00EC7BE5">
            <w:pPr>
              <w:rPr>
                <w:rFonts w:ascii="Arial" w:hAnsi="Arial" w:cs="Arial"/>
              </w:rPr>
            </w:pPr>
            <w:r w:rsidRPr="0009377B">
              <w:rPr>
                <w:rFonts w:ascii="Arial" w:hAnsi="Arial" w:cs="Arial"/>
              </w:rPr>
              <w:t>69.108</w:t>
            </w:r>
          </w:p>
        </w:tc>
      </w:tr>
      <w:tr w:rsidR="0009377B" w:rsidRPr="0009377B" w14:paraId="0869A76F" w14:textId="77777777" w:rsidTr="0009377B">
        <w:trPr>
          <w:jc w:val="center"/>
        </w:trPr>
        <w:tc>
          <w:tcPr>
            <w:tcW w:w="1897" w:type="dxa"/>
            <w:vAlign w:val="center"/>
          </w:tcPr>
          <w:p w14:paraId="2B89A36C" w14:textId="77777777" w:rsidR="0009377B" w:rsidRPr="0009377B" w:rsidRDefault="0009377B" w:rsidP="00EC7BE5">
            <w:pPr>
              <w:rPr>
                <w:rFonts w:ascii="Arial" w:hAnsi="Arial" w:cs="Arial"/>
              </w:rPr>
            </w:pPr>
            <w:r w:rsidRPr="0009377B">
              <w:rPr>
                <w:rFonts w:ascii="Arial" w:hAnsi="Arial" w:cs="Arial"/>
              </w:rPr>
              <w:t>10</w:t>
            </w:r>
          </w:p>
        </w:tc>
        <w:tc>
          <w:tcPr>
            <w:tcW w:w="1897" w:type="dxa"/>
            <w:vAlign w:val="center"/>
          </w:tcPr>
          <w:p w14:paraId="5A4F25EC"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296EB7B6"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178A86F4"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3867FD35" w14:textId="77777777" w:rsidR="0009377B" w:rsidRPr="0009377B" w:rsidRDefault="0009377B" w:rsidP="00EC7BE5">
            <w:pPr>
              <w:rPr>
                <w:rFonts w:ascii="Arial" w:hAnsi="Arial" w:cs="Arial"/>
              </w:rPr>
            </w:pPr>
            <w:r w:rsidRPr="0009377B">
              <w:rPr>
                <w:rFonts w:ascii="Arial" w:hAnsi="Arial" w:cs="Arial"/>
              </w:rPr>
              <w:t>82.737</w:t>
            </w:r>
          </w:p>
        </w:tc>
      </w:tr>
      <w:tr w:rsidR="0009377B" w:rsidRPr="0009377B" w14:paraId="5044044D" w14:textId="77777777" w:rsidTr="0009377B">
        <w:trPr>
          <w:jc w:val="center"/>
        </w:trPr>
        <w:tc>
          <w:tcPr>
            <w:tcW w:w="1897" w:type="dxa"/>
            <w:vAlign w:val="center"/>
          </w:tcPr>
          <w:p w14:paraId="5849043F" w14:textId="77777777" w:rsidR="0009377B" w:rsidRPr="0009377B" w:rsidRDefault="0009377B" w:rsidP="00EC7BE5">
            <w:pPr>
              <w:rPr>
                <w:rFonts w:ascii="Arial" w:hAnsi="Arial" w:cs="Arial"/>
              </w:rPr>
            </w:pPr>
            <w:r w:rsidRPr="0009377B">
              <w:rPr>
                <w:rFonts w:ascii="Arial" w:hAnsi="Arial" w:cs="Arial"/>
              </w:rPr>
              <w:t>11</w:t>
            </w:r>
          </w:p>
        </w:tc>
        <w:tc>
          <w:tcPr>
            <w:tcW w:w="1897" w:type="dxa"/>
            <w:vAlign w:val="center"/>
          </w:tcPr>
          <w:p w14:paraId="0434C433"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77578DCC"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74E7D0EE"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7C47242E" w14:textId="77777777" w:rsidR="0009377B" w:rsidRPr="0009377B" w:rsidRDefault="0009377B" w:rsidP="00EC7BE5">
            <w:pPr>
              <w:rPr>
                <w:rFonts w:ascii="Arial" w:hAnsi="Arial" w:cs="Arial"/>
              </w:rPr>
            </w:pPr>
            <w:r w:rsidRPr="0009377B">
              <w:rPr>
                <w:rFonts w:ascii="Arial" w:hAnsi="Arial" w:cs="Arial"/>
              </w:rPr>
              <w:t>76.064</w:t>
            </w:r>
          </w:p>
        </w:tc>
      </w:tr>
      <w:tr w:rsidR="0009377B" w:rsidRPr="0009377B" w14:paraId="62FED18E" w14:textId="77777777" w:rsidTr="0009377B">
        <w:trPr>
          <w:jc w:val="center"/>
        </w:trPr>
        <w:tc>
          <w:tcPr>
            <w:tcW w:w="1897" w:type="dxa"/>
            <w:vAlign w:val="center"/>
          </w:tcPr>
          <w:p w14:paraId="5C65E718" w14:textId="77777777" w:rsidR="0009377B" w:rsidRPr="0009377B" w:rsidRDefault="0009377B" w:rsidP="00EC7BE5">
            <w:pPr>
              <w:rPr>
                <w:rFonts w:ascii="Arial" w:hAnsi="Arial" w:cs="Arial"/>
              </w:rPr>
            </w:pPr>
            <w:r w:rsidRPr="0009377B">
              <w:rPr>
                <w:rFonts w:ascii="Arial" w:hAnsi="Arial" w:cs="Arial"/>
              </w:rPr>
              <w:t>12</w:t>
            </w:r>
          </w:p>
        </w:tc>
        <w:tc>
          <w:tcPr>
            <w:tcW w:w="1897" w:type="dxa"/>
            <w:vAlign w:val="center"/>
          </w:tcPr>
          <w:p w14:paraId="4C5F7DDA"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066BF0E3"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7604DC06"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3379CEC9" w14:textId="77777777" w:rsidR="0009377B" w:rsidRPr="0009377B" w:rsidRDefault="0009377B" w:rsidP="00EC7BE5">
            <w:pPr>
              <w:rPr>
                <w:rFonts w:ascii="Arial" w:hAnsi="Arial" w:cs="Arial"/>
              </w:rPr>
            </w:pPr>
            <w:r w:rsidRPr="0009377B">
              <w:rPr>
                <w:rFonts w:ascii="Arial" w:hAnsi="Arial" w:cs="Arial"/>
              </w:rPr>
              <w:t>79.456</w:t>
            </w:r>
          </w:p>
        </w:tc>
      </w:tr>
      <w:tr w:rsidR="0009377B" w:rsidRPr="0009377B" w14:paraId="75FF014A" w14:textId="77777777" w:rsidTr="0009377B">
        <w:trPr>
          <w:jc w:val="center"/>
        </w:trPr>
        <w:tc>
          <w:tcPr>
            <w:tcW w:w="1897" w:type="dxa"/>
            <w:tcBorders>
              <w:bottom w:val="nil"/>
            </w:tcBorders>
            <w:vAlign w:val="center"/>
          </w:tcPr>
          <w:p w14:paraId="64BA1AF0" w14:textId="77777777" w:rsidR="0009377B" w:rsidRPr="0009377B" w:rsidRDefault="0009377B" w:rsidP="00EC7BE5">
            <w:pPr>
              <w:rPr>
                <w:rFonts w:ascii="Arial" w:hAnsi="Arial" w:cs="Arial"/>
              </w:rPr>
            </w:pPr>
            <w:r w:rsidRPr="0009377B">
              <w:rPr>
                <w:rFonts w:ascii="Arial" w:hAnsi="Arial" w:cs="Arial"/>
              </w:rPr>
              <w:t>13</w:t>
            </w:r>
          </w:p>
        </w:tc>
        <w:tc>
          <w:tcPr>
            <w:tcW w:w="1897" w:type="dxa"/>
            <w:tcBorders>
              <w:bottom w:val="nil"/>
            </w:tcBorders>
            <w:vAlign w:val="center"/>
          </w:tcPr>
          <w:p w14:paraId="52A847AC" w14:textId="77777777" w:rsidR="0009377B" w:rsidRPr="0009377B" w:rsidRDefault="0009377B" w:rsidP="00EC7BE5">
            <w:pPr>
              <w:rPr>
                <w:rFonts w:ascii="Arial" w:hAnsi="Arial" w:cs="Arial"/>
              </w:rPr>
            </w:pPr>
            <w:r w:rsidRPr="0009377B">
              <w:rPr>
                <w:rFonts w:ascii="Arial" w:hAnsi="Arial" w:cs="Arial"/>
              </w:rPr>
              <w:t>1</w:t>
            </w:r>
          </w:p>
        </w:tc>
        <w:tc>
          <w:tcPr>
            <w:tcW w:w="1897" w:type="dxa"/>
            <w:tcBorders>
              <w:bottom w:val="nil"/>
            </w:tcBorders>
            <w:vAlign w:val="center"/>
          </w:tcPr>
          <w:p w14:paraId="1CD26D33"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bottom w:val="nil"/>
            </w:tcBorders>
            <w:vAlign w:val="center"/>
          </w:tcPr>
          <w:p w14:paraId="4FB3FD97"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bottom w:val="nil"/>
            </w:tcBorders>
            <w:vAlign w:val="center"/>
          </w:tcPr>
          <w:p w14:paraId="47146F4F" w14:textId="77777777" w:rsidR="0009377B" w:rsidRPr="0009377B" w:rsidRDefault="0009377B" w:rsidP="00EC7BE5">
            <w:pPr>
              <w:rPr>
                <w:rFonts w:ascii="Arial" w:hAnsi="Arial" w:cs="Arial"/>
              </w:rPr>
            </w:pPr>
            <w:r w:rsidRPr="0009377B">
              <w:rPr>
                <w:rFonts w:ascii="Arial" w:hAnsi="Arial" w:cs="Arial"/>
              </w:rPr>
              <w:t>61.71</w:t>
            </w:r>
          </w:p>
        </w:tc>
      </w:tr>
      <w:tr w:rsidR="0009377B" w:rsidRPr="0009377B" w14:paraId="46DDFC17" w14:textId="77777777" w:rsidTr="0009377B">
        <w:trPr>
          <w:jc w:val="center"/>
        </w:trPr>
        <w:tc>
          <w:tcPr>
            <w:tcW w:w="1897" w:type="dxa"/>
            <w:tcBorders>
              <w:top w:val="nil"/>
            </w:tcBorders>
            <w:vAlign w:val="center"/>
          </w:tcPr>
          <w:p w14:paraId="52E15AAF" w14:textId="77777777" w:rsidR="0009377B" w:rsidRPr="0009377B" w:rsidRDefault="0009377B" w:rsidP="00EC7BE5">
            <w:pPr>
              <w:rPr>
                <w:rFonts w:ascii="Arial" w:hAnsi="Arial" w:cs="Arial"/>
              </w:rPr>
            </w:pPr>
            <w:r w:rsidRPr="0009377B">
              <w:rPr>
                <w:rFonts w:ascii="Arial" w:hAnsi="Arial" w:cs="Arial"/>
              </w:rPr>
              <w:t>14</w:t>
            </w:r>
          </w:p>
        </w:tc>
        <w:tc>
          <w:tcPr>
            <w:tcW w:w="1897" w:type="dxa"/>
            <w:tcBorders>
              <w:top w:val="nil"/>
            </w:tcBorders>
            <w:vAlign w:val="center"/>
          </w:tcPr>
          <w:p w14:paraId="2A60CD82" w14:textId="77777777" w:rsidR="0009377B" w:rsidRPr="0009377B" w:rsidRDefault="0009377B" w:rsidP="00EC7BE5">
            <w:pPr>
              <w:rPr>
                <w:rFonts w:ascii="Arial" w:hAnsi="Arial" w:cs="Arial"/>
              </w:rPr>
            </w:pPr>
            <w:r w:rsidRPr="0009377B">
              <w:rPr>
                <w:rFonts w:ascii="Arial" w:hAnsi="Arial" w:cs="Arial"/>
              </w:rPr>
              <w:t>2</w:t>
            </w:r>
          </w:p>
        </w:tc>
        <w:tc>
          <w:tcPr>
            <w:tcW w:w="1897" w:type="dxa"/>
            <w:tcBorders>
              <w:top w:val="nil"/>
            </w:tcBorders>
            <w:vAlign w:val="center"/>
          </w:tcPr>
          <w:p w14:paraId="5EB8B736"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nil"/>
            </w:tcBorders>
            <w:vAlign w:val="center"/>
          </w:tcPr>
          <w:p w14:paraId="6F597B4A" w14:textId="77777777" w:rsidR="0009377B" w:rsidRPr="0009377B" w:rsidRDefault="0009377B" w:rsidP="00EC7BE5">
            <w:pPr>
              <w:rPr>
                <w:rFonts w:ascii="Arial" w:hAnsi="Arial" w:cs="Arial"/>
              </w:rPr>
            </w:pPr>
            <w:r w:rsidRPr="0009377B">
              <w:rPr>
                <w:rFonts w:ascii="Arial" w:hAnsi="Arial" w:cs="Arial"/>
              </w:rPr>
              <w:t>50</w:t>
            </w:r>
          </w:p>
        </w:tc>
        <w:tc>
          <w:tcPr>
            <w:tcW w:w="1897" w:type="dxa"/>
            <w:tcBorders>
              <w:top w:val="nil"/>
            </w:tcBorders>
            <w:vAlign w:val="center"/>
          </w:tcPr>
          <w:p w14:paraId="56DBBC91" w14:textId="77777777" w:rsidR="0009377B" w:rsidRPr="0009377B" w:rsidRDefault="0009377B" w:rsidP="00EC7BE5">
            <w:pPr>
              <w:rPr>
                <w:rFonts w:ascii="Arial" w:hAnsi="Arial" w:cs="Arial"/>
              </w:rPr>
            </w:pPr>
            <w:r w:rsidRPr="0009377B">
              <w:rPr>
                <w:rFonts w:ascii="Arial" w:hAnsi="Arial" w:cs="Arial"/>
              </w:rPr>
              <w:t>78.971</w:t>
            </w:r>
          </w:p>
        </w:tc>
      </w:tr>
      <w:tr w:rsidR="0009377B" w:rsidRPr="0009377B" w14:paraId="20516E21" w14:textId="77777777" w:rsidTr="0009377B">
        <w:trPr>
          <w:jc w:val="center"/>
        </w:trPr>
        <w:tc>
          <w:tcPr>
            <w:tcW w:w="1897" w:type="dxa"/>
            <w:tcBorders>
              <w:top w:val="nil"/>
              <w:bottom w:val="single" w:sz="4" w:space="0" w:color="auto"/>
            </w:tcBorders>
            <w:vAlign w:val="center"/>
          </w:tcPr>
          <w:p w14:paraId="4D1CCA08"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nil"/>
              <w:bottom w:val="single" w:sz="4" w:space="0" w:color="auto"/>
            </w:tcBorders>
            <w:vAlign w:val="center"/>
          </w:tcPr>
          <w:p w14:paraId="647F8047" w14:textId="77777777" w:rsidR="0009377B" w:rsidRPr="0009377B" w:rsidRDefault="0009377B" w:rsidP="00EC7BE5">
            <w:pPr>
              <w:rPr>
                <w:rFonts w:ascii="Arial" w:hAnsi="Arial" w:cs="Arial"/>
              </w:rPr>
            </w:pPr>
            <w:r w:rsidRPr="0009377B">
              <w:rPr>
                <w:rFonts w:ascii="Arial" w:hAnsi="Arial" w:cs="Arial"/>
              </w:rPr>
              <w:t>2</w:t>
            </w:r>
          </w:p>
        </w:tc>
        <w:tc>
          <w:tcPr>
            <w:tcW w:w="1897" w:type="dxa"/>
            <w:tcBorders>
              <w:top w:val="nil"/>
              <w:bottom w:val="single" w:sz="4" w:space="0" w:color="auto"/>
            </w:tcBorders>
            <w:vAlign w:val="center"/>
          </w:tcPr>
          <w:p w14:paraId="0A6908CD" w14:textId="77777777" w:rsidR="0009377B" w:rsidRPr="0009377B" w:rsidRDefault="0009377B" w:rsidP="00EC7BE5">
            <w:pPr>
              <w:rPr>
                <w:rFonts w:ascii="Arial" w:hAnsi="Arial" w:cs="Arial"/>
              </w:rPr>
            </w:pPr>
            <w:r w:rsidRPr="0009377B">
              <w:rPr>
                <w:rFonts w:ascii="Arial" w:hAnsi="Arial" w:cs="Arial"/>
              </w:rPr>
              <w:t>35</w:t>
            </w:r>
          </w:p>
        </w:tc>
        <w:tc>
          <w:tcPr>
            <w:tcW w:w="1897" w:type="dxa"/>
            <w:tcBorders>
              <w:top w:val="nil"/>
              <w:bottom w:val="single" w:sz="4" w:space="0" w:color="auto"/>
            </w:tcBorders>
            <w:vAlign w:val="center"/>
          </w:tcPr>
          <w:p w14:paraId="7A834E40"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top w:val="nil"/>
              <w:bottom w:val="single" w:sz="4" w:space="0" w:color="auto"/>
            </w:tcBorders>
            <w:vAlign w:val="center"/>
          </w:tcPr>
          <w:p w14:paraId="1A5DECC8" w14:textId="77777777" w:rsidR="0009377B" w:rsidRPr="0009377B" w:rsidRDefault="0009377B" w:rsidP="00EC7BE5">
            <w:pPr>
              <w:rPr>
                <w:rFonts w:ascii="Arial" w:hAnsi="Arial" w:cs="Arial"/>
              </w:rPr>
            </w:pPr>
            <w:r w:rsidRPr="0009377B">
              <w:rPr>
                <w:rFonts w:ascii="Arial" w:hAnsi="Arial" w:cs="Arial"/>
              </w:rPr>
              <w:t>80.077</w:t>
            </w:r>
          </w:p>
        </w:tc>
      </w:tr>
    </w:tbl>
    <w:p w14:paraId="6EFAA7AD" w14:textId="77777777" w:rsidR="0009377B" w:rsidRDefault="0009377B" w:rsidP="0009377B">
      <w:pPr>
        <w:pStyle w:val="Head1"/>
        <w:spacing w:after="0"/>
        <w:jc w:val="both"/>
        <w:rPr>
          <w:rFonts w:ascii="Arial" w:hAnsi="Arial" w:cs="Arial"/>
        </w:rPr>
      </w:pPr>
    </w:p>
    <w:p w14:paraId="20FF80D3" w14:textId="77777777" w:rsidR="00EF5516" w:rsidRDefault="00EF5516" w:rsidP="00336B3A">
      <w:pPr>
        <w:pStyle w:val="Head1"/>
        <w:spacing w:after="0"/>
        <w:jc w:val="both"/>
        <w:rPr>
          <w:rFonts w:ascii="Arial" w:hAnsi="Arial" w:cs="Arial"/>
        </w:rPr>
      </w:pPr>
    </w:p>
    <w:p w14:paraId="04FDE490" w14:textId="77777777" w:rsidR="00902823" w:rsidRDefault="00000F8F" w:rsidP="00336B3A">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1B362DD9" w14:textId="77777777" w:rsidR="004332A4" w:rsidRDefault="004332A4" w:rsidP="004332A4">
      <w:pPr>
        <w:pStyle w:val="Body"/>
        <w:spacing w:after="0"/>
        <w:rPr>
          <w:rFonts w:ascii="Arial" w:hAnsi="Arial" w:cs="Arial"/>
          <w:b/>
          <w:caps/>
        </w:rPr>
      </w:pPr>
    </w:p>
    <w:p w14:paraId="0889A6E4" w14:textId="77777777" w:rsidR="004332A4" w:rsidRDefault="004332A4" w:rsidP="004332A4">
      <w:pPr>
        <w:pStyle w:val="Body"/>
        <w:spacing w:after="0"/>
        <w:rPr>
          <w:rFonts w:ascii="Arial" w:hAnsi="Arial" w:cs="Arial"/>
          <w:b/>
        </w:rPr>
      </w:pPr>
      <w:bookmarkStart w:id="0" w:name="_Hlk238090481"/>
      <w:r w:rsidRPr="00773219">
        <w:rPr>
          <w:rFonts w:ascii="Arial" w:hAnsi="Arial" w:cs="Arial"/>
          <w:b/>
          <w:caps/>
        </w:rPr>
        <w:t xml:space="preserve">3.1 </w:t>
      </w:r>
      <w:r w:rsidRPr="00773219">
        <w:rPr>
          <w:rFonts w:ascii="Arial" w:hAnsi="Arial" w:cs="Arial"/>
          <w:b/>
        </w:rPr>
        <w:t>Results</w:t>
      </w:r>
    </w:p>
    <w:bookmarkEnd w:id="0"/>
    <w:p w14:paraId="23D43021" w14:textId="77777777" w:rsidR="00EF5516" w:rsidRDefault="00EF5516" w:rsidP="004332A4">
      <w:pPr>
        <w:pStyle w:val="Body"/>
        <w:spacing w:after="0"/>
        <w:rPr>
          <w:rFonts w:ascii="Arial" w:hAnsi="Arial" w:cs="Arial"/>
          <w:b/>
        </w:rPr>
      </w:pPr>
    </w:p>
    <w:p w14:paraId="1E47176A" w14:textId="77777777" w:rsidR="00CD4D54" w:rsidRPr="00EF5516" w:rsidRDefault="00CD4D54" w:rsidP="004332A4">
      <w:pPr>
        <w:pStyle w:val="Body"/>
        <w:spacing w:after="0"/>
        <w:rPr>
          <w:rFonts w:ascii="Arial" w:hAnsi="Arial" w:cs="Arial"/>
          <w:b/>
          <w:bCs/>
          <w:u w:val="single"/>
        </w:rPr>
      </w:pPr>
      <w:r w:rsidRPr="00EF5516">
        <w:rPr>
          <w:rFonts w:ascii="Arial" w:hAnsi="Arial" w:cs="Arial"/>
          <w:b/>
          <w:bCs/>
          <w:u w:val="single"/>
        </w:rPr>
        <w:t xml:space="preserve">3.1.1. </w:t>
      </w:r>
      <w:r w:rsidR="00D93A57" w:rsidRPr="00EF5516">
        <w:rPr>
          <w:rFonts w:ascii="Arial" w:hAnsi="Arial" w:cs="Arial"/>
          <w:b/>
          <w:bCs/>
          <w:u w:val="single"/>
        </w:rPr>
        <w:t xml:space="preserve">Initial Total Astaxanthin Content </w:t>
      </w:r>
      <w:r w:rsidRPr="00EF5516">
        <w:rPr>
          <w:rFonts w:ascii="Arial" w:hAnsi="Arial" w:cs="Arial"/>
          <w:b/>
          <w:bCs/>
          <w:u w:val="single"/>
        </w:rPr>
        <w:t>(M</w:t>
      </w:r>
      <w:r w:rsidRPr="00EF5516">
        <w:rPr>
          <w:rFonts w:ascii="Arial" w:hAnsi="Arial" w:cs="Arial"/>
          <w:b/>
          <w:bCs/>
          <w:u w:val="single"/>
          <w:vertAlign w:val="subscript"/>
        </w:rPr>
        <w:t>total</w:t>
      </w:r>
      <w:r w:rsidRPr="00EF5516">
        <w:rPr>
          <w:rFonts w:ascii="Arial" w:hAnsi="Arial" w:cs="Arial"/>
          <w:b/>
          <w:bCs/>
          <w:u w:val="single"/>
        </w:rPr>
        <w:t>)</w:t>
      </w:r>
    </w:p>
    <w:p w14:paraId="285A048B" w14:textId="77777777" w:rsidR="00EF5516" w:rsidRDefault="00EF5516" w:rsidP="00D93A57">
      <w:pPr>
        <w:tabs>
          <w:tab w:val="left" w:pos="1080"/>
        </w:tabs>
        <w:jc w:val="both"/>
        <w:rPr>
          <w:rFonts w:ascii="Arial" w:hAnsi="Arial"/>
          <w:bCs/>
        </w:rPr>
      </w:pPr>
    </w:p>
    <w:p w14:paraId="206D0378" w14:textId="77777777" w:rsidR="00D93A57" w:rsidRDefault="00D93A57" w:rsidP="00D93A57">
      <w:pPr>
        <w:tabs>
          <w:tab w:val="left" w:pos="1080"/>
        </w:tabs>
        <w:jc w:val="both"/>
        <w:rPr>
          <w:rFonts w:ascii="Arial" w:hAnsi="Arial"/>
          <w:bCs/>
        </w:rPr>
      </w:pPr>
      <w:r>
        <w:rPr>
          <w:rFonts w:ascii="Arial" w:hAnsi="Arial"/>
          <w:bCs/>
        </w:rPr>
        <w:t xml:space="preserve">The initial total astaxanthin content of the </w:t>
      </w:r>
      <w:r>
        <w:rPr>
          <w:rFonts w:ascii="Arial" w:hAnsi="Arial"/>
          <w:bCs/>
          <w:highlight w:val="yellow"/>
        </w:rPr>
        <w:t>standardised</w:t>
      </w:r>
      <w:r>
        <w:rPr>
          <w:rFonts w:ascii="Arial" w:hAnsi="Arial"/>
          <w:bCs/>
        </w:rPr>
        <w:t xml:space="preserve"> </w:t>
      </w:r>
      <w:r w:rsidR="00CC3C77" w:rsidRPr="00CC3C77">
        <w:rPr>
          <w:rFonts w:ascii="Arial" w:hAnsi="Arial"/>
          <w:bCs/>
          <w:i/>
          <w:iCs/>
        </w:rPr>
        <w:t xml:space="preserve">Haematococcus pluvialis </w:t>
      </w:r>
      <w:r w:rsidRPr="00D93A57">
        <w:rPr>
          <w:rFonts w:ascii="Arial" w:hAnsi="Arial"/>
          <w:bCs/>
        </w:rPr>
        <w:t>biomass was determined by exhaustive acid-assisted extraction followed by acetone extraction and used as the reference value (M</w:t>
      </w:r>
      <w:r w:rsidRPr="00D93A57">
        <w:rPr>
          <w:rFonts w:ascii="Arial" w:hAnsi="Arial"/>
          <w:bCs/>
          <w:vertAlign w:val="subscript"/>
        </w:rPr>
        <w:t>total</w:t>
      </w:r>
      <w:r w:rsidRPr="00D93A57">
        <w:rPr>
          <w:rFonts w:ascii="Arial" w:hAnsi="Arial"/>
          <w:bCs/>
        </w:rPr>
        <w:t xml:space="preserve">) for subsequent recovery calculations. The determined astaxanthin content ranged from 20.67 to 22.85 mg/g DW across eight independent replicates (n=8), with a mean value of 21.94 mg/g DW and an RSD of 2.83% (Table </w:t>
      </w:r>
      <w:r w:rsidR="0009377B">
        <w:rPr>
          <w:rFonts w:ascii="Arial" w:hAnsi="Arial"/>
          <w:bCs/>
        </w:rPr>
        <w:t>3</w:t>
      </w:r>
      <w:r w:rsidRPr="00D93A57">
        <w:rPr>
          <w:rFonts w:ascii="Arial" w:hAnsi="Arial"/>
          <w:bCs/>
        </w:rPr>
        <w:t>). The low RSD indicates good repeatability of the reference extraction and provides a consistent baseline for evaluating the efficiency of the subsequent enzyme-assisted ultrasound extraction process.</w:t>
      </w:r>
    </w:p>
    <w:p w14:paraId="112AC433" w14:textId="77777777" w:rsidR="00EF5516" w:rsidRDefault="00EF5516" w:rsidP="00A8591C">
      <w:pPr>
        <w:tabs>
          <w:tab w:val="left" w:pos="1080"/>
        </w:tabs>
        <w:jc w:val="center"/>
        <w:rPr>
          <w:rFonts w:ascii="Arial" w:hAnsi="Arial"/>
          <w:b/>
        </w:rPr>
      </w:pPr>
    </w:p>
    <w:p w14:paraId="30B59572" w14:textId="77777777" w:rsidR="00EF5516" w:rsidRPr="00CB7508" w:rsidRDefault="009500A6" w:rsidP="00EF5516">
      <w:pPr>
        <w:tabs>
          <w:tab w:val="left" w:pos="1080"/>
        </w:tabs>
        <w:jc w:val="center"/>
        <w:rPr>
          <w:rFonts w:ascii="Arial" w:hAnsi="Arial"/>
          <w:b/>
        </w:rPr>
      </w:pPr>
      <w:r w:rsidRPr="00CB7508">
        <w:rPr>
          <w:rFonts w:ascii="Arial" w:hAnsi="Arial"/>
          <w:b/>
        </w:rPr>
        <w:t xml:space="preserve">Table </w:t>
      </w:r>
      <w:r w:rsidR="0009377B">
        <w:rPr>
          <w:rFonts w:ascii="Arial" w:hAnsi="Arial"/>
          <w:b/>
        </w:rPr>
        <w:t>3</w:t>
      </w:r>
      <w:r w:rsidRPr="00CB7508">
        <w:rPr>
          <w:rFonts w:ascii="Arial" w:hAnsi="Arial"/>
          <w:b/>
        </w:rPr>
        <w:t>.</w:t>
      </w:r>
      <w:r w:rsidR="00A8591C" w:rsidRPr="00CB7508">
        <w:rPr>
          <w:rFonts w:ascii="Arial" w:hAnsi="Arial"/>
          <w:b/>
        </w:rPr>
        <w:t xml:space="preserve"> </w:t>
      </w:r>
      <w:r>
        <w:rPr>
          <w:rFonts w:ascii="Arial" w:hAnsi="Arial"/>
          <w:b/>
        </w:rPr>
        <w:t xml:space="preserve">Initial total astaxanthin content of </w:t>
      </w:r>
      <w:r>
        <w:rPr>
          <w:rFonts w:ascii="Arial" w:hAnsi="Arial"/>
          <w:b/>
          <w:highlight w:val="yellow"/>
        </w:rPr>
        <w:t>standardised</w:t>
      </w:r>
      <w:r>
        <w:rPr>
          <w:rFonts w:ascii="Arial" w:hAnsi="Arial"/>
          <w:b/>
        </w:rPr>
        <w:t xml:space="preserve"> </w:t>
      </w:r>
      <w:r w:rsidR="00CC3C77" w:rsidRPr="00CC3C77">
        <w:rPr>
          <w:rFonts w:ascii="Arial" w:hAnsi="Arial"/>
          <w:b/>
          <w:i/>
          <w:iCs/>
        </w:rPr>
        <w:t>H. pluvialis</w:t>
      </w:r>
      <w:r>
        <w:rPr>
          <w:rFonts w:ascii="Arial" w:hAnsi="Arial"/>
          <w:b/>
          <w:i/>
          <w:iCs/>
          <w:highlight w:val="yellow"/>
        </w:rPr>
        <w:t xml:space="preserve"> </w:t>
      </w:r>
      <w:r w:rsidR="00D93A57" w:rsidRPr="00CB7508">
        <w:rPr>
          <w:rFonts w:ascii="Arial" w:hAnsi="Arial"/>
          <w:b/>
        </w:rPr>
        <w:t>biomass determined by exhaustive extraction (n=8)</w:t>
      </w:r>
    </w:p>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162"/>
      </w:tblGrid>
      <w:tr w:rsidR="00EF5516" w:rsidRPr="00F91C7F" w14:paraId="2F7C392B" w14:textId="77777777" w:rsidTr="00A9692B">
        <w:trPr>
          <w:jc w:val="center"/>
        </w:trPr>
        <w:tc>
          <w:tcPr>
            <w:tcW w:w="4395" w:type="dxa"/>
            <w:tcBorders>
              <w:top w:val="single" w:sz="4" w:space="0" w:color="auto"/>
              <w:bottom w:val="single" w:sz="4" w:space="0" w:color="auto"/>
            </w:tcBorders>
            <w:hideMark/>
          </w:tcPr>
          <w:p w14:paraId="413303BE"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Parameter</w:t>
            </w:r>
          </w:p>
        </w:tc>
        <w:tc>
          <w:tcPr>
            <w:tcW w:w="1162" w:type="dxa"/>
            <w:tcBorders>
              <w:top w:val="single" w:sz="4" w:space="0" w:color="auto"/>
              <w:bottom w:val="single" w:sz="4" w:space="0" w:color="auto"/>
            </w:tcBorders>
            <w:hideMark/>
          </w:tcPr>
          <w:p w14:paraId="5D2354E2"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Value</w:t>
            </w:r>
          </w:p>
        </w:tc>
      </w:tr>
      <w:tr w:rsidR="00EF5516" w:rsidRPr="00F91C7F" w14:paraId="0C0A17CF" w14:textId="77777777" w:rsidTr="00A9692B">
        <w:trPr>
          <w:jc w:val="center"/>
        </w:trPr>
        <w:tc>
          <w:tcPr>
            <w:tcW w:w="4395" w:type="dxa"/>
            <w:tcBorders>
              <w:top w:val="single" w:sz="4" w:space="0" w:color="auto"/>
            </w:tcBorders>
            <w:hideMark/>
          </w:tcPr>
          <w:p w14:paraId="4BAA0302" w14:textId="77777777" w:rsidR="00EF5516" w:rsidRPr="00F91C7F" w:rsidRDefault="00EF5516" w:rsidP="00A9692B">
            <w:pPr>
              <w:jc w:val="both"/>
              <w:rPr>
                <w:rFonts w:ascii="Arial" w:eastAsia="Times New Roman" w:hAnsi="Arial" w:cs="Arial"/>
                <w:sz w:val="20"/>
                <w:szCs w:val="20"/>
              </w:rPr>
            </w:pPr>
            <w:r>
              <w:rPr>
                <w:rFonts w:ascii="Arial" w:eastAsia="Times New Roman" w:hAnsi="Arial" w:cs="Arial"/>
                <w:sz w:val="20"/>
                <w:szCs w:val="20"/>
              </w:rPr>
              <w:t xml:space="preserve">Number </w:t>
            </w:r>
            <w:r w:rsidR="00414257">
              <w:rPr>
                <w:rFonts w:ascii="Arial" w:eastAsia="Times New Roman" w:hAnsi="Arial" w:cs="Arial"/>
                <w:sz w:val="20"/>
                <w:szCs w:val="20"/>
              </w:rPr>
              <w:t xml:space="preserve">of </w:t>
            </w:r>
            <w:r>
              <w:rPr>
                <w:rFonts w:ascii="Arial" w:eastAsia="Times New Roman" w:hAnsi="Arial" w:cs="Arial"/>
                <w:sz w:val="20"/>
                <w:szCs w:val="20"/>
              </w:rPr>
              <w:t>r</w:t>
            </w:r>
            <w:r w:rsidRPr="00F91C7F">
              <w:rPr>
                <w:rFonts w:ascii="Arial" w:eastAsia="Times New Roman" w:hAnsi="Arial" w:cs="Arial"/>
                <w:sz w:val="20"/>
                <w:szCs w:val="20"/>
              </w:rPr>
              <w:t>eplicates (n)</w:t>
            </w:r>
          </w:p>
        </w:tc>
        <w:tc>
          <w:tcPr>
            <w:tcW w:w="1162" w:type="dxa"/>
            <w:tcBorders>
              <w:top w:val="single" w:sz="4" w:space="0" w:color="auto"/>
            </w:tcBorders>
            <w:hideMark/>
          </w:tcPr>
          <w:p w14:paraId="54423C24"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8</w:t>
            </w:r>
          </w:p>
        </w:tc>
      </w:tr>
      <w:tr w:rsidR="00EF5516" w:rsidRPr="00F91C7F" w14:paraId="25DDED25" w14:textId="77777777" w:rsidTr="00A9692B">
        <w:trPr>
          <w:jc w:val="center"/>
        </w:trPr>
        <w:tc>
          <w:tcPr>
            <w:tcW w:w="4395" w:type="dxa"/>
            <w:hideMark/>
          </w:tcPr>
          <w:p w14:paraId="7A4014CC"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Minimum value (mg/g DW)</w:t>
            </w:r>
          </w:p>
        </w:tc>
        <w:tc>
          <w:tcPr>
            <w:tcW w:w="1162" w:type="dxa"/>
            <w:hideMark/>
          </w:tcPr>
          <w:p w14:paraId="076AC395"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20.67</w:t>
            </w:r>
          </w:p>
        </w:tc>
      </w:tr>
      <w:tr w:rsidR="00EF5516" w:rsidRPr="00F91C7F" w14:paraId="270173F7" w14:textId="77777777" w:rsidTr="00A9692B">
        <w:trPr>
          <w:jc w:val="center"/>
        </w:trPr>
        <w:tc>
          <w:tcPr>
            <w:tcW w:w="4395" w:type="dxa"/>
            <w:hideMark/>
          </w:tcPr>
          <w:p w14:paraId="4DDF58E4"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Maximum value (mg/g DW)</w:t>
            </w:r>
          </w:p>
        </w:tc>
        <w:tc>
          <w:tcPr>
            <w:tcW w:w="1162" w:type="dxa"/>
            <w:hideMark/>
          </w:tcPr>
          <w:p w14:paraId="0C62025D"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22.85</w:t>
            </w:r>
          </w:p>
        </w:tc>
      </w:tr>
      <w:tr w:rsidR="00EF5516" w:rsidRPr="00F91C7F" w14:paraId="139C535A" w14:textId="77777777" w:rsidTr="00A9692B">
        <w:trPr>
          <w:jc w:val="center"/>
        </w:trPr>
        <w:tc>
          <w:tcPr>
            <w:tcW w:w="4395" w:type="dxa"/>
            <w:hideMark/>
          </w:tcPr>
          <w:p w14:paraId="7DCA9DD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Mean concentration (M</w:t>
            </w:r>
            <w:r w:rsidRPr="00F91C7F">
              <w:rPr>
                <w:rFonts w:ascii="Arial" w:eastAsia="Times New Roman" w:hAnsi="Arial" w:cs="Arial"/>
                <w:b/>
                <w:bCs/>
                <w:sz w:val="20"/>
                <w:szCs w:val="20"/>
                <w:vertAlign w:val="subscript"/>
              </w:rPr>
              <w:t>total</w:t>
            </w:r>
            <w:r w:rsidRPr="00F91C7F">
              <w:rPr>
                <w:rFonts w:ascii="Arial" w:eastAsia="Times New Roman" w:hAnsi="Arial" w:cs="Arial"/>
                <w:b/>
                <w:bCs/>
                <w:sz w:val="20"/>
                <w:szCs w:val="20"/>
              </w:rPr>
              <w:t>)</w:t>
            </w:r>
            <w:r>
              <w:rPr>
                <w:rFonts w:ascii="Arial" w:eastAsia="Times New Roman" w:hAnsi="Arial" w:cs="Arial"/>
                <w:b/>
                <w:bCs/>
                <w:sz w:val="20"/>
                <w:szCs w:val="20"/>
              </w:rPr>
              <w:t xml:space="preserve"> </w:t>
            </w:r>
            <w:r w:rsidRPr="00D93A57">
              <w:rPr>
                <w:rFonts w:ascii="Arial" w:eastAsia="Times New Roman" w:hAnsi="Arial" w:cs="Arial"/>
                <w:b/>
                <w:bCs/>
                <w:sz w:val="20"/>
                <w:szCs w:val="20"/>
              </w:rPr>
              <w:t>mg/g DW</w:t>
            </w:r>
          </w:p>
        </w:tc>
        <w:tc>
          <w:tcPr>
            <w:tcW w:w="1162" w:type="dxa"/>
            <w:hideMark/>
          </w:tcPr>
          <w:p w14:paraId="61159259"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 xml:space="preserve">21.94 </w:t>
            </w:r>
          </w:p>
        </w:tc>
      </w:tr>
      <w:tr w:rsidR="00EF5516" w:rsidRPr="00F91C7F" w14:paraId="1C1A02AB" w14:textId="77777777" w:rsidTr="00A9692B">
        <w:trPr>
          <w:jc w:val="center"/>
        </w:trPr>
        <w:tc>
          <w:tcPr>
            <w:tcW w:w="4395" w:type="dxa"/>
            <w:hideMark/>
          </w:tcPr>
          <w:p w14:paraId="6F36503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Relative Standard Deviation (RSD)</w:t>
            </w:r>
          </w:p>
        </w:tc>
        <w:tc>
          <w:tcPr>
            <w:tcW w:w="1162" w:type="dxa"/>
            <w:hideMark/>
          </w:tcPr>
          <w:p w14:paraId="11AFB0B0"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2.83%</w:t>
            </w:r>
          </w:p>
        </w:tc>
      </w:tr>
    </w:tbl>
    <w:p w14:paraId="2CE50C79" w14:textId="77777777" w:rsidR="00CD4D54" w:rsidRPr="00EF5516" w:rsidRDefault="00CD4D54" w:rsidP="00EF5516">
      <w:pPr>
        <w:tabs>
          <w:tab w:val="left" w:pos="1080"/>
        </w:tabs>
        <w:rPr>
          <w:rFonts w:ascii="Arial" w:hAnsi="Arial"/>
          <w:b/>
        </w:rPr>
      </w:pPr>
    </w:p>
    <w:p w14:paraId="6A1C5A31" w14:textId="77777777" w:rsidR="00052C7C" w:rsidRPr="00EF5516" w:rsidRDefault="00052C7C" w:rsidP="00052C7C">
      <w:pPr>
        <w:pStyle w:val="Body"/>
        <w:rPr>
          <w:rFonts w:ascii="Arial" w:hAnsi="Arial" w:cs="Arial"/>
          <w:b/>
          <w:bCs/>
          <w:u w:val="single"/>
        </w:rPr>
      </w:pPr>
      <w:r w:rsidRPr="00EF5516">
        <w:rPr>
          <w:rFonts w:ascii="Arial" w:hAnsi="Arial" w:cs="Arial"/>
          <w:b/>
          <w:bCs/>
          <w:u w:val="single"/>
        </w:rPr>
        <w:t>3.1.2. Effect of Enzymatic and Ultrasound-Assisted Treatments on Astaxanthin Recovery</w:t>
      </w:r>
    </w:p>
    <w:p w14:paraId="5CBCFAA4" w14:textId="77777777" w:rsidR="00E84C44" w:rsidRDefault="00E84C44" w:rsidP="00E84C44">
      <w:pPr>
        <w:jc w:val="both"/>
      </w:pPr>
      <w:r>
        <w:rPr>
          <w:rFonts w:ascii="Arial" w:eastAsia="Arial" w:hAnsi="Arial" w:cs="Arial"/>
        </w:rPr>
        <w:t xml:space="preserve">The effects of enzymatic and ultrasound-assisted treatments on astaxanthin extraction from </w:t>
      </w:r>
      <w:r>
        <w:rPr>
          <w:rFonts w:ascii="Arial" w:eastAsia="Arial" w:hAnsi="Arial" w:cs="Arial"/>
          <w:highlight w:val="yellow"/>
        </w:rPr>
        <w:t>standardised</w:t>
      </w:r>
      <w:r>
        <w:rPr>
          <w:rFonts w:ascii="Arial" w:eastAsia="Arial" w:hAnsi="Arial" w:cs="Arial"/>
        </w:rPr>
        <w:t xml:space="preserve"> dried </w:t>
      </w:r>
      <w:r w:rsidR="00CC3C77" w:rsidRPr="00CC3C77">
        <w:rPr>
          <w:rFonts w:ascii="Arial" w:eastAsia="Arial" w:hAnsi="Arial" w:cs="Arial"/>
          <w:i/>
          <w:iCs/>
        </w:rPr>
        <w:t xml:space="preserve">Haematococcus pluvialis </w:t>
      </w:r>
      <w:r>
        <w:rPr>
          <w:rFonts w:ascii="Arial" w:eastAsia="Arial" w:hAnsi="Arial" w:cs="Arial"/>
        </w:rPr>
        <w:t xml:space="preserve">biomass were evaluated using six treatment conditions: untreated control (Control), cellulase pretreatment (E1), pectinase pretreatment </w:t>
      </w:r>
      <w:r>
        <w:rPr>
          <w:rFonts w:ascii="Arial" w:eastAsia="Arial" w:hAnsi="Arial" w:cs="Arial"/>
        </w:rPr>
        <w:lastRenderedPageBreak/>
        <w:t xml:space="preserve">(E2), combined cellulase–pectinase pretreatment (E3), ultrasound-assisted extraction alone (U), and combined enzyme–ultrasound extraction (EU). Table </w:t>
      </w:r>
      <w:r w:rsidR="0009377B">
        <w:rPr>
          <w:rFonts w:ascii="Arial" w:eastAsia="Arial" w:hAnsi="Arial" w:cs="Arial"/>
        </w:rPr>
        <w:t>4</w:t>
      </w:r>
      <w:r>
        <w:rPr>
          <w:rFonts w:ascii="Arial" w:eastAsia="Arial" w:hAnsi="Arial" w:cs="Arial"/>
        </w:rPr>
        <w:t xml:space="preserve"> </w:t>
      </w:r>
      <w:r>
        <w:rPr>
          <w:rFonts w:ascii="Arial" w:eastAsia="Arial" w:hAnsi="Arial" w:cs="Arial"/>
          <w:highlight w:val="yellow"/>
        </w:rPr>
        <w:t>summarises</w:t>
      </w:r>
      <w:r>
        <w:rPr>
          <w:rFonts w:ascii="Arial" w:eastAsia="Arial" w:hAnsi="Arial" w:cs="Arial"/>
        </w:rPr>
        <w:t xml:space="preserve"> the astaxanthin concentrations and recovery yields from the three independent replicates.</w:t>
      </w:r>
    </w:p>
    <w:p w14:paraId="58E8548C" w14:textId="77777777" w:rsidR="00052C7C" w:rsidRPr="00052C7C" w:rsidRDefault="00052C7C" w:rsidP="00052C7C">
      <w:pPr>
        <w:pStyle w:val="Body"/>
        <w:spacing w:after="0"/>
        <w:rPr>
          <w:rFonts w:ascii="Arial" w:hAnsi="Arial" w:cs="Arial"/>
        </w:rPr>
      </w:pPr>
    </w:p>
    <w:p w14:paraId="64005912" w14:textId="77777777" w:rsidR="00E84C44" w:rsidRDefault="00E84C44" w:rsidP="00E84C44">
      <w:pPr>
        <w:jc w:val="both"/>
      </w:pPr>
      <w:r>
        <w:rPr>
          <w:rFonts w:ascii="Arial" w:eastAsia="Arial" w:hAnsi="Arial" w:cs="Arial"/>
        </w:rPr>
        <w:t xml:space="preserve">The Control and individual treatments resulted in very low astaxanthin recovery. The mean astaxanthin concentrations for Control, E1, E2, E3, and U were 0.061, </w:t>
      </w:r>
      <w:r>
        <w:rPr>
          <w:rFonts w:ascii="Arial" w:eastAsia="Arial" w:hAnsi="Arial" w:cs="Arial"/>
          <w:highlight w:val="yellow"/>
        </w:rPr>
        <w:t>0.047</w:t>
      </w:r>
      <w:r>
        <w:rPr>
          <w:rFonts w:ascii="Arial" w:eastAsia="Arial" w:hAnsi="Arial" w:cs="Arial"/>
        </w:rPr>
        <w:t xml:space="preserve">, 0.062, 0.044, and 0.042 mg/g, respectively, corresponding to recovery yields of 0.277, 0.212, 0.284, 0.200, and 0.191%. These values represented less than 0.3% of the initial astaxanthin content </w:t>
      </w:r>
      <w:r>
        <w:rPr>
          <w:rFonts w:ascii="Arial" w:eastAsia="Arial" w:hAnsi="Arial" w:cs="Arial"/>
          <w:highlight w:val="yellow"/>
        </w:rPr>
        <w:t>(Mtotal = 21.94 mg/g DW)</w:t>
      </w:r>
      <w:r>
        <w:rPr>
          <w:rFonts w:ascii="Arial" w:eastAsia="Arial" w:hAnsi="Arial" w:cs="Arial"/>
        </w:rPr>
        <w:t>, indicating that cellulase, pectinase, their combination, or ultrasound alone produced only limited astaxanthin recovery under the conditions investigated.</w:t>
      </w:r>
    </w:p>
    <w:p w14:paraId="7C65FC0D" w14:textId="77777777" w:rsidR="00E84C44" w:rsidRDefault="00E84C44" w:rsidP="00E84C44">
      <w:pPr>
        <w:jc w:val="both"/>
      </w:pPr>
      <w:r>
        <w:rPr>
          <w:rFonts w:ascii="Arial" w:eastAsia="Arial" w:hAnsi="Arial" w:cs="Arial"/>
        </w:rPr>
        <w:t xml:space="preserve">In marked contrast, the combined enzyme–ultrasound treatment (EU) substantially enhanced astaxanthin extraction. The mean astaxanthin concentration reached 4.568 mg/g, corresponding to a 20.822% recovery. Relative to the untreated Control, the EU treatment </w:t>
      </w:r>
      <w:r>
        <w:rPr>
          <w:rFonts w:ascii="Arial" w:eastAsia="Arial" w:hAnsi="Arial" w:cs="Arial"/>
          <w:highlight w:val="yellow"/>
        </w:rPr>
        <w:t>increased the recovered astaxanthin concentration</w:t>
      </w:r>
      <w:r>
        <w:rPr>
          <w:rFonts w:ascii="Arial" w:eastAsia="Arial" w:hAnsi="Arial" w:cs="Arial"/>
        </w:rPr>
        <w:t xml:space="preserve"> by approximately 75-fold (4.568 vs. 0.061 mg/g) and increased recovery from 0.277 to 20.822%.</w:t>
      </w:r>
    </w:p>
    <w:p w14:paraId="6F8369DE" w14:textId="77777777" w:rsidR="00F167BA" w:rsidRDefault="00F167BA" w:rsidP="00F167BA">
      <w:pPr>
        <w:pStyle w:val="Body"/>
        <w:spacing w:after="0"/>
        <w:rPr>
          <w:rFonts w:ascii="Arial" w:hAnsi="Arial" w:cs="Arial"/>
        </w:rPr>
      </w:pPr>
    </w:p>
    <w:p w14:paraId="1F816043" w14:textId="77777777" w:rsidR="00E84C44" w:rsidRPr="00F167BA" w:rsidRDefault="00F167BA" w:rsidP="00F167BA">
      <w:pPr>
        <w:pStyle w:val="Body"/>
        <w:spacing w:after="0"/>
        <w:jc w:val="center"/>
        <w:rPr>
          <w:rFonts w:ascii="Arial" w:hAnsi="Arial" w:cs="Arial"/>
          <w:b/>
          <w:bCs/>
        </w:rPr>
      </w:pPr>
      <w:r w:rsidRPr="00052C7C">
        <w:rPr>
          <w:rFonts w:ascii="Arial" w:hAnsi="Arial" w:cs="Arial"/>
          <w:b/>
          <w:bCs/>
        </w:rPr>
        <w:t xml:space="preserve">Table </w:t>
      </w:r>
      <w:r w:rsidR="0009377B">
        <w:rPr>
          <w:rFonts w:ascii="Arial" w:hAnsi="Arial" w:cs="Arial"/>
          <w:b/>
          <w:bCs/>
        </w:rPr>
        <w:t>4</w:t>
      </w:r>
      <w:r w:rsidRPr="00CB7508">
        <w:rPr>
          <w:rFonts w:ascii="Arial" w:hAnsi="Arial" w:cs="Arial"/>
          <w:b/>
          <w:bCs/>
        </w:rPr>
        <w:t>. Astaxanthin concentration and recovery obtained from different enzymatic and ultrasound-assisted extraction treatments</w:t>
      </w:r>
      <w:r w:rsidR="00323E1E">
        <w:rPr>
          <w:rFonts w:ascii="Arial" w:hAnsi="Arial" w:cs="Arial"/>
          <w:b/>
          <w:bCs/>
        </w:rPr>
        <w:t xml:space="preserve"> </w:t>
      </w:r>
      <w:r w:rsidR="00323E1E" w:rsidRPr="00323E1E">
        <w:rPr>
          <w:rFonts w:ascii="Arial" w:hAnsi="Arial" w:cs="Arial"/>
          <w:b/>
          <w:bCs/>
        </w:rPr>
        <w:t>(n = 3 independent replicates per treatment).</w:t>
      </w:r>
    </w:p>
    <w:tbl>
      <w:tblPr>
        <w:tblStyle w:val="TableGrid"/>
        <w:tblpPr w:leftFromText="180" w:rightFromText="180" w:vertAnchor="text" w:horzAnchor="margin"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1842"/>
        <w:gridCol w:w="3266"/>
      </w:tblGrid>
      <w:tr w:rsidR="00F167BA" w:rsidRPr="00052C7C" w14:paraId="35B310A6" w14:textId="77777777" w:rsidTr="00F167BA">
        <w:tc>
          <w:tcPr>
            <w:tcW w:w="2972" w:type="dxa"/>
            <w:tcBorders>
              <w:top w:val="single" w:sz="4" w:space="0" w:color="auto"/>
              <w:bottom w:val="single" w:sz="4" w:space="0" w:color="auto"/>
            </w:tcBorders>
            <w:hideMark/>
          </w:tcPr>
          <w:p w14:paraId="4156B27F"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Treatment</w:t>
            </w:r>
          </w:p>
        </w:tc>
        <w:tc>
          <w:tcPr>
            <w:tcW w:w="1842" w:type="dxa"/>
            <w:tcBorders>
              <w:top w:val="single" w:sz="4" w:space="0" w:color="auto"/>
              <w:bottom w:val="single" w:sz="4" w:space="0" w:color="auto"/>
            </w:tcBorders>
            <w:hideMark/>
          </w:tcPr>
          <w:p w14:paraId="360A88E8"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Astaxanthin concentration (mg/g)</w:t>
            </w:r>
          </w:p>
        </w:tc>
        <w:tc>
          <w:tcPr>
            <w:tcW w:w="3266" w:type="dxa"/>
            <w:tcBorders>
              <w:top w:val="single" w:sz="4" w:space="0" w:color="auto"/>
              <w:bottom w:val="single" w:sz="4" w:space="0" w:color="auto"/>
            </w:tcBorders>
            <w:hideMark/>
          </w:tcPr>
          <w:p w14:paraId="4D32ECCB"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Recovery (%)</w:t>
            </w:r>
          </w:p>
        </w:tc>
      </w:tr>
      <w:tr w:rsidR="00F167BA" w:rsidRPr="00052C7C" w14:paraId="3F250D54" w14:textId="77777777" w:rsidTr="00F167BA">
        <w:tc>
          <w:tcPr>
            <w:tcW w:w="2972" w:type="dxa"/>
            <w:tcBorders>
              <w:top w:val="single" w:sz="4" w:space="0" w:color="auto"/>
            </w:tcBorders>
            <w:hideMark/>
          </w:tcPr>
          <w:p w14:paraId="31926F2C"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Control</w:t>
            </w:r>
          </w:p>
        </w:tc>
        <w:tc>
          <w:tcPr>
            <w:tcW w:w="1842" w:type="dxa"/>
            <w:tcBorders>
              <w:top w:val="single" w:sz="4" w:space="0" w:color="auto"/>
            </w:tcBorders>
            <w:hideMark/>
          </w:tcPr>
          <w:p w14:paraId="59BFADAB"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0.061 ± 0.001</w:t>
            </w:r>
          </w:p>
        </w:tc>
        <w:tc>
          <w:tcPr>
            <w:tcW w:w="3266" w:type="dxa"/>
            <w:tcBorders>
              <w:top w:val="single" w:sz="4" w:space="0" w:color="auto"/>
            </w:tcBorders>
            <w:hideMark/>
          </w:tcPr>
          <w:p w14:paraId="29766C4A"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0.277 ± 0.003</w:t>
            </w:r>
          </w:p>
        </w:tc>
      </w:tr>
      <w:tr w:rsidR="00F167BA" w:rsidRPr="00052C7C" w14:paraId="150BC120" w14:textId="77777777" w:rsidTr="00F167BA">
        <w:tc>
          <w:tcPr>
            <w:tcW w:w="2972" w:type="dxa"/>
            <w:hideMark/>
          </w:tcPr>
          <w:p w14:paraId="0B7D1D12"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E1 – Cellulase</w:t>
            </w:r>
          </w:p>
        </w:tc>
        <w:tc>
          <w:tcPr>
            <w:tcW w:w="1842" w:type="dxa"/>
            <w:hideMark/>
          </w:tcPr>
          <w:p w14:paraId="59D0EEF0"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0.047 ± 0.024</w:t>
            </w:r>
          </w:p>
        </w:tc>
        <w:tc>
          <w:tcPr>
            <w:tcW w:w="3266" w:type="dxa"/>
            <w:hideMark/>
          </w:tcPr>
          <w:p w14:paraId="3F6B5E41"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0.212 ± 0.107</w:t>
            </w:r>
          </w:p>
        </w:tc>
      </w:tr>
      <w:tr w:rsidR="00F167BA" w:rsidRPr="00052C7C" w14:paraId="15729F3A" w14:textId="77777777" w:rsidTr="00F167BA">
        <w:tc>
          <w:tcPr>
            <w:tcW w:w="2972" w:type="dxa"/>
            <w:hideMark/>
          </w:tcPr>
          <w:p w14:paraId="7EFCB679"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E2 – Pectinase</w:t>
            </w:r>
          </w:p>
        </w:tc>
        <w:tc>
          <w:tcPr>
            <w:tcW w:w="1842" w:type="dxa"/>
            <w:hideMark/>
          </w:tcPr>
          <w:p w14:paraId="3FF13598"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0.062 ± 0.022</w:t>
            </w:r>
          </w:p>
        </w:tc>
        <w:tc>
          <w:tcPr>
            <w:tcW w:w="3266" w:type="dxa"/>
            <w:hideMark/>
          </w:tcPr>
          <w:p w14:paraId="23A1E8F4"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0.284 ± 0.102</w:t>
            </w:r>
          </w:p>
        </w:tc>
      </w:tr>
      <w:tr w:rsidR="00F167BA" w:rsidRPr="00052C7C" w14:paraId="362F4C49" w14:textId="77777777" w:rsidTr="00F167BA">
        <w:tc>
          <w:tcPr>
            <w:tcW w:w="2972" w:type="dxa"/>
            <w:hideMark/>
          </w:tcPr>
          <w:p w14:paraId="69532B97"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E3 – Cellulase + Pectinase</w:t>
            </w:r>
          </w:p>
        </w:tc>
        <w:tc>
          <w:tcPr>
            <w:tcW w:w="1842" w:type="dxa"/>
            <w:hideMark/>
          </w:tcPr>
          <w:p w14:paraId="36BC308C"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0.044 ± 0.026</w:t>
            </w:r>
          </w:p>
        </w:tc>
        <w:tc>
          <w:tcPr>
            <w:tcW w:w="3266" w:type="dxa"/>
            <w:hideMark/>
          </w:tcPr>
          <w:p w14:paraId="6C9F4BE4"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0.200 ± 0.117</w:t>
            </w:r>
          </w:p>
        </w:tc>
      </w:tr>
      <w:tr w:rsidR="00F167BA" w:rsidRPr="00052C7C" w14:paraId="34DDBA25" w14:textId="77777777" w:rsidTr="00F167BA">
        <w:tc>
          <w:tcPr>
            <w:tcW w:w="2972" w:type="dxa"/>
            <w:hideMark/>
          </w:tcPr>
          <w:p w14:paraId="4F8E5A12"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U – Ultrasound</w:t>
            </w:r>
          </w:p>
        </w:tc>
        <w:tc>
          <w:tcPr>
            <w:tcW w:w="1842" w:type="dxa"/>
            <w:hideMark/>
          </w:tcPr>
          <w:p w14:paraId="23223E4E"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0.042 ± 0.014</w:t>
            </w:r>
          </w:p>
        </w:tc>
        <w:tc>
          <w:tcPr>
            <w:tcW w:w="3266" w:type="dxa"/>
            <w:hideMark/>
          </w:tcPr>
          <w:p w14:paraId="73BD0109"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0.191 ± 0.062</w:t>
            </w:r>
          </w:p>
        </w:tc>
      </w:tr>
      <w:tr w:rsidR="00F167BA" w:rsidRPr="00052C7C" w14:paraId="262A2F91" w14:textId="77777777" w:rsidTr="00F167BA">
        <w:tc>
          <w:tcPr>
            <w:tcW w:w="2972" w:type="dxa"/>
            <w:tcBorders>
              <w:bottom w:val="single" w:sz="4" w:space="0" w:color="auto"/>
            </w:tcBorders>
            <w:hideMark/>
          </w:tcPr>
          <w:p w14:paraId="393AEB4B"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b/>
                <w:bCs/>
                <w:sz w:val="20"/>
                <w:szCs w:val="20"/>
              </w:rPr>
              <w:t>EU – Enzyme + Ultrasound</w:t>
            </w:r>
          </w:p>
        </w:tc>
        <w:tc>
          <w:tcPr>
            <w:tcW w:w="1842" w:type="dxa"/>
            <w:tcBorders>
              <w:bottom w:val="single" w:sz="4" w:space="0" w:color="auto"/>
            </w:tcBorders>
            <w:hideMark/>
          </w:tcPr>
          <w:p w14:paraId="24616B86"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b/>
                <w:bCs/>
                <w:sz w:val="20"/>
                <w:szCs w:val="20"/>
              </w:rPr>
              <w:t>4.568 ± 0.071</w:t>
            </w:r>
          </w:p>
        </w:tc>
        <w:tc>
          <w:tcPr>
            <w:tcW w:w="3266" w:type="dxa"/>
            <w:tcBorders>
              <w:bottom w:val="single" w:sz="4" w:space="0" w:color="auto"/>
            </w:tcBorders>
            <w:hideMark/>
          </w:tcPr>
          <w:p w14:paraId="4866ADE6"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b/>
                <w:bCs/>
                <w:sz w:val="20"/>
                <w:szCs w:val="20"/>
              </w:rPr>
              <w:t>20.822 ± 0.322</w:t>
            </w:r>
          </w:p>
        </w:tc>
      </w:tr>
    </w:tbl>
    <w:p w14:paraId="3B6F8D71" w14:textId="77777777" w:rsidR="00F167BA" w:rsidRDefault="00F167BA" w:rsidP="00E84C44">
      <w:pPr>
        <w:jc w:val="both"/>
        <w:rPr>
          <w:rFonts w:ascii="Arial" w:eastAsia="Arial" w:hAnsi="Arial" w:cs="Arial"/>
        </w:rPr>
      </w:pPr>
    </w:p>
    <w:p w14:paraId="4191F1A1" w14:textId="77777777" w:rsidR="00E84C44" w:rsidRDefault="00E84C44" w:rsidP="00E84C44">
      <w:pPr>
        <w:jc w:val="both"/>
      </w:pPr>
      <w:r>
        <w:rPr>
          <w:rFonts w:ascii="Arial" w:eastAsia="Arial" w:hAnsi="Arial" w:cs="Arial"/>
        </w:rPr>
        <w:t>One-way ANOVA demonstrated a highly significant effect of treatment on both astaxanthin concentration ((F</w:t>
      </w:r>
      <w:r>
        <w:rPr>
          <w:rFonts w:ascii="Arial" w:eastAsia="Arial" w:hAnsi="Arial" w:cs="Arial"/>
          <w:vertAlign w:val="subscript"/>
        </w:rPr>
        <w:t>5,12</w:t>
      </w:r>
      <w:r>
        <w:rPr>
          <w:rFonts w:ascii="Arial" w:eastAsia="Arial" w:hAnsi="Arial" w:cs="Arial"/>
        </w:rPr>
        <w:t>=8808.80), (p&lt;0.001)) and recovery ((F</w:t>
      </w:r>
      <w:r>
        <w:rPr>
          <w:rFonts w:ascii="Arial" w:eastAsia="Arial" w:hAnsi="Arial" w:cs="Arial"/>
          <w:vertAlign w:val="subscript"/>
        </w:rPr>
        <w:t>5,12</w:t>
      </w:r>
      <w:r>
        <w:rPr>
          <w:rFonts w:ascii="Arial" w:eastAsia="Arial" w:hAnsi="Arial" w:cs="Arial"/>
        </w:rPr>
        <w:t xml:space="preserve">=8895.12), (p&lt;0.001)). Post hoc analysis showed that the EU treatment differed significantly from the other extraction treatments, whereas the Control, E1, E2, E3, and U groups did not differ significantly from one another. </w:t>
      </w:r>
      <w:r>
        <w:rPr>
          <w:rFonts w:ascii="Arial" w:eastAsia="Arial" w:hAnsi="Arial" w:cs="Arial"/>
          <w:highlight w:val="yellow"/>
        </w:rPr>
        <w:t>These results showed that</w:t>
      </w:r>
      <w:r>
        <w:rPr>
          <w:rFonts w:ascii="Arial" w:eastAsia="Arial" w:hAnsi="Arial" w:cs="Arial"/>
        </w:rPr>
        <w:t xml:space="preserve"> the substantial improvement in astaxanthin recovery was associated specifically with the combined application of enzymatic pretreatment and ultrasound rather than with either treatment applied independently.</w:t>
      </w:r>
    </w:p>
    <w:p w14:paraId="16EF9591" w14:textId="77777777" w:rsidR="00052C7C" w:rsidRDefault="00052C7C" w:rsidP="00052C7C">
      <w:pPr>
        <w:pStyle w:val="Body"/>
        <w:spacing w:after="0"/>
        <w:rPr>
          <w:rFonts w:ascii="Arial" w:hAnsi="Arial" w:cs="Arial"/>
        </w:rPr>
      </w:pPr>
    </w:p>
    <w:p w14:paraId="00499A9F" w14:textId="77777777" w:rsidR="00052C7C" w:rsidRPr="00EF5516" w:rsidRDefault="00052C7C" w:rsidP="00052C7C">
      <w:pPr>
        <w:pStyle w:val="Body"/>
        <w:spacing w:after="0"/>
        <w:rPr>
          <w:rFonts w:ascii="Arial" w:hAnsi="Arial" w:cs="Arial"/>
          <w:i/>
          <w:iCs/>
        </w:rPr>
      </w:pPr>
      <w:r w:rsidRPr="00EF5516">
        <w:rPr>
          <w:rFonts w:ascii="Arial" w:hAnsi="Arial" w:cs="Arial"/>
          <w:i/>
          <w:iCs/>
        </w:rPr>
        <w:t>3.1.2.1. Microscopic Evidence of Cellular Disruption</w:t>
      </w:r>
    </w:p>
    <w:p w14:paraId="22BD690E" w14:textId="77777777" w:rsidR="00052C7C" w:rsidRDefault="00052C7C" w:rsidP="00052C7C">
      <w:pPr>
        <w:pStyle w:val="Body"/>
        <w:spacing w:after="0"/>
        <w:rPr>
          <w:rFonts w:ascii="Arial" w:hAnsi="Arial" w:cs="Arial"/>
        </w:rPr>
      </w:pPr>
    </w:p>
    <w:p w14:paraId="577406C4" w14:textId="77777777" w:rsidR="00D60344" w:rsidRPr="00D60344" w:rsidRDefault="00D60344" w:rsidP="00D60344">
      <w:pPr>
        <w:pStyle w:val="Body"/>
        <w:spacing w:after="0"/>
        <w:rPr>
          <w:rFonts w:ascii="Arial" w:eastAsia="Arial" w:hAnsi="Arial" w:cs="Arial"/>
        </w:rPr>
      </w:pPr>
      <w:r>
        <w:rPr>
          <w:rFonts w:ascii="Arial" w:eastAsia="Arial" w:hAnsi="Arial" w:cs="Arial"/>
        </w:rPr>
        <w:t>The</w:t>
      </w:r>
      <w:r w:rsidRPr="00D60344">
        <w:rPr>
          <w:rFonts w:ascii="Arial" w:eastAsia="Arial" w:hAnsi="Arial" w:cs="Arial"/>
        </w:rPr>
        <w:t xml:space="preserve"> microscopic observations were consistent with the quantitative extraction results (Figure 1). The Control cells exhibited predominantly intact spherical morphology with intense orange-red intracellular pigmentation. Similar cellular morphology was observed in the cellulase (E1), pectinase (E2), and cellulase–pectinase (E3) treatments, with most cells retaining their spherical shape and visible pigmentation.</w:t>
      </w:r>
    </w:p>
    <w:p w14:paraId="19347CC6" w14:textId="77777777" w:rsidR="00D60344" w:rsidRPr="00D60344" w:rsidRDefault="00D60344" w:rsidP="00D60344">
      <w:pPr>
        <w:pStyle w:val="Body"/>
        <w:spacing w:after="0"/>
        <w:rPr>
          <w:rFonts w:ascii="Arial" w:eastAsia="Arial" w:hAnsi="Arial" w:cs="Arial"/>
        </w:rPr>
      </w:pPr>
    </w:p>
    <w:p w14:paraId="0DA37D2B" w14:textId="77777777" w:rsidR="00D60344" w:rsidRPr="00D60344" w:rsidRDefault="00D60344" w:rsidP="00D60344">
      <w:pPr>
        <w:pStyle w:val="Body"/>
        <w:spacing w:after="0"/>
        <w:rPr>
          <w:rFonts w:ascii="Arial" w:eastAsia="Arial" w:hAnsi="Arial" w:cs="Arial"/>
        </w:rPr>
      </w:pPr>
      <w:r>
        <w:rPr>
          <w:rFonts w:ascii="Arial" w:eastAsia="Arial" w:hAnsi="Arial" w:cs="Arial"/>
        </w:rPr>
        <w:t xml:space="preserve">Ultrasound treatment alone (U) produced some morphological alterations and cellular debris; however, many apparently intact pigmented cells remained visible. </w:t>
      </w:r>
      <w:r>
        <w:rPr>
          <w:rFonts w:ascii="Arial" w:eastAsia="Arial" w:hAnsi="Arial" w:cs="Arial"/>
          <w:highlight w:val="yellow"/>
        </w:rPr>
        <w:t>In contrast, the combined enzyme–ultrasound treatment</w:t>
      </w:r>
      <w:r>
        <w:rPr>
          <w:rFonts w:ascii="Arial" w:eastAsia="Arial" w:hAnsi="Arial" w:cs="Arial"/>
        </w:rPr>
        <w:t xml:space="preserve"> (EU) caused pronounced morphological disruption, with fewer intact pigmented cells, increased cellular debris, and the appearance of apparently </w:t>
      </w:r>
      <w:r>
        <w:rPr>
          <w:rFonts w:ascii="Arial" w:eastAsia="Arial" w:hAnsi="Arial" w:cs="Arial"/>
          <w:highlight w:val="yellow"/>
        </w:rPr>
        <w:t>decolourised</w:t>
      </w:r>
      <w:r>
        <w:rPr>
          <w:rFonts w:ascii="Arial" w:eastAsia="Arial" w:hAnsi="Arial" w:cs="Arial"/>
        </w:rPr>
        <w:t xml:space="preserve"> cellular remnants.</w:t>
      </w:r>
    </w:p>
    <w:p w14:paraId="540587CD" w14:textId="77777777" w:rsidR="00D60344" w:rsidRPr="00D60344" w:rsidRDefault="00D60344" w:rsidP="00D60344">
      <w:pPr>
        <w:pStyle w:val="Body"/>
        <w:spacing w:after="0"/>
        <w:rPr>
          <w:rFonts w:ascii="Arial" w:eastAsia="Arial" w:hAnsi="Arial" w:cs="Arial"/>
        </w:rPr>
      </w:pPr>
    </w:p>
    <w:p w14:paraId="7337B19D" w14:textId="77777777" w:rsidR="003B1185" w:rsidRPr="00052C7C" w:rsidRDefault="00D60344" w:rsidP="00D60344">
      <w:pPr>
        <w:pStyle w:val="Body"/>
        <w:spacing w:after="0"/>
        <w:rPr>
          <w:rFonts w:ascii="Arial" w:hAnsi="Arial" w:cs="Arial"/>
        </w:rPr>
      </w:pPr>
      <w:r w:rsidRPr="00D60344">
        <w:rPr>
          <w:rFonts w:ascii="Arial" w:eastAsia="Arial" w:hAnsi="Arial" w:cs="Arial"/>
        </w:rPr>
        <w:t xml:space="preserve">The marked difference between the EU treatment and the individual treatments is consistent with complementary effects of enzymatic pretreatment and ultrasound. Enzymatic hydrolysis </w:t>
      </w:r>
      <w:r w:rsidRPr="00D60344">
        <w:rPr>
          <w:rFonts w:ascii="Arial" w:eastAsia="Arial" w:hAnsi="Arial" w:cs="Arial"/>
        </w:rPr>
        <w:lastRenderedPageBreak/>
        <w:t>may weaken the polysaccharide-rich cellular matrix, increasing cell susceptibility to subsequent ultrasonic disruption, while ultrasound-induced cavitation may enhance mechanical disruption and mass transfer. The substantially higher astaxanthin recovery observed for EU compared with the enzyme-only and ultrasound-only treatments further supports the complementary effects of enzymatic pretreatment and ultrasound-assisted extraction.</w:t>
      </w:r>
    </w:p>
    <w:tbl>
      <w:tblPr>
        <w:tblStyle w:val="TableGrid"/>
        <w:tblW w:w="9350" w:type="dxa"/>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559"/>
        <w:gridCol w:w="1559"/>
        <w:gridCol w:w="1559"/>
        <w:gridCol w:w="1559"/>
        <w:gridCol w:w="1559"/>
      </w:tblGrid>
      <w:tr w:rsidR="003B1185" w14:paraId="1B507FEE" w14:textId="77777777" w:rsidTr="003B1185">
        <w:trPr>
          <w:trHeight w:val="1787"/>
        </w:trPr>
        <w:tc>
          <w:tcPr>
            <w:tcW w:w="1555" w:type="dxa"/>
          </w:tcPr>
          <w:p w14:paraId="3AA5D4B0" w14:textId="77777777" w:rsidR="003B1185" w:rsidRPr="00470C13" w:rsidRDefault="003B1185" w:rsidP="00FA5DE8">
            <w:pPr>
              <w:pStyle w:val="NormalWeb"/>
              <w:spacing w:before="0" w:beforeAutospacing="0" w:after="0" w:afterAutospacing="0"/>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58240" behindDoc="0" locked="0" layoutInCell="1" allowOverlap="1" wp14:anchorId="1526869B" wp14:editId="75A93BFA">
                  <wp:simplePos x="0" y="0"/>
                  <wp:positionH relativeFrom="column">
                    <wp:posOffset>-53048</wp:posOffset>
                  </wp:positionH>
                  <wp:positionV relativeFrom="paragraph">
                    <wp:posOffset>1905</wp:posOffset>
                  </wp:positionV>
                  <wp:extent cx="1005840" cy="972820"/>
                  <wp:effectExtent l="0" t="0" r="381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142" t="39693" r="13486" b="3436"/>
                          <a:stretch/>
                        </pic:blipFill>
                        <pic:spPr bwMode="auto">
                          <a:xfrm>
                            <a:off x="0" y="0"/>
                            <a:ext cx="100584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C13">
              <w:rPr>
                <w:rFonts w:ascii="Arial" w:hAnsi="Arial" w:cs="Arial"/>
                <w:sz w:val="20"/>
                <w:szCs w:val="20"/>
              </w:rPr>
              <w:t>Control</w:t>
            </w:r>
          </w:p>
        </w:tc>
        <w:tc>
          <w:tcPr>
            <w:tcW w:w="1559" w:type="dxa"/>
          </w:tcPr>
          <w:p w14:paraId="06DD3923" w14:textId="77777777" w:rsidR="003B1185" w:rsidRPr="00470C13" w:rsidRDefault="003B1185" w:rsidP="00FA5DE8">
            <w:pPr>
              <w:pStyle w:val="NormalWeb"/>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59264" behindDoc="0" locked="0" layoutInCell="1" allowOverlap="1" wp14:anchorId="5284E056" wp14:editId="786ECC8B">
                  <wp:simplePos x="0" y="0"/>
                  <wp:positionH relativeFrom="column">
                    <wp:posOffset>-65405</wp:posOffset>
                  </wp:positionH>
                  <wp:positionV relativeFrom="paragraph">
                    <wp:posOffset>0</wp:posOffset>
                  </wp:positionV>
                  <wp:extent cx="981075" cy="977265"/>
                  <wp:effectExtent l="0" t="0" r="952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948" t="21864" r="12067" b="20788"/>
                          <a:stretch/>
                        </pic:blipFill>
                        <pic:spPr bwMode="auto">
                          <a:xfrm>
                            <a:off x="0" y="0"/>
                            <a:ext cx="981075" cy="977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0C13">
              <w:rPr>
                <w:rFonts w:ascii="Arial" w:hAnsi="Arial" w:cs="Arial"/>
                <w:sz w:val="20"/>
                <w:szCs w:val="20"/>
              </w:rPr>
              <w:t>Cellulase (E1)</w:t>
            </w:r>
          </w:p>
        </w:tc>
        <w:tc>
          <w:tcPr>
            <w:tcW w:w="1559" w:type="dxa"/>
          </w:tcPr>
          <w:p w14:paraId="6FE594FB"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P</w:t>
            </w:r>
            <w:r w:rsidRPr="005B5745">
              <w:rPr>
                <w:rFonts w:ascii="Arial" w:hAnsi="Arial" w:cs="Arial"/>
                <w:sz w:val="20"/>
                <w:szCs w:val="20"/>
              </w:rPr>
              <w:t>ectinase (E2)</w:t>
            </w:r>
            <w:r w:rsidRPr="005B5745">
              <w:rPr>
                <w:rFonts w:ascii="Arial" w:hAnsi="Arial" w:cs="Arial"/>
                <w:noProof/>
                <w:sz w:val="20"/>
                <w:szCs w:val="20"/>
              </w:rPr>
              <w:drawing>
                <wp:anchor distT="0" distB="0" distL="114300" distR="114300" simplePos="0" relativeHeight="251660288" behindDoc="0" locked="0" layoutInCell="1" allowOverlap="1" wp14:anchorId="4C30D484" wp14:editId="4DA9F1E6">
                  <wp:simplePos x="0" y="0"/>
                  <wp:positionH relativeFrom="column">
                    <wp:posOffset>-65405</wp:posOffset>
                  </wp:positionH>
                  <wp:positionV relativeFrom="paragraph">
                    <wp:posOffset>0</wp:posOffset>
                  </wp:positionV>
                  <wp:extent cx="996950" cy="9829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379" t="23068" r="5259" b="18197"/>
                          <a:stretch/>
                        </pic:blipFill>
                        <pic:spPr bwMode="auto">
                          <a:xfrm>
                            <a:off x="0" y="0"/>
                            <a:ext cx="996950" cy="982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559153E6" w14:textId="77777777" w:rsidR="003B1185" w:rsidRPr="005B5745" w:rsidRDefault="003B1185" w:rsidP="00FA5DE8">
            <w:pPr>
              <w:pStyle w:val="NormalWeb"/>
              <w:jc w:val="center"/>
              <w:rPr>
                <w:rFonts w:ascii="Arial" w:hAnsi="Arial" w:cs="Arial"/>
                <w:sz w:val="20"/>
                <w:szCs w:val="20"/>
              </w:rPr>
            </w:pPr>
            <w:r>
              <w:rPr>
                <w:rFonts w:ascii="Arial" w:hAnsi="Arial" w:cs="Arial"/>
                <w:noProof/>
                <w:sz w:val="20"/>
                <w:szCs w:val="20"/>
              </w:rPr>
              <w:t>C</w:t>
            </w:r>
            <w:r w:rsidRPr="005B5745">
              <w:rPr>
                <w:rFonts w:ascii="Arial" w:hAnsi="Arial" w:cs="Arial"/>
                <w:noProof/>
                <w:sz w:val="20"/>
                <w:szCs w:val="20"/>
              </w:rPr>
              <w:t>ellulase–pectinase (E3)</w:t>
            </w:r>
            <w:r w:rsidRPr="00470C13">
              <w:rPr>
                <w:rFonts w:ascii="Arial" w:hAnsi="Arial" w:cs="Arial"/>
                <w:noProof/>
                <w:sz w:val="20"/>
                <w:szCs w:val="20"/>
              </w:rPr>
              <w:drawing>
                <wp:anchor distT="0" distB="0" distL="114300" distR="114300" simplePos="0" relativeHeight="251661312" behindDoc="0" locked="0" layoutInCell="1" allowOverlap="1" wp14:anchorId="57F177FD" wp14:editId="0BB1D2B5">
                  <wp:simplePos x="0" y="0"/>
                  <wp:positionH relativeFrom="column">
                    <wp:posOffset>-59055</wp:posOffset>
                  </wp:positionH>
                  <wp:positionV relativeFrom="paragraph">
                    <wp:posOffset>173</wp:posOffset>
                  </wp:positionV>
                  <wp:extent cx="963295" cy="971550"/>
                  <wp:effectExtent l="0" t="0" r="825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0658" t="23700" r="4676" b="19840"/>
                          <a:stretch/>
                        </pic:blipFill>
                        <pic:spPr bwMode="auto">
                          <a:xfrm>
                            <a:off x="0" y="0"/>
                            <a:ext cx="963295" cy="97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434C7BFE" w14:textId="77777777" w:rsidR="003B1185" w:rsidRPr="005B5745" w:rsidRDefault="003B1185" w:rsidP="00FA5DE8">
            <w:pPr>
              <w:pStyle w:val="NormalWeb"/>
              <w:jc w:val="center"/>
              <w:rPr>
                <w:rFonts w:ascii="Arial" w:hAnsi="Arial" w:cs="Arial"/>
                <w:sz w:val="20"/>
                <w:szCs w:val="20"/>
              </w:rPr>
            </w:pPr>
            <w:r w:rsidRPr="005B5745">
              <w:rPr>
                <w:rFonts w:ascii="Arial" w:hAnsi="Arial" w:cs="Arial"/>
                <w:noProof/>
                <w:sz w:val="20"/>
                <w:szCs w:val="20"/>
              </w:rPr>
              <w:drawing>
                <wp:anchor distT="0" distB="0" distL="114300" distR="114300" simplePos="0" relativeHeight="251662336" behindDoc="0" locked="0" layoutInCell="1" allowOverlap="1" wp14:anchorId="1FA1E190" wp14:editId="3FED2E8A">
                  <wp:simplePos x="0" y="0"/>
                  <wp:positionH relativeFrom="column">
                    <wp:posOffset>-67945</wp:posOffset>
                  </wp:positionH>
                  <wp:positionV relativeFrom="paragraph">
                    <wp:posOffset>0</wp:posOffset>
                  </wp:positionV>
                  <wp:extent cx="968375" cy="960755"/>
                  <wp:effectExtent l="0" t="0" r="317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7981" t="18267" r="6107" b="25249"/>
                          <a:stretch/>
                        </pic:blipFill>
                        <pic:spPr bwMode="auto">
                          <a:xfrm>
                            <a:off x="0" y="0"/>
                            <a:ext cx="968375" cy="96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U</w:t>
            </w:r>
            <w:r w:rsidRPr="005B5745">
              <w:rPr>
                <w:rFonts w:ascii="Arial" w:hAnsi="Arial" w:cs="Arial"/>
                <w:noProof/>
                <w:sz w:val="20"/>
                <w:szCs w:val="20"/>
              </w:rPr>
              <w:t>ltrasound (U)</w:t>
            </w:r>
          </w:p>
        </w:tc>
        <w:tc>
          <w:tcPr>
            <w:tcW w:w="1559" w:type="dxa"/>
          </w:tcPr>
          <w:p w14:paraId="683D8627"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E</w:t>
            </w:r>
            <w:r w:rsidRPr="005B5745">
              <w:rPr>
                <w:rFonts w:ascii="Arial" w:hAnsi="Arial" w:cs="Arial"/>
                <w:sz w:val="20"/>
                <w:szCs w:val="20"/>
              </w:rPr>
              <w:t>nzyme–ultrasound (EU)</w:t>
            </w:r>
            <w:r w:rsidRPr="005B5745">
              <w:rPr>
                <w:rFonts w:ascii="Arial" w:hAnsi="Arial" w:cs="Arial"/>
                <w:noProof/>
                <w:sz w:val="20"/>
                <w:szCs w:val="20"/>
              </w:rPr>
              <w:drawing>
                <wp:anchor distT="0" distB="0" distL="114300" distR="114300" simplePos="0" relativeHeight="251663360" behindDoc="0" locked="0" layoutInCell="1" allowOverlap="1" wp14:anchorId="47D22EDD" wp14:editId="091F343C">
                  <wp:simplePos x="0" y="0"/>
                  <wp:positionH relativeFrom="column">
                    <wp:posOffset>-68464</wp:posOffset>
                  </wp:positionH>
                  <wp:positionV relativeFrom="paragraph">
                    <wp:posOffset>116</wp:posOffset>
                  </wp:positionV>
                  <wp:extent cx="968375" cy="95377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444" t="18254" r="887" b="24375"/>
                          <a:stretch/>
                        </pic:blipFill>
                        <pic:spPr bwMode="auto">
                          <a:xfrm>
                            <a:off x="0" y="0"/>
                            <a:ext cx="968375" cy="953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A48874D" w14:textId="77777777" w:rsidR="00052C7C" w:rsidRPr="00CB7508" w:rsidRDefault="003B1185" w:rsidP="00CB7508">
      <w:pPr>
        <w:pStyle w:val="Body"/>
        <w:spacing w:after="0"/>
        <w:jc w:val="center"/>
        <w:rPr>
          <w:rFonts w:ascii="Arial" w:hAnsi="Arial" w:cs="Arial"/>
          <w:b/>
          <w:bCs/>
        </w:rPr>
      </w:pPr>
      <w:r w:rsidRPr="00CB7508">
        <w:rPr>
          <w:rFonts w:ascii="Arial" w:hAnsi="Arial" w:cs="Arial"/>
          <w:b/>
          <w:bCs/>
        </w:rPr>
        <w:t xml:space="preserve">Fig.1. Microscopic evidence of cellular disruption in </w:t>
      </w:r>
      <w:r w:rsidR="00CC3C77" w:rsidRPr="00CC3C77">
        <w:rPr>
          <w:rFonts w:ascii="Arial" w:hAnsi="Arial" w:cs="Arial"/>
          <w:b/>
          <w:bCs/>
          <w:i/>
          <w:iCs/>
        </w:rPr>
        <w:t xml:space="preserve">Haematococcus pluvialis </w:t>
      </w:r>
      <w:r w:rsidRPr="00CB7508">
        <w:rPr>
          <w:rFonts w:ascii="Arial" w:hAnsi="Arial" w:cs="Arial"/>
          <w:b/>
          <w:bCs/>
        </w:rPr>
        <w:t>following enzymatic and ultrasound-assisted treatments.</w:t>
      </w:r>
    </w:p>
    <w:p w14:paraId="4B7B9DDE" w14:textId="77777777" w:rsidR="00052C7C" w:rsidRDefault="00052C7C" w:rsidP="00052C7C">
      <w:pPr>
        <w:pStyle w:val="Body"/>
        <w:spacing w:after="0"/>
        <w:rPr>
          <w:rFonts w:ascii="Arial" w:hAnsi="Arial" w:cs="Arial"/>
        </w:rPr>
      </w:pPr>
    </w:p>
    <w:p w14:paraId="60642217" w14:textId="77777777" w:rsidR="00052C7C" w:rsidRPr="00EF5516" w:rsidRDefault="00052C7C" w:rsidP="00052C7C">
      <w:pPr>
        <w:pStyle w:val="Body"/>
        <w:spacing w:after="0"/>
        <w:rPr>
          <w:rFonts w:ascii="Arial" w:hAnsi="Arial" w:cs="Arial"/>
          <w:i/>
          <w:iCs/>
        </w:rPr>
      </w:pPr>
      <w:r w:rsidRPr="00EF5516">
        <w:rPr>
          <w:rFonts w:ascii="Arial" w:hAnsi="Arial" w:cs="Arial"/>
          <w:i/>
          <w:iCs/>
        </w:rPr>
        <w:t>3.1.2.2 Overall Performance of the Integrated Extraction Process</w:t>
      </w:r>
    </w:p>
    <w:p w14:paraId="7C7CC164" w14:textId="77777777" w:rsidR="00EF5516" w:rsidRDefault="00EF5516" w:rsidP="00052C7C">
      <w:pPr>
        <w:pStyle w:val="Body"/>
        <w:spacing w:after="0"/>
        <w:rPr>
          <w:rFonts w:ascii="Arial" w:hAnsi="Arial" w:cs="Arial"/>
          <w:i/>
          <w:iCs/>
        </w:rPr>
      </w:pPr>
    </w:p>
    <w:p w14:paraId="59140EE4" w14:textId="77777777" w:rsidR="00E84C44" w:rsidRDefault="00E84C44" w:rsidP="00E84C44">
      <w:pPr>
        <w:jc w:val="both"/>
      </w:pPr>
      <w:r>
        <w:rPr>
          <w:rFonts w:ascii="Arial" w:eastAsia="Arial" w:hAnsi="Arial" w:cs="Arial"/>
          <w:highlight w:val="yellow"/>
        </w:rPr>
        <w:t>The results showed that</w:t>
      </w:r>
      <w:r>
        <w:rPr>
          <w:rFonts w:ascii="Arial" w:eastAsia="Arial" w:hAnsi="Arial" w:cs="Arial"/>
        </w:rPr>
        <w:t xml:space="preserve"> the integrated enzyme–ultrasound process was substantially more effective than the individual treatments for recovering astaxanthin from dried </w:t>
      </w:r>
      <w:r w:rsidR="00CC3C77" w:rsidRPr="00CC3C77">
        <w:rPr>
          <w:rFonts w:ascii="Arial" w:eastAsia="Arial" w:hAnsi="Arial" w:cs="Arial"/>
          <w:i/>
          <w:iCs/>
        </w:rPr>
        <w:t>H. pluvialis</w:t>
      </w:r>
      <w:r>
        <w:rPr>
          <w:rFonts w:ascii="Arial" w:eastAsia="Arial" w:hAnsi="Arial" w:cs="Arial"/>
          <w:i/>
          <w:iCs/>
          <w:highlight w:val="yellow"/>
        </w:rPr>
        <w:t xml:space="preserve"> </w:t>
      </w:r>
      <w:r>
        <w:rPr>
          <w:rFonts w:ascii="Arial" w:eastAsia="Arial" w:hAnsi="Arial" w:cs="Arial"/>
        </w:rPr>
        <w:t xml:space="preserve">biomass. Although the enzyme-only and ultrasound-only treatments yielded recoveries below 0.3%, their combination increased recovery to 20.822%. This pronounced improvement provides the experimental basis for applying the enzyme–ultrasound system as the core extraction platform for subsequent response-surface </w:t>
      </w:r>
      <w:r>
        <w:rPr>
          <w:rFonts w:ascii="Arial" w:eastAsia="Arial" w:hAnsi="Arial" w:cs="Arial"/>
          <w:highlight w:val="yellow"/>
        </w:rPr>
        <w:t>modelling</w:t>
      </w:r>
      <w:r>
        <w:rPr>
          <w:rFonts w:ascii="Arial" w:eastAsia="Arial" w:hAnsi="Arial" w:cs="Arial"/>
        </w:rPr>
        <w:t>.</w:t>
      </w:r>
    </w:p>
    <w:p w14:paraId="718C1A84" w14:textId="77777777" w:rsidR="00E84C44" w:rsidRDefault="00E84C44" w:rsidP="00E84C44">
      <w:pPr>
        <w:jc w:val="both"/>
      </w:pPr>
      <w:r>
        <w:rPr>
          <w:rFonts w:ascii="Arial" w:eastAsia="Arial" w:hAnsi="Arial" w:cs="Arial"/>
        </w:rPr>
        <w:t xml:space="preserve">The EU treatment was therefore selected for the subsequent screening and </w:t>
      </w:r>
      <w:r>
        <w:rPr>
          <w:rFonts w:ascii="Arial" w:eastAsia="Arial" w:hAnsi="Arial" w:cs="Arial"/>
          <w:highlight w:val="yellow"/>
        </w:rPr>
        <w:t>optimisation</w:t>
      </w:r>
      <w:r>
        <w:rPr>
          <w:rFonts w:ascii="Arial" w:eastAsia="Arial" w:hAnsi="Arial" w:cs="Arial"/>
        </w:rPr>
        <w:t xml:space="preserve"> experiments, with the cellulase–pectinase composition, total enzyme concentration, sonication duration, and liquid-to-solid ratio </w:t>
      </w:r>
      <w:r>
        <w:rPr>
          <w:rFonts w:ascii="Arial" w:eastAsia="Arial" w:hAnsi="Arial" w:cs="Arial"/>
          <w:highlight w:val="yellow"/>
        </w:rPr>
        <w:t>considered process variables</w:t>
      </w:r>
      <w:r>
        <w:rPr>
          <w:rFonts w:ascii="Arial" w:eastAsia="Arial" w:hAnsi="Arial" w:cs="Arial"/>
        </w:rPr>
        <w:t xml:space="preserve"> according to the experimental design.</w:t>
      </w:r>
    </w:p>
    <w:p w14:paraId="26E2240E" w14:textId="77777777" w:rsidR="00B44BB5" w:rsidRDefault="00B44BB5" w:rsidP="00052C7C">
      <w:pPr>
        <w:pStyle w:val="Body"/>
        <w:spacing w:after="0"/>
        <w:rPr>
          <w:rFonts w:ascii="Arial" w:hAnsi="Arial" w:cs="Arial"/>
        </w:rPr>
      </w:pPr>
    </w:p>
    <w:p w14:paraId="4C8DE85B" w14:textId="77777777" w:rsidR="00B44BB5" w:rsidRPr="00CB7508" w:rsidRDefault="00AC1E92" w:rsidP="00B44BB5">
      <w:pPr>
        <w:pStyle w:val="Body"/>
        <w:rPr>
          <w:rFonts w:ascii="Arial" w:hAnsi="Arial" w:cs="Arial"/>
          <w:b/>
          <w:bCs/>
          <w:u w:val="single"/>
        </w:rPr>
      </w:pPr>
      <w:r w:rsidRPr="00CB7508">
        <w:rPr>
          <w:rFonts w:ascii="Arial" w:hAnsi="Arial" w:cs="Arial"/>
          <w:b/>
          <w:bCs/>
          <w:u w:val="single"/>
        </w:rPr>
        <w:t>3.1</w:t>
      </w:r>
      <w:r w:rsidR="00B44BB5" w:rsidRPr="00CB7508">
        <w:rPr>
          <w:rFonts w:ascii="Arial" w:hAnsi="Arial" w:cs="Arial"/>
          <w:b/>
          <w:bCs/>
          <w:u w:val="single"/>
        </w:rPr>
        <w:t>.3. Single-Factor Experimental Screening</w:t>
      </w:r>
    </w:p>
    <w:p w14:paraId="7B17B888" w14:textId="77777777" w:rsidR="00E84C44" w:rsidRDefault="00E84C44" w:rsidP="00E84C44">
      <w:pPr>
        <w:spacing w:after="240"/>
        <w:jc w:val="both"/>
      </w:pPr>
      <w:r>
        <w:rPr>
          <w:rFonts w:ascii="Arial" w:eastAsia="Arial" w:hAnsi="Arial" w:cs="Arial"/>
        </w:rPr>
        <w:t xml:space="preserve">Carrier oil screening. </w:t>
      </w:r>
      <w:r w:rsidR="004B3A20" w:rsidRPr="004B3A20">
        <w:rPr>
          <w:rFonts w:ascii="Arial" w:eastAsia="Arial" w:hAnsi="Arial" w:cs="Arial"/>
        </w:rPr>
        <w:t xml:space="preserve">Carrier-oil type significantly affected astaxanthin recovery (one-way ANOVA, </w:t>
      </w:r>
      <w:r w:rsidR="004B3A20">
        <w:rPr>
          <w:rFonts w:ascii="Arial" w:eastAsia="Arial" w:hAnsi="Arial" w:cs="Arial"/>
        </w:rPr>
        <w:t>F</w:t>
      </w:r>
      <w:r w:rsidR="004B3A20" w:rsidRPr="00CC3C77">
        <w:rPr>
          <w:rFonts w:ascii="Arial" w:eastAsia="Arial" w:hAnsi="Arial" w:cs="Arial"/>
          <w:vertAlign w:val="subscript"/>
        </w:rPr>
        <w:t>2,6</w:t>
      </w:r>
      <w:r w:rsidR="004B3A20">
        <w:rPr>
          <w:rFonts w:ascii="Arial" w:eastAsia="Arial" w:hAnsi="Arial" w:cs="Arial"/>
        </w:rPr>
        <w:t xml:space="preserve"> = 55.97, p&lt;0.001</w:t>
      </w:r>
      <w:r w:rsidR="004B3A20" w:rsidRPr="004B3A20">
        <w:rPr>
          <w:rFonts w:ascii="Arial" w:eastAsia="Arial" w:hAnsi="Arial" w:cs="Arial"/>
        </w:rPr>
        <w:t xml:space="preserve">). Soybean oil provided the highest recovery (80.283 ± 1.050%), followed by sunflower oil (64.853 ± 4.725%) and rice-bran oil (52.703 ± 2.700%) (mean ± SD, </w:t>
      </w:r>
      <w:r w:rsidR="004B3A20">
        <w:rPr>
          <w:rFonts w:ascii="Arial" w:eastAsia="Arial" w:hAnsi="Arial" w:cs="Arial"/>
        </w:rPr>
        <w:t>n=3</w:t>
      </w:r>
      <w:r w:rsidR="004B3A20" w:rsidRPr="004B3A20">
        <w:rPr>
          <w:rFonts w:ascii="Arial" w:eastAsia="Arial" w:hAnsi="Arial" w:cs="Arial"/>
        </w:rPr>
        <w:t>). Tukey’s HSD test showed significant differences among all three carrier oils (</w:t>
      </w:r>
      <w:r w:rsidR="004B3A20">
        <w:rPr>
          <w:rFonts w:ascii="Arial" w:eastAsia="Arial" w:hAnsi="Arial" w:cs="Arial"/>
        </w:rPr>
        <w:t>p&lt;0.05</w:t>
      </w:r>
      <w:r w:rsidR="004B3A20" w:rsidRPr="004B3A20">
        <w:rPr>
          <w:rFonts w:ascii="Arial" w:eastAsia="Arial" w:hAnsi="Arial" w:cs="Arial"/>
        </w:rPr>
        <w:t>). Soybean oil was therefore selected as the carrier oil for the subsequent experiments.</w:t>
      </w:r>
    </w:p>
    <w:p w14:paraId="580F3290" w14:textId="77777777" w:rsidR="00E84C44" w:rsidRDefault="004B3A20" w:rsidP="00E84C44">
      <w:pPr>
        <w:spacing w:after="240"/>
        <w:jc w:val="both"/>
      </w:pPr>
      <w:r>
        <w:rPr>
          <w:rFonts w:ascii="Arial" w:eastAsia="Arial" w:hAnsi="Arial" w:cs="Arial"/>
          <w:noProof/>
        </w:rPr>
        <w:lastRenderedPageBreak/>
        <mc:AlternateContent>
          <mc:Choice Requires="wpg">
            <w:drawing>
              <wp:anchor distT="0" distB="0" distL="114300" distR="114300" simplePos="0" relativeHeight="251668480" behindDoc="0" locked="0" layoutInCell="1" allowOverlap="1" wp14:anchorId="3507B478" wp14:editId="7C6F631D">
                <wp:simplePos x="0" y="0"/>
                <wp:positionH relativeFrom="margin">
                  <wp:align>center</wp:align>
                </wp:positionH>
                <wp:positionV relativeFrom="paragraph">
                  <wp:posOffset>1301750</wp:posOffset>
                </wp:positionV>
                <wp:extent cx="4490720" cy="3354070"/>
                <wp:effectExtent l="0" t="0" r="5080" b="0"/>
                <wp:wrapTopAndBottom/>
                <wp:docPr id="6" name="Group 6"/>
                <wp:cNvGraphicFramePr/>
                <a:graphic xmlns:a="http://schemas.openxmlformats.org/drawingml/2006/main">
                  <a:graphicData uri="http://schemas.microsoft.com/office/word/2010/wordprocessingGroup">
                    <wpg:wgp>
                      <wpg:cNvGrpSpPr/>
                      <wpg:grpSpPr>
                        <a:xfrm>
                          <a:off x="0" y="0"/>
                          <a:ext cx="4490720" cy="3354070"/>
                          <a:chOff x="0" y="0"/>
                          <a:chExt cx="4490720" cy="3354070"/>
                        </a:xfrm>
                      </wpg:grpSpPr>
                      <pic:pic xmlns:pic="http://schemas.openxmlformats.org/drawingml/2006/picture">
                        <pic:nvPicPr>
                          <pic:cNvPr id="15" name="Picture 1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0720" cy="3354070"/>
                          </a:xfrm>
                          <a:prstGeom prst="rect">
                            <a:avLst/>
                          </a:prstGeom>
                          <a:noFill/>
                        </pic:spPr>
                      </pic:pic>
                      <wps:wsp>
                        <wps:cNvPr id="3" name="Text Box 3"/>
                        <wps:cNvSpPr txBox="1"/>
                        <wps:spPr>
                          <a:xfrm>
                            <a:off x="4084320" y="60960"/>
                            <a:ext cx="320040" cy="251460"/>
                          </a:xfrm>
                          <a:prstGeom prst="rect">
                            <a:avLst/>
                          </a:prstGeom>
                          <a:solidFill>
                            <a:schemeClr val="lt1"/>
                          </a:solidFill>
                          <a:ln w="6350">
                            <a:solidFill>
                              <a:prstClr val="black"/>
                            </a:solidFill>
                          </a:ln>
                        </wps:spPr>
                        <wps:txbx>
                          <w:txbxContent>
                            <w:p w14:paraId="0DF4B351" w14:textId="77777777" w:rsidR="004B3A20" w:rsidRPr="004B3A20" w:rsidRDefault="004B3A20">
                              <w:pPr>
                                <w:rPr>
                                  <w:b/>
                                  <w:bCs/>
                                </w:rPr>
                              </w:pPr>
                              <w:r w:rsidRPr="004B3A20">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4122420" y="1729740"/>
                            <a:ext cx="320040" cy="251460"/>
                          </a:xfrm>
                          <a:prstGeom prst="rect">
                            <a:avLst/>
                          </a:prstGeom>
                          <a:solidFill>
                            <a:schemeClr val="lt1"/>
                          </a:solidFill>
                          <a:ln w="6350">
                            <a:solidFill>
                              <a:prstClr val="black"/>
                            </a:solidFill>
                          </a:ln>
                        </wps:spPr>
                        <wps:txbx>
                          <w:txbxContent>
                            <w:p w14:paraId="50099884" w14:textId="77777777" w:rsidR="004B3A20" w:rsidRPr="004B3A20" w:rsidRDefault="004B3A20" w:rsidP="004B3A20">
                              <w:pPr>
                                <w:rPr>
                                  <w:b/>
                                  <w:bCs/>
                                </w:rPr>
                              </w:pPr>
                              <w:r w:rsidRPr="004B3A20">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507B478" id="Group 6" o:spid="_x0000_s1026" style="position:absolute;left:0;text-align:left;margin-left:0;margin-top:102.5pt;width:353.6pt;height:264.1pt;z-index:251668480;mso-position-horizontal:center;mso-position-horizontal-relative:margin" coordsize="44907,33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44907;height:33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">
                  <v:imagedata r:id="rId21" o:title=""/>
                </v:shape>
                <v:shapetype id="_x0000_t202" coordsize="21600,21600" o:spt="202" path="m,l,21600r21600,l21600,xe">
                  <v:stroke joinstyle="miter"/>
                  <v:path gradientshapeok="t" o:connecttype="rect"/>
                </v:shapetype>
                <v:shape id="Text Box 3" o:spid="_x0000_s1028" type="#_x0000_t202" style="position:absolute;left:40843;top:609;width:3200;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467E93F9" w14:textId="77777777" w:rsidR="004B3A20" w:rsidRPr="004B3A20" w:rsidRDefault="004B3A20">
                        <w:pPr>
                          <w:rPr>
                            <w:b/>
                            <w:bCs/>
                          </w:rPr>
                        </w:pPr>
                        <w:r w:rsidRPr="004B3A20">
                          <w:rPr>
                            <w:b/>
                            <w:bCs/>
                          </w:rPr>
                          <w:t>A</w:t>
                        </w:r>
                      </w:p>
                    </w:txbxContent>
                  </v:textbox>
                </v:shape>
                <v:shape id="Text Box 5" o:spid="_x0000_s1029" type="#_x0000_t202" style="position:absolute;left:41224;top:17297;width:3200;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6792A0FC" w14:textId="77777777" w:rsidR="004B3A20" w:rsidRPr="004B3A20" w:rsidRDefault="004B3A20" w:rsidP="004B3A20">
                        <w:pPr>
                          <w:rPr>
                            <w:b/>
                            <w:bCs/>
                          </w:rPr>
                        </w:pPr>
                        <w:r w:rsidRPr="004B3A20">
                          <w:rPr>
                            <w:b/>
                            <w:bCs/>
                          </w:rPr>
                          <w:t>B</w:t>
                        </w:r>
                      </w:p>
                    </w:txbxContent>
                  </v:textbox>
                </v:shape>
                <w10:wrap type="topAndBottom" anchorx="margin"/>
              </v:group>
            </w:pict>
          </mc:Fallback>
        </mc:AlternateContent>
      </w:r>
      <w:r w:rsidR="00E84C44">
        <w:rPr>
          <w:rFonts w:ascii="Arial" w:eastAsia="Arial" w:hAnsi="Arial" w:cs="Arial"/>
        </w:rPr>
        <w:t xml:space="preserve">Cellulase/pectinase ratio screening. </w:t>
      </w:r>
      <w:r w:rsidRPr="004B3A20">
        <w:rPr>
          <w:rFonts w:ascii="Arial" w:eastAsia="Arial" w:hAnsi="Arial" w:cs="Arial"/>
        </w:rPr>
        <w:t>The relative proportion of cellulase and pectinase significantly affected astaxanthin recovery (one-way ANOVA, (F</w:t>
      </w:r>
      <w:r w:rsidRPr="00CC3C77">
        <w:rPr>
          <w:rFonts w:ascii="Arial" w:eastAsia="Arial" w:hAnsi="Arial" w:cs="Arial"/>
          <w:vertAlign w:val="subscript"/>
        </w:rPr>
        <w:t xml:space="preserve">4,10 </w:t>
      </w:r>
      <w:r w:rsidRPr="004B3A20">
        <w:rPr>
          <w:rFonts w:ascii="Arial" w:eastAsia="Arial" w:hAnsi="Arial" w:cs="Arial"/>
        </w:rPr>
        <w:t>=</w:t>
      </w:r>
      <w:r>
        <w:rPr>
          <w:rFonts w:ascii="Arial" w:eastAsia="Arial" w:hAnsi="Arial" w:cs="Arial"/>
        </w:rPr>
        <w:t xml:space="preserve"> 119.16), (p&lt;0.001)). </w:t>
      </w:r>
      <w:r>
        <w:rPr>
          <w:rFonts w:ascii="Arial" w:eastAsia="Arial" w:hAnsi="Arial" w:cs="Arial"/>
          <w:highlight w:val="yellow"/>
        </w:rPr>
        <w:t>The 50:50 cellulase–pectinase formulation</w:t>
      </w:r>
      <w:r>
        <w:rPr>
          <w:rFonts w:ascii="Arial" w:eastAsia="Arial" w:hAnsi="Arial" w:cs="Arial"/>
        </w:rPr>
        <w:t xml:space="preserve"> provided the highest recovery (80.283 ± 1.050%), which was significantly higher than those obtained with the 100:0 (43.039 ± 1.003%), 25:75 (42.913 ± 3.245%), 75:25 (49.176 ± 1.913%), and 0:100 (46.742 ± 3.886%) </w:t>
      </w:r>
      <w:r>
        <w:rPr>
          <w:rFonts w:ascii="Arial" w:eastAsia="Arial" w:hAnsi="Arial" w:cs="Arial"/>
          <w:highlight w:val="yellow"/>
        </w:rPr>
        <w:t>formulations (Tukey’s HSD, p &lt; 0.05). No</w:t>
      </w:r>
      <w:r>
        <w:rPr>
          <w:rFonts w:ascii="Arial" w:eastAsia="Arial" w:hAnsi="Arial" w:cs="Arial"/>
        </w:rPr>
        <w:t xml:space="preserve"> significant differences were observed among the other four formulations. Therefore, </w:t>
      </w:r>
      <w:r>
        <w:rPr>
          <w:rFonts w:ascii="Arial" w:eastAsia="Arial" w:hAnsi="Arial" w:cs="Arial"/>
          <w:highlight w:val="yellow"/>
        </w:rPr>
        <w:t>the 50:50 cellulase–pectinase formulation was selected</w:t>
      </w:r>
      <w:r>
        <w:rPr>
          <w:rFonts w:ascii="Arial" w:eastAsia="Arial" w:hAnsi="Arial" w:cs="Arial"/>
        </w:rPr>
        <w:t xml:space="preserve"> for the subsequent response-surface experiments. Values are expressed as mean ± SD (n = 3</w:t>
      </w:r>
      <w:r w:rsidRPr="004B3A20">
        <w:rPr>
          <w:rFonts w:ascii="Arial" w:eastAsia="Arial" w:hAnsi="Arial" w:cs="Arial"/>
        </w:rPr>
        <w:t>).</w:t>
      </w:r>
    </w:p>
    <w:p w14:paraId="5A13B393" w14:textId="77777777" w:rsidR="00CB7508" w:rsidRPr="00E84C44" w:rsidRDefault="00CB7508" w:rsidP="00E84C44">
      <w:pPr>
        <w:pStyle w:val="Body"/>
        <w:jc w:val="center"/>
        <w:rPr>
          <w:rFonts w:ascii="Arial" w:hAnsi="Arial" w:cs="Arial"/>
        </w:rPr>
      </w:pPr>
      <w:r w:rsidRPr="00CB7508">
        <w:rPr>
          <w:rFonts w:ascii="Arial" w:hAnsi="Arial" w:cs="Arial"/>
          <w:b/>
          <w:bCs/>
        </w:rPr>
        <w:t xml:space="preserve">Fig.2. </w:t>
      </w:r>
      <w:r w:rsidR="004B3A20" w:rsidRPr="004B3A20">
        <w:rPr>
          <w:rFonts w:ascii="Arial" w:hAnsi="Arial" w:cs="Arial"/>
          <w:b/>
          <w:bCs/>
        </w:rPr>
        <w:t>Effects of carrier-oil type (A) and cellulase-to-pectinase ratio (B) on astaxanthin recovery. Values are expressed as mean ± SD (n = 3). Different lowercase letters indicate significant differences among treatments within each experiment according to Tukey’s HSD test (p &lt; 0.05).</w:t>
      </w:r>
    </w:p>
    <w:p w14:paraId="40DCF282" w14:textId="77777777" w:rsidR="002E33CB" w:rsidRDefault="002E33CB" w:rsidP="00AC1E92">
      <w:pPr>
        <w:pStyle w:val="Body"/>
        <w:spacing w:after="0"/>
        <w:rPr>
          <w:rFonts w:ascii="Arial" w:hAnsi="Arial" w:cs="Arial"/>
        </w:rPr>
      </w:pPr>
      <w:r w:rsidRPr="002E33CB">
        <w:rPr>
          <w:rFonts w:ascii="Arial" w:hAnsi="Arial" w:cs="Arial"/>
        </w:rPr>
        <w:t xml:space="preserve">Overall, soybean oil and the 50:50 cellulase/pectinase ratio were selected based on their superior astaxanthin concentration and recovery and were subsequently used as fixed conditions for the </w:t>
      </w:r>
      <w:r w:rsidR="00171152" w:rsidRPr="00171152">
        <w:rPr>
          <w:rFonts w:ascii="Arial" w:hAnsi="Arial" w:cs="Arial"/>
        </w:rPr>
        <w:t>response-surface experiments</w:t>
      </w:r>
      <w:r w:rsidRPr="002E33CB">
        <w:rPr>
          <w:rFonts w:ascii="Arial" w:hAnsi="Arial" w:cs="Arial"/>
        </w:rPr>
        <w:t xml:space="preserve">. The higher recovery observed during screening (approximately 80%) should not be directly compared with the 20.822% recovery from the preliminary EU treatment comparison because the experimental intensities differed: the preliminary comparison used 1% total enzyme and 15 min sonication, whereas screening used 2% total enzyme and 35 min sonication, </w:t>
      </w:r>
      <w:r>
        <w:rPr>
          <w:rFonts w:ascii="Arial" w:hAnsi="Arial" w:cs="Arial"/>
          <w:highlight w:val="yellow"/>
        </w:rPr>
        <w:t>with 1.0 mL of oil in both stages</w:t>
      </w:r>
      <w:r>
        <w:rPr>
          <w:rFonts w:ascii="Arial" w:hAnsi="Arial" w:cs="Arial"/>
        </w:rPr>
        <w:t>.</w:t>
      </w:r>
    </w:p>
    <w:p w14:paraId="77503279" w14:textId="77777777" w:rsidR="002E33CB" w:rsidRDefault="002E33CB" w:rsidP="00AC1E92">
      <w:pPr>
        <w:pStyle w:val="Body"/>
        <w:spacing w:after="0"/>
        <w:rPr>
          <w:rFonts w:ascii="Arial" w:hAnsi="Arial" w:cs="Arial"/>
        </w:rPr>
      </w:pPr>
    </w:p>
    <w:p w14:paraId="5AAD5693" w14:textId="77777777" w:rsidR="00AC1E92" w:rsidRPr="00CB7508" w:rsidRDefault="00AC1E92" w:rsidP="00AC1E92">
      <w:pPr>
        <w:pStyle w:val="Body"/>
        <w:spacing w:after="0"/>
        <w:rPr>
          <w:rFonts w:ascii="Arial" w:hAnsi="Arial" w:cs="Arial"/>
          <w:b/>
          <w:bCs/>
          <w:u w:val="single"/>
        </w:rPr>
      </w:pPr>
      <w:r w:rsidRPr="00CB7508">
        <w:rPr>
          <w:rFonts w:ascii="Arial" w:hAnsi="Arial" w:cs="Arial"/>
          <w:b/>
          <w:bCs/>
          <w:u w:val="single"/>
        </w:rPr>
        <w:t xml:space="preserve">3.1.4. </w:t>
      </w:r>
      <w:r>
        <w:rPr>
          <w:rFonts w:ascii="Arial" w:hAnsi="Arial" w:cs="Arial"/>
          <w:b/>
          <w:bCs/>
          <w:u w:val="single"/>
        </w:rPr>
        <w:t xml:space="preserve">Response Surface </w:t>
      </w:r>
      <w:r>
        <w:rPr>
          <w:rFonts w:ascii="Arial" w:hAnsi="Arial" w:cs="Arial"/>
          <w:b/>
          <w:bCs/>
          <w:highlight w:val="yellow"/>
          <w:u w:val="single"/>
        </w:rPr>
        <w:t>Modelling</w:t>
      </w:r>
      <w:r>
        <w:rPr>
          <w:rFonts w:ascii="Arial" w:hAnsi="Arial" w:cs="Arial"/>
          <w:b/>
          <w:bCs/>
          <w:u w:val="single"/>
        </w:rPr>
        <w:t xml:space="preserve"> and Validation</w:t>
      </w:r>
    </w:p>
    <w:p w14:paraId="46DF20BD" w14:textId="77777777" w:rsidR="00CB7508" w:rsidRDefault="00CB7508" w:rsidP="00AC1E92">
      <w:pPr>
        <w:pStyle w:val="Body"/>
        <w:spacing w:after="0"/>
        <w:rPr>
          <w:rFonts w:ascii="Arial" w:hAnsi="Arial" w:cs="Arial"/>
        </w:rPr>
      </w:pPr>
    </w:p>
    <w:p w14:paraId="78F7DC9B" w14:textId="77777777" w:rsidR="00114E07" w:rsidRPr="00114E07" w:rsidRDefault="00114E07" w:rsidP="00114E07">
      <w:pPr>
        <w:pStyle w:val="Body"/>
        <w:spacing w:after="0"/>
        <w:rPr>
          <w:rFonts w:ascii="Arial" w:hAnsi="Arial" w:cs="Arial"/>
        </w:rPr>
      </w:pPr>
      <w:r w:rsidRPr="00114E07">
        <w:rPr>
          <w:rFonts w:ascii="Arial" w:hAnsi="Arial" w:cs="Arial"/>
        </w:rPr>
        <w:t>The full quadratic model adequately described astaxanthin recovery within the investigated experimental domain. The fitted coded-variable equation was:</w:t>
      </w:r>
    </w:p>
    <w:p w14:paraId="57D7205E" w14:textId="77777777" w:rsidR="00114E07" w:rsidRDefault="00114E07" w:rsidP="00114E07">
      <w:pPr>
        <w:pStyle w:val="Body"/>
        <w:spacing w:after="0"/>
        <w:rPr>
          <w:rFonts w:ascii="Arial" w:hAnsi="Arial" w:cs="Arial"/>
        </w:rPr>
      </w:pPr>
      <w:r w:rsidRPr="00114E07">
        <w:rPr>
          <w:rFonts w:ascii="Arial" w:hAnsi="Arial" w:cs="Arial"/>
        </w:rPr>
        <w:t>Y = 79.626 - 1.814X</w:t>
      </w:r>
      <w:r w:rsidRPr="00114E07">
        <w:rPr>
          <w:rFonts w:ascii="Arial" w:hAnsi="Arial" w:cs="Arial"/>
          <w:vertAlign w:val="subscript"/>
        </w:rPr>
        <w:t xml:space="preserve">1 </w:t>
      </w:r>
      <w:r w:rsidRPr="00114E07">
        <w:rPr>
          <w:rFonts w:ascii="Arial" w:hAnsi="Arial" w:cs="Arial"/>
        </w:rPr>
        <w:t>- 0.710X</w:t>
      </w:r>
      <w:r w:rsidRPr="00114E07">
        <w:rPr>
          <w:rFonts w:ascii="Arial" w:hAnsi="Arial" w:cs="Arial"/>
          <w:vertAlign w:val="subscript"/>
        </w:rPr>
        <w:t>2</w:t>
      </w:r>
      <w:r w:rsidRPr="00114E07">
        <w:rPr>
          <w:rFonts w:ascii="Arial" w:hAnsi="Arial" w:cs="Arial"/>
        </w:rPr>
        <w:t xml:space="preserve"> - 18.556X</w:t>
      </w:r>
      <w:r w:rsidRPr="00114E07">
        <w:rPr>
          <w:rFonts w:ascii="Arial" w:hAnsi="Arial" w:cs="Arial"/>
          <w:vertAlign w:val="subscript"/>
        </w:rPr>
        <w:t>3</w:t>
      </w:r>
      <w:r w:rsidRPr="00114E07">
        <w:rPr>
          <w:rFonts w:ascii="Arial" w:hAnsi="Arial" w:cs="Arial"/>
        </w:rPr>
        <w:t xml:space="preserve"> + 3.060X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2</w:t>
      </w:r>
      <w:r w:rsidRPr="00114E07">
        <w:rPr>
          <w:rFonts w:ascii="Arial" w:hAnsi="Arial" w:cs="Arial"/>
        </w:rPr>
        <w:t xml:space="preserve"> + 3.491X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 xml:space="preserve">3 </w:t>
      </w:r>
      <w:r w:rsidRPr="00114E07">
        <w:rPr>
          <w:rFonts w:ascii="Arial" w:hAnsi="Arial" w:cs="Arial"/>
        </w:rPr>
        <w:t>+ 4.176X</w:t>
      </w:r>
      <w:r w:rsidRPr="00114E07">
        <w:rPr>
          <w:rFonts w:ascii="Arial" w:hAnsi="Arial" w:cs="Arial"/>
          <w:vertAlign w:val="subscript"/>
        </w:rPr>
        <w:t>2</w:t>
      </w:r>
      <w:r w:rsidRPr="00114E07">
        <w:rPr>
          <w:rFonts w:ascii="Arial" w:hAnsi="Arial" w:cs="Arial"/>
        </w:rPr>
        <w:t>X</w:t>
      </w:r>
      <w:r w:rsidRPr="00114E07">
        <w:rPr>
          <w:rFonts w:ascii="Arial" w:hAnsi="Arial" w:cs="Arial"/>
          <w:vertAlign w:val="subscript"/>
        </w:rPr>
        <w:t xml:space="preserve">3 </w:t>
      </w:r>
      <w:r w:rsidRPr="00114E07">
        <w:rPr>
          <w:rFonts w:ascii="Arial" w:hAnsi="Arial" w:cs="Arial"/>
        </w:rPr>
        <w:t>- 11.594X</w:t>
      </w:r>
      <w:r w:rsidRPr="00114E07">
        <w:rPr>
          <w:rFonts w:ascii="Arial" w:hAnsi="Arial" w:cs="Arial"/>
          <w:vertAlign w:val="subscript"/>
        </w:rPr>
        <w:t>1</w:t>
      </w:r>
      <w:r w:rsidRPr="00114E07">
        <w:rPr>
          <w:rFonts w:ascii="Arial" w:hAnsi="Arial" w:cs="Arial"/>
          <w:vertAlign w:val="superscript"/>
        </w:rPr>
        <w:t>2</w:t>
      </w:r>
      <w:r w:rsidRPr="00114E07">
        <w:rPr>
          <w:rFonts w:ascii="Arial" w:hAnsi="Arial" w:cs="Arial"/>
        </w:rPr>
        <w:t xml:space="preserve"> - 14.410X</w:t>
      </w:r>
      <w:r w:rsidRPr="00114E07">
        <w:rPr>
          <w:rFonts w:ascii="Arial" w:hAnsi="Arial" w:cs="Arial"/>
          <w:vertAlign w:val="subscript"/>
        </w:rPr>
        <w:t>2</w:t>
      </w:r>
      <w:r w:rsidRPr="00114E07">
        <w:rPr>
          <w:rFonts w:ascii="Arial" w:hAnsi="Arial" w:cs="Arial"/>
          <w:vertAlign w:val="superscript"/>
        </w:rPr>
        <w:t>2</w:t>
      </w:r>
      <w:r w:rsidRPr="00114E07">
        <w:rPr>
          <w:rFonts w:ascii="Arial" w:hAnsi="Arial" w:cs="Arial"/>
        </w:rPr>
        <w:t xml:space="preserve"> - 9.810X</w:t>
      </w:r>
      <w:r w:rsidRPr="00114E07">
        <w:rPr>
          <w:rFonts w:ascii="Arial" w:hAnsi="Arial" w:cs="Arial"/>
          <w:vertAlign w:val="subscript"/>
        </w:rPr>
        <w:t>3</w:t>
      </w:r>
      <w:r w:rsidRPr="00114E07">
        <w:rPr>
          <w:rFonts w:ascii="Arial" w:hAnsi="Arial" w:cs="Arial"/>
          <w:vertAlign w:val="superscript"/>
        </w:rPr>
        <w:t>2</w:t>
      </w:r>
    </w:p>
    <w:p w14:paraId="73018BF0" w14:textId="77777777" w:rsidR="00114E07" w:rsidRPr="00114E07" w:rsidRDefault="00114E07" w:rsidP="00114E07">
      <w:pPr>
        <w:pStyle w:val="Body"/>
        <w:spacing w:after="0"/>
        <w:rPr>
          <w:rFonts w:ascii="Arial" w:hAnsi="Arial" w:cs="Arial"/>
        </w:rPr>
      </w:pPr>
      <w:r w:rsidRPr="00114E07">
        <w:rPr>
          <w:rFonts w:ascii="Arial" w:hAnsi="Arial" w:cs="Arial"/>
        </w:rPr>
        <w:t>ANOVA showed that the overall quadratic model was highly significant (</w:t>
      </w:r>
      <w:r>
        <w:rPr>
          <w:rFonts w:ascii="Arial" w:hAnsi="Arial" w:cs="Arial"/>
        </w:rPr>
        <w:t>F = 32.39, p = 0.000659)</w:t>
      </w:r>
      <w:r w:rsidRPr="00114E07">
        <w:rPr>
          <w:rFonts w:ascii="Arial" w:hAnsi="Arial" w:cs="Arial"/>
        </w:rPr>
        <w:t>. The model explained 98.31% of the observed variation in astaxanthin recovery (</w:t>
      </w:r>
      <w:r>
        <w:rPr>
          <w:rFonts w:ascii="Arial" w:hAnsi="Arial" w:cs="Arial"/>
        </w:rPr>
        <w:t>R</w:t>
      </w:r>
      <w:r w:rsidRPr="00114E07">
        <w:rPr>
          <w:rFonts w:ascii="Arial" w:hAnsi="Arial" w:cs="Arial"/>
          <w:vertAlign w:val="superscript"/>
        </w:rPr>
        <w:t>2</w:t>
      </w:r>
      <w:r>
        <w:rPr>
          <w:rFonts w:ascii="Arial" w:hAnsi="Arial" w:cs="Arial"/>
        </w:rPr>
        <w:t xml:space="preserve"> </w:t>
      </w:r>
      <w:r>
        <w:rPr>
          <w:rFonts w:ascii="Arial" w:hAnsi="Arial" w:cs="Arial"/>
        </w:rPr>
        <w:lastRenderedPageBreak/>
        <w:t>= 0.9831), with an adjusted R</w:t>
      </w:r>
      <w:r w:rsidRPr="00114E07">
        <w:rPr>
          <w:rFonts w:ascii="Arial" w:hAnsi="Arial" w:cs="Arial"/>
          <w:vertAlign w:val="superscript"/>
        </w:rPr>
        <w:t>2</w:t>
      </w:r>
      <w:r w:rsidRPr="00114E07">
        <w:rPr>
          <w:rFonts w:ascii="Arial" w:hAnsi="Arial" w:cs="Arial"/>
        </w:rPr>
        <w:t xml:space="preserve"> of 0.9528 and an RMSE of 3.864. The lack of fit was not significant (</w:t>
      </w:r>
      <w:r>
        <w:rPr>
          <w:rFonts w:ascii="Arial" w:hAnsi="Arial" w:cs="Arial"/>
        </w:rPr>
        <w:t>F = 1.5383, p = 0.4173)</w:t>
      </w:r>
      <w:r w:rsidRPr="00114E07">
        <w:rPr>
          <w:rFonts w:ascii="Arial" w:hAnsi="Arial" w:cs="Arial"/>
        </w:rPr>
        <w:t>, indicating that the quadratic model adequately represented the experimental data within the investigated domain.</w:t>
      </w:r>
    </w:p>
    <w:p w14:paraId="1D627591" w14:textId="77777777" w:rsidR="00114E07" w:rsidRPr="00114E07" w:rsidRDefault="00114E07" w:rsidP="00114E07">
      <w:pPr>
        <w:pStyle w:val="Body"/>
        <w:spacing w:after="0"/>
        <w:rPr>
          <w:rFonts w:ascii="Arial" w:hAnsi="Arial" w:cs="Arial"/>
        </w:rPr>
      </w:pPr>
    </w:p>
    <w:p w14:paraId="65450D6C" w14:textId="77777777" w:rsidR="00114E07" w:rsidRPr="00114E07" w:rsidRDefault="00114E07" w:rsidP="00114E07">
      <w:pPr>
        <w:pStyle w:val="Body"/>
        <w:spacing w:after="0"/>
        <w:rPr>
          <w:rFonts w:ascii="Arial" w:hAnsi="Arial" w:cs="Arial"/>
        </w:rPr>
      </w:pPr>
      <w:r w:rsidRPr="00114E07">
        <w:rPr>
          <w:rFonts w:ascii="Arial" w:hAnsi="Arial" w:cs="Arial"/>
        </w:rPr>
        <w:t>Among the individual model terms, the linear effect of the L/S ratio ((X</w:t>
      </w:r>
      <w:r w:rsidRPr="00114E07">
        <w:rPr>
          <w:rFonts w:ascii="Arial" w:hAnsi="Arial" w:cs="Arial"/>
          <w:vertAlign w:val="subscript"/>
        </w:rPr>
        <w:t>3</w:t>
      </w:r>
      <w:r w:rsidRPr="00114E07">
        <w:rPr>
          <w:rFonts w:ascii="Arial" w:hAnsi="Arial" w:cs="Arial"/>
        </w:rPr>
        <w:t>)) was highly significant (p &lt; 0.0001). Significant quadratic effects were also observed for total enzyme concentration ((X</w:t>
      </w:r>
      <w:r w:rsidRPr="00114E07">
        <w:rPr>
          <w:rFonts w:ascii="Arial" w:hAnsi="Arial" w:cs="Arial"/>
          <w:vertAlign w:val="subscript"/>
        </w:rPr>
        <w:t>1</w:t>
      </w:r>
      <w:r w:rsidRPr="00114E07">
        <w:rPr>
          <w:rFonts w:ascii="Arial" w:hAnsi="Arial" w:cs="Arial"/>
          <w:vertAlign w:val="superscript"/>
        </w:rPr>
        <w:t>2</w:t>
      </w:r>
      <w:r w:rsidRPr="00114E07">
        <w:rPr>
          <w:rFonts w:ascii="Arial" w:hAnsi="Arial" w:cs="Arial"/>
        </w:rPr>
        <w:t>), (p = 0.0022)), sonication duration ((X</w:t>
      </w:r>
      <w:r w:rsidRPr="00114E07">
        <w:rPr>
          <w:rFonts w:ascii="Arial" w:hAnsi="Arial" w:cs="Arial"/>
          <w:vertAlign w:val="subscript"/>
        </w:rPr>
        <w:t>2</w:t>
      </w:r>
      <w:r w:rsidRPr="00114E07">
        <w:rPr>
          <w:rFonts w:ascii="Arial" w:hAnsi="Arial" w:cs="Arial"/>
          <w:vertAlign w:val="superscript"/>
        </w:rPr>
        <w:t>2</w:t>
      </w:r>
      <w:r w:rsidRPr="00114E07">
        <w:rPr>
          <w:rFonts w:ascii="Arial" w:hAnsi="Arial" w:cs="Arial"/>
        </w:rPr>
        <w:t>), (p = 0.0008)), and L/S ratio ((X</w:t>
      </w:r>
      <w:r w:rsidRPr="00114E07">
        <w:rPr>
          <w:rFonts w:ascii="Arial" w:hAnsi="Arial" w:cs="Arial"/>
          <w:vertAlign w:val="subscript"/>
        </w:rPr>
        <w:t>3</w:t>
      </w:r>
      <w:r w:rsidRPr="00114E07">
        <w:rPr>
          <w:rFonts w:ascii="Arial" w:hAnsi="Arial" w:cs="Arial"/>
          <w:vertAlign w:val="superscript"/>
        </w:rPr>
        <w:t>2</w:t>
      </w:r>
      <w:r w:rsidRPr="00114E07">
        <w:rPr>
          <w:rFonts w:ascii="Arial" w:hAnsi="Arial" w:cs="Arial"/>
        </w:rPr>
        <w:t>), (p = 0.0046)). In contrast, the linear effects of total enzyme concentration ((X</w:t>
      </w:r>
      <w:r w:rsidRPr="00114E07">
        <w:rPr>
          <w:rFonts w:ascii="Arial" w:hAnsi="Arial" w:cs="Arial"/>
          <w:vertAlign w:val="subscript"/>
        </w:rPr>
        <w:t>1</w:t>
      </w:r>
      <w:r w:rsidRPr="00114E07">
        <w:rPr>
          <w:rFonts w:ascii="Arial" w:hAnsi="Arial" w:cs="Arial"/>
        </w:rPr>
        <w:t>), (p = 0.2416)) and sonication duration ((X</w:t>
      </w:r>
      <w:r w:rsidRPr="00114E07">
        <w:rPr>
          <w:rFonts w:ascii="Arial" w:hAnsi="Arial" w:cs="Arial"/>
          <w:vertAlign w:val="subscript"/>
        </w:rPr>
        <w:t>2</w:t>
      </w:r>
      <w:r w:rsidRPr="00114E07">
        <w:rPr>
          <w:rFonts w:ascii="Arial" w:hAnsi="Arial" w:cs="Arial"/>
        </w:rPr>
        <w:t>), (p = 0.6254)), as well as the interaction terms (X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2</w:t>
      </w:r>
      <w:r w:rsidRPr="00114E07">
        <w:rPr>
          <w:rFonts w:ascii="Arial" w:hAnsi="Arial" w:cs="Arial"/>
        </w:rPr>
        <w:t>) ((p = 0.1741)), (X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3</w:t>
      </w:r>
      <w:r w:rsidRPr="00114E07">
        <w:rPr>
          <w:rFonts w:ascii="Arial" w:hAnsi="Arial" w:cs="Arial"/>
        </w:rPr>
        <w:t>) ((p = 0.1306)), and (X</w:t>
      </w:r>
      <w:r w:rsidRPr="00114E07">
        <w:rPr>
          <w:rFonts w:ascii="Arial" w:hAnsi="Arial" w:cs="Arial"/>
          <w:vertAlign w:val="subscript"/>
        </w:rPr>
        <w:t>2</w:t>
      </w:r>
      <w:r w:rsidRPr="00114E07">
        <w:rPr>
          <w:rFonts w:ascii="Arial" w:hAnsi="Arial" w:cs="Arial"/>
        </w:rPr>
        <w:t>X</w:t>
      </w:r>
      <w:r w:rsidRPr="00114E07">
        <w:rPr>
          <w:rFonts w:ascii="Arial" w:hAnsi="Arial" w:cs="Arial"/>
          <w:vertAlign w:val="subscript"/>
        </w:rPr>
        <w:t>3)</w:t>
      </w:r>
      <w:r w:rsidRPr="00114E07">
        <w:rPr>
          <w:rFonts w:ascii="Arial" w:hAnsi="Arial" w:cs="Arial"/>
        </w:rPr>
        <w:t xml:space="preserve"> ((p = 0.0830)), were not statistically significant at (p &lt; 0.05). These results identify the L/S ratio as the dominant linear factor affecting astaxanthin recovery, while the significant negative quadratic coefficients indicate pronounced curvature in the response surface.</w:t>
      </w:r>
    </w:p>
    <w:p w14:paraId="2520C898" w14:textId="77777777" w:rsidR="00114E07" w:rsidRPr="00114E07" w:rsidRDefault="00114E07" w:rsidP="00114E07">
      <w:pPr>
        <w:pStyle w:val="Body"/>
        <w:spacing w:after="0"/>
        <w:rPr>
          <w:rFonts w:ascii="Arial" w:hAnsi="Arial" w:cs="Arial"/>
        </w:rPr>
      </w:pPr>
    </w:p>
    <w:p w14:paraId="75BC3952" w14:textId="77777777" w:rsidR="00114E07" w:rsidRPr="00114E07" w:rsidRDefault="00114E07" w:rsidP="00114E07">
      <w:pPr>
        <w:pStyle w:val="Body"/>
        <w:spacing w:after="0"/>
        <w:rPr>
          <w:rFonts w:ascii="Arial" w:hAnsi="Arial" w:cs="Arial"/>
        </w:rPr>
      </w:pPr>
      <w:r w:rsidRPr="00114E07">
        <w:rPr>
          <w:rFonts w:ascii="Arial" w:hAnsi="Arial" w:cs="Arial"/>
        </w:rPr>
        <w:t xml:space="preserve">Canonical analysis identified a stationary maximum at approximately 1.739% total enzyme concentration, 30.95 min sonication, and an L/S ratio of 48.24 mL/g, corresponding to a predicted recovery of 89.54%. However, the L/S ratio at this stationary point was below the lower experimental boundary of 50 mL/g, </w:t>
      </w:r>
      <w:r>
        <w:rPr>
          <w:rFonts w:ascii="Arial" w:hAnsi="Arial" w:cs="Arial"/>
        </w:rPr>
        <w:t xml:space="preserve">so JMP identified the critical point as </w:t>
      </w:r>
      <w:r w:rsidRPr="00114E07">
        <w:rPr>
          <w:rFonts w:ascii="Arial" w:hAnsi="Arial" w:cs="Arial"/>
        </w:rPr>
        <w:t>outside the investigated experimental range. Accordingly, this extrapolated stationary point was not considered an experimentally validated optimum</w:t>
      </w:r>
      <w:r w:rsidR="00CB56D3">
        <w:rPr>
          <w:rFonts w:ascii="Arial" w:hAnsi="Arial" w:cs="Arial"/>
        </w:rPr>
        <w:t xml:space="preserve"> </w:t>
      </w:r>
      <w:r w:rsidR="00CB56D3" w:rsidRPr="00CB56D3">
        <w:rPr>
          <w:rFonts w:ascii="Arial" w:hAnsi="Arial" w:cs="Arial"/>
        </w:rPr>
        <w:t>(Fig. 3).</w:t>
      </w:r>
    </w:p>
    <w:p w14:paraId="50EFF147" w14:textId="77777777" w:rsidR="00114E07" w:rsidRPr="00114E07" w:rsidRDefault="00114E07" w:rsidP="00114E07">
      <w:pPr>
        <w:pStyle w:val="Body"/>
        <w:spacing w:after="0"/>
        <w:rPr>
          <w:rFonts w:ascii="Arial" w:hAnsi="Arial" w:cs="Arial"/>
        </w:rPr>
      </w:pPr>
    </w:p>
    <w:p w14:paraId="20081F9D" w14:textId="77777777" w:rsidR="00114E07" w:rsidRDefault="00236BC1" w:rsidP="00114E07">
      <w:pPr>
        <w:pStyle w:val="Body"/>
        <w:spacing w:after="0"/>
        <w:rPr>
          <w:rFonts w:ascii="Arial" w:hAnsi="Arial" w:cs="Arial"/>
        </w:rPr>
      </w:pPr>
      <w:r w:rsidRPr="00236BC1">
        <w:rPr>
          <w:rFonts w:ascii="Arial" w:hAnsi="Arial" w:cs="Arial"/>
        </w:rPr>
        <w:t xml:space="preserve">At the selected practical validation condition of 2.0% total enzyme concentration, 35 min sonication, and an L/S ratio of 100 mL/g, the model predicted an astaxanthin recovery of 79.626%. Six independent validation experiments yielded a mean recovery of 79.708% </w:t>
      </w:r>
      <w:r>
        <w:rPr>
          <w:rFonts w:ascii="Arial" w:hAnsi="Arial" w:cs="Arial"/>
        </w:rPr>
        <w:t>(SD = 1.166; RSD = 1.463%)</w:t>
      </w:r>
      <w:r w:rsidRPr="00236BC1">
        <w:rPr>
          <w:rFonts w:ascii="Arial" w:hAnsi="Arial" w:cs="Arial"/>
        </w:rPr>
        <w:t>. The 95% confidence interval for the experimental mean was 79.708 ± 1.224% (78.484–80.931%). A one-sample t-test comparing the experimental validation results with the model-predicted value of 79.626% showed no statistically significant difference (t = 0.172, df = 5, p = 0.870). The close agreement between the predicted and experimental responses supports the predictive adequacy of the fitted model within the investigated experimental domain</w:t>
      </w:r>
      <w:r w:rsidR="00CB56D3">
        <w:rPr>
          <w:rFonts w:ascii="Arial" w:hAnsi="Arial" w:cs="Arial"/>
        </w:rPr>
        <w:t xml:space="preserve"> </w:t>
      </w:r>
      <w:bookmarkStart w:id="1" w:name="_Hlk238635763"/>
      <w:r w:rsidR="00CB56D3">
        <w:rPr>
          <w:rFonts w:ascii="Arial" w:hAnsi="Arial" w:cs="Arial"/>
        </w:rPr>
        <w:t>(Table 5)</w:t>
      </w:r>
      <w:r w:rsidRPr="00236BC1">
        <w:rPr>
          <w:rFonts w:ascii="Arial" w:hAnsi="Arial" w:cs="Arial"/>
        </w:rPr>
        <w:t>.</w:t>
      </w:r>
      <w:bookmarkEnd w:id="1"/>
    </w:p>
    <w:p w14:paraId="72B1964F" w14:textId="77777777" w:rsidR="00114E07" w:rsidRDefault="00114E07" w:rsidP="00114E07">
      <w:pPr>
        <w:pStyle w:val="Body"/>
        <w:spacing w:after="0"/>
        <w:rPr>
          <w:rFonts w:ascii="Arial" w:hAnsi="Arial" w:cs="Arial"/>
        </w:rPr>
      </w:pPr>
    </w:p>
    <w:p w14:paraId="21E05175" w14:textId="77777777" w:rsidR="00346AE8" w:rsidRDefault="00346AE8" w:rsidP="00114E07">
      <w:pPr>
        <w:pStyle w:val="Body"/>
        <w:spacing w:after="0"/>
        <w:rPr>
          <w:rFonts w:ascii="Arial" w:hAnsi="Arial" w:cs="Arial"/>
        </w:rPr>
      </w:pPr>
      <w:r w:rsidRPr="00346AE8">
        <w:rPr>
          <w:rFonts w:ascii="Arial" w:hAnsi="Arial" w:cs="Arial"/>
          <w:noProof/>
        </w:rPr>
        <w:drawing>
          <wp:inline distT="0" distB="0" distL="0" distR="0" wp14:anchorId="4054C4F4" wp14:editId="519DE723">
            <wp:extent cx="5212080" cy="240220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12080" cy="2402205"/>
                    </a:xfrm>
                    <a:prstGeom prst="rect">
                      <a:avLst/>
                    </a:prstGeom>
                  </pic:spPr>
                </pic:pic>
              </a:graphicData>
            </a:graphic>
          </wp:inline>
        </w:drawing>
      </w:r>
    </w:p>
    <w:p w14:paraId="35A1B99D" w14:textId="77777777" w:rsidR="006636F8" w:rsidRPr="00CB7508" w:rsidRDefault="00D91544" w:rsidP="00346AE8">
      <w:pPr>
        <w:pStyle w:val="Body"/>
        <w:spacing w:after="0"/>
        <w:jc w:val="center"/>
        <w:rPr>
          <w:rFonts w:ascii="Arial" w:hAnsi="Arial" w:cs="Arial"/>
          <w:b/>
          <w:bCs/>
          <w:i/>
        </w:rPr>
      </w:pPr>
      <w:r w:rsidRPr="00CB7508">
        <w:rPr>
          <w:rFonts w:ascii="Arial" w:hAnsi="Arial" w:cs="Arial"/>
          <w:b/>
          <w:bCs/>
        </w:rPr>
        <w:t>Fig.</w:t>
      </w:r>
      <w:r w:rsidR="00514458" w:rsidRPr="00CB7508">
        <w:rPr>
          <w:rFonts w:ascii="Arial" w:hAnsi="Arial" w:cs="Arial"/>
          <w:b/>
          <w:bCs/>
        </w:rPr>
        <w:t xml:space="preserve"> </w:t>
      </w:r>
      <w:r w:rsidRPr="00CB7508">
        <w:rPr>
          <w:rFonts w:ascii="Arial" w:hAnsi="Arial" w:cs="Arial"/>
          <w:b/>
          <w:bCs/>
        </w:rPr>
        <w:t xml:space="preserve">3. </w:t>
      </w:r>
      <w:r w:rsidR="00346AE8" w:rsidRPr="00346AE8">
        <w:rPr>
          <w:rFonts w:ascii="Arial" w:hAnsi="Arial" w:cs="Arial"/>
          <w:b/>
          <w:bCs/>
        </w:rPr>
        <w:t>Prediction profiler of astaxanthin recovery as a function of total enzyme concentration, sonication duration, and liquid-to-solid ratio.</w:t>
      </w:r>
    </w:p>
    <w:p w14:paraId="185A9A26" w14:textId="77777777" w:rsidR="006636F8" w:rsidRPr="00CB7508" w:rsidRDefault="006636F8" w:rsidP="006636F8">
      <w:pPr>
        <w:pStyle w:val="Caption"/>
        <w:spacing w:after="0"/>
        <w:jc w:val="center"/>
        <w:rPr>
          <w:rFonts w:ascii="Arial" w:hAnsi="Arial" w:cs="Arial"/>
          <w:b/>
          <w:bCs/>
          <w:i w:val="0"/>
          <w:color w:val="auto"/>
          <w:sz w:val="20"/>
          <w:szCs w:val="20"/>
        </w:rPr>
      </w:pPr>
      <w:r w:rsidRPr="00CB7508">
        <w:rPr>
          <w:rFonts w:ascii="Arial" w:hAnsi="Arial" w:cs="Arial"/>
          <w:b/>
          <w:bCs/>
          <w:i w:val="0"/>
          <w:color w:val="auto"/>
          <w:sz w:val="20"/>
          <w:szCs w:val="20"/>
        </w:rPr>
        <w:t xml:space="preserve">Table </w:t>
      </w:r>
      <w:r w:rsidR="0009377B">
        <w:rPr>
          <w:rFonts w:ascii="Arial" w:hAnsi="Arial" w:cs="Arial"/>
          <w:b/>
          <w:bCs/>
          <w:i w:val="0"/>
          <w:color w:val="auto"/>
          <w:sz w:val="20"/>
          <w:szCs w:val="20"/>
        </w:rPr>
        <w:t>5</w:t>
      </w:r>
      <w:r w:rsidRPr="00CB7508">
        <w:rPr>
          <w:rFonts w:ascii="Arial" w:hAnsi="Arial" w:cs="Arial"/>
          <w:b/>
          <w:bCs/>
          <w:i w:val="0"/>
          <w:color w:val="auto"/>
          <w:sz w:val="20"/>
          <w:szCs w:val="20"/>
        </w:rPr>
        <w:t xml:space="preserve">. </w:t>
      </w:r>
      <w:r w:rsidR="0096410C" w:rsidRPr="0096410C">
        <w:rPr>
          <w:rFonts w:ascii="Arial" w:hAnsi="Arial" w:cs="Arial"/>
          <w:b/>
          <w:bCs/>
          <w:i w:val="0"/>
          <w:color w:val="auto"/>
          <w:sz w:val="20"/>
          <w:szCs w:val="20"/>
        </w:rPr>
        <w:t>Experimental validation of the response-surface model using six independent validation runs (n = 6).</w:t>
      </w:r>
    </w:p>
    <w:tbl>
      <w:tblPr>
        <w:tblStyle w:val="TableGrid"/>
        <w:tblW w:w="0" w:type="auto"/>
        <w:tblLook w:val="04A0" w:firstRow="1" w:lastRow="0" w:firstColumn="1" w:lastColumn="0" w:noHBand="0" w:noVBand="1"/>
      </w:tblPr>
      <w:tblGrid>
        <w:gridCol w:w="982"/>
        <w:gridCol w:w="1853"/>
        <w:gridCol w:w="4588"/>
      </w:tblGrid>
      <w:tr w:rsidR="006636F8" w:rsidRPr="0009377B" w14:paraId="1A65BE9C" w14:textId="77777777" w:rsidTr="006636F8">
        <w:tc>
          <w:tcPr>
            <w:tcW w:w="982" w:type="dxa"/>
            <w:tcBorders>
              <w:top w:val="single" w:sz="18" w:space="0" w:color="auto"/>
              <w:left w:val="nil"/>
              <w:bottom w:val="single" w:sz="18" w:space="0" w:color="auto"/>
              <w:right w:val="nil"/>
            </w:tcBorders>
            <w:vAlign w:val="center"/>
          </w:tcPr>
          <w:p w14:paraId="66D85CAC" w14:textId="77777777"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n</w:t>
            </w:r>
          </w:p>
        </w:tc>
        <w:tc>
          <w:tcPr>
            <w:tcW w:w="1853" w:type="dxa"/>
            <w:tcBorders>
              <w:top w:val="single" w:sz="18" w:space="0" w:color="auto"/>
              <w:left w:val="nil"/>
              <w:bottom w:val="single" w:sz="18" w:space="0" w:color="auto"/>
              <w:right w:val="nil"/>
            </w:tcBorders>
            <w:vAlign w:val="center"/>
          </w:tcPr>
          <w:p w14:paraId="15682D85" w14:textId="77777777"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Recovery yield</w:t>
            </w:r>
          </w:p>
        </w:tc>
        <w:tc>
          <w:tcPr>
            <w:tcW w:w="4588" w:type="dxa"/>
            <w:tcBorders>
              <w:top w:val="single" w:sz="18" w:space="0" w:color="auto"/>
              <w:left w:val="nil"/>
              <w:bottom w:val="single" w:sz="18" w:space="0" w:color="auto"/>
              <w:right w:val="nil"/>
            </w:tcBorders>
            <w:vAlign w:val="center"/>
          </w:tcPr>
          <w:p w14:paraId="58A70488" w14:textId="77777777"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Results of statistical processing</w:t>
            </w:r>
          </w:p>
        </w:tc>
      </w:tr>
      <w:tr w:rsidR="006636F8" w:rsidRPr="0009377B" w14:paraId="550730D9" w14:textId="77777777" w:rsidTr="006636F8">
        <w:tc>
          <w:tcPr>
            <w:tcW w:w="982" w:type="dxa"/>
            <w:tcBorders>
              <w:top w:val="single" w:sz="18" w:space="0" w:color="auto"/>
              <w:left w:val="nil"/>
              <w:bottom w:val="nil"/>
              <w:right w:val="nil"/>
            </w:tcBorders>
          </w:tcPr>
          <w:p w14:paraId="4C4E1B0C"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lastRenderedPageBreak/>
              <w:t>1</w:t>
            </w:r>
          </w:p>
        </w:tc>
        <w:tc>
          <w:tcPr>
            <w:tcW w:w="1853" w:type="dxa"/>
            <w:tcBorders>
              <w:top w:val="single" w:sz="18" w:space="0" w:color="auto"/>
              <w:left w:val="nil"/>
              <w:bottom w:val="nil"/>
              <w:right w:val="nil"/>
            </w:tcBorders>
            <w:vAlign w:val="bottom"/>
          </w:tcPr>
          <w:p w14:paraId="6B7073EC"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79.307</w:t>
            </w:r>
          </w:p>
        </w:tc>
        <w:tc>
          <w:tcPr>
            <w:tcW w:w="4588" w:type="dxa"/>
            <w:tcBorders>
              <w:top w:val="single" w:sz="18" w:space="0" w:color="auto"/>
              <w:left w:val="nil"/>
              <w:bottom w:val="single" w:sz="4" w:space="0" w:color="auto"/>
              <w:right w:val="nil"/>
            </w:tcBorders>
          </w:tcPr>
          <w:p w14:paraId="541C1966" w14:textId="77777777"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n = 6</w:t>
            </w:r>
          </w:p>
        </w:tc>
      </w:tr>
      <w:tr w:rsidR="006636F8" w:rsidRPr="0009377B" w14:paraId="6AC6FEF8" w14:textId="77777777" w:rsidTr="006636F8">
        <w:tc>
          <w:tcPr>
            <w:tcW w:w="982" w:type="dxa"/>
            <w:tcBorders>
              <w:top w:val="nil"/>
              <w:left w:val="nil"/>
              <w:bottom w:val="nil"/>
              <w:right w:val="nil"/>
            </w:tcBorders>
          </w:tcPr>
          <w:p w14:paraId="0FE9EA06"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2</w:t>
            </w:r>
          </w:p>
        </w:tc>
        <w:tc>
          <w:tcPr>
            <w:tcW w:w="1853" w:type="dxa"/>
            <w:tcBorders>
              <w:top w:val="nil"/>
              <w:left w:val="nil"/>
              <w:bottom w:val="nil"/>
              <w:right w:val="nil"/>
            </w:tcBorders>
            <w:vAlign w:val="bottom"/>
          </w:tcPr>
          <w:p w14:paraId="1BC39EF4"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81.394</w:t>
            </w:r>
          </w:p>
        </w:tc>
        <w:tc>
          <w:tcPr>
            <w:tcW w:w="4588" w:type="dxa"/>
            <w:tcBorders>
              <w:top w:val="single" w:sz="4" w:space="0" w:color="auto"/>
              <w:left w:val="nil"/>
              <w:bottom w:val="single" w:sz="4" w:space="0" w:color="auto"/>
              <w:right w:val="nil"/>
            </w:tcBorders>
          </w:tcPr>
          <w:p w14:paraId="3AB5C803" w14:textId="77777777" w:rsidR="006636F8" w:rsidRPr="0009377B" w:rsidRDefault="009635B7" w:rsidP="006636F8">
            <w:pPr>
              <w:spacing w:beforeLines="50" w:before="120"/>
              <w:rPr>
                <w:rFonts w:ascii="Arial" w:hAnsi="Arial" w:cs="Arial"/>
                <w:sz w:val="20"/>
                <w:szCs w:val="20"/>
              </w:rPr>
            </w:pPr>
            <w:r w:rsidRPr="0009377B">
              <w:rPr>
                <w:rFonts w:ascii="Arial" w:hAnsi="Arial" w:cs="Arial"/>
                <w:sz w:val="20"/>
                <w:szCs w:val="20"/>
              </w:rPr>
              <w:t>Mean = 79.708%</w:t>
            </w:r>
          </w:p>
        </w:tc>
      </w:tr>
      <w:tr w:rsidR="006636F8" w:rsidRPr="0009377B" w14:paraId="3641A252" w14:textId="77777777" w:rsidTr="006636F8">
        <w:tc>
          <w:tcPr>
            <w:tcW w:w="982" w:type="dxa"/>
            <w:tcBorders>
              <w:top w:val="nil"/>
              <w:left w:val="nil"/>
              <w:bottom w:val="nil"/>
              <w:right w:val="nil"/>
            </w:tcBorders>
          </w:tcPr>
          <w:p w14:paraId="6F304ECD"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3</w:t>
            </w:r>
          </w:p>
        </w:tc>
        <w:tc>
          <w:tcPr>
            <w:tcW w:w="1853" w:type="dxa"/>
            <w:tcBorders>
              <w:top w:val="nil"/>
              <w:left w:val="nil"/>
              <w:bottom w:val="nil"/>
              <w:right w:val="nil"/>
            </w:tcBorders>
            <w:vAlign w:val="bottom"/>
          </w:tcPr>
          <w:p w14:paraId="2B4BFF17"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80.149</w:t>
            </w:r>
          </w:p>
        </w:tc>
        <w:tc>
          <w:tcPr>
            <w:tcW w:w="4588" w:type="dxa"/>
            <w:tcBorders>
              <w:top w:val="single" w:sz="4" w:space="0" w:color="auto"/>
              <w:left w:val="nil"/>
              <w:bottom w:val="single" w:sz="4" w:space="0" w:color="auto"/>
              <w:right w:val="nil"/>
            </w:tcBorders>
          </w:tcPr>
          <w:p w14:paraId="1D85EF7F" w14:textId="77777777"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SD</w:t>
            </w:r>
            <w:r w:rsidRPr="0009377B">
              <w:rPr>
                <w:rFonts w:ascii="Arial" w:hAnsi="Arial" w:cs="Arial"/>
                <w:sz w:val="20"/>
                <w:szCs w:val="20"/>
                <w:vertAlign w:val="subscript"/>
              </w:rPr>
              <w:t xml:space="preserve"> </w:t>
            </w:r>
            <w:r w:rsidRPr="0009377B">
              <w:rPr>
                <w:rFonts w:ascii="Arial" w:hAnsi="Arial" w:cs="Arial"/>
                <w:sz w:val="20"/>
                <w:szCs w:val="20"/>
              </w:rPr>
              <w:t>=1.16</w:t>
            </w:r>
            <w:r w:rsidR="009635B7" w:rsidRPr="0009377B">
              <w:rPr>
                <w:rFonts w:ascii="Arial" w:hAnsi="Arial" w:cs="Arial"/>
                <w:sz w:val="20"/>
                <w:szCs w:val="20"/>
              </w:rPr>
              <w:t>6</w:t>
            </w:r>
          </w:p>
        </w:tc>
      </w:tr>
      <w:tr w:rsidR="006636F8" w:rsidRPr="0009377B" w14:paraId="759829EB" w14:textId="77777777" w:rsidTr="006636F8">
        <w:tc>
          <w:tcPr>
            <w:tcW w:w="982" w:type="dxa"/>
            <w:tcBorders>
              <w:top w:val="nil"/>
              <w:left w:val="nil"/>
              <w:bottom w:val="nil"/>
              <w:right w:val="nil"/>
            </w:tcBorders>
          </w:tcPr>
          <w:p w14:paraId="0EFCECB3"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4</w:t>
            </w:r>
          </w:p>
        </w:tc>
        <w:tc>
          <w:tcPr>
            <w:tcW w:w="1853" w:type="dxa"/>
            <w:tcBorders>
              <w:top w:val="nil"/>
              <w:left w:val="nil"/>
              <w:bottom w:val="nil"/>
              <w:right w:val="nil"/>
            </w:tcBorders>
            <w:vAlign w:val="bottom"/>
          </w:tcPr>
          <w:p w14:paraId="18113864"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80.077</w:t>
            </w:r>
          </w:p>
        </w:tc>
        <w:tc>
          <w:tcPr>
            <w:tcW w:w="4588" w:type="dxa"/>
            <w:tcBorders>
              <w:top w:val="single" w:sz="4" w:space="0" w:color="auto"/>
              <w:left w:val="nil"/>
              <w:bottom w:val="single" w:sz="4" w:space="0" w:color="auto"/>
              <w:right w:val="nil"/>
            </w:tcBorders>
          </w:tcPr>
          <w:p w14:paraId="67AD11FE" w14:textId="77777777"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RSD = 1.46</w:t>
            </w:r>
            <w:r w:rsidR="009635B7" w:rsidRPr="0009377B">
              <w:rPr>
                <w:rFonts w:ascii="Arial" w:hAnsi="Arial" w:cs="Arial"/>
                <w:sz w:val="20"/>
                <w:szCs w:val="20"/>
              </w:rPr>
              <w:t>3 %</w:t>
            </w:r>
          </w:p>
        </w:tc>
      </w:tr>
      <w:tr w:rsidR="006636F8" w:rsidRPr="0009377B" w14:paraId="6AE56BE1" w14:textId="77777777" w:rsidTr="006636F8">
        <w:tc>
          <w:tcPr>
            <w:tcW w:w="982" w:type="dxa"/>
            <w:tcBorders>
              <w:top w:val="nil"/>
              <w:left w:val="nil"/>
              <w:bottom w:val="nil"/>
              <w:right w:val="nil"/>
            </w:tcBorders>
          </w:tcPr>
          <w:p w14:paraId="698D04BE"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5</w:t>
            </w:r>
          </w:p>
        </w:tc>
        <w:tc>
          <w:tcPr>
            <w:tcW w:w="1853" w:type="dxa"/>
            <w:tcBorders>
              <w:top w:val="nil"/>
              <w:left w:val="nil"/>
              <w:bottom w:val="nil"/>
              <w:right w:val="nil"/>
            </w:tcBorders>
            <w:vAlign w:val="bottom"/>
          </w:tcPr>
          <w:p w14:paraId="61FBEE46"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79.456</w:t>
            </w:r>
          </w:p>
        </w:tc>
        <w:tc>
          <w:tcPr>
            <w:tcW w:w="4588" w:type="dxa"/>
            <w:tcBorders>
              <w:top w:val="single" w:sz="4" w:space="0" w:color="auto"/>
              <w:left w:val="nil"/>
              <w:bottom w:val="single" w:sz="4" w:space="0" w:color="auto"/>
              <w:right w:val="nil"/>
            </w:tcBorders>
          </w:tcPr>
          <w:p w14:paraId="18F0D9EF" w14:textId="77777777" w:rsidR="006636F8" w:rsidRPr="0009377B" w:rsidRDefault="009635B7" w:rsidP="006636F8">
            <w:pPr>
              <w:spacing w:beforeLines="50" w:before="120"/>
              <w:rPr>
                <w:rFonts w:ascii="Arial" w:hAnsi="Arial" w:cs="Arial"/>
                <w:sz w:val="20"/>
                <w:szCs w:val="20"/>
              </w:rPr>
            </w:pPr>
            <w:r w:rsidRPr="0009377B">
              <w:rPr>
                <w:rFonts w:ascii="Arial" w:hAnsi="Arial" w:cs="Arial"/>
                <w:sz w:val="20"/>
                <w:szCs w:val="20"/>
              </w:rPr>
              <w:t>Predicted recovery = 79.626%</w:t>
            </w:r>
          </w:p>
        </w:tc>
      </w:tr>
      <w:tr w:rsidR="006636F8" w:rsidRPr="0009377B" w14:paraId="7D0088B8" w14:textId="77777777" w:rsidTr="006636F8">
        <w:tc>
          <w:tcPr>
            <w:tcW w:w="982" w:type="dxa"/>
            <w:tcBorders>
              <w:top w:val="nil"/>
              <w:left w:val="nil"/>
              <w:bottom w:val="single" w:sz="4" w:space="0" w:color="auto"/>
              <w:right w:val="nil"/>
            </w:tcBorders>
          </w:tcPr>
          <w:p w14:paraId="7E689091"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6</w:t>
            </w:r>
          </w:p>
        </w:tc>
        <w:tc>
          <w:tcPr>
            <w:tcW w:w="1853" w:type="dxa"/>
            <w:tcBorders>
              <w:top w:val="nil"/>
              <w:left w:val="nil"/>
              <w:bottom w:val="single" w:sz="4" w:space="0" w:color="auto"/>
              <w:right w:val="nil"/>
            </w:tcBorders>
            <w:vAlign w:val="bottom"/>
          </w:tcPr>
          <w:p w14:paraId="0C7F185E"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77.864</w:t>
            </w:r>
          </w:p>
        </w:tc>
        <w:tc>
          <w:tcPr>
            <w:tcW w:w="4588" w:type="dxa"/>
            <w:tcBorders>
              <w:top w:val="single" w:sz="4" w:space="0" w:color="auto"/>
              <w:left w:val="nil"/>
              <w:bottom w:val="single" w:sz="4" w:space="0" w:color="auto"/>
              <w:right w:val="nil"/>
            </w:tcBorders>
          </w:tcPr>
          <w:p w14:paraId="02D69436" w14:textId="77777777" w:rsidR="006636F8" w:rsidRPr="0009377B" w:rsidRDefault="00236BC1" w:rsidP="006636F8">
            <w:pPr>
              <w:spacing w:beforeLines="50" w:before="120"/>
              <w:rPr>
                <w:rFonts w:ascii="Arial" w:hAnsi="Arial" w:cs="Arial"/>
                <w:sz w:val="20"/>
                <w:szCs w:val="20"/>
              </w:rPr>
            </w:pPr>
            <w:r w:rsidRPr="0009377B">
              <w:rPr>
                <w:rFonts w:ascii="Arial" w:hAnsi="Arial" w:cs="Arial"/>
                <w:sz w:val="20"/>
                <w:szCs w:val="20"/>
              </w:rPr>
              <w:t>One-sample t-test: t = 0.172, df = 5, p = 0.870</w:t>
            </w:r>
          </w:p>
        </w:tc>
      </w:tr>
      <w:tr w:rsidR="006636F8" w:rsidRPr="0009377B" w14:paraId="2165435D" w14:textId="77777777" w:rsidTr="006636F8">
        <w:tc>
          <w:tcPr>
            <w:tcW w:w="982" w:type="dxa"/>
            <w:tcBorders>
              <w:top w:val="single" w:sz="4" w:space="0" w:color="auto"/>
              <w:left w:val="nil"/>
              <w:bottom w:val="single" w:sz="18" w:space="0" w:color="auto"/>
              <w:right w:val="nil"/>
            </w:tcBorders>
          </w:tcPr>
          <w:p w14:paraId="188A0863" w14:textId="77777777" w:rsidR="006636F8" w:rsidRPr="0009377B" w:rsidRDefault="006636F8" w:rsidP="00FA5DE8">
            <w:pPr>
              <w:spacing w:beforeLines="50" w:before="120"/>
              <w:jc w:val="center"/>
              <w:rPr>
                <w:rFonts w:ascii="Arial" w:hAnsi="Arial" w:cs="Arial"/>
                <w:sz w:val="20"/>
                <w:szCs w:val="20"/>
              </w:rPr>
            </w:pPr>
            <w:r w:rsidRPr="0009377B">
              <w:rPr>
                <w:rFonts w:ascii="Arial" w:hAnsi="Arial" w:cs="Arial"/>
                <w:sz w:val="20"/>
                <w:szCs w:val="20"/>
              </w:rPr>
              <w:t>Average</w:t>
            </w:r>
          </w:p>
        </w:tc>
        <w:tc>
          <w:tcPr>
            <w:tcW w:w="1853" w:type="dxa"/>
            <w:tcBorders>
              <w:top w:val="single" w:sz="4" w:space="0" w:color="auto"/>
              <w:left w:val="nil"/>
              <w:bottom w:val="single" w:sz="18" w:space="0" w:color="auto"/>
              <w:right w:val="nil"/>
            </w:tcBorders>
          </w:tcPr>
          <w:p w14:paraId="02708D05" w14:textId="77777777" w:rsidR="006636F8" w:rsidRPr="0009377B" w:rsidRDefault="006636F8" w:rsidP="00FA5DE8">
            <w:pPr>
              <w:spacing w:beforeLines="50" w:before="120"/>
              <w:jc w:val="center"/>
              <w:rPr>
                <w:rFonts w:ascii="Arial" w:hAnsi="Arial" w:cs="Arial"/>
                <w:sz w:val="20"/>
                <w:szCs w:val="20"/>
              </w:rPr>
            </w:pPr>
            <w:r w:rsidRPr="0009377B">
              <w:rPr>
                <w:rFonts w:ascii="Arial" w:hAnsi="Arial" w:cs="Arial"/>
                <w:sz w:val="20"/>
                <w:szCs w:val="20"/>
              </w:rPr>
              <w:t>79.708</w:t>
            </w:r>
          </w:p>
        </w:tc>
        <w:tc>
          <w:tcPr>
            <w:tcW w:w="4588" w:type="dxa"/>
            <w:tcBorders>
              <w:top w:val="single" w:sz="4" w:space="0" w:color="auto"/>
              <w:left w:val="nil"/>
              <w:bottom w:val="single" w:sz="18" w:space="0" w:color="auto"/>
              <w:right w:val="nil"/>
            </w:tcBorders>
          </w:tcPr>
          <w:p w14:paraId="32DE9E22" w14:textId="77777777" w:rsidR="006636F8" w:rsidRPr="0009377B" w:rsidRDefault="00236BC1" w:rsidP="00FA5DE8">
            <w:pPr>
              <w:keepNext/>
              <w:spacing w:beforeLines="50" w:before="120"/>
              <w:rPr>
                <w:rFonts w:ascii="Arial" w:hAnsi="Arial" w:cs="Arial"/>
                <w:sz w:val="20"/>
                <w:szCs w:val="20"/>
              </w:rPr>
            </w:pPr>
            <w:r w:rsidRPr="0009377B">
              <w:rPr>
                <w:rFonts w:ascii="Arial" w:hAnsi="Arial" w:cs="Arial"/>
                <w:sz w:val="20"/>
                <w:szCs w:val="20"/>
              </w:rPr>
              <w:t>95% CI: 79.708 ± 1.224% (78.484–80.931%)</w:t>
            </w:r>
          </w:p>
        </w:tc>
      </w:tr>
    </w:tbl>
    <w:p w14:paraId="44D61C6E" w14:textId="77777777" w:rsidR="00D91544" w:rsidRDefault="00D91544" w:rsidP="00514458">
      <w:pPr>
        <w:pStyle w:val="Body"/>
        <w:spacing w:after="0"/>
        <w:rPr>
          <w:rFonts w:ascii="Arial" w:hAnsi="Arial" w:cs="Arial"/>
        </w:rPr>
      </w:pPr>
    </w:p>
    <w:p w14:paraId="650D730A" w14:textId="77777777" w:rsidR="009D3F46" w:rsidRDefault="009D3F46" w:rsidP="0027571B">
      <w:pPr>
        <w:pStyle w:val="Body"/>
        <w:spacing w:after="0"/>
        <w:rPr>
          <w:rFonts w:ascii="Arial" w:hAnsi="Arial" w:cs="Arial"/>
        </w:rPr>
      </w:pPr>
    </w:p>
    <w:p w14:paraId="5003209F" w14:textId="77777777" w:rsidR="0027571B" w:rsidRPr="00CB7508" w:rsidRDefault="009D3F46" w:rsidP="0027571B">
      <w:pPr>
        <w:pStyle w:val="Body"/>
        <w:spacing w:after="0"/>
        <w:rPr>
          <w:rFonts w:ascii="Arial" w:hAnsi="Arial" w:cs="Arial"/>
          <w:b/>
          <w:bCs/>
        </w:rPr>
      </w:pPr>
      <w:r w:rsidRPr="00CB7508">
        <w:rPr>
          <w:rFonts w:ascii="Arial" w:hAnsi="Arial" w:cs="Arial"/>
          <w:b/>
          <w:bCs/>
        </w:rPr>
        <w:t>3.</w:t>
      </w:r>
      <w:r w:rsidR="003F33A3" w:rsidRPr="00CB7508">
        <w:rPr>
          <w:rFonts w:ascii="Arial" w:hAnsi="Arial" w:cs="Arial"/>
          <w:b/>
          <w:bCs/>
        </w:rPr>
        <w:t xml:space="preserve">2 </w:t>
      </w:r>
      <w:r w:rsidR="0027571B" w:rsidRPr="00CB7508">
        <w:rPr>
          <w:rFonts w:ascii="Arial" w:hAnsi="Arial" w:cs="Arial"/>
          <w:b/>
          <w:bCs/>
        </w:rPr>
        <w:t>Discussion</w:t>
      </w:r>
    </w:p>
    <w:p w14:paraId="2307535F" w14:textId="77777777" w:rsidR="00CB7508" w:rsidRDefault="00CB7508" w:rsidP="0027571B">
      <w:pPr>
        <w:pStyle w:val="Body"/>
        <w:spacing w:after="0"/>
        <w:rPr>
          <w:rFonts w:ascii="Arial" w:hAnsi="Arial" w:cs="Arial"/>
        </w:rPr>
      </w:pPr>
    </w:p>
    <w:p w14:paraId="6B1634A8" w14:textId="77777777" w:rsidR="0027571B" w:rsidRPr="0027571B" w:rsidRDefault="0027571B" w:rsidP="00A029D2">
      <w:pPr>
        <w:pStyle w:val="Body"/>
        <w:spacing w:after="0"/>
        <w:rPr>
          <w:rFonts w:ascii="Arial" w:hAnsi="Arial" w:cs="Arial"/>
        </w:rPr>
      </w:pPr>
      <w:r w:rsidRPr="00CB7508">
        <w:rPr>
          <w:rFonts w:ascii="Arial" w:hAnsi="Arial" w:cs="Arial"/>
          <w:b/>
          <w:bCs/>
          <w:u w:val="single"/>
        </w:rPr>
        <w:t xml:space="preserve">3.2.1. </w:t>
      </w:r>
      <w:r w:rsidR="00236BC1" w:rsidRPr="00236BC1">
        <w:rPr>
          <w:rFonts w:ascii="Arial" w:hAnsi="Arial" w:cs="Arial"/>
          <w:b/>
          <w:bCs/>
          <w:u w:val="single"/>
        </w:rPr>
        <w:t>Complementary Effects of Enzymatic Pretreatment and Ultrasound</w:t>
      </w:r>
    </w:p>
    <w:p w14:paraId="4DEF065E" w14:textId="77777777" w:rsidR="00236BC1" w:rsidRDefault="00236BC1" w:rsidP="009378FA">
      <w:pPr>
        <w:jc w:val="both"/>
        <w:rPr>
          <w:rFonts w:ascii="Arial" w:eastAsia="Arial" w:hAnsi="Arial" w:cs="Arial"/>
        </w:rPr>
      </w:pPr>
    </w:p>
    <w:p w14:paraId="65D42F5E" w14:textId="77777777" w:rsidR="009378FA" w:rsidRPr="009378FA" w:rsidRDefault="00CC3C77" w:rsidP="009378FA">
      <w:pPr>
        <w:jc w:val="both"/>
        <w:rPr>
          <w:rFonts w:ascii="Arial" w:eastAsia="Arial" w:hAnsi="Arial" w:cs="Arial"/>
        </w:rPr>
      </w:pPr>
      <w:r w:rsidRPr="00CC3C77">
        <w:rPr>
          <w:rFonts w:ascii="Arial" w:eastAsia="Arial" w:hAnsi="Arial" w:cs="Arial"/>
        </w:rPr>
        <w:t>The results showed a pronounced increase in astaxanthin recovery when enzymatic pretreatment was combined with ultrasound-assisted extraction. Cellulase, pectinase, combined cellulase–pectinase treatment, and ultrasound alone yielded recoveries below 0.3%, whereas the combined enzyme–ultrasound treatment (EU) achieved 20.822 ± 0.322% under the preliminary comparison conditions</w:t>
      </w:r>
      <w:r>
        <w:rPr>
          <w:rFonts w:ascii="Arial" w:eastAsia="Arial" w:hAnsi="Arial" w:cs="Arial"/>
        </w:rPr>
        <w:t xml:space="preserve"> before response-surface </w:t>
      </w:r>
      <w:r>
        <w:rPr>
          <w:rFonts w:ascii="Arial" w:eastAsia="Arial" w:hAnsi="Arial" w:cs="Arial"/>
          <w:highlight w:val="yellow"/>
        </w:rPr>
        <w:t>modelling</w:t>
      </w:r>
      <w:r>
        <w:rPr>
          <w:rFonts w:ascii="Arial" w:eastAsia="Arial" w:hAnsi="Arial" w:cs="Arial"/>
        </w:rPr>
        <w:t>. The approximately 75-fold increase relative to the untreated control indicates that the sequential enzyme–ultrasound treatment was substantially more effective than either treatment applied independently.</w:t>
      </w:r>
    </w:p>
    <w:p w14:paraId="182A2695" w14:textId="77777777" w:rsidR="00CC3C77" w:rsidRDefault="00CC3C77" w:rsidP="0027571B">
      <w:pPr>
        <w:pStyle w:val="Body"/>
        <w:spacing w:after="0"/>
        <w:rPr>
          <w:rFonts w:ascii="Arial" w:eastAsia="Arial" w:hAnsi="Arial" w:cs="Arial"/>
        </w:rPr>
      </w:pPr>
    </w:p>
    <w:p w14:paraId="2416D827" w14:textId="77777777" w:rsidR="00CB7508" w:rsidRDefault="00CC3C77" w:rsidP="0027571B">
      <w:pPr>
        <w:pStyle w:val="Body"/>
        <w:spacing w:after="0"/>
        <w:rPr>
          <w:rFonts w:ascii="Arial" w:hAnsi="Arial" w:cs="Arial"/>
        </w:rPr>
      </w:pPr>
      <w:r>
        <w:rPr>
          <w:rFonts w:ascii="Arial" w:eastAsia="Arial" w:hAnsi="Arial" w:cs="Arial"/>
        </w:rPr>
        <w:t>The limited recovery obtained with the individual treatments is consistent with the well-</w:t>
      </w:r>
      <w:r>
        <w:rPr>
          <w:rFonts w:ascii="Arial" w:eastAsia="Arial" w:hAnsi="Arial" w:cs="Arial"/>
          <w:highlight w:val="yellow"/>
        </w:rPr>
        <w:t>recognised</w:t>
      </w:r>
      <w:r>
        <w:rPr>
          <w:rFonts w:ascii="Arial" w:eastAsia="Arial" w:hAnsi="Arial" w:cs="Arial"/>
        </w:rPr>
        <w:t xml:space="preserve"> resistance of </w:t>
      </w:r>
      <w:r w:rsidRPr="00CC3C77">
        <w:rPr>
          <w:rFonts w:ascii="Arial" w:eastAsia="Arial" w:hAnsi="Arial" w:cs="Arial"/>
          <w:i/>
          <w:iCs/>
        </w:rPr>
        <w:t xml:space="preserve">Haematococcus pluvialis </w:t>
      </w:r>
      <w:r w:rsidRPr="00CC3C77">
        <w:rPr>
          <w:rFonts w:ascii="Arial" w:eastAsia="Arial" w:hAnsi="Arial" w:cs="Arial"/>
        </w:rPr>
        <w:t xml:space="preserve">cysts to downstream cell disruption. The robust cell-wall structure </w:t>
      </w:r>
      <w:r>
        <w:rPr>
          <w:rFonts w:ascii="Arial" w:eastAsia="Arial" w:hAnsi="Arial" w:cs="Arial"/>
        </w:rPr>
        <w:t xml:space="preserve">is a major technological barrier to efficient astaxanthin release </w:t>
      </w:r>
      <w:r w:rsidR="009378FA">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0B4812">
        <w:rPr>
          <w:rFonts w:ascii="Arial" w:hAnsi="Arial" w:cs="Arial"/>
        </w:rPr>
        <w:instrText xml:space="preserve"> ADDIN EN.CITE </w:instrText>
      </w:r>
      <w:r w:rsidR="000B4812">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0B4812">
        <w:rPr>
          <w:rFonts w:ascii="Arial" w:hAnsi="Arial" w:cs="Arial"/>
        </w:rPr>
        <w:instrText xml:space="preserve"> ADDIN EN.CITE.DATA </w:instrText>
      </w:r>
      <w:r w:rsidR="000B4812">
        <w:rPr>
          <w:rFonts w:ascii="Arial" w:hAnsi="Arial" w:cs="Arial"/>
        </w:rPr>
      </w:r>
      <w:r w:rsidR="000B4812">
        <w:rPr>
          <w:rFonts w:ascii="Arial" w:hAnsi="Arial" w:cs="Arial"/>
        </w:rPr>
        <w:fldChar w:fldCharType="end"/>
      </w:r>
      <w:r w:rsidR="009378FA">
        <w:rPr>
          <w:rFonts w:ascii="Arial" w:hAnsi="Arial" w:cs="Arial"/>
        </w:rPr>
      </w:r>
      <w:r w:rsidR="009378FA">
        <w:rPr>
          <w:rFonts w:ascii="Arial" w:hAnsi="Arial" w:cs="Arial"/>
        </w:rPr>
        <w:fldChar w:fldCharType="separate"/>
      </w:r>
      <w:r>
        <w:rPr>
          <w:rFonts w:ascii="Arial" w:hAnsi="Arial" w:cs="Arial"/>
          <w:noProof/>
          <w:highlight w:val="yellow"/>
        </w:rPr>
        <w:t>(Cui et al., 2025; Jaryal et al., 2025)</w:t>
      </w:r>
      <w:r w:rsidR="009378FA">
        <w:rPr>
          <w:rFonts w:ascii="Arial" w:hAnsi="Arial" w:cs="Arial"/>
        </w:rPr>
        <w:fldChar w:fldCharType="end"/>
      </w:r>
      <w:r w:rsidR="009378FA" w:rsidRPr="009378FA">
        <w:rPr>
          <w:rFonts w:ascii="Arial" w:eastAsia="Arial" w:hAnsi="Arial" w:cs="Arial"/>
        </w:rPr>
        <w:t xml:space="preserve">. </w:t>
      </w:r>
      <w:r w:rsidRPr="00CC3C77">
        <w:rPr>
          <w:rFonts w:ascii="Arial" w:eastAsia="Arial" w:hAnsi="Arial" w:cs="Arial"/>
        </w:rPr>
        <w:t>Ultrasound-assisted extraction can promote mechanical disruption and mass transfer through acoustic cavitation, whereas enzymatic pretreatment may weaken structural polysaccharides within the cellular matrix. Previous studies have similarly highlighted the potential benefits of combining biochemical and physical cell-disruption approaches</w:t>
      </w:r>
      <w:r>
        <w:rPr>
          <w:rFonts w:ascii="Arial" w:eastAsia="Arial" w:hAnsi="Arial" w:cs="Arial"/>
        </w:rPr>
        <w:t xml:space="preserve"> </w:t>
      </w:r>
      <w:r w:rsidR="000B4812">
        <w:rPr>
          <w:rFonts w:ascii="Arial" w:hAnsi="Arial" w:cs="Arial"/>
          <w:b/>
          <w:caps/>
          <w:noProof/>
        </w:rPr>
        <w:fldChar w:fldCharType="begin"/>
      </w:r>
      <w:r w:rsidR="008D18A3" w:rsidRPr="00CB56D3">
        <w:rPr>
          <w:rFonts w:ascii="Arial" w:hAnsi="Arial" w:cs="Arial"/>
          <w:b/>
          <w:caps/>
          <w:noProof/>
        </w:rPr>
        <w:instrText xml:space="preserve"> ADDIN EN.CITE &lt;EndNote&gt;&lt;Cite&gt;&lt;Author&gt;Zou&lt;/Author&gt;&lt;Year&gt;2013&lt;/Year&gt;&lt;RecNum&gt;124&lt;/RecNum&gt;&lt;DisplayText&gt;[3]&lt;/DisplayText&gt;&lt;record&gt;&lt;rec-number&gt;124&lt;/rec-number&gt;&lt;foreign-keys&gt;&lt;key app="EN" db-id="dp5zaxsf72d9v2et5x7x95pxwrwvwv0rfzws" timestamp="1787714686"&gt;124&lt;/key&gt;&lt;/foreign-keys&gt;&lt;ref-type name="Journal Article"&gt;17&lt;/ref-type&gt;&lt;contributors&gt;&lt;authors&gt;&lt;author&gt;Zou, Tang-Bin&lt;/author&gt;&lt;author&gt;Jia, Qing&lt;/author&gt;&lt;author&gt;Li, Hua-Wen&lt;/author&gt;&lt;author&gt;Wang, Chang-Xiu&lt;/author&gt;&lt;author&gt;Wu, Hong-Fu&lt;/author&gt;&lt;/authors&gt;&lt;/contributors&gt;&lt;titles&gt;&lt;title&gt;Response Surface Methodology for Ultrasound-Assisted Extraction of Astaxanthin from Haematococcus pluvialis&lt;/title&gt;&lt;secondary-title&gt;Marine Drugs&lt;/secondary-title&gt;&lt;/titles&gt;&lt;periodical&gt;&lt;full-title&gt;Marine Drugs&lt;/full-title&gt;&lt;/periodical&gt;&lt;pages&gt;1644-1655&lt;/pages&gt;&lt;volume&gt;11&lt;/volume&gt;&lt;number&gt;5&lt;/number&gt;&lt;dates&gt;&lt;year&gt;2013&lt;/year&gt;&lt;/dates&gt;&lt;isbn&gt;1660-3397&lt;/isbn&gt;&lt;accession-num&gt;doi:10.3390/md11051644&lt;/accession-num&gt;&lt;urls&gt;&lt;related-urls&gt;&lt;url&gt;https://www.mdpi.com/1660-3397/11/5/1644&lt;/url&gt;&lt;/related-urls&gt;&lt;/urls&gt;&lt;/record&gt;&lt;/Cite&gt;&lt;/EndNote&gt;</w:instrText>
      </w:r>
      <w:r w:rsidR="000B4812">
        <w:rPr>
          <w:rFonts w:ascii="Arial" w:hAnsi="Arial" w:cs="Arial"/>
          <w:b/>
          <w:caps/>
          <w:noProof/>
        </w:rPr>
        <w:fldChar w:fldCharType="separate"/>
      </w:r>
      <w:r>
        <w:rPr>
          <w:rFonts w:ascii="Arial" w:hAnsi="Arial" w:cs="Arial"/>
          <w:bCs/>
          <w:noProof/>
          <w:highlight w:val="yellow"/>
        </w:rPr>
        <w:t>(Khoo et al., 2020; Zou et al., 2013)</w:t>
      </w:r>
      <w:r w:rsidR="000B4812">
        <w:rPr>
          <w:rFonts w:ascii="Arial" w:eastAsia="Arial" w:hAnsi="Arial" w:cs="Arial"/>
        </w:rPr>
        <w:fldChar w:fldCharType="end"/>
      </w:r>
      <w:r w:rsidR="000B4812">
        <w:rPr>
          <w:rFonts w:ascii="Arial" w:eastAsia="Arial" w:hAnsi="Arial" w:cs="Arial"/>
        </w:rPr>
        <w:t>.</w:t>
      </w:r>
      <w:r>
        <w:rPr>
          <w:rFonts w:ascii="Arial" w:hAnsi="Arial" w:cs="Arial"/>
        </w:rPr>
        <w:t xml:space="preserve"> </w:t>
      </w:r>
      <w:r w:rsidRPr="00CC3C77">
        <w:rPr>
          <w:rFonts w:ascii="Arial" w:hAnsi="Arial" w:cs="Arial"/>
        </w:rPr>
        <w:t>In the present study, the markedly greater recovery achieved by the sequential enzyme–ultrasound treatment, together with the microscopic observations, is consistent with complementary effects of the two treatments. However, because the experimental design did not directly quantify an enzyme × ultrasound interaction, these findings should not be interpreted as definitive statistical evidence of synergism.</w:t>
      </w:r>
    </w:p>
    <w:p w14:paraId="1B6F2896" w14:textId="77777777" w:rsidR="00CC3C77" w:rsidRDefault="00CC3C77" w:rsidP="0027571B">
      <w:pPr>
        <w:pStyle w:val="Body"/>
        <w:spacing w:after="0"/>
        <w:rPr>
          <w:rFonts w:ascii="Arial" w:hAnsi="Arial" w:cs="Arial"/>
        </w:rPr>
      </w:pPr>
    </w:p>
    <w:p w14:paraId="1274C2DC" w14:textId="77777777" w:rsidR="0027571B" w:rsidRPr="00CB7508" w:rsidRDefault="0027571B" w:rsidP="0027571B">
      <w:pPr>
        <w:pStyle w:val="Body"/>
        <w:spacing w:after="0"/>
        <w:rPr>
          <w:rFonts w:ascii="Arial" w:hAnsi="Arial" w:cs="Arial"/>
          <w:b/>
          <w:bCs/>
          <w:u w:val="single"/>
        </w:rPr>
      </w:pPr>
      <w:r w:rsidRPr="00CB7508">
        <w:rPr>
          <w:rFonts w:ascii="Arial" w:hAnsi="Arial" w:cs="Arial"/>
          <w:b/>
          <w:bCs/>
          <w:u w:val="single"/>
        </w:rPr>
        <w:t>3.2.2. Influence of Carrier Oil and Enzyme Composition</w:t>
      </w:r>
    </w:p>
    <w:p w14:paraId="24642686" w14:textId="77777777" w:rsidR="00CB7508" w:rsidRDefault="00CB7508" w:rsidP="0027571B">
      <w:pPr>
        <w:pStyle w:val="Body"/>
        <w:spacing w:after="0"/>
        <w:rPr>
          <w:rFonts w:ascii="Arial" w:hAnsi="Arial" w:cs="Arial"/>
        </w:rPr>
      </w:pPr>
    </w:p>
    <w:p w14:paraId="3126A9CA" w14:textId="77777777" w:rsidR="0027571B" w:rsidRPr="0027571B" w:rsidRDefault="00A029D2" w:rsidP="0027571B">
      <w:pPr>
        <w:pStyle w:val="Body"/>
        <w:spacing w:after="0"/>
        <w:rPr>
          <w:rFonts w:ascii="Arial" w:hAnsi="Arial" w:cs="Arial"/>
        </w:rPr>
      </w:pPr>
      <w:r>
        <w:rPr>
          <w:rFonts w:ascii="Arial" w:eastAsia="Arial" w:hAnsi="Arial" w:cs="Arial"/>
        </w:rPr>
        <w:t xml:space="preserve">Preliminary carrier-oil screening showed that the extraction phase strongly affected astaxanthin recovery. Among the soybean, sunflower, and rice-bran oils evaluated in the present study, soybean oil produced the highest preliminary recovery (80.283 ± </w:t>
      </w:r>
      <w:r w:rsidR="00CC3C77">
        <w:rPr>
          <w:rFonts w:ascii="Arial" w:eastAsia="Arial" w:hAnsi="Arial" w:cs="Arial"/>
        </w:rPr>
        <w:t>1.050</w:t>
      </w:r>
      <w:r>
        <w:rPr>
          <w:rFonts w:ascii="Arial" w:eastAsia="Arial" w:hAnsi="Arial" w:cs="Arial"/>
        </w:rPr>
        <w:t xml:space="preserve">%). We therefore selected it as the carrier phase for </w:t>
      </w:r>
      <w:r w:rsidR="00CC3C77" w:rsidRPr="00CC3C77">
        <w:rPr>
          <w:rFonts w:ascii="Arial" w:eastAsia="Arial" w:hAnsi="Arial" w:cs="Arial"/>
        </w:rPr>
        <w:t>subsequent response-surface experiments</w:t>
      </w:r>
      <w:r>
        <w:rPr>
          <w:rFonts w:ascii="Arial" w:eastAsia="Arial" w:hAnsi="Arial" w:cs="Arial"/>
        </w:rPr>
        <w:t xml:space="preserve">. Previous research supports soybean oil as a suitable edible carrier for </w:t>
      </w:r>
      <w:r w:rsidR="00CC3C77" w:rsidRPr="00CC3C77">
        <w:rPr>
          <w:rFonts w:ascii="Arial" w:eastAsia="Arial" w:hAnsi="Arial" w:cs="Arial"/>
          <w:i/>
          <w:iCs/>
        </w:rPr>
        <w:t>H. pluvialis</w:t>
      </w:r>
      <w:r>
        <w:rPr>
          <w:rFonts w:ascii="Arial" w:eastAsia="Arial" w:hAnsi="Arial" w:cs="Arial"/>
          <w:i/>
          <w:iCs/>
          <w:highlight w:val="yellow"/>
        </w:rPr>
        <w:t>-derived</w:t>
      </w:r>
      <w:r>
        <w:rPr>
          <w:rFonts w:ascii="Arial" w:eastAsia="Arial" w:hAnsi="Arial" w:cs="Arial"/>
        </w:rPr>
        <w:t xml:space="preserve"> astaxanthin. </w:t>
      </w:r>
      <w:r>
        <w:rPr>
          <w:rFonts w:ascii="Arial" w:eastAsia="Arial" w:hAnsi="Arial" w:cs="Arial"/>
          <w:highlight w:val="yellow"/>
        </w:rPr>
        <w:t>Dong et al. (2014) reported</w:t>
      </w:r>
      <w:r>
        <w:rPr>
          <w:rFonts w:ascii="Arial" w:eastAsia="Arial" w:hAnsi="Arial" w:cs="Arial"/>
        </w:rPr>
        <w:t xml:space="preserve"> the feasibility of soy-oil extraction of astaxanthin from </w:t>
      </w:r>
      <w:r w:rsidR="00CC3C77" w:rsidRPr="00CC3C77">
        <w:rPr>
          <w:rFonts w:ascii="Arial" w:eastAsia="Arial" w:hAnsi="Arial" w:cs="Arial"/>
          <w:i/>
          <w:iCs/>
        </w:rPr>
        <w:t>H. pluvialis</w:t>
      </w:r>
      <w:r>
        <w:rPr>
          <w:rFonts w:ascii="Arial" w:eastAsia="Arial" w:hAnsi="Arial" w:cs="Arial"/>
          <w:i/>
          <w:iCs/>
          <w:highlight w:val="yellow"/>
        </w:rPr>
        <w:t>,</w:t>
      </w:r>
      <w:r>
        <w:rPr>
          <w:rFonts w:ascii="Arial" w:eastAsia="Arial" w:hAnsi="Arial" w:cs="Arial"/>
        </w:rPr>
        <w:t xml:space="preserve"> </w:t>
      </w:r>
      <w:r>
        <w:rPr>
          <w:rFonts w:ascii="Arial" w:eastAsia="Arial" w:hAnsi="Arial" w:cs="Arial"/>
          <w:highlight w:val="yellow"/>
        </w:rPr>
        <w:t>whereas more recent work demonstrated</w:t>
      </w:r>
      <w:r>
        <w:rPr>
          <w:rFonts w:ascii="Arial" w:eastAsia="Arial" w:hAnsi="Arial" w:cs="Arial"/>
        </w:rPr>
        <w:t xml:space="preserve"> the production of astaxanthin-containing soybean oil with a cumulative recovery of 66.41% and substantially enhanced antioxidant capacity </w:t>
      </w:r>
      <w:r w:rsidR="00E4766D">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0B4812">
        <w:rPr>
          <w:rFonts w:ascii="Arial" w:hAnsi="Arial" w:cs="Arial"/>
        </w:rPr>
        <w:instrText xml:space="preserve"> ADDIN EN.CITE </w:instrText>
      </w:r>
      <w:r w:rsidR="000B4812">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0B4812">
        <w:rPr>
          <w:rFonts w:ascii="Arial" w:hAnsi="Arial" w:cs="Arial"/>
        </w:rPr>
        <w:instrText xml:space="preserve"> ADDIN EN.CITE.DATA </w:instrText>
      </w:r>
      <w:r w:rsidR="000B4812">
        <w:rPr>
          <w:rFonts w:ascii="Arial" w:hAnsi="Arial" w:cs="Arial"/>
        </w:rPr>
      </w:r>
      <w:r w:rsidR="000B4812">
        <w:rPr>
          <w:rFonts w:ascii="Arial" w:hAnsi="Arial" w:cs="Arial"/>
        </w:rPr>
        <w:fldChar w:fldCharType="end"/>
      </w:r>
      <w:r w:rsidR="00E4766D">
        <w:rPr>
          <w:rFonts w:ascii="Arial" w:hAnsi="Arial" w:cs="Arial"/>
        </w:rPr>
      </w:r>
      <w:r w:rsidR="00E4766D">
        <w:rPr>
          <w:rFonts w:ascii="Arial" w:hAnsi="Arial" w:cs="Arial"/>
        </w:rPr>
        <w:fldChar w:fldCharType="separate"/>
      </w:r>
      <w:r>
        <w:rPr>
          <w:rFonts w:ascii="Arial" w:hAnsi="Arial" w:cs="Arial"/>
          <w:noProof/>
          <w:highlight w:val="yellow"/>
        </w:rPr>
        <w:t>(Lee et al., 2024).</w:t>
      </w:r>
      <w:r w:rsidR="00E4766D">
        <w:rPr>
          <w:rFonts w:ascii="Arial" w:hAnsi="Arial" w:cs="Arial"/>
        </w:rPr>
        <w:fldChar w:fldCharType="end"/>
      </w:r>
    </w:p>
    <w:p w14:paraId="334C6C52" w14:textId="77777777" w:rsidR="0027571B" w:rsidRPr="0027571B" w:rsidRDefault="0027571B" w:rsidP="0027571B">
      <w:pPr>
        <w:pStyle w:val="Body"/>
        <w:spacing w:after="0"/>
        <w:rPr>
          <w:rFonts w:ascii="Arial" w:hAnsi="Arial" w:cs="Arial"/>
        </w:rPr>
      </w:pPr>
    </w:p>
    <w:p w14:paraId="15E459A3" w14:textId="77777777" w:rsidR="0027571B" w:rsidRPr="0027571B" w:rsidRDefault="0027571B" w:rsidP="0027571B">
      <w:pPr>
        <w:pStyle w:val="Body"/>
        <w:spacing w:after="0"/>
        <w:rPr>
          <w:rFonts w:ascii="Arial" w:hAnsi="Arial" w:cs="Arial"/>
        </w:rPr>
      </w:pPr>
      <w:r>
        <w:rPr>
          <w:rFonts w:ascii="Arial" w:hAnsi="Arial" w:cs="Arial"/>
        </w:rPr>
        <w:lastRenderedPageBreak/>
        <w:t xml:space="preserve">Recent research </w:t>
      </w:r>
      <w:r>
        <w:rPr>
          <w:rFonts w:ascii="Arial" w:hAnsi="Arial" w:cs="Arial"/>
          <w:highlight w:val="yellow"/>
        </w:rPr>
        <w:t>further confirms the growing interest</w:t>
      </w:r>
      <w:r>
        <w:rPr>
          <w:rFonts w:ascii="Arial" w:hAnsi="Arial" w:cs="Arial"/>
        </w:rPr>
        <w:t xml:space="preserve"> in vegetable oils as food-compatible extraction phases. Mansouri et al. (2026) compared several disruption strategies and investigated vegetable oils including argan, cannabis, and olive oils as non-polar extraction pha</w:t>
      </w:r>
      <w:r w:rsidR="00E4766D">
        <w:rPr>
          <w:rFonts w:ascii="Arial" w:hAnsi="Arial" w:cs="Arial"/>
        </w:rPr>
        <w:t xml:space="preserve">ses for </w:t>
      </w:r>
      <w:r w:rsidR="00CC3C77" w:rsidRPr="00CC3C77">
        <w:rPr>
          <w:rFonts w:ascii="Arial" w:hAnsi="Arial" w:cs="Arial"/>
          <w:i/>
          <w:iCs/>
        </w:rPr>
        <w:t>H. pluvialis</w:t>
      </w:r>
      <w:r>
        <w:rPr>
          <w:rFonts w:ascii="Arial" w:hAnsi="Arial" w:cs="Arial"/>
          <w:i/>
          <w:iCs/>
          <w:highlight w:val="yellow"/>
        </w:rPr>
        <w:t xml:space="preserve"> </w:t>
      </w:r>
      <w:r w:rsidR="00E4766D">
        <w:rPr>
          <w:rFonts w:ascii="Arial" w:hAnsi="Arial" w:cs="Arial"/>
        </w:rPr>
        <w:t>biomass</w:t>
      </w:r>
      <w:r>
        <w:rPr>
          <w:rFonts w:ascii="Arial" w:hAnsi="Arial" w:cs="Arial"/>
          <w:highlight w:val="yellow"/>
        </w:rPr>
        <w:t>.</w:t>
      </w:r>
      <w:r>
        <w:rPr>
          <w:rFonts w:ascii="Arial" w:hAnsi="Arial" w:cs="Arial"/>
        </w:rPr>
        <w:t xml:space="preserve"> </w:t>
      </w:r>
      <w:r w:rsidR="00322074" w:rsidRPr="00322074">
        <w:rPr>
          <w:rFonts w:ascii="Arial" w:hAnsi="Arial" w:cs="Arial"/>
        </w:rPr>
        <w:t>These studies indicate that edible oils can act not only as extraction phases but also as potential final carriers for astaxanthin-enriched lipid products. Accordingly, soybean oil's significance in the present study does not lie in its use as a novel solvent, but in its incorporation into an enzyme-assisted ultrasound extraction platform.</w:t>
      </w:r>
    </w:p>
    <w:p w14:paraId="744F7F81" w14:textId="77777777" w:rsidR="0027571B" w:rsidRPr="0027571B" w:rsidRDefault="0027571B" w:rsidP="0027571B">
      <w:pPr>
        <w:pStyle w:val="Body"/>
        <w:spacing w:after="0"/>
        <w:rPr>
          <w:rFonts w:ascii="Arial" w:hAnsi="Arial" w:cs="Arial"/>
        </w:rPr>
      </w:pPr>
    </w:p>
    <w:p w14:paraId="28DB6808" w14:textId="77777777" w:rsidR="0027571B" w:rsidRPr="0027571B" w:rsidRDefault="0027571B" w:rsidP="0027571B">
      <w:pPr>
        <w:pStyle w:val="Body"/>
        <w:spacing w:after="0"/>
        <w:rPr>
          <w:rFonts w:ascii="Arial" w:hAnsi="Arial" w:cs="Arial"/>
        </w:rPr>
      </w:pPr>
      <w:r>
        <w:rPr>
          <w:rFonts w:ascii="Arial" w:hAnsi="Arial" w:cs="Arial"/>
        </w:rPr>
        <w:t xml:space="preserve">The enzyme-composition screening further showed that the 50:50 cellulase–pectinase formulation provided the highest extraction performance among the tested enzyme ratios. This finding suggests that combining enzymes with complementary substrate specificities </w:t>
      </w:r>
      <w:r>
        <w:rPr>
          <w:rFonts w:ascii="Arial" w:hAnsi="Arial" w:cs="Arial"/>
          <w:highlight w:val="yellow"/>
        </w:rPr>
        <w:t>may improve the accessibility of intracellular astaxanthin compared with treatment using either enzyme alone</w:t>
      </w:r>
      <w:r>
        <w:rPr>
          <w:rFonts w:ascii="Arial" w:hAnsi="Arial" w:cs="Arial"/>
        </w:rPr>
        <w:t xml:space="preserve">. </w:t>
      </w:r>
      <w:r>
        <w:rPr>
          <w:rFonts w:ascii="Arial" w:hAnsi="Arial" w:cs="Arial"/>
          <w:highlight w:val="yellow"/>
        </w:rPr>
        <w:t>Zhao et al. (2019) demonstrated</w:t>
      </w:r>
      <w:r>
        <w:rPr>
          <w:rFonts w:ascii="Arial" w:hAnsi="Arial" w:cs="Arial"/>
        </w:rPr>
        <w:t xml:space="preserve"> that both cellulase and pectinase could improve astaxanthin release from </w:t>
      </w:r>
      <w:r w:rsidR="00CC3C77" w:rsidRPr="00CC3C77">
        <w:rPr>
          <w:rFonts w:ascii="Arial" w:hAnsi="Arial" w:cs="Arial"/>
          <w:i/>
          <w:iCs/>
        </w:rPr>
        <w:t>H. pluvialis</w:t>
      </w:r>
      <w:r>
        <w:rPr>
          <w:rFonts w:ascii="Arial" w:hAnsi="Arial" w:cs="Arial"/>
          <w:i/>
          <w:iCs/>
          <w:highlight w:val="yellow"/>
        </w:rPr>
        <w:t>,</w:t>
      </w:r>
      <w:r>
        <w:rPr>
          <w:rFonts w:ascii="Arial" w:hAnsi="Arial" w:cs="Arial"/>
        </w:rPr>
        <w:t xml:space="preserve"> with pectinase providing significantly greater release than cellulase under their investigated conditions</w:t>
      </w:r>
      <w:r>
        <w:rPr>
          <w:rFonts w:ascii="Arial" w:hAnsi="Arial" w:cs="Arial"/>
          <w:highlight w:val="yellow"/>
        </w:rPr>
        <w:t>.</w:t>
      </w:r>
      <w:r>
        <w:rPr>
          <w:rFonts w:ascii="Arial" w:hAnsi="Arial" w:cs="Arial"/>
        </w:rPr>
        <w:t xml:space="preserve"> </w:t>
      </w:r>
      <w:r w:rsidR="00322074" w:rsidRPr="00322074">
        <w:rPr>
          <w:rFonts w:ascii="Arial" w:hAnsi="Arial" w:cs="Arial"/>
        </w:rPr>
        <w:t>The present findings broaden this concept by showing that the relative composition of the two enzymes can also influence the performance of the integrated extraction process.</w:t>
      </w:r>
    </w:p>
    <w:p w14:paraId="0432D19A" w14:textId="77777777" w:rsidR="00171152" w:rsidRDefault="009C495D" w:rsidP="00E27E05">
      <w:pPr>
        <w:pStyle w:val="Body"/>
        <w:rPr>
          <w:rFonts w:ascii="Arial" w:hAnsi="Arial" w:cs="Arial"/>
          <w:b/>
          <w:bCs/>
          <w:u w:val="single"/>
        </w:rPr>
      </w:pPr>
      <w:r w:rsidRPr="00CB7508">
        <w:rPr>
          <w:rFonts w:ascii="Arial" w:hAnsi="Arial" w:cs="Arial"/>
          <w:b/>
          <w:bCs/>
          <w:u w:val="single"/>
        </w:rPr>
        <w:t xml:space="preserve">3.2.3. </w:t>
      </w:r>
      <w:r>
        <w:rPr>
          <w:rFonts w:ascii="Arial" w:hAnsi="Arial" w:cs="Arial"/>
          <w:b/>
          <w:bCs/>
          <w:u w:val="single"/>
        </w:rPr>
        <w:t xml:space="preserve">Response Surface </w:t>
      </w:r>
      <w:r>
        <w:rPr>
          <w:rFonts w:ascii="Arial" w:hAnsi="Arial" w:cs="Arial"/>
          <w:b/>
          <w:bCs/>
          <w:highlight w:val="yellow"/>
          <w:u w:val="single"/>
        </w:rPr>
        <w:t>Modelling</w:t>
      </w:r>
      <w:r>
        <w:rPr>
          <w:rFonts w:ascii="Arial" w:hAnsi="Arial" w:cs="Arial"/>
          <w:b/>
          <w:bCs/>
          <w:u w:val="single"/>
        </w:rPr>
        <w:t>, Model Validation, and Green Extraction Implications</w:t>
      </w:r>
    </w:p>
    <w:p w14:paraId="2C9FBA7E" w14:textId="77777777" w:rsidR="00E27E05" w:rsidRPr="00E27E05" w:rsidRDefault="00E27E05" w:rsidP="00E27E05">
      <w:pPr>
        <w:pStyle w:val="Body"/>
        <w:rPr>
          <w:rFonts w:ascii="Arial" w:hAnsi="Arial" w:cs="Arial"/>
        </w:rPr>
      </w:pPr>
      <w:r>
        <w:rPr>
          <w:rFonts w:ascii="Arial" w:hAnsi="Arial" w:cs="Arial"/>
          <w:highlight w:val="yellow"/>
        </w:rPr>
        <w:t>The response-surface analysis suggested that</w:t>
      </w:r>
      <w:r>
        <w:rPr>
          <w:rFonts w:ascii="Arial" w:hAnsi="Arial" w:cs="Arial"/>
        </w:rPr>
        <w:t xml:space="preserve"> astaxanthin recovery was governed by the combined effects of enzymatic cell-wall weakening, ultrasound-induced disruption, and pigment partitioning into the soybean-oil phase. Enzymatic pretreatment can </w:t>
      </w:r>
      <w:r>
        <w:rPr>
          <w:rFonts w:ascii="Arial" w:hAnsi="Arial" w:cs="Arial"/>
          <w:highlight w:val="yellow"/>
        </w:rPr>
        <w:t>hydrolyse</w:t>
      </w:r>
      <w:r>
        <w:rPr>
          <w:rFonts w:ascii="Arial" w:hAnsi="Arial" w:cs="Arial"/>
        </w:rPr>
        <w:t xml:space="preserve"> structural components of the resistant </w:t>
      </w:r>
      <w:r w:rsidR="00CC3C77" w:rsidRPr="00CC3C77">
        <w:rPr>
          <w:rFonts w:ascii="Arial" w:hAnsi="Arial" w:cs="Arial"/>
          <w:i/>
          <w:iCs/>
        </w:rPr>
        <w:t>H. pluvialis</w:t>
      </w:r>
      <w:r>
        <w:rPr>
          <w:rFonts w:ascii="Arial" w:hAnsi="Arial" w:cs="Arial"/>
          <w:i/>
          <w:iCs/>
          <w:highlight w:val="yellow"/>
        </w:rPr>
        <w:t xml:space="preserve"> </w:t>
      </w:r>
      <w:r w:rsidRPr="00E27E05">
        <w:rPr>
          <w:rFonts w:ascii="Arial" w:hAnsi="Arial" w:cs="Arial"/>
        </w:rPr>
        <w:t xml:space="preserve">cell wall, thereby facilitating </w:t>
      </w:r>
      <w:r w:rsidR="000B4812">
        <w:rPr>
          <w:rFonts w:ascii="Arial" w:hAnsi="Arial" w:cs="Arial"/>
        </w:rPr>
        <w:t xml:space="preserve">subsequent pigment release </w: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 </w:instrTex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EN.CITE.DATA </w:instrText>
      </w:r>
      <w:r w:rsidR="000B4812">
        <w:rPr>
          <w:rFonts w:ascii="Arial" w:eastAsiaTheme="minorHAnsi" w:hAnsi="Arial" w:cs="Arial"/>
          <w:b/>
          <w:caps/>
          <w:noProof/>
        </w:rPr>
      </w:r>
      <w:r w:rsidR="000B4812">
        <w:rPr>
          <w:rFonts w:ascii="Arial" w:eastAsiaTheme="minorHAnsi" w:hAnsi="Arial" w:cs="Arial"/>
          <w:b/>
          <w:caps/>
          <w:noProof/>
        </w:rPr>
        <w:fldChar w:fldCharType="end"/>
      </w:r>
      <w:r w:rsidR="000B4812">
        <w:rPr>
          <w:rFonts w:ascii="Arial" w:eastAsiaTheme="minorHAnsi" w:hAnsi="Arial" w:cs="Arial"/>
          <w:b/>
          <w:caps/>
          <w:noProof/>
        </w:rPr>
      </w:r>
      <w:r w:rsidR="000B4812">
        <w:rPr>
          <w:rFonts w:ascii="Arial" w:eastAsiaTheme="minorHAnsi" w:hAnsi="Arial" w:cs="Arial"/>
          <w:b/>
          <w:caps/>
          <w:noProof/>
        </w:rPr>
        <w:fldChar w:fldCharType="separate"/>
      </w:r>
      <w:r>
        <w:rPr>
          <w:rFonts w:ascii="Arial" w:eastAsiaTheme="minorHAnsi" w:hAnsi="Arial" w:cs="Arial"/>
          <w:noProof/>
          <w:highlight w:val="yellow"/>
        </w:rPr>
        <w:t>(Kim et al., 2022; Zhao et al., 2019)</w:t>
      </w:r>
      <w:r w:rsidR="000B4812">
        <w:rPr>
          <w:rFonts w:ascii="Arial" w:hAnsi="Arial" w:cs="Arial"/>
        </w:rPr>
        <w:fldChar w:fldCharType="end"/>
      </w:r>
      <w:r>
        <w:rPr>
          <w:rFonts w:ascii="Arial" w:hAnsi="Arial" w:cs="Arial"/>
        </w:rPr>
        <w:t xml:space="preserve">. The significant quadratic effect of enzyme concentration observed in this study suggests that an intermediate enzyme level was more </w:t>
      </w:r>
      <w:r>
        <w:rPr>
          <w:rFonts w:ascii="Arial" w:hAnsi="Arial" w:cs="Arial"/>
          <w:highlight w:val="yellow"/>
        </w:rPr>
        <w:t>favourable</w:t>
      </w:r>
      <w:r>
        <w:rPr>
          <w:rFonts w:ascii="Arial" w:hAnsi="Arial" w:cs="Arial"/>
        </w:rPr>
        <w:t xml:space="preserve"> than simply increasing enzyme dosage.</w:t>
      </w:r>
    </w:p>
    <w:p w14:paraId="06C23A6F" w14:textId="77777777" w:rsidR="00E27E05" w:rsidRPr="00E27E05" w:rsidRDefault="00E27E05" w:rsidP="00E27E05">
      <w:pPr>
        <w:pStyle w:val="Body"/>
        <w:rPr>
          <w:rFonts w:ascii="Arial" w:hAnsi="Arial" w:cs="Arial"/>
        </w:rPr>
      </w:pPr>
      <w:r w:rsidRPr="00E27E05">
        <w:rPr>
          <w:rFonts w:ascii="Arial" w:hAnsi="Arial" w:cs="Arial"/>
        </w:rPr>
        <w:t>Sonication duration also showed a significant quadratic effect. Ultrasound-induced cavitation can promote cell disruption and mass transfer, facilitating the release of intracellular astaxanthin from enzyme-weaken</w:t>
      </w:r>
      <w:r w:rsidR="000B4812">
        <w:rPr>
          <w:rFonts w:ascii="Arial" w:hAnsi="Arial" w:cs="Arial"/>
        </w:rPr>
        <w:t xml:space="preserve">ed biomass </w: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 </w:instrTex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EN.CITE.DATA </w:instrText>
      </w:r>
      <w:r w:rsidR="000B4812">
        <w:rPr>
          <w:rFonts w:ascii="Arial" w:eastAsiaTheme="minorHAnsi" w:hAnsi="Arial" w:cs="Arial"/>
          <w:b/>
          <w:caps/>
          <w:noProof/>
        </w:rPr>
      </w:r>
      <w:r w:rsidR="000B4812">
        <w:rPr>
          <w:rFonts w:ascii="Arial" w:eastAsiaTheme="minorHAnsi" w:hAnsi="Arial" w:cs="Arial"/>
          <w:b/>
          <w:caps/>
          <w:noProof/>
        </w:rPr>
        <w:fldChar w:fldCharType="end"/>
      </w:r>
      <w:r w:rsidR="000B4812">
        <w:rPr>
          <w:rFonts w:ascii="Arial" w:eastAsiaTheme="minorHAnsi" w:hAnsi="Arial" w:cs="Arial"/>
          <w:b/>
          <w:caps/>
          <w:noProof/>
        </w:rPr>
      </w:r>
      <w:r w:rsidR="000B4812">
        <w:rPr>
          <w:rFonts w:ascii="Arial" w:eastAsiaTheme="minorHAnsi" w:hAnsi="Arial" w:cs="Arial"/>
          <w:b/>
          <w:caps/>
          <w:noProof/>
        </w:rPr>
        <w:fldChar w:fldCharType="separate"/>
      </w:r>
      <w:r>
        <w:rPr>
          <w:rFonts w:ascii="Arial" w:eastAsiaTheme="minorHAnsi" w:hAnsi="Arial" w:cs="Arial"/>
          <w:noProof/>
          <w:highlight w:val="yellow"/>
        </w:rPr>
        <w:t>(Khoo et al., 2020; Kim et al., 2022)</w:t>
      </w:r>
      <w:r w:rsidR="000B4812">
        <w:rPr>
          <w:rFonts w:ascii="Arial" w:hAnsi="Arial" w:cs="Arial"/>
        </w:rPr>
        <w:fldChar w:fldCharType="end"/>
      </w:r>
      <w:r w:rsidRPr="00E27E05">
        <w:rPr>
          <w:rFonts w:ascii="Arial" w:hAnsi="Arial" w:cs="Arial"/>
        </w:rPr>
        <w:t xml:space="preserve">. Among the investigated variables, the L/S ratio showed the strongest linear effect on recovery, indicating the importance of the available lipid phase for mass transfer and partitioning of released astaxanthin. However, the significant curvature of the L/S response indicates that increasing oil volume does not necessarily </w:t>
      </w:r>
      <w:r>
        <w:rPr>
          <w:rFonts w:ascii="Arial" w:hAnsi="Arial" w:cs="Arial"/>
        </w:rPr>
        <w:t>increase</w:t>
      </w:r>
      <w:r w:rsidRPr="00E27E05">
        <w:rPr>
          <w:rFonts w:ascii="Arial" w:hAnsi="Arial" w:cs="Arial"/>
        </w:rPr>
        <w:t xml:space="preserve"> recovery. </w:t>
      </w:r>
      <w:r>
        <w:rPr>
          <w:rFonts w:ascii="Arial" w:hAnsi="Arial" w:cs="Arial"/>
        </w:rPr>
        <w:t xml:space="preserve">Vegetable oils have also been shown to be suitable food-compatible extraction phases for astaxanthin </w:t>
      </w:r>
      <w:r w:rsidR="008D18A3">
        <w:rPr>
          <w:rFonts w:ascii="Arial" w:hAnsi="Arial" w:cs="Arial"/>
        </w:rPr>
        <w:fldChar w:fldCharType="begin"/>
      </w:r>
      <w:r w:rsidR="008D18A3">
        <w:rPr>
          <w:rFonts w:ascii="Arial" w:hAnsi="Arial" w:cs="Arial"/>
        </w:rPr>
        <w:instrText xml:space="preserve"> ADDIN EN.CITE &lt;EndNote&gt;&lt;Cite&gt;&lt;Author&gt;Krichnavaruk&lt;/Author&gt;&lt;Year&gt;2008&lt;/Year&gt;&lt;RecNum&gt;114&lt;/RecNum&gt;&lt;DisplayText&gt;[6]&lt;/DisplayText&gt;&lt;record&gt;&lt;rec-number&gt;114&lt;/rec-number&gt;&lt;foreign-keys&gt;&lt;key app="EN" db-id="dp5zaxsf72d9v2et5x7x95pxwrwvwv0rfzws" timestamp="1787203422"&gt;114&lt;/key&gt;&lt;/foreign-keys&gt;&lt;ref-type name="Journal Article"&gt;17&lt;/ref-type&gt;&lt;contributors&gt;&lt;authors&gt;&lt;author&gt;Krichnavaruk, Sontaya&lt;/author&gt;&lt;author&gt;Shotipruk, Artiwan&lt;/author&gt;&lt;author&gt;Goto, Motonobu&lt;/author&gt;&lt;author&gt;Pavasant, Prasert&lt;/author&gt;&lt;/authors&gt;&lt;/contributors&gt;&lt;titles&gt;&lt;title&gt;Supercritical carbon dioxide extraction of astaxanthin from Haematococcus pluvialis with vegetable oils as co-solvent&lt;/title&gt;&lt;secondary-title&gt;Bioresource Technology&lt;/secondary-title&gt;&lt;/titles&gt;&lt;periodical&gt;&lt;full-title&gt;Bioresource Technology&lt;/full-title&gt;&lt;/periodical&gt;&lt;pages&gt;5556-5560&lt;/pages&gt;&lt;volume&gt;99&lt;/volume&gt;&lt;number&gt;13&lt;/number&gt;&lt;keywords&gt;&lt;keyword&gt;High pressure extraction&lt;/keyword&gt;&lt;keyword&gt;Antioxidants&lt;/keyword&gt;&lt;keyword&gt;Carotenoids&lt;/keyword&gt;&lt;keyword&gt;Soybean oil&lt;/keyword&gt;&lt;keyword&gt;Olive oil&lt;/keyword&gt;&lt;/keywords&gt;&lt;dates&gt;&lt;year&gt;2008&lt;/year&gt;&lt;pub-dates&gt;&lt;date&gt;2008/09/01/&lt;/date&gt;&lt;/pub-dates&gt;&lt;/dates&gt;&lt;isbn&gt;0960-8524&lt;/isbn&gt;&lt;urls&gt;&lt;related-urls&gt;&lt;url&gt;https://www.sciencedirect.com/science/article/pii/S0960852407009029&lt;/url&gt;&lt;/related-urls&gt;&lt;/urls&gt;&lt;electronic-resource-num&gt;https://doi.org/10.1016/j.biortech.2007.10.049&lt;/electronic-resource-num&gt;&lt;/record&gt;&lt;/Cite&gt;&lt;/EndNote&gt;</w:instrText>
      </w:r>
      <w:r w:rsidR="008D18A3">
        <w:rPr>
          <w:rFonts w:ascii="Arial" w:hAnsi="Arial" w:cs="Arial"/>
        </w:rPr>
        <w:fldChar w:fldCharType="separate"/>
      </w:r>
      <w:r>
        <w:rPr>
          <w:rFonts w:ascii="Arial" w:hAnsi="Arial" w:cs="Arial"/>
          <w:noProof/>
          <w:highlight w:val="yellow"/>
        </w:rPr>
        <w:t>(Krichnavaruk et al., 2008; Lee et al., 2024)</w:t>
      </w:r>
      <w:r w:rsidR="008D18A3">
        <w:rPr>
          <w:rFonts w:ascii="Arial" w:hAnsi="Arial" w:cs="Arial"/>
        </w:rPr>
        <w:fldChar w:fldCharType="end"/>
      </w:r>
      <w:r w:rsidRPr="00E27E05">
        <w:rPr>
          <w:rFonts w:ascii="Arial" w:hAnsi="Arial" w:cs="Arial"/>
        </w:rPr>
        <w:t>.</w:t>
      </w:r>
    </w:p>
    <w:p w14:paraId="644872D0" w14:textId="77777777" w:rsidR="00E27E05" w:rsidRDefault="00E27E05" w:rsidP="00E27E05">
      <w:pPr>
        <w:pStyle w:val="Body"/>
        <w:spacing w:after="0"/>
        <w:rPr>
          <w:rFonts w:ascii="Arial" w:hAnsi="Arial" w:cs="Arial"/>
        </w:rPr>
      </w:pPr>
      <w:r w:rsidRPr="00E27E05">
        <w:rPr>
          <w:rFonts w:ascii="Arial" w:hAnsi="Arial" w:cs="Arial"/>
        </w:rPr>
        <w:t xml:space="preserve">Together with the microscopic observations, these results support a complementary mechanism in which enzymatic pretreatment weakens the cellular barrier, ultrasound promotes further physical disruption and mass transfer, and soybean oil acts as a lipophilic phase for the released astaxanthin. The selected validation condition (2.0% total enzyme, 35 min sonication, and 100 mL/g) produced an experimental recovery consistent with the model prediction, supporting the </w:t>
      </w:r>
      <w:r>
        <w:rPr>
          <w:rFonts w:ascii="Arial" w:hAnsi="Arial" w:cs="Arial"/>
        </w:rPr>
        <w:t xml:space="preserve">model's predictive adequacy </w:t>
      </w:r>
      <w:r w:rsidRPr="00E27E05">
        <w:rPr>
          <w:rFonts w:ascii="Arial" w:hAnsi="Arial" w:cs="Arial"/>
        </w:rPr>
        <w:t>within the studied domain. Although the sequential enzyme–ultrasound treatment markedly enhanced astaxanthin recovery, the present design did not directly quantify an enzyme × ultrasound interaction; therefore, the findings are interpreted as evidence of complementary effects rather than definitive statistical proof of synergism.</w:t>
      </w:r>
    </w:p>
    <w:p w14:paraId="4A698222" w14:textId="77777777" w:rsidR="0096410C" w:rsidRDefault="0096410C" w:rsidP="00E27E05">
      <w:pPr>
        <w:pStyle w:val="Body"/>
        <w:spacing w:after="0"/>
        <w:rPr>
          <w:rFonts w:ascii="Arial" w:hAnsi="Arial" w:cs="Arial"/>
        </w:rPr>
      </w:pPr>
    </w:p>
    <w:p w14:paraId="4CB233C2" w14:textId="77777777" w:rsidR="009D3F46" w:rsidRPr="0027571B" w:rsidRDefault="00490609" w:rsidP="0027571B">
      <w:pPr>
        <w:pStyle w:val="ConcHead"/>
        <w:spacing w:after="0"/>
        <w:jc w:val="both"/>
        <w:rPr>
          <w:rFonts w:ascii="Arial" w:hAnsi="Arial" w:cs="Arial"/>
          <w:sz w:val="20"/>
        </w:rPr>
      </w:pPr>
      <w:r w:rsidRPr="00490609">
        <w:rPr>
          <w:rFonts w:ascii="Arial" w:hAnsi="Arial" w:cs="Arial"/>
          <w:b w:val="0"/>
          <w:caps w:val="0"/>
          <w:sz w:val="20"/>
        </w:rPr>
        <w:t xml:space="preserve">Although the experimental recovery of approximately 79.7% demonstrates substantial astaxanthin recovery into the soybean-oil phase, this value should be interpreted in light of several limitations. Recovery was calculated relative to the total astaxanthin content determined by the reference extraction and was quantified using UV–Vis spectrophotometry </w:t>
      </w:r>
      <w:r w:rsidRPr="00490609">
        <w:rPr>
          <w:rFonts w:ascii="Arial" w:hAnsi="Arial" w:cs="Arial"/>
          <w:b w:val="0"/>
          <w:caps w:val="0"/>
          <w:sz w:val="20"/>
        </w:rPr>
        <w:lastRenderedPageBreak/>
        <w:t xml:space="preserve">rather than a compound-specific chromatographic method. A matrix-matched soybean-oil blank was used to correct for background absorbance from the oil matrix; however, potential spectral interference from other carotenoids or co-extracted absorbing compounds cannot be completely excluded. In addition, </w:t>
      </w:r>
      <w:r>
        <w:rPr>
          <w:rFonts w:ascii="Arial" w:hAnsi="Arial" w:cs="Arial"/>
          <w:b w:val="0"/>
          <w:caps w:val="0"/>
          <w:sz w:val="20"/>
          <w:highlight w:val="yellow"/>
        </w:rPr>
        <w:t>validation was conducted on a laboratory scale</w:t>
      </w:r>
      <w:r>
        <w:rPr>
          <w:rFonts w:ascii="Arial" w:hAnsi="Arial" w:cs="Arial"/>
          <w:b w:val="0"/>
          <w:caps w:val="0"/>
          <w:sz w:val="20"/>
        </w:rPr>
        <w:t xml:space="preserve"> using six independent runs at a single selected operating condition. Therefore, the reported recovery should be considered specific to the materials, operating conditions, and analytical approach used in the present study. Further validation using chromatographic quantification and scale-up experiments would strengthen the analytical confirmation and broader applicability of these findings.</w:t>
      </w:r>
    </w:p>
    <w:p w14:paraId="6B787869" w14:textId="77777777" w:rsidR="0096410C" w:rsidRDefault="0096410C" w:rsidP="0027571B">
      <w:pPr>
        <w:pStyle w:val="ConcHead"/>
        <w:spacing w:after="0"/>
        <w:jc w:val="both"/>
        <w:rPr>
          <w:rFonts w:ascii="Arial" w:hAnsi="Arial" w:cs="Arial"/>
          <w:szCs w:val="22"/>
        </w:rPr>
      </w:pPr>
    </w:p>
    <w:p w14:paraId="07B0334F" w14:textId="77777777" w:rsidR="00B01FCD" w:rsidRPr="00CB7508" w:rsidRDefault="00000F8F" w:rsidP="0027571B">
      <w:pPr>
        <w:pStyle w:val="ConcHead"/>
        <w:spacing w:after="0"/>
        <w:jc w:val="both"/>
        <w:rPr>
          <w:rFonts w:ascii="Arial" w:hAnsi="Arial" w:cs="Arial"/>
          <w:szCs w:val="22"/>
        </w:rPr>
      </w:pPr>
      <w:r w:rsidRPr="00CB7508">
        <w:rPr>
          <w:rFonts w:ascii="Arial" w:hAnsi="Arial" w:cs="Arial"/>
          <w:szCs w:val="22"/>
        </w:rPr>
        <w:t xml:space="preserve">4. </w:t>
      </w:r>
      <w:r w:rsidR="00B01FCD" w:rsidRPr="00CB7508">
        <w:rPr>
          <w:rFonts w:ascii="Arial" w:hAnsi="Arial" w:cs="Arial"/>
          <w:szCs w:val="22"/>
        </w:rPr>
        <w:t>Conclusion</w:t>
      </w:r>
    </w:p>
    <w:p w14:paraId="0DAD0531" w14:textId="77777777" w:rsidR="00790ADA" w:rsidRPr="0027571B" w:rsidRDefault="00790ADA" w:rsidP="0027571B">
      <w:pPr>
        <w:pStyle w:val="ConcHead"/>
        <w:spacing w:after="0"/>
        <w:jc w:val="both"/>
        <w:rPr>
          <w:rFonts w:ascii="Arial" w:hAnsi="Arial" w:cs="Arial"/>
          <w:sz w:val="20"/>
        </w:rPr>
      </w:pPr>
    </w:p>
    <w:p w14:paraId="41ACD1B6" w14:textId="77777777" w:rsidR="00315186" w:rsidRDefault="003447F5" w:rsidP="003447F5">
      <w:pPr>
        <w:jc w:val="both"/>
        <w:rPr>
          <w:rFonts w:ascii="Arial" w:hAnsi="Arial" w:cs="Arial"/>
        </w:rPr>
      </w:pPr>
      <w:r>
        <w:rPr>
          <w:rFonts w:ascii="Arial" w:hAnsi="Arial" w:cs="Arial"/>
        </w:rPr>
        <w:t>This</w:t>
      </w:r>
      <w:r w:rsidRPr="003447F5">
        <w:rPr>
          <w:rFonts w:ascii="Arial" w:hAnsi="Arial" w:cs="Arial"/>
        </w:rPr>
        <w:t xml:space="preserve"> study developed an integrated enzyme-assisted ultrasound process to recover astaxanthin from dried </w:t>
      </w:r>
      <w:r w:rsidRPr="003447F5">
        <w:rPr>
          <w:rFonts w:ascii="Arial" w:hAnsi="Arial" w:cs="Arial"/>
          <w:i/>
          <w:iCs/>
        </w:rPr>
        <w:t>H. pluvialis</w:t>
      </w:r>
      <w:r w:rsidRPr="003447F5">
        <w:rPr>
          <w:rFonts w:ascii="Arial" w:hAnsi="Arial" w:cs="Arial"/>
        </w:rPr>
        <w:t xml:space="preserve"> directly into edible soybean oil. Under the preliminary comparison conditions, sequential enzyme–ultrasound treatment increased recovery to 20.822 ± 0.322%, whereas individual enzyme or ultrasound treatments remained below 0.3%. Subsequent screening identified soybean oil and a </w:t>
      </w:r>
      <w:r>
        <w:rPr>
          <w:rFonts w:ascii="Arial" w:hAnsi="Arial" w:cs="Arial"/>
          <w:highlight w:val="yellow"/>
        </w:rPr>
        <w:t>50:50 cellulase–pectinase formulation</w:t>
      </w:r>
      <w:r>
        <w:rPr>
          <w:rFonts w:ascii="Arial" w:hAnsi="Arial" w:cs="Arial"/>
        </w:rPr>
        <w:t xml:space="preserve"> as the best-performing conditions among those tested. The 15-run Box–Behnken model was significant (p = 0.000659), explained 98.31% of the response variability, and showed a non-significant lack of fit (p = 0.4173). At the selected practical condition of 2.0% total enzyme (w/w, relative to dry biomass), 35 min sonication, and an L/S ratio of 100 mL/g, the experimental recovery </w:t>
      </w:r>
      <w:r>
        <w:rPr>
          <w:rFonts w:ascii="Arial" w:hAnsi="Arial" w:cs="Arial"/>
          <w:highlight w:val="yellow"/>
        </w:rPr>
        <w:t>(79.708 ± 1.224%, 95% CI; n = 6)</w:t>
      </w:r>
      <w:r>
        <w:rPr>
          <w:rFonts w:ascii="Arial" w:hAnsi="Arial" w:cs="Arial"/>
        </w:rPr>
        <w:t xml:space="preserve"> closely matched the model prediction (79.626%). These findings support a reproducible, food-compatible extraction strategy while indicating that formal statistical synergy and the mathematical optimum predicted outside the investigated experimental domain require separate experimental confirmation.</w:t>
      </w:r>
      <w:r w:rsidR="006D3267">
        <w:rPr>
          <w:rFonts w:ascii="Arial" w:hAnsi="Arial" w:cs="Arial"/>
        </w:rPr>
        <w:t xml:space="preserve">  </w:t>
      </w:r>
    </w:p>
    <w:p w14:paraId="1DF613B4" w14:textId="77777777" w:rsidR="006D3267" w:rsidRDefault="006D3267" w:rsidP="003447F5">
      <w:pPr>
        <w:jc w:val="both"/>
        <w:rPr>
          <w:rFonts w:ascii="Arial" w:hAnsi="Arial" w:cs="Arial"/>
        </w:rPr>
      </w:pPr>
    </w:p>
    <w:p w14:paraId="045E990A" w14:textId="77777777" w:rsidR="006D3267" w:rsidRPr="003E677F" w:rsidRDefault="006D3267" w:rsidP="003E677F">
      <w:pPr>
        <w:spacing w:before="100" w:beforeAutospacing="1" w:after="100" w:afterAutospacing="1"/>
        <w:jc w:val="both"/>
        <w:outlineLvl w:val="1"/>
        <w:rPr>
          <w:rFonts w:ascii="Arial" w:hAnsi="Arial" w:cs="Arial"/>
          <w:b/>
          <w:bCs/>
        </w:rPr>
      </w:pPr>
      <w:r w:rsidRPr="003E677F">
        <w:rPr>
          <w:rFonts w:ascii="Arial" w:hAnsi="Arial" w:cs="Arial"/>
          <w:b/>
          <w:bCs/>
        </w:rPr>
        <w:t>Limitation</w:t>
      </w:r>
    </w:p>
    <w:p w14:paraId="3C21D466" w14:textId="77777777" w:rsidR="006D3267" w:rsidRPr="003E677F" w:rsidRDefault="006D3267" w:rsidP="003E677F">
      <w:pPr>
        <w:spacing w:before="100" w:beforeAutospacing="1" w:after="100" w:afterAutospacing="1"/>
        <w:jc w:val="both"/>
        <w:rPr>
          <w:rFonts w:ascii="Arial" w:hAnsi="Arial" w:cs="Arial"/>
        </w:rPr>
      </w:pPr>
      <w:r w:rsidRPr="003E677F">
        <w:rPr>
          <w:rFonts w:ascii="Arial" w:hAnsi="Arial" w:cs="Arial"/>
        </w:rPr>
        <w:t xml:space="preserve">The study was conducted with dried </w:t>
      </w:r>
      <w:r w:rsidRPr="003E677F">
        <w:rPr>
          <w:rFonts w:ascii="Arial" w:hAnsi="Arial" w:cs="Arial"/>
          <w:i/>
          <w:iCs/>
        </w:rPr>
        <w:t>H. pluvialis</w:t>
      </w:r>
      <w:r w:rsidRPr="003E677F">
        <w:rPr>
          <w:rFonts w:ascii="Arial" w:hAnsi="Arial" w:cs="Arial"/>
        </w:rPr>
        <w:t xml:space="preserve"> strain UTEX 2505 under laboratory-scale conditions and evaluated only three edible oils and </w:t>
      </w:r>
      <w:r>
        <w:rPr>
          <w:rFonts w:ascii="Arial" w:hAnsi="Arial" w:cs="Arial"/>
          <w:highlight w:val="yellow"/>
        </w:rPr>
        <w:t>five cellulase-to-pectinase ratios</w:t>
      </w:r>
      <w:r>
        <w:rPr>
          <w:rFonts w:ascii="Arial" w:hAnsi="Arial" w:cs="Arial"/>
        </w:rPr>
        <w:t>. Astaxanthin was quantified spectrophotometrically, and the experimental design did not directly quantify an enzyme × ultrasound interaction. In addition, the stationary maximum predicted by canonical analysis included a liquid-to-solid ratio slightly outside the investigated range and was therefore not experimentally validated. These factors limit extrapolation beyond the tested materials, operating ranges, and equipment.</w:t>
      </w:r>
    </w:p>
    <w:p w14:paraId="78DE16A2" w14:textId="77777777" w:rsidR="006D3267" w:rsidRPr="0027571B" w:rsidRDefault="006D3267" w:rsidP="003447F5">
      <w:pPr>
        <w:jc w:val="both"/>
        <w:rPr>
          <w:rFonts w:ascii="Arial" w:hAnsi="Arial" w:cs="Arial"/>
        </w:rPr>
      </w:pPr>
    </w:p>
    <w:p w14:paraId="7B172CEC" w14:textId="77777777" w:rsidR="003447F5" w:rsidRDefault="003447F5" w:rsidP="0027571B">
      <w:pPr>
        <w:pStyle w:val="ReferHead"/>
        <w:spacing w:after="0"/>
        <w:jc w:val="both"/>
        <w:rPr>
          <w:rFonts w:ascii="Arial" w:hAnsi="Arial" w:cs="Arial"/>
          <w:bCs/>
          <w:sz w:val="20"/>
        </w:rPr>
      </w:pPr>
    </w:p>
    <w:p w14:paraId="4323657A" w14:textId="77777777" w:rsidR="00860000" w:rsidRPr="0027571B" w:rsidRDefault="00860000" w:rsidP="0027571B">
      <w:pPr>
        <w:pStyle w:val="ReferHead"/>
        <w:spacing w:after="0"/>
        <w:jc w:val="both"/>
        <w:rPr>
          <w:rFonts w:ascii="Arial" w:hAnsi="Arial" w:cs="Arial"/>
          <w:bCs/>
          <w:sz w:val="20"/>
        </w:rPr>
      </w:pPr>
      <w:r w:rsidRPr="0027571B">
        <w:rPr>
          <w:rFonts w:ascii="Arial" w:hAnsi="Arial" w:cs="Arial"/>
          <w:bCs/>
          <w:sz w:val="20"/>
        </w:rPr>
        <w:t>Competing interests</w:t>
      </w:r>
    </w:p>
    <w:p w14:paraId="3FF8CA05" w14:textId="77777777" w:rsidR="00860000" w:rsidRPr="0027571B" w:rsidRDefault="00860000" w:rsidP="0027571B">
      <w:pPr>
        <w:pStyle w:val="ReferHead"/>
        <w:spacing w:after="0"/>
        <w:jc w:val="both"/>
        <w:rPr>
          <w:rFonts w:ascii="Arial" w:hAnsi="Arial" w:cs="Arial"/>
          <w:sz w:val="20"/>
        </w:rPr>
      </w:pPr>
    </w:p>
    <w:p w14:paraId="466AED58" w14:textId="77777777" w:rsidR="00371FB6" w:rsidRDefault="0085609A" w:rsidP="0027571B">
      <w:pPr>
        <w:pStyle w:val="ReferHead"/>
        <w:spacing w:after="0"/>
        <w:jc w:val="both"/>
        <w:rPr>
          <w:rFonts w:ascii="Arial" w:hAnsi="Arial" w:cs="Arial"/>
          <w:b w:val="0"/>
          <w:caps w:val="0"/>
          <w:sz w:val="20"/>
        </w:rPr>
      </w:pPr>
      <w:r w:rsidRPr="0085609A">
        <w:rPr>
          <w:rFonts w:ascii="Arial" w:hAnsi="Arial" w:cs="Arial"/>
          <w:b w:val="0"/>
          <w:caps w:val="0"/>
          <w:sz w:val="20"/>
        </w:rPr>
        <w:t>Authors have declared that no competing interests exist</w:t>
      </w:r>
      <w:r>
        <w:rPr>
          <w:rFonts w:ascii="Arial" w:hAnsi="Arial" w:cs="Arial"/>
          <w:b w:val="0"/>
          <w:caps w:val="0"/>
          <w:sz w:val="20"/>
        </w:rPr>
        <w:t>.</w:t>
      </w:r>
    </w:p>
    <w:p w14:paraId="0F202668" w14:textId="77777777" w:rsidR="0085609A" w:rsidRPr="0027571B" w:rsidRDefault="0085609A" w:rsidP="0027571B">
      <w:pPr>
        <w:pStyle w:val="ReferHead"/>
        <w:spacing w:after="0"/>
        <w:jc w:val="both"/>
        <w:rPr>
          <w:rFonts w:ascii="Arial" w:hAnsi="Arial" w:cs="Arial"/>
          <w:b w:val="0"/>
          <w:caps w:val="0"/>
          <w:sz w:val="20"/>
        </w:rPr>
      </w:pPr>
    </w:p>
    <w:p w14:paraId="5F6E2AA9" w14:textId="77777777" w:rsidR="002A0E61" w:rsidRDefault="002A0E61" w:rsidP="0027571B">
      <w:pPr>
        <w:pStyle w:val="ReferHead"/>
        <w:spacing w:after="0"/>
        <w:jc w:val="both"/>
        <w:rPr>
          <w:rFonts w:ascii="Arial" w:hAnsi="Arial" w:cs="Arial"/>
          <w:bCs/>
          <w:sz w:val="20"/>
        </w:rPr>
      </w:pPr>
    </w:p>
    <w:p w14:paraId="20678F28" w14:textId="77777777" w:rsidR="0085609A" w:rsidRDefault="0085609A" w:rsidP="00441B6F">
      <w:pPr>
        <w:pStyle w:val="ReferHead"/>
        <w:spacing w:after="0"/>
        <w:jc w:val="both"/>
        <w:rPr>
          <w:rFonts w:ascii="Arial" w:hAnsi="Arial" w:cs="Arial"/>
        </w:rPr>
      </w:pPr>
    </w:p>
    <w:p w14:paraId="3FEBAB60" w14:textId="77777777" w:rsidR="008825C1" w:rsidRDefault="00CB7508" w:rsidP="008825C1">
      <w:pPr>
        <w:rPr>
          <w:rFonts w:ascii="Times New Roman" w:hAnsi="Times New Roman"/>
          <w:b/>
        </w:rPr>
      </w:pPr>
      <w:r>
        <w:rPr>
          <w:rFonts w:ascii="Arial" w:hAnsi="Arial" w:cs="Arial"/>
        </w:rPr>
        <w:br w:type="page"/>
      </w:r>
      <w:r w:rsidR="008825C1" w:rsidRPr="000839CE">
        <w:rPr>
          <w:rFonts w:ascii="Times New Roman" w:hAnsi="Times New Roman"/>
          <w:b/>
        </w:rPr>
        <w:lastRenderedPageBreak/>
        <w:t>Declaration of AI Use</w:t>
      </w:r>
    </w:p>
    <w:p w14:paraId="4F1A6468" w14:textId="77777777" w:rsidR="008825C1" w:rsidRDefault="008825C1" w:rsidP="008825C1">
      <w:pPr>
        <w:rPr>
          <w:rFonts w:ascii="Times New Roman" w:hAnsi="Times New Roman"/>
          <w:b/>
        </w:rPr>
      </w:pPr>
    </w:p>
    <w:p w14:paraId="428ABE27" w14:textId="77777777" w:rsidR="008825C1" w:rsidRDefault="008825C1" w:rsidP="008825C1">
      <w:pPr>
        <w:rPr>
          <w:rFonts w:ascii="Times New Roman" w:hAnsi="Times New Roman"/>
          <w:b/>
        </w:rPr>
      </w:pPr>
    </w:p>
    <w:p w14:paraId="5FADA5DF" w14:textId="77777777" w:rsidR="008825C1" w:rsidRDefault="008825C1" w:rsidP="008825C1">
      <w:pPr>
        <w:rPr>
          <w:rFonts w:ascii="Times New Roman" w:hAnsi="Times New Roman"/>
          <w:b/>
        </w:rPr>
      </w:pPr>
    </w:p>
    <w:p w14:paraId="23C155B3" w14:textId="77777777" w:rsidR="008825C1" w:rsidRPr="002D08AC" w:rsidRDefault="008825C1" w:rsidP="008825C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B0166E7" w14:textId="77777777" w:rsidR="00CB7508" w:rsidRDefault="00CB7508">
      <w:pPr>
        <w:rPr>
          <w:rFonts w:ascii="Arial" w:hAnsi="Arial" w:cs="Arial"/>
        </w:rPr>
      </w:pPr>
    </w:p>
    <w:p w14:paraId="0FD59293" w14:textId="77777777" w:rsidR="009E33D2" w:rsidRPr="003A29C6" w:rsidRDefault="009E33D2" w:rsidP="009E33D2">
      <w:pPr>
        <w:jc w:val="both"/>
        <w:outlineLvl w:val="0"/>
        <w:rPr>
          <w:rFonts w:ascii="Arial" w:hAnsi="Arial" w:cs="Arial"/>
        </w:rPr>
      </w:pPr>
      <w:r w:rsidRPr="003A29C6">
        <w:rPr>
          <w:rFonts w:ascii="Arial" w:hAnsi="Arial" w:cs="Arial"/>
          <w:b/>
          <w:bCs/>
        </w:rPr>
        <w:t>COMPETING INTERESTS DISCLAIMER:</w:t>
      </w:r>
    </w:p>
    <w:p w14:paraId="0F64BF09" w14:textId="77777777" w:rsidR="009E33D2" w:rsidRDefault="009E33D2" w:rsidP="009E33D2">
      <w:r w:rsidRPr="00A10EDE">
        <w:t>Authors have declared that they have no known competing financial interests OR non-financial interests OR personal relationships that could have appeared to influence the work reported in this paper.</w:t>
      </w:r>
    </w:p>
    <w:p w14:paraId="27018780" w14:textId="77777777" w:rsidR="009E33D2" w:rsidRDefault="009E33D2" w:rsidP="009E33D2"/>
    <w:p w14:paraId="00B7FB11" w14:textId="77777777" w:rsidR="009E33D2" w:rsidRDefault="009E33D2" w:rsidP="009E33D2"/>
    <w:p w14:paraId="2D276C2E" w14:textId="77777777" w:rsidR="009E33D2" w:rsidRDefault="009E33D2">
      <w:pPr>
        <w:rPr>
          <w:rFonts w:ascii="Arial" w:hAnsi="Arial" w:cs="Arial"/>
          <w:b/>
          <w:caps/>
          <w:sz w:val="22"/>
        </w:rPr>
      </w:pPr>
    </w:p>
    <w:p w14:paraId="5C6DF29B"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1011E1C" w14:textId="77777777" w:rsidR="004D4277" w:rsidRPr="00FB3A86" w:rsidRDefault="004D4277" w:rsidP="00441B6F">
      <w:pPr>
        <w:pStyle w:val="Appendix"/>
        <w:spacing w:after="0"/>
        <w:jc w:val="both"/>
        <w:rPr>
          <w:rFonts w:ascii="Arial" w:hAnsi="Arial" w:cs="Arial"/>
          <w:b w:val="0"/>
        </w:rPr>
        <w:sectPr w:rsidR="004D4277" w:rsidRPr="00FB3A86" w:rsidSect="002A0E61">
          <w:headerReference w:type="even" r:id="rId23"/>
          <w:headerReference w:type="default" r:id="rId24"/>
          <w:footerReference w:type="default" r:id="rId25"/>
          <w:headerReference w:type="first" r:id="rId26"/>
          <w:type w:val="continuous"/>
          <w:pgSz w:w="12240" w:h="15840"/>
          <w:pgMar w:top="1440" w:right="2016" w:bottom="2016" w:left="2016" w:header="720" w:footer="1123" w:gutter="0"/>
          <w:cols w:space="720"/>
          <w:docGrid w:linePitch="272"/>
        </w:sectPr>
      </w:pPr>
    </w:p>
    <w:p w14:paraId="22ECC249" w14:textId="77777777" w:rsidR="00FA5DE8" w:rsidRDefault="00FA5DE8" w:rsidP="00441B6F">
      <w:pPr>
        <w:pStyle w:val="Appendix"/>
        <w:spacing w:after="0"/>
        <w:jc w:val="both"/>
        <w:rPr>
          <w:rFonts w:ascii="Arial" w:hAnsi="Arial" w:cs="Arial"/>
          <w:b w:val="0"/>
        </w:rPr>
      </w:pPr>
    </w:p>
    <w:p w14:paraId="6FE62124" w14:textId="77777777" w:rsidR="0093555C" w:rsidRDefault="00F63526">
      <w:pPr>
        <w:spacing w:before="100" w:beforeAutospacing="1" w:after="100" w:afterAutospacing="1"/>
        <w:ind w:left="540" w:hanging="540"/>
        <w:jc w:val="both"/>
        <w:rPr>
          <w:rFonts w:ascii="Times New Roman" w:hAnsi="Times New Roman"/>
          <w:sz w:val="24"/>
          <w:szCs w:val="24"/>
        </w:rPr>
      </w:pPr>
      <w:r>
        <w:rPr>
          <w:highlight w:val="yellow"/>
        </w:rPr>
        <w:t xml:space="preserve">Afiya, H., &amp; Umar, K. M. (2022). Optimization studies for microalgal growth and carotenoid production (before stress). </w:t>
      </w:r>
      <w:r>
        <w:rPr>
          <w:i/>
          <w:highlight w:val="yellow"/>
        </w:rPr>
        <w:t>Journal of Global Ecology and Environment, 15</w:t>
      </w:r>
      <w:r>
        <w:rPr>
          <w:highlight w:val="yellow"/>
        </w:rPr>
        <w:t>(3), 41–51. https://doi.org/10.56557/jogee/2022/v15i37586</w:t>
      </w:r>
    </w:p>
    <w:p w14:paraId="6A925760"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lang w:val="nl-BE"/>
        </w:rPr>
        <w:t xml:space="preserve">Al Fuhaid, L., Wellman, G. B., Kharbatia, N., Farinha, A. S. F., Vrouwenvelder, J. S., Verpoorte, R., Choi, Y. H., Witkamp, G.-J., Lauersen, K. J., &amp; Fortunato, L. (2024). </w:t>
      </w:r>
      <w:r w:rsidRPr="00D10E4D">
        <w:rPr>
          <w:rFonts w:ascii="Times New Roman" w:hAnsi="Times New Roman"/>
          <w:sz w:val="24"/>
          <w:szCs w:val="24"/>
        </w:rPr>
        <w:t xml:space="preserve">Green extraction of pigment from astaxanthin-producing algae using natural deep eutectic solvents. </w:t>
      </w:r>
      <w:r w:rsidRPr="00D10E4D">
        <w:rPr>
          <w:rFonts w:ascii="Times New Roman" w:hAnsi="Times New Roman"/>
          <w:i/>
          <w:iCs/>
          <w:sz w:val="24"/>
          <w:szCs w:val="24"/>
        </w:rPr>
        <w:t>Algal Research, 82</w:t>
      </w:r>
      <w:r w:rsidRPr="00D10E4D">
        <w:rPr>
          <w:rFonts w:ascii="Times New Roman" w:hAnsi="Times New Roman"/>
          <w:sz w:val="24"/>
          <w:szCs w:val="24"/>
        </w:rPr>
        <w:t xml:space="preserve">, 103668. </w:t>
      </w:r>
      <w:hyperlink r:id="rId27" w:tgtFrame="_blank" w:history="1">
        <w:r w:rsidRPr="00D10E4D">
          <w:rPr>
            <w:rFonts w:ascii="Times New Roman" w:hAnsi="Times New Roman"/>
            <w:color w:val="0000FF"/>
            <w:sz w:val="24"/>
            <w:szCs w:val="24"/>
            <w:u w:val="single"/>
          </w:rPr>
          <w:t>https://doi.org/10.1016/j.algal.2024.103668</w:t>
        </w:r>
      </w:hyperlink>
    </w:p>
    <w:p w14:paraId="0B2EF8B0"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Cui, H., Zhu, X., Yu, X., Li, S., Wang, K., Wei, L., Li, R., &amp; Qin, S. (2025). Advancements of astaxanthin production in </w:t>
      </w:r>
      <w:r w:rsidRPr="00D10E4D">
        <w:rPr>
          <w:rFonts w:ascii="Times New Roman" w:hAnsi="Times New Roman"/>
          <w:i/>
          <w:iCs/>
          <w:sz w:val="24"/>
          <w:szCs w:val="24"/>
        </w:rPr>
        <w:t>Haematococcus pluvialis</w:t>
      </w:r>
      <w:r w:rsidRPr="00D10E4D">
        <w:rPr>
          <w:rFonts w:ascii="Times New Roman" w:hAnsi="Times New Roman"/>
          <w:sz w:val="24"/>
          <w:szCs w:val="24"/>
        </w:rPr>
        <w:t xml:space="preserve">: Update insight and way forward. </w:t>
      </w:r>
      <w:r w:rsidRPr="00D10E4D">
        <w:rPr>
          <w:rFonts w:ascii="Times New Roman" w:hAnsi="Times New Roman"/>
          <w:i/>
          <w:iCs/>
          <w:sz w:val="24"/>
          <w:szCs w:val="24"/>
        </w:rPr>
        <w:t>Biotechnology Advances, 79</w:t>
      </w:r>
      <w:r w:rsidRPr="00D10E4D">
        <w:rPr>
          <w:rFonts w:ascii="Times New Roman" w:hAnsi="Times New Roman"/>
          <w:sz w:val="24"/>
          <w:szCs w:val="24"/>
        </w:rPr>
        <w:t xml:space="preserve">, 108519. </w:t>
      </w:r>
      <w:hyperlink r:id="rId28" w:tgtFrame="_blank" w:history="1">
        <w:r w:rsidRPr="00D10E4D">
          <w:rPr>
            <w:rFonts w:ascii="Times New Roman" w:hAnsi="Times New Roman"/>
            <w:color w:val="0000FF"/>
            <w:sz w:val="24"/>
            <w:szCs w:val="24"/>
            <w:u w:val="single"/>
          </w:rPr>
          <w:t>https://doi.org/10.1016/j.biotechadv.2025.108519</w:t>
        </w:r>
      </w:hyperlink>
    </w:p>
    <w:p w14:paraId="24072040"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Dong, S., Huang, Y., Zhang, R., Wang, S., &amp; Liu, Y. (2014). Four different methods comparison for extraction of astaxanthin from green alga </w:t>
      </w:r>
      <w:r w:rsidRPr="00D10E4D">
        <w:rPr>
          <w:rFonts w:ascii="Times New Roman" w:hAnsi="Times New Roman"/>
          <w:i/>
          <w:iCs/>
          <w:sz w:val="24"/>
          <w:szCs w:val="24"/>
        </w:rPr>
        <w:t>Haematococcus pluvialis</w:t>
      </w:r>
      <w:r w:rsidRPr="00D10E4D">
        <w:rPr>
          <w:rFonts w:ascii="Times New Roman" w:hAnsi="Times New Roman"/>
          <w:sz w:val="24"/>
          <w:szCs w:val="24"/>
        </w:rPr>
        <w:t xml:space="preserve">. </w:t>
      </w:r>
      <w:r w:rsidRPr="00D10E4D">
        <w:rPr>
          <w:rFonts w:ascii="Times New Roman" w:hAnsi="Times New Roman"/>
          <w:i/>
          <w:iCs/>
          <w:sz w:val="24"/>
          <w:szCs w:val="24"/>
        </w:rPr>
        <w:t>The Scientific World Journal, 2014</w:t>
      </w:r>
      <w:r w:rsidRPr="00D10E4D">
        <w:rPr>
          <w:rFonts w:ascii="Times New Roman" w:hAnsi="Times New Roman"/>
          <w:sz w:val="24"/>
          <w:szCs w:val="24"/>
        </w:rPr>
        <w:t xml:space="preserve">, 694305. </w:t>
      </w:r>
      <w:hyperlink r:id="rId29" w:tgtFrame="_blank" w:history="1">
        <w:r w:rsidRPr="00D10E4D">
          <w:rPr>
            <w:rFonts w:ascii="Times New Roman" w:hAnsi="Times New Roman"/>
            <w:color w:val="0000FF"/>
            <w:sz w:val="24"/>
            <w:szCs w:val="24"/>
            <w:u w:val="single"/>
          </w:rPr>
          <w:t>https://doi.org/10.1155/2014/694305</w:t>
        </w:r>
      </w:hyperlink>
    </w:p>
    <w:p w14:paraId="406D0673"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Jaryal, S., Sharma, A. K., Lamba, B. Y., &amp; Patel, A. (2025). A comprehensive review on microalgae based astaxanthin: Bioprocess optimization, technological barriers, industrial applications and future roadmap. </w:t>
      </w:r>
      <w:r w:rsidRPr="00D10E4D">
        <w:rPr>
          <w:rFonts w:ascii="Times New Roman" w:hAnsi="Times New Roman"/>
          <w:i/>
          <w:iCs/>
          <w:sz w:val="24"/>
          <w:szCs w:val="24"/>
        </w:rPr>
        <w:t>Frontiers in Marine Science, 12</w:t>
      </w:r>
      <w:r w:rsidRPr="00D10E4D">
        <w:rPr>
          <w:rFonts w:ascii="Times New Roman" w:hAnsi="Times New Roman"/>
          <w:sz w:val="24"/>
          <w:szCs w:val="24"/>
        </w:rPr>
        <w:t xml:space="preserve">, 1644644. </w:t>
      </w:r>
      <w:hyperlink r:id="rId30" w:tgtFrame="_blank" w:history="1">
        <w:r w:rsidRPr="00D10E4D">
          <w:rPr>
            <w:rFonts w:ascii="Times New Roman" w:hAnsi="Times New Roman"/>
            <w:color w:val="0000FF"/>
            <w:sz w:val="24"/>
            <w:szCs w:val="24"/>
            <w:u w:val="single"/>
          </w:rPr>
          <w:t>https://doi.org/10.3389/fmars.2025.1644644</w:t>
        </w:r>
      </w:hyperlink>
    </w:p>
    <w:p w14:paraId="319D4365"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Khoo, K. S., Chew, K. W., Yew, G. Y., Manickam, S., Ooi, C. W., &amp; Show, P. L. (2020). Integrated ultrasound-assisted liquid biphasic flotation for efficient extraction of astaxanthin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w:t>
      </w:r>
      <w:r w:rsidRPr="00D10E4D">
        <w:rPr>
          <w:rFonts w:ascii="Times New Roman" w:hAnsi="Times New Roman"/>
          <w:i/>
          <w:iCs/>
          <w:sz w:val="24"/>
          <w:szCs w:val="24"/>
        </w:rPr>
        <w:t>Ultrasonics Sonochemistry, 67</w:t>
      </w:r>
      <w:r w:rsidRPr="00D10E4D">
        <w:rPr>
          <w:rFonts w:ascii="Times New Roman" w:hAnsi="Times New Roman"/>
          <w:sz w:val="24"/>
          <w:szCs w:val="24"/>
        </w:rPr>
        <w:t xml:space="preserve">, 105052. </w:t>
      </w:r>
      <w:hyperlink r:id="rId31" w:tgtFrame="_blank" w:history="1">
        <w:r w:rsidRPr="00D10E4D">
          <w:rPr>
            <w:rFonts w:ascii="Times New Roman" w:hAnsi="Times New Roman"/>
            <w:color w:val="0000FF"/>
            <w:sz w:val="24"/>
            <w:szCs w:val="24"/>
            <w:u w:val="single"/>
          </w:rPr>
          <w:t>https://doi.org/10.1016/j.ultsonch.2020.105052</w:t>
        </w:r>
      </w:hyperlink>
    </w:p>
    <w:p w14:paraId="792F3675"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lastRenderedPageBreak/>
        <w:t xml:space="preserve">Kim, B., Lee, S. Y., Narasimhan, A. L., Kim, S., &amp; Oh, Y.-K. (2022). Cell disruption and astaxanthin extraction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Recent advances. </w:t>
      </w:r>
      <w:r w:rsidRPr="00D10E4D">
        <w:rPr>
          <w:rFonts w:ascii="Times New Roman" w:hAnsi="Times New Roman"/>
          <w:i/>
          <w:iCs/>
          <w:sz w:val="24"/>
          <w:szCs w:val="24"/>
        </w:rPr>
        <w:t>Bioresource Technology, 343</w:t>
      </w:r>
      <w:r w:rsidRPr="00D10E4D">
        <w:rPr>
          <w:rFonts w:ascii="Times New Roman" w:hAnsi="Times New Roman"/>
          <w:sz w:val="24"/>
          <w:szCs w:val="24"/>
        </w:rPr>
        <w:t xml:space="preserve">, 126124. </w:t>
      </w:r>
      <w:hyperlink r:id="rId32" w:tgtFrame="_blank" w:history="1">
        <w:r w:rsidRPr="00D10E4D">
          <w:rPr>
            <w:rFonts w:ascii="Times New Roman" w:hAnsi="Times New Roman"/>
            <w:color w:val="0000FF"/>
            <w:sz w:val="24"/>
            <w:szCs w:val="24"/>
            <w:u w:val="single"/>
          </w:rPr>
          <w:t>https://doi.org/10.1016/j.biortech.2021.126124</w:t>
        </w:r>
      </w:hyperlink>
    </w:p>
    <w:p w14:paraId="23490C42"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Krichnavaruk, S., Shotipruk, A., Goto, M., &amp; Pavasant, P. (2008). Supercritical carbon dioxide extraction of astaxanthin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with vegetable oils as co-solvent. </w:t>
      </w:r>
      <w:r w:rsidRPr="00D10E4D">
        <w:rPr>
          <w:rFonts w:ascii="Times New Roman" w:hAnsi="Times New Roman"/>
          <w:i/>
          <w:iCs/>
          <w:sz w:val="24"/>
          <w:szCs w:val="24"/>
        </w:rPr>
        <w:t>Bioresource Technology, 99</w:t>
      </w:r>
      <w:r w:rsidRPr="00D10E4D">
        <w:rPr>
          <w:rFonts w:ascii="Times New Roman" w:hAnsi="Times New Roman"/>
          <w:sz w:val="24"/>
          <w:szCs w:val="24"/>
        </w:rPr>
        <w:t xml:space="preserve">(13), 5556–5560. </w:t>
      </w:r>
      <w:hyperlink r:id="rId33" w:tgtFrame="_blank" w:history="1">
        <w:r w:rsidRPr="00D10E4D">
          <w:rPr>
            <w:rFonts w:ascii="Times New Roman" w:hAnsi="Times New Roman"/>
            <w:color w:val="0000FF"/>
            <w:sz w:val="24"/>
            <w:szCs w:val="24"/>
            <w:u w:val="single"/>
          </w:rPr>
          <w:t>https://doi.org/10.1016/j.biortech.2007.10.049</w:t>
        </w:r>
      </w:hyperlink>
    </w:p>
    <w:p w14:paraId="44680D3A"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lang w:val="nl-BE"/>
        </w:rPr>
        <w:t xml:space="preserve">Lee, J. Y., Lee, J. S., &amp; Sim, S. J. (2024). </w:t>
      </w:r>
      <w:r w:rsidRPr="00D10E4D">
        <w:rPr>
          <w:rFonts w:ascii="Times New Roman" w:hAnsi="Times New Roman"/>
          <w:sz w:val="24"/>
          <w:szCs w:val="24"/>
        </w:rPr>
        <w:t xml:space="preserve">Enhanced toxicity-free astaxanthin extraction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via concurrent cell disruption and demulsification. </w:t>
      </w:r>
      <w:r w:rsidRPr="00D10E4D">
        <w:rPr>
          <w:rFonts w:ascii="Times New Roman" w:hAnsi="Times New Roman"/>
          <w:i/>
          <w:iCs/>
          <w:sz w:val="24"/>
          <w:szCs w:val="24"/>
        </w:rPr>
        <w:t>Bioresource Technology, 406</w:t>
      </w:r>
      <w:r w:rsidRPr="00D10E4D">
        <w:rPr>
          <w:rFonts w:ascii="Times New Roman" w:hAnsi="Times New Roman"/>
          <w:sz w:val="24"/>
          <w:szCs w:val="24"/>
        </w:rPr>
        <w:t xml:space="preserve">, 130974. </w:t>
      </w:r>
      <w:hyperlink r:id="rId34" w:tgtFrame="_blank" w:history="1">
        <w:r w:rsidRPr="00D10E4D">
          <w:rPr>
            <w:rFonts w:ascii="Times New Roman" w:hAnsi="Times New Roman"/>
            <w:color w:val="0000FF"/>
            <w:sz w:val="24"/>
            <w:szCs w:val="24"/>
            <w:u w:val="single"/>
          </w:rPr>
          <w:t>https://doi.org/10.1016/j.biortech.2024.130974</w:t>
        </w:r>
      </w:hyperlink>
    </w:p>
    <w:p w14:paraId="66D04E53" w14:textId="77777777" w:rsidR="0093555C" w:rsidRDefault="00F63526">
      <w:pPr>
        <w:spacing w:before="100" w:beforeAutospacing="1" w:after="100" w:afterAutospacing="1"/>
        <w:ind w:left="540" w:hanging="540"/>
        <w:jc w:val="both"/>
        <w:rPr>
          <w:rFonts w:ascii="Times New Roman" w:hAnsi="Times New Roman"/>
          <w:sz w:val="24"/>
          <w:szCs w:val="24"/>
        </w:rPr>
      </w:pPr>
      <w:r>
        <w:rPr>
          <w:highlight w:val="yellow"/>
        </w:rPr>
        <w:t xml:space="preserve">Luo, F., Wang, S., Zhang, X., Liu, Z., Zhu, R., &amp; Xue, W. (2024). Extraction of astaxanthin from </w:t>
      </w:r>
      <w:r>
        <w:rPr>
          <w:i/>
          <w:highlight w:val="yellow"/>
        </w:rPr>
        <w:t>Haematococcus pluvialis</w:t>
      </w:r>
      <w:r>
        <w:rPr>
          <w:highlight w:val="yellow"/>
        </w:rPr>
        <w:t xml:space="preserve"> and preparation of astaxanthin liposomes. </w:t>
      </w:r>
      <w:r>
        <w:rPr>
          <w:i/>
          <w:highlight w:val="yellow"/>
        </w:rPr>
        <w:t>Molecules, 29</w:t>
      </w:r>
      <w:r>
        <w:rPr>
          <w:highlight w:val="yellow"/>
        </w:rPr>
        <w:t>(14), 3320. https://doi.org/10.3390/molecules29143320</w:t>
      </w:r>
    </w:p>
    <w:p w14:paraId="6059A157"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Manikyam, H. K., Joshi, S. K., &amp; Suresh, P. V. (2026). Integrated PEF–supercritical CO₂ technology for high-purity astaxanthin extraction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w:t>
      </w:r>
      <w:r w:rsidRPr="00D10E4D">
        <w:rPr>
          <w:rFonts w:ascii="Times New Roman" w:hAnsi="Times New Roman"/>
          <w:i/>
          <w:iCs/>
          <w:sz w:val="24"/>
          <w:szCs w:val="24"/>
        </w:rPr>
        <w:t>Journal of Scientific Research and Reports, 32</w:t>
      </w:r>
      <w:r w:rsidRPr="00D10E4D">
        <w:rPr>
          <w:rFonts w:ascii="Times New Roman" w:hAnsi="Times New Roman"/>
          <w:sz w:val="24"/>
          <w:szCs w:val="24"/>
        </w:rPr>
        <w:t xml:space="preserve">(5), 217–228. </w:t>
      </w:r>
      <w:hyperlink r:id="rId35" w:tgtFrame="_blank" w:history="1">
        <w:r w:rsidRPr="00D10E4D">
          <w:rPr>
            <w:rFonts w:ascii="Times New Roman" w:hAnsi="Times New Roman"/>
            <w:color w:val="0000FF"/>
            <w:sz w:val="24"/>
            <w:szCs w:val="24"/>
            <w:u w:val="single"/>
          </w:rPr>
          <w:t>https://doi.org/10.9734/jsrr/2026/v32i54168</w:t>
        </w:r>
      </w:hyperlink>
    </w:p>
    <w:p w14:paraId="698F629D"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Mansouri, Z., Lijassi, I., Rhazi, L., &amp; Wahby, I. (2026). Extraction of astaxanthin from fresh </w:t>
      </w:r>
      <w:r w:rsidRPr="00D10E4D">
        <w:rPr>
          <w:rFonts w:ascii="Times New Roman" w:hAnsi="Times New Roman"/>
          <w:i/>
          <w:iCs/>
          <w:sz w:val="24"/>
          <w:szCs w:val="24"/>
        </w:rPr>
        <w:t>Haematococcus pluvialis</w:t>
      </w:r>
      <w:r w:rsidRPr="00D10E4D">
        <w:rPr>
          <w:rFonts w:ascii="Times New Roman" w:hAnsi="Times New Roman"/>
          <w:sz w:val="24"/>
          <w:szCs w:val="24"/>
        </w:rPr>
        <w:t xml:space="preserve"> biomass: A sustainable approach using vegetable oils. </w:t>
      </w:r>
      <w:r w:rsidRPr="00D10E4D">
        <w:rPr>
          <w:rFonts w:ascii="Times New Roman" w:hAnsi="Times New Roman"/>
          <w:i/>
          <w:iCs/>
          <w:sz w:val="24"/>
          <w:szCs w:val="24"/>
        </w:rPr>
        <w:t>Archives of Microbiology, 208</w:t>
      </w:r>
      <w:r w:rsidRPr="00D10E4D">
        <w:rPr>
          <w:rFonts w:ascii="Times New Roman" w:hAnsi="Times New Roman"/>
          <w:sz w:val="24"/>
          <w:szCs w:val="24"/>
        </w:rPr>
        <w:t xml:space="preserve">(8), 391. </w:t>
      </w:r>
      <w:hyperlink r:id="rId36" w:tgtFrame="_blank" w:history="1">
        <w:r w:rsidRPr="00D10E4D">
          <w:rPr>
            <w:rFonts w:ascii="Times New Roman" w:hAnsi="Times New Roman"/>
            <w:color w:val="0000FF"/>
            <w:sz w:val="24"/>
            <w:szCs w:val="24"/>
            <w:u w:val="single"/>
          </w:rPr>
          <w:t>https://doi.org/10.1007/s00203-026-04943-1</w:t>
        </w:r>
      </w:hyperlink>
    </w:p>
    <w:p w14:paraId="3CC72356"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Mussagy, C. U., Caicedo-Paz, A. V., Figueroa, D., Santander, C., González, F., Tropea, A., Mondello, L., Spadaro, D., Trocino, S., Piazza, R. D., Marques, R. F. C., Godoy, K., &amp; Cornejo, P. (2025). Maximizing </w:t>
      </w:r>
      <w:r w:rsidRPr="00D10E4D">
        <w:rPr>
          <w:rFonts w:ascii="Times New Roman" w:hAnsi="Times New Roman"/>
          <w:i/>
          <w:iCs/>
          <w:sz w:val="24"/>
          <w:szCs w:val="24"/>
        </w:rPr>
        <w:t>Haematococcus</w:t>
      </w:r>
      <w:r w:rsidRPr="00D10E4D">
        <w:rPr>
          <w:rFonts w:ascii="Times New Roman" w:hAnsi="Times New Roman"/>
          <w:sz w:val="24"/>
          <w:szCs w:val="24"/>
        </w:rPr>
        <w:t xml:space="preserve"> biorefineries: Ionic liquid-based astaxanthin recovery, biocosmetic formulation, solar cell applications, and biofertilizer valorization. </w:t>
      </w:r>
      <w:r w:rsidRPr="00D10E4D">
        <w:rPr>
          <w:rFonts w:ascii="Times New Roman" w:hAnsi="Times New Roman"/>
          <w:i/>
          <w:iCs/>
          <w:sz w:val="24"/>
          <w:szCs w:val="24"/>
        </w:rPr>
        <w:t>Bioresource Technology, 426</w:t>
      </w:r>
      <w:r w:rsidRPr="00D10E4D">
        <w:rPr>
          <w:rFonts w:ascii="Times New Roman" w:hAnsi="Times New Roman"/>
          <w:sz w:val="24"/>
          <w:szCs w:val="24"/>
        </w:rPr>
        <w:t xml:space="preserve">, 132347. </w:t>
      </w:r>
      <w:hyperlink r:id="rId37" w:tgtFrame="_blank" w:history="1">
        <w:r w:rsidRPr="00D10E4D">
          <w:rPr>
            <w:rFonts w:ascii="Times New Roman" w:hAnsi="Times New Roman"/>
            <w:color w:val="0000FF"/>
            <w:sz w:val="24"/>
            <w:szCs w:val="24"/>
            <w:u w:val="single"/>
          </w:rPr>
          <w:t>https://doi.org/10.1016/j.biortech.2025.132347</w:t>
        </w:r>
      </w:hyperlink>
    </w:p>
    <w:p w14:paraId="3EA36F36" w14:textId="77777777" w:rsidR="0093555C" w:rsidRDefault="00F63526">
      <w:pPr>
        <w:spacing w:before="100" w:beforeAutospacing="1" w:after="100" w:afterAutospacing="1"/>
        <w:ind w:left="540" w:hanging="540"/>
        <w:jc w:val="both"/>
        <w:rPr>
          <w:rFonts w:ascii="Times New Roman" w:hAnsi="Times New Roman"/>
          <w:sz w:val="24"/>
          <w:szCs w:val="24"/>
        </w:rPr>
      </w:pPr>
      <w:r>
        <w:rPr>
          <w:highlight w:val="yellow"/>
        </w:rPr>
        <w:t xml:space="preserve">Nemani, N., Dehnavi, S. M., &amp; Pazuki, G. (2024). Extraction and separation of astaxanthin with the help of pre-treatment of </w:t>
      </w:r>
      <w:r>
        <w:rPr>
          <w:i/>
          <w:highlight w:val="yellow"/>
        </w:rPr>
        <w:t>Haematococcus pluvialis</w:t>
      </w:r>
      <w:r>
        <w:rPr>
          <w:highlight w:val="yellow"/>
        </w:rPr>
        <w:t xml:space="preserve"> microalgae biomass using aqueous two-phase systems based on deep eutectic solvents. </w:t>
      </w:r>
      <w:r>
        <w:rPr>
          <w:i/>
          <w:highlight w:val="yellow"/>
        </w:rPr>
        <w:t>Scientific Reports, 14</w:t>
      </w:r>
      <w:r>
        <w:rPr>
          <w:highlight w:val="yellow"/>
        </w:rPr>
        <w:t>, 5420. https://doi.org/10.1038/s41598-024-55630-4</w:t>
      </w:r>
    </w:p>
    <w:p w14:paraId="1EEE43B6"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Pham, L., Dang, V. P., Cao, P., &amp; Vo, T. (2025). Thermal stress enhances phenolic metabolism and antioxidant capacity in </w:t>
      </w:r>
      <w:r w:rsidRPr="00D10E4D">
        <w:rPr>
          <w:rFonts w:ascii="Times New Roman" w:hAnsi="Times New Roman"/>
          <w:i/>
          <w:iCs/>
          <w:sz w:val="24"/>
          <w:szCs w:val="24"/>
        </w:rPr>
        <w:t>Hamatococcus pluvialis</w:t>
      </w:r>
      <w:r w:rsidRPr="00D10E4D">
        <w:rPr>
          <w:rFonts w:ascii="Times New Roman" w:hAnsi="Times New Roman"/>
          <w:sz w:val="24"/>
          <w:szCs w:val="24"/>
        </w:rPr>
        <w:t xml:space="preserve">: A sustainable platform for microalgal antioxidants. </w:t>
      </w:r>
      <w:r w:rsidRPr="00D10E4D">
        <w:rPr>
          <w:rFonts w:ascii="Times New Roman" w:hAnsi="Times New Roman"/>
          <w:i/>
          <w:iCs/>
          <w:sz w:val="24"/>
          <w:szCs w:val="24"/>
        </w:rPr>
        <w:t>Journal of Biology and Nature, 17</w:t>
      </w:r>
      <w:r w:rsidRPr="00D10E4D">
        <w:rPr>
          <w:rFonts w:ascii="Times New Roman" w:hAnsi="Times New Roman"/>
          <w:sz w:val="24"/>
          <w:szCs w:val="24"/>
        </w:rPr>
        <w:t xml:space="preserve">(2), 121–130. </w:t>
      </w:r>
      <w:hyperlink r:id="rId38" w:tgtFrame="_blank" w:history="1">
        <w:r w:rsidRPr="00D10E4D">
          <w:rPr>
            <w:rFonts w:ascii="Times New Roman" w:hAnsi="Times New Roman"/>
            <w:color w:val="0000FF"/>
            <w:sz w:val="24"/>
            <w:szCs w:val="24"/>
            <w:u w:val="single"/>
          </w:rPr>
          <w:t>https://doi.org/10.56557/joban/2025/v17i29503</w:t>
        </w:r>
      </w:hyperlink>
    </w:p>
    <w:p w14:paraId="35A84F78" w14:textId="77777777" w:rsidR="0093555C" w:rsidRDefault="00F63526">
      <w:pPr>
        <w:spacing w:before="100" w:beforeAutospacing="1" w:after="100" w:afterAutospacing="1"/>
        <w:ind w:left="540" w:hanging="540"/>
        <w:jc w:val="both"/>
        <w:rPr>
          <w:rFonts w:ascii="Times New Roman" w:hAnsi="Times New Roman"/>
          <w:sz w:val="24"/>
          <w:szCs w:val="24"/>
        </w:rPr>
      </w:pPr>
      <w:r>
        <w:rPr>
          <w:highlight w:val="yellow"/>
        </w:rPr>
        <w:t xml:space="preserve">Singh, A., Pandey, S. N., Khushbu, &amp; Kumar, H. (2024). Advances in algal biotechnology: Sustainable production of nutrient-rich biomass and high-value bioproducts. </w:t>
      </w:r>
      <w:r>
        <w:rPr>
          <w:i/>
          <w:highlight w:val="yellow"/>
        </w:rPr>
        <w:t>European Journal of Nutrition &amp; Food Safety, 16</w:t>
      </w:r>
      <w:r>
        <w:rPr>
          <w:highlight w:val="yellow"/>
        </w:rPr>
        <w:t>(7), 87–104. https://doi.org/10.9734/ejnfs/2024/v16i71458</w:t>
      </w:r>
    </w:p>
    <w:p w14:paraId="14FD8AD5"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Zhang, L., Li, Y., &amp; Gao, J. (2024). Selectively extraction of astaxanthin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by aqueous biphasic systems composed of ionic liquids and deep eutectic solutions. </w:t>
      </w:r>
      <w:r w:rsidRPr="00D10E4D">
        <w:rPr>
          <w:rFonts w:ascii="Times New Roman" w:hAnsi="Times New Roman"/>
          <w:i/>
          <w:iCs/>
          <w:sz w:val="24"/>
          <w:szCs w:val="24"/>
        </w:rPr>
        <w:t>Food Chemistry, 434</w:t>
      </w:r>
      <w:r w:rsidRPr="00D10E4D">
        <w:rPr>
          <w:rFonts w:ascii="Times New Roman" w:hAnsi="Times New Roman"/>
          <w:sz w:val="24"/>
          <w:szCs w:val="24"/>
        </w:rPr>
        <w:t xml:space="preserve">, 137399. </w:t>
      </w:r>
      <w:hyperlink r:id="rId39" w:tgtFrame="_blank" w:history="1">
        <w:r w:rsidRPr="00D10E4D">
          <w:rPr>
            <w:rFonts w:ascii="Times New Roman" w:hAnsi="Times New Roman"/>
            <w:color w:val="0000FF"/>
            <w:sz w:val="24"/>
            <w:szCs w:val="24"/>
            <w:u w:val="single"/>
          </w:rPr>
          <w:t>https://doi.org/10.1016/j.foodchem.2023.137399</w:t>
        </w:r>
      </w:hyperlink>
    </w:p>
    <w:p w14:paraId="5DC3D7DB"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t xml:space="preserve">Zhao, X., Zhang, X., Liu, H., Zhu, H., &amp; Zhu, Y. (2019). Enzyme-assisted extraction of astaxanthin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and its stability and antioxidant activity. </w:t>
      </w:r>
      <w:r w:rsidRPr="00D10E4D">
        <w:rPr>
          <w:rFonts w:ascii="Times New Roman" w:hAnsi="Times New Roman"/>
          <w:i/>
          <w:iCs/>
          <w:sz w:val="24"/>
          <w:szCs w:val="24"/>
        </w:rPr>
        <w:t>Food Science and Biotechnology, 28</w:t>
      </w:r>
      <w:r w:rsidRPr="00D10E4D">
        <w:rPr>
          <w:rFonts w:ascii="Times New Roman" w:hAnsi="Times New Roman"/>
          <w:sz w:val="24"/>
          <w:szCs w:val="24"/>
        </w:rPr>
        <w:t xml:space="preserve">(6), 1637–1647. </w:t>
      </w:r>
      <w:hyperlink r:id="rId40" w:tgtFrame="_blank" w:history="1">
        <w:r w:rsidRPr="00D10E4D">
          <w:rPr>
            <w:rFonts w:ascii="Times New Roman" w:hAnsi="Times New Roman"/>
            <w:color w:val="0000FF"/>
            <w:sz w:val="24"/>
            <w:szCs w:val="24"/>
            <w:u w:val="single"/>
          </w:rPr>
          <w:t>https://doi.org/10.1007/s10068-019-00608-6</w:t>
        </w:r>
      </w:hyperlink>
    </w:p>
    <w:p w14:paraId="3D3CDB87" w14:textId="77777777" w:rsidR="00D10E4D" w:rsidRPr="00D10E4D" w:rsidRDefault="00D10E4D" w:rsidP="00D10E4D">
      <w:pPr>
        <w:spacing w:before="100" w:beforeAutospacing="1" w:after="100" w:afterAutospacing="1"/>
        <w:ind w:left="540" w:hanging="540"/>
        <w:jc w:val="both"/>
        <w:rPr>
          <w:rFonts w:ascii="Times New Roman" w:hAnsi="Times New Roman"/>
          <w:sz w:val="24"/>
          <w:szCs w:val="24"/>
        </w:rPr>
      </w:pPr>
      <w:r w:rsidRPr="00D10E4D">
        <w:rPr>
          <w:rFonts w:ascii="Times New Roman" w:hAnsi="Times New Roman"/>
          <w:sz w:val="24"/>
          <w:szCs w:val="24"/>
        </w:rPr>
        <w:lastRenderedPageBreak/>
        <w:t xml:space="preserve">Zou, T.-B., Jia, Q., Li, H.-W., Wang, C.-X., &amp; Wu, H.-F. (2013). Response surface methodology for ultrasound-assisted extraction of astaxanthin from </w:t>
      </w:r>
      <w:r w:rsidRPr="00D10E4D">
        <w:rPr>
          <w:rFonts w:ascii="Times New Roman" w:hAnsi="Times New Roman"/>
          <w:i/>
          <w:iCs/>
          <w:sz w:val="24"/>
          <w:szCs w:val="24"/>
        </w:rPr>
        <w:t>Haematococcus pluvialis</w:t>
      </w:r>
      <w:r w:rsidRPr="00D10E4D">
        <w:rPr>
          <w:rFonts w:ascii="Times New Roman" w:hAnsi="Times New Roman"/>
          <w:sz w:val="24"/>
          <w:szCs w:val="24"/>
        </w:rPr>
        <w:t xml:space="preserve">. </w:t>
      </w:r>
      <w:r w:rsidRPr="00D10E4D">
        <w:rPr>
          <w:rFonts w:ascii="Times New Roman" w:hAnsi="Times New Roman"/>
          <w:i/>
          <w:iCs/>
          <w:sz w:val="24"/>
          <w:szCs w:val="24"/>
        </w:rPr>
        <w:t>Marine Drugs, 11</w:t>
      </w:r>
      <w:r w:rsidRPr="00D10E4D">
        <w:rPr>
          <w:rFonts w:ascii="Times New Roman" w:hAnsi="Times New Roman"/>
          <w:sz w:val="24"/>
          <w:szCs w:val="24"/>
        </w:rPr>
        <w:t xml:space="preserve">(5), 1644–1655. </w:t>
      </w:r>
      <w:hyperlink r:id="rId41" w:tgtFrame="_blank" w:history="1">
        <w:r w:rsidRPr="00D10E4D">
          <w:rPr>
            <w:rFonts w:ascii="Times New Roman" w:hAnsi="Times New Roman"/>
            <w:color w:val="0000FF"/>
            <w:sz w:val="24"/>
            <w:szCs w:val="24"/>
            <w:u w:val="single"/>
          </w:rPr>
          <w:t>https://doi.org/10.3390/md11051644</w:t>
        </w:r>
      </w:hyperlink>
    </w:p>
    <w:p w14:paraId="62BEA441" w14:textId="77777777" w:rsidR="00B01FCD" w:rsidRPr="00771BD2" w:rsidRDefault="00B01FCD" w:rsidP="00771BD2">
      <w:pPr>
        <w:pStyle w:val="ReferHead"/>
        <w:spacing w:after="0"/>
        <w:ind w:left="1276"/>
        <w:jc w:val="both"/>
        <w:rPr>
          <w:rFonts w:ascii="Arial" w:hAnsi="Arial" w:cs="Arial"/>
          <w:b w:val="0"/>
          <w:caps w:val="0"/>
          <w:sz w:val="20"/>
        </w:rPr>
      </w:pPr>
    </w:p>
    <w:sectPr w:rsidR="00B01FCD" w:rsidRPr="00771BD2" w:rsidSect="002A0E61">
      <w:type w:val="continuous"/>
      <w:pgSz w:w="12240" w:h="15840"/>
      <w:pgMar w:top="720" w:right="2034"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210A2" w14:textId="77777777" w:rsidR="00F63526" w:rsidRDefault="00F63526" w:rsidP="00C37E61">
      <w:r>
        <w:separator/>
      </w:r>
    </w:p>
  </w:endnote>
  <w:endnote w:type="continuationSeparator" w:id="0">
    <w:p w14:paraId="4B15E439" w14:textId="77777777" w:rsidR="00F63526" w:rsidRDefault="00F6352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B60F" w14:textId="77777777" w:rsidR="002A0E61" w:rsidRDefault="002A0E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CBC3" w14:textId="77777777" w:rsidR="002A0E61" w:rsidRDefault="002A0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216C" w14:textId="77777777" w:rsidR="009C495D" w:rsidRPr="002A0E61" w:rsidRDefault="009C495D" w:rsidP="002A0E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99A1" w14:textId="77777777" w:rsidR="009C495D" w:rsidRPr="00C37E61" w:rsidRDefault="009C495D"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820AF" w14:textId="77777777" w:rsidR="00F63526" w:rsidRDefault="00F63526" w:rsidP="00C37E61">
      <w:r>
        <w:separator/>
      </w:r>
    </w:p>
  </w:footnote>
  <w:footnote w:type="continuationSeparator" w:id="0">
    <w:p w14:paraId="122BCBAE" w14:textId="77777777" w:rsidR="00F63526" w:rsidRDefault="00F6352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C8A0" w14:textId="77777777" w:rsidR="002A0E61" w:rsidRDefault="00F63526">
    <w:pPr>
      <w:pStyle w:val="Header"/>
    </w:pPr>
    <w:r>
      <w:rPr>
        <w:noProof/>
      </w:rPr>
      <w:pict w14:anchorId="4E842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1EC9" w14:textId="77777777" w:rsidR="002A0E61" w:rsidRDefault="00F63526">
    <w:pPr>
      <w:pStyle w:val="Header"/>
    </w:pPr>
    <w:r>
      <w:rPr>
        <w:noProof/>
      </w:rPr>
      <w:pict w14:anchorId="44E25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C55C" w14:textId="77777777" w:rsidR="009C495D" w:rsidRPr="00296529" w:rsidRDefault="00F63526" w:rsidP="00296529">
    <w:pPr>
      <w:ind w:left="2160"/>
      <w:jc w:val="center"/>
      <w:rPr>
        <w:rFonts w:ascii="Times New Roman" w:eastAsia="Calibri" w:hAnsi="Times New Roman"/>
        <w:i/>
        <w:sz w:val="18"/>
        <w:szCs w:val="22"/>
      </w:rPr>
    </w:pPr>
    <w:r>
      <w:rPr>
        <w:noProof/>
      </w:rPr>
      <w:pict w14:anchorId="5E5C3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F590402" w14:textId="77777777" w:rsidR="009C495D" w:rsidRPr="00296529" w:rsidRDefault="009C495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4FB934C" w14:textId="77777777" w:rsidR="009C495D" w:rsidRPr="00296529" w:rsidRDefault="009C495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24EAAE5" w14:textId="77777777" w:rsidR="009C495D" w:rsidRPr="00296529" w:rsidRDefault="009C495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EFED655" w14:textId="77777777" w:rsidR="009C495D" w:rsidRDefault="009C495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17124C3" w14:textId="77777777" w:rsidR="009C495D" w:rsidRDefault="009C495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C9C3B49" w14:textId="77777777" w:rsidR="009C495D" w:rsidRDefault="009C495D">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3F4E" w14:textId="77777777" w:rsidR="002A0E61" w:rsidRDefault="00F63526">
    <w:pPr>
      <w:pStyle w:val="Header"/>
    </w:pPr>
    <w:r>
      <w:rPr>
        <w:noProof/>
      </w:rPr>
      <w:pict w14:anchorId="03E80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70B4CA5">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039A" w14:textId="77777777" w:rsidR="002A0E61" w:rsidRDefault="00F63526">
    <w:pPr>
      <w:pStyle w:val="Header"/>
    </w:pPr>
    <w:r>
      <w:rPr>
        <w:noProof/>
      </w:rPr>
      <w:pict w14:anchorId="3D83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0F6E0C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AF0B" w14:textId="77777777" w:rsidR="002A0E61" w:rsidRPr="00296529" w:rsidRDefault="00F63526" w:rsidP="00296529">
    <w:pPr>
      <w:ind w:left="2160"/>
      <w:jc w:val="center"/>
      <w:rPr>
        <w:rFonts w:ascii="Times New Roman" w:eastAsia="Calibri" w:hAnsi="Times New Roman"/>
        <w:i/>
        <w:sz w:val="18"/>
        <w:szCs w:val="22"/>
      </w:rPr>
    </w:pPr>
    <w:r>
      <w:rPr>
        <w:noProof/>
      </w:rPr>
      <w:pict w14:anchorId="5E888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F7FB035">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C8F3BAC" w14:textId="77777777" w:rsidR="002A0E61" w:rsidRPr="00296529" w:rsidRDefault="002A0E6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DF106EF" w14:textId="77777777" w:rsidR="002A0E61" w:rsidRPr="00296529" w:rsidRDefault="002A0E6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2A3C34E" w14:textId="77777777" w:rsidR="002A0E61" w:rsidRPr="00296529" w:rsidRDefault="002A0E6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F88884A" w14:textId="77777777" w:rsidR="002A0E61" w:rsidRDefault="002A0E6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3E14997" w14:textId="77777777" w:rsidR="002A0E61" w:rsidRDefault="002A0E6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4D0DD00" w14:textId="77777777" w:rsidR="002A0E61" w:rsidRDefault="002A0E6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99991445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05159486">
    <w:abstractNumId w:val="15"/>
  </w:num>
  <w:num w:numId="3" w16cid:durableId="1046484947">
    <w:abstractNumId w:val="23"/>
  </w:num>
  <w:num w:numId="4" w16cid:durableId="206957458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37288506">
    <w:abstractNumId w:val="7"/>
  </w:num>
  <w:num w:numId="6" w16cid:durableId="1895235709">
    <w:abstractNumId w:val="6"/>
  </w:num>
  <w:num w:numId="7" w16cid:durableId="965356039">
    <w:abstractNumId w:val="1"/>
  </w:num>
  <w:num w:numId="8" w16cid:durableId="1281688456">
    <w:abstractNumId w:val="12"/>
  </w:num>
  <w:num w:numId="9" w16cid:durableId="2004048039">
    <w:abstractNumId w:val="25"/>
  </w:num>
  <w:num w:numId="10" w16cid:durableId="905144835">
    <w:abstractNumId w:val="2"/>
  </w:num>
  <w:num w:numId="11" w16cid:durableId="37358394">
    <w:abstractNumId w:val="18"/>
  </w:num>
  <w:num w:numId="12" w16cid:durableId="2026252427">
    <w:abstractNumId w:val="3"/>
  </w:num>
  <w:num w:numId="13" w16cid:durableId="988286141">
    <w:abstractNumId w:val="17"/>
  </w:num>
  <w:num w:numId="14" w16cid:durableId="605775956">
    <w:abstractNumId w:val="8"/>
  </w:num>
  <w:num w:numId="15" w16cid:durableId="1227571568">
    <w:abstractNumId w:val="21"/>
  </w:num>
  <w:num w:numId="16" w16cid:durableId="1578201252">
    <w:abstractNumId w:val="5"/>
  </w:num>
  <w:num w:numId="17" w16cid:durableId="526479917">
    <w:abstractNumId w:val="22"/>
  </w:num>
  <w:num w:numId="18" w16cid:durableId="47074069">
    <w:abstractNumId w:val="14"/>
  </w:num>
  <w:num w:numId="19" w16cid:durableId="71705972">
    <w:abstractNumId w:val="28"/>
  </w:num>
  <w:num w:numId="20" w16cid:durableId="781531158">
    <w:abstractNumId w:val="11"/>
  </w:num>
  <w:num w:numId="21" w16cid:durableId="927618032">
    <w:abstractNumId w:val="9"/>
  </w:num>
  <w:num w:numId="22" w16cid:durableId="1261184381">
    <w:abstractNumId w:val="13"/>
  </w:num>
  <w:num w:numId="23" w16cid:durableId="73170752">
    <w:abstractNumId w:val="19"/>
  </w:num>
  <w:num w:numId="24" w16cid:durableId="425538059">
    <w:abstractNumId w:val="26"/>
  </w:num>
  <w:num w:numId="25" w16cid:durableId="522524341">
    <w:abstractNumId w:val="4"/>
  </w:num>
  <w:num w:numId="26" w16cid:durableId="1426343752">
    <w:abstractNumId w:val="16"/>
  </w:num>
  <w:num w:numId="27" w16cid:durableId="2075157514">
    <w:abstractNumId w:val="20"/>
  </w:num>
  <w:num w:numId="28" w16cid:durableId="571620056">
    <w:abstractNumId w:val="27"/>
  </w:num>
  <w:num w:numId="29" w16cid:durableId="816190493">
    <w:abstractNumId w:val="24"/>
  </w:num>
  <w:num w:numId="30" w16cid:durableId="17762926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I0NDI2MTG2NLcwNDZS0lEKTi0uzszPAykwrAUAjdmVXSwAAAA="/>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5zaxsf72d9v2et5x7x95pxwrwvwv0rfzws&quot;&gt;My EndNote Library&lt;record-ids&gt;&lt;item&gt;110&lt;/item&gt;&lt;item&gt;111&lt;/item&gt;&lt;item&gt;112&lt;/item&gt;&lt;item&gt;113&lt;/item&gt;&lt;item&gt;114&lt;/item&gt;&lt;item&gt;115&lt;/item&gt;&lt;item&gt;116&lt;/item&gt;&lt;item&gt;117&lt;/item&gt;&lt;item&gt;120&lt;/item&gt;&lt;item&gt;121&lt;/item&gt;&lt;item&gt;122&lt;/item&gt;&lt;item&gt;123&lt;/item&gt;&lt;item&gt;124&lt;/item&gt;&lt;/record-ids&gt;&lt;/item&gt;&lt;/Libraries&gt;"/>
  </w:docVars>
  <w:rsids>
    <w:rsidRoot w:val="00AA6219"/>
    <w:rsid w:val="00000F8F"/>
    <w:rsid w:val="000159AC"/>
    <w:rsid w:val="00015AF1"/>
    <w:rsid w:val="00030174"/>
    <w:rsid w:val="0004579C"/>
    <w:rsid w:val="00052C7C"/>
    <w:rsid w:val="0007346A"/>
    <w:rsid w:val="00081BA2"/>
    <w:rsid w:val="0009377B"/>
    <w:rsid w:val="000A47FA"/>
    <w:rsid w:val="000A65D3"/>
    <w:rsid w:val="000B1E33"/>
    <w:rsid w:val="000B4812"/>
    <w:rsid w:val="000D689F"/>
    <w:rsid w:val="000E0B08"/>
    <w:rsid w:val="000E7B7B"/>
    <w:rsid w:val="000E7D62"/>
    <w:rsid w:val="000F1CCA"/>
    <w:rsid w:val="00103357"/>
    <w:rsid w:val="00114E07"/>
    <w:rsid w:val="00123C9F"/>
    <w:rsid w:val="00126190"/>
    <w:rsid w:val="00130F17"/>
    <w:rsid w:val="001320BF"/>
    <w:rsid w:val="00154511"/>
    <w:rsid w:val="00163BC4"/>
    <w:rsid w:val="00171152"/>
    <w:rsid w:val="00191062"/>
    <w:rsid w:val="00192B72"/>
    <w:rsid w:val="001A29D8"/>
    <w:rsid w:val="001A5CAA"/>
    <w:rsid w:val="001B0427"/>
    <w:rsid w:val="001C17A8"/>
    <w:rsid w:val="001C2374"/>
    <w:rsid w:val="001D3A51"/>
    <w:rsid w:val="001D61BE"/>
    <w:rsid w:val="001E10D2"/>
    <w:rsid w:val="001E25B4"/>
    <w:rsid w:val="001E44FE"/>
    <w:rsid w:val="001E6998"/>
    <w:rsid w:val="001F14E2"/>
    <w:rsid w:val="00200595"/>
    <w:rsid w:val="00204835"/>
    <w:rsid w:val="00213857"/>
    <w:rsid w:val="002212AB"/>
    <w:rsid w:val="0022614A"/>
    <w:rsid w:val="00231920"/>
    <w:rsid w:val="0023195C"/>
    <w:rsid w:val="00236BC1"/>
    <w:rsid w:val="0024282C"/>
    <w:rsid w:val="002460DC"/>
    <w:rsid w:val="00250985"/>
    <w:rsid w:val="002556F6"/>
    <w:rsid w:val="0026019E"/>
    <w:rsid w:val="0026657E"/>
    <w:rsid w:val="00271ABE"/>
    <w:rsid w:val="0027571B"/>
    <w:rsid w:val="00283105"/>
    <w:rsid w:val="00284C4C"/>
    <w:rsid w:val="00287E68"/>
    <w:rsid w:val="00296529"/>
    <w:rsid w:val="002A0E61"/>
    <w:rsid w:val="002B27FB"/>
    <w:rsid w:val="002B4837"/>
    <w:rsid w:val="002B685A"/>
    <w:rsid w:val="002B7CB7"/>
    <w:rsid w:val="002C57D2"/>
    <w:rsid w:val="002D7024"/>
    <w:rsid w:val="002E0D56"/>
    <w:rsid w:val="002E2F1F"/>
    <w:rsid w:val="002E33CB"/>
    <w:rsid w:val="002F1F5D"/>
    <w:rsid w:val="00303C8D"/>
    <w:rsid w:val="00315186"/>
    <w:rsid w:val="00322074"/>
    <w:rsid w:val="00323E1E"/>
    <w:rsid w:val="0033343E"/>
    <w:rsid w:val="00336B3A"/>
    <w:rsid w:val="00341CF9"/>
    <w:rsid w:val="003447F5"/>
    <w:rsid w:val="00346AE8"/>
    <w:rsid w:val="003512C2"/>
    <w:rsid w:val="0035220C"/>
    <w:rsid w:val="003545FB"/>
    <w:rsid w:val="003564BD"/>
    <w:rsid w:val="00371FB6"/>
    <w:rsid w:val="003763C1"/>
    <w:rsid w:val="00376BBE"/>
    <w:rsid w:val="0039224F"/>
    <w:rsid w:val="00396AA5"/>
    <w:rsid w:val="003A0304"/>
    <w:rsid w:val="003A43A4"/>
    <w:rsid w:val="003A5D1E"/>
    <w:rsid w:val="003A7E18"/>
    <w:rsid w:val="003B1185"/>
    <w:rsid w:val="003C4C86"/>
    <w:rsid w:val="003C6258"/>
    <w:rsid w:val="003E2904"/>
    <w:rsid w:val="003E34BF"/>
    <w:rsid w:val="003E677F"/>
    <w:rsid w:val="003F33A3"/>
    <w:rsid w:val="00401927"/>
    <w:rsid w:val="0041027F"/>
    <w:rsid w:val="0041143D"/>
    <w:rsid w:val="00412475"/>
    <w:rsid w:val="00414257"/>
    <w:rsid w:val="00423789"/>
    <w:rsid w:val="004332A4"/>
    <w:rsid w:val="00437DFD"/>
    <w:rsid w:val="00440F43"/>
    <w:rsid w:val="00441B6F"/>
    <w:rsid w:val="00446221"/>
    <w:rsid w:val="00450E62"/>
    <w:rsid w:val="004539DB"/>
    <w:rsid w:val="00460FC7"/>
    <w:rsid w:val="00471A80"/>
    <w:rsid w:val="00476FC3"/>
    <w:rsid w:val="00490609"/>
    <w:rsid w:val="004B3A20"/>
    <w:rsid w:val="004C5F8A"/>
    <w:rsid w:val="004D305E"/>
    <w:rsid w:val="004D4277"/>
    <w:rsid w:val="004E7716"/>
    <w:rsid w:val="00502516"/>
    <w:rsid w:val="00504715"/>
    <w:rsid w:val="00505F06"/>
    <w:rsid w:val="00506828"/>
    <w:rsid w:val="00514458"/>
    <w:rsid w:val="0053056E"/>
    <w:rsid w:val="00554FDA"/>
    <w:rsid w:val="00555B8B"/>
    <w:rsid w:val="005A344F"/>
    <w:rsid w:val="005C5A33"/>
    <w:rsid w:val="005C784C"/>
    <w:rsid w:val="005D17F6"/>
    <w:rsid w:val="005E5539"/>
    <w:rsid w:val="00602BF5"/>
    <w:rsid w:val="00617FDD"/>
    <w:rsid w:val="00633614"/>
    <w:rsid w:val="00633F68"/>
    <w:rsid w:val="00636EB2"/>
    <w:rsid w:val="006375B8"/>
    <w:rsid w:val="006636F8"/>
    <w:rsid w:val="0066510A"/>
    <w:rsid w:val="00673F9F"/>
    <w:rsid w:val="00686953"/>
    <w:rsid w:val="00687DEA"/>
    <w:rsid w:val="00687E67"/>
    <w:rsid w:val="006967F7"/>
    <w:rsid w:val="006A250C"/>
    <w:rsid w:val="006B21D3"/>
    <w:rsid w:val="006B57D0"/>
    <w:rsid w:val="006D2CD9"/>
    <w:rsid w:val="006D30FF"/>
    <w:rsid w:val="006D3267"/>
    <w:rsid w:val="006D6510"/>
    <w:rsid w:val="006D6940"/>
    <w:rsid w:val="006F11EC"/>
    <w:rsid w:val="0070082C"/>
    <w:rsid w:val="007369E6"/>
    <w:rsid w:val="007430F8"/>
    <w:rsid w:val="00746E59"/>
    <w:rsid w:val="00754C9A"/>
    <w:rsid w:val="0075599A"/>
    <w:rsid w:val="00761D52"/>
    <w:rsid w:val="0076781E"/>
    <w:rsid w:val="00771BD2"/>
    <w:rsid w:val="0077749E"/>
    <w:rsid w:val="00790ADA"/>
    <w:rsid w:val="007A0188"/>
    <w:rsid w:val="007D114D"/>
    <w:rsid w:val="007D2288"/>
    <w:rsid w:val="007D3030"/>
    <w:rsid w:val="007E088F"/>
    <w:rsid w:val="007F7B32"/>
    <w:rsid w:val="00804BC2"/>
    <w:rsid w:val="0081431A"/>
    <w:rsid w:val="0083216F"/>
    <w:rsid w:val="0085609A"/>
    <w:rsid w:val="00860000"/>
    <w:rsid w:val="00863BD3"/>
    <w:rsid w:val="008641ED"/>
    <w:rsid w:val="00866D66"/>
    <w:rsid w:val="008671C6"/>
    <w:rsid w:val="00875803"/>
    <w:rsid w:val="008825C1"/>
    <w:rsid w:val="00897BC0"/>
    <w:rsid w:val="008B459E"/>
    <w:rsid w:val="008D18A3"/>
    <w:rsid w:val="008E13AE"/>
    <w:rsid w:val="008E1506"/>
    <w:rsid w:val="008E710C"/>
    <w:rsid w:val="008F69D6"/>
    <w:rsid w:val="00902823"/>
    <w:rsid w:val="00915CA6"/>
    <w:rsid w:val="00916300"/>
    <w:rsid w:val="00927834"/>
    <w:rsid w:val="00927DAE"/>
    <w:rsid w:val="009348B3"/>
    <w:rsid w:val="0093555C"/>
    <w:rsid w:val="009378FA"/>
    <w:rsid w:val="009500A6"/>
    <w:rsid w:val="00957C18"/>
    <w:rsid w:val="009635B7"/>
    <w:rsid w:val="0096410C"/>
    <w:rsid w:val="009659BA"/>
    <w:rsid w:val="00983040"/>
    <w:rsid w:val="009838CA"/>
    <w:rsid w:val="009B3FB9"/>
    <w:rsid w:val="009B6767"/>
    <w:rsid w:val="009C2465"/>
    <w:rsid w:val="009C495D"/>
    <w:rsid w:val="009C64C2"/>
    <w:rsid w:val="009D35A0"/>
    <w:rsid w:val="009D3F46"/>
    <w:rsid w:val="009D7EB7"/>
    <w:rsid w:val="009E048A"/>
    <w:rsid w:val="009E08E9"/>
    <w:rsid w:val="009E33D2"/>
    <w:rsid w:val="009E3DB9"/>
    <w:rsid w:val="009E6E35"/>
    <w:rsid w:val="009F0EDA"/>
    <w:rsid w:val="00A029D2"/>
    <w:rsid w:val="00A03B96"/>
    <w:rsid w:val="00A05B19"/>
    <w:rsid w:val="00A1134E"/>
    <w:rsid w:val="00A24E7E"/>
    <w:rsid w:val="00A258C3"/>
    <w:rsid w:val="00A3076C"/>
    <w:rsid w:val="00A347C0"/>
    <w:rsid w:val="00A51431"/>
    <w:rsid w:val="00A539AD"/>
    <w:rsid w:val="00A8591C"/>
    <w:rsid w:val="00A94063"/>
    <w:rsid w:val="00A9692B"/>
    <w:rsid w:val="00AA6219"/>
    <w:rsid w:val="00AA74E0"/>
    <w:rsid w:val="00AB703F"/>
    <w:rsid w:val="00AC1E92"/>
    <w:rsid w:val="00AC63E4"/>
    <w:rsid w:val="00AC6BB8"/>
    <w:rsid w:val="00AE008F"/>
    <w:rsid w:val="00B01FCD"/>
    <w:rsid w:val="00B05F57"/>
    <w:rsid w:val="00B1776C"/>
    <w:rsid w:val="00B44BB5"/>
    <w:rsid w:val="00B52583"/>
    <w:rsid w:val="00B52896"/>
    <w:rsid w:val="00B538E5"/>
    <w:rsid w:val="00B5743D"/>
    <w:rsid w:val="00B615A4"/>
    <w:rsid w:val="00B95236"/>
    <w:rsid w:val="00B96BD9"/>
    <w:rsid w:val="00BA1B01"/>
    <w:rsid w:val="00BA2641"/>
    <w:rsid w:val="00BB355E"/>
    <w:rsid w:val="00BB37AA"/>
    <w:rsid w:val="00BC021E"/>
    <w:rsid w:val="00BC53A0"/>
    <w:rsid w:val="00BC5701"/>
    <w:rsid w:val="00BE6035"/>
    <w:rsid w:val="00BE62AD"/>
    <w:rsid w:val="00BF121F"/>
    <w:rsid w:val="00BF1F80"/>
    <w:rsid w:val="00C03E6A"/>
    <w:rsid w:val="00C166EF"/>
    <w:rsid w:val="00C17EB0"/>
    <w:rsid w:val="00C20498"/>
    <w:rsid w:val="00C27F5F"/>
    <w:rsid w:val="00C30A0F"/>
    <w:rsid w:val="00C37E61"/>
    <w:rsid w:val="00C70F1B"/>
    <w:rsid w:val="00C71A47"/>
    <w:rsid w:val="00C7464C"/>
    <w:rsid w:val="00C85588"/>
    <w:rsid w:val="00CA1656"/>
    <w:rsid w:val="00CA187A"/>
    <w:rsid w:val="00CA32A2"/>
    <w:rsid w:val="00CB56D3"/>
    <w:rsid w:val="00CB7508"/>
    <w:rsid w:val="00CC088D"/>
    <w:rsid w:val="00CC3C77"/>
    <w:rsid w:val="00CD4D54"/>
    <w:rsid w:val="00CD6755"/>
    <w:rsid w:val="00CD6856"/>
    <w:rsid w:val="00CE0089"/>
    <w:rsid w:val="00CE793C"/>
    <w:rsid w:val="00CF193C"/>
    <w:rsid w:val="00CF385C"/>
    <w:rsid w:val="00CF6F93"/>
    <w:rsid w:val="00D06280"/>
    <w:rsid w:val="00D10E4D"/>
    <w:rsid w:val="00D173F1"/>
    <w:rsid w:val="00D60344"/>
    <w:rsid w:val="00D63B93"/>
    <w:rsid w:val="00D74CB0"/>
    <w:rsid w:val="00D76F88"/>
    <w:rsid w:val="00D8295D"/>
    <w:rsid w:val="00D91544"/>
    <w:rsid w:val="00D93A57"/>
    <w:rsid w:val="00D94300"/>
    <w:rsid w:val="00DC2A65"/>
    <w:rsid w:val="00DC3B0F"/>
    <w:rsid w:val="00DD3F98"/>
    <w:rsid w:val="00DE15F0"/>
    <w:rsid w:val="00DE5663"/>
    <w:rsid w:val="00DE78AA"/>
    <w:rsid w:val="00E053D0"/>
    <w:rsid w:val="00E15994"/>
    <w:rsid w:val="00E27E05"/>
    <w:rsid w:val="00E3114E"/>
    <w:rsid w:val="00E31A70"/>
    <w:rsid w:val="00E3518B"/>
    <w:rsid w:val="00E35B02"/>
    <w:rsid w:val="00E42747"/>
    <w:rsid w:val="00E4766D"/>
    <w:rsid w:val="00E66496"/>
    <w:rsid w:val="00E66B35"/>
    <w:rsid w:val="00E66E10"/>
    <w:rsid w:val="00E769F6"/>
    <w:rsid w:val="00E8407C"/>
    <w:rsid w:val="00E847AB"/>
    <w:rsid w:val="00E84C44"/>
    <w:rsid w:val="00E84F3C"/>
    <w:rsid w:val="00E870C6"/>
    <w:rsid w:val="00EA012C"/>
    <w:rsid w:val="00EC6A55"/>
    <w:rsid w:val="00ED0288"/>
    <w:rsid w:val="00EE52CB"/>
    <w:rsid w:val="00EF5516"/>
    <w:rsid w:val="00EF581D"/>
    <w:rsid w:val="00EF7FD8"/>
    <w:rsid w:val="00F01D48"/>
    <w:rsid w:val="00F06812"/>
    <w:rsid w:val="00F06F59"/>
    <w:rsid w:val="00F12AB4"/>
    <w:rsid w:val="00F167BA"/>
    <w:rsid w:val="00F17988"/>
    <w:rsid w:val="00F35F13"/>
    <w:rsid w:val="00F469F0"/>
    <w:rsid w:val="00F53273"/>
    <w:rsid w:val="00F63526"/>
    <w:rsid w:val="00F755E4"/>
    <w:rsid w:val="00F77D02"/>
    <w:rsid w:val="00F91F4A"/>
    <w:rsid w:val="00FA5DE8"/>
    <w:rsid w:val="00FB3A86"/>
    <w:rsid w:val="00FD36C8"/>
    <w:rsid w:val="00FF56C2"/>
    <w:rsid w:val="00FF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D7910"/>
  <w15:docId w15:val="{F88A87DE-2DA8-4DF0-9101-D0BDEA2C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6D326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A029D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styleId="PlaceholderText">
    <w:name w:val="Placeholder Text"/>
    <w:basedOn w:val="DefaultParagraphFont"/>
    <w:uiPriority w:val="99"/>
    <w:semiHidden/>
    <w:rsid w:val="000F1CCA"/>
    <w:rPr>
      <w:color w:val="808080"/>
    </w:rPr>
  </w:style>
  <w:style w:type="character" w:customStyle="1" w:styleId="btChar">
    <w:name w:val="bt Char"/>
    <w:basedOn w:val="DefaultParagraphFont"/>
    <w:link w:val="bt"/>
    <w:locked/>
    <w:rsid w:val="004332A4"/>
    <w:rPr>
      <w:sz w:val="26"/>
      <w:szCs w:val="26"/>
    </w:rPr>
  </w:style>
  <w:style w:type="paragraph" w:customStyle="1" w:styleId="bt">
    <w:name w:val="bt"/>
    <w:link w:val="btChar"/>
    <w:qFormat/>
    <w:rsid w:val="004332A4"/>
    <w:pPr>
      <w:spacing w:line="360" w:lineRule="auto"/>
    </w:pPr>
    <w:rPr>
      <w:sz w:val="26"/>
      <w:szCs w:val="26"/>
    </w:rPr>
  </w:style>
  <w:style w:type="paragraph" w:styleId="NormalWeb">
    <w:name w:val="Normal (Web)"/>
    <w:basedOn w:val="Normal"/>
    <w:uiPriority w:val="99"/>
    <w:unhideWhenUsed/>
    <w:rsid w:val="00052C7C"/>
    <w:pPr>
      <w:spacing w:before="100" w:beforeAutospacing="1" w:after="100" w:afterAutospacing="1"/>
    </w:pPr>
    <w:rPr>
      <w:rFonts w:ascii="Times New Roman" w:hAnsi="Times New Roman"/>
      <w:sz w:val="24"/>
      <w:szCs w:val="24"/>
    </w:rPr>
  </w:style>
  <w:style w:type="paragraph" w:styleId="Caption">
    <w:name w:val="caption"/>
    <w:basedOn w:val="Normal"/>
    <w:next w:val="Normal"/>
    <w:uiPriority w:val="35"/>
    <w:unhideWhenUsed/>
    <w:qFormat/>
    <w:rsid w:val="006636F8"/>
    <w:pPr>
      <w:spacing w:after="200"/>
      <w:jc w:val="both"/>
    </w:pPr>
    <w:rPr>
      <w:rFonts w:ascii="Times New Roman" w:eastAsiaTheme="minorHAnsi" w:hAnsi="Times New Roman" w:cstheme="minorBidi"/>
      <w:i/>
      <w:iCs/>
      <w:color w:val="1F497D" w:themeColor="text2"/>
      <w:sz w:val="18"/>
      <w:szCs w:val="18"/>
      <w:lang w:val="en-GB"/>
    </w:rPr>
  </w:style>
  <w:style w:type="paragraph" w:customStyle="1" w:styleId="EndNoteBibliographyTitle">
    <w:name w:val="EndNote Bibliography Title"/>
    <w:basedOn w:val="Normal"/>
    <w:link w:val="EndNoteBibliographyTitleChar"/>
    <w:rsid w:val="00FA5DE8"/>
    <w:pPr>
      <w:jc w:val="center"/>
    </w:pPr>
    <w:rPr>
      <w:rFonts w:cs="Helvetica"/>
      <w:noProof/>
      <w:sz w:val="22"/>
    </w:rPr>
  </w:style>
  <w:style w:type="character" w:customStyle="1" w:styleId="TitleChar">
    <w:name w:val="Title Char"/>
    <w:basedOn w:val="DefaultParagraphFont"/>
    <w:link w:val="Title"/>
    <w:rsid w:val="00FA5DE8"/>
    <w:rPr>
      <w:rFonts w:ascii="Helvetica" w:hAnsi="Helvetica"/>
      <w:b/>
      <w:kern w:val="28"/>
      <w:sz w:val="36"/>
    </w:rPr>
  </w:style>
  <w:style w:type="character" w:customStyle="1" w:styleId="EndNoteBibliographyTitleChar">
    <w:name w:val="EndNote Bibliography Title Char"/>
    <w:basedOn w:val="TitleChar"/>
    <w:link w:val="EndNoteBibliographyTitle"/>
    <w:rsid w:val="00FA5DE8"/>
    <w:rPr>
      <w:rFonts w:ascii="Helvetica" w:hAnsi="Helvetica" w:cs="Helvetica"/>
      <w:b w:val="0"/>
      <w:noProof/>
      <w:kern w:val="28"/>
      <w:sz w:val="22"/>
    </w:rPr>
  </w:style>
  <w:style w:type="paragraph" w:customStyle="1" w:styleId="EndNoteBibliography">
    <w:name w:val="EndNote Bibliography"/>
    <w:basedOn w:val="Normal"/>
    <w:link w:val="EndNoteBibliographyChar"/>
    <w:rsid w:val="00FA5DE8"/>
    <w:pPr>
      <w:jc w:val="both"/>
    </w:pPr>
    <w:rPr>
      <w:rFonts w:cs="Helvetica"/>
      <w:noProof/>
      <w:sz w:val="22"/>
    </w:rPr>
  </w:style>
  <w:style w:type="character" w:customStyle="1" w:styleId="EndNoteBibliographyChar">
    <w:name w:val="EndNote Bibliography Char"/>
    <w:basedOn w:val="TitleChar"/>
    <w:link w:val="EndNoteBibliography"/>
    <w:rsid w:val="00FA5DE8"/>
    <w:rPr>
      <w:rFonts w:ascii="Helvetica" w:hAnsi="Helvetica" w:cs="Helvetica"/>
      <w:b w:val="0"/>
      <w:noProof/>
      <w:kern w:val="28"/>
      <w:sz w:val="22"/>
    </w:rPr>
  </w:style>
  <w:style w:type="character" w:customStyle="1" w:styleId="UnresolvedMention2">
    <w:name w:val="Unresolved Mention2"/>
    <w:basedOn w:val="DefaultParagraphFont"/>
    <w:uiPriority w:val="99"/>
    <w:semiHidden/>
    <w:unhideWhenUsed/>
    <w:rsid w:val="00E847AB"/>
    <w:rPr>
      <w:color w:val="605E5C"/>
      <w:shd w:val="clear" w:color="auto" w:fill="E1DFDD"/>
    </w:rPr>
  </w:style>
  <w:style w:type="character" w:customStyle="1" w:styleId="Heading3Char">
    <w:name w:val="Heading 3 Char"/>
    <w:basedOn w:val="DefaultParagraphFont"/>
    <w:link w:val="Heading3"/>
    <w:uiPriority w:val="9"/>
    <w:rsid w:val="00A029D2"/>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semiHidden/>
    <w:rsid w:val="006D326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82061886">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40423481">
      <w:bodyDiv w:val="1"/>
      <w:marLeft w:val="0"/>
      <w:marRight w:val="0"/>
      <w:marTop w:val="0"/>
      <w:marBottom w:val="0"/>
      <w:divBdr>
        <w:top w:val="none" w:sz="0" w:space="0" w:color="auto"/>
        <w:left w:val="none" w:sz="0" w:space="0" w:color="auto"/>
        <w:bottom w:val="none" w:sz="0" w:space="0" w:color="auto"/>
        <w:right w:val="none" w:sz="0" w:space="0" w:color="auto"/>
      </w:divBdr>
    </w:div>
    <w:div w:id="1469281128">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header" Target="header6.xml"/><Relationship Id="rId39" Type="http://schemas.openxmlformats.org/officeDocument/2006/relationships/hyperlink" Target="https://doi.org/10.1016/j.foodchem.2023.137399?utm_source=chatgpt.com" TargetMode="External"/><Relationship Id="rId21" Type="http://schemas.openxmlformats.org/officeDocument/2006/relationships/image" Target="media/image8.png"/><Relationship Id="rId34" Type="http://schemas.openxmlformats.org/officeDocument/2006/relationships/hyperlink" Target="https://doi.org/10.1016/j.biortech.2024.130974?utm_source=chatgpt.com"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hyperlink" Target="https://doi.org/10.1155/2014/694305?utm_source=chatgpt.com" TargetMode="External"/><Relationship Id="rId41" Type="http://schemas.openxmlformats.org/officeDocument/2006/relationships/hyperlink" Target="https://doi.org/10.3390/md11051644?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yperlink" Target="https://doi.org/10.1016/j.biortech.2021.126124?utm_source=chatgpt.com" TargetMode="External"/><Relationship Id="rId37" Type="http://schemas.openxmlformats.org/officeDocument/2006/relationships/hyperlink" Target="https://doi.org/10.1016/j.biortech.2025.132347?utm_source=chatgpt.com" TargetMode="External"/><Relationship Id="rId40" Type="http://schemas.openxmlformats.org/officeDocument/2006/relationships/hyperlink" Target="https://doi.org/10.1007/s10068-019-00608-6?utm_source=chatgpt.com"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4.xml"/><Relationship Id="rId28" Type="http://schemas.openxmlformats.org/officeDocument/2006/relationships/hyperlink" Target="https://doi.org/10.1016/j.biotechadv.2025.108519?utm_source=chatgpt.com" TargetMode="External"/><Relationship Id="rId36" Type="http://schemas.openxmlformats.org/officeDocument/2006/relationships/hyperlink" Target="https://doi.org/10.1007/s00203-026-04943-1?utm_source=chatgpt.com" TargetMode="Externa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hyperlink" Target="https://doi.org/10.1016/j.ultsonch.2020.105052?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hyperlink" Target="https://doi.org/10.1016/j.algal.2024.103668?utm_source=chatgpt.com" TargetMode="External"/><Relationship Id="rId30" Type="http://schemas.openxmlformats.org/officeDocument/2006/relationships/hyperlink" Target="https://doi.org/10.3389/fmars.2025.1644644?utm_source=chatgpt.com" TargetMode="External"/><Relationship Id="rId35" Type="http://schemas.openxmlformats.org/officeDocument/2006/relationships/hyperlink" Target="https://doi.org/10.9734/jsrr/2026/v32i54168?utm_source=chatgpt.com"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footer" Target="footer4.xml"/><Relationship Id="rId33" Type="http://schemas.openxmlformats.org/officeDocument/2006/relationships/hyperlink" Target="https://doi.org/10.1016/j.biortech.2007.10.049?utm_source=chatgpt.com" TargetMode="External"/><Relationship Id="rId38" Type="http://schemas.openxmlformats.org/officeDocument/2006/relationships/hyperlink" Target="https://doi.org/10.56557/joban/2025/v17i29503?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7D1BE-BB2A-4067-8183-F99455E5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568</TotalTime>
  <Pages>16</Pages>
  <Words>7279</Words>
  <Characters>41494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48676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SDI PC New 16</cp:lastModifiedBy>
  <cp:revision>30</cp:revision>
  <cp:lastPrinted>1999-07-06T11:00:00Z</cp:lastPrinted>
  <dcterms:created xsi:type="dcterms:W3CDTF">2026-08-20T06:37:00Z</dcterms:created>
  <dcterms:modified xsi:type="dcterms:W3CDTF">2026-09-03T12:33:00Z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26836a0a-4369-4256-b968-8ef0d8b71215</vt:lpwstr>
  </property>
</Properties>
</file>